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EF886">
      <w:pPr>
        <w:rPr>
          <w:rFonts w:hint="eastAsia" w:ascii="宋体" w:hAnsi="宋体"/>
          <w:b/>
          <w:bCs/>
          <w:color w:val="auto"/>
          <w:sz w:val="48"/>
          <w:szCs w:val="48"/>
          <w:highlight w:val="none"/>
        </w:rPr>
      </w:pPr>
      <w:r>
        <w:rPr>
          <w:rFonts w:ascii="宋体" w:hAnsi="宋体"/>
          <w:color w:val="auto"/>
          <w:highlight w:val="none"/>
        </w:rPr>
        <w:drawing>
          <wp:anchor distT="0" distB="0" distL="114300" distR="114300" simplePos="0" relativeHeight="251660288" behindDoc="0" locked="0" layoutInCell="1" allowOverlap="1">
            <wp:simplePos x="0" y="0"/>
            <wp:positionH relativeFrom="column">
              <wp:posOffset>2428875</wp:posOffset>
            </wp:positionH>
            <wp:positionV relativeFrom="paragraph">
              <wp:posOffset>-143510</wp:posOffset>
            </wp:positionV>
            <wp:extent cx="686435" cy="686435"/>
            <wp:effectExtent l="0" t="0" r="14605" b="14605"/>
            <wp:wrapSquare wrapText="left"/>
            <wp:docPr id="2" name="图片 5" descr="638238BB99A253FEB9BED4DA40F3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38238BB99A253FEB9BED4DA40F32CE"/>
                    <pic:cNvPicPr>
                      <a:picLocks noChangeAspect="1"/>
                    </pic:cNvPicPr>
                  </pic:nvPicPr>
                  <pic:blipFill>
                    <a:blip r:embed="rId19"/>
                    <a:stretch>
                      <a:fillRect/>
                    </a:stretch>
                  </pic:blipFill>
                  <pic:spPr>
                    <a:xfrm>
                      <a:off x="0" y="0"/>
                      <a:ext cx="686435" cy="686435"/>
                    </a:xfrm>
                    <a:prstGeom prst="rect">
                      <a:avLst/>
                    </a:prstGeom>
                    <a:noFill/>
                    <a:ln>
                      <a:noFill/>
                    </a:ln>
                  </pic:spPr>
                </pic:pic>
              </a:graphicData>
            </a:graphic>
          </wp:anchor>
        </w:drawing>
      </w:r>
    </w:p>
    <w:p w14:paraId="0857E178">
      <w:pPr>
        <w:jc w:val="center"/>
        <w:rPr>
          <w:rFonts w:hint="eastAsia" w:ascii="宋体" w:hAnsi="宋体"/>
          <w:b/>
          <w:bCs/>
          <w:color w:val="auto"/>
          <w:sz w:val="48"/>
          <w:szCs w:val="48"/>
          <w:highlight w:val="none"/>
        </w:rPr>
      </w:pPr>
    </w:p>
    <w:p w14:paraId="519B7445">
      <w:pPr>
        <w:jc w:val="center"/>
        <w:rPr>
          <w:rFonts w:hint="eastAsia" w:ascii="宋体" w:hAnsi="宋体"/>
          <w:b/>
          <w:bCs/>
          <w:color w:val="auto"/>
          <w:sz w:val="48"/>
          <w:szCs w:val="48"/>
          <w:highlight w:val="none"/>
        </w:rPr>
      </w:pPr>
      <w:r>
        <w:rPr>
          <w:rFonts w:hint="eastAsia" w:ascii="宋体" w:hAnsi="宋体"/>
          <w:b/>
          <w:bCs/>
          <w:color w:val="auto"/>
          <w:sz w:val="48"/>
          <w:szCs w:val="48"/>
          <w:highlight w:val="none"/>
        </w:rPr>
        <w:t>广西中信恒泰工程顾问有限公司</w:t>
      </w:r>
    </w:p>
    <w:p w14:paraId="57E26C61">
      <w:pPr>
        <w:jc w:val="center"/>
        <w:rPr>
          <w:rFonts w:hint="eastAsia" w:ascii="宋体" w:hAnsi="宋体"/>
          <w:b/>
          <w:bCs/>
          <w:color w:val="auto"/>
          <w:sz w:val="30"/>
          <w:szCs w:val="30"/>
          <w:highlight w:val="none"/>
        </w:rPr>
      </w:pPr>
      <w:r>
        <w:rPr>
          <w:rFonts w:hint="eastAsia" w:ascii="宋体" w:hAnsi="宋体"/>
          <w:b/>
          <w:color w:val="auto"/>
          <w:sz w:val="30"/>
          <w:szCs w:val="30"/>
          <w:highlight w:val="none"/>
        </w:rPr>
        <w:t xml:space="preserve">Guangxi Zhongxinhengtai </w:t>
      </w:r>
      <w:r>
        <w:rPr>
          <w:rFonts w:hint="eastAsia" w:ascii="宋体" w:hAnsi="宋体"/>
          <w:b/>
          <w:caps/>
          <w:color w:val="auto"/>
          <w:sz w:val="30"/>
          <w:szCs w:val="30"/>
          <w:highlight w:val="none"/>
        </w:rPr>
        <w:t>e</w:t>
      </w:r>
      <w:r>
        <w:rPr>
          <w:rFonts w:hint="eastAsia" w:ascii="宋体" w:hAnsi="宋体"/>
          <w:b/>
          <w:color w:val="auto"/>
          <w:sz w:val="30"/>
          <w:szCs w:val="30"/>
          <w:highlight w:val="none"/>
        </w:rPr>
        <w:t xml:space="preserve">ngineering </w:t>
      </w:r>
      <w:r>
        <w:rPr>
          <w:rFonts w:hint="eastAsia" w:ascii="宋体" w:hAnsi="宋体"/>
          <w:b/>
          <w:caps/>
          <w:color w:val="auto"/>
          <w:sz w:val="30"/>
          <w:szCs w:val="30"/>
          <w:highlight w:val="none"/>
        </w:rPr>
        <w:t>c</w:t>
      </w:r>
      <w:r>
        <w:rPr>
          <w:rFonts w:hint="eastAsia" w:ascii="宋体" w:hAnsi="宋体"/>
          <w:b/>
          <w:color w:val="auto"/>
          <w:sz w:val="30"/>
          <w:szCs w:val="30"/>
          <w:highlight w:val="none"/>
        </w:rPr>
        <w:t xml:space="preserve">onsulting </w:t>
      </w:r>
      <w:r>
        <w:rPr>
          <w:rFonts w:hint="eastAsia" w:ascii="宋体" w:hAnsi="宋体"/>
          <w:b/>
          <w:caps/>
          <w:color w:val="auto"/>
          <w:sz w:val="30"/>
          <w:szCs w:val="30"/>
          <w:highlight w:val="none"/>
        </w:rPr>
        <w:t>c</w:t>
      </w:r>
      <w:r>
        <w:rPr>
          <w:rFonts w:hint="eastAsia" w:ascii="宋体" w:hAnsi="宋体"/>
          <w:b/>
          <w:color w:val="auto"/>
          <w:sz w:val="30"/>
          <w:szCs w:val="30"/>
          <w:highlight w:val="none"/>
        </w:rPr>
        <w:t xml:space="preserve">o., </w:t>
      </w:r>
      <w:r>
        <w:rPr>
          <w:rFonts w:hint="eastAsia" w:ascii="宋体" w:hAnsi="宋体"/>
          <w:b/>
          <w:caps/>
          <w:color w:val="auto"/>
          <w:sz w:val="30"/>
          <w:szCs w:val="30"/>
          <w:highlight w:val="none"/>
        </w:rPr>
        <w:t>l</w:t>
      </w:r>
      <w:r>
        <w:rPr>
          <w:rFonts w:hint="eastAsia" w:ascii="宋体" w:hAnsi="宋体"/>
          <w:b/>
          <w:color w:val="auto"/>
          <w:sz w:val="30"/>
          <w:szCs w:val="30"/>
          <w:highlight w:val="none"/>
        </w:rPr>
        <w:t>td</w:t>
      </w:r>
    </w:p>
    <w:p w14:paraId="4D6ED21C">
      <w:pPr>
        <w:spacing w:after="120"/>
        <w:ind w:firstLine="400"/>
        <w:rPr>
          <w:rFonts w:hint="eastAsia" w:ascii="宋体" w:hAnsi="宋体"/>
          <w:color w:val="auto"/>
          <w:szCs w:val="21"/>
          <w:highlight w:val="none"/>
        </w:rPr>
      </w:pPr>
      <w:r>
        <w:rPr>
          <w:rFonts w:ascii="宋体" w:hAnsi="宋体"/>
          <w:color w:val="auto"/>
          <w:sz w:val="20"/>
          <w:highlight w:val="none"/>
          <w:u w:val="singl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58420</wp:posOffset>
                </wp:positionV>
                <wp:extent cx="5944235" cy="8255"/>
                <wp:effectExtent l="0" t="13970" r="14605" b="23495"/>
                <wp:wrapNone/>
                <wp:docPr id="1" name="直接连接符 1"/>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6.75pt;margin-top:4.6pt;height:0.65pt;width:468.05pt;z-index:251659264;mso-width-relative:page;mso-height-relative:page;" filled="f" stroked="t" coordsize="21600,21600" o:gfxdata="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I3WvVAAAABwEAAA8AAAAAAAAAAQAgAAAAIgAAAGRycy9kb3du&#10;cmV2LnhtbFBLAQIUABQAAAAIAIdO4kCZeIBsAgIAAAAEAAAOAAAAAAAAAAEAIAAAACQBAABkcnMv&#10;ZTJvRG9jLnhtbFBLBQYAAAAABgAGAFkBAACYBQAAAAA=&#10;">
                <v:fill on="f" focussize="0,0"/>
                <v:stroke weight="2.25pt" color="#000000" joinstyle="round"/>
                <v:imagedata o:title=""/>
                <o:lock v:ext="edit" aspectratio="f"/>
              </v:line>
            </w:pict>
          </mc:Fallback>
        </mc:AlternateContent>
      </w:r>
      <w:r>
        <w:rPr>
          <w:rFonts w:hint="eastAsia" w:ascii="宋体" w:hAnsi="宋体"/>
          <w:b/>
          <w:bCs/>
          <w:color w:val="auto"/>
          <w:sz w:val="10"/>
          <w:highlight w:val="none"/>
        </w:rPr>
        <w:t xml:space="preserve">                                                                                                </w:t>
      </w:r>
    </w:p>
    <w:p w14:paraId="33510163">
      <w:pPr>
        <w:spacing w:line="360" w:lineRule="auto"/>
        <w:jc w:val="center"/>
        <w:rPr>
          <w:rFonts w:hint="eastAsia" w:ascii="宋体" w:hAnsi="宋体"/>
          <w:color w:val="auto"/>
          <w:highlight w:val="none"/>
        </w:rPr>
      </w:pPr>
    </w:p>
    <w:p w14:paraId="14FEAA60">
      <w:pPr>
        <w:spacing w:before="120" w:beforeLines="50"/>
        <w:jc w:val="center"/>
        <w:rPr>
          <w:rFonts w:ascii="宋体" w:hAnsi="宋体"/>
          <w:color w:val="auto"/>
          <w:sz w:val="44"/>
          <w:szCs w:val="44"/>
          <w:highlight w:val="none"/>
        </w:rPr>
      </w:pPr>
      <w:r>
        <w:rPr>
          <w:rFonts w:hint="eastAsia" w:ascii="宋体" w:hAnsi="宋体"/>
          <w:color w:val="auto"/>
          <w:sz w:val="44"/>
          <w:szCs w:val="44"/>
          <w:highlight w:val="none"/>
        </w:rPr>
        <w:t>政府采购公开招标文件</w:t>
      </w:r>
    </w:p>
    <w:p w14:paraId="61DF3002">
      <w:pPr>
        <w:spacing w:line="360" w:lineRule="auto"/>
        <w:jc w:val="center"/>
        <w:rPr>
          <w:rFonts w:hint="eastAsia" w:ascii="宋体" w:hAnsi="宋体" w:cs="方正小标宋简体"/>
          <w:b/>
          <w:color w:val="auto"/>
          <w:sz w:val="44"/>
          <w:szCs w:val="44"/>
          <w:highlight w:val="none"/>
        </w:rPr>
      </w:pPr>
      <w:r>
        <w:rPr>
          <w:rFonts w:hint="eastAsia" w:ascii="宋体" w:hAnsi="宋体"/>
          <w:color w:val="auto"/>
          <w:sz w:val="44"/>
          <w:szCs w:val="44"/>
          <w:highlight w:val="none"/>
        </w:rPr>
        <w:t>（货物类）</w:t>
      </w:r>
    </w:p>
    <w:p w14:paraId="62317531">
      <w:pPr>
        <w:rPr>
          <w:rFonts w:hint="eastAsia"/>
          <w:color w:val="auto"/>
          <w:highlight w:val="none"/>
        </w:rPr>
      </w:pPr>
    </w:p>
    <w:p w14:paraId="40DAB0CA">
      <w:pPr>
        <w:snapToGrid w:val="0"/>
        <w:spacing w:before="120" w:beforeLines="50" w:line="360" w:lineRule="auto"/>
        <w:jc w:val="center"/>
        <w:rPr>
          <w:rFonts w:hint="eastAsia" w:ascii="华文新魏" w:hAnsi="华文新魏" w:eastAsia="华文新魏" w:cs="华文新魏"/>
          <w:color w:val="auto"/>
          <w:sz w:val="120"/>
          <w:szCs w:val="120"/>
          <w:highlight w:val="none"/>
        </w:rPr>
      </w:pPr>
      <w:r>
        <w:rPr>
          <w:rFonts w:hint="eastAsia" w:ascii="华文新魏" w:hAnsi="华文新魏" w:eastAsia="华文新魏" w:cs="华文新魏"/>
          <w:color w:val="auto"/>
          <w:sz w:val="120"/>
          <w:szCs w:val="120"/>
          <w:highlight w:val="none"/>
        </w:rPr>
        <w:t>招 标 文 件</w:t>
      </w:r>
    </w:p>
    <w:p w14:paraId="2ABB394D">
      <w:pPr>
        <w:rPr>
          <w:rFonts w:hint="eastAsia"/>
          <w:color w:val="auto"/>
          <w:highlight w:val="none"/>
        </w:rPr>
      </w:pPr>
    </w:p>
    <w:p w14:paraId="2241F199">
      <w:pPr>
        <w:rPr>
          <w:rFonts w:hint="eastAsia"/>
          <w:color w:val="auto"/>
          <w:highlight w:val="none"/>
        </w:rPr>
      </w:pPr>
    </w:p>
    <w:p w14:paraId="5C17F10E">
      <w:pPr>
        <w:snapToGrid w:val="0"/>
        <w:spacing w:before="120" w:beforeLines="50" w:line="360" w:lineRule="auto"/>
        <w:jc w:val="center"/>
        <w:rPr>
          <w:rFonts w:ascii="宋体" w:hAnsi="宋体"/>
          <w:b/>
          <w:color w:val="auto"/>
          <w:sz w:val="36"/>
          <w:szCs w:val="36"/>
          <w:highlight w:val="none"/>
        </w:rPr>
      </w:pPr>
      <w:r>
        <w:rPr>
          <w:rFonts w:hint="eastAsia" w:ascii="宋体" w:hAnsi="宋体"/>
          <w:b/>
          <w:color w:val="auto"/>
          <w:sz w:val="36"/>
          <w:szCs w:val="36"/>
          <w:highlight w:val="none"/>
        </w:rPr>
        <w:t>（全流程电子化采购）</w:t>
      </w:r>
    </w:p>
    <w:p w14:paraId="3EC243C6">
      <w:pPr>
        <w:pStyle w:val="24"/>
        <w:snapToGrid w:val="0"/>
        <w:spacing w:line="360" w:lineRule="auto"/>
        <w:ind w:firstLine="1560" w:firstLineChars="518"/>
        <w:rPr>
          <w:rFonts w:hint="eastAsia" w:hAnsi="宋体"/>
          <w:b/>
          <w:bCs/>
          <w:color w:val="auto"/>
          <w:sz w:val="30"/>
          <w:szCs w:val="30"/>
          <w:highlight w:val="none"/>
        </w:rPr>
      </w:pPr>
    </w:p>
    <w:p w14:paraId="5818503D">
      <w:pPr>
        <w:pStyle w:val="24"/>
        <w:snapToGrid w:val="0"/>
        <w:spacing w:line="360" w:lineRule="auto"/>
        <w:ind w:firstLine="1560" w:firstLineChars="518"/>
        <w:rPr>
          <w:rFonts w:hint="eastAsia" w:hAnsi="宋体"/>
          <w:b/>
          <w:bCs/>
          <w:color w:val="auto"/>
          <w:sz w:val="30"/>
          <w:szCs w:val="30"/>
          <w:highlight w:val="none"/>
        </w:rPr>
      </w:pPr>
    </w:p>
    <w:p w14:paraId="6B283D91">
      <w:pPr>
        <w:pStyle w:val="24"/>
        <w:snapToGrid w:val="0"/>
        <w:spacing w:line="360" w:lineRule="auto"/>
        <w:ind w:firstLine="1419" w:firstLineChars="471"/>
        <w:rPr>
          <w:rFonts w:hint="eastAsia" w:hAnsi="宋体"/>
          <w:b/>
          <w:bCs/>
          <w:color w:val="auto"/>
          <w:sz w:val="30"/>
          <w:szCs w:val="30"/>
          <w:highlight w:val="none"/>
        </w:rPr>
      </w:pPr>
    </w:p>
    <w:p w14:paraId="0401A299">
      <w:pPr>
        <w:pStyle w:val="24"/>
        <w:snapToGrid w:val="0"/>
        <w:spacing w:line="360" w:lineRule="auto"/>
        <w:ind w:firstLine="840" w:firstLineChars="279"/>
        <w:rPr>
          <w:rFonts w:hint="eastAsia" w:hAnsi="宋体"/>
          <w:b/>
          <w:bCs/>
          <w:color w:val="auto"/>
          <w:sz w:val="30"/>
          <w:szCs w:val="30"/>
          <w:highlight w:val="none"/>
        </w:rPr>
      </w:pPr>
      <w:r>
        <w:rPr>
          <w:rFonts w:hint="eastAsia" w:hAnsi="宋体"/>
          <w:b/>
          <w:bCs/>
          <w:color w:val="auto"/>
          <w:sz w:val="30"/>
          <w:szCs w:val="30"/>
          <w:highlight w:val="none"/>
        </w:rPr>
        <w:t>项目</w:t>
      </w:r>
      <w:r>
        <w:rPr>
          <w:rFonts w:hint="eastAsia" w:hAnsi="宋体" w:cs="Courier New"/>
          <w:b/>
          <w:bCs/>
          <w:color w:val="auto"/>
          <w:w w:val="95"/>
          <w:sz w:val="30"/>
          <w:szCs w:val="30"/>
          <w:highlight w:val="none"/>
        </w:rPr>
        <w:t>名称</w:t>
      </w:r>
      <w:r>
        <w:rPr>
          <w:rFonts w:hint="eastAsia" w:hAnsi="宋体"/>
          <w:b/>
          <w:bCs/>
          <w:color w:val="auto"/>
          <w:sz w:val="30"/>
          <w:szCs w:val="30"/>
          <w:highlight w:val="none"/>
        </w:rPr>
        <w:t>：2026年猪口蹄疫等动物疫苗采购项目</w:t>
      </w:r>
    </w:p>
    <w:p w14:paraId="6DA70F7C">
      <w:pPr>
        <w:pStyle w:val="24"/>
        <w:snapToGrid w:val="0"/>
        <w:spacing w:line="360" w:lineRule="auto"/>
        <w:ind w:firstLine="841" w:firstLineChars="294"/>
        <w:rPr>
          <w:rFonts w:hint="eastAsia" w:hAnsi="宋体" w:cs="Courier New"/>
          <w:b/>
          <w:bCs/>
          <w:color w:val="auto"/>
          <w:w w:val="95"/>
          <w:sz w:val="30"/>
          <w:szCs w:val="30"/>
          <w:highlight w:val="none"/>
        </w:rPr>
      </w:pPr>
      <w:r>
        <w:rPr>
          <w:rFonts w:hint="eastAsia" w:hAnsi="宋体" w:cs="Courier New"/>
          <w:b/>
          <w:bCs/>
          <w:color w:val="auto"/>
          <w:w w:val="95"/>
          <w:sz w:val="30"/>
          <w:szCs w:val="30"/>
          <w:highlight w:val="none"/>
        </w:rPr>
        <w:t>项目</w:t>
      </w:r>
      <w:r>
        <w:rPr>
          <w:rFonts w:hint="eastAsia" w:hAnsi="宋体"/>
          <w:b/>
          <w:bCs/>
          <w:color w:val="auto"/>
          <w:sz w:val="30"/>
          <w:szCs w:val="30"/>
          <w:highlight w:val="none"/>
        </w:rPr>
        <w:t>编号</w:t>
      </w:r>
      <w:r>
        <w:rPr>
          <w:rFonts w:hint="eastAsia" w:hAnsi="宋体" w:cs="Courier New"/>
          <w:b/>
          <w:bCs/>
          <w:color w:val="auto"/>
          <w:w w:val="95"/>
          <w:sz w:val="30"/>
          <w:szCs w:val="30"/>
          <w:highlight w:val="none"/>
        </w:rPr>
        <w:t>：GXZC2026-G1-001024-GXZX</w:t>
      </w:r>
    </w:p>
    <w:p w14:paraId="0C48C345">
      <w:pPr>
        <w:pStyle w:val="24"/>
        <w:snapToGrid w:val="0"/>
        <w:spacing w:line="360" w:lineRule="auto"/>
        <w:ind w:firstLine="841" w:firstLineChars="294"/>
        <w:rPr>
          <w:rFonts w:hint="eastAsia" w:hAnsi="宋体"/>
          <w:b/>
          <w:bCs/>
          <w:color w:val="auto"/>
          <w:w w:val="95"/>
          <w:sz w:val="30"/>
          <w:szCs w:val="30"/>
          <w:highlight w:val="none"/>
        </w:rPr>
      </w:pPr>
      <w:r>
        <w:rPr>
          <w:rFonts w:hint="eastAsia" w:hAnsi="宋体"/>
          <w:b/>
          <w:bCs/>
          <w:color w:val="auto"/>
          <w:w w:val="95"/>
          <w:sz w:val="30"/>
          <w:szCs w:val="30"/>
          <w:highlight w:val="none"/>
        </w:rPr>
        <w:t>采购人：广西壮族自治区动物疫病预防控制中心</w:t>
      </w:r>
    </w:p>
    <w:p w14:paraId="2BA13EF1">
      <w:pPr>
        <w:pStyle w:val="24"/>
        <w:snapToGrid w:val="0"/>
        <w:spacing w:line="360" w:lineRule="auto"/>
        <w:ind w:firstLine="841" w:firstLineChars="294"/>
        <w:rPr>
          <w:rFonts w:hint="eastAsia" w:hAnsi="宋体"/>
          <w:b/>
          <w:bCs/>
          <w:color w:val="auto"/>
          <w:w w:val="95"/>
          <w:sz w:val="30"/>
          <w:szCs w:val="30"/>
          <w:highlight w:val="none"/>
        </w:rPr>
      </w:pPr>
      <w:r>
        <w:rPr>
          <w:rFonts w:hint="eastAsia" w:hAnsi="宋体"/>
          <w:b/>
          <w:bCs/>
          <w:color w:val="auto"/>
          <w:w w:val="95"/>
          <w:sz w:val="30"/>
          <w:szCs w:val="30"/>
          <w:highlight w:val="none"/>
        </w:rPr>
        <w:t>采购代理机构：广西中信恒泰工程顾问有限公司</w:t>
      </w:r>
    </w:p>
    <w:p w14:paraId="7A4F45E4">
      <w:pPr>
        <w:rPr>
          <w:rFonts w:hint="eastAsia"/>
          <w:color w:val="auto"/>
          <w:highlight w:val="none"/>
        </w:rPr>
      </w:pPr>
    </w:p>
    <w:p w14:paraId="01EE3A51">
      <w:pPr>
        <w:pStyle w:val="24"/>
        <w:snapToGrid w:val="0"/>
        <w:spacing w:line="360" w:lineRule="auto"/>
        <w:ind w:firstLine="841" w:firstLineChars="294"/>
        <w:jc w:val="center"/>
        <w:rPr>
          <w:rFonts w:hint="eastAsia" w:hAnsi="宋体" w:cs="宋体"/>
          <w:b/>
          <w:bCs/>
          <w:color w:val="auto"/>
          <w:w w:val="95"/>
          <w:sz w:val="30"/>
          <w:szCs w:val="30"/>
          <w:highlight w:val="none"/>
        </w:rPr>
      </w:pPr>
      <w:r>
        <w:rPr>
          <w:rFonts w:hint="eastAsia" w:hAnsi="宋体" w:cs="宋体"/>
          <w:b/>
          <w:bCs/>
          <w:color w:val="auto"/>
          <w:w w:val="95"/>
          <w:sz w:val="30"/>
          <w:szCs w:val="30"/>
          <w:highlight w:val="none"/>
        </w:rPr>
        <w:t>2026年</w:t>
      </w:r>
      <w:r>
        <w:rPr>
          <w:rFonts w:hint="eastAsia" w:hAnsi="宋体" w:cs="宋体"/>
          <w:b/>
          <w:bCs/>
          <w:color w:val="auto"/>
          <w:w w:val="95"/>
          <w:sz w:val="30"/>
          <w:szCs w:val="30"/>
          <w:highlight w:val="none"/>
          <w:lang w:val="en-US" w:eastAsia="zh-CN"/>
        </w:rPr>
        <w:t>5</w:t>
      </w:r>
      <w:r>
        <w:rPr>
          <w:rFonts w:hint="eastAsia" w:hAnsi="宋体" w:cs="宋体"/>
          <w:b/>
          <w:bCs/>
          <w:color w:val="auto"/>
          <w:w w:val="95"/>
          <w:sz w:val="30"/>
          <w:szCs w:val="30"/>
          <w:highlight w:val="none"/>
        </w:rPr>
        <w:t>月</w:t>
      </w:r>
    </w:p>
    <w:p w14:paraId="4A1608ED">
      <w:pPr>
        <w:rPr>
          <w:rFonts w:hint="eastAsia"/>
          <w:color w:val="auto"/>
          <w:highlight w:val="none"/>
        </w:rPr>
      </w:pPr>
    </w:p>
    <w:p w14:paraId="7162AE84">
      <w:pPr>
        <w:spacing w:line="360" w:lineRule="auto"/>
        <w:jc w:val="center"/>
        <w:rPr>
          <w:rFonts w:hint="eastAsia" w:ascii="宋体" w:hAnsi="宋体"/>
          <w:b/>
          <w:color w:val="auto"/>
          <w:sz w:val="44"/>
          <w:szCs w:val="44"/>
          <w:highlight w:val="none"/>
        </w:rPr>
        <w:sectPr>
          <w:headerReference r:id="rId3" w:type="first"/>
          <w:footerReference r:id="rId5" w:type="first"/>
          <w:footerReference r:id="rId4" w:type="default"/>
          <w:pgSz w:w="11910" w:h="16840"/>
          <w:pgMar w:top="1519" w:right="1500" w:bottom="1519" w:left="1680" w:header="720" w:footer="720" w:gutter="0"/>
          <w:pgNumType w:start="0"/>
          <w:cols w:space="720" w:num="1"/>
          <w:titlePg/>
          <w:docGrid w:linePitch="286" w:charSpace="0"/>
        </w:sectPr>
      </w:pPr>
    </w:p>
    <w:p w14:paraId="2E39552A">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0A2E3720">
      <w:pPr>
        <w:pStyle w:val="32"/>
        <w:tabs>
          <w:tab w:val="right" w:leader="dot" w:pos="9013"/>
          <w:tab w:val="clear" w:pos="8398"/>
        </w:tabs>
        <w:ind w:left="0" w:leftChars="0" w:firstLine="220" w:firstLineChars="50"/>
        <w:rPr>
          <w:color w:val="auto"/>
          <w:highlight w:val="none"/>
        </w:rPr>
      </w:pPr>
      <w:r>
        <w:rPr>
          <w:rFonts w:hint="eastAsia"/>
          <w:b w:val="0"/>
          <w:color w:val="auto"/>
          <w:sz w:val="44"/>
          <w:szCs w:val="44"/>
          <w:highlight w:val="none"/>
        </w:rPr>
        <w:fldChar w:fldCharType="begin"/>
      </w:r>
      <w:r>
        <w:rPr>
          <w:rFonts w:hint="eastAsia"/>
          <w:b w:val="0"/>
          <w:color w:val="auto"/>
          <w:sz w:val="44"/>
          <w:szCs w:val="44"/>
          <w:highlight w:val="none"/>
        </w:rPr>
        <w:instrText xml:space="preserve">TOC \o "1-3" \h \u </w:instrText>
      </w:r>
      <w:r>
        <w:rPr>
          <w:rFonts w:hint="eastAsia"/>
          <w:b w:val="0"/>
          <w:color w:val="auto"/>
          <w:sz w:val="44"/>
          <w:szCs w:val="44"/>
          <w:highlight w:val="none"/>
        </w:rPr>
        <w:fldChar w:fldCharType="separate"/>
      </w:r>
      <w:r>
        <w:rPr>
          <w:rFonts w:hint="eastAsia"/>
          <w:color w:val="auto"/>
          <w:szCs w:val="44"/>
          <w:highlight w:val="none"/>
        </w:rPr>
        <w:fldChar w:fldCharType="begin"/>
      </w:r>
      <w:r>
        <w:rPr>
          <w:rFonts w:hint="eastAsia"/>
          <w:color w:val="auto"/>
          <w:szCs w:val="44"/>
          <w:highlight w:val="none"/>
        </w:rPr>
        <w:instrText xml:space="preserve"> HYPERLINK \l _Toc28677 </w:instrText>
      </w:r>
      <w:r>
        <w:rPr>
          <w:rFonts w:hint="eastAsia"/>
          <w:color w:val="auto"/>
          <w:szCs w:val="44"/>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_Toc28677 \h </w:instrText>
      </w:r>
      <w:r>
        <w:rPr>
          <w:color w:val="auto"/>
          <w:highlight w:val="none"/>
        </w:rPr>
        <w:fldChar w:fldCharType="separate"/>
      </w:r>
      <w:r>
        <w:rPr>
          <w:color w:val="auto"/>
          <w:highlight w:val="none"/>
        </w:rPr>
        <w:t>4</w:t>
      </w:r>
      <w:r>
        <w:rPr>
          <w:color w:val="auto"/>
          <w:highlight w:val="none"/>
        </w:rPr>
        <w:fldChar w:fldCharType="end"/>
      </w:r>
      <w:r>
        <w:rPr>
          <w:rFonts w:hint="eastAsia"/>
          <w:color w:val="auto"/>
          <w:szCs w:val="44"/>
          <w:highlight w:val="none"/>
        </w:rPr>
        <w:fldChar w:fldCharType="end"/>
      </w:r>
    </w:p>
    <w:p w14:paraId="587D9FA3">
      <w:pPr>
        <w:pStyle w:val="32"/>
        <w:tabs>
          <w:tab w:val="right" w:leader="dot" w:pos="9013"/>
          <w:tab w:val="clear" w:pos="8398"/>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_Toc15987 </w:instrText>
      </w:r>
      <w:r>
        <w:rPr>
          <w:rFonts w:hint="eastAsia" w:ascii="宋体" w:hAnsi="宋体"/>
          <w:color w:val="auto"/>
          <w:szCs w:val="44"/>
          <w:highlight w:val="none"/>
        </w:rPr>
        <w:fldChar w:fldCharType="separate"/>
      </w:r>
      <w:r>
        <w:rPr>
          <w:rFonts w:hint="eastAsia"/>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_Toc15987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color w:val="auto"/>
          <w:szCs w:val="44"/>
          <w:highlight w:val="none"/>
        </w:rPr>
        <w:fldChar w:fldCharType="end"/>
      </w:r>
    </w:p>
    <w:p w14:paraId="7E95BC31">
      <w:pPr>
        <w:pStyle w:val="32"/>
        <w:tabs>
          <w:tab w:val="right" w:leader="dot" w:pos="9013"/>
          <w:tab w:val="clear" w:pos="8398"/>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_Toc27675 </w:instrText>
      </w:r>
      <w:r>
        <w:rPr>
          <w:rFonts w:hint="eastAsia" w:ascii="宋体" w:hAnsi="宋体"/>
          <w:color w:val="auto"/>
          <w:szCs w:val="44"/>
          <w:highlight w:val="none"/>
        </w:rPr>
        <w:fldChar w:fldCharType="separate"/>
      </w:r>
      <w:r>
        <w:rPr>
          <w:rFonts w:hint="eastAsia"/>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_Toc27675 \h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color w:val="auto"/>
          <w:szCs w:val="44"/>
          <w:highlight w:val="none"/>
        </w:rPr>
        <w:fldChar w:fldCharType="end"/>
      </w:r>
    </w:p>
    <w:p w14:paraId="5CC8FDA1">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_Toc29367 </w:instrText>
      </w:r>
      <w:r>
        <w:rPr>
          <w:rFonts w:hint="eastAsia" w:ascii="宋体" w:hAnsi="宋体"/>
          <w:color w:val="auto"/>
          <w:szCs w:val="44"/>
          <w:highlight w:val="none"/>
        </w:rPr>
        <w:fldChar w:fldCharType="separate"/>
      </w:r>
      <w:r>
        <w:rPr>
          <w:rFonts w:hint="eastAsia"/>
          <w:color w:val="auto"/>
          <w:szCs w:val="36"/>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_Toc29367 \h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color w:val="auto"/>
          <w:szCs w:val="44"/>
          <w:highlight w:val="none"/>
        </w:rPr>
        <w:fldChar w:fldCharType="end"/>
      </w:r>
    </w:p>
    <w:p w14:paraId="31AD0887">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_Toc24790 </w:instrText>
      </w:r>
      <w:r>
        <w:rPr>
          <w:rFonts w:hint="eastAsia" w:ascii="宋体" w:hAnsi="宋体"/>
          <w:color w:val="auto"/>
          <w:szCs w:val="44"/>
          <w:highlight w:val="none"/>
        </w:rPr>
        <w:fldChar w:fldCharType="separate"/>
      </w:r>
      <w:r>
        <w:rPr>
          <w:rFonts w:hint="eastAsia"/>
          <w:color w:val="auto"/>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_Toc24790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44"/>
          <w:highlight w:val="none"/>
        </w:rPr>
        <w:fldChar w:fldCharType="end"/>
      </w:r>
    </w:p>
    <w:p w14:paraId="407A5101">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_Toc16018 </w:instrText>
      </w:r>
      <w:r>
        <w:rPr>
          <w:rFonts w:hint="eastAsia" w:ascii="宋体" w:hAnsi="宋体"/>
          <w:color w:val="auto"/>
          <w:szCs w:val="44"/>
          <w:highlight w:val="none"/>
        </w:rPr>
        <w:fldChar w:fldCharType="separate"/>
      </w:r>
      <w:r>
        <w:rPr>
          <w:rFonts w:hint="eastAsia"/>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_Toc16018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44"/>
          <w:highlight w:val="none"/>
        </w:rPr>
        <w:fldChar w:fldCharType="end"/>
      </w:r>
    </w:p>
    <w:p w14:paraId="41E7ED84">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_Toc25415 </w:instrText>
      </w:r>
      <w:r>
        <w:rPr>
          <w:rFonts w:hint="eastAsia" w:ascii="宋体" w:hAnsi="宋体"/>
          <w:color w:val="auto"/>
          <w:szCs w:val="44"/>
          <w:highlight w:val="none"/>
        </w:rPr>
        <w:fldChar w:fldCharType="separate"/>
      </w:r>
      <w:r>
        <w:rPr>
          <w:rFonts w:hint="eastAsia" w:ascii="黑体" w:hAnsi="黑体" w:eastAsia="黑体"/>
          <w:color w:val="auto"/>
          <w:highlight w:val="none"/>
        </w:rPr>
        <w:t>1.适用范围</w:t>
      </w:r>
      <w:r>
        <w:rPr>
          <w:color w:val="auto"/>
          <w:highlight w:val="none"/>
        </w:rPr>
        <w:tab/>
      </w:r>
      <w:r>
        <w:rPr>
          <w:color w:val="auto"/>
          <w:highlight w:val="none"/>
        </w:rPr>
        <w:fldChar w:fldCharType="begin"/>
      </w:r>
      <w:r>
        <w:rPr>
          <w:color w:val="auto"/>
          <w:highlight w:val="none"/>
        </w:rPr>
        <w:instrText xml:space="preserve"> PAGEREF _Toc25415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44"/>
          <w:highlight w:val="none"/>
        </w:rPr>
        <w:fldChar w:fldCharType="end"/>
      </w:r>
    </w:p>
    <w:p w14:paraId="78E1BD3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_Toc22749 </w:instrText>
      </w:r>
      <w:r>
        <w:rPr>
          <w:rFonts w:hint="eastAsia" w:ascii="宋体" w:hAnsi="宋体"/>
          <w:color w:val="auto"/>
          <w:szCs w:val="44"/>
          <w:highlight w:val="none"/>
        </w:rPr>
        <w:fldChar w:fldCharType="separate"/>
      </w:r>
      <w:r>
        <w:rPr>
          <w:rFonts w:hint="eastAsia" w:ascii="黑体" w:hAnsi="黑体" w:eastAsia="黑体"/>
          <w:color w:val="auto"/>
          <w:highlight w:val="none"/>
        </w:rPr>
        <w:t>2.定义</w:t>
      </w:r>
      <w:r>
        <w:rPr>
          <w:color w:val="auto"/>
          <w:highlight w:val="none"/>
        </w:rPr>
        <w:tab/>
      </w:r>
      <w:r>
        <w:rPr>
          <w:color w:val="auto"/>
          <w:highlight w:val="none"/>
        </w:rPr>
        <w:fldChar w:fldCharType="begin"/>
      </w:r>
      <w:r>
        <w:rPr>
          <w:color w:val="auto"/>
          <w:highlight w:val="none"/>
        </w:rPr>
        <w:instrText xml:space="preserve"> PAGEREF _Toc22749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44"/>
          <w:highlight w:val="none"/>
        </w:rPr>
        <w:fldChar w:fldCharType="end"/>
      </w:r>
    </w:p>
    <w:p w14:paraId="03CCDCB2">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_Toc13480 </w:instrText>
      </w:r>
      <w:r>
        <w:rPr>
          <w:rFonts w:hint="eastAsia" w:ascii="宋体" w:hAnsi="宋体"/>
          <w:color w:val="auto"/>
          <w:szCs w:val="44"/>
          <w:highlight w:val="none"/>
        </w:rPr>
        <w:fldChar w:fldCharType="separate"/>
      </w:r>
      <w:r>
        <w:rPr>
          <w:rFonts w:hint="eastAsia" w:ascii="黑体" w:hAnsi="黑体" w:eastAsia="黑体"/>
          <w:color w:val="auto"/>
          <w:highlight w:val="none"/>
        </w:rPr>
        <w:t>3.投标人的资格要求</w:t>
      </w:r>
      <w:r>
        <w:rPr>
          <w:color w:val="auto"/>
          <w:highlight w:val="none"/>
        </w:rPr>
        <w:tab/>
      </w:r>
      <w:r>
        <w:rPr>
          <w:color w:val="auto"/>
          <w:highlight w:val="none"/>
        </w:rPr>
        <w:fldChar w:fldCharType="begin"/>
      </w:r>
      <w:r>
        <w:rPr>
          <w:color w:val="auto"/>
          <w:highlight w:val="none"/>
        </w:rPr>
        <w:instrText xml:space="preserve"> PAGEREF _Toc13480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44"/>
          <w:highlight w:val="none"/>
        </w:rPr>
        <w:fldChar w:fldCharType="end"/>
      </w:r>
    </w:p>
    <w:p w14:paraId="585F2D9D">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_Toc29841 </w:instrText>
      </w:r>
      <w:r>
        <w:rPr>
          <w:rFonts w:hint="eastAsia" w:ascii="宋体" w:hAnsi="宋体"/>
          <w:color w:val="auto"/>
          <w:szCs w:val="44"/>
          <w:highlight w:val="none"/>
        </w:rPr>
        <w:fldChar w:fldCharType="separate"/>
      </w:r>
      <w:r>
        <w:rPr>
          <w:rFonts w:hint="eastAsia" w:ascii="黑体" w:hAnsi="黑体" w:eastAsia="黑体"/>
          <w:color w:val="auto"/>
          <w:highlight w:val="none"/>
        </w:rPr>
        <w:t>4.投标委托</w:t>
      </w:r>
      <w:r>
        <w:rPr>
          <w:color w:val="auto"/>
          <w:highlight w:val="none"/>
        </w:rPr>
        <w:tab/>
      </w:r>
      <w:r>
        <w:rPr>
          <w:color w:val="auto"/>
          <w:highlight w:val="none"/>
        </w:rPr>
        <w:fldChar w:fldCharType="begin"/>
      </w:r>
      <w:r>
        <w:rPr>
          <w:color w:val="auto"/>
          <w:highlight w:val="none"/>
        </w:rPr>
        <w:instrText xml:space="preserve"> PAGEREF _Toc29841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44"/>
          <w:highlight w:val="none"/>
        </w:rPr>
        <w:fldChar w:fldCharType="end"/>
      </w:r>
    </w:p>
    <w:p w14:paraId="690C581B">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_Toc24623 </w:instrText>
      </w:r>
      <w:r>
        <w:rPr>
          <w:rFonts w:hint="eastAsia" w:ascii="宋体" w:hAnsi="宋体"/>
          <w:color w:val="auto"/>
          <w:szCs w:val="44"/>
          <w:highlight w:val="none"/>
        </w:rPr>
        <w:fldChar w:fldCharType="separate"/>
      </w:r>
      <w:r>
        <w:rPr>
          <w:rFonts w:hint="eastAsia" w:ascii="黑体" w:hAnsi="黑体" w:eastAsia="黑体"/>
          <w:color w:val="auto"/>
          <w:highlight w:val="none"/>
        </w:rPr>
        <w:t>5.投标费用</w:t>
      </w:r>
      <w:r>
        <w:rPr>
          <w:color w:val="auto"/>
          <w:highlight w:val="none"/>
        </w:rPr>
        <w:tab/>
      </w:r>
      <w:r>
        <w:rPr>
          <w:color w:val="auto"/>
          <w:highlight w:val="none"/>
        </w:rPr>
        <w:fldChar w:fldCharType="begin"/>
      </w:r>
      <w:r>
        <w:rPr>
          <w:color w:val="auto"/>
          <w:highlight w:val="none"/>
        </w:rPr>
        <w:instrText xml:space="preserve"> PAGEREF _Toc24623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44"/>
          <w:highlight w:val="none"/>
        </w:rPr>
        <w:fldChar w:fldCharType="end"/>
      </w:r>
    </w:p>
    <w:p w14:paraId="0EF5BD0E">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_Toc27575 </w:instrText>
      </w:r>
      <w:r>
        <w:rPr>
          <w:rFonts w:hint="eastAsia" w:ascii="宋体" w:hAnsi="宋体"/>
          <w:color w:val="auto"/>
          <w:szCs w:val="44"/>
          <w:highlight w:val="none"/>
        </w:rPr>
        <w:fldChar w:fldCharType="separate"/>
      </w:r>
      <w:r>
        <w:rPr>
          <w:rFonts w:hint="eastAsia" w:ascii="黑体" w:hAnsi="黑体" w:eastAsia="黑体"/>
          <w:color w:val="auto"/>
          <w:highlight w:val="none"/>
        </w:rPr>
        <w:t>6.联合体投标</w:t>
      </w:r>
      <w:r>
        <w:rPr>
          <w:color w:val="auto"/>
          <w:highlight w:val="none"/>
        </w:rPr>
        <w:tab/>
      </w:r>
      <w:r>
        <w:rPr>
          <w:color w:val="auto"/>
          <w:highlight w:val="none"/>
        </w:rPr>
        <w:fldChar w:fldCharType="begin"/>
      </w:r>
      <w:r>
        <w:rPr>
          <w:color w:val="auto"/>
          <w:highlight w:val="none"/>
        </w:rPr>
        <w:instrText xml:space="preserve"> PAGEREF _Toc27575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color w:val="auto"/>
          <w:szCs w:val="44"/>
          <w:highlight w:val="none"/>
        </w:rPr>
        <w:fldChar w:fldCharType="end"/>
      </w:r>
    </w:p>
    <w:p w14:paraId="6B9D367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_Toc11427 </w:instrText>
      </w:r>
      <w:r>
        <w:rPr>
          <w:rFonts w:hint="eastAsia" w:ascii="宋体" w:hAnsi="宋体"/>
          <w:color w:val="auto"/>
          <w:szCs w:val="44"/>
          <w:highlight w:val="none"/>
        </w:rPr>
        <w:fldChar w:fldCharType="separate"/>
      </w:r>
      <w:r>
        <w:rPr>
          <w:rFonts w:hint="eastAsia" w:ascii="黑体" w:hAnsi="黑体" w:eastAsia="黑体"/>
          <w:color w:val="auto"/>
          <w:highlight w:val="none"/>
        </w:rPr>
        <w:t>7.转包与分包</w:t>
      </w:r>
      <w:r>
        <w:rPr>
          <w:color w:val="auto"/>
          <w:highlight w:val="none"/>
        </w:rPr>
        <w:tab/>
      </w:r>
      <w:r>
        <w:rPr>
          <w:color w:val="auto"/>
          <w:highlight w:val="none"/>
        </w:rPr>
        <w:fldChar w:fldCharType="begin"/>
      </w:r>
      <w:r>
        <w:rPr>
          <w:color w:val="auto"/>
          <w:highlight w:val="none"/>
        </w:rPr>
        <w:instrText xml:space="preserve"> PAGEREF _Toc11427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color w:val="auto"/>
          <w:szCs w:val="44"/>
          <w:highlight w:val="none"/>
        </w:rPr>
        <w:fldChar w:fldCharType="end"/>
      </w:r>
    </w:p>
    <w:p w14:paraId="14E198EE">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_Toc4932 </w:instrText>
      </w:r>
      <w:r>
        <w:rPr>
          <w:rFonts w:hint="eastAsia" w:ascii="宋体" w:hAnsi="宋体"/>
          <w:color w:val="auto"/>
          <w:szCs w:val="44"/>
          <w:highlight w:val="none"/>
        </w:rPr>
        <w:fldChar w:fldCharType="separate"/>
      </w:r>
      <w:r>
        <w:rPr>
          <w:rFonts w:hint="eastAsia" w:ascii="黑体" w:hAnsi="黑体" w:eastAsia="黑体"/>
          <w:color w:val="auto"/>
          <w:highlight w:val="none"/>
        </w:rPr>
        <w:t>8.特别说明</w:t>
      </w:r>
      <w:r>
        <w:rPr>
          <w:color w:val="auto"/>
          <w:highlight w:val="none"/>
        </w:rPr>
        <w:tab/>
      </w:r>
      <w:r>
        <w:rPr>
          <w:color w:val="auto"/>
          <w:highlight w:val="none"/>
        </w:rPr>
        <w:fldChar w:fldCharType="begin"/>
      </w:r>
      <w:r>
        <w:rPr>
          <w:color w:val="auto"/>
          <w:highlight w:val="none"/>
        </w:rPr>
        <w:instrText xml:space="preserve"> PAGEREF _Toc4932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color w:val="auto"/>
          <w:szCs w:val="44"/>
          <w:highlight w:val="none"/>
        </w:rPr>
        <w:fldChar w:fldCharType="end"/>
      </w:r>
    </w:p>
    <w:p w14:paraId="4B38F219">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_Toc10088 </w:instrText>
      </w:r>
      <w:r>
        <w:rPr>
          <w:rFonts w:hint="eastAsia" w:ascii="宋体" w:hAnsi="宋体"/>
          <w:color w:val="auto"/>
          <w:szCs w:val="44"/>
          <w:highlight w:val="none"/>
        </w:rPr>
        <w:fldChar w:fldCharType="separate"/>
      </w:r>
      <w:r>
        <w:rPr>
          <w:rFonts w:hint="eastAsia" w:ascii="黑体" w:hAnsi="黑体" w:eastAsia="黑体"/>
          <w:bCs/>
          <w:color w:val="auto"/>
          <w:kern w:val="0"/>
          <w:szCs w:val="32"/>
          <w:highlight w:val="none"/>
        </w:rPr>
        <w:t>9.回避与串通投标</w:t>
      </w:r>
      <w:r>
        <w:rPr>
          <w:color w:val="auto"/>
          <w:highlight w:val="none"/>
        </w:rPr>
        <w:tab/>
      </w:r>
      <w:r>
        <w:rPr>
          <w:color w:val="auto"/>
          <w:highlight w:val="none"/>
        </w:rPr>
        <w:fldChar w:fldCharType="begin"/>
      </w:r>
      <w:r>
        <w:rPr>
          <w:color w:val="auto"/>
          <w:highlight w:val="none"/>
        </w:rPr>
        <w:instrText xml:space="preserve"> PAGEREF _Toc10088 \h </w:instrText>
      </w:r>
      <w:r>
        <w:rPr>
          <w:color w:val="auto"/>
          <w:highlight w:val="none"/>
        </w:rPr>
        <w:fldChar w:fldCharType="separate"/>
      </w:r>
      <w:r>
        <w:rPr>
          <w:color w:val="auto"/>
          <w:highlight w:val="none"/>
        </w:rPr>
        <w:t>33</w:t>
      </w:r>
      <w:r>
        <w:rPr>
          <w:color w:val="auto"/>
          <w:highlight w:val="none"/>
        </w:rPr>
        <w:fldChar w:fldCharType="end"/>
      </w:r>
      <w:r>
        <w:rPr>
          <w:rFonts w:hint="eastAsia" w:ascii="宋体" w:hAnsi="宋体"/>
          <w:color w:val="auto"/>
          <w:szCs w:val="44"/>
          <w:highlight w:val="none"/>
        </w:rPr>
        <w:fldChar w:fldCharType="end"/>
      </w:r>
    </w:p>
    <w:p w14:paraId="1F09868D">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_Toc1625 </w:instrText>
      </w:r>
      <w:r>
        <w:rPr>
          <w:rFonts w:hint="eastAsia" w:ascii="宋体" w:hAnsi="宋体"/>
          <w:color w:val="auto"/>
          <w:szCs w:val="44"/>
          <w:highlight w:val="none"/>
        </w:rPr>
        <w:fldChar w:fldCharType="separate"/>
      </w:r>
      <w:r>
        <w:rPr>
          <w:rFonts w:hint="eastAsia" w:ascii="Times New Roman" w:hAnsi="Times New Roman" w:eastAsia="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_Toc1625 \h </w:instrText>
      </w:r>
      <w:r>
        <w:rPr>
          <w:color w:val="auto"/>
          <w:highlight w:val="none"/>
        </w:rPr>
        <w:fldChar w:fldCharType="separate"/>
      </w:r>
      <w:r>
        <w:rPr>
          <w:color w:val="auto"/>
          <w:highlight w:val="none"/>
        </w:rPr>
        <w:t>33</w:t>
      </w:r>
      <w:r>
        <w:rPr>
          <w:color w:val="auto"/>
          <w:highlight w:val="none"/>
        </w:rPr>
        <w:fldChar w:fldCharType="end"/>
      </w:r>
      <w:r>
        <w:rPr>
          <w:rFonts w:hint="eastAsia" w:ascii="宋体" w:hAnsi="宋体"/>
          <w:color w:val="auto"/>
          <w:szCs w:val="44"/>
          <w:highlight w:val="none"/>
        </w:rPr>
        <w:fldChar w:fldCharType="end"/>
      </w:r>
    </w:p>
    <w:p w14:paraId="728B4F5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_Toc32027 </w:instrText>
      </w:r>
      <w:r>
        <w:rPr>
          <w:rFonts w:hint="eastAsia" w:ascii="宋体" w:hAnsi="宋体"/>
          <w:color w:val="auto"/>
          <w:szCs w:val="44"/>
          <w:highlight w:val="none"/>
        </w:rPr>
        <w:fldChar w:fldCharType="separate"/>
      </w:r>
      <w:r>
        <w:rPr>
          <w:rFonts w:hint="eastAsia" w:ascii="黑体" w:hAnsi="黑体" w:eastAsia="黑体"/>
          <w:color w:val="auto"/>
          <w:highlight w:val="none"/>
        </w:rPr>
        <w:t>10.招标文件的组成</w:t>
      </w:r>
      <w:r>
        <w:rPr>
          <w:color w:val="auto"/>
          <w:highlight w:val="none"/>
        </w:rPr>
        <w:tab/>
      </w:r>
      <w:r>
        <w:rPr>
          <w:color w:val="auto"/>
          <w:highlight w:val="none"/>
        </w:rPr>
        <w:fldChar w:fldCharType="begin"/>
      </w:r>
      <w:r>
        <w:rPr>
          <w:color w:val="auto"/>
          <w:highlight w:val="none"/>
        </w:rPr>
        <w:instrText xml:space="preserve"> PAGEREF _Toc32027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szCs w:val="44"/>
          <w:highlight w:val="none"/>
        </w:rPr>
        <w:fldChar w:fldCharType="end"/>
      </w:r>
    </w:p>
    <w:p w14:paraId="640D580B">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_Toc27904 </w:instrText>
      </w:r>
      <w:r>
        <w:rPr>
          <w:rFonts w:hint="eastAsia" w:ascii="宋体" w:hAnsi="宋体"/>
          <w:color w:val="auto"/>
          <w:szCs w:val="44"/>
          <w:highlight w:val="none"/>
        </w:rPr>
        <w:fldChar w:fldCharType="separate"/>
      </w:r>
      <w:r>
        <w:rPr>
          <w:rFonts w:hint="eastAsia" w:ascii="黑体" w:hAnsi="黑体" w:eastAsia="黑体"/>
          <w:color w:val="auto"/>
          <w:highlight w:val="none"/>
        </w:rPr>
        <w:t>11.招标文件的澄清、修改 、现场考察和答疑会</w:t>
      </w:r>
      <w:r>
        <w:rPr>
          <w:color w:val="auto"/>
          <w:highlight w:val="none"/>
        </w:rPr>
        <w:tab/>
      </w:r>
      <w:r>
        <w:rPr>
          <w:color w:val="auto"/>
          <w:highlight w:val="none"/>
        </w:rPr>
        <w:fldChar w:fldCharType="begin"/>
      </w:r>
      <w:r>
        <w:rPr>
          <w:color w:val="auto"/>
          <w:highlight w:val="none"/>
        </w:rPr>
        <w:instrText xml:space="preserve"> PAGEREF _Toc27904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szCs w:val="44"/>
          <w:highlight w:val="none"/>
        </w:rPr>
        <w:fldChar w:fldCharType="end"/>
      </w:r>
    </w:p>
    <w:p w14:paraId="19907BF1">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_Toc13313 </w:instrText>
      </w:r>
      <w:r>
        <w:rPr>
          <w:rFonts w:hint="eastAsia" w:ascii="宋体" w:hAnsi="宋体"/>
          <w:color w:val="auto"/>
          <w:szCs w:val="44"/>
          <w:highlight w:val="none"/>
        </w:rPr>
        <w:fldChar w:fldCharType="separate"/>
      </w:r>
      <w:r>
        <w:rPr>
          <w:rFonts w:hint="eastAsia" w:ascii="Times New Roman" w:hAnsi="Times New Roman" w:eastAsia="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_Toc13313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szCs w:val="44"/>
          <w:highlight w:val="none"/>
        </w:rPr>
        <w:fldChar w:fldCharType="end"/>
      </w:r>
    </w:p>
    <w:p w14:paraId="1938918A">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_Toc8546 </w:instrText>
      </w:r>
      <w:r>
        <w:rPr>
          <w:rFonts w:hint="eastAsia" w:ascii="宋体" w:hAnsi="宋体"/>
          <w:color w:val="auto"/>
          <w:szCs w:val="44"/>
          <w:highlight w:val="none"/>
        </w:rPr>
        <w:fldChar w:fldCharType="separate"/>
      </w:r>
      <w:r>
        <w:rPr>
          <w:rFonts w:hint="eastAsia" w:ascii="黑体" w:hAnsi="黑体" w:eastAsia="黑体"/>
          <w:color w:val="auto"/>
          <w:highlight w:val="none"/>
        </w:rPr>
        <w:t>12.投标文件的编制原则</w:t>
      </w:r>
      <w:r>
        <w:rPr>
          <w:color w:val="auto"/>
          <w:highlight w:val="none"/>
        </w:rPr>
        <w:tab/>
      </w:r>
      <w:r>
        <w:rPr>
          <w:color w:val="auto"/>
          <w:highlight w:val="none"/>
        </w:rPr>
        <w:fldChar w:fldCharType="begin"/>
      </w:r>
      <w:r>
        <w:rPr>
          <w:color w:val="auto"/>
          <w:highlight w:val="none"/>
        </w:rPr>
        <w:instrText xml:space="preserve"> PAGEREF _Toc8546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szCs w:val="44"/>
          <w:highlight w:val="none"/>
        </w:rPr>
        <w:fldChar w:fldCharType="end"/>
      </w:r>
    </w:p>
    <w:p w14:paraId="6A1964DD">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_Toc16067 </w:instrText>
      </w:r>
      <w:r>
        <w:rPr>
          <w:rFonts w:hint="eastAsia" w:ascii="宋体" w:hAnsi="宋体"/>
          <w:color w:val="auto"/>
          <w:szCs w:val="44"/>
          <w:highlight w:val="none"/>
        </w:rPr>
        <w:fldChar w:fldCharType="separate"/>
      </w:r>
      <w:r>
        <w:rPr>
          <w:rFonts w:hint="eastAsia" w:ascii="黑体" w:hAnsi="黑体" w:eastAsia="黑体"/>
          <w:color w:val="auto"/>
          <w:highlight w:val="none"/>
        </w:rPr>
        <w:t>13.投标文件的组成</w:t>
      </w:r>
      <w:r>
        <w:rPr>
          <w:color w:val="auto"/>
          <w:highlight w:val="none"/>
        </w:rPr>
        <w:tab/>
      </w:r>
      <w:r>
        <w:rPr>
          <w:color w:val="auto"/>
          <w:highlight w:val="none"/>
        </w:rPr>
        <w:fldChar w:fldCharType="begin"/>
      </w:r>
      <w:r>
        <w:rPr>
          <w:color w:val="auto"/>
          <w:highlight w:val="none"/>
        </w:rPr>
        <w:instrText xml:space="preserve"> PAGEREF _Toc16067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szCs w:val="44"/>
          <w:highlight w:val="none"/>
        </w:rPr>
        <w:fldChar w:fldCharType="end"/>
      </w:r>
    </w:p>
    <w:p w14:paraId="2031BF18">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_Toc28673 </w:instrText>
      </w:r>
      <w:r>
        <w:rPr>
          <w:rFonts w:hint="eastAsia" w:ascii="宋体" w:hAnsi="宋体"/>
          <w:color w:val="auto"/>
          <w:szCs w:val="44"/>
          <w:highlight w:val="none"/>
        </w:rPr>
        <w:fldChar w:fldCharType="separate"/>
      </w:r>
      <w:r>
        <w:rPr>
          <w:rFonts w:hint="eastAsia" w:ascii="黑体" w:hAnsi="黑体" w:eastAsia="黑体"/>
          <w:color w:val="auto"/>
          <w:highlight w:val="none"/>
        </w:rPr>
        <w:t>14.投标文件的语言及计量</w:t>
      </w:r>
      <w:r>
        <w:rPr>
          <w:color w:val="auto"/>
          <w:highlight w:val="none"/>
        </w:rPr>
        <w:tab/>
      </w:r>
      <w:r>
        <w:rPr>
          <w:color w:val="auto"/>
          <w:highlight w:val="none"/>
        </w:rPr>
        <w:fldChar w:fldCharType="begin"/>
      </w:r>
      <w:r>
        <w:rPr>
          <w:color w:val="auto"/>
          <w:highlight w:val="none"/>
        </w:rPr>
        <w:instrText xml:space="preserve"> PAGEREF _Toc28673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olor w:val="auto"/>
          <w:szCs w:val="44"/>
          <w:highlight w:val="none"/>
        </w:rPr>
        <w:fldChar w:fldCharType="end"/>
      </w:r>
    </w:p>
    <w:p w14:paraId="6DA19848">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_Toc21083 </w:instrText>
      </w:r>
      <w:r>
        <w:rPr>
          <w:rFonts w:hint="eastAsia" w:ascii="宋体" w:hAnsi="宋体"/>
          <w:color w:val="auto"/>
          <w:szCs w:val="44"/>
          <w:highlight w:val="none"/>
        </w:rPr>
        <w:fldChar w:fldCharType="separate"/>
      </w:r>
      <w:r>
        <w:rPr>
          <w:rFonts w:hint="eastAsia" w:ascii="黑体" w:hAnsi="黑体" w:eastAsia="黑体"/>
          <w:color w:val="auto"/>
          <w:highlight w:val="none"/>
        </w:rPr>
        <w:t>15.投标的风险</w:t>
      </w:r>
      <w:r>
        <w:rPr>
          <w:color w:val="auto"/>
          <w:highlight w:val="none"/>
        </w:rPr>
        <w:tab/>
      </w:r>
      <w:r>
        <w:rPr>
          <w:color w:val="auto"/>
          <w:highlight w:val="none"/>
        </w:rPr>
        <w:fldChar w:fldCharType="begin"/>
      </w:r>
      <w:r>
        <w:rPr>
          <w:color w:val="auto"/>
          <w:highlight w:val="none"/>
        </w:rPr>
        <w:instrText xml:space="preserve"> PAGEREF _Toc21083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olor w:val="auto"/>
          <w:szCs w:val="44"/>
          <w:highlight w:val="none"/>
        </w:rPr>
        <w:fldChar w:fldCharType="end"/>
      </w:r>
    </w:p>
    <w:p w14:paraId="1585FAE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_Toc21122 </w:instrText>
      </w:r>
      <w:r>
        <w:rPr>
          <w:rFonts w:hint="eastAsia" w:ascii="宋体" w:hAnsi="宋体"/>
          <w:color w:val="auto"/>
          <w:szCs w:val="44"/>
          <w:highlight w:val="none"/>
        </w:rPr>
        <w:fldChar w:fldCharType="separate"/>
      </w:r>
      <w:r>
        <w:rPr>
          <w:rFonts w:hint="eastAsia" w:ascii="黑体" w:hAnsi="黑体" w:eastAsia="黑体"/>
          <w:color w:val="auto"/>
          <w:highlight w:val="none"/>
        </w:rPr>
        <w:t>16.投标报价</w:t>
      </w:r>
      <w:r>
        <w:rPr>
          <w:color w:val="auto"/>
          <w:highlight w:val="none"/>
        </w:rPr>
        <w:tab/>
      </w:r>
      <w:r>
        <w:rPr>
          <w:color w:val="auto"/>
          <w:highlight w:val="none"/>
        </w:rPr>
        <w:fldChar w:fldCharType="begin"/>
      </w:r>
      <w:r>
        <w:rPr>
          <w:color w:val="auto"/>
          <w:highlight w:val="none"/>
        </w:rPr>
        <w:instrText xml:space="preserve"> PAGEREF _Toc21122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olor w:val="auto"/>
          <w:szCs w:val="44"/>
          <w:highlight w:val="none"/>
        </w:rPr>
        <w:fldChar w:fldCharType="end"/>
      </w:r>
    </w:p>
    <w:p w14:paraId="394FC73C">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_Toc29 </w:instrText>
      </w:r>
      <w:r>
        <w:rPr>
          <w:rFonts w:hint="eastAsia" w:ascii="宋体" w:hAnsi="宋体"/>
          <w:color w:val="auto"/>
          <w:szCs w:val="44"/>
          <w:highlight w:val="none"/>
        </w:rPr>
        <w:fldChar w:fldCharType="separate"/>
      </w:r>
      <w:r>
        <w:rPr>
          <w:rFonts w:hint="eastAsia" w:ascii="黑体" w:hAnsi="黑体" w:eastAsia="黑体"/>
          <w:color w:val="auto"/>
          <w:highlight w:val="none"/>
        </w:rPr>
        <w:t>17.投标有效期</w:t>
      </w:r>
      <w:r>
        <w:rPr>
          <w:color w:val="auto"/>
          <w:highlight w:val="none"/>
        </w:rPr>
        <w:tab/>
      </w:r>
      <w:r>
        <w:rPr>
          <w:color w:val="auto"/>
          <w:highlight w:val="none"/>
        </w:rPr>
        <w:fldChar w:fldCharType="begin"/>
      </w:r>
      <w:r>
        <w:rPr>
          <w:color w:val="auto"/>
          <w:highlight w:val="none"/>
        </w:rPr>
        <w:instrText xml:space="preserve"> PAGEREF _Toc29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olor w:val="auto"/>
          <w:szCs w:val="44"/>
          <w:highlight w:val="none"/>
        </w:rPr>
        <w:fldChar w:fldCharType="end"/>
      </w:r>
    </w:p>
    <w:p w14:paraId="41425122">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_Toc16905 </w:instrText>
      </w:r>
      <w:r>
        <w:rPr>
          <w:rFonts w:hint="eastAsia" w:ascii="宋体" w:hAnsi="宋体"/>
          <w:color w:val="auto"/>
          <w:szCs w:val="44"/>
          <w:highlight w:val="none"/>
        </w:rPr>
        <w:fldChar w:fldCharType="separate"/>
      </w:r>
      <w:r>
        <w:rPr>
          <w:rFonts w:hint="eastAsia" w:ascii="黑体" w:hAnsi="黑体" w:eastAsia="黑体"/>
          <w:color w:val="auto"/>
          <w:highlight w:val="none"/>
        </w:rPr>
        <w:t>18.投标保证金</w:t>
      </w:r>
      <w:r>
        <w:rPr>
          <w:color w:val="auto"/>
          <w:highlight w:val="none"/>
        </w:rPr>
        <w:tab/>
      </w:r>
      <w:r>
        <w:rPr>
          <w:color w:val="auto"/>
          <w:highlight w:val="none"/>
        </w:rPr>
        <w:fldChar w:fldCharType="begin"/>
      </w:r>
      <w:r>
        <w:rPr>
          <w:color w:val="auto"/>
          <w:highlight w:val="none"/>
        </w:rPr>
        <w:instrText xml:space="preserve"> PAGEREF _Toc16905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olor w:val="auto"/>
          <w:szCs w:val="44"/>
          <w:highlight w:val="none"/>
        </w:rPr>
        <w:fldChar w:fldCharType="end"/>
      </w:r>
    </w:p>
    <w:p w14:paraId="01DE5AA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_Toc23866 </w:instrText>
      </w:r>
      <w:r>
        <w:rPr>
          <w:rFonts w:hint="eastAsia" w:ascii="宋体" w:hAnsi="宋体"/>
          <w:color w:val="auto"/>
          <w:szCs w:val="44"/>
          <w:highlight w:val="none"/>
        </w:rPr>
        <w:fldChar w:fldCharType="separate"/>
      </w:r>
      <w:r>
        <w:rPr>
          <w:rFonts w:hint="eastAsia" w:ascii="黑体" w:hAnsi="黑体" w:eastAsia="黑体"/>
          <w:color w:val="auto"/>
          <w:highlight w:val="none"/>
        </w:rPr>
        <w:t>19.投标文件的编制</w:t>
      </w:r>
      <w:r>
        <w:rPr>
          <w:color w:val="auto"/>
          <w:highlight w:val="none"/>
        </w:rPr>
        <w:tab/>
      </w:r>
      <w:r>
        <w:rPr>
          <w:color w:val="auto"/>
          <w:highlight w:val="none"/>
        </w:rPr>
        <w:fldChar w:fldCharType="begin"/>
      </w:r>
      <w:r>
        <w:rPr>
          <w:color w:val="auto"/>
          <w:highlight w:val="none"/>
        </w:rPr>
        <w:instrText xml:space="preserve"> PAGEREF _Toc23866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olor w:val="auto"/>
          <w:szCs w:val="44"/>
          <w:highlight w:val="none"/>
        </w:rPr>
        <w:fldChar w:fldCharType="end"/>
      </w:r>
    </w:p>
    <w:p w14:paraId="77B2854B">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_Toc25913 </w:instrText>
      </w:r>
      <w:r>
        <w:rPr>
          <w:rFonts w:hint="eastAsia" w:ascii="宋体" w:hAnsi="宋体"/>
          <w:color w:val="auto"/>
          <w:szCs w:val="44"/>
          <w:highlight w:val="none"/>
        </w:rPr>
        <w:fldChar w:fldCharType="separate"/>
      </w:r>
      <w:r>
        <w:rPr>
          <w:rFonts w:hint="eastAsia" w:ascii="黑体" w:hAnsi="黑体" w:eastAsia="黑体"/>
          <w:color w:val="auto"/>
          <w:highlight w:val="none"/>
        </w:rPr>
        <w:t>20.电子备份投标文件</w:t>
      </w:r>
      <w:r>
        <w:rPr>
          <w:color w:val="auto"/>
          <w:highlight w:val="none"/>
        </w:rPr>
        <w:tab/>
      </w:r>
      <w:r>
        <w:rPr>
          <w:color w:val="auto"/>
          <w:highlight w:val="none"/>
        </w:rPr>
        <w:fldChar w:fldCharType="begin"/>
      </w:r>
      <w:r>
        <w:rPr>
          <w:color w:val="auto"/>
          <w:highlight w:val="none"/>
        </w:rPr>
        <w:instrText xml:space="preserve"> PAGEREF _Toc25913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color w:val="auto"/>
          <w:szCs w:val="44"/>
          <w:highlight w:val="none"/>
        </w:rPr>
        <w:fldChar w:fldCharType="end"/>
      </w:r>
    </w:p>
    <w:p w14:paraId="50A6BB89">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_Toc2869 </w:instrText>
      </w:r>
      <w:r>
        <w:rPr>
          <w:rFonts w:hint="eastAsia" w:ascii="宋体" w:hAnsi="宋体"/>
          <w:color w:val="auto"/>
          <w:szCs w:val="44"/>
          <w:highlight w:val="none"/>
        </w:rPr>
        <w:fldChar w:fldCharType="separate"/>
      </w:r>
      <w:r>
        <w:rPr>
          <w:rFonts w:hint="eastAsia" w:ascii="黑体" w:hAnsi="黑体" w:eastAsia="黑体"/>
          <w:color w:val="auto"/>
          <w:highlight w:val="none"/>
        </w:rPr>
        <w:t>21.投标文件的提交</w:t>
      </w:r>
      <w:r>
        <w:rPr>
          <w:color w:val="auto"/>
          <w:highlight w:val="none"/>
        </w:rPr>
        <w:tab/>
      </w:r>
      <w:r>
        <w:rPr>
          <w:color w:val="auto"/>
          <w:highlight w:val="none"/>
        </w:rPr>
        <w:fldChar w:fldCharType="begin"/>
      </w:r>
      <w:r>
        <w:rPr>
          <w:color w:val="auto"/>
          <w:highlight w:val="none"/>
        </w:rPr>
        <w:instrText xml:space="preserve"> PAGEREF _Toc2869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color w:val="auto"/>
          <w:szCs w:val="44"/>
          <w:highlight w:val="none"/>
        </w:rPr>
        <w:fldChar w:fldCharType="end"/>
      </w:r>
    </w:p>
    <w:p w14:paraId="3B6F4CBB">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_Toc16202 </w:instrText>
      </w:r>
      <w:r>
        <w:rPr>
          <w:rFonts w:hint="eastAsia" w:ascii="宋体" w:hAnsi="宋体"/>
          <w:color w:val="auto"/>
          <w:szCs w:val="44"/>
          <w:highlight w:val="none"/>
        </w:rPr>
        <w:fldChar w:fldCharType="separate"/>
      </w:r>
      <w:r>
        <w:rPr>
          <w:rFonts w:hint="eastAsia" w:ascii="黑体" w:hAnsi="黑体" w:eastAsia="黑体"/>
          <w:color w:val="auto"/>
          <w:highlight w:val="none"/>
        </w:rPr>
        <w:t>22. 投标文件的补充、修改、撤回与退回</w:t>
      </w:r>
      <w:r>
        <w:rPr>
          <w:color w:val="auto"/>
          <w:highlight w:val="none"/>
        </w:rPr>
        <w:tab/>
      </w:r>
      <w:r>
        <w:rPr>
          <w:color w:val="auto"/>
          <w:highlight w:val="none"/>
        </w:rPr>
        <w:fldChar w:fldCharType="begin"/>
      </w:r>
      <w:r>
        <w:rPr>
          <w:color w:val="auto"/>
          <w:highlight w:val="none"/>
        </w:rPr>
        <w:instrText xml:space="preserve"> PAGEREF _Toc16202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color w:val="auto"/>
          <w:szCs w:val="44"/>
          <w:highlight w:val="none"/>
        </w:rPr>
        <w:fldChar w:fldCharType="end"/>
      </w:r>
    </w:p>
    <w:p w14:paraId="6861DDCC">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_Toc20765 </w:instrText>
      </w:r>
      <w:r>
        <w:rPr>
          <w:rFonts w:hint="eastAsia" w:ascii="宋体" w:hAnsi="宋体"/>
          <w:color w:val="auto"/>
          <w:szCs w:val="44"/>
          <w:highlight w:val="none"/>
        </w:rPr>
        <w:fldChar w:fldCharType="separate"/>
      </w:r>
      <w:r>
        <w:rPr>
          <w:rFonts w:hint="eastAsia" w:ascii="Times New Roman" w:hAnsi="Times New Roman" w:eastAsia="宋体"/>
          <w:color w:val="auto"/>
          <w:highlight w:val="none"/>
        </w:rPr>
        <w:t>四、开    标</w:t>
      </w:r>
      <w:r>
        <w:rPr>
          <w:color w:val="auto"/>
          <w:highlight w:val="none"/>
        </w:rPr>
        <w:tab/>
      </w:r>
      <w:r>
        <w:rPr>
          <w:color w:val="auto"/>
          <w:highlight w:val="none"/>
        </w:rPr>
        <w:fldChar w:fldCharType="begin"/>
      </w:r>
      <w:r>
        <w:rPr>
          <w:color w:val="auto"/>
          <w:highlight w:val="none"/>
        </w:rPr>
        <w:instrText xml:space="preserve"> PAGEREF _Toc20765 \h </w:instrText>
      </w:r>
      <w:r>
        <w:rPr>
          <w:color w:val="auto"/>
          <w:highlight w:val="none"/>
        </w:rPr>
        <w:fldChar w:fldCharType="separate"/>
      </w:r>
      <w:r>
        <w:rPr>
          <w:color w:val="auto"/>
          <w:highlight w:val="none"/>
        </w:rPr>
        <w:t>37</w:t>
      </w:r>
      <w:r>
        <w:rPr>
          <w:color w:val="auto"/>
          <w:highlight w:val="none"/>
        </w:rPr>
        <w:fldChar w:fldCharType="end"/>
      </w:r>
      <w:r>
        <w:rPr>
          <w:rFonts w:hint="eastAsia" w:ascii="宋体" w:hAnsi="宋体"/>
          <w:color w:val="auto"/>
          <w:szCs w:val="44"/>
          <w:highlight w:val="none"/>
        </w:rPr>
        <w:fldChar w:fldCharType="end"/>
      </w:r>
    </w:p>
    <w:p w14:paraId="5D426179">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_Toc28897 </w:instrText>
      </w:r>
      <w:r>
        <w:rPr>
          <w:rFonts w:hint="eastAsia" w:ascii="宋体" w:hAnsi="宋体"/>
          <w:color w:val="auto"/>
          <w:szCs w:val="44"/>
          <w:highlight w:val="none"/>
        </w:rPr>
        <w:fldChar w:fldCharType="separate"/>
      </w:r>
      <w:r>
        <w:rPr>
          <w:rFonts w:hint="eastAsia" w:ascii="黑体" w:hAnsi="黑体" w:eastAsia="黑体"/>
          <w:color w:val="auto"/>
          <w:highlight w:val="none"/>
        </w:rPr>
        <w:t>23.开标时间和地点</w:t>
      </w:r>
      <w:r>
        <w:rPr>
          <w:color w:val="auto"/>
          <w:highlight w:val="none"/>
        </w:rPr>
        <w:tab/>
      </w:r>
      <w:r>
        <w:rPr>
          <w:color w:val="auto"/>
          <w:highlight w:val="none"/>
        </w:rPr>
        <w:fldChar w:fldCharType="begin"/>
      </w:r>
      <w:r>
        <w:rPr>
          <w:color w:val="auto"/>
          <w:highlight w:val="none"/>
        </w:rPr>
        <w:instrText xml:space="preserve"> PAGEREF _Toc28897 \h </w:instrText>
      </w:r>
      <w:r>
        <w:rPr>
          <w:color w:val="auto"/>
          <w:highlight w:val="none"/>
        </w:rPr>
        <w:fldChar w:fldCharType="separate"/>
      </w:r>
      <w:r>
        <w:rPr>
          <w:color w:val="auto"/>
          <w:highlight w:val="none"/>
        </w:rPr>
        <w:t>37</w:t>
      </w:r>
      <w:r>
        <w:rPr>
          <w:color w:val="auto"/>
          <w:highlight w:val="none"/>
        </w:rPr>
        <w:fldChar w:fldCharType="end"/>
      </w:r>
      <w:r>
        <w:rPr>
          <w:rFonts w:hint="eastAsia" w:ascii="宋体" w:hAnsi="宋体"/>
          <w:color w:val="auto"/>
          <w:szCs w:val="44"/>
          <w:highlight w:val="none"/>
        </w:rPr>
        <w:fldChar w:fldCharType="end"/>
      </w:r>
    </w:p>
    <w:p w14:paraId="2FE028BD">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_Toc13199 </w:instrText>
      </w:r>
      <w:r>
        <w:rPr>
          <w:rFonts w:hint="eastAsia" w:ascii="宋体" w:hAnsi="宋体"/>
          <w:color w:val="auto"/>
          <w:szCs w:val="44"/>
          <w:highlight w:val="none"/>
        </w:rPr>
        <w:fldChar w:fldCharType="separate"/>
      </w:r>
      <w:r>
        <w:rPr>
          <w:rFonts w:hint="eastAsia" w:ascii="黑体" w:hAnsi="黑体" w:eastAsia="黑体"/>
          <w:color w:val="auto"/>
          <w:highlight w:val="none"/>
        </w:rPr>
        <w:t>24.开标程序</w:t>
      </w:r>
      <w:r>
        <w:rPr>
          <w:color w:val="auto"/>
          <w:highlight w:val="none"/>
        </w:rPr>
        <w:tab/>
      </w:r>
      <w:r>
        <w:rPr>
          <w:color w:val="auto"/>
          <w:highlight w:val="none"/>
        </w:rPr>
        <w:fldChar w:fldCharType="begin"/>
      </w:r>
      <w:r>
        <w:rPr>
          <w:color w:val="auto"/>
          <w:highlight w:val="none"/>
        </w:rPr>
        <w:instrText xml:space="preserve"> PAGEREF _Toc13199 \h </w:instrText>
      </w:r>
      <w:r>
        <w:rPr>
          <w:color w:val="auto"/>
          <w:highlight w:val="none"/>
        </w:rPr>
        <w:fldChar w:fldCharType="separate"/>
      </w:r>
      <w:r>
        <w:rPr>
          <w:color w:val="auto"/>
          <w:highlight w:val="none"/>
        </w:rPr>
        <w:t>37</w:t>
      </w:r>
      <w:r>
        <w:rPr>
          <w:color w:val="auto"/>
          <w:highlight w:val="none"/>
        </w:rPr>
        <w:fldChar w:fldCharType="end"/>
      </w:r>
      <w:r>
        <w:rPr>
          <w:rFonts w:hint="eastAsia" w:ascii="宋体" w:hAnsi="宋体"/>
          <w:color w:val="auto"/>
          <w:szCs w:val="44"/>
          <w:highlight w:val="none"/>
        </w:rPr>
        <w:fldChar w:fldCharType="end"/>
      </w:r>
    </w:p>
    <w:p w14:paraId="3AF012B9">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_Toc24710 </w:instrText>
      </w:r>
      <w:r>
        <w:rPr>
          <w:rFonts w:hint="eastAsia" w:ascii="宋体" w:hAnsi="宋体"/>
          <w:color w:val="auto"/>
          <w:szCs w:val="44"/>
          <w:highlight w:val="none"/>
        </w:rPr>
        <w:fldChar w:fldCharType="separate"/>
      </w:r>
      <w:r>
        <w:rPr>
          <w:rFonts w:hint="eastAsia" w:ascii="Times New Roman" w:hAnsi="Times New Roman" w:eastAsia="宋体"/>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_Toc24710 \h </w:instrText>
      </w:r>
      <w:r>
        <w:rPr>
          <w:color w:val="auto"/>
          <w:highlight w:val="none"/>
        </w:rPr>
        <w:fldChar w:fldCharType="separate"/>
      </w:r>
      <w:r>
        <w:rPr>
          <w:color w:val="auto"/>
          <w:highlight w:val="none"/>
        </w:rPr>
        <w:t>37</w:t>
      </w:r>
      <w:r>
        <w:rPr>
          <w:color w:val="auto"/>
          <w:highlight w:val="none"/>
        </w:rPr>
        <w:fldChar w:fldCharType="end"/>
      </w:r>
      <w:r>
        <w:rPr>
          <w:rFonts w:hint="eastAsia" w:ascii="宋体" w:hAnsi="宋体"/>
          <w:color w:val="auto"/>
          <w:szCs w:val="44"/>
          <w:highlight w:val="none"/>
        </w:rPr>
        <w:fldChar w:fldCharType="end"/>
      </w:r>
    </w:p>
    <w:p w14:paraId="492554C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_Toc10699 </w:instrText>
      </w:r>
      <w:r>
        <w:rPr>
          <w:rFonts w:hint="eastAsia" w:ascii="宋体" w:hAnsi="宋体"/>
          <w:color w:val="auto"/>
          <w:szCs w:val="44"/>
          <w:highlight w:val="none"/>
        </w:rPr>
        <w:fldChar w:fldCharType="separate"/>
      </w:r>
      <w:r>
        <w:rPr>
          <w:rFonts w:hint="eastAsia" w:ascii="黑体" w:hAnsi="黑体" w:eastAsia="黑体"/>
          <w:color w:val="auto"/>
          <w:highlight w:val="none"/>
        </w:rPr>
        <w:t>25.资格审查</w:t>
      </w:r>
      <w:r>
        <w:rPr>
          <w:color w:val="auto"/>
          <w:highlight w:val="none"/>
        </w:rPr>
        <w:tab/>
      </w:r>
      <w:r>
        <w:rPr>
          <w:color w:val="auto"/>
          <w:highlight w:val="none"/>
        </w:rPr>
        <w:fldChar w:fldCharType="begin"/>
      </w:r>
      <w:r>
        <w:rPr>
          <w:color w:val="auto"/>
          <w:highlight w:val="none"/>
        </w:rPr>
        <w:instrText xml:space="preserve"> PAGEREF _Toc10699 \h </w:instrText>
      </w:r>
      <w:r>
        <w:rPr>
          <w:color w:val="auto"/>
          <w:highlight w:val="none"/>
        </w:rPr>
        <w:fldChar w:fldCharType="separate"/>
      </w:r>
      <w:r>
        <w:rPr>
          <w:color w:val="auto"/>
          <w:highlight w:val="none"/>
        </w:rPr>
        <w:t>37</w:t>
      </w:r>
      <w:r>
        <w:rPr>
          <w:color w:val="auto"/>
          <w:highlight w:val="none"/>
        </w:rPr>
        <w:fldChar w:fldCharType="end"/>
      </w:r>
      <w:r>
        <w:rPr>
          <w:rFonts w:hint="eastAsia" w:ascii="宋体" w:hAnsi="宋体"/>
          <w:color w:val="auto"/>
          <w:szCs w:val="44"/>
          <w:highlight w:val="none"/>
        </w:rPr>
        <w:fldChar w:fldCharType="end"/>
      </w:r>
    </w:p>
    <w:p w14:paraId="70D2BA10">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_Toc4078 </w:instrText>
      </w:r>
      <w:r>
        <w:rPr>
          <w:rFonts w:hint="eastAsia" w:ascii="宋体" w:hAnsi="宋体"/>
          <w:color w:val="auto"/>
          <w:szCs w:val="44"/>
          <w:highlight w:val="none"/>
        </w:rPr>
        <w:fldChar w:fldCharType="separate"/>
      </w:r>
      <w:r>
        <w:rPr>
          <w:rFonts w:hint="eastAsia" w:ascii="Times New Roman" w:hAnsi="Times New Roman" w:eastAsia="宋体"/>
          <w:color w:val="auto"/>
          <w:highlight w:val="none"/>
        </w:rPr>
        <w:t>六、评   标</w:t>
      </w:r>
      <w:r>
        <w:rPr>
          <w:color w:val="auto"/>
          <w:highlight w:val="none"/>
        </w:rPr>
        <w:tab/>
      </w:r>
      <w:r>
        <w:rPr>
          <w:color w:val="auto"/>
          <w:highlight w:val="none"/>
        </w:rPr>
        <w:fldChar w:fldCharType="begin"/>
      </w:r>
      <w:r>
        <w:rPr>
          <w:color w:val="auto"/>
          <w:highlight w:val="none"/>
        </w:rPr>
        <w:instrText xml:space="preserve"> PAGEREF _Toc4078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olor w:val="auto"/>
          <w:szCs w:val="44"/>
          <w:highlight w:val="none"/>
        </w:rPr>
        <w:fldChar w:fldCharType="end"/>
      </w:r>
    </w:p>
    <w:p w14:paraId="5680A07F">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_Toc16478 </w:instrText>
      </w:r>
      <w:r>
        <w:rPr>
          <w:rFonts w:hint="eastAsia" w:ascii="宋体" w:hAnsi="宋体"/>
          <w:color w:val="auto"/>
          <w:szCs w:val="44"/>
          <w:highlight w:val="none"/>
        </w:rPr>
        <w:fldChar w:fldCharType="separate"/>
      </w:r>
      <w:r>
        <w:rPr>
          <w:rFonts w:hint="eastAsia" w:ascii="黑体" w:hAnsi="黑体" w:eastAsia="黑体"/>
          <w:color w:val="auto"/>
          <w:highlight w:val="none"/>
        </w:rPr>
        <w:t>26.组建评标委员会</w:t>
      </w:r>
      <w:r>
        <w:rPr>
          <w:color w:val="auto"/>
          <w:highlight w:val="none"/>
        </w:rPr>
        <w:tab/>
      </w:r>
      <w:r>
        <w:rPr>
          <w:color w:val="auto"/>
          <w:highlight w:val="none"/>
        </w:rPr>
        <w:fldChar w:fldCharType="begin"/>
      </w:r>
      <w:r>
        <w:rPr>
          <w:color w:val="auto"/>
          <w:highlight w:val="none"/>
        </w:rPr>
        <w:instrText xml:space="preserve"> PAGEREF _Toc16478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olor w:val="auto"/>
          <w:szCs w:val="44"/>
          <w:highlight w:val="none"/>
        </w:rPr>
        <w:fldChar w:fldCharType="end"/>
      </w:r>
    </w:p>
    <w:p w14:paraId="4B0AF116">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_Toc19573 </w:instrText>
      </w:r>
      <w:r>
        <w:rPr>
          <w:rFonts w:hint="eastAsia" w:ascii="宋体" w:hAnsi="宋体"/>
          <w:color w:val="auto"/>
          <w:szCs w:val="44"/>
          <w:highlight w:val="none"/>
        </w:rPr>
        <w:fldChar w:fldCharType="separate"/>
      </w:r>
      <w:r>
        <w:rPr>
          <w:rFonts w:hint="eastAsia" w:ascii="黑体" w:hAnsi="黑体" w:eastAsia="黑体"/>
          <w:color w:val="auto"/>
          <w:highlight w:val="none"/>
        </w:rPr>
        <w:t>27.评标的依据</w:t>
      </w:r>
      <w:r>
        <w:rPr>
          <w:color w:val="auto"/>
          <w:highlight w:val="none"/>
        </w:rPr>
        <w:tab/>
      </w:r>
      <w:r>
        <w:rPr>
          <w:color w:val="auto"/>
          <w:highlight w:val="none"/>
        </w:rPr>
        <w:fldChar w:fldCharType="begin"/>
      </w:r>
      <w:r>
        <w:rPr>
          <w:color w:val="auto"/>
          <w:highlight w:val="none"/>
        </w:rPr>
        <w:instrText xml:space="preserve"> PAGEREF _Toc19573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olor w:val="auto"/>
          <w:szCs w:val="44"/>
          <w:highlight w:val="none"/>
        </w:rPr>
        <w:fldChar w:fldCharType="end"/>
      </w:r>
    </w:p>
    <w:p w14:paraId="00FCCC2F">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_Toc15919 </w:instrText>
      </w:r>
      <w:r>
        <w:rPr>
          <w:rFonts w:hint="eastAsia" w:ascii="宋体" w:hAnsi="宋体"/>
          <w:color w:val="auto"/>
          <w:szCs w:val="44"/>
          <w:highlight w:val="none"/>
        </w:rPr>
        <w:fldChar w:fldCharType="separate"/>
      </w:r>
      <w:r>
        <w:rPr>
          <w:rFonts w:hint="eastAsia" w:ascii="黑体" w:hAnsi="黑体" w:eastAsia="黑体"/>
          <w:color w:val="auto"/>
          <w:highlight w:val="none"/>
        </w:rPr>
        <w:t>28.评标原则</w:t>
      </w:r>
      <w:r>
        <w:rPr>
          <w:color w:val="auto"/>
          <w:highlight w:val="none"/>
        </w:rPr>
        <w:tab/>
      </w:r>
      <w:r>
        <w:rPr>
          <w:color w:val="auto"/>
          <w:highlight w:val="none"/>
        </w:rPr>
        <w:fldChar w:fldCharType="begin"/>
      </w:r>
      <w:r>
        <w:rPr>
          <w:color w:val="auto"/>
          <w:highlight w:val="none"/>
        </w:rPr>
        <w:instrText xml:space="preserve"> PAGEREF _Toc15919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olor w:val="auto"/>
          <w:szCs w:val="44"/>
          <w:highlight w:val="none"/>
        </w:rPr>
        <w:fldChar w:fldCharType="end"/>
      </w:r>
    </w:p>
    <w:p w14:paraId="7DF2A9ED">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_Toc7285 </w:instrText>
      </w:r>
      <w:r>
        <w:rPr>
          <w:rFonts w:hint="eastAsia" w:ascii="宋体" w:hAnsi="宋体"/>
          <w:color w:val="auto"/>
          <w:szCs w:val="44"/>
          <w:highlight w:val="none"/>
        </w:rPr>
        <w:fldChar w:fldCharType="separate"/>
      </w:r>
      <w:r>
        <w:rPr>
          <w:rFonts w:hint="eastAsia" w:ascii="黑体" w:hAnsi="黑体" w:eastAsia="黑体"/>
          <w:color w:val="auto"/>
          <w:highlight w:val="none"/>
        </w:rPr>
        <w:t>29.评标方法及中标候选人推荐</w:t>
      </w:r>
      <w:r>
        <w:rPr>
          <w:color w:val="auto"/>
          <w:highlight w:val="none"/>
        </w:rPr>
        <w:tab/>
      </w:r>
      <w:r>
        <w:rPr>
          <w:color w:val="auto"/>
          <w:highlight w:val="none"/>
        </w:rPr>
        <w:fldChar w:fldCharType="begin"/>
      </w:r>
      <w:r>
        <w:rPr>
          <w:color w:val="auto"/>
          <w:highlight w:val="none"/>
        </w:rPr>
        <w:instrText xml:space="preserve"> PAGEREF _Toc7285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olor w:val="auto"/>
          <w:szCs w:val="44"/>
          <w:highlight w:val="none"/>
        </w:rPr>
        <w:fldChar w:fldCharType="end"/>
      </w:r>
    </w:p>
    <w:p w14:paraId="307E34A3">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_Toc18166 </w:instrText>
      </w:r>
      <w:r>
        <w:rPr>
          <w:rFonts w:hint="eastAsia" w:ascii="宋体" w:hAnsi="宋体"/>
          <w:color w:val="auto"/>
          <w:szCs w:val="44"/>
          <w:highlight w:val="none"/>
        </w:rPr>
        <w:fldChar w:fldCharType="separate"/>
      </w:r>
      <w:r>
        <w:rPr>
          <w:rFonts w:hint="eastAsia" w:ascii="Times New Roman" w:hAnsi="Times New Roman" w:eastAsia="宋体"/>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_Toc18166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olor w:val="auto"/>
          <w:szCs w:val="44"/>
          <w:highlight w:val="none"/>
        </w:rPr>
        <w:fldChar w:fldCharType="end"/>
      </w:r>
    </w:p>
    <w:p w14:paraId="08185735">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_Toc6247 </w:instrText>
      </w:r>
      <w:r>
        <w:rPr>
          <w:rFonts w:hint="eastAsia" w:ascii="宋体" w:hAnsi="宋体"/>
          <w:color w:val="auto"/>
          <w:szCs w:val="44"/>
          <w:highlight w:val="none"/>
        </w:rPr>
        <w:fldChar w:fldCharType="separate"/>
      </w:r>
      <w:r>
        <w:rPr>
          <w:rFonts w:hint="eastAsia" w:ascii="黑体" w:hAnsi="黑体" w:eastAsia="黑体"/>
          <w:color w:val="auto"/>
          <w:highlight w:val="none"/>
        </w:rPr>
        <w:t>30. 确定中标人</w:t>
      </w:r>
      <w:r>
        <w:rPr>
          <w:color w:val="auto"/>
          <w:highlight w:val="none"/>
        </w:rPr>
        <w:tab/>
      </w:r>
      <w:r>
        <w:rPr>
          <w:color w:val="auto"/>
          <w:highlight w:val="none"/>
        </w:rPr>
        <w:fldChar w:fldCharType="begin"/>
      </w:r>
      <w:r>
        <w:rPr>
          <w:color w:val="auto"/>
          <w:highlight w:val="none"/>
        </w:rPr>
        <w:instrText xml:space="preserve"> PAGEREF _Toc6247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olor w:val="auto"/>
          <w:szCs w:val="44"/>
          <w:highlight w:val="none"/>
        </w:rPr>
        <w:fldChar w:fldCharType="end"/>
      </w:r>
    </w:p>
    <w:p w14:paraId="5E4EFB51">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_Toc3685 </w:instrText>
      </w:r>
      <w:r>
        <w:rPr>
          <w:rFonts w:hint="eastAsia" w:ascii="宋体" w:hAnsi="宋体"/>
          <w:color w:val="auto"/>
          <w:szCs w:val="44"/>
          <w:highlight w:val="none"/>
        </w:rPr>
        <w:fldChar w:fldCharType="separate"/>
      </w:r>
      <w:r>
        <w:rPr>
          <w:rFonts w:hint="eastAsia" w:ascii="黑体" w:hAnsi="黑体" w:eastAsia="黑体"/>
          <w:color w:val="auto"/>
          <w:highlight w:val="none"/>
        </w:rPr>
        <w:t>31. 结果公告</w:t>
      </w:r>
      <w:r>
        <w:rPr>
          <w:color w:val="auto"/>
          <w:highlight w:val="none"/>
        </w:rPr>
        <w:tab/>
      </w:r>
      <w:r>
        <w:rPr>
          <w:color w:val="auto"/>
          <w:highlight w:val="none"/>
        </w:rPr>
        <w:fldChar w:fldCharType="begin"/>
      </w:r>
      <w:r>
        <w:rPr>
          <w:color w:val="auto"/>
          <w:highlight w:val="none"/>
        </w:rPr>
        <w:instrText xml:space="preserve"> PAGEREF _Toc3685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olor w:val="auto"/>
          <w:szCs w:val="44"/>
          <w:highlight w:val="none"/>
        </w:rPr>
        <w:fldChar w:fldCharType="end"/>
      </w:r>
    </w:p>
    <w:p w14:paraId="7A36B2F6">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_Toc5611 </w:instrText>
      </w:r>
      <w:r>
        <w:rPr>
          <w:rFonts w:hint="eastAsia" w:ascii="宋体" w:hAnsi="宋体"/>
          <w:color w:val="auto"/>
          <w:szCs w:val="44"/>
          <w:highlight w:val="none"/>
        </w:rPr>
        <w:fldChar w:fldCharType="separate"/>
      </w:r>
      <w:r>
        <w:rPr>
          <w:rFonts w:hint="eastAsia" w:ascii="黑体" w:hAnsi="黑体" w:eastAsia="黑体"/>
          <w:color w:val="auto"/>
          <w:highlight w:val="none"/>
        </w:rPr>
        <w:t>32.发出中标通知书</w:t>
      </w:r>
      <w:r>
        <w:rPr>
          <w:color w:val="auto"/>
          <w:highlight w:val="none"/>
        </w:rPr>
        <w:tab/>
      </w:r>
      <w:r>
        <w:rPr>
          <w:color w:val="auto"/>
          <w:highlight w:val="none"/>
        </w:rPr>
        <w:fldChar w:fldCharType="begin"/>
      </w:r>
      <w:r>
        <w:rPr>
          <w:color w:val="auto"/>
          <w:highlight w:val="none"/>
        </w:rPr>
        <w:instrText xml:space="preserve"> PAGEREF _Toc5611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44"/>
          <w:highlight w:val="none"/>
        </w:rPr>
        <w:fldChar w:fldCharType="end"/>
      </w:r>
    </w:p>
    <w:p w14:paraId="19045B8E">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_Toc2436 </w:instrText>
      </w:r>
      <w:r>
        <w:rPr>
          <w:rFonts w:hint="eastAsia" w:ascii="宋体" w:hAnsi="宋体"/>
          <w:color w:val="auto"/>
          <w:szCs w:val="44"/>
          <w:highlight w:val="none"/>
        </w:rPr>
        <w:fldChar w:fldCharType="separate"/>
      </w:r>
      <w:r>
        <w:rPr>
          <w:rFonts w:hint="eastAsia" w:ascii="黑体" w:hAnsi="黑体" w:eastAsia="黑体"/>
          <w:color w:val="auto"/>
          <w:highlight w:val="none"/>
        </w:rPr>
        <w:t>33. 无义务解释未中标原因</w:t>
      </w:r>
      <w:r>
        <w:rPr>
          <w:color w:val="auto"/>
          <w:highlight w:val="none"/>
        </w:rPr>
        <w:tab/>
      </w:r>
      <w:r>
        <w:rPr>
          <w:color w:val="auto"/>
          <w:highlight w:val="none"/>
        </w:rPr>
        <w:fldChar w:fldCharType="begin"/>
      </w:r>
      <w:r>
        <w:rPr>
          <w:color w:val="auto"/>
          <w:highlight w:val="none"/>
        </w:rPr>
        <w:instrText xml:space="preserve"> PAGEREF _Toc2436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44"/>
          <w:highlight w:val="none"/>
        </w:rPr>
        <w:fldChar w:fldCharType="end"/>
      </w:r>
    </w:p>
    <w:p w14:paraId="33F22BEA">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_Toc31786 </w:instrText>
      </w:r>
      <w:r>
        <w:rPr>
          <w:rFonts w:hint="eastAsia" w:ascii="宋体" w:hAnsi="宋体"/>
          <w:color w:val="auto"/>
          <w:szCs w:val="44"/>
          <w:highlight w:val="none"/>
        </w:rPr>
        <w:fldChar w:fldCharType="separate"/>
      </w:r>
      <w:r>
        <w:rPr>
          <w:rFonts w:hint="eastAsia" w:ascii="黑体" w:hAnsi="黑体" w:eastAsia="黑体"/>
          <w:color w:val="auto"/>
          <w:highlight w:val="none"/>
        </w:rPr>
        <w:t>34.合同授予标准</w:t>
      </w:r>
      <w:r>
        <w:rPr>
          <w:color w:val="auto"/>
          <w:highlight w:val="none"/>
        </w:rPr>
        <w:tab/>
      </w:r>
      <w:r>
        <w:rPr>
          <w:color w:val="auto"/>
          <w:highlight w:val="none"/>
        </w:rPr>
        <w:fldChar w:fldCharType="begin"/>
      </w:r>
      <w:r>
        <w:rPr>
          <w:color w:val="auto"/>
          <w:highlight w:val="none"/>
        </w:rPr>
        <w:instrText xml:space="preserve"> PAGEREF _Toc31786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44"/>
          <w:highlight w:val="none"/>
        </w:rPr>
        <w:fldChar w:fldCharType="end"/>
      </w:r>
    </w:p>
    <w:p w14:paraId="45617CAA">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_Toc14357 </w:instrText>
      </w:r>
      <w:r>
        <w:rPr>
          <w:rFonts w:hint="eastAsia" w:ascii="宋体" w:hAnsi="宋体"/>
          <w:color w:val="auto"/>
          <w:szCs w:val="44"/>
          <w:highlight w:val="none"/>
        </w:rPr>
        <w:fldChar w:fldCharType="separate"/>
      </w:r>
      <w:r>
        <w:rPr>
          <w:rFonts w:hint="eastAsia" w:ascii="黑体" w:hAnsi="黑体" w:eastAsia="黑体"/>
          <w:color w:val="auto"/>
          <w:highlight w:val="none"/>
        </w:rPr>
        <w:t>35.履约保证金</w:t>
      </w:r>
      <w:r>
        <w:rPr>
          <w:color w:val="auto"/>
          <w:highlight w:val="none"/>
        </w:rPr>
        <w:tab/>
      </w:r>
      <w:r>
        <w:rPr>
          <w:color w:val="auto"/>
          <w:highlight w:val="none"/>
        </w:rPr>
        <w:fldChar w:fldCharType="begin"/>
      </w:r>
      <w:r>
        <w:rPr>
          <w:color w:val="auto"/>
          <w:highlight w:val="none"/>
        </w:rPr>
        <w:instrText xml:space="preserve"> PAGEREF _Toc14357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44"/>
          <w:highlight w:val="none"/>
        </w:rPr>
        <w:fldChar w:fldCharType="end"/>
      </w:r>
    </w:p>
    <w:p w14:paraId="3CEC6BC4">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_Toc5168 </w:instrText>
      </w:r>
      <w:r>
        <w:rPr>
          <w:rFonts w:hint="eastAsia" w:ascii="宋体" w:hAnsi="宋体"/>
          <w:color w:val="auto"/>
          <w:szCs w:val="44"/>
          <w:highlight w:val="none"/>
        </w:rPr>
        <w:fldChar w:fldCharType="separate"/>
      </w:r>
      <w:r>
        <w:rPr>
          <w:rFonts w:hint="eastAsia" w:ascii="黑体" w:hAnsi="黑体" w:eastAsia="黑体"/>
          <w:color w:val="auto"/>
          <w:highlight w:val="none"/>
        </w:rPr>
        <w:t>36.签订合同</w:t>
      </w:r>
      <w:r>
        <w:rPr>
          <w:color w:val="auto"/>
          <w:highlight w:val="none"/>
        </w:rPr>
        <w:tab/>
      </w:r>
      <w:r>
        <w:rPr>
          <w:color w:val="auto"/>
          <w:highlight w:val="none"/>
        </w:rPr>
        <w:fldChar w:fldCharType="begin"/>
      </w:r>
      <w:r>
        <w:rPr>
          <w:color w:val="auto"/>
          <w:highlight w:val="none"/>
        </w:rPr>
        <w:instrText xml:space="preserve"> PAGEREF _Toc5168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44"/>
          <w:highlight w:val="none"/>
        </w:rPr>
        <w:fldChar w:fldCharType="end"/>
      </w:r>
    </w:p>
    <w:p w14:paraId="345DFF96">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_Toc11773 </w:instrText>
      </w:r>
      <w:r>
        <w:rPr>
          <w:rFonts w:hint="eastAsia" w:ascii="宋体" w:hAnsi="宋体"/>
          <w:color w:val="auto"/>
          <w:szCs w:val="44"/>
          <w:highlight w:val="none"/>
        </w:rPr>
        <w:fldChar w:fldCharType="separate"/>
      </w:r>
      <w:r>
        <w:rPr>
          <w:rFonts w:hint="eastAsia" w:ascii="黑体" w:hAnsi="黑体" w:eastAsia="黑体"/>
          <w:color w:val="auto"/>
          <w:highlight w:val="none"/>
        </w:rPr>
        <w:t>37.政府采购合同公告</w:t>
      </w:r>
      <w:r>
        <w:rPr>
          <w:color w:val="auto"/>
          <w:highlight w:val="none"/>
        </w:rPr>
        <w:tab/>
      </w:r>
      <w:r>
        <w:rPr>
          <w:color w:val="auto"/>
          <w:highlight w:val="none"/>
        </w:rPr>
        <w:fldChar w:fldCharType="begin"/>
      </w:r>
      <w:r>
        <w:rPr>
          <w:color w:val="auto"/>
          <w:highlight w:val="none"/>
        </w:rPr>
        <w:instrText xml:space="preserve"> PAGEREF _Toc11773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color w:val="auto"/>
          <w:szCs w:val="44"/>
          <w:highlight w:val="none"/>
        </w:rPr>
        <w:fldChar w:fldCharType="end"/>
      </w:r>
    </w:p>
    <w:p w14:paraId="6D849E51">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_Toc32046 </w:instrText>
      </w:r>
      <w:r>
        <w:rPr>
          <w:rFonts w:hint="eastAsia" w:ascii="宋体" w:hAnsi="宋体"/>
          <w:color w:val="auto"/>
          <w:szCs w:val="44"/>
          <w:highlight w:val="none"/>
        </w:rPr>
        <w:fldChar w:fldCharType="separate"/>
      </w:r>
      <w:r>
        <w:rPr>
          <w:rFonts w:hint="eastAsia" w:ascii="黑体" w:hAnsi="黑体" w:eastAsia="黑体"/>
          <w:color w:val="auto"/>
          <w:highlight w:val="none"/>
        </w:rPr>
        <w:t>38. 询问、质疑和投诉</w:t>
      </w:r>
      <w:r>
        <w:rPr>
          <w:color w:val="auto"/>
          <w:highlight w:val="none"/>
        </w:rPr>
        <w:tab/>
      </w:r>
      <w:r>
        <w:rPr>
          <w:color w:val="auto"/>
          <w:highlight w:val="none"/>
        </w:rPr>
        <w:fldChar w:fldCharType="begin"/>
      </w:r>
      <w:r>
        <w:rPr>
          <w:color w:val="auto"/>
          <w:highlight w:val="none"/>
        </w:rPr>
        <w:instrText xml:space="preserve"> PAGEREF _Toc32046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color w:val="auto"/>
          <w:szCs w:val="44"/>
          <w:highlight w:val="none"/>
        </w:rPr>
        <w:fldChar w:fldCharType="end"/>
      </w:r>
    </w:p>
    <w:p w14:paraId="08BBBA2E">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_Toc1280 </w:instrText>
      </w:r>
      <w:r>
        <w:rPr>
          <w:rFonts w:hint="eastAsia" w:ascii="宋体" w:hAnsi="宋体"/>
          <w:color w:val="auto"/>
          <w:szCs w:val="44"/>
          <w:highlight w:val="none"/>
        </w:rPr>
        <w:fldChar w:fldCharType="separate"/>
      </w:r>
      <w:r>
        <w:rPr>
          <w:rFonts w:hint="eastAsia" w:ascii="Times New Roman" w:hAnsi="Times New Roman" w:eastAsia="宋体"/>
          <w:color w:val="auto"/>
          <w:highlight w:val="none"/>
        </w:rPr>
        <w:t>八、其他事项</w:t>
      </w:r>
      <w:r>
        <w:rPr>
          <w:color w:val="auto"/>
          <w:highlight w:val="none"/>
        </w:rPr>
        <w:tab/>
      </w:r>
      <w:r>
        <w:rPr>
          <w:color w:val="auto"/>
          <w:highlight w:val="none"/>
        </w:rPr>
        <w:fldChar w:fldCharType="begin"/>
      </w:r>
      <w:r>
        <w:rPr>
          <w:color w:val="auto"/>
          <w:highlight w:val="none"/>
        </w:rPr>
        <w:instrText xml:space="preserve"> PAGEREF _Toc1280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color w:val="auto"/>
          <w:szCs w:val="44"/>
          <w:highlight w:val="none"/>
        </w:rPr>
        <w:fldChar w:fldCharType="end"/>
      </w:r>
    </w:p>
    <w:p w14:paraId="00FB8B48">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_Toc27595 </w:instrText>
      </w:r>
      <w:r>
        <w:rPr>
          <w:rFonts w:hint="eastAsia" w:ascii="宋体" w:hAnsi="宋体"/>
          <w:color w:val="auto"/>
          <w:szCs w:val="44"/>
          <w:highlight w:val="none"/>
        </w:rPr>
        <w:fldChar w:fldCharType="separate"/>
      </w:r>
      <w:r>
        <w:rPr>
          <w:rFonts w:hint="eastAsia" w:ascii="黑体" w:hAnsi="黑体" w:eastAsia="黑体"/>
          <w:color w:val="auto"/>
          <w:highlight w:val="none"/>
        </w:rPr>
        <w:t>39.代理服务费</w:t>
      </w:r>
      <w:r>
        <w:rPr>
          <w:color w:val="auto"/>
          <w:highlight w:val="none"/>
        </w:rPr>
        <w:tab/>
      </w:r>
      <w:r>
        <w:rPr>
          <w:color w:val="auto"/>
          <w:highlight w:val="none"/>
        </w:rPr>
        <w:fldChar w:fldCharType="begin"/>
      </w:r>
      <w:r>
        <w:rPr>
          <w:color w:val="auto"/>
          <w:highlight w:val="none"/>
        </w:rPr>
        <w:instrText xml:space="preserve"> PAGEREF _Toc27595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color w:val="auto"/>
          <w:szCs w:val="44"/>
          <w:highlight w:val="none"/>
        </w:rPr>
        <w:fldChar w:fldCharType="end"/>
      </w:r>
    </w:p>
    <w:p w14:paraId="2641198B">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_Toc24916 </w:instrText>
      </w:r>
      <w:r>
        <w:rPr>
          <w:rFonts w:hint="eastAsia" w:ascii="宋体" w:hAnsi="宋体"/>
          <w:color w:val="auto"/>
          <w:szCs w:val="44"/>
          <w:highlight w:val="none"/>
        </w:rPr>
        <w:fldChar w:fldCharType="separate"/>
      </w:r>
      <w:r>
        <w:rPr>
          <w:rFonts w:hint="eastAsia" w:ascii="黑体" w:hAnsi="黑体" w:eastAsia="黑体"/>
          <w:color w:val="auto"/>
          <w:highlight w:val="none"/>
        </w:rPr>
        <w:t>40. 需要补充的其他内容</w:t>
      </w:r>
      <w:r>
        <w:rPr>
          <w:color w:val="auto"/>
          <w:highlight w:val="none"/>
        </w:rPr>
        <w:tab/>
      </w:r>
      <w:r>
        <w:rPr>
          <w:color w:val="auto"/>
          <w:highlight w:val="none"/>
        </w:rPr>
        <w:fldChar w:fldCharType="begin"/>
      </w:r>
      <w:r>
        <w:rPr>
          <w:color w:val="auto"/>
          <w:highlight w:val="none"/>
        </w:rPr>
        <w:instrText xml:space="preserve"> PAGEREF _Toc24916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color w:val="auto"/>
          <w:szCs w:val="44"/>
          <w:highlight w:val="none"/>
        </w:rPr>
        <w:fldChar w:fldCharType="end"/>
      </w:r>
    </w:p>
    <w:p w14:paraId="5EE948A6">
      <w:pPr>
        <w:pStyle w:val="32"/>
        <w:tabs>
          <w:tab w:val="right" w:leader="dot" w:pos="9013"/>
          <w:tab w:val="clear" w:pos="8398"/>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_Toc21735 </w:instrText>
      </w:r>
      <w:r>
        <w:rPr>
          <w:rFonts w:hint="eastAsia" w:ascii="宋体" w:hAnsi="宋体"/>
          <w:color w:val="auto"/>
          <w:szCs w:val="44"/>
          <w:highlight w:val="none"/>
        </w:rPr>
        <w:fldChar w:fldCharType="separate"/>
      </w:r>
      <w:r>
        <w:rPr>
          <w:rFonts w:hint="eastAsia"/>
          <w:color w:val="auto"/>
          <w:highlight w:val="none"/>
        </w:rPr>
        <w:t>第四章 评标方法及评标标准</w:t>
      </w:r>
      <w:r>
        <w:rPr>
          <w:color w:val="auto"/>
          <w:highlight w:val="none"/>
        </w:rPr>
        <w:tab/>
      </w:r>
      <w:r>
        <w:rPr>
          <w:color w:val="auto"/>
          <w:highlight w:val="none"/>
        </w:rPr>
        <w:fldChar w:fldCharType="begin"/>
      </w:r>
      <w:r>
        <w:rPr>
          <w:color w:val="auto"/>
          <w:highlight w:val="none"/>
        </w:rPr>
        <w:instrText xml:space="preserve"> PAGEREF _Toc21735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color w:val="auto"/>
          <w:szCs w:val="44"/>
          <w:highlight w:val="none"/>
        </w:rPr>
        <w:fldChar w:fldCharType="end"/>
      </w:r>
    </w:p>
    <w:p w14:paraId="7D496539">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_Toc18392 </w:instrText>
      </w:r>
      <w:r>
        <w:rPr>
          <w:rFonts w:hint="eastAsia" w:ascii="宋体" w:hAnsi="宋体"/>
          <w:color w:val="auto"/>
          <w:szCs w:val="44"/>
          <w:highlight w:val="none"/>
        </w:rPr>
        <w:fldChar w:fldCharType="separate"/>
      </w:r>
      <w:r>
        <w:rPr>
          <w:rFonts w:hint="eastAsia"/>
          <w:color w:val="auto"/>
          <w:szCs w:val="30"/>
          <w:highlight w:val="none"/>
        </w:rPr>
        <w:t>一、评标方法</w:t>
      </w:r>
      <w:r>
        <w:rPr>
          <w:color w:val="auto"/>
          <w:highlight w:val="none"/>
        </w:rPr>
        <w:tab/>
      </w:r>
      <w:r>
        <w:rPr>
          <w:color w:val="auto"/>
          <w:highlight w:val="none"/>
        </w:rPr>
        <w:fldChar w:fldCharType="begin"/>
      </w:r>
      <w:r>
        <w:rPr>
          <w:color w:val="auto"/>
          <w:highlight w:val="none"/>
        </w:rPr>
        <w:instrText xml:space="preserve"> PAGEREF _Toc18392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color w:val="auto"/>
          <w:szCs w:val="44"/>
          <w:highlight w:val="none"/>
        </w:rPr>
        <w:fldChar w:fldCharType="end"/>
      </w:r>
    </w:p>
    <w:p w14:paraId="54835F81">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_Toc26488 </w:instrText>
      </w:r>
      <w:r>
        <w:rPr>
          <w:rFonts w:hint="eastAsia" w:ascii="宋体" w:hAnsi="宋体"/>
          <w:color w:val="auto"/>
          <w:szCs w:val="44"/>
          <w:highlight w:val="none"/>
        </w:rPr>
        <w:fldChar w:fldCharType="separate"/>
      </w:r>
      <w:r>
        <w:rPr>
          <w:rFonts w:hint="eastAsia"/>
          <w:color w:val="auto"/>
          <w:szCs w:val="30"/>
          <w:highlight w:val="none"/>
        </w:rPr>
        <w:t>二、评标程序</w:t>
      </w:r>
      <w:r>
        <w:rPr>
          <w:color w:val="auto"/>
          <w:highlight w:val="none"/>
        </w:rPr>
        <w:tab/>
      </w:r>
      <w:r>
        <w:rPr>
          <w:color w:val="auto"/>
          <w:highlight w:val="none"/>
        </w:rPr>
        <w:fldChar w:fldCharType="begin"/>
      </w:r>
      <w:r>
        <w:rPr>
          <w:color w:val="auto"/>
          <w:highlight w:val="none"/>
        </w:rPr>
        <w:instrText xml:space="preserve"> PAGEREF _Toc26488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color w:val="auto"/>
          <w:szCs w:val="44"/>
          <w:highlight w:val="none"/>
        </w:rPr>
        <w:fldChar w:fldCharType="end"/>
      </w:r>
    </w:p>
    <w:p w14:paraId="086F4657">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_Toc15088 </w:instrText>
      </w:r>
      <w:r>
        <w:rPr>
          <w:rFonts w:hint="eastAsia" w:ascii="宋体" w:hAnsi="宋体"/>
          <w:color w:val="auto"/>
          <w:szCs w:val="44"/>
          <w:highlight w:val="none"/>
        </w:rPr>
        <w:fldChar w:fldCharType="separate"/>
      </w:r>
      <w:r>
        <w:rPr>
          <w:rFonts w:hint="eastAsia"/>
          <w:color w:val="auto"/>
          <w:szCs w:val="44"/>
          <w:highlight w:val="none"/>
        </w:rPr>
        <w:t>综合评分法</w:t>
      </w:r>
      <w:r>
        <w:rPr>
          <w:color w:val="auto"/>
          <w:highlight w:val="none"/>
        </w:rPr>
        <w:tab/>
      </w:r>
      <w:r>
        <w:rPr>
          <w:color w:val="auto"/>
          <w:highlight w:val="none"/>
        </w:rPr>
        <w:fldChar w:fldCharType="begin"/>
      </w:r>
      <w:r>
        <w:rPr>
          <w:color w:val="auto"/>
          <w:highlight w:val="none"/>
        </w:rPr>
        <w:instrText xml:space="preserve"> PAGEREF _Toc15088 \h </w:instrText>
      </w:r>
      <w:r>
        <w:rPr>
          <w:color w:val="auto"/>
          <w:highlight w:val="none"/>
        </w:rPr>
        <w:fldChar w:fldCharType="separate"/>
      </w:r>
      <w:r>
        <w:rPr>
          <w:color w:val="auto"/>
          <w:highlight w:val="none"/>
        </w:rPr>
        <w:t>48</w:t>
      </w:r>
      <w:r>
        <w:rPr>
          <w:color w:val="auto"/>
          <w:highlight w:val="none"/>
        </w:rPr>
        <w:fldChar w:fldCharType="end"/>
      </w:r>
      <w:r>
        <w:rPr>
          <w:rFonts w:hint="eastAsia" w:ascii="宋体" w:hAnsi="宋体"/>
          <w:color w:val="auto"/>
          <w:szCs w:val="44"/>
          <w:highlight w:val="none"/>
        </w:rPr>
        <w:fldChar w:fldCharType="end"/>
      </w:r>
    </w:p>
    <w:p w14:paraId="1A5BF5E5">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_Toc5747 </w:instrText>
      </w:r>
      <w:r>
        <w:rPr>
          <w:rFonts w:hint="eastAsia" w:ascii="宋体" w:hAnsi="宋体"/>
          <w:color w:val="auto"/>
          <w:szCs w:val="44"/>
          <w:highlight w:val="none"/>
        </w:rPr>
        <w:fldChar w:fldCharType="separate"/>
      </w:r>
      <w:r>
        <w:rPr>
          <w:rFonts w:hint="eastAsia" w:ascii="宋体" w:hAnsi="宋体" w:cs="宋体"/>
          <w:bCs/>
          <w:color w:val="auto"/>
          <w:szCs w:val="32"/>
          <w:highlight w:val="none"/>
        </w:rPr>
        <w:t>四、中标候选人推荐</w:t>
      </w:r>
      <w:r>
        <w:rPr>
          <w:color w:val="auto"/>
          <w:highlight w:val="none"/>
        </w:rPr>
        <w:tab/>
      </w:r>
      <w:r>
        <w:rPr>
          <w:color w:val="auto"/>
          <w:highlight w:val="none"/>
        </w:rPr>
        <w:fldChar w:fldCharType="begin"/>
      </w:r>
      <w:r>
        <w:rPr>
          <w:color w:val="auto"/>
          <w:highlight w:val="none"/>
        </w:rPr>
        <w:instrText xml:space="preserve"> PAGEREF _Toc5747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color w:val="auto"/>
          <w:szCs w:val="44"/>
          <w:highlight w:val="none"/>
        </w:rPr>
        <w:fldChar w:fldCharType="end"/>
      </w:r>
    </w:p>
    <w:p w14:paraId="5DA638CF">
      <w:pPr>
        <w:pStyle w:val="32"/>
        <w:tabs>
          <w:tab w:val="right" w:leader="dot" w:pos="9013"/>
          <w:tab w:val="clear" w:pos="8398"/>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_Toc31573 </w:instrText>
      </w:r>
      <w:r>
        <w:rPr>
          <w:rFonts w:hint="eastAsia" w:ascii="宋体" w:hAnsi="宋体"/>
          <w:color w:val="auto"/>
          <w:szCs w:val="44"/>
          <w:highlight w:val="none"/>
        </w:rPr>
        <w:fldChar w:fldCharType="separate"/>
      </w:r>
      <w:r>
        <w:rPr>
          <w:rFonts w:hint="eastAsia"/>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_Toc31573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color w:val="auto"/>
          <w:szCs w:val="44"/>
          <w:highlight w:val="none"/>
        </w:rPr>
        <w:fldChar w:fldCharType="end"/>
      </w:r>
    </w:p>
    <w:p w14:paraId="72592761">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_Toc15072 </w:instrText>
      </w:r>
      <w:r>
        <w:rPr>
          <w:rFonts w:hint="eastAsia" w:ascii="宋体" w:hAnsi="宋体"/>
          <w:color w:val="auto"/>
          <w:szCs w:val="44"/>
          <w:highlight w:val="none"/>
        </w:rPr>
        <w:fldChar w:fldCharType="separate"/>
      </w:r>
      <w:r>
        <w:rPr>
          <w:rFonts w:hint="eastAsia" w:ascii="宋体" w:hAnsi="宋体" w:cs="宋体"/>
          <w:color w:val="auto"/>
          <w:highlight w:val="none"/>
        </w:rPr>
        <w:t>《广西壮族自治区政府采购合同》（格式）</w:t>
      </w:r>
      <w:r>
        <w:rPr>
          <w:color w:val="auto"/>
          <w:highlight w:val="none"/>
        </w:rPr>
        <w:tab/>
      </w:r>
      <w:r>
        <w:rPr>
          <w:color w:val="auto"/>
          <w:highlight w:val="none"/>
        </w:rPr>
        <w:fldChar w:fldCharType="begin"/>
      </w:r>
      <w:r>
        <w:rPr>
          <w:color w:val="auto"/>
          <w:highlight w:val="none"/>
        </w:rPr>
        <w:instrText xml:space="preserve"> PAGEREF _Toc15072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color w:val="auto"/>
          <w:szCs w:val="44"/>
          <w:highlight w:val="none"/>
        </w:rPr>
        <w:fldChar w:fldCharType="end"/>
      </w:r>
    </w:p>
    <w:p w14:paraId="6C7ECFA4">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_Toc29789 </w:instrText>
      </w:r>
      <w:r>
        <w:rPr>
          <w:rFonts w:hint="eastAsia" w:ascii="宋体" w:hAnsi="宋体"/>
          <w:color w:val="auto"/>
          <w:szCs w:val="44"/>
          <w:highlight w:val="none"/>
        </w:rPr>
        <w:fldChar w:fldCharType="separate"/>
      </w:r>
      <w:r>
        <w:rPr>
          <w:rFonts w:hint="eastAsia" w:hAnsi="宋体" w:cs="宋体"/>
          <w:bCs/>
          <w:color w:val="auto"/>
          <w:szCs w:val="24"/>
          <w:highlight w:val="none"/>
        </w:rPr>
        <w:t>附件1：广西壮族自治区政府采购项目合同验收书（格式）</w:t>
      </w:r>
      <w:r>
        <w:rPr>
          <w:color w:val="auto"/>
          <w:highlight w:val="none"/>
        </w:rPr>
        <w:tab/>
      </w:r>
      <w:r>
        <w:rPr>
          <w:color w:val="auto"/>
          <w:highlight w:val="none"/>
        </w:rPr>
        <w:fldChar w:fldCharType="begin"/>
      </w:r>
      <w:r>
        <w:rPr>
          <w:color w:val="auto"/>
          <w:highlight w:val="none"/>
        </w:rPr>
        <w:instrText xml:space="preserve"> PAGEREF _Toc29789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color w:val="auto"/>
          <w:szCs w:val="44"/>
          <w:highlight w:val="none"/>
        </w:rPr>
        <w:fldChar w:fldCharType="end"/>
      </w:r>
    </w:p>
    <w:p w14:paraId="24CF80D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_Toc22397 </w:instrText>
      </w:r>
      <w:r>
        <w:rPr>
          <w:rFonts w:hint="eastAsia" w:ascii="宋体" w:hAnsi="宋体"/>
          <w:color w:val="auto"/>
          <w:szCs w:val="44"/>
          <w:highlight w:val="none"/>
        </w:rPr>
        <w:fldChar w:fldCharType="separate"/>
      </w:r>
      <w:r>
        <w:rPr>
          <w:rFonts w:hint="eastAsia" w:ascii="宋体" w:hAnsi="宋体" w:cs="宋体"/>
          <w:color w:val="auto"/>
          <w:highlight w:val="none"/>
        </w:rPr>
        <w:t>附件2：政府采购项目履约保证金退付意见书</w:t>
      </w:r>
      <w:r>
        <w:rPr>
          <w:color w:val="auto"/>
          <w:highlight w:val="none"/>
        </w:rPr>
        <w:tab/>
      </w:r>
      <w:r>
        <w:rPr>
          <w:color w:val="auto"/>
          <w:highlight w:val="none"/>
        </w:rPr>
        <w:fldChar w:fldCharType="begin"/>
      </w:r>
      <w:r>
        <w:rPr>
          <w:color w:val="auto"/>
          <w:highlight w:val="none"/>
        </w:rPr>
        <w:instrText xml:space="preserve"> PAGEREF _Toc22397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color w:val="auto"/>
          <w:szCs w:val="44"/>
          <w:highlight w:val="none"/>
        </w:rPr>
        <w:fldChar w:fldCharType="end"/>
      </w:r>
    </w:p>
    <w:p w14:paraId="2C1C3295">
      <w:pPr>
        <w:pStyle w:val="32"/>
        <w:tabs>
          <w:tab w:val="right" w:leader="dot" w:pos="9013"/>
          <w:tab w:val="clear" w:pos="8398"/>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_Toc22405 </w:instrText>
      </w:r>
      <w:r>
        <w:rPr>
          <w:rFonts w:hint="eastAsia" w:ascii="宋体" w:hAnsi="宋体"/>
          <w:color w:val="auto"/>
          <w:szCs w:val="44"/>
          <w:highlight w:val="none"/>
        </w:rPr>
        <w:fldChar w:fldCharType="separate"/>
      </w:r>
      <w:r>
        <w:rPr>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_Toc22405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color w:val="auto"/>
          <w:szCs w:val="44"/>
          <w:highlight w:val="none"/>
        </w:rPr>
        <w:fldChar w:fldCharType="end"/>
      </w:r>
    </w:p>
    <w:p w14:paraId="5A964322">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_Toc4775 </w:instrText>
      </w:r>
      <w:r>
        <w:rPr>
          <w:rFonts w:hint="eastAsia" w:ascii="宋体" w:hAnsi="宋体"/>
          <w:color w:val="auto"/>
          <w:szCs w:val="44"/>
          <w:highlight w:val="none"/>
        </w:rPr>
        <w:fldChar w:fldCharType="separate"/>
      </w:r>
      <w:r>
        <w:rPr>
          <w:rFonts w:hint="eastAsia"/>
          <w:color w:val="auto"/>
          <w:szCs w:val="28"/>
          <w:highlight w:val="none"/>
        </w:rPr>
        <w:t>一、报价文件格式</w:t>
      </w:r>
      <w:r>
        <w:rPr>
          <w:color w:val="auto"/>
          <w:highlight w:val="none"/>
        </w:rPr>
        <w:tab/>
      </w:r>
      <w:r>
        <w:rPr>
          <w:color w:val="auto"/>
          <w:highlight w:val="none"/>
        </w:rPr>
        <w:fldChar w:fldCharType="begin"/>
      </w:r>
      <w:r>
        <w:rPr>
          <w:color w:val="auto"/>
          <w:highlight w:val="none"/>
        </w:rPr>
        <w:instrText xml:space="preserve"> PAGEREF _Toc4775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color w:val="auto"/>
          <w:szCs w:val="44"/>
          <w:highlight w:val="none"/>
        </w:rPr>
        <w:fldChar w:fldCharType="end"/>
      </w:r>
    </w:p>
    <w:p w14:paraId="55A44C0E">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_Toc18754 </w:instrText>
      </w:r>
      <w:r>
        <w:rPr>
          <w:rFonts w:hint="eastAsia" w:ascii="宋体" w:hAnsi="宋体"/>
          <w:color w:val="auto"/>
          <w:szCs w:val="44"/>
          <w:highlight w:val="none"/>
        </w:rPr>
        <w:fldChar w:fldCharType="separate"/>
      </w:r>
      <w:r>
        <w:rPr>
          <w:rFonts w:hint="eastAsia" w:ascii="宋体" w:hAnsi="宋体"/>
          <w:color w:val="auto"/>
          <w:highlight w:val="none"/>
        </w:rPr>
        <w:t>报价文件封面格式</w:t>
      </w:r>
      <w:r>
        <w:rPr>
          <w:color w:val="auto"/>
          <w:highlight w:val="none"/>
        </w:rPr>
        <w:tab/>
      </w:r>
      <w:r>
        <w:rPr>
          <w:color w:val="auto"/>
          <w:highlight w:val="none"/>
        </w:rPr>
        <w:fldChar w:fldCharType="begin"/>
      </w:r>
      <w:r>
        <w:rPr>
          <w:color w:val="auto"/>
          <w:highlight w:val="none"/>
        </w:rPr>
        <w:instrText xml:space="preserve"> PAGEREF _Toc18754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color w:val="auto"/>
          <w:szCs w:val="44"/>
          <w:highlight w:val="none"/>
        </w:rPr>
        <w:fldChar w:fldCharType="end"/>
      </w:r>
    </w:p>
    <w:p w14:paraId="45D732B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_Toc24673 </w:instrText>
      </w:r>
      <w:r>
        <w:rPr>
          <w:rFonts w:hint="eastAsia" w:ascii="宋体" w:hAnsi="宋体"/>
          <w:color w:val="auto"/>
          <w:szCs w:val="44"/>
          <w:highlight w:val="none"/>
        </w:rPr>
        <w:fldChar w:fldCharType="separate"/>
      </w:r>
      <w:r>
        <w:rPr>
          <w:rFonts w:hint="eastAsia" w:ascii="宋体" w:hAnsi="宋体"/>
          <w:bCs/>
          <w:color w:val="auto"/>
          <w:highlight w:val="none"/>
        </w:rPr>
        <w:t>报价文件目录</w:t>
      </w:r>
      <w:r>
        <w:rPr>
          <w:color w:val="auto"/>
          <w:highlight w:val="none"/>
        </w:rPr>
        <w:tab/>
      </w:r>
      <w:r>
        <w:rPr>
          <w:color w:val="auto"/>
          <w:highlight w:val="none"/>
        </w:rPr>
        <w:fldChar w:fldCharType="begin"/>
      </w:r>
      <w:r>
        <w:rPr>
          <w:color w:val="auto"/>
          <w:highlight w:val="none"/>
        </w:rPr>
        <w:instrText xml:space="preserve"> PAGEREF _Toc24673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color w:val="auto"/>
          <w:szCs w:val="44"/>
          <w:highlight w:val="none"/>
        </w:rPr>
        <w:fldChar w:fldCharType="end"/>
      </w:r>
    </w:p>
    <w:p w14:paraId="018D164C">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_Toc20836 </w:instrText>
      </w:r>
      <w:r>
        <w:rPr>
          <w:rFonts w:hint="eastAsia" w:ascii="宋体" w:hAnsi="宋体"/>
          <w:color w:val="auto"/>
          <w:szCs w:val="44"/>
          <w:highlight w:val="none"/>
        </w:rPr>
        <w:fldChar w:fldCharType="separate"/>
      </w:r>
      <w:r>
        <w:rPr>
          <w:rFonts w:hint="eastAsia" w:ascii="宋体" w:hAnsi="宋体"/>
          <w:color w:val="auto"/>
          <w:highlight w:val="none"/>
        </w:rPr>
        <w:t>1.投标函格式</w:t>
      </w:r>
      <w:r>
        <w:rPr>
          <w:color w:val="auto"/>
          <w:highlight w:val="none"/>
        </w:rPr>
        <w:tab/>
      </w:r>
      <w:r>
        <w:rPr>
          <w:color w:val="auto"/>
          <w:highlight w:val="none"/>
        </w:rPr>
        <w:fldChar w:fldCharType="begin"/>
      </w:r>
      <w:r>
        <w:rPr>
          <w:color w:val="auto"/>
          <w:highlight w:val="none"/>
        </w:rPr>
        <w:instrText xml:space="preserve"> PAGEREF _Toc20836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color w:val="auto"/>
          <w:szCs w:val="44"/>
          <w:highlight w:val="none"/>
        </w:rPr>
        <w:fldChar w:fldCharType="end"/>
      </w:r>
    </w:p>
    <w:p w14:paraId="25B42A2C">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_Toc26027 </w:instrText>
      </w:r>
      <w:r>
        <w:rPr>
          <w:rFonts w:hint="eastAsia" w:ascii="宋体" w:hAnsi="宋体"/>
          <w:color w:val="auto"/>
          <w:szCs w:val="44"/>
          <w:highlight w:val="none"/>
        </w:rPr>
        <w:fldChar w:fldCharType="separate"/>
      </w:r>
      <w:r>
        <w:rPr>
          <w:rFonts w:hint="eastAsia" w:ascii="宋体" w:hAnsi="宋体"/>
          <w:color w:val="auto"/>
          <w:highlight w:val="none"/>
        </w:rPr>
        <w:t>2.开标一览表</w:t>
      </w:r>
      <w:r>
        <w:rPr>
          <w:color w:val="auto"/>
          <w:highlight w:val="none"/>
        </w:rPr>
        <w:tab/>
      </w:r>
      <w:r>
        <w:rPr>
          <w:color w:val="auto"/>
          <w:highlight w:val="none"/>
        </w:rPr>
        <w:fldChar w:fldCharType="begin"/>
      </w:r>
      <w:r>
        <w:rPr>
          <w:color w:val="auto"/>
          <w:highlight w:val="none"/>
        </w:rPr>
        <w:instrText xml:space="preserve"> PAGEREF _Toc26027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color w:val="auto"/>
          <w:szCs w:val="44"/>
          <w:highlight w:val="none"/>
        </w:rPr>
        <w:fldChar w:fldCharType="end"/>
      </w:r>
    </w:p>
    <w:p w14:paraId="24830751">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_Toc5011 </w:instrText>
      </w:r>
      <w:r>
        <w:rPr>
          <w:rFonts w:hint="eastAsia" w:ascii="宋体" w:hAnsi="宋体"/>
          <w:color w:val="auto"/>
          <w:szCs w:val="44"/>
          <w:highlight w:val="none"/>
        </w:rPr>
        <w:fldChar w:fldCharType="separate"/>
      </w:r>
      <w:r>
        <w:rPr>
          <w:rFonts w:hint="eastAsia" w:ascii="宋体" w:hAnsi="宋体"/>
          <w:bCs/>
          <w:color w:val="auto"/>
          <w:highlight w:val="none"/>
        </w:rPr>
        <w:t>3.</w:t>
      </w:r>
      <w:r>
        <w:rPr>
          <w:rFonts w:hint="eastAsia" w:ascii="宋体" w:hAnsi="宋体"/>
          <w:color w:val="auto"/>
          <w:highlight w:val="none"/>
        </w:rPr>
        <w:t>供应商享受中小企业扶持政策的材料</w:t>
      </w:r>
      <w:r>
        <w:rPr>
          <w:color w:val="auto"/>
          <w:highlight w:val="none"/>
        </w:rPr>
        <w:tab/>
      </w:r>
      <w:r>
        <w:rPr>
          <w:color w:val="auto"/>
          <w:highlight w:val="none"/>
        </w:rPr>
        <w:fldChar w:fldCharType="begin"/>
      </w:r>
      <w:r>
        <w:rPr>
          <w:color w:val="auto"/>
          <w:highlight w:val="none"/>
        </w:rPr>
        <w:instrText xml:space="preserve"> PAGEREF _Toc5011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color w:val="auto"/>
          <w:szCs w:val="44"/>
          <w:highlight w:val="none"/>
        </w:rPr>
        <w:fldChar w:fldCharType="end"/>
      </w:r>
    </w:p>
    <w:p w14:paraId="3942115C">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_Toc10128 </w:instrText>
      </w:r>
      <w:r>
        <w:rPr>
          <w:rFonts w:hint="eastAsia" w:ascii="宋体" w:hAnsi="宋体"/>
          <w:color w:val="auto"/>
          <w:szCs w:val="44"/>
          <w:highlight w:val="none"/>
        </w:rPr>
        <w:fldChar w:fldCharType="separate"/>
      </w:r>
      <w:r>
        <w:rPr>
          <w:rFonts w:hint="eastAsia" w:ascii="宋体" w:hAnsi="宋体"/>
          <w:color w:val="auto"/>
          <w:highlight w:val="none"/>
        </w:rPr>
        <w:t>（1）中小企业声明函格式</w:t>
      </w:r>
      <w:r>
        <w:rPr>
          <w:color w:val="auto"/>
          <w:highlight w:val="none"/>
        </w:rPr>
        <w:tab/>
      </w:r>
      <w:r>
        <w:rPr>
          <w:color w:val="auto"/>
          <w:highlight w:val="none"/>
        </w:rPr>
        <w:fldChar w:fldCharType="begin"/>
      </w:r>
      <w:r>
        <w:rPr>
          <w:color w:val="auto"/>
          <w:highlight w:val="none"/>
        </w:rPr>
        <w:instrText xml:space="preserve"> PAGEREF _Toc10128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color w:val="auto"/>
          <w:szCs w:val="44"/>
          <w:highlight w:val="none"/>
        </w:rPr>
        <w:fldChar w:fldCharType="end"/>
      </w:r>
    </w:p>
    <w:p w14:paraId="7EA451AD">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_Toc14508 </w:instrText>
      </w:r>
      <w:r>
        <w:rPr>
          <w:rFonts w:hint="eastAsia" w:ascii="宋体" w:hAnsi="宋体"/>
          <w:color w:val="auto"/>
          <w:szCs w:val="44"/>
          <w:highlight w:val="none"/>
        </w:rPr>
        <w:fldChar w:fldCharType="separate"/>
      </w:r>
      <w:r>
        <w:rPr>
          <w:rFonts w:hint="eastAsia" w:ascii="宋体" w:hAnsi="宋体"/>
          <w:color w:val="auto"/>
          <w:highlight w:val="none"/>
        </w:rPr>
        <w:t>（2）残疾人福利性单位声明函格式</w:t>
      </w:r>
      <w:r>
        <w:rPr>
          <w:color w:val="auto"/>
          <w:highlight w:val="none"/>
        </w:rPr>
        <w:tab/>
      </w:r>
      <w:r>
        <w:rPr>
          <w:color w:val="auto"/>
          <w:highlight w:val="none"/>
        </w:rPr>
        <w:fldChar w:fldCharType="begin"/>
      </w:r>
      <w:r>
        <w:rPr>
          <w:color w:val="auto"/>
          <w:highlight w:val="none"/>
        </w:rPr>
        <w:instrText xml:space="preserve"> PAGEREF _Toc14508 \h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color w:val="auto"/>
          <w:szCs w:val="44"/>
          <w:highlight w:val="none"/>
        </w:rPr>
        <w:fldChar w:fldCharType="end"/>
      </w:r>
    </w:p>
    <w:p w14:paraId="174DF537">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_Toc27531 </w:instrText>
      </w:r>
      <w:r>
        <w:rPr>
          <w:rFonts w:hint="eastAsia" w:ascii="宋体" w:hAnsi="宋体"/>
          <w:color w:val="auto"/>
          <w:szCs w:val="44"/>
          <w:highlight w:val="none"/>
        </w:rPr>
        <w:fldChar w:fldCharType="separate"/>
      </w:r>
      <w:r>
        <w:rPr>
          <w:rFonts w:hint="eastAsia" w:ascii="宋体" w:hAnsi="宋体"/>
          <w:color w:val="auto"/>
          <w:highlight w:val="none"/>
        </w:rPr>
        <w:t>4.关于符合本国产品标准的声明函格式</w:t>
      </w:r>
      <w:r>
        <w:rPr>
          <w:color w:val="auto"/>
          <w:highlight w:val="none"/>
        </w:rPr>
        <w:tab/>
      </w:r>
      <w:r>
        <w:rPr>
          <w:color w:val="auto"/>
          <w:highlight w:val="none"/>
        </w:rPr>
        <w:fldChar w:fldCharType="begin"/>
      </w:r>
      <w:r>
        <w:rPr>
          <w:color w:val="auto"/>
          <w:highlight w:val="none"/>
        </w:rPr>
        <w:instrText xml:space="preserve"> PAGEREF _Toc27531 \h </w:instrText>
      </w:r>
      <w:r>
        <w:rPr>
          <w:color w:val="auto"/>
          <w:highlight w:val="none"/>
        </w:rPr>
        <w:fldChar w:fldCharType="separate"/>
      </w:r>
      <w:r>
        <w:rPr>
          <w:color w:val="auto"/>
          <w:highlight w:val="none"/>
        </w:rPr>
        <w:t>77</w:t>
      </w:r>
      <w:r>
        <w:rPr>
          <w:color w:val="auto"/>
          <w:highlight w:val="none"/>
        </w:rPr>
        <w:fldChar w:fldCharType="end"/>
      </w:r>
      <w:r>
        <w:rPr>
          <w:rFonts w:hint="eastAsia" w:ascii="宋体" w:hAnsi="宋体"/>
          <w:color w:val="auto"/>
          <w:szCs w:val="44"/>
          <w:highlight w:val="none"/>
        </w:rPr>
        <w:fldChar w:fldCharType="end"/>
      </w:r>
    </w:p>
    <w:p w14:paraId="229AC55C">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_Toc30727 </w:instrText>
      </w:r>
      <w:r>
        <w:rPr>
          <w:rFonts w:hint="eastAsia" w:ascii="宋体" w:hAnsi="宋体"/>
          <w:color w:val="auto"/>
          <w:szCs w:val="44"/>
          <w:highlight w:val="none"/>
        </w:rPr>
        <w:fldChar w:fldCharType="separate"/>
      </w:r>
      <w:r>
        <w:rPr>
          <w:rFonts w:hint="eastAsia" w:ascii="宋体" w:hAnsi="宋体"/>
          <w:color w:val="auto"/>
          <w:highlight w:val="none"/>
        </w:rPr>
        <w:t>5.投标人针对报价需要说明的其他文件和说明（格式自拟）</w:t>
      </w:r>
      <w:r>
        <w:rPr>
          <w:color w:val="auto"/>
          <w:highlight w:val="none"/>
        </w:rPr>
        <w:tab/>
      </w:r>
      <w:r>
        <w:rPr>
          <w:color w:val="auto"/>
          <w:highlight w:val="none"/>
        </w:rPr>
        <w:fldChar w:fldCharType="begin"/>
      </w:r>
      <w:r>
        <w:rPr>
          <w:color w:val="auto"/>
          <w:highlight w:val="none"/>
        </w:rPr>
        <w:instrText xml:space="preserve"> PAGEREF _Toc30727 \h </w:instrText>
      </w:r>
      <w:r>
        <w:rPr>
          <w:color w:val="auto"/>
          <w:highlight w:val="none"/>
        </w:rPr>
        <w:fldChar w:fldCharType="separate"/>
      </w:r>
      <w:r>
        <w:rPr>
          <w:color w:val="auto"/>
          <w:highlight w:val="none"/>
        </w:rPr>
        <w:t>77</w:t>
      </w:r>
      <w:r>
        <w:rPr>
          <w:color w:val="auto"/>
          <w:highlight w:val="none"/>
        </w:rPr>
        <w:fldChar w:fldCharType="end"/>
      </w:r>
      <w:r>
        <w:rPr>
          <w:rFonts w:hint="eastAsia" w:ascii="宋体" w:hAnsi="宋体"/>
          <w:color w:val="auto"/>
          <w:szCs w:val="44"/>
          <w:highlight w:val="none"/>
        </w:rPr>
        <w:fldChar w:fldCharType="end"/>
      </w:r>
    </w:p>
    <w:p w14:paraId="64AE9BE8">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_Toc7223 </w:instrText>
      </w:r>
      <w:r>
        <w:rPr>
          <w:rFonts w:hint="eastAsia" w:ascii="宋体" w:hAnsi="宋体"/>
          <w:color w:val="auto"/>
          <w:szCs w:val="44"/>
          <w:highlight w:val="none"/>
        </w:rPr>
        <w:fldChar w:fldCharType="separate"/>
      </w:r>
      <w:r>
        <w:rPr>
          <w:rFonts w:hint="eastAsia"/>
          <w:color w:val="auto"/>
          <w:szCs w:val="28"/>
          <w:highlight w:val="none"/>
        </w:rPr>
        <w:t>二、资格证明文件格式</w:t>
      </w:r>
      <w:r>
        <w:rPr>
          <w:color w:val="auto"/>
          <w:highlight w:val="none"/>
        </w:rPr>
        <w:tab/>
      </w:r>
      <w:r>
        <w:rPr>
          <w:color w:val="auto"/>
          <w:highlight w:val="none"/>
        </w:rPr>
        <w:fldChar w:fldCharType="begin"/>
      </w:r>
      <w:r>
        <w:rPr>
          <w:color w:val="auto"/>
          <w:highlight w:val="none"/>
        </w:rPr>
        <w:instrText xml:space="preserve"> PAGEREF _Toc7223 \h </w:instrText>
      </w:r>
      <w:r>
        <w:rPr>
          <w:color w:val="auto"/>
          <w:highlight w:val="none"/>
        </w:rPr>
        <w:fldChar w:fldCharType="separate"/>
      </w:r>
      <w:r>
        <w:rPr>
          <w:color w:val="auto"/>
          <w:highlight w:val="none"/>
        </w:rPr>
        <w:t>78</w:t>
      </w:r>
      <w:r>
        <w:rPr>
          <w:color w:val="auto"/>
          <w:highlight w:val="none"/>
        </w:rPr>
        <w:fldChar w:fldCharType="end"/>
      </w:r>
      <w:r>
        <w:rPr>
          <w:rFonts w:hint="eastAsia" w:ascii="宋体" w:hAnsi="宋体"/>
          <w:color w:val="auto"/>
          <w:szCs w:val="44"/>
          <w:highlight w:val="none"/>
        </w:rPr>
        <w:fldChar w:fldCharType="end"/>
      </w:r>
    </w:p>
    <w:p w14:paraId="738F19DD">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_Toc26606 </w:instrText>
      </w:r>
      <w:r>
        <w:rPr>
          <w:rFonts w:hint="eastAsia" w:ascii="宋体" w:hAnsi="宋体"/>
          <w:color w:val="auto"/>
          <w:szCs w:val="44"/>
          <w:highlight w:val="none"/>
        </w:rPr>
        <w:fldChar w:fldCharType="separate"/>
      </w:r>
      <w:r>
        <w:rPr>
          <w:rFonts w:hint="eastAsia" w:ascii="宋体" w:hAnsi="宋体"/>
          <w:color w:val="auto"/>
          <w:highlight w:val="none"/>
        </w:rPr>
        <w:t>资格证明文件封面格式</w:t>
      </w:r>
      <w:r>
        <w:rPr>
          <w:color w:val="auto"/>
          <w:highlight w:val="none"/>
        </w:rPr>
        <w:tab/>
      </w:r>
      <w:r>
        <w:rPr>
          <w:color w:val="auto"/>
          <w:highlight w:val="none"/>
        </w:rPr>
        <w:fldChar w:fldCharType="begin"/>
      </w:r>
      <w:r>
        <w:rPr>
          <w:color w:val="auto"/>
          <w:highlight w:val="none"/>
        </w:rPr>
        <w:instrText xml:space="preserve"> PAGEREF _Toc26606 \h </w:instrText>
      </w:r>
      <w:r>
        <w:rPr>
          <w:color w:val="auto"/>
          <w:highlight w:val="none"/>
        </w:rPr>
        <w:fldChar w:fldCharType="separate"/>
      </w:r>
      <w:r>
        <w:rPr>
          <w:color w:val="auto"/>
          <w:highlight w:val="none"/>
        </w:rPr>
        <w:t>78</w:t>
      </w:r>
      <w:r>
        <w:rPr>
          <w:color w:val="auto"/>
          <w:highlight w:val="none"/>
        </w:rPr>
        <w:fldChar w:fldCharType="end"/>
      </w:r>
      <w:r>
        <w:rPr>
          <w:rFonts w:hint="eastAsia" w:ascii="宋体" w:hAnsi="宋体"/>
          <w:color w:val="auto"/>
          <w:szCs w:val="44"/>
          <w:highlight w:val="none"/>
        </w:rPr>
        <w:fldChar w:fldCharType="end"/>
      </w:r>
    </w:p>
    <w:p w14:paraId="63A63297">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_Toc23655 </w:instrText>
      </w:r>
      <w:r>
        <w:rPr>
          <w:rFonts w:hint="eastAsia" w:ascii="宋体" w:hAnsi="宋体"/>
          <w:color w:val="auto"/>
          <w:szCs w:val="44"/>
          <w:highlight w:val="none"/>
        </w:rPr>
        <w:fldChar w:fldCharType="separate"/>
      </w:r>
      <w:r>
        <w:rPr>
          <w:rFonts w:hint="eastAsia" w:ascii="宋体" w:hAnsi="宋体"/>
          <w:bCs/>
          <w:color w:val="auto"/>
          <w:highlight w:val="none"/>
        </w:rPr>
        <w:t>资格证明文件目录</w:t>
      </w:r>
      <w:r>
        <w:rPr>
          <w:color w:val="auto"/>
          <w:highlight w:val="none"/>
        </w:rPr>
        <w:tab/>
      </w:r>
      <w:r>
        <w:rPr>
          <w:color w:val="auto"/>
          <w:highlight w:val="none"/>
        </w:rPr>
        <w:fldChar w:fldCharType="begin"/>
      </w:r>
      <w:r>
        <w:rPr>
          <w:color w:val="auto"/>
          <w:highlight w:val="none"/>
        </w:rPr>
        <w:instrText xml:space="preserve"> PAGEREF _Toc23655 \h </w:instrText>
      </w:r>
      <w:r>
        <w:rPr>
          <w:color w:val="auto"/>
          <w:highlight w:val="none"/>
        </w:rPr>
        <w:fldChar w:fldCharType="separate"/>
      </w:r>
      <w:r>
        <w:rPr>
          <w:color w:val="auto"/>
          <w:highlight w:val="none"/>
        </w:rPr>
        <w:t>79</w:t>
      </w:r>
      <w:r>
        <w:rPr>
          <w:color w:val="auto"/>
          <w:highlight w:val="none"/>
        </w:rPr>
        <w:fldChar w:fldCharType="end"/>
      </w:r>
      <w:r>
        <w:rPr>
          <w:rFonts w:hint="eastAsia" w:ascii="宋体" w:hAnsi="宋体"/>
          <w:color w:val="auto"/>
          <w:szCs w:val="44"/>
          <w:highlight w:val="none"/>
        </w:rPr>
        <w:fldChar w:fldCharType="end"/>
      </w:r>
    </w:p>
    <w:p w14:paraId="6D9A83C4">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_Toc14029 </w:instrText>
      </w:r>
      <w:r>
        <w:rPr>
          <w:rFonts w:hint="eastAsia" w:ascii="宋体" w:hAnsi="宋体"/>
          <w:color w:val="auto"/>
          <w:szCs w:val="44"/>
          <w:highlight w:val="none"/>
        </w:rPr>
        <w:fldChar w:fldCharType="separate"/>
      </w:r>
      <w:r>
        <w:rPr>
          <w:rFonts w:hint="eastAsia" w:ascii="宋体" w:hAnsi="宋体"/>
          <w:color w:val="auto"/>
          <w:highlight w:val="none"/>
          <w:lang w:eastAsia="zh-CN"/>
        </w:rPr>
        <w:t>（</w:t>
      </w:r>
      <w:r>
        <w:rPr>
          <w:rFonts w:hint="eastAsia" w:ascii="宋体" w:hAnsi="宋体"/>
          <w:color w:val="auto"/>
          <w:highlight w:val="none"/>
          <w:lang w:val="en-US" w:eastAsia="zh-CN"/>
        </w:rPr>
        <w:t>部分格式提供如下</w:t>
      </w:r>
      <w:r>
        <w:rPr>
          <w:rFonts w:hint="eastAsia" w:ascii="宋体" w:hAnsi="宋体"/>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_Toc14029 \h </w:instrText>
      </w:r>
      <w:r>
        <w:rPr>
          <w:color w:val="auto"/>
          <w:highlight w:val="none"/>
        </w:rPr>
        <w:fldChar w:fldCharType="separate"/>
      </w:r>
      <w:r>
        <w:rPr>
          <w:color w:val="auto"/>
          <w:highlight w:val="none"/>
        </w:rPr>
        <w:t>80</w:t>
      </w:r>
      <w:r>
        <w:rPr>
          <w:color w:val="auto"/>
          <w:highlight w:val="none"/>
        </w:rPr>
        <w:fldChar w:fldCharType="end"/>
      </w:r>
      <w:r>
        <w:rPr>
          <w:rFonts w:hint="eastAsia" w:ascii="宋体" w:hAnsi="宋体"/>
          <w:color w:val="auto"/>
          <w:szCs w:val="44"/>
          <w:highlight w:val="none"/>
        </w:rPr>
        <w:fldChar w:fldCharType="end"/>
      </w:r>
    </w:p>
    <w:p w14:paraId="1BEA1D2A">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_Toc1051 </w:instrText>
      </w:r>
      <w:r>
        <w:rPr>
          <w:rFonts w:hint="eastAsia" w:ascii="宋体" w:hAnsi="宋体"/>
          <w:color w:val="auto"/>
          <w:szCs w:val="44"/>
          <w:highlight w:val="none"/>
        </w:rPr>
        <w:fldChar w:fldCharType="separate"/>
      </w:r>
      <w:r>
        <w:rPr>
          <w:rFonts w:hint="eastAsia" w:ascii="宋体" w:hAnsi="宋体"/>
          <w:color w:val="auto"/>
          <w:highlight w:val="none"/>
        </w:rPr>
        <w:t>1.</w:t>
      </w:r>
      <w:r>
        <w:rPr>
          <w:rFonts w:hint="eastAsia" w:ascii="宋体" w:hAnsi="宋体"/>
          <w:color w:val="auto"/>
          <w:szCs w:val="28"/>
          <w:highlight w:val="none"/>
        </w:rPr>
        <w:t>投标人直接控股股东信息表（格式）</w:t>
      </w:r>
      <w:r>
        <w:rPr>
          <w:color w:val="auto"/>
          <w:highlight w:val="none"/>
        </w:rPr>
        <w:tab/>
      </w:r>
      <w:r>
        <w:rPr>
          <w:color w:val="auto"/>
          <w:highlight w:val="none"/>
        </w:rPr>
        <w:fldChar w:fldCharType="begin"/>
      </w:r>
      <w:r>
        <w:rPr>
          <w:color w:val="auto"/>
          <w:highlight w:val="none"/>
        </w:rPr>
        <w:instrText xml:space="preserve"> PAGEREF _Toc1051 \h </w:instrText>
      </w:r>
      <w:r>
        <w:rPr>
          <w:color w:val="auto"/>
          <w:highlight w:val="none"/>
        </w:rPr>
        <w:fldChar w:fldCharType="separate"/>
      </w:r>
      <w:r>
        <w:rPr>
          <w:color w:val="auto"/>
          <w:highlight w:val="none"/>
        </w:rPr>
        <w:t>80</w:t>
      </w:r>
      <w:r>
        <w:rPr>
          <w:color w:val="auto"/>
          <w:highlight w:val="none"/>
        </w:rPr>
        <w:fldChar w:fldCharType="end"/>
      </w:r>
      <w:r>
        <w:rPr>
          <w:rFonts w:hint="eastAsia" w:ascii="宋体" w:hAnsi="宋体"/>
          <w:color w:val="auto"/>
          <w:szCs w:val="44"/>
          <w:highlight w:val="none"/>
        </w:rPr>
        <w:fldChar w:fldCharType="end"/>
      </w:r>
    </w:p>
    <w:p w14:paraId="6C332911">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_Toc15074 </w:instrText>
      </w:r>
      <w:r>
        <w:rPr>
          <w:rFonts w:hint="eastAsia" w:ascii="宋体" w:hAnsi="宋体"/>
          <w:color w:val="auto"/>
          <w:szCs w:val="44"/>
          <w:highlight w:val="none"/>
        </w:rPr>
        <w:fldChar w:fldCharType="separate"/>
      </w:r>
      <w:r>
        <w:rPr>
          <w:rFonts w:hint="eastAsia" w:ascii="宋体" w:hAnsi="宋体"/>
          <w:color w:val="auto"/>
          <w:highlight w:val="none"/>
        </w:rPr>
        <w:t>2.</w:t>
      </w:r>
      <w:r>
        <w:rPr>
          <w:rFonts w:hint="eastAsia" w:ascii="宋体" w:hAnsi="宋体"/>
          <w:color w:val="auto"/>
          <w:szCs w:val="28"/>
          <w:highlight w:val="none"/>
        </w:rPr>
        <w:t>投标人直接管理关系信息表（格式）</w:t>
      </w:r>
      <w:r>
        <w:rPr>
          <w:color w:val="auto"/>
          <w:highlight w:val="none"/>
        </w:rPr>
        <w:tab/>
      </w:r>
      <w:r>
        <w:rPr>
          <w:color w:val="auto"/>
          <w:highlight w:val="none"/>
        </w:rPr>
        <w:fldChar w:fldCharType="begin"/>
      </w:r>
      <w:r>
        <w:rPr>
          <w:color w:val="auto"/>
          <w:highlight w:val="none"/>
        </w:rPr>
        <w:instrText xml:space="preserve"> PAGEREF _Toc15074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color w:val="auto"/>
          <w:szCs w:val="44"/>
          <w:highlight w:val="none"/>
        </w:rPr>
        <w:fldChar w:fldCharType="end"/>
      </w:r>
    </w:p>
    <w:p w14:paraId="2DEFCDEC">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_Toc24039 </w:instrText>
      </w:r>
      <w:r>
        <w:rPr>
          <w:rFonts w:hint="eastAsia" w:ascii="宋体" w:hAnsi="宋体"/>
          <w:color w:val="auto"/>
          <w:szCs w:val="44"/>
          <w:highlight w:val="none"/>
        </w:rPr>
        <w:fldChar w:fldCharType="separate"/>
      </w: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投标声明（格式）</w:t>
      </w:r>
      <w:r>
        <w:rPr>
          <w:color w:val="auto"/>
          <w:highlight w:val="none"/>
        </w:rPr>
        <w:tab/>
      </w:r>
      <w:r>
        <w:rPr>
          <w:color w:val="auto"/>
          <w:highlight w:val="none"/>
        </w:rPr>
        <w:fldChar w:fldCharType="begin"/>
      </w:r>
      <w:r>
        <w:rPr>
          <w:color w:val="auto"/>
          <w:highlight w:val="none"/>
        </w:rPr>
        <w:instrText xml:space="preserve"> PAGEREF _Toc24039 \h </w:instrText>
      </w:r>
      <w:r>
        <w:rPr>
          <w:color w:val="auto"/>
          <w:highlight w:val="none"/>
        </w:rPr>
        <w:fldChar w:fldCharType="separate"/>
      </w:r>
      <w:r>
        <w:rPr>
          <w:color w:val="auto"/>
          <w:highlight w:val="none"/>
        </w:rPr>
        <w:t>82</w:t>
      </w:r>
      <w:r>
        <w:rPr>
          <w:color w:val="auto"/>
          <w:highlight w:val="none"/>
        </w:rPr>
        <w:fldChar w:fldCharType="end"/>
      </w:r>
      <w:r>
        <w:rPr>
          <w:rFonts w:hint="eastAsia" w:ascii="宋体" w:hAnsi="宋体"/>
          <w:color w:val="auto"/>
          <w:szCs w:val="44"/>
          <w:highlight w:val="none"/>
        </w:rPr>
        <w:fldChar w:fldCharType="end"/>
      </w:r>
    </w:p>
    <w:p w14:paraId="7B5940C5">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_Toc29819 </w:instrText>
      </w:r>
      <w:r>
        <w:rPr>
          <w:rFonts w:hint="eastAsia" w:ascii="宋体" w:hAnsi="宋体"/>
          <w:color w:val="auto"/>
          <w:szCs w:val="44"/>
          <w:highlight w:val="none"/>
        </w:rPr>
        <w:fldChar w:fldCharType="separate"/>
      </w:r>
      <w:r>
        <w:rPr>
          <w:rFonts w:hint="eastAsia" w:ascii="宋体" w:hAnsi="宋体"/>
          <w:color w:val="auto"/>
          <w:spacing w:val="20"/>
          <w:highlight w:val="none"/>
          <w:lang w:val="en-US" w:eastAsia="zh-CN"/>
        </w:rPr>
        <w:t>4</w:t>
      </w:r>
      <w:r>
        <w:rPr>
          <w:rFonts w:hint="eastAsia" w:ascii="宋体" w:hAnsi="宋体"/>
          <w:color w:val="auto"/>
          <w:spacing w:val="20"/>
          <w:highlight w:val="none"/>
        </w:rPr>
        <w:t>.联合投标协议书（格式）</w:t>
      </w:r>
      <w:r>
        <w:rPr>
          <w:color w:val="auto"/>
          <w:highlight w:val="none"/>
        </w:rPr>
        <w:tab/>
      </w:r>
      <w:r>
        <w:rPr>
          <w:color w:val="auto"/>
          <w:highlight w:val="none"/>
        </w:rPr>
        <w:fldChar w:fldCharType="begin"/>
      </w:r>
      <w:r>
        <w:rPr>
          <w:color w:val="auto"/>
          <w:highlight w:val="none"/>
        </w:rPr>
        <w:instrText xml:space="preserve"> PAGEREF _Toc29819 \h </w:instrText>
      </w:r>
      <w:r>
        <w:rPr>
          <w:color w:val="auto"/>
          <w:highlight w:val="none"/>
        </w:rPr>
        <w:fldChar w:fldCharType="separate"/>
      </w:r>
      <w:r>
        <w:rPr>
          <w:color w:val="auto"/>
          <w:highlight w:val="none"/>
        </w:rPr>
        <w:t>83</w:t>
      </w:r>
      <w:r>
        <w:rPr>
          <w:color w:val="auto"/>
          <w:highlight w:val="none"/>
        </w:rPr>
        <w:fldChar w:fldCharType="end"/>
      </w:r>
      <w:r>
        <w:rPr>
          <w:rFonts w:hint="eastAsia" w:ascii="宋体" w:hAnsi="宋体"/>
          <w:color w:val="auto"/>
          <w:szCs w:val="44"/>
          <w:highlight w:val="none"/>
        </w:rPr>
        <w:fldChar w:fldCharType="end"/>
      </w:r>
    </w:p>
    <w:p w14:paraId="36040E76">
      <w:pPr>
        <w:pStyle w:val="40"/>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_Toc28871 </w:instrText>
      </w:r>
      <w:r>
        <w:rPr>
          <w:rFonts w:hint="eastAsia" w:ascii="宋体" w:hAnsi="宋体"/>
          <w:color w:val="auto"/>
          <w:szCs w:val="44"/>
          <w:highlight w:val="none"/>
        </w:rPr>
        <w:fldChar w:fldCharType="separate"/>
      </w:r>
      <w:r>
        <w:rPr>
          <w:rFonts w:hint="eastAsia"/>
          <w:color w:val="auto"/>
          <w:szCs w:val="28"/>
          <w:highlight w:val="none"/>
        </w:rPr>
        <w:t>三、商务及技术文件格式</w:t>
      </w:r>
      <w:r>
        <w:rPr>
          <w:color w:val="auto"/>
          <w:highlight w:val="none"/>
        </w:rPr>
        <w:tab/>
      </w:r>
      <w:r>
        <w:rPr>
          <w:color w:val="auto"/>
          <w:highlight w:val="none"/>
        </w:rPr>
        <w:fldChar w:fldCharType="begin"/>
      </w:r>
      <w:r>
        <w:rPr>
          <w:color w:val="auto"/>
          <w:highlight w:val="none"/>
        </w:rPr>
        <w:instrText xml:space="preserve"> PAGEREF _Toc28871 \h </w:instrText>
      </w:r>
      <w:r>
        <w:rPr>
          <w:color w:val="auto"/>
          <w:highlight w:val="none"/>
        </w:rPr>
        <w:fldChar w:fldCharType="separate"/>
      </w:r>
      <w:r>
        <w:rPr>
          <w:color w:val="auto"/>
          <w:highlight w:val="none"/>
        </w:rPr>
        <w:t>84</w:t>
      </w:r>
      <w:r>
        <w:rPr>
          <w:color w:val="auto"/>
          <w:highlight w:val="none"/>
        </w:rPr>
        <w:fldChar w:fldCharType="end"/>
      </w:r>
      <w:r>
        <w:rPr>
          <w:rFonts w:hint="eastAsia" w:ascii="宋体" w:hAnsi="宋体"/>
          <w:color w:val="auto"/>
          <w:szCs w:val="44"/>
          <w:highlight w:val="none"/>
        </w:rPr>
        <w:fldChar w:fldCharType="end"/>
      </w:r>
    </w:p>
    <w:p w14:paraId="118CB267">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_Toc16124 </w:instrText>
      </w:r>
      <w:r>
        <w:rPr>
          <w:rFonts w:hint="eastAsia" w:ascii="宋体" w:hAnsi="宋体"/>
          <w:color w:val="auto"/>
          <w:szCs w:val="44"/>
          <w:highlight w:val="none"/>
        </w:rPr>
        <w:fldChar w:fldCharType="separate"/>
      </w:r>
      <w:r>
        <w:rPr>
          <w:rFonts w:hint="eastAsia" w:ascii="宋体" w:hAnsi="宋体"/>
          <w:color w:val="auto"/>
          <w:highlight w:val="none"/>
        </w:rPr>
        <w:t>商务及技术文件封面格式</w:t>
      </w:r>
      <w:r>
        <w:rPr>
          <w:color w:val="auto"/>
          <w:highlight w:val="none"/>
        </w:rPr>
        <w:tab/>
      </w:r>
      <w:r>
        <w:rPr>
          <w:color w:val="auto"/>
          <w:highlight w:val="none"/>
        </w:rPr>
        <w:fldChar w:fldCharType="begin"/>
      </w:r>
      <w:r>
        <w:rPr>
          <w:color w:val="auto"/>
          <w:highlight w:val="none"/>
        </w:rPr>
        <w:instrText xml:space="preserve"> PAGEREF _Toc16124 \h </w:instrText>
      </w:r>
      <w:r>
        <w:rPr>
          <w:color w:val="auto"/>
          <w:highlight w:val="none"/>
        </w:rPr>
        <w:fldChar w:fldCharType="separate"/>
      </w:r>
      <w:r>
        <w:rPr>
          <w:color w:val="auto"/>
          <w:highlight w:val="none"/>
        </w:rPr>
        <w:t>84</w:t>
      </w:r>
      <w:r>
        <w:rPr>
          <w:color w:val="auto"/>
          <w:highlight w:val="none"/>
        </w:rPr>
        <w:fldChar w:fldCharType="end"/>
      </w:r>
      <w:r>
        <w:rPr>
          <w:rFonts w:hint="eastAsia" w:ascii="宋体" w:hAnsi="宋体"/>
          <w:color w:val="auto"/>
          <w:szCs w:val="44"/>
          <w:highlight w:val="none"/>
        </w:rPr>
        <w:fldChar w:fldCharType="end"/>
      </w:r>
    </w:p>
    <w:p w14:paraId="191DB75B">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_Toc16767 </w:instrText>
      </w:r>
      <w:r>
        <w:rPr>
          <w:rFonts w:hint="eastAsia" w:ascii="宋体" w:hAnsi="宋体"/>
          <w:color w:val="auto"/>
          <w:szCs w:val="44"/>
          <w:highlight w:val="none"/>
        </w:rPr>
        <w:fldChar w:fldCharType="separate"/>
      </w:r>
      <w:r>
        <w:rPr>
          <w:rFonts w:hint="eastAsia" w:ascii="宋体" w:hAnsi="宋体"/>
          <w:color w:val="auto"/>
          <w:highlight w:val="none"/>
        </w:rPr>
        <w:t>商务及技术文件目录</w:t>
      </w:r>
      <w:r>
        <w:rPr>
          <w:color w:val="auto"/>
          <w:highlight w:val="none"/>
        </w:rPr>
        <w:tab/>
      </w:r>
      <w:r>
        <w:rPr>
          <w:color w:val="auto"/>
          <w:highlight w:val="none"/>
        </w:rPr>
        <w:fldChar w:fldCharType="begin"/>
      </w:r>
      <w:r>
        <w:rPr>
          <w:color w:val="auto"/>
          <w:highlight w:val="none"/>
        </w:rPr>
        <w:instrText xml:space="preserve"> PAGEREF _Toc16767 \h </w:instrText>
      </w:r>
      <w:r>
        <w:rPr>
          <w:color w:val="auto"/>
          <w:highlight w:val="none"/>
        </w:rPr>
        <w:fldChar w:fldCharType="separate"/>
      </w:r>
      <w:r>
        <w:rPr>
          <w:color w:val="auto"/>
          <w:highlight w:val="none"/>
        </w:rPr>
        <w:t>85</w:t>
      </w:r>
      <w:r>
        <w:rPr>
          <w:color w:val="auto"/>
          <w:highlight w:val="none"/>
        </w:rPr>
        <w:fldChar w:fldCharType="end"/>
      </w:r>
      <w:r>
        <w:rPr>
          <w:rFonts w:hint="eastAsia" w:ascii="宋体" w:hAnsi="宋体"/>
          <w:color w:val="auto"/>
          <w:szCs w:val="44"/>
          <w:highlight w:val="none"/>
        </w:rPr>
        <w:fldChar w:fldCharType="end"/>
      </w:r>
    </w:p>
    <w:p w14:paraId="03E42360">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_Toc3911 </w:instrText>
      </w:r>
      <w:r>
        <w:rPr>
          <w:rFonts w:hint="eastAsia" w:ascii="宋体" w:hAnsi="宋体"/>
          <w:color w:val="auto"/>
          <w:szCs w:val="44"/>
          <w:highlight w:val="none"/>
        </w:rPr>
        <w:fldChar w:fldCharType="separate"/>
      </w:r>
      <w:r>
        <w:rPr>
          <w:rFonts w:hint="eastAsia" w:ascii="宋体" w:hAnsi="宋体"/>
          <w:color w:val="auto"/>
          <w:highlight w:val="none"/>
          <w:lang w:eastAsia="zh-CN"/>
        </w:rPr>
        <w:t>（</w:t>
      </w:r>
      <w:r>
        <w:rPr>
          <w:rFonts w:hint="eastAsia" w:ascii="宋体" w:hAnsi="宋体"/>
          <w:color w:val="auto"/>
          <w:highlight w:val="none"/>
          <w:lang w:val="en-US" w:eastAsia="zh-CN"/>
        </w:rPr>
        <w:t>一）商务部分（格式）</w:t>
      </w:r>
      <w:r>
        <w:rPr>
          <w:color w:val="auto"/>
          <w:highlight w:val="none"/>
        </w:rPr>
        <w:tab/>
      </w:r>
      <w:r>
        <w:rPr>
          <w:color w:val="auto"/>
          <w:highlight w:val="none"/>
        </w:rPr>
        <w:fldChar w:fldCharType="begin"/>
      </w:r>
      <w:r>
        <w:rPr>
          <w:color w:val="auto"/>
          <w:highlight w:val="none"/>
        </w:rPr>
        <w:instrText xml:space="preserve"> PAGEREF _Toc3911 \h </w:instrText>
      </w:r>
      <w:r>
        <w:rPr>
          <w:color w:val="auto"/>
          <w:highlight w:val="none"/>
        </w:rPr>
        <w:fldChar w:fldCharType="separate"/>
      </w:r>
      <w:r>
        <w:rPr>
          <w:color w:val="auto"/>
          <w:highlight w:val="none"/>
        </w:rPr>
        <w:t>86</w:t>
      </w:r>
      <w:r>
        <w:rPr>
          <w:color w:val="auto"/>
          <w:highlight w:val="none"/>
        </w:rPr>
        <w:fldChar w:fldCharType="end"/>
      </w:r>
      <w:r>
        <w:rPr>
          <w:rFonts w:hint="eastAsia" w:ascii="宋体" w:hAnsi="宋体"/>
          <w:color w:val="auto"/>
          <w:szCs w:val="44"/>
          <w:highlight w:val="none"/>
        </w:rPr>
        <w:fldChar w:fldCharType="end"/>
      </w:r>
    </w:p>
    <w:p w14:paraId="19AC8642">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_Toc4074 </w:instrText>
      </w:r>
      <w:r>
        <w:rPr>
          <w:rFonts w:hint="eastAsia" w:ascii="宋体" w:hAnsi="宋体"/>
          <w:color w:val="auto"/>
          <w:szCs w:val="44"/>
          <w:highlight w:val="none"/>
        </w:rPr>
        <w:fldChar w:fldCharType="separate"/>
      </w:r>
      <w:r>
        <w:rPr>
          <w:rFonts w:hint="eastAsia" w:ascii="宋体" w:hAnsi="宋体"/>
          <w:color w:val="auto"/>
          <w:highlight w:val="none"/>
        </w:rPr>
        <w:t>1.投标人参加本项目无围标串标行为的承诺</w:t>
      </w:r>
      <w:r>
        <w:rPr>
          <w:color w:val="auto"/>
          <w:highlight w:val="none"/>
        </w:rPr>
        <w:tab/>
      </w:r>
      <w:r>
        <w:rPr>
          <w:color w:val="auto"/>
          <w:highlight w:val="none"/>
        </w:rPr>
        <w:fldChar w:fldCharType="begin"/>
      </w:r>
      <w:r>
        <w:rPr>
          <w:color w:val="auto"/>
          <w:highlight w:val="none"/>
        </w:rPr>
        <w:instrText xml:space="preserve"> PAGEREF _Toc4074 \h </w:instrText>
      </w:r>
      <w:r>
        <w:rPr>
          <w:color w:val="auto"/>
          <w:highlight w:val="none"/>
        </w:rPr>
        <w:fldChar w:fldCharType="separate"/>
      </w:r>
      <w:r>
        <w:rPr>
          <w:color w:val="auto"/>
          <w:highlight w:val="none"/>
        </w:rPr>
        <w:t>86</w:t>
      </w:r>
      <w:r>
        <w:rPr>
          <w:color w:val="auto"/>
          <w:highlight w:val="none"/>
        </w:rPr>
        <w:fldChar w:fldCharType="end"/>
      </w:r>
      <w:r>
        <w:rPr>
          <w:rFonts w:hint="eastAsia" w:ascii="宋体" w:hAnsi="宋体"/>
          <w:color w:val="auto"/>
          <w:szCs w:val="44"/>
          <w:highlight w:val="none"/>
        </w:rPr>
        <w:fldChar w:fldCharType="end"/>
      </w:r>
    </w:p>
    <w:p w14:paraId="44FADAA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_Toc21055 </w:instrText>
      </w:r>
      <w:r>
        <w:rPr>
          <w:rFonts w:hint="eastAsia" w:ascii="宋体" w:hAnsi="宋体"/>
          <w:color w:val="auto"/>
          <w:szCs w:val="44"/>
          <w:highlight w:val="none"/>
        </w:rPr>
        <w:fldChar w:fldCharType="separate"/>
      </w:r>
      <w:r>
        <w:rPr>
          <w:rFonts w:hint="eastAsia" w:ascii="宋体" w:hAnsi="宋体"/>
          <w:color w:val="auto"/>
          <w:highlight w:val="none"/>
          <w:lang w:val="en-US" w:eastAsia="zh-CN"/>
        </w:rPr>
        <w:t>2.投标保证金提交凭证</w:t>
      </w:r>
      <w:r>
        <w:rPr>
          <w:rFonts w:hint="eastAsia" w:ascii="宋体" w:hAnsi="宋体" w:eastAsia="宋体" w:cs="Times New Roman"/>
          <w:color w:val="auto"/>
          <w:highlight w:val="none"/>
          <w:lang w:val="en-US" w:eastAsia="zh-CN"/>
        </w:rPr>
        <w:t>（格式自拟）</w:t>
      </w:r>
      <w:r>
        <w:rPr>
          <w:color w:val="auto"/>
          <w:highlight w:val="none"/>
        </w:rPr>
        <w:tab/>
      </w:r>
      <w:r>
        <w:rPr>
          <w:color w:val="auto"/>
          <w:highlight w:val="none"/>
        </w:rPr>
        <w:fldChar w:fldCharType="begin"/>
      </w:r>
      <w:r>
        <w:rPr>
          <w:color w:val="auto"/>
          <w:highlight w:val="none"/>
        </w:rPr>
        <w:instrText xml:space="preserve"> PAGEREF _Toc21055 \h </w:instrText>
      </w:r>
      <w:r>
        <w:rPr>
          <w:color w:val="auto"/>
          <w:highlight w:val="none"/>
        </w:rPr>
        <w:fldChar w:fldCharType="separate"/>
      </w:r>
      <w:r>
        <w:rPr>
          <w:color w:val="auto"/>
          <w:highlight w:val="none"/>
        </w:rPr>
        <w:t>87</w:t>
      </w:r>
      <w:r>
        <w:rPr>
          <w:color w:val="auto"/>
          <w:highlight w:val="none"/>
        </w:rPr>
        <w:fldChar w:fldCharType="end"/>
      </w:r>
      <w:r>
        <w:rPr>
          <w:rFonts w:hint="eastAsia" w:ascii="宋体" w:hAnsi="宋体"/>
          <w:color w:val="auto"/>
          <w:szCs w:val="44"/>
          <w:highlight w:val="none"/>
        </w:rPr>
        <w:fldChar w:fldCharType="end"/>
      </w:r>
    </w:p>
    <w:p w14:paraId="31E3690C">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_Toc30705 </w:instrText>
      </w:r>
      <w:r>
        <w:rPr>
          <w:rFonts w:hint="eastAsia" w:ascii="宋体" w:hAnsi="宋体"/>
          <w:color w:val="auto"/>
          <w:szCs w:val="44"/>
          <w:highlight w:val="none"/>
        </w:rPr>
        <w:fldChar w:fldCharType="separate"/>
      </w:r>
      <w:r>
        <w:rPr>
          <w:rFonts w:hint="eastAsia" w:ascii="宋体" w:hAnsi="宋体"/>
          <w:color w:val="auto"/>
          <w:highlight w:val="none"/>
          <w:lang w:val="en-US" w:eastAsia="zh-CN"/>
        </w:rPr>
        <w:t>3</w:t>
      </w:r>
      <w:r>
        <w:rPr>
          <w:rFonts w:hint="eastAsia" w:ascii="宋体" w:hAnsi="宋体"/>
          <w:color w:val="auto"/>
          <w:highlight w:val="none"/>
        </w:rPr>
        <w:t>.法定代表人身份证明及法定代表人有效身份证正反面复印件</w:t>
      </w:r>
      <w:r>
        <w:rPr>
          <w:rFonts w:hint="eastAsia" w:ascii="宋体" w:hAnsi="宋体"/>
          <w:color w:val="auto"/>
          <w:highlight w:val="none"/>
          <w:lang w:eastAsia="zh-CN"/>
        </w:rPr>
        <w:t>（</w:t>
      </w:r>
      <w:r>
        <w:rPr>
          <w:rFonts w:hint="eastAsia" w:ascii="宋体" w:hAnsi="宋体"/>
          <w:color w:val="auto"/>
          <w:highlight w:val="none"/>
          <w:lang w:val="en-US" w:eastAsia="zh-CN"/>
        </w:rPr>
        <w:t>格式</w:t>
      </w:r>
      <w:r>
        <w:rPr>
          <w:rFonts w:hint="eastAsia" w:ascii="宋体" w:hAnsi="宋体"/>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_Toc30705 \h </w:instrText>
      </w:r>
      <w:r>
        <w:rPr>
          <w:color w:val="auto"/>
          <w:highlight w:val="none"/>
        </w:rPr>
        <w:fldChar w:fldCharType="separate"/>
      </w:r>
      <w:r>
        <w:rPr>
          <w:color w:val="auto"/>
          <w:highlight w:val="none"/>
        </w:rPr>
        <w:t>87</w:t>
      </w:r>
      <w:r>
        <w:rPr>
          <w:color w:val="auto"/>
          <w:highlight w:val="none"/>
        </w:rPr>
        <w:fldChar w:fldCharType="end"/>
      </w:r>
      <w:r>
        <w:rPr>
          <w:rFonts w:hint="eastAsia" w:ascii="宋体" w:hAnsi="宋体"/>
          <w:color w:val="auto"/>
          <w:szCs w:val="44"/>
          <w:highlight w:val="none"/>
        </w:rPr>
        <w:fldChar w:fldCharType="end"/>
      </w:r>
    </w:p>
    <w:p w14:paraId="501403C1">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_Toc21625 </w:instrText>
      </w:r>
      <w:r>
        <w:rPr>
          <w:rFonts w:hint="eastAsia" w:ascii="宋体" w:hAnsi="宋体"/>
          <w:color w:val="auto"/>
          <w:szCs w:val="44"/>
          <w:highlight w:val="none"/>
        </w:rPr>
        <w:fldChar w:fldCharType="separate"/>
      </w:r>
      <w:r>
        <w:rPr>
          <w:rFonts w:hint="eastAsia" w:ascii="宋体" w:hAnsi="宋体"/>
          <w:color w:val="auto"/>
          <w:highlight w:val="none"/>
          <w:lang w:val="en-US" w:eastAsia="zh-CN"/>
        </w:rPr>
        <w:t>4</w:t>
      </w:r>
      <w:r>
        <w:rPr>
          <w:rFonts w:hint="eastAsia" w:ascii="宋体" w:hAnsi="宋体"/>
          <w:color w:val="auto"/>
          <w:highlight w:val="none"/>
        </w:rPr>
        <w:t>.授权委托书及委托代理人有效身份证正反面复印件（格式）</w:t>
      </w:r>
      <w:r>
        <w:rPr>
          <w:color w:val="auto"/>
          <w:highlight w:val="none"/>
        </w:rPr>
        <w:tab/>
      </w:r>
      <w:r>
        <w:rPr>
          <w:color w:val="auto"/>
          <w:highlight w:val="none"/>
        </w:rPr>
        <w:fldChar w:fldCharType="begin"/>
      </w:r>
      <w:r>
        <w:rPr>
          <w:color w:val="auto"/>
          <w:highlight w:val="none"/>
        </w:rPr>
        <w:instrText xml:space="preserve"> PAGEREF _Toc21625 \h </w:instrText>
      </w:r>
      <w:r>
        <w:rPr>
          <w:color w:val="auto"/>
          <w:highlight w:val="none"/>
        </w:rPr>
        <w:fldChar w:fldCharType="separate"/>
      </w:r>
      <w:r>
        <w:rPr>
          <w:color w:val="auto"/>
          <w:highlight w:val="none"/>
        </w:rPr>
        <w:t>88</w:t>
      </w:r>
      <w:r>
        <w:rPr>
          <w:color w:val="auto"/>
          <w:highlight w:val="none"/>
        </w:rPr>
        <w:fldChar w:fldCharType="end"/>
      </w:r>
      <w:r>
        <w:rPr>
          <w:rFonts w:hint="eastAsia" w:ascii="宋体" w:hAnsi="宋体"/>
          <w:color w:val="auto"/>
          <w:szCs w:val="44"/>
          <w:highlight w:val="none"/>
        </w:rPr>
        <w:fldChar w:fldCharType="end"/>
      </w:r>
    </w:p>
    <w:p w14:paraId="58C10FF8">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_Toc23291 </w:instrText>
      </w:r>
      <w:r>
        <w:rPr>
          <w:rFonts w:hint="eastAsia" w:ascii="宋体" w:hAnsi="宋体"/>
          <w:color w:val="auto"/>
          <w:szCs w:val="44"/>
          <w:highlight w:val="none"/>
        </w:rPr>
        <w:fldChar w:fldCharType="separate"/>
      </w:r>
      <w:r>
        <w:rPr>
          <w:rFonts w:hint="eastAsia" w:ascii="宋体" w:hAnsi="宋体"/>
          <w:color w:val="auto"/>
          <w:highlight w:val="none"/>
          <w:lang w:val="en-US" w:eastAsia="zh-CN"/>
        </w:rPr>
        <w:t>5</w:t>
      </w:r>
      <w:r>
        <w:rPr>
          <w:rFonts w:hint="eastAsia" w:ascii="宋体" w:hAnsi="宋体"/>
          <w:color w:val="auto"/>
          <w:highlight w:val="none"/>
        </w:rPr>
        <w:t>.商务要求偏离表（格式）</w:t>
      </w:r>
      <w:r>
        <w:rPr>
          <w:color w:val="auto"/>
          <w:highlight w:val="none"/>
        </w:rPr>
        <w:tab/>
      </w:r>
      <w:r>
        <w:rPr>
          <w:color w:val="auto"/>
          <w:highlight w:val="none"/>
        </w:rPr>
        <w:fldChar w:fldCharType="begin"/>
      </w:r>
      <w:r>
        <w:rPr>
          <w:color w:val="auto"/>
          <w:highlight w:val="none"/>
        </w:rPr>
        <w:instrText xml:space="preserve"> PAGEREF _Toc23291 \h </w:instrText>
      </w:r>
      <w:r>
        <w:rPr>
          <w:color w:val="auto"/>
          <w:highlight w:val="none"/>
        </w:rPr>
        <w:fldChar w:fldCharType="separate"/>
      </w:r>
      <w:r>
        <w:rPr>
          <w:color w:val="auto"/>
          <w:highlight w:val="none"/>
        </w:rPr>
        <w:t>90</w:t>
      </w:r>
      <w:r>
        <w:rPr>
          <w:color w:val="auto"/>
          <w:highlight w:val="none"/>
        </w:rPr>
        <w:fldChar w:fldCharType="end"/>
      </w:r>
      <w:r>
        <w:rPr>
          <w:rFonts w:hint="eastAsia" w:ascii="宋体" w:hAnsi="宋体"/>
          <w:color w:val="auto"/>
          <w:szCs w:val="44"/>
          <w:highlight w:val="none"/>
        </w:rPr>
        <w:fldChar w:fldCharType="end"/>
      </w:r>
    </w:p>
    <w:p w14:paraId="7F4424D9">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_Toc9302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6.售后服务承诺（格式自拟）</w:t>
      </w:r>
      <w:r>
        <w:rPr>
          <w:color w:val="auto"/>
          <w:highlight w:val="none"/>
        </w:rPr>
        <w:tab/>
      </w:r>
      <w:r>
        <w:rPr>
          <w:color w:val="auto"/>
          <w:highlight w:val="none"/>
        </w:rPr>
        <w:fldChar w:fldCharType="begin"/>
      </w:r>
      <w:r>
        <w:rPr>
          <w:color w:val="auto"/>
          <w:highlight w:val="none"/>
        </w:rPr>
        <w:instrText xml:space="preserve"> PAGEREF _Toc9302 \h </w:instrText>
      </w:r>
      <w:r>
        <w:rPr>
          <w:color w:val="auto"/>
          <w:highlight w:val="none"/>
        </w:rPr>
        <w:fldChar w:fldCharType="separate"/>
      </w:r>
      <w:r>
        <w:rPr>
          <w:color w:val="auto"/>
          <w:highlight w:val="none"/>
        </w:rPr>
        <w:t>91</w:t>
      </w:r>
      <w:r>
        <w:rPr>
          <w:color w:val="auto"/>
          <w:highlight w:val="none"/>
        </w:rPr>
        <w:fldChar w:fldCharType="end"/>
      </w:r>
      <w:r>
        <w:rPr>
          <w:rFonts w:hint="eastAsia" w:ascii="宋体" w:hAnsi="宋体"/>
          <w:color w:val="auto"/>
          <w:szCs w:val="44"/>
          <w:highlight w:val="none"/>
        </w:rPr>
        <w:fldChar w:fldCharType="end"/>
      </w:r>
    </w:p>
    <w:p w14:paraId="4CB372EF">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_Toc24083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7.本地化服务能力证明（格式）</w:t>
      </w:r>
      <w:r>
        <w:rPr>
          <w:color w:val="auto"/>
          <w:highlight w:val="none"/>
        </w:rPr>
        <w:tab/>
      </w:r>
      <w:r>
        <w:rPr>
          <w:color w:val="auto"/>
          <w:highlight w:val="none"/>
        </w:rPr>
        <w:fldChar w:fldCharType="begin"/>
      </w:r>
      <w:r>
        <w:rPr>
          <w:color w:val="auto"/>
          <w:highlight w:val="none"/>
        </w:rPr>
        <w:instrText xml:space="preserve"> PAGEREF _Toc24083 \h </w:instrText>
      </w:r>
      <w:r>
        <w:rPr>
          <w:color w:val="auto"/>
          <w:highlight w:val="none"/>
        </w:rPr>
        <w:fldChar w:fldCharType="separate"/>
      </w:r>
      <w:r>
        <w:rPr>
          <w:color w:val="auto"/>
          <w:highlight w:val="none"/>
        </w:rPr>
        <w:t>91</w:t>
      </w:r>
      <w:r>
        <w:rPr>
          <w:color w:val="auto"/>
          <w:highlight w:val="none"/>
        </w:rPr>
        <w:fldChar w:fldCharType="end"/>
      </w:r>
      <w:r>
        <w:rPr>
          <w:rFonts w:hint="eastAsia" w:ascii="宋体" w:hAnsi="宋体"/>
          <w:color w:val="auto"/>
          <w:szCs w:val="44"/>
          <w:highlight w:val="none"/>
        </w:rPr>
        <w:fldChar w:fldCharType="end"/>
      </w:r>
    </w:p>
    <w:p w14:paraId="6629F781">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_Toc10784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8.售前、售中和售后服务方案（格式自拟）；</w:t>
      </w:r>
      <w:r>
        <w:rPr>
          <w:color w:val="auto"/>
          <w:highlight w:val="none"/>
        </w:rPr>
        <w:tab/>
      </w:r>
      <w:r>
        <w:rPr>
          <w:color w:val="auto"/>
          <w:highlight w:val="none"/>
        </w:rPr>
        <w:fldChar w:fldCharType="begin"/>
      </w:r>
      <w:r>
        <w:rPr>
          <w:color w:val="auto"/>
          <w:highlight w:val="none"/>
        </w:rPr>
        <w:instrText xml:space="preserve"> PAGEREF _Toc10784 \h </w:instrText>
      </w:r>
      <w:r>
        <w:rPr>
          <w:color w:val="auto"/>
          <w:highlight w:val="none"/>
        </w:rPr>
        <w:fldChar w:fldCharType="separate"/>
      </w:r>
      <w:r>
        <w:rPr>
          <w:color w:val="auto"/>
          <w:highlight w:val="none"/>
        </w:rPr>
        <w:t>92</w:t>
      </w:r>
      <w:r>
        <w:rPr>
          <w:color w:val="auto"/>
          <w:highlight w:val="none"/>
        </w:rPr>
        <w:fldChar w:fldCharType="end"/>
      </w:r>
      <w:r>
        <w:rPr>
          <w:rFonts w:hint="eastAsia" w:ascii="宋体" w:hAnsi="宋体"/>
          <w:color w:val="auto"/>
          <w:szCs w:val="44"/>
          <w:highlight w:val="none"/>
        </w:rPr>
        <w:fldChar w:fldCharType="end"/>
      </w:r>
    </w:p>
    <w:p w14:paraId="2B4F92DB">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_Toc27166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9.投标人信誉业绩证明材料</w:t>
      </w:r>
      <w:r>
        <w:rPr>
          <w:color w:val="auto"/>
          <w:highlight w:val="none"/>
        </w:rPr>
        <w:tab/>
      </w:r>
      <w:r>
        <w:rPr>
          <w:color w:val="auto"/>
          <w:highlight w:val="none"/>
        </w:rPr>
        <w:fldChar w:fldCharType="begin"/>
      </w:r>
      <w:r>
        <w:rPr>
          <w:color w:val="auto"/>
          <w:highlight w:val="none"/>
        </w:rPr>
        <w:instrText xml:space="preserve"> PAGEREF _Toc27166 \h </w:instrText>
      </w:r>
      <w:r>
        <w:rPr>
          <w:color w:val="auto"/>
          <w:highlight w:val="none"/>
        </w:rPr>
        <w:fldChar w:fldCharType="separate"/>
      </w:r>
      <w:r>
        <w:rPr>
          <w:color w:val="auto"/>
          <w:highlight w:val="none"/>
        </w:rPr>
        <w:t>92</w:t>
      </w:r>
      <w:r>
        <w:rPr>
          <w:color w:val="auto"/>
          <w:highlight w:val="none"/>
        </w:rPr>
        <w:fldChar w:fldCharType="end"/>
      </w:r>
      <w:r>
        <w:rPr>
          <w:rFonts w:hint="eastAsia" w:ascii="宋体" w:hAnsi="宋体"/>
          <w:color w:val="auto"/>
          <w:szCs w:val="44"/>
          <w:highlight w:val="none"/>
        </w:rPr>
        <w:fldChar w:fldCharType="end"/>
      </w:r>
    </w:p>
    <w:p w14:paraId="3FBF50A7">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_Toc19937 </w:instrText>
      </w:r>
      <w:r>
        <w:rPr>
          <w:rFonts w:hint="eastAsia" w:ascii="宋体" w:hAnsi="宋体"/>
          <w:color w:val="auto"/>
          <w:szCs w:val="44"/>
          <w:highlight w:val="none"/>
        </w:rPr>
        <w:fldChar w:fldCharType="separate"/>
      </w:r>
      <w:r>
        <w:rPr>
          <w:rFonts w:hint="eastAsia" w:ascii="宋体" w:hAnsi="宋体"/>
          <w:bCs/>
          <w:color w:val="auto"/>
          <w:highlight w:val="none"/>
          <w:lang w:val="en-US" w:eastAsia="zh-CN"/>
        </w:rPr>
        <w:t>（二）技术部分（格式）</w:t>
      </w:r>
      <w:r>
        <w:rPr>
          <w:color w:val="auto"/>
          <w:highlight w:val="none"/>
        </w:rPr>
        <w:tab/>
      </w:r>
      <w:r>
        <w:rPr>
          <w:color w:val="auto"/>
          <w:highlight w:val="none"/>
        </w:rPr>
        <w:fldChar w:fldCharType="begin"/>
      </w:r>
      <w:r>
        <w:rPr>
          <w:color w:val="auto"/>
          <w:highlight w:val="none"/>
        </w:rPr>
        <w:instrText xml:space="preserve"> PAGEREF _Toc19937 \h </w:instrText>
      </w:r>
      <w:r>
        <w:rPr>
          <w:color w:val="auto"/>
          <w:highlight w:val="none"/>
        </w:rPr>
        <w:fldChar w:fldCharType="separate"/>
      </w:r>
      <w:r>
        <w:rPr>
          <w:color w:val="auto"/>
          <w:highlight w:val="none"/>
        </w:rPr>
        <w:t>93</w:t>
      </w:r>
      <w:r>
        <w:rPr>
          <w:color w:val="auto"/>
          <w:highlight w:val="none"/>
        </w:rPr>
        <w:fldChar w:fldCharType="end"/>
      </w:r>
      <w:r>
        <w:rPr>
          <w:rFonts w:hint="eastAsia" w:ascii="宋体" w:hAnsi="宋体"/>
          <w:color w:val="auto"/>
          <w:szCs w:val="44"/>
          <w:highlight w:val="none"/>
        </w:rPr>
        <w:fldChar w:fldCharType="end"/>
      </w:r>
    </w:p>
    <w:p w14:paraId="2C955B84">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_Toc18130 </w:instrText>
      </w:r>
      <w:r>
        <w:rPr>
          <w:rFonts w:hint="eastAsia" w:ascii="宋体" w:hAnsi="宋体"/>
          <w:color w:val="auto"/>
          <w:szCs w:val="44"/>
          <w:highlight w:val="none"/>
        </w:rPr>
        <w:fldChar w:fldCharType="separate"/>
      </w:r>
      <w:r>
        <w:rPr>
          <w:rFonts w:hint="eastAsia" w:ascii="宋体" w:hAnsi="宋体"/>
          <w:bCs/>
          <w:color w:val="auto"/>
          <w:highlight w:val="none"/>
          <w:lang w:val="en-US" w:eastAsia="zh-CN"/>
        </w:rPr>
        <w:t>1.投标人情况介绍（格式自拟）</w:t>
      </w:r>
      <w:r>
        <w:rPr>
          <w:color w:val="auto"/>
          <w:highlight w:val="none"/>
        </w:rPr>
        <w:tab/>
      </w:r>
      <w:r>
        <w:rPr>
          <w:color w:val="auto"/>
          <w:highlight w:val="none"/>
        </w:rPr>
        <w:fldChar w:fldCharType="begin"/>
      </w:r>
      <w:r>
        <w:rPr>
          <w:color w:val="auto"/>
          <w:highlight w:val="none"/>
        </w:rPr>
        <w:instrText xml:space="preserve"> PAGEREF _Toc18130 \h </w:instrText>
      </w:r>
      <w:r>
        <w:rPr>
          <w:color w:val="auto"/>
          <w:highlight w:val="none"/>
        </w:rPr>
        <w:fldChar w:fldCharType="separate"/>
      </w:r>
      <w:r>
        <w:rPr>
          <w:color w:val="auto"/>
          <w:highlight w:val="none"/>
        </w:rPr>
        <w:t>93</w:t>
      </w:r>
      <w:r>
        <w:rPr>
          <w:color w:val="auto"/>
          <w:highlight w:val="none"/>
        </w:rPr>
        <w:fldChar w:fldCharType="end"/>
      </w:r>
      <w:r>
        <w:rPr>
          <w:rFonts w:hint="eastAsia" w:ascii="宋体" w:hAnsi="宋体"/>
          <w:color w:val="auto"/>
          <w:szCs w:val="44"/>
          <w:highlight w:val="none"/>
        </w:rPr>
        <w:fldChar w:fldCharType="end"/>
      </w:r>
    </w:p>
    <w:p w14:paraId="1D7EA721">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_Toc260 </w:instrText>
      </w:r>
      <w:r>
        <w:rPr>
          <w:rFonts w:hint="eastAsia" w:ascii="宋体" w:hAnsi="宋体"/>
          <w:color w:val="auto"/>
          <w:szCs w:val="44"/>
          <w:highlight w:val="none"/>
        </w:rPr>
        <w:fldChar w:fldCharType="separate"/>
      </w:r>
      <w:r>
        <w:rPr>
          <w:rFonts w:hint="eastAsia" w:ascii="宋体" w:hAnsi="宋体"/>
          <w:bCs/>
          <w:color w:val="auto"/>
          <w:highlight w:val="none"/>
          <w:lang w:val="en-US" w:eastAsia="zh-CN"/>
        </w:rPr>
        <w:t>2</w:t>
      </w:r>
      <w:r>
        <w:rPr>
          <w:rFonts w:hint="eastAsia" w:ascii="宋体" w:hAnsi="宋体"/>
          <w:color w:val="auto"/>
          <w:highlight w:val="none"/>
        </w:rPr>
        <w:t>.货物配置清单（格式）</w:t>
      </w:r>
      <w:r>
        <w:rPr>
          <w:color w:val="auto"/>
          <w:highlight w:val="none"/>
        </w:rPr>
        <w:tab/>
      </w:r>
      <w:r>
        <w:rPr>
          <w:color w:val="auto"/>
          <w:highlight w:val="none"/>
        </w:rPr>
        <w:fldChar w:fldCharType="begin"/>
      </w:r>
      <w:r>
        <w:rPr>
          <w:color w:val="auto"/>
          <w:highlight w:val="none"/>
        </w:rPr>
        <w:instrText xml:space="preserve"> PAGEREF _Toc260 \h </w:instrText>
      </w:r>
      <w:r>
        <w:rPr>
          <w:color w:val="auto"/>
          <w:highlight w:val="none"/>
        </w:rPr>
        <w:fldChar w:fldCharType="separate"/>
      </w:r>
      <w:r>
        <w:rPr>
          <w:color w:val="auto"/>
          <w:highlight w:val="none"/>
        </w:rPr>
        <w:t>93</w:t>
      </w:r>
      <w:r>
        <w:rPr>
          <w:color w:val="auto"/>
          <w:highlight w:val="none"/>
        </w:rPr>
        <w:fldChar w:fldCharType="end"/>
      </w:r>
      <w:r>
        <w:rPr>
          <w:rFonts w:hint="eastAsia" w:ascii="宋体" w:hAnsi="宋体"/>
          <w:color w:val="auto"/>
          <w:szCs w:val="44"/>
          <w:highlight w:val="none"/>
        </w:rPr>
        <w:fldChar w:fldCharType="end"/>
      </w:r>
    </w:p>
    <w:p w14:paraId="1B562A00">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_Toc28235 </w:instrText>
      </w:r>
      <w:r>
        <w:rPr>
          <w:rFonts w:hint="eastAsia" w:ascii="宋体" w:hAnsi="宋体"/>
          <w:color w:val="auto"/>
          <w:szCs w:val="44"/>
          <w:highlight w:val="none"/>
        </w:rPr>
        <w:fldChar w:fldCharType="separate"/>
      </w:r>
      <w:r>
        <w:rPr>
          <w:rFonts w:hint="eastAsia" w:ascii="宋体" w:hAnsi="宋体"/>
          <w:color w:val="auto"/>
          <w:highlight w:val="none"/>
          <w:lang w:val="en-US" w:eastAsia="zh-CN"/>
        </w:rPr>
        <w:t>3</w:t>
      </w:r>
      <w:r>
        <w:rPr>
          <w:rFonts w:hint="eastAsia" w:ascii="宋体" w:hAnsi="宋体"/>
          <w:color w:val="auto"/>
          <w:highlight w:val="none"/>
        </w:rPr>
        <w:t>.技术要求偏离表（格式）</w:t>
      </w:r>
      <w:r>
        <w:rPr>
          <w:color w:val="auto"/>
          <w:highlight w:val="none"/>
        </w:rPr>
        <w:tab/>
      </w:r>
      <w:r>
        <w:rPr>
          <w:color w:val="auto"/>
          <w:highlight w:val="none"/>
        </w:rPr>
        <w:fldChar w:fldCharType="begin"/>
      </w:r>
      <w:r>
        <w:rPr>
          <w:color w:val="auto"/>
          <w:highlight w:val="none"/>
        </w:rPr>
        <w:instrText xml:space="preserve"> PAGEREF _Toc28235 \h </w:instrText>
      </w:r>
      <w:r>
        <w:rPr>
          <w:color w:val="auto"/>
          <w:highlight w:val="none"/>
        </w:rPr>
        <w:fldChar w:fldCharType="separate"/>
      </w:r>
      <w:r>
        <w:rPr>
          <w:color w:val="auto"/>
          <w:highlight w:val="none"/>
        </w:rPr>
        <w:t>94</w:t>
      </w:r>
      <w:r>
        <w:rPr>
          <w:color w:val="auto"/>
          <w:highlight w:val="none"/>
        </w:rPr>
        <w:fldChar w:fldCharType="end"/>
      </w:r>
      <w:r>
        <w:rPr>
          <w:rFonts w:hint="eastAsia" w:ascii="宋体" w:hAnsi="宋体"/>
          <w:color w:val="auto"/>
          <w:szCs w:val="44"/>
          <w:highlight w:val="none"/>
        </w:rPr>
        <w:fldChar w:fldCharType="end"/>
      </w:r>
    </w:p>
    <w:p w14:paraId="2BE1DA49">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_Toc29197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5.优惠条件(格式自拟)</w:t>
      </w:r>
      <w:r>
        <w:rPr>
          <w:color w:val="auto"/>
          <w:highlight w:val="none"/>
        </w:rPr>
        <w:tab/>
      </w:r>
      <w:r>
        <w:rPr>
          <w:color w:val="auto"/>
          <w:highlight w:val="none"/>
        </w:rPr>
        <w:fldChar w:fldCharType="begin"/>
      </w:r>
      <w:r>
        <w:rPr>
          <w:color w:val="auto"/>
          <w:highlight w:val="none"/>
        </w:rPr>
        <w:instrText xml:space="preserve"> PAGEREF _Toc29197 \h </w:instrText>
      </w:r>
      <w:r>
        <w:rPr>
          <w:color w:val="auto"/>
          <w:highlight w:val="none"/>
        </w:rPr>
        <w:fldChar w:fldCharType="separate"/>
      </w:r>
      <w:r>
        <w:rPr>
          <w:color w:val="auto"/>
          <w:highlight w:val="none"/>
        </w:rPr>
        <w:t>95</w:t>
      </w:r>
      <w:r>
        <w:rPr>
          <w:color w:val="auto"/>
          <w:highlight w:val="none"/>
        </w:rPr>
        <w:fldChar w:fldCharType="end"/>
      </w:r>
      <w:r>
        <w:rPr>
          <w:rFonts w:hint="eastAsia" w:ascii="宋体" w:hAnsi="宋体"/>
          <w:color w:val="auto"/>
          <w:szCs w:val="44"/>
          <w:highlight w:val="none"/>
        </w:rPr>
        <w:fldChar w:fldCharType="end"/>
      </w:r>
    </w:p>
    <w:p w14:paraId="57BC1243">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_Toc26231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6.项目实施方案（格式自拟）</w:t>
      </w:r>
      <w:r>
        <w:rPr>
          <w:color w:val="auto"/>
          <w:highlight w:val="none"/>
        </w:rPr>
        <w:tab/>
      </w:r>
      <w:r>
        <w:rPr>
          <w:color w:val="auto"/>
          <w:highlight w:val="none"/>
        </w:rPr>
        <w:fldChar w:fldCharType="begin"/>
      </w:r>
      <w:r>
        <w:rPr>
          <w:color w:val="auto"/>
          <w:highlight w:val="none"/>
        </w:rPr>
        <w:instrText xml:space="preserve"> PAGEREF _Toc26231 \h </w:instrText>
      </w:r>
      <w:r>
        <w:rPr>
          <w:color w:val="auto"/>
          <w:highlight w:val="none"/>
        </w:rPr>
        <w:fldChar w:fldCharType="separate"/>
      </w:r>
      <w:r>
        <w:rPr>
          <w:color w:val="auto"/>
          <w:highlight w:val="none"/>
        </w:rPr>
        <w:t>95</w:t>
      </w:r>
      <w:r>
        <w:rPr>
          <w:color w:val="auto"/>
          <w:highlight w:val="none"/>
        </w:rPr>
        <w:fldChar w:fldCharType="end"/>
      </w:r>
      <w:r>
        <w:rPr>
          <w:rFonts w:hint="eastAsia" w:ascii="宋体" w:hAnsi="宋体"/>
          <w:color w:val="auto"/>
          <w:szCs w:val="44"/>
          <w:highlight w:val="none"/>
        </w:rPr>
        <w:fldChar w:fldCharType="end"/>
      </w:r>
    </w:p>
    <w:p w14:paraId="25C36FB9">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_Toc8925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7.所投产品主要技术参数、性能及原料情况</w:t>
      </w:r>
      <w:r>
        <w:rPr>
          <w:color w:val="auto"/>
          <w:highlight w:val="none"/>
        </w:rPr>
        <w:tab/>
      </w:r>
      <w:r>
        <w:rPr>
          <w:color w:val="auto"/>
          <w:highlight w:val="none"/>
        </w:rPr>
        <w:fldChar w:fldCharType="begin"/>
      </w:r>
      <w:r>
        <w:rPr>
          <w:color w:val="auto"/>
          <w:highlight w:val="none"/>
        </w:rPr>
        <w:instrText xml:space="preserve"> PAGEREF _Toc8925 \h </w:instrText>
      </w:r>
      <w:r>
        <w:rPr>
          <w:color w:val="auto"/>
          <w:highlight w:val="none"/>
        </w:rPr>
        <w:fldChar w:fldCharType="separate"/>
      </w:r>
      <w:r>
        <w:rPr>
          <w:color w:val="auto"/>
          <w:highlight w:val="none"/>
        </w:rPr>
        <w:t>96</w:t>
      </w:r>
      <w:r>
        <w:rPr>
          <w:color w:val="auto"/>
          <w:highlight w:val="none"/>
        </w:rPr>
        <w:fldChar w:fldCharType="end"/>
      </w:r>
      <w:r>
        <w:rPr>
          <w:rFonts w:hint="eastAsia" w:ascii="宋体" w:hAnsi="宋体"/>
          <w:color w:val="auto"/>
          <w:szCs w:val="44"/>
          <w:highlight w:val="none"/>
        </w:rPr>
        <w:fldChar w:fldCharType="end"/>
      </w:r>
    </w:p>
    <w:p w14:paraId="145A7A16">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_Toc5805 </w:instrText>
      </w:r>
      <w:r>
        <w:rPr>
          <w:rFonts w:hint="eastAsia" w:ascii="宋体" w:hAnsi="宋体"/>
          <w:color w:val="auto"/>
          <w:szCs w:val="44"/>
          <w:highlight w:val="none"/>
        </w:rPr>
        <w:fldChar w:fldCharType="separate"/>
      </w:r>
      <w:r>
        <w:rPr>
          <w:rFonts w:hint="eastAsia" w:ascii="宋体" w:hAnsi="宋体" w:eastAsia="宋体" w:cs="Times New Roman"/>
          <w:color w:val="auto"/>
          <w:highlight w:val="none"/>
          <w:lang w:val="en-US" w:eastAsia="zh-CN"/>
        </w:rPr>
        <w:t>8、综合实力证明材料</w:t>
      </w:r>
      <w:r>
        <w:rPr>
          <w:color w:val="auto"/>
          <w:highlight w:val="none"/>
        </w:rPr>
        <w:tab/>
      </w:r>
      <w:r>
        <w:rPr>
          <w:color w:val="auto"/>
          <w:highlight w:val="none"/>
        </w:rPr>
        <w:fldChar w:fldCharType="begin"/>
      </w:r>
      <w:r>
        <w:rPr>
          <w:color w:val="auto"/>
          <w:highlight w:val="none"/>
        </w:rPr>
        <w:instrText xml:space="preserve"> PAGEREF _Toc5805 \h </w:instrText>
      </w:r>
      <w:r>
        <w:rPr>
          <w:color w:val="auto"/>
          <w:highlight w:val="none"/>
        </w:rPr>
        <w:fldChar w:fldCharType="separate"/>
      </w:r>
      <w:r>
        <w:rPr>
          <w:color w:val="auto"/>
          <w:highlight w:val="none"/>
        </w:rPr>
        <w:t>96</w:t>
      </w:r>
      <w:r>
        <w:rPr>
          <w:color w:val="auto"/>
          <w:highlight w:val="none"/>
        </w:rPr>
        <w:fldChar w:fldCharType="end"/>
      </w:r>
      <w:r>
        <w:rPr>
          <w:rFonts w:hint="eastAsia" w:ascii="宋体" w:hAnsi="宋体"/>
          <w:color w:val="auto"/>
          <w:szCs w:val="44"/>
          <w:highlight w:val="none"/>
        </w:rPr>
        <w:fldChar w:fldCharType="end"/>
      </w:r>
    </w:p>
    <w:p w14:paraId="452CCC96">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_Toc7783 </w:instrText>
      </w:r>
      <w:r>
        <w:rPr>
          <w:rFonts w:hint="eastAsia" w:ascii="宋体" w:hAnsi="宋体"/>
          <w:color w:val="auto"/>
          <w:szCs w:val="44"/>
          <w:highlight w:val="none"/>
        </w:rPr>
        <w:fldChar w:fldCharType="separate"/>
      </w:r>
      <w:r>
        <w:rPr>
          <w:rFonts w:hint="eastAsia" w:ascii="宋体" w:hAnsi="宋体"/>
          <w:color w:val="auto"/>
          <w:highlight w:val="none"/>
          <w:lang w:val="en-US" w:eastAsia="zh-CN"/>
        </w:rPr>
        <w:t>9.1</w:t>
      </w:r>
      <w:r>
        <w:rPr>
          <w:rFonts w:hint="eastAsia" w:ascii="宋体" w:hAnsi="宋体"/>
          <w:color w:val="auto"/>
          <w:highlight w:val="none"/>
        </w:rPr>
        <w:t>.项目实施人员一览表（格式）</w:t>
      </w:r>
      <w:r>
        <w:rPr>
          <w:color w:val="auto"/>
          <w:highlight w:val="none"/>
        </w:rPr>
        <w:tab/>
      </w:r>
      <w:r>
        <w:rPr>
          <w:color w:val="auto"/>
          <w:highlight w:val="none"/>
        </w:rPr>
        <w:fldChar w:fldCharType="begin"/>
      </w:r>
      <w:r>
        <w:rPr>
          <w:color w:val="auto"/>
          <w:highlight w:val="none"/>
        </w:rPr>
        <w:instrText xml:space="preserve"> PAGEREF _Toc7783 \h </w:instrText>
      </w:r>
      <w:r>
        <w:rPr>
          <w:color w:val="auto"/>
          <w:highlight w:val="none"/>
        </w:rPr>
        <w:fldChar w:fldCharType="separate"/>
      </w:r>
      <w:r>
        <w:rPr>
          <w:color w:val="auto"/>
          <w:highlight w:val="none"/>
        </w:rPr>
        <w:t>96</w:t>
      </w:r>
      <w:r>
        <w:rPr>
          <w:color w:val="auto"/>
          <w:highlight w:val="none"/>
        </w:rPr>
        <w:fldChar w:fldCharType="end"/>
      </w:r>
      <w:r>
        <w:rPr>
          <w:rFonts w:hint="eastAsia" w:ascii="宋体" w:hAnsi="宋体"/>
          <w:color w:val="auto"/>
          <w:szCs w:val="44"/>
          <w:highlight w:val="none"/>
        </w:rPr>
        <w:fldChar w:fldCharType="end"/>
      </w:r>
    </w:p>
    <w:p w14:paraId="71AA9A64">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_Toc809 </w:instrText>
      </w:r>
      <w:r>
        <w:rPr>
          <w:rFonts w:hint="eastAsia" w:ascii="宋体" w:hAnsi="宋体"/>
          <w:color w:val="auto"/>
          <w:szCs w:val="44"/>
          <w:highlight w:val="none"/>
        </w:rPr>
        <w:fldChar w:fldCharType="separate"/>
      </w:r>
      <w:r>
        <w:rPr>
          <w:rFonts w:hint="eastAsia" w:ascii="宋体" w:hAnsi="宋体"/>
          <w:color w:val="auto"/>
          <w:highlight w:val="none"/>
          <w:lang w:val="en-US" w:eastAsia="zh-CN"/>
        </w:rPr>
        <w:t>9.2</w:t>
      </w:r>
      <w:r>
        <w:rPr>
          <w:rFonts w:hint="eastAsia" w:ascii="宋体" w:hAnsi="宋体"/>
          <w:color w:val="auto"/>
          <w:highlight w:val="none"/>
        </w:rPr>
        <w:t>. 代理服务费承诺书</w:t>
      </w:r>
      <w:r>
        <w:rPr>
          <w:color w:val="auto"/>
          <w:highlight w:val="none"/>
        </w:rPr>
        <w:tab/>
      </w:r>
      <w:r>
        <w:rPr>
          <w:color w:val="auto"/>
          <w:highlight w:val="none"/>
        </w:rPr>
        <w:fldChar w:fldCharType="begin"/>
      </w:r>
      <w:r>
        <w:rPr>
          <w:color w:val="auto"/>
          <w:highlight w:val="none"/>
        </w:rPr>
        <w:instrText xml:space="preserve"> PAGEREF _Toc809 \h </w:instrText>
      </w:r>
      <w:r>
        <w:rPr>
          <w:color w:val="auto"/>
          <w:highlight w:val="none"/>
        </w:rPr>
        <w:fldChar w:fldCharType="separate"/>
      </w:r>
      <w:r>
        <w:rPr>
          <w:color w:val="auto"/>
          <w:highlight w:val="none"/>
        </w:rPr>
        <w:t>97</w:t>
      </w:r>
      <w:r>
        <w:rPr>
          <w:color w:val="auto"/>
          <w:highlight w:val="none"/>
        </w:rPr>
        <w:fldChar w:fldCharType="end"/>
      </w:r>
      <w:r>
        <w:rPr>
          <w:rFonts w:hint="eastAsia" w:ascii="宋体" w:hAnsi="宋体"/>
          <w:color w:val="auto"/>
          <w:szCs w:val="44"/>
          <w:highlight w:val="none"/>
        </w:rPr>
        <w:fldChar w:fldCharType="end"/>
      </w:r>
    </w:p>
    <w:p w14:paraId="46387DE7">
      <w:pPr>
        <w:pStyle w:val="32"/>
        <w:tabs>
          <w:tab w:val="right" w:leader="dot" w:pos="9013"/>
          <w:tab w:val="clear" w:pos="8398"/>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_Toc12482 </w:instrText>
      </w:r>
      <w:r>
        <w:rPr>
          <w:rFonts w:hint="eastAsia" w:ascii="宋体" w:hAnsi="宋体"/>
          <w:color w:val="auto"/>
          <w:szCs w:val="44"/>
          <w:highlight w:val="none"/>
        </w:rPr>
        <w:fldChar w:fldCharType="separate"/>
      </w:r>
      <w:r>
        <w:rPr>
          <w:rFonts w:hint="eastAsia" w:ascii="宋体" w:hAnsi="宋体"/>
          <w:bCs/>
          <w:color w:val="auto"/>
          <w:szCs w:val="36"/>
          <w:highlight w:val="none"/>
        </w:rPr>
        <w:t xml:space="preserve">第七章  </w:t>
      </w:r>
      <w:r>
        <w:rPr>
          <w:rFonts w:hint="eastAsia"/>
          <w:color w:val="auto"/>
          <w:szCs w:val="36"/>
          <w:highlight w:val="none"/>
        </w:rPr>
        <w:t>其他文书、文件格式</w:t>
      </w:r>
      <w:r>
        <w:rPr>
          <w:color w:val="auto"/>
          <w:highlight w:val="none"/>
        </w:rPr>
        <w:tab/>
      </w:r>
      <w:r>
        <w:rPr>
          <w:color w:val="auto"/>
          <w:highlight w:val="none"/>
        </w:rPr>
        <w:fldChar w:fldCharType="begin"/>
      </w:r>
      <w:r>
        <w:rPr>
          <w:color w:val="auto"/>
          <w:highlight w:val="none"/>
        </w:rPr>
        <w:instrText xml:space="preserve"> PAGEREF _Toc12482 \h </w:instrText>
      </w:r>
      <w:r>
        <w:rPr>
          <w:color w:val="auto"/>
          <w:highlight w:val="none"/>
        </w:rPr>
        <w:fldChar w:fldCharType="separate"/>
      </w:r>
      <w:r>
        <w:rPr>
          <w:color w:val="auto"/>
          <w:highlight w:val="none"/>
        </w:rPr>
        <w:t>98</w:t>
      </w:r>
      <w:r>
        <w:rPr>
          <w:color w:val="auto"/>
          <w:highlight w:val="none"/>
        </w:rPr>
        <w:fldChar w:fldCharType="end"/>
      </w:r>
      <w:r>
        <w:rPr>
          <w:rFonts w:hint="eastAsia" w:ascii="宋体" w:hAnsi="宋体"/>
          <w:color w:val="auto"/>
          <w:szCs w:val="44"/>
          <w:highlight w:val="none"/>
        </w:rPr>
        <w:fldChar w:fldCharType="end"/>
      </w:r>
    </w:p>
    <w:p w14:paraId="04E371E9">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_Toc25928 </w:instrText>
      </w:r>
      <w:r>
        <w:rPr>
          <w:rFonts w:hint="eastAsia" w:ascii="宋体" w:hAnsi="宋体"/>
          <w:color w:val="auto"/>
          <w:szCs w:val="44"/>
          <w:highlight w:val="none"/>
        </w:rPr>
        <w:fldChar w:fldCharType="separate"/>
      </w:r>
      <w:r>
        <w:rPr>
          <w:rFonts w:hint="eastAsia" w:ascii="宋体" w:hAnsi="宋体"/>
          <w:color w:val="auto"/>
          <w:highlight w:val="none"/>
        </w:rPr>
        <w:t>1.质疑函（格式）</w:t>
      </w:r>
      <w:r>
        <w:rPr>
          <w:color w:val="auto"/>
          <w:highlight w:val="none"/>
        </w:rPr>
        <w:tab/>
      </w:r>
      <w:r>
        <w:rPr>
          <w:color w:val="auto"/>
          <w:highlight w:val="none"/>
        </w:rPr>
        <w:fldChar w:fldCharType="begin"/>
      </w:r>
      <w:r>
        <w:rPr>
          <w:color w:val="auto"/>
          <w:highlight w:val="none"/>
        </w:rPr>
        <w:instrText xml:space="preserve"> PAGEREF _Toc25928 \h </w:instrText>
      </w:r>
      <w:r>
        <w:rPr>
          <w:color w:val="auto"/>
          <w:highlight w:val="none"/>
        </w:rPr>
        <w:fldChar w:fldCharType="separate"/>
      </w:r>
      <w:r>
        <w:rPr>
          <w:color w:val="auto"/>
          <w:highlight w:val="none"/>
        </w:rPr>
        <w:t>98</w:t>
      </w:r>
      <w:r>
        <w:rPr>
          <w:color w:val="auto"/>
          <w:highlight w:val="none"/>
        </w:rPr>
        <w:fldChar w:fldCharType="end"/>
      </w:r>
      <w:r>
        <w:rPr>
          <w:rFonts w:hint="eastAsia" w:ascii="宋体" w:hAnsi="宋体"/>
          <w:color w:val="auto"/>
          <w:szCs w:val="44"/>
          <w:highlight w:val="none"/>
        </w:rPr>
        <w:fldChar w:fldCharType="end"/>
      </w:r>
    </w:p>
    <w:p w14:paraId="7FD9EFB4">
      <w:pPr>
        <w:pStyle w:val="23"/>
        <w:tabs>
          <w:tab w:val="right" w:leader="dot" w:pos="9013"/>
        </w:tabs>
        <w:rPr>
          <w:color w:val="auto"/>
          <w:highlight w:val="none"/>
        </w:rPr>
      </w:pPr>
      <w:r>
        <w:rPr>
          <w:rFonts w:hint="eastAsia" w:ascii="宋体" w:hAnsi="宋体"/>
          <w:color w:val="auto"/>
          <w:szCs w:val="44"/>
          <w:highlight w:val="none"/>
        </w:rPr>
        <w:fldChar w:fldCharType="begin"/>
      </w:r>
      <w:r>
        <w:rPr>
          <w:rFonts w:hint="eastAsia" w:ascii="宋体" w:hAnsi="宋体"/>
          <w:color w:val="auto"/>
          <w:szCs w:val="44"/>
          <w:highlight w:val="none"/>
        </w:rPr>
        <w:instrText xml:space="preserve"> HYPERLINK \l _Toc23794 </w:instrText>
      </w:r>
      <w:r>
        <w:rPr>
          <w:rFonts w:hint="eastAsia" w:ascii="宋体" w:hAnsi="宋体"/>
          <w:color w:val="auto"/>
          <w:szCs w:val="44"/>
          <w:highlight w:val="none"/>
        </w:rPr>
        <w:fldChar w:fldCharType="separate"/>
      </w:r>
      <w:r>
        <w:rPr>
          <w:rFonts w:hint="eastAsia" w:ascii="宋体" w:hAnsi="宋体" w:eastAsia="隶书"/>
          <w:color w:val="auto"/>
          <w:highlight w:val="none"/>
        </w:rPr>
        <w:t>2</w:t>
      </w:r>
      <w:r>
        <w:rPr>
          <w:rFonts w:hint="eastAsia" w:ascii="宋体" w:hAnsi="宋体"/>
          <w:color w:val="auto"/>
          <w:highlight w:val="none"/>
        </w:rPr>
        <w:t>.投诉书（格式）</w:t>
      </w:r>
      <w:r>
        <w:rPr>
          <w:color w:val="auto"/>
          <w:highlight w:val="none"/>
        </w:rPr>
        <w:tab/>
      </w:r>
      <w:r>
        <w:rPr>
          <w:color w:val="auto"/>
          <w:highlight w:val="none"/>
        </w:rPr>
        <w:fldChar w:fldCharType="begin"/>
      </w:r>
      <w:r>
        <w:rPr>
          <w:color w:val="auto"/>
          <w:highlight w:val="none"/>
        </w:rPr>
        <w:instrText xml:space="preserve"> PAGEREF _Toc23794 \h </w:instrText>
      </w:r>
      <w:r>
        <w:rPr>
          <w:color w:val="auto"/>
          <w:highlight w:val="none"/>
        </w:rPr>
        <w:fldChar w:fldCharType="separate"/>
      </w:r>
      <w:r>
        <w:rPr>
          <w:color w:val="auto"/>
          <w:highlight w:val="none"/>
        </w:rPr>
        <w:t>100</w:t>
      </w:r>
      <w:r>
        <w:rPr>
          <w:color w:val="auto"/>
          <w:highlight w:val="none"/>
        </w:rPr>
        <w:fldChar w:fldCharType="end"/>
      </w:r>
      <w:r>
        <w:rPr>
          <w:rFonts w:hint="eastAsia" w:ascii="宋体" w:hAnsi="宋体"/>
          <w:color w:val="auto"/>
          <w:szCs w:val="44"/>
          <w:highlight w:val="none"/>
        </w:rPr>
        <w:fldChar w:fldCharType="end"/>
      </w:r>
    </w:p>
    <w:p w14:paraId="2913DA8A">
      <w:pPr>
        <w:tabs>
          <w:tab w:val="right" w:leader="dot" w:pos="8789"/>
        </w:tabs>
        <w:snapToGrid w:val="0"/>
        <w:spacing w:line="480" w:lineRule="auto"/>
        <w:rPr>
          <w:rFonts w:hint="eastAsia" w:ascii="仿宋_GB2312" w:hAnsi="宋体" w:eastAsia="仿宋_GB2312"/>
          <w:color w:val="auto"/>
          <w:sz w:val="24"/>
          <w:highlight w:val="none"/>
        </w:rPr>
      </w:pPr>
      <w:r>
        <w:rPr>
          <w:rFonts w:hint="eastAsia" w:ascii="宋体" w:hAnsi="宋体"/>
          <w:color w:val="auto"/>
          <w:szCs w:val="44"/>
          <w:highlight w:val="none"/>
        </w:rPr>
        <w:fldChar w:fldCharType="end"/>
      </w:r>
    </w:p>
    <w:p w14:paraId="230F3982">
      <w:pPr>
        <w:pStyle w:val="2"/>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bookmarkStart w:id="0" w:name="_Toc254970489"/>
      <w:bookmarkStart w:id="1" w:name="_Toc254970630"/>
      <w:bookmarkStart w:id="2" w:name="_Toc26485"/>
      <w:bookmarkStart w:id="268" w:name="_GoBack"/>
      <w:bookmarkEnd w:id="268"/>
      <w:r>
        <w:rPr>
          <w:rFonts w:hint="eastAsia"/>
          <w:color w:val="auto"/>
          <w:highlight w:val="none"/>
        </w:rPr>
        <w:br w:type="page"/>
      </w:r>
      <w:bookmarkStart w:id="3" w:name="_Toc28677"/>
      <w:r>
        <w:rPr>
          <w:rFonts w:hint="eastAsia"/>
          <w:color w:val="auto"/>
          <w:highlight w:val="none"/>
        </w:rPr>
        <w:t>第一章</w:t>
      </w:r>
      <w:bookmarkEnd w:id="0"/>
      <w:bookmarkEnd w:id="1"/>
      <w:bookmarkStart w:id="4" w:name="_Toc35393789"/>
      <w:bookmarkStart w:id="5" w:name="_Toc28359001"/>
      <w:r>
        <w:rPr>
          <w:rFonts w:hint="eastAsia"/>
          <w:color w:val="auto"/>
          <w:highlight w:val="none"/>
        </w:rPr>
        <w:t xml:space="preserve"> 招标公告</w:t>
      </w:r>
      <w:bookmarkEnd w:id="2"/>
      <w:bookmarkEnd w:id="3"/>
      <w:bookmarkEnd w:id="4"/>
      <w:bookmarkEnd w:id="5"/>
    </w:p>
    <w:p w14:paraId="0ED90191">
      <w:pPr>
        <w:spacing w:line="360" w:lineRule="auto"/>
        <w:jc w:val="center"/>
        <w:rPr>
          <w:rFonts w:hint="eastAsia" w:ascii="宋体" w:hAnsi="宋体"/>
          <w:b/>
          <w:bCs/>
          <w:color w:val="auto"/>
          <w:sz w:val="32"/>
          <w:szCs w:val="32"/>
          <w:highlight w:val="none"/>
          <w:lang w:val="en-US" w:eastAsia="zh-CN"/>
        </w:rPr>
      </w:pPr>
      <w:r>
        <w:rPr>
          <w:rFonts w:hint="eastAsia" w:ascii="宋体" w:hAnsi="宋体" w:eastAsia="宋体" w:cs="宋体"/>
          <w:b/>
          <w:bCs/>
          <w:color w:val="auto"/>
          <w:kern w:val="0"/>
          <w:sz w:val="32"/>
          <w:szCs w:val="32"/>
          <w:highlight w:val="none"/>
          <w:lang w:val="en-US" w:eastAsia="zh-CN" w:bidi="ar-SA"/>
        </w:rPr>
        <w:t>广西中信恒泰工程顾问有限公司</w:t>
      </w:r>
      <w:r>
        <w:rPr>
          <w:rFonts w:hint="eastAsia" w:ascii="宋体" w:hAnsi="宋体" w:cs="宋体"/>
          <w:b/>
          <w:bCs/>
          <w:color w:val="auto"/>
          <w:kern w:val="0"/>
          <w:sz w:val="32"/>
          <w:szCs w:val="32"/>
          <w:highlight w:val="none"/>
          <w:lang w:val="en-US" w:eastAsia="zh-CN" w:bidi="ar-SA"/>
        </w:rPr>
        <w:t>关于</w:t>
      </w:r>
      <w:r>
        <w:rPr>
          <w:rFonts w:hint="eastAsia" w:ascii="宋体" w:hAnsi="宋体"/>
          <w:b/>
          <w:bCs/>
          <w:color w:val="auto"/>
          <w:sz w:val="32"/>
          <w:szCs w:val="32"/>
          <w:highlight w:val="none"/>
        </w:rPr>
        <w:t>2026年猪口蹄疫等动物疫苗采购项目</w:t>
      </w:r>
      <w:r>
        <w:rPr>
          <w:rFonts w:hint="eastAsia" w:ascii="宋体" w:hAnsi="宋体"/>
          <w:b/>
          <w:bCs/>
          <w:color w:val="auto"/>
          <w:sz w:val="32"/>
          <w:szCs w:val="32"/>
          <w:highlight w:val="none"/>
          <w:lang w:eastAsia="zh-CN"/>
        </w:rPr>
        <w:t>（项目编号：GXZC2026-G1-001024-GXZX）</w:t>
      </w:r>
      <w:r>
        <w:rPr>
          <w:rFonts w:hint="eastAsia" w:ascii="宋体" w:hAnsi="宋体"/>
          <w:b/>
          <w:bCs/>
          <w:color w:val="auto"/>
          <w:sz w:val="32"/>
          <w:szCs w:val="32"/>
          <w:highlight w:val="none"/>
          <w:lang w:val="en-US" w:eastAsia="zh-CN"/>
        </w:rPr>
        <w:t>招标公告</w:t>
      </w:r>
    </w:p>
    <w:p w14:paraId="5745460B">
      <w:pPr>
        <w:spacing w:line="360" w:lineRule="auto"/>
        <w:jc w:val="center"/>
        <w:rPr>
          <w:rFonts w:ascii="宋体" w:hAnsi="宋体"/>
          <w:color w:val="auto"/>
          <w:szCs w:val="21"/>
          <w:highlight w:val="none"/>
        </w:rPr>
      </w:pPr>
      <w:r>
        <w:rPr>
          <w:rFonts w:hint="eastAsia" w:ascii="宋体" w:hAnsi="宋体"/>
          <w:b/>
          <w:bCs/>
          <w:color w:val="auto"/>
          <w:sz w:val="32"/>
          <w:szCs w:val="32"/>
          <w:highlight w:val="none"/>
          <w:lang w:val="en-US" w:eastAsia="zh-CN"/>
        </w:rPr>
        <w:t>（远程异地评标）</w:t>
      </w:r>
    </w:p>
    <w:p w14:paraId="7BEE5C17">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62C3380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bookmarkStart w:id="6" w:name="OLE_LINK7"/>
      <w:r>
        <w:rPr>
          <w:rFonts w:hint="eastAsia" w:ascii="宋体" w:hAnsi="宋体"/>
          <w:color w:val="auto"/>
          <w:szCs w:val="21"/>
          <w:highlight w:val="none"/>
          <w:u w:val="single"/>
        </w:rPr>
        <w:t>2026年猪口蹄疫等动物疫苗采购项目</w:t>
      </w:r>
      <w:bookmarkEnd w:id="6"/>
      <w:r>
        <w:rPr>
          <w:rFonts w:hint="eastAsia" w:ascii="宋体" w:hAnsi="宋体"/>
          <w:color w:val="auto"/>
          <w:szCs w:val="21"/>
          <w:highlight w:val="none"/>
        </w:rPr>
        <w:t>的潜在投标人应在广西政府采购云平台（https://www.gcy.zfcg.gxzf.gov.cn/）获取（下载）招标文件，并于</w:t>
      </w:r>
      <w:r>
        <w:rPr>
          <w:rFonts w:ascii="宋体" w:hAnsi="宋体"/>
          <w:color w:val="auto"/>
          <w:szCs w:val="21"/>
          <w:highlight w:val="none"/>
          <w:u w:val="single"/>
        </w:rPr>
        <w:t>202</w:t>
      </w:r>
      <w:r>
        <w:rPr>
          <w:rFonts w:hint="eastAsia" w:ascii="宋体" w:hAnsi="宋体"/>
          <w:color w:val="auto"/>
          <w:szCs w:val="21"/>
          <w:highlight w:val="none"/>
          <w:u w:val="single"/>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u w:val="single"/>
        </w:rPr>
        <w:t>日</w:t>
      </w:r>
      <w:r>
        <w:rPr>
          <w:rFonts w:hint="eastAsia" w:ascii="宋体" w:hAnsi="宋体"/>
          <w:bCs/>
          <w:color w:val="auto"/>
          <w:szCs w:val="21"/>
          <w:highlight w:val="none"/>
          <w:u w:val="single"/>
        </w:rPr>
        <w:t>上午9时30分（</w:t>
      </w:r>
      <w:r>
        <w:rPr>
          <w:rFonts w:hint="eastAsia" w:ascii="宋体" w:hAnsi="宋体"/>
          <w:bCs/>
          <w:color w:val="auto"/>
          <w:szCs w:val="21"/>
          <w:highlight w:val="none"/>
        </w:rPr>
        <w:t>北京时间）前按要求递交（上传）投标</w:t>
      </w:r>
      <w:r>
        <w:rPr>
          <w:rFonts w:ascii="宋体" w:hAnsi="宋体"/>
          <w:bCs/>
          <w:color w:val="auto"/>
          <w:szCs w:val="21"/>
          <w:highlight w:val="none"/>
        </w:rPr>
        <w:t>文件</w:t>
      </w:r>
      <w:r>
        <w:rPr>
          <w:rFonts w:hint="eastAsia" w:ascii="宋体" w:hAnsi="宋体"/>
          <w:color w:val="auto"/>
          <w:szCs w:val="21"/>
          <w:highlight w:val="none"/>
        </w:rPr>
        <w:t>。</w:t>
      </w:r>
    </w:p>
    <w:p w14:paraId="296F9399">
      <w:pPr>
        <w:spacing w:line="360" w:lineRule="auto"/>
        <w:rPr>
          <w:rFonts w:ascii="宋体" w:hAnsi="宋体"/>
          <w:color w:val="auto"/>
          <w:szCs w:val="21"/>
          <w:highlight w:val="none"/>
        </w:rPr>
      </w:pPr>
    </w:p>
    <w:p w14:paraId="26DAE1A6">
      <w:pPr>
        <w:spacing w:line="360" w:lineRule="exact"/>
        <w:rPr>
          <w:rFonts w:ascii="黑体" w:hAnsi="黑体" w:eastAsia="黑体"/>
          <w:b/>
          <w:bCs/>
          <w:color w:val="auto"/>
          <w:sz w:val="24"/>
          <w:highlight w:val="none"/>
        </w:rPr>
      </w:pPr>
      <w:bookmarkStart w:id="7" w:name="_Toc28359079"/>
      <w:bookmarkStart w:id="8" w:name="_Toc28359002"/>
      <w:bookmarkStart w:id="9" w:name="_Toc35393621"/>
      <w:bookmarkStart w:id="10" w:name="_Toc35393790"/>
      <w:bookmarkStart w:id="11" w:name="_Hlk24379207"/>
      <w:r>
        <w:rPr>
          <w:rFonts w:hint="eastAsia" w:ascii="黑体" w:hAnsi="黑体" w:eastAsia="黑体"/>
          <w:b/>
          <w:bCs/>
          <w:color w:val="auto"/>
          <w:sz w:val="24"/>
          <w:highlight w:val="none"/>
        </w:rPr>
        <w:t>一、项目基本情况</w:t>
      </w:r>
      <w:bookmarkEnd w:id="7"/>
      <w:bookmarkEnd w:id="8"/>
      <w:bookmarkEnd w:id="9"/>
      <w:bookmarkEnd w:id="10"/>
    </w:p>
    <w:bookmarkEnd w:id="11"/>
    <w:p w14:paraId="1E15FFF4">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项目编号：GXZC2026-G1-001024-GXZX；</w:t>
      </w:r>
    </w:p>
    <w:p w14:paraId="1559EFF4">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政府采购计划编号：</w:t>
      </w:r>
    </w:p>
    <w:p w14:paraId="556C8160">
      <w:pPr>
        <w:spacing w:before="120" w:beforeLines="50" w:after="120" w:afterLines="50"/>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A1标：</w:t>
      </w:r>
      <w:r>
        <w:rPr>
          <w:rFonts w:hint="eastAsia" w:ascii="宋体" w:hAnsi="宋体"/>
          <w:color w:val="auto"/>
          <w:szCs w:val="21"/>
          <w:highlight w:val="none"/>
        </w:rPr>
        <w:t>广西政采[2026]7395号-006-001</w:t>
      </w:r>
      <w:r>
        <w:rPr>
          <w:rFonts w:hint="eastAsia" w:ascii="宋体" w:hAnsi="宋体"/>
          <w:color w:val="auto"/>
          <w:szCs w:val="21"/>
          <w:highlight w:val="none"/>
          <w:lang w:val="en-US" w:eastAsia="zh-CN"/>
        </w:rPr>
        <w:t>；   A2标：广西政采[2026]7395号-006-002；</w:t>
      </w:r>
    </w:p>
    <w:p w14:paraId="51A3D652">
      <w:pPr>
        <w:spacing w:before="120" w:beforeLines="50" w:after="120" w:afterLines="50"/>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A3标：广西政采[2026]7395号-006-003；   A4标：广西政采[2026]7395号-005</w:t>
      </w:r>
    </w:p>
    <w:p w14:paraId="1F7AB8A4">
      <w:pPr>
        <w:spacing w:before="120" w:beforeLines="50" w:after="120" w:afterLines="50"/>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B标：</w:t>
      </w:r>
      <w:r>
        <w:rPr>
          <w:rFonts w:hint="default" w:ascii="宋体" w:hAnsi="宋体"/>
          <w:color w:val="auto"/>
          <w:szCs w:val="21"/>
          <w:highlight w:val="none"/>
          <w:lang w:val="en-US" w:eastAsia="zh-CN"/>
        </w:rPr>
        <w:t>广西政采[2026]7395号-004</w:t>
      </w:r>
      <w:r>
        <w:rPr>
          <w:rFonts w:hint="eastAsia" w:ascii="宋体" w:hAnsi="宋体"/>
          <w:color w:val="auto"/>
          <w:szCs w:val="21"/>
          <w:highlight w:val="none"/>
          <w:lang w:val="en-US" w:eastAsia="zh-CN"/>
        </w:rPr>
        <w:t>；        C标：</w:t>
      </w:r>
      <w:r>
        <w:rPr>
          <w:rFonts w:hint="default" w:ascii="宋体" w:hAnsi="宋体"/>
          <w:color w:val="auto"/>
          <w:szCs w:val="21"/>
          <w:highlight w:val="none"/>
          <w:lang w:val="en-US" w:eastAsia="zh-CN"/>
        </w:rPr>
        <w:t>广西政采[2026]7395号-0</w:t>
      </w:r>
      <w:r>
        <w:rPr>
          <w:rFonts w:hint="eastAsia" w:ascii="宋体" w:hAnsi="宋体"/>
          <w:color w:val="auto"/>
          <w:szCs w:val="21"/>
          <w:highlight w:val="none"/>
          <w:lang w:val="en-US" w:eastAsia="zh-CN"/>
        </w:rPr>
        <w:t>03；</w:t>
      </w:r>
    </w:p>
    <w:p w14:paraId="45635BA0">
      <w:pPr>
        <w:spacing w:before="120" w:beforeLines="50" w:after="120" w:afterLines="50"/>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D1标：</w:t>
      </w:r>
      <w:r>
        <w:rPr>
          <w:rFonts w:hint="default" w:ascii="宋体" w:hAnsi="宋体"/>
          <w:color w:val="auto"/>
          <w:szCs w:val="21"/>
          <w:highlight w:val="none"/>
          <w:lang w:val="en-US" w:eastAsia="zh-CN"/>
        </w:rPr>
        <w:t>广西政采[2026]7395号-00</w:t>
      </w:r>
      <w:r>
        <w:rPr>
          <w:rFonts w:hint="eastAsia" w:ascii="宋体" w:hAnsi="宋体"/>
          <w:color w:val="auto"/>
          <w:szCs w:val="21"/>
          <w:highlight w:val="none"/>
          <w:lang w:val="en-US" w:eastAsia="zh-CN"/>
        </w:rPr>
        <w:t>2；       D2标：</w:t>
      </w:r>
      <w:r>
        <w:rPr>
          <w:rFonts w:hint="default" w:ascii="宋体" w:hAnsi="宋体"/>
          <w:color w:val="auto"/>
          <w:szCs w:val="21"/>
          <w:highlight w:val="none"/>
          <w:lang w:val="en-US" w:eastAsia="zh-CN"/>
        </w:rPr>
        <w:t>广西政采[2026]7395号-00</w:t>
      </w:r>
      <w:r>
        <w:rPr>
          <w:rFonts w:hint="eastAsia" w:ascii="宋体" w:hAnsi="宋体"/>
          <w:color w:val="auto"/>
          <w:szCs w:val="21"/>
          <w:highlight w:val="none"/>
          <w:lang w:val="en-US" w:eastAsia="zh-CN"/>
        </w:rPr>
        <w:t>1；</w:t>
      </w:r>
    </w:p>
    <w:p w14:paraId="3FE9DB6F">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项目名称：2026年猪口蹄疫等动物疫苗采购项目</w:t>
      </w:r>
    </w:p>
    <w:p w14:paraId="4085E25C">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u w:val="none"/>
        </w:rPr>
        <w:t>2044.20万元</w:t>
      </w:r>
    </w:p>
    <w:p w14:paraId="3DD4E0E5">
      <w:pPr>
        <w:ind w:firstLine="420" w:firstLineChars="200"/>
        <w:rPr>
          <w:rFonts w:ascii="宋体" w:hAnsi="宋体"/>
          <w:color w:val="auto"/>
          <w:szCs w:val="21"/>
          <w:highlight w:val="none"/>
          <w:u w:val="single"/>
        </w:rPr>
      </w:pPr>
      <w:r>
        <w:rPr>
          <w:rFonts w:hint="eastAsia" w:ascii="宋体" w:hAnsi="宋体"/>
          <w:color w:val="auto"/>
          <w:szCs w:val="21"/>
          <w:highlight w:val="none"/>
        </w:rPr>
        <w:t>合同履行期限：自合同签订之日起至合同履约完毕。</w:t>
      </w:r>
    </w:p>
    <w:p w14:paraId="41D71126">
      <w:pPr>
        <w:spacing w:line="360" w:lineRule="exact"/>
        <w:ind w:firstLine="422" w:firstLineChars="200"/>
        <w:rPr>
          <w:rFonts w:hint="eastAsia" w:ascii="宋体" w:hAnsi="宋体"/>
          <w:strike w:val="0"/>
          <w:dstrike w:val="0"/>
          <w:color w:val="auto"/>
          <w:szCs w:val="21"/>
          <w:highlight w:val="none"/>
          <w:u w:val="none"/>
        </w:rPr>
      </w:pPr>
      <w:r>
        <w:rPr>
          <w:rFonts w:hint="eastAsia" w:ascii="宋体" w:hAnsi="宋体"/>
          <w:b/>
          <w:color w:val="auto"/>
          <w:szCs w:val="21"/>
          <w:highlight w:val="none"/>
          <w:u w:val="none"/>
          <w:lang w:val="en-US" w:eastAsia="zh-CN"/>
        </w:rPr>
        <w:t>联合体投标：</w:t>
      </w:r>
      <w:r>
        <w:rPr>
          <w:rFonts w:hint="eastAsia" w:ascii="宋体" w:hAnsi="宋体"/>
          <w:b/>
          <w:strike w:val="0"/>
          <w:dstrike w:val="0"/>
          <w:color w:val="auto"/>
          <w:szCs w:val="21"/>
          <w:highlight w:val="none"/>
          <w:u w:val="none"/>
        </w:rPr>
        <w:t>本项目不接受联合体投标</w:t>
      </w:r>
      <w:r>
        <w:rPr>
          <w:rFonts w:hint="eastAsia" w:ascii="宋体" w:hAnsi="宋体"/>
          <w:strike w:val="0"/>
          <w:dstrike w:val="0"/>
          <w:color w:val="auto"/>
          <w:szCs w:val="21"/>
          <w:highlight w:val="none"/>
          <w:u w:val="none"/>
        </w:rPr>
        <w:t>。</w:t>
      </w:r>
    </w:p>
    <w:p w14:paraId="1DF09859">
      <w:pPr>
        <w:spacing w:before="120" w:beforeLines="50" w:after="120" w:afterLines="50"/>
        <w:ind w:firstLine="420" w:firstLineChars="200"/>
        <w:rPr>
          <w:rFonts w:hint="eastAsia" w:ascii="宋体" w:hAnsi="宋体"/>
          <w:b/>
          <w:bCs/>
          <w:color w:val="auto"/>
          <w:szCs w:val="21"/>
          <w:highlight w:val="none"/>
          <w:u w:val="single"/>
        </w:rPr>
      </w:pPr>
      <w:r>
        <w:rPr>
          <w:rFonts w:hint="eastAsia" w:ascii="宋体" w:hAnsi="宋体"/>
          <w:color w:val="auto"/>
          <w:szCs w:val="21"/>
          <w:highlight w:val="none"/>
        </w:rPr>
        <w:t>采购需求：</w:t>
      </w:r>
    </w:p>
    <w:p w14:paraId="16282AA0">
      <w:pPr>
        <w:ind w:firstLine="310" w:firstLineChars="147"/>
        <w:jc w:val="left"/>
        <w:rPr>
          <w:rFonts w:hint="eastAsia" w:ascii="宋体" w:hAnsi="宋体"/>
          <w:b/>
          <w:bCs/>
          <w:color w:val="auto"/>
          <w:szCs w:val="21"/>
          <w:highlight w:val="none"/>
        </w:rPr>
      </w:pPr>
      <w:r>
        <w:rPr>
          <w:rFonts w:hint="eastAsia" w:ascii="宋体" w:hAnsi="宋体"/>
          <w:b/>
          <w:bCs/>
          <w:color w:val="auto"/>
          <w:szCs w:val="21"/>
          <w:highlight w:val="none"/>
          <w:u w:val="single"/>
        </w:rPr>
        <w:t xml:space="preserve">A1 - A4  </w:t>
      </w:r>
      <w:r>
        <w:rPr>
          <w:rFonts w:hint="eastAsia" w:ascii="宋体" w:hAnsi="宋体"/>
          <w:b/>
          <w:bCs/>
          <w:color w:val="auto"/>
          <w:szCs w:val="21"/>
          <w:highlight w:val="none"/>
        </w:rPr>
        <w:t xml:space="preserve">分标     </w:t>
      </w:r>
      <w:r>
        <w:rPr>
          <w:rFonts w:hint="eastAsia" w:ascii="宋体" w:hAnsi="宋体" w:cs="宋体"/>
          <w:b/>
          <w:color w:val="auto"/>
          <w:szCs w:val="21"/>
          <w:highlight w:val="none"/>
        </w:rPr>
        <w:t>标的名称：</w:t>
      </w:r>
      <w:r>
        <w:rPr>
          <w:rFonts w:hint="eastAsia" w:ascii="宋体" w:hAnsi="宋体"/>
          <w:b/>
          <w:bCs/>
          <w:color w:val="auto"/>
          <w:szCs w:val="21"/>
          <w:highlight w:val="none"/>
        </w:rPr>
        <w:t xml:space="preserve">猪口蹄疫O型灭活疫苗 </w:t>
      </w:r>
    </w:p>
    <w:tbl>
      <w:tblPr>
        <w:tblStyle w:val="49"/>
        <w:tblpPr w:leftFromText="180" w:rightFromText="180" w:vertAnchor="text" w:horzAnchor="page" w:tblpX="1233" w:tblpY="147"/>
        <w:tblOverlap w:val="never"/>
        <w:tblW w:w="525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7"/>
        <w:gridCol w:w="890"/>
        <w:gridCol w:w="1025"/>
        <w:gridCol w:w="1077"/>
        <w:gridCol w:w="1334"/>
        <w:gridCol w:w="4335"/>
      </w:tblGrid>
      <w:tr w14:paraId="648F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4" w:type="pct"/>
            <w:noWrap w:val="0"/>
            <w:vAlign w:val="center"/>
          </w:tcPr>
          <w:p w14:paraId="4DECA671">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58" w:type="pct"/>
            <w:noWrap w:val="0"/>
            <w:vAlign w:val="center"/>
          </w:tcPr>
          <w:p w14:paraId="54D11FF0">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50EC3365">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528" w:type="pct"/>
            <w:tcBorders>
              <w:left w:val="single" w:color="auto" w:sz="4" w:space="0"/>
            </w:tcBorders>
            <w:noWrap w:val="0"/>
            <w:vAlign w:val="center"/>
          </w:tcPr>
          <w:p w14:paraId="201C9F7F">
            <w:pPr>
              <w:snapToGrid w:val="0"/>
              <w:jc w:val="center"/>
              <w:rPr>
                <w:rFonts w:ascii="宋体" w:hAnsi="宋体" w:cs="Arial"/>
                <w:b/>
                <w:color w:val="auto"/>
                <w:szCs w:val="21"/>
                <w:highlight w:val="none"/>
              </w:rPr>
            </w:pPr>
            <w:r>
              <w:rPr>
                <w:rFonts w:hint="eastAsia" w:ascii="宋体" w:hAnsi="宋体" w:cs="Arial"/>
                <w:b/>
                <w:color w:val="auto"/>
                <w:szCs w:val="21"/>
                <w:highlight w:val="none"/>
              </w:rPr>
              <w:t>数量及单位</w:t>
            </w:r>
          </w:p>
        </w:tc>
        <w:tc>
          <w:tcPr>
            <w:tcW w:w="555" w:type="pct"/>
            <w:tcBorders>
              <w:left w:val="single" w:color="auto" w:sz="4" w:space="0"/>
            </w:tcBorders>
            <w:noWrap w:val="0"/>
            <w:vAlign w:val="center"/>
          </w:tcPr>
          <w:p w14:paraId="2C0ADB51">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28A5C6AC">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（万元）</w:t>
            </w:r>
          </w:p>
        </w:tc>
        <w:tc>
          <w:tcPr>
            <w:tcW w:w="687" w:type="pct"/>
            <w:tcBorders>
              <w:left w:val="single" w:color="auto" w:sz="4" w:space="0"/>
            </w:tcBorders>
            <w:noWrap w:val="0"/>
            <w:vAlign w:val="center"/>
          </w:tcPr>
          <w:p w14:paraId="7C89F324">
            <w:pPr>
              <w:snapToGrid w:val="0"/>
              <w:jc w:val="center"/>
              <w:rPr>
                <w:rFonts w:hint="eastAsia" w:ascii="宋体" w:hAnsi="宋体" w:cs="Arial"/>
                <w:b/>
                <w:color w:val="auto"/>
                <w:szCs w:val="21"/>
                <w:highlight w:val="none"/>
              </w:rPr>
            </w:pPr>
            <w:r>
              <w:rPr>
                <w:rFonts w:hint="eastAsia" w:ascii="宋体" w:hAnsi="宋体" w:cs="宋体"/>
                <w:b/>
                <w:color w:val="auto"/>
                <w:szCs w:val="21"/>
                <w:highlight w:val="none"/>
              </w:rPr>
              <w:t>最高限价（万元）</w:t>
            </w:r>
          </w:p>
        </w:tc>
        <w:tc>
          <w:tcPr>
            <w:tcW w:w="2234" w:type="pct"/>
            <w:noWrap w:val="0"/>
            <w:vAlign w:val="center"/>
          </w:tcPr>
          <w:p w14:paraId="21A22F61">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44978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534" w:type="pct"/>
            <w:noWrap w:val="0"/>
            <w:vAlign w:val="center"/>
          </w:tcPr>
          <w:p w14:paraId="547CFEB6">
            <w:pPr>
              <w:snapToGrid w:val="0"/>
              <w:jc w:val="center"/>
              <w:rPr>
                <w:rFonts w:hint="eastAsia" w:ascii="宋体" w:hAnsi="宋体"/>
                <w:color w:val="auto"/>
                <w:szCs w:val="21"/>
                <w:highlight w:val="none"/>
              </w:rPr>
            </w:pPr>
            <w:r>
              <w:rPr>
                <w:rFonts w:hint="eastAsia" w:ascii="宋体" w:hAnsi="宋体" w:cs="Arial"/>
                <w:color w:val="auto"/>
                <w:szCs w:val="21"/>
                <w:highlight w:val="none"/>
              </w:rPr>
              <w:t>A1分标</w:t>
            </w:r>
          </w:p>
        </w:tc>
        <w:tc>
          <w:tcPr>
            <w:tcW w:w="458" w:type="pct"/>
            <w:vMerge w:val="restart"/>
            <w:noWrap w:val="0"/>
            <w:vAlign w:val="center"/>
          </w:tcPr>
          <w:p w14:paraId="293333C0">
            <w:pPr>
              <w:widowControl/>
              <w:jc w:val="center"/>
              <w:textAlignment w:val="center"/>
              <w:rPr>
                <w:rFonts w:ascii="宋体" w:hAnsi="宋体" w:cs="宋体"/>
                <w:color w:val="auto"/>
                <w:szCs w:val="21"/>
                <w:highlight w:val="none"/>
              </w:rPr>
            </w:pPr>
            <w:r>
              <w:rPr>
                <w:rFonts w:hint="eastAsia" w:ascii="宋体" w:hAnsi="宋体"/>
                <w:color w:val="auto"/>
                <w:szCs w:val="21"/>
                <w:highlight w:val="none"/>
              </w:rPr>
              <w:t>猪口蹄疫O型灭活疫苗</w:t>
            </w:r>
          </w:p>
        </w:tc>
        <w:tc>
          <w:tcPr>
            <w:tcW w:w="528" w:type="pct"/>
            <w:tcBorders>
              <w:left w:val="single" w:color="auto" w:sz="4" w:space="0"/>
              <w:bottom w:val="single" w:color="auto" w:sz="4" w:space="0"/>
            </w:tcBorders>
            <w:noWrap w:val="0"/>
            <w:vAlign w:val="center"/>
          </w:tcPr>
          <w:p w14:paraId="1B76DDBB">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1000</w:t>
            </w:r>
          </w:p>
          <w:p w14:paraId="5B0F3BFD">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55" w:type="pct"/>
            <w:tcBorders>
              <w:left w:val="single" w:color="auto" w:sz="4" w:space="0"/>
              <w:bottom w:val="single" w:color="auto" w:sz="4" w:space="0"/>
            </w:tcBorders>
            <w:noWrap w:val="0"/>
            <w:vAlign w:val="center"/>
          </w:tcPr>
          <w:p w14:paraId="53E86580">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87" w:type="pct"/>
            <w:tcBorders>
              <w:left w:val="single" w:color="auto" w:sz="4" w:space="0"/>
              <w:bottom w:val="single" w:color="auto" w:sz="4" w:space="0"/>
            </w:tcBorders>
            <w:noWrap w:val="0"/>
            <w:vAlign w:val="center"/>
          </w:tcPr>
          <w:p w14:paraId="57921C7A">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600.00</w:t>
            </w:r>
          </w:p>
        </w:tc>
        <w:tc>
          <w:tcPr>
            <w:tcW w:w="2234" w:type="pct"/>
            <w:vMerge w:val="restart"/>
            <w:noWrap w:val="0"/>
            <w:vAlign w:val="center"/>
          </w:tcPr>
          <w:p w14:paraId="2B93127B">
            <w:pPr>
              <w:widowControl/>
              <w:textAlignment w:val="center"/>
              <w:rPr>
                <w:rFonts w:hint="eastAsia" w:ascii="宋体" w:hAnsi="宋体" w:cs="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将</w:t>
            </w:r>
            <w:r>
              <w:rPr>
                <w:rFonts w:hint="eastAsia" w:ascii="宋体" w:hAnsi="宋体"/>
                <w:color w:val="auto"/>
                <w:szCs w:val="21"/>
                <w:highlight w:val="none"/>
              </w:rPr>
              <w:t>口蹄疫O型猪源病毒疫苗毒株接种</w:t>
            </w:r>
            <w:r>
              <w:rPr>
                <w:rFonts w:hint="eastAsia" w:ascii="宋体" w:hAnsi="宋体"/>
                <w:color w:val="auto"/>
                <w:szCs w:val="21"/>
                <w:highlight w:val="none"/>
                <w:lang w:val="en-US" w:eastAsia="zh-CN"/>
              </w:rPr>
              <w:t>敏感</w:t>
            </w:r>
            <w:r>
              <w:rPr>
                <w:rFonts w:hint="eastAsia" w:ascii="宋体" w:hAnsi="宋体"/>
                <w:color w:val="auto"/>
                <w:szCs w:val="21"/>
                <w:highlight w:val="none"/>
              </w:rPr>
              <w:t>细胞培养</w:t>
            </w:r>
            <w:r>
              <w:rPr>
                <w:rFonts w:hint="eastAsia" w:ascii="宋体" w:hAnsi="宋体"/>
                <w:color w:val="auto"/>
                <w:szCs w:val="21"/>
                <w:highlight w:val="none"/>
                <w:lang w:eastAsia="zh-CN"/>
              </w:rPr>
              <w:t>，</w:t>
            </w:r>
            <w:r>
              <w:rPr>
                <w:rFonts w:hint="eastAsia" w:ascii="宋体" w:hAnsi="宋体"/>
                <w:color w:val="auto"/>
                <w:szCs w:val="21"/>
                <w:highlight w:val="none"/>
              </w:rPr>
              <w:t>收获细胞培养物，经BEI灭活后，加206或201佐剂混合乳化制成。</w:t>
            </w:r>
            <w:r>
              <w:rPr>
                <w:rFonts w:hint="eastAsia" w:ascii="宋体" w:hAnsi="宋体"/>
                <w:color w:val="auto"/>
                <w:szCs w:val="21"/>
                <w:highlight w:val="none"/>
              </w:rPr>
              <w:br w:type="textWrapping"/>
            </w:r>
            <w:r>
              <w:rPr>
                <w:rFonts w:hint="eastAsia" w:ascii="宋体" w:hAnsi="宋体"/>
                <w:color w:val="auto"/>
                <w:szCs w:val="21"/>
                <w:highlight w:val="none"/>
              </w:rPr>
              <w:t>2.规格：100ml/瓶或50ml/瓶。</w:t>
            </w:r>
            <w:r>
              <w:rPr>
                <w:rFonts w:hint="eastAsia" w:ascii="宋体" w:hAnsi="宋体"/>
                <w:color w:val="auto"/>
                <w:szCs w:val="21"/>
                <w:highlight w:val="none"/>
              </w:rPr>
              <w:br w:type="textWrapping"/>
            </w:r>
            <w:r>
              <w:rPr>
                <w:rFonts w:hint="eastAsia" w:ascii="宋体" w:hAnsi="宋体"/>
                <w:color w:val="auto"/>
                <w:szCs w:val="21"/>
                <w:highlight w:val="none"/>
              </w:rPr>
              <w:t>3.外观、剂型、粘度、稳定性、安全性、效价、保护期、包装等符合国家兽用生物制品规程要求。</w:t>
            </w:r>
            <w:r>
              <w:rPr>
                <w:rFonts w:hint="eastAsia" w:ascii="宋体" w:hAnsi="宋体"/>
                <w:color w:val="auto"/>
                <w:szCs w:val="21"/>
                <w:highlight w:val="none"/>
              </w:rPr>
              <w:br w:type="textWrapping"/>
            </w:r>
            <w:r>
              <w:rPr>
                <w:rFonts w:hint="eastAsia" w:ascii="宋体" w:hAnsi="宋体"/>
                <w:color w:val="auto"/>
                <w:szCs w:val="21"/>
                <w:highlight w:val="none"/>
              </w:rPr>
              <w:t>4.在2～8℃保存，有效期（疫苗完成生产之日起计算）为12个月或以上。</w:t>
            </w:r>
          </w:p>
        </w:tc>
      </w:tr>
      <w:tr w14:paraId="624CD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534" w:type="pct"/>
            <w:noWrap w:val="0"/>
            <w:vAlign w:val="center"/>
          </w:tcPr>
          <w:p w14:paraId="376E3374">
            <w:pPr>
              <w:snapToGrid w:val="0"/>
              <w:jc w:val="center"/>
              <w:rPr>
                <w:rFonts w:hint="eastAsia" w:ascii="宋体" w:hAnsi="宋体"/>
                <w:color w:val="auto"/>
                <w:szCs w:val="21"/>
                <w:highlight w:val="none"/>
              </w:rPr>
            </w:pPr>
            <w:r>
              <w:rPr>
                <w:rFonts w:hint="eastAsia" w:ascii="宋体" w:hAnsi="宋体" w:cs="Arial"/>
                <w:color w:val="auto"/>
                <w:szCs w:val="21"/>
                <w:highlight w:val="none"/>
              </w:rPr>
              <w:t>A2分标</w:t>
            </w:r>
          </w:p>
        </w:tc>
        <w:tc>
          <w:tcPr>
            <w:tcW w:w="458" w:type="pct"/>
            <w:vMerge w:val="continue"/>
            <w:noWrap w:val="0"/>
            <w:vAlign w:val="center"/>
          </w:tcPr>
          <w:p w14:paraId="77545351">
            <w:pPr>
              <w:widowControl/>
              <w:jc w:val="center"/>
              <w:textAlignment w:val="center"/>
              <w:rPr>
                <w:rFonts w:ascii="宋体" w:hAnsi="宋体" w:cs="宋体"/>
                <w:color w:val="auto"/>
                <w:szCs w:val="21"/>
                <w:highlight w:val="none"/>
              </w:rPr>
            </w:pPr>
          </w:p>
        </w:tc>
        <w:tc>
          <w:tcPr>
            <w:tcW w:w="528" w:type="pct"/>
            <w:tcBorders>
              <w:left w:val="single" w:color="auto" w:sz="4" w:space="0"/>
              <w:bottom w:val="single" w:color="auto" w:sz="4" w:space="0"/>
            </w:tcBorders>
            <w:noWrap w:val="0"/>
            <w:vAlign w:val="center"/>
          </w:tcPr>
          <w:p w14:paraId="61B36C5E">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800</w:t>
            </w:r>
          </w:p>
          <w:p w14:paraId="03C87FD6">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55" w:type="pct"/>
            <w:tcBorders>
              <w:left w:val="single" w:color="auto" w:sz="4" w:space="0"/>
              <w:bottom w:val="single" w:color="auto" w:sz="4" w:space="0"/>
            </w:tcBorders>
            <w:noWrap w:val="0"/>
            <w:vAlign w:val="center"/>
          </w:tcPr>
          <w:p w14:paraId="31DB8726">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87" w:type="pct"/>
            <w:tcBorders>
              <w:left w:val="single" w:color="auto" w:sz="4" w:space="0"/>
              <w:bottom w:val="single" w:color="auto" w:sz="4" w:space="0"/>
            </w:tcBorders>
            <w:noWrap w:val="0"/>
            <w:vAlign w:val="center"/>
          </w:tcPr>
          <w:p w14:paraId="0271FE27">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480.00</w:t>
            </w:r>
          </w:p>
        </w:tc>
        <w:tc>
          <w:tcPr>
            <w:tcW w:w="2234" w:type="pct"/>
            <w:vMerge w:val="continue"/>
            <w:noWrap w:val="0"/>
            <w:vAlign w:val="center"/>
          </w:tcPr>
          <w:p w14:paraId="1527AA4F">
            <w:pPr>
              <w:widowControl/>
              <w:textAlignment w:val="center"/>
              <w:rPr>
                <w:rFonts w:hint="eastAsia" w:ascii="宋体" w:hAnsi="宋体" w:cs="宋体"/>
                <w:color w:val="auto"/>
                <w:szCs w:val="21"/>
                <w:highlight w:val="none"/>
              </w:rPr>
            </w:pPr>
          </w:p>
        </w:tc>
      </w:tr>
      <w:tr w14:paraId="326D4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534" w:type="pct"/>
            <w:noWrap w:val="0"/>
            <w:vAlign w:val="center"/>
          </w:tcPr>
          <w:p w14:paraId="056A7431">
            <w:pPr>
              <w:snapToGrid w:val="0"/>
              <w:jc w:val="center"/>
              <w:rPr>
                <w:rFonts w:hint="eastAsia" w:ascii="宋体" w:hAnsi="宋体"/>
                <w:color w:val="auto"/>
                <w:szCs w:val="21"/>
                <w:highlight w:val="none"/>
              </w:rPr>
            </w:pPr>
            <w:r>
              <w:rPr>
                <w:rFonts w:hint="eastAsia" w:ascii="宋体" w:hAnsi="宋体" w:cs="Arial"/>
                <w:color w:val="auto"/>
                <w:szCs w:val="21"/>
                <w:highlight w:val="none"/>
              </w:rPr>
              <w:t>A3分标</w:t>
            </w:r>
          </w:p>
        </w:tc>
        <w:tc>
          <w:tcPr>
            <w:tcW w:w="458" w:type="pct"/>
            <w:vMerge w:val="continue"/>
            <w:noWrap w:val="0"/>
            <w:vAlign w:val="center"/>
          </w:tcPr>
          <w:p w14:paraId="77AE5B01">
            <w:pPr>
              <w:widowControl/>
              <w:jc w:val="center"/>
              <w:textAlignment w:val="center"/>
              <w:rPr>
                <w:rFonts w:ascii="宋体" w:hAnsi="宋体" w:cs="宋体"/>
                <w:color w:val="auto"/>
                <w:szCs w:val="21"/>
                <w:highlight w:val="none"/>
              </w:rPr>
            </w:pPr>
          </w:p>
        </w:tc>
        <w:tc>
          <w:tcPr>
            <w:tcW w:w="528" w:type="pct"/>
            <w:tcBorders>
              <w:left w:val="single" w:color="auto" w:sz="4" w:space="0"/>
              <w:bottom w:val="single" w:color="auto" w:sz="4" w:space="0"/>
            </w:tcBorders>
            <w:noWrap w:val="0"/>
            <w:vAlign w:val="center"/>
          </w:tcPr>
          <w:p w14:paraId="0531E31C">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600</w:t>
            </w:r>
          </w:p>
          <w:p w14:paraId="32597EB8">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55" w:type="pct"/>
            <w:tcBorders>
              <w:left w:val="single" w:color="auto" w:sz="4" w:space="0"/>
              <w:bottom w:val="single" w:color="auto" w:sz="4" w:space="0"/>
            </w:tcBorders>
            <w:noWrap w:val="0"/>
            <w:vAlign w:val="center"/>
          </w:tcPr>
          <w:p w14:paraId="372BAE84">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87" w:type="pct"/>
            <w:tcBorders>
              <w:left w:val="single" w:color="auto" w:sz="4" w:space="0"/>
              <w:bottom w:val="single" w:color="auto" w:sz="4" w:space="0"/>
            </w:tcBorders>
            <w:noWrap w:val="0"/>
            <w:vAlign w:val="center"/>
          </w:tcPr>
          <w:p w14:paraId="02C44A79">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360.00</w:t>
            </w:r>
          </w:p>
        </w:tc>
        <w:tc>
          <w:tcPr>
            <w:tcW w:w="2234" w:type="pct"/>
            <w:vMerge w:val="continue"/>
            <w:noWrap w:val="0"/>
            <w:vAlign w:val="center"/>
          </w:tcPr>
          <w:p w14:paraId="36DFD9C0">
            <w:pPr>
              <w:widowControl/>
              <w:textAlignment w:val="center"/>
              <w:rPr>
                <w:rFonts w:hint="eastAsia" w:ascii="宋体" w:hAnsi="宋体" w:cs="宋体"/>
                <w:color w:val="auto"/>
                <w:szCs w:val="21"/>
                <w:highlight w:val="none"/>
              </w:rPr>
            </w:pPr>
          </w:p>
        </w:tc>
      </w:tr>
      <w:tr w14:paraId="7573F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4" w:type="pct"/>
            <w:noWrap w:val="0"/>
            <w:vAlign w:val="center"/>
          </w:tcPr>
          <w:p w14:paraId="518E6F8A">
            <w:pPr>
              <w:snapToGrid w:val="0"/>
              <w:jc w:val="center"/>
              <w:rPr>
                <w:rFonts w:hint="eastAsia" w:ascii="宋体" w:hAnsi="宋体"/>
                <w:color w:val="auto"/>
                <w:szCs w:val="21"/>
                <w:highlight w:val="none"/>
              </w:rPr>
            </w:pPr>
            <w:r>
              <w:rPr>
                <w:rFonts w:hint="eastAsia" w:ascii="宋体" w:hAnsi="宋体" w:cs="Arial"/>
                <w:color w:val="auto"/>
                <w:szCs w:val="21"/>
                <w:highlight w:val="none"/>
              </w:rPr>
              <w:t>A4分标</w:t>
            </w:r>
          </w:p>
        </w:tc>
        <w:tc>
          <w:tcPr>
            <w:tcW w:w="458" w:type="pct"/>
            <w:vMerge w:val="continue"/>
            <w:tcBorders>
              <w:bottom w:val="single" w:color="auto" w:sz="4" w:space="0"/>
            </w:tcBorders>
            <w:noWrap w:val="0"/>
            <w:vAlign w:val="center"/>
          </w:tcPr>
          <w:p w14:paraId="6CAF2220">
            <w:pPr>
              <w:widowControl/>
              <w:jc w:val="center"/>
              <w:textAlignment w:val="center"/>
              <w:rPr>
                <w:rFonts w:ascii="宋体" w:hAnsi="宋体" w:cs="宋体"/>
                <w:color w:val="auto"/>
                <w:szCs w:val="21"/>
                <w:highlight w:val="none"/>
              </w:rPr>
            </w:pPr>
          </w:p>
        </w:tc>
        <w:tc>
          <w:tcPr>
            <w:tcW w:w="528" w:type="pct"/>
            <w:tcBorders>
              <w:left w:val="single" w:color="auto" w:sz="4" w:space="0"/>
              <w:bottom w:val="single" w:color="auto" w:sz="4" w:space="0"/>
            </w:tcBorders>
            <w:noWrap w:val="0"/>
            <w:vAlign w:val="center"/>
          </w:tcPr>
          <w:p w14:paraId="4C70E6B8">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500</w:t>
            </w:r>
          </w:p>
          <w:p w14:paraId="0004E9EB">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55" w:type="pct"/>
            <w:tcBorders>
              <w:left w:val="single" w:color="auto" w:sz="4" w:space="0"/>
              <w:bottom w:val="single" w:color="auto" w:sz="4" w:space="0"/>
            </w:tcBorders>
            <w:noWrap w:val="0"/>
            <w:vAlign w:val="center"/>
          </w:tcPr>
          <w:p w14:paraId="393E975D">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87" w:type="pct"/>
            <w:tcBorders>
              <w:left w:val="single" w:color="auto" w:sz="4" w:space="0"/>
              <w:bottom w:val="single" w:color="auto" w:sz="4" w:space="0"/>
            </w:tcBorders>
            <w:noWrap w:val="0"/>
            <w:vAlign w:val="center"/>
          </w:tcPr>
          <w:p w14:paraId="4BBD0DA2">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300.00</w:t>
            </w:r>
          </w:p>
        </w:tc>
        <w:tc>
          <w:tcPr>
            <w:tcW w:w="2234" w:type="pct"/>
            <w:vMerge w:val="continue"/>
            <w:tcBorders>
              <w:bottom w:val="single" w:color="auto" w:sz="4" w:space="0"/>
            </w:tcBorders>
            <w:noWrap w:val="0"/>
            <w:vAlign w:val="center"/>
          </w:tcPr>
          <w:p w14:paraId="4B5F22C4">
            <w:pPr>
              <w:widowControl/>
              <w:textAlignment w:val="center"/>
              <w:rPr>
                <w:rFonts w:hint="eastAsia" w:ascii="宋体" w:hAnsi="宋体" w:cs="宋体"/>
                <w:color w:val="auto"/>
                <w:szCs w:val="21"/>
                <w:highlight w:val="none"/>
              </w:rPr>
            </w:pPr>
          </w:p>
        </w:tc>
      </w:tr>
    </w:tbl>
    <w:p w14:paraId="6E0A4293">
      <w:pPr>
        <w:rPr>
          <w:rFonts w:hint="eastAsia" w:ascii="宋体" w:hAnsi="宋体"/>
          <w:b/>
          <w:bCs/>
          <w:color w:val="auto"/>
          <w:szCs w:val="21"/>
          <w:highlight w:val="none"/>
        </w:rPr>
      </w:pPr>
    </w:p>
    <w:p w14:paraId="6750AF51">
      <w:pPr>
        <w:rPr>
          <w:rFonts w:hint="eastAsia" w:ascii="宋体" w:hAnsi="宋体"/>
          <w:b/>
          <w:bCs/>
          <w:color w:val="auto"/>
          <w:szCs w:val="21"/>
          <w:highlight w:val="none"/>
        </w:rPr>
      </w:pPr>
      <w:r>
        <w:rPr>
          <w:rFonts w:hint="eastAsia" w:ascii="宋体" w:hAnsi="宋体"/>
          <w:b/>
          <w:bCs/>
          <w:color w:val="auto"/>
          <w:szCs w:val="21"/>
          <w:highlight w:val="none"/>
        </w:rPr>
        <w:t>B分标    标的名称：猪口蹄疫O型合成肽疫苗</w:t>
      </w:r>
    </w:p>
    <w:tbl>
      <w:tblPr>
        <w:tblStyle w:val="49"/>
        <w:tblW w:w="52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9"/>
        <w:gridCol w:w="967"/>
        <w:gridCol w:w="1003"/>
        <w:gridCol w:w="966"/>
        <w:gridCol w:w="1309"/>
        <w:gridCol w:w="4564"/>
      </w:tblGrid>
      <w:tr w14:paraId="6C209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81" w:type="pct"/>
            <w:noWrap w:val="0"/>
            <w:vAlign w:val="center"/>
          </w:tcPr>
          <w:p w14:paraId="3346AA12">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95" w:type="pct"/>
            <w:noWrap w:val="0"/>
            <w:vAlign w:val="center"/>
          </w:tcPr>
          <w:p w14:paraId="781D9993">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78743F0E">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514" w:type="pct"/>
            <w:tcBorders>
              <w:right w:val="single" w:color="auto" w:sz="4" w:space="0"/>
            </w:tcBorders>
            <w:noWrap w:val="0"/>
            <w:vAlign w:val="center"/>
          </w:tcPr>
          <w:p w14:paraId="1AB00E8B">
            <w:pPr>
              <w:snapToGrid w:val="0"/>
              <w:jc w:val="center"/>
              <w:rPr>
                <w:rFonts w:ascii="宋体" w:hAnsi="宋体" w:cs="宋体"/>
                <w:b/>
                <w:color w:val="auto"/>
                <w:szCs w:val="21"/>
                <w:highlight w:val="none"/>
              </w:rPr>
            </w:pPr>
            <w:r>
              <w:rPr>
                <w:rFonts w:hint="eastAsia" w:ascii="宋体" w:hAnsi="宋体" w:cs="Arial"/>
                <w:b/>
                <w:color w:val="auto"/>
                <w:szCs w:val="21"/>
                <w:highlight w:val="none"/>
              </w:rPr>
              <w:t>数量及单位</w:t>
            </w:r>
          </w:p>
        </w:tc>
        <w:tc>
          <w:tcPr>
            <w:tcW w:w="495" w:type="pct"/>
            <w:tcBorders>
              <w:right w:val="single" w:color="auto" w:sz="4" w:space="0"/>
            </w:tcBorders>
            <w:noWrap w:val="0"/>
            <w:vAlign w:val="center"/>
          </w:tcPr>
          <w:p w14:paraId="571A80C4">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7E714A81">
            <w:pPr>
              <w:snapToGrid w:val="0"/>
              <w:jc w:val="center"/>
              <w:rPr>
                <w:rFonts w:hint="eastAsia" w:ascii="宋体" w:hAnsi="宋体" w:cs="宋体"/>
                <w:b/>
                <w:color w:val="auto"/>
                <w:szCs w:val="21"/>
                <w:highlight w:val="none"/>
              </w:rPr>
            </w:pPr>
            <w:r>
              <w:rPr>
                <w:rFonts w:hint="eastAsia" w:ascii="宋体" w:hAnsi="宋体" w:cs="Arial"/>
                <w:b/>
                <w:color w:val="auto"/>
                <w:szCs w:val="21"/>
                <w:highlight w:val="none"/>
              </w:rPr>
              <w:t>（万元）</w:t>
            </w:r>
          </w:p>
        </w:tc>
        <w:tc>
          <w:tcPr>
            <w:tcW w:w="671" w:type="pct"/>
            <w:tcBorders>
              <w:left w:val="single" w:color="auto" w:sz="4" w:space="0"/>
            </w:tcBorders>
            <w:noWrap w:val="0"/>
            <w:vAlign w:val="center"/>
          </w:tcPr>
          <w:p w14:paraId="5B3A612F">
            <w:pPr>
              <w:snapToGrid w:val="0"/>
              <w:jc w:val="center"/>
              <w:rPr>
                <w:rFonts w:hint="eastAsia" w:ascii="宋体" w:hAnsi="宋体" w:cs="宋体"/>
                <w:b/>
                <w:color w:val="auto"/>
                <w:szCs w:val="21"/>
                <w:highlight w:val="none"/>
              </w:rPr>
            </w:pPr>
            <w:r>
              <w:rPr>
                <w:rFonts w:hint="eastAsia" w:ascii="宋体" w:hAnsi="宋体" w:cs="宋体"/>
                <w:b/>
                <w:color w:val="auto"/>
                <w:szCs w:val="21"/>
                <w:highlight w:val="none"/>
              </w:rPr>
              <w:t>最高限价（万元）</w:t>
            </w:r>
          </w:p>
        </w:tc>
        <w:tc>
          <w:tcPr>
            <w:tcW w:w="2341" w:type="pct"/>
            <w:noWrap w:val="0"/>
            <w:vAlign w:val="center"/>
          </w:tcPr>
          <w:p w14:paraId="358B2E00">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08074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81" w:type="pct"/>
            <w:noWrap w:val="0"/>
            <w:vAlign w:val="center"/>
          </w:tcPr>
          <w:p w14:paraId="49F9741E">
            <w:pPr>
              <w:snapToGrid w:val="0"/>
              <w:jc w:val="center"/>
              <w:rPr>
                <w:rFonts w:hint="eastAsia" w:ascii="宋体" w:hAnsi="宋体"/>
                <w:color w:val="auto"/>
                <w:szCs w:val="21"/>
                <w:highlight w:val="none"/>
              </w:rPr>
            </w:pPr>
            <w:r>
              <w:rPr>
                <w:rFonts w:hint="eastAsia" w:ascii="宋体" w:hAnsi="宋体" w:cs="Arial"/>
                <w:color w:val="auto"/>
                <w:szCs w:val="21"/>
                <w:highlight w:val="none"/>
              </w:rPr>
              <w:t>B分标</w:t>
            </w:r>
          </w:p>
        </w:tc>
        <w:tc>
          <w:tcPr>
            <w:tcW w:w="495" w:type="pct"/>
            <w:noWrap w:val="0"/>
            <w:vAlign w:val="center"/>
          </w:tcPr>
          <w:p w14:paraId="35C08E0E">
            <w:pPr>
              <w:widowControl/>
              <w:jc w:val="center"/>
              <w:textAlignment w:val="center"/>
              <w:rPr>
                <w:rFonts w:ascii="宋体" w:hAnsi="宋体" w:cs="宋体"/>
                <w:color w:val="auto"/>
                <w:szCs w:val="21"/>
                <w:highlight w:val="none"/>
              </w:rPr>
            </w:pPr>
            <w:r>
              <w:rPr>
                <w:rFonts w:hint="eastAsia" w:ascii="宋体" w:hAnsi="宋体"/>
                <w:color w:val="auto"/>
                <w:szCs w:val="21"/>
                <w:highlight w:val="none"/>
              </w:rPr>
              <w:t>猪口蹄疫O型合成肽疫苗</w:t>
            </w:r>
          </w:p>
        </w:tc>
        <w:tc>
          <w:tcPr>
            <w:tcW w:w="514" w:type="pct"/>
            <w:tcBorders>
              <w:bottom w:val="single" w:color="auto" w:sz="4" w:space="0"/>
              <w:right w:val="single" w:color="auto" w:sz="4" w:space="0"/>
            </w:tcBorders>
            <w:noWrap w:val="0"/>
            <w:vAlign w:val="center"/>
          </w:tcPr>
          <w:p w14:paraId="7545B117">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133.5</w:t>
            </w:r>
          </w:p>
          <w:p w14:paraId="251B0B6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万头份</w:t>
            </w:r>
          </w:p>
        </w:tc>
        <w:tc>
          <w:tcPr>
            <w:tcW w:w="495" w:type="pct"/>
            <w:tcBorders>
              <w:bottom w:val="single" w:color="auto" w:sz="4" w:space="0"/>
              <w:right w:val="single" w:color="auto" w:sz="4" w:space="0"/>
            </w:tcBorders>
            <w:noWrap w:val="0"/>
            <w:vAlign w:val="center"/>
          </w:tcPr>
          <w:p w14:paraId="51C4221B">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1.20</w:t>
            </w:r>
          </w:p>
        </w:tc>
        <w:tc>
          <w:tcPr>
            <w:tcW w:w="671" w:type="pct"/>
            <w:tcBorders>
              <w:left w:val="single" w:color="auto" w:sz="4" w:space="0"/>
              <w:bottom w:val="single" w:color="auto" w:sz="4" w:space="0"/>
            </w:tcBorders>
            <w:noWrap w:val="0"/>
            <w:vAlign w:val="center"/>
          </w:tcPr>
          <w:p w14:paraId="218A56F1">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160.20</w:t>
            </w:r>
          </w:p>
        </w:tc>
        <w:tc>
          <w:tcPr>
            <w:tcW w:w="2341" w:type="pct"/>
            <w:noWrap w:val="0"/>
            <w:vAlign w:val="center"/>
          </w:tcPr>
          <w:p w14:paraId="1FE2A8D9">
            <w:pPr>
              <w:widowControl/>
              <w:textAlignment w:val="center"/>
              <w:rPr>
                <w:rFonts w:hint="eastAsia" w:ascii="宋体" w:hAnsi="宋体" w:cs="宋体"/>
                <w:color w:val="auto"/>
                <w:szCs w:val="21"/>
                <w:highlight w:val="none"/>
              </w:rPr>
            </w:pPr>
            <w:r>
              <w:rPr>
                <w:rFonts w:hint="eastAsia" w:ascii="宋体" w:hAnsi="宋体"/>
                <w:color w:val="auto"/>
                <w:szCs w:val="21"/>
                <w:highlight w:val="none"/>
              </w:rPr>
              <w:t>1.将生物工程技术合成的猪口蹄疫O型病毒抗原多肽与50V佐剂混合乳化制成。</w:t>
            </w:r>
            <w:r>
              <w:rPr>
                <w:rFonts w:hint="eastAsia" w:ascii="宋体" w:hAnsi="宋体"/>
                <w:color w:val="auto"/>
                <w:szCs w:val="21"/>
                <w:highlight w:val="none"/>
              </w:rPr>
              <w:br w:type="textWrapping"/>
            </w:r>
            <w:r>
              <w:rPr>
                <w:rFonts w:hint="eastAsia" w:ascii="宋体" w:hAnsi="宋体"/>
                <w:color w:val="auto"/>
                <w:szCs w:val="21"/>
                <w:highlight w:val="none"/>
              </w:rPr>
              <w:t>2.规格：100ml/瓶或50ml/瓶。</w:t>
            </w:r>
            <w:r>
              <w:rPr>
                <w:rFonts w:hint="eastAsia" w:ascii="宋体" w:hAnsi="宋体"/>
                <w:color w:val="auto"/>
                <w:szCs w:val="21"/>
                <w:highlight w:val="none"/>
              </w:rPr>
              <w:br w:type="textWrapping"/>
            </w:r>
            <w:r>
              <w:rPr>
                <w:rFonts w:hint="eastAsia" w:ascii="宋体" w:hAnsi="宋体"/>
                <w:color w:val="auto"/>
                <w:szCs w:val="21"/>
                <w:highlight w:val="none"/>
              </w:rPr>
              <w:t>3.外观、剂型、粘度、稳定性、安全性、效价、保护期、包装等符合国家兽用生物制品规程要求。</w:t>
            </w:r>
            <w:r>
              <w:rPr>
                <w:rFonts w:hint="eastAsia" w:ascii="宋体" w:hAnsi="宋体"/>
                <w:color w:val="auto"/>
                <w:szCs w:val="21"/>
                <w:highlight w:val="none"/>
              </w:rPr>
              <w:br w:type="textWrapping"/>
            </w:r>
            <w:r>
              <w:rPr>
                <w:rFonts w:hint="eastAsia" w:ascii="宋体" w:hAnsi="宋体"/>
                <w:color w:val="auto"/>
                <w:szCs w:val="21"/>
                <w:highlight w:val="none"/>
              </w:rPr>
              <w:t>4.在2～8℃保存，有效期（疫苗完成生产之日起计算）为12个月或以上。</w:t>
            </w:r>
          </w:p>
        </w:tc>
      </w:tr>
    </w:tbl>
    <w:p w14:paraId="0473533B">
      <w:pPr>
        <w:rPr>
          <w:rFonts w:hint="eastAsia" w:ascii="宋体" w:hAnsi="宋体"/>
          <w:b/>
          <w:bCs/>
          <w:color w:val="auto"/>
          <w:szCs w:val="21"/>
          <w:highlight w:val="none"/>
        </w:rPr>
      </w:pPr>
    </w:p>
    <w:p w14:paraId="6BB8FA5C">
      <w:pPr>
        <w:rPr>
          <w:rFonts w:hint="eastAsia" w:ascii="宋体" w:hAnsi="宋体"/>
          <w:b/>
          <w:bCs/>
          <w:color w:val="auto"/>
          <w:szCs w:val="21"/>
          <w:highlight w:val="none"/>
        </w:rPr>
      </w:pPr>
      <w:r>
        <w:rPr>
          <w:rFonts w:hint="eastAsia" w:ascii="宋体" w:hAnsi="宋体"/>
          <w:b/>
          <w:bCs/>
          <w:color w:val="auto"/>
          <w:szCs w:val="21"/>
          <w:highlight w:val="none"/>
        </w:rPr>
        <w:t xml:space="preserve">C分标     </w:t>
      </w:r>
      <w:r>
        <w:rPr>
          <w:rFonts w:hint="eastAsia" w:ascii="宋体" w:hAnsi="宋体" w:cs="宋体"/>
          <w:b/>
          <w:color w:val="auto"/>
          <w:szCs w:val="21"/>
          <w:highlight w:val="none"/>
        </w:rPr>
        <w:t>标的名称：</w:t>
      </w:r>
      <w:bookmarkStart w:id="12" w:name="OLE_LINK1"/>
      <w:r>
        <w:rPr>
          <w:rFonts w:hint="eastAsia" w:ascii="宋体" w:hAnsi="宋体"/>
          <w:color w:val="auto"/>
          <w:szCs w:val="21"/>
          <w:highlight w:val="none"/>
        </w:rPr>
        <w:t>猪口蹄疫O型合成肽疫苗或</w:t>
      </w:r>
      <w:bookmarkEnd w:id="12"/>
      <w:r>
        <w:rPr>
          <w:rFonts w:hint="eastAsia" w:ascii="宋体" w:hAnsi="宋体"/>
          <w:b/>
          <w:bCs/>
          <w:color w:val="auto"/>
          <w:szCs w:val="21"/>
          <w:highlight w:val="none"/>
        </w:rPr>
        <w:t>猪口蹄疫O型病毒样颗粒疫苗</w:t>
      </w:r>
    </w:p>
    <w:tbl>
      <w:tblPr>
        <w:tblStyle w:val="49"/>
        <w:tblW w:w="52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5"/>
        <w:gridCol w:w="968"/>
        <w:gridCol w:w="896"/>
        <w:gridCol w:w="1007"/>
        <w:gridCol w:w="1291"/>
        <w:gridCol w:w="4686"/>
      </w:tblGrid>
      <w:tr w14:paraId="37910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45" w:type="pct"/>
            <w:noWrap w:val="0"/>
            <w:vAlign w:val="center"/>
          </w:tcPr>
          <w:p w14:paraId="0E49DF44">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98" w:type="pct"/>
            <w:noWrap w:val="0"/>
            <w:vAlign w:val="center"/>
          </w:tcPr>
          <w:p w14:paraId="54F82CA6">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7DCFC972">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461" w:type="pct"/>
            <w:tcBorders>
              <w:right w:val="single" w:color="auto" w:sz="4" w:space="0"/>
            </w:tcBorders>
            <w:noWrap w:val="0"/>
            <w:vAlign w:val="center"/>
          </w:tcPr>
          <w:p w14:paraId="74ABD4E9">
            <w:pPr>
              <w:snapToGrid w:val="0"/>
              <w:jc w:val="center"/>
              <w:rPr>
                <w:rFonts w:ascii="宋体" w:hAnsi="宋体" w:cs="宋体"/>
                <w:b/>
                <w:color w:val="auto"/>
                <w:szCs w:val="21"/>
                <w:highlight w:val="none"/>
              </w:rPr>
            </w:pPr>
            <w:r>
              <w:rPr>
                <w:rFonts w:hint="eastAsia" w:ascii="宋体" w:hAnsi="宋体" w:cs="Arial"/>
                <w:b/>
                <w:color w:val="auto"/>
                <w:szCs w:val="21"/>
                <w:highlight w:val="none"/>
              </w:rPr>
              <w:t>数量及单位</w:t>
            </w:r>
          </w:p>
        </w:tc>
        <w:tc>
          <w:tcPr>
            <w:tcW w:w="518" w:type="pct"/>
            <w:tcBorders>
              <w:right w:val="single" w:color="auto" w:sz="4" w:space="0"/>
            </w:tcBorders>
            <w:noWrap w:val="0"/>
            <w:vAlign w:val="center"/>
          </w:tcPr>
          <w:p w14:paraId="666DE7CC">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03DC678F">
            <w:pPr>
              <w:snapToGrid w:val="0"/>
              <w:jc w:val="center"/>
              <w:rPr>
                <w:rFonts w:hint="eastAsia" w:ascii="宋体" w:hAnsi="宋体" w:cs="宋体"/>
                <w:b/>
                <w:color w:val="auto"/>
                <w:szCs w:val="21"/>
                <w:highlight w:val="none"/>
              </w:rPr>
            </w:pPr>
            <w:r>
              <w:rPr>
                <w:rFonts w:hint="eastAsia" w:ascii="宋体" w:hAnsi="宋体" w:cs="Arial"/>
                <w:b/>
                <w:color w:val="auto"/>
                <w:szCs w:val="21"/>
                <w:highlight w:val="none"/>
              </w:rPr>
              <w:t>（万元）</w:t>
            </w:r>
          </w:p>
        </w:tc>
        <w:tc>
          <w:tcPr>
            <w:tcW w:w="664" w:type="pct"/>
            <w:tcBorders>
              <w:left w:val="single" w:color="auto" w:sz="4" w:space="0"/>
            </w:tcBorders>
            <w:noWrap w:val="0"/>
            <w:vAlign w:val="center"/>
          </w:tcPr>
          <w:p w14:paraId="738AADF6">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最高限价（万元）</w:t>
            </w:r>
          </w:p>
        </w:tc>
        <w:tc>
          <w:tcPr>
            <w:tcW w:w="2410" w:type="pct"/>
            <w:noWrap w:val="0"/>
            <w:vAlign w:val="center"/>
          </w:tcPr>
          <w:p w14:paraId="24ACB7B9">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1EEDC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9" w:hRule="atLeast"/>
          <w:jc w:val="center"/>
        </w:trPr>
        <w:tc>
          <w:tcPr>
            <w:tcW w:w="445" w:type="pct"/>
            <w:noWrap w:val="0"/>
            <w:vAlign w:val="center"/>
          </w:tcPr>
          <w:p w14:paraId="480643FB">
            <w:pPr>
              <w:snapToGrid w:val="0"/>
              <w:jc w:val="center"/>
              <w:rPr>
                <w:rFonts w:hint="eastAsia" w:ascii="宋体" w:hAnsi="宋体"/>
                <w:color w:val="auto"/>
                <w:szCs w:val="21"/>
                <w:highlight w:val="none"/>
              </w:rPr>
            </w:pPr>
            <w:r>
              <w:rPr>
                <w:rFonts w:hint="eastAsia" w:ascii="宋体" w:hAnsi="宋体" w:cs="Arial"/>
                <w:color w:val="auto"/>
                <w:szCs w:val="21"/>
                <w:highlight w:val="none"/>
              </w:rPr>
              <w:t>C分标</w:t>
            </w:r>
          </w:p>
        </w:tc>
        <w:tc>
          <w:tcPr>
            <w:tcW w:w="498" w:type="pct"/>
            <w:tcBorders>
              <w:bottom w:val="single" w:color="auto" w:sz="4" w:space="0"/>
            </w:tcBorders>
            <w:noWrap w:val="0"/>
            <w:vAlign w:val="center"/>
          </w:tcPr>
          <w:p w14:paraId="78050BC1">
            <w:pPr>
              <w:snapToGrid w:val="0"/>
              <w:jc w:val="center"/>
              <w:rPr>
                <w:rFonts w:hint="eastAsia" w:ascii="宋体" w:hAnsi="宋体" w:cs="Arial"/>
                <w:color w:val="auto"/>
                <w:szCs w:val="21"/>
                <w:highlight w:val="none"/>
              </w:rPr>
            </w:pPr>
            <w:r>
              <w:rPr>
                <w:rFonts w:hint="eastAsia" w:ascii="宋体" w:hAnsi="宋体"/>
                <w:color w:val="auto"/>
                <w:szCs w:val="21"/>
                <w:highlight w:val="none"/>
              </w:rPr>
              <w:t>猪口蹄疫O型合成肽疫苗或</w:t>
            </w:r>
            <w:r>
              <w:rPr>
                <w:rFonts w:hint="eastAsia" w:ascii="宋体" w:hAnsi="宋体" w:cs="Arial"/>
                <w:color w:val="auto"/>
                <w:szCs w:val="21"/>
                <w:highlight w:val="none"/>
              </w:rPr>
              <w:t>猪口蹄疫O型病毒样颗粒疫苗</w:t>
            </w:r>
          </w:p>
        </w:tc>
        <w:tc>
          <w:tcPr>
            <w:tcW w:w="461" w:type="pct"/>
            <w:tcBorders>
              <w:bottom w:val="single" w:color="auto" w:sz="4" w:space="0"/>
              <w:right w:val="single" w:color="auto" w:sz="4" w:space="0"/>
            </w:tcBorders>
            <w:noWrap w:val="0"/>
            <w:vAlign w:val="center"/>
          </w:tcPr>
          <w:p w14:paraId="0DC2E162">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30</w:t>
            </w:r>
          </w:p>
          <w:p w14:paraId="5FD66D87">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万头份</w:t>
            </w:r>
          </w:p>
        </w:tc>
        <w:tc>
          <w:tcPr>
            <w:tcW w:w="518" w:type="pct"/>
            <w:tcBorders>
              <w:bottom w:val="single" w:color="auto" w:sz="4" w:space="0"/>
              <w:right w:val="single" w:color="auto" w:sz="4" w:space="0"/>
            </w:tcBorders>
            <w:noWrap w:val="0"/>
            <w:vAlign w:val="center"/>
          </w:tcPr>
          <w:p w14:paraId="59E02199">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1.20</w:t>
            </w:r>
          </w:p>
        </w:tc>
        <w:tc>
          <w:tcPr>
            <w:tcW w:w="664" w:type="pct"/>
            <w:tcBorders>
              <w:left w:val="single" w:color="auto" w:sz="4" w:space="0"/>
              <w:bottom w:val="single" w:color="auto" w:sz="4" w:space="0"/>
            </w:tcBorders>
            <w:noWrap w:val="0"/>
            <w:vAlign w:val="center"/>
          </w:tcPr>
          <w:p w14:paraId="4723A5A5">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36.00</w:t>
            </w:r>
          </w:p>
        </w:tc>
        <w:tc>
          <w:tcPr>
            <w:tcW w:w="2410" w:type="pct"/>
            <w:tcBorders>
              <w:bottom w:val="single" w:color="auto" w:sz="4" w:space="0"/>
            </w:tcBorders>
            <w:noWrap w:val="0"/>
            <w:vAlign w:val="center"/>
          </w:tcPr>
          <w:p w14:paraId="53DBB197">
            <w:pPr>
              <w:widowControl/>
              <w:textAlignment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1.将生物工程技术合成的猪口蹄疫O型病毒抗原多肽，或者用表达O型口蹄疫病毒多种结构蛋白经生物工程技术组装成口蹄疫病毒样颗粒，与50V或者用206佐剂混合乳化制成。</w:t>
            </w:r>
          </w:p>
          <w:p w14:paraId="1CCAE17E">
            <w:pPr>
              <w:widowControl/>
              <w:textAlignment w:val="center"/>
              <w:rPr>
                <w:rFonts w:hint="eastAsia" w:ascii="宋体" w:hAnsi="宋体"/>
                <w:color w:val="auto"/>
                <w:szCs w:val="21"/>
                <w:highlight w:val="none"/>
              </w:rPr>
            </w:pPr>
            <w:r>
              <w:rPr>
                <w:rFonts w:hint="eastAsia" w:ascii="宋体" w:hAnsi="宋体"/>
                <w:color w:val="auto"/>
                <w:szCs w:val="21"/>
                <w:highlight w:val="none"/>
              </w:rPr>
              <w:t>2.规格：100ml/瓶或50ml/瓶。猪口蹄疫O型合成肽疫苗</w:t>
            </w:r>
            <w:r>
              <w:rPr>
                <w:rFonts w:hint="eastAsia" w:ascii="宋体" w:hAnsi="宋体" w:cs="Arial"/>
                <w:color w:val="auto"/>
                <w:szCs w:val="21"/>
                <w:highlight w:val="none"/>
              </w:rPr>
              <w:t>1头</w:t>
            </w:r>
            <w:r>
              <w:rPr>
                <w:rFonts w:ascii="宋体" w:hAnsi="宋体" w:cs="Arial"/>
                <w:color w:val="auto"/>
                <w:szCs w:val="21"/>
                <w:highlight w:val="none"/>
              </w:rPr>
              <w:t>份</w:t>
            </w:r>
            <w:r>
              <w:rPr>
                <w:rFonts w:hint="eastAsia" w:ascii="宋体" w:hAnsi="宋体" w:cs="Arial"/>
                <w:color w:val="auto"/>
                <w:szCs w:val="21"/>
                <w:highlight w:val="none"/>
              </w:rPr>
              <w:t>/1毫升</w:t>
            </w:r>
            <w:r>
              <w:rPr>
                <w:rFonts w:hint="eastAsia" w:ascii="宋体" w:hAnsi="宋体"/>
                <w:color w:val="auto"/>
                <w:szCs w:val="21"/>
                <w:highlight w:val="none"/>
              </w:rPr>
              <w:t>，</w:t>
            </w:r>
            <w:r>
              <w:rPr>
                <w:rFonts w:hint="eastAsia" w:ascii="宋体" w:hAnsi="宋体" w:cs="Arial"/>
                <w:color w:val="auto"/>
                <w:szCs w:val="21"/>
                <w:highlight w:val="none"/>
              </w:rPr>
              <w:t>猪口蹄疫O型病毒样颗粒疫苗1头</w:t>
            </w:r>
            <w:r>
              <w:rPr>
                <w:rFonts w:ascii="宋体" w:hAnsi="宋体" w:cs="Arial"/>
                <w:color w:val="auto"/>
                <w:szCs w:val="21"/>
                <w:highlight w:val="none"/>
              </w:rPr>
              <w:t>份</w:t>
            </w:r>
            <w:r>
              <w:rPr>
                <w:rFonts w:hint="eastAsia" w:ascii="宋体" w:hAnsi="宋体" w:cs="Arial"/>
                <w:color w:val="auto"/>
                <w:szCs w:val="21"/>
                <w:highlight w:val="none"/>
              </w:rPr>
              <w:t>/2毫升。</w:t>
            </w:r>
          </w:p>
          <w:p w14:paraId="01050745">
            <w:pPr>
              <w:widowControl/>
              <w:textAlignment w:val="center"/>
              <w:rPr>
                <w:rFonts w:hint="eastAsia" w:ascii="宋体" w:hAnsi="宋体"/>
                <w:color w:val="auto"/>
                <w:szCs w:val="21"/>
                <w:highlight w:val="none"/>
              </w:rPr>
            </w:pPr>
            <w:r>
              <w:rPr>
                <w:rFonts w:hint="eastAsia" w:ascii="宋体" w:hAnsi="宋体"/>
                <w:color w:val="auto"/>
                <w:szCs w:val="21"/>
                <w:highlight w:val="none"/>
              </w:rPr>
              <w:t>3.外观、剂型、粘度、稳定性、安全性、效价、保护期、包装等符合国家兽用生物制品规程要求。</w:t>
            </w:r>
          </w:p>
          <w:p w14:paraId="70FB2ADC">
            <w:pPr>
              <w:widowControl/>
              <w:textAlignment w:val="center"/>
              <w:rPr>
                <w:rFonts w:hint="eastAsia" w:ascii="宋体" w:hAnsi="宋体" w:cs="宋体"/>
                <w:color w:val="auto"/>
                <w:szCs w:val="21"/>
                <w:highlight w:val="none"/>
              </w:rPr>
            </w:pPr>
            <w:r>
              <w:rPr>
                <w:rFonts w:hint="eastAsia" w:ascii="宋体" w:hAnsi="宋体"/>
                <w:color w:val="auto"/>
                <w:szCs w:val="21"/>
                <w:highlight w:val="none"/>
              </w:rPr>
              <w:t>4.在2～8℃保存，有效期(疫苗完成生产之日起计算）为12个月或以上。</w:t>
            </w:r>
          </w:p>
        </w:tc>
      </w:tr>
    </w:tbl>
    <w:p w14:paraId="47C41C55">
      <w:pPr>
        <w:ind w:left="119"/>
        <w:rPr>
          <w:rFonts w:ascii="宋体" w:hAnsi="宋体"/>
          <w:color w:val="auto"/>
          <w:szCs w:val="21"/>
          <w:highlight w:val="none"/>
        </w:rPr>
      </w:pPr>
    </w:p>
    <w:p w14:paraId="63E7E218">
      <w:pPr>
        <w:rPr>
          <w:rFonts w:hint="eastAsia" w:ascii="宋体" w:hAnsi="宋体"/>
          <w:b/>
          <w:bCs/>
          <w:color w:val="auto"/>
          <w:szCs w:val="21"/>
          <w:highlight w:val="none"/>
        </w:rPr>
      </w:pPr>
      <w:r>
        <w:rPr>
          <w:rFonts w:hint="eastAsia" w:ascii="宋体" w:hAnsi="宋体"/>
          <w:b/>
          <w:bCs/>
          <w:color w:val="auto"/>
          <w:szCs w:val="21"/>
          <w:highlight w:val="none"/>
        </w:rPr>
        <w:t xml:space="preserve">D1-D2分标     </w:t>
      </w:r>
      <w:r>
        <w:rPr>
          <w:rFonts w:hint="eastAsia" w:ascii="宋体" w:hAnsi="宋体" w:cs="宋体"/>
          <w:b/>
          <w:color w:val="auto"/>
          <w:szCs w:val="21"/>
          <w:highlight w:val="none"/>
        </w:rPr>
        <w:t>标的名称</w:t>
      </w:r>
      <w:r>
        <w:rPr>
          <w:rFonts w:hint="eastAsia" w:ascii="宋体" w:hAnsi="宋体"/>
          <w:b/>
          <w:bCs/>
          <w:color w:val="auto"/>
          <w:szCs w:val="21"/>
          <w:highlight w:val="none"/>
        </w:rPr>
        <w:t>：小反刍兽疫弱毒活疫苗</w:t>
      </w:r>
    </w:p>
    <w:tbl>
      <w:tblPr>
        <w:tblStyle w:val="49"/>
        <w:tblW w:w="521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
        <w:gridCol w:w="878"/>
        <w:gridCol w:w="987"/>
        <w:gridCol w:w="1017"/>
        <w:gridCol w:w="1287"/>
        <w:gridCol w:w="4554"/>
      </w:tblGrid>
      <w:tr w14:paraId="13A71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0" w:type="pct"/>
            <w:noWrap w:val="0"/>
            <w:vAlign w:val="center"/>
          </w:tcPr>
          <w:p w14:paraId="5D57DB57">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56" w:type="pct"/>
            <w:noWrap w:val="0"/>
            <w:vAlign w:val="center"/>
          </w:tcPr>
          <w:p w14:paraId="68A83DED">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34E10DDE">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512" w:type="pct"/>
            <w:tcBorders>
              <w:right w:val="single" w:color="auto" w:sz="4" w:space="0"/>
            </w:tcBorders>
            <w:noWrap w:val="0"/>
            <w:vAlign w:val="center"/>
          </w:tcPr>
          <w:p w14:paraId="6385365E">
            <w:pPr>
              <w:snapToGrid w:val="0"/>
              <w:jc w:val="center"/>
              <w:rPr>
                <w:rFonts w:ascii="宋体" w:hAnsi="宋体" w:cs="宋体"/>
                <w:b/>
                <w:color w:val="auto"/>
                <w:szCs w:val="21"/>
                <w:highlight w:val="none"/>
              </w:rPr>
            </w:pPr>
            <w:r>
              <w:rPr>
                <w:rFonts w:hint="eastAsia" w:ascii="宋体" w:hAnsi="宋体" w:cs="Arial"/>
                <w:b/>
                <w:color w:val="auto"/>
                <w:szCs w:val="21"/>
                <w:highlight w:val="none"/>
              </w:rPr>
              <w:t>数量及单位</w:t>
            </w:r>
          </w:p>
        </w:tc>
        <w:tc>
          <w:tcPr>
            <w:tcW w:w="528" w:type="pct"/>
            <w:tcBorders>
              <w:right w:val="single" w:color="auto" w:sz="4" w:space="0"/>
            </w:tcBorders>
            <w:noWrap w:val="0"/>
            <w:vAlign w:val="center"/>
          </w:tcPr>
          <w:p w14:paraId="4E615A36">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3931DB7C">
            <w:pPr>
              <w:snapToGrid w:val="0"/>
              <w:jc w:val="center"/>
              <w:rPr>
                <w:rFonts w:hint="eastAsia" w:ascii="宋体" w:hAnsi="宋体" w:cs="宋体"/>
                <w:b/>
                <w:color w:val="auto"/>
                <w:szCs w:val="21"/>
                <w:highlight w:val="none"/>
              </w:rPr>
            </w:pPr>
            <w:r>
              <w:rPr>
                <w:rFonts w:hint="eastAsia" w:ascii="宋体" w:hAnsi="宋体" w:cs="Arial"/>
                <w:b/>
                <w:color w:val="auto"/>
                <w:szCs w:val="21"/>
                <w:highlight w:val="none"/>
              </w:rPr>
              <w:t>（万元）</w:t>
            </w:r>
          </w:p>
        </w:tc>
        <w:tc>
          <w:tcPr>
            <w:tcW w:w="668" w:type="pct"/>
            <w:tcBorders>
              <w:left w:val="single" w:color="auto" w:sz="4" w:space="0"/>
            </w:tcBorders>
            <w:noWrap w:val="0"/>
            <w:vAlign w:val="center"/>
          </w:tcPr>
          <w:p w14:paraId="31CC3740">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最高限价（万元）</w:t>
            </w:r>
          </w:p>
        </w:tc>
        <w:tc>
          <w:tcPr>
            <w:tcW w:w="2364" w:type="pct"/>
            <w:noWrap w:val="0"/>
            <w:vAlign w:val="center"/>
          </w:tcPr>
          <w:p w14:paraId="1339B88D">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03B2B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6" w:hRule="atLeast"/>
          <w:jc w:val="center"/>
        </w:trPr>
        <w:tc>
          <w:tcPr>
            <w:tcW w:w="470" w:type="pct"/>
            <w:noWrap w:val="0"/>
            <w:vAlign w:val="center"/>
          </w:tcPr>
          <w:p w14:paraId="3790928D">
            <w:pPr>
              <w:snapToGrid w:val="0"/>
              <w:jc w:val="center"/>
              <w:rPr>
                <w:rFonts w:hint="eastAsia" w:ascii="宋体" w:hAnsi="宋体"/>
                <w:color w:val="auto"/>
                <w:szCs w:val="21"/>
                <w:highlight w:val="none"/>
              </w:rPr>
            </w:pPr>
            <w:r>
              <w:rPr>
                <w:rFonts w:hint="eastAsia" w:ascii="宋体" w:hAnsi="宋体" w:cs="Arial"/>
                <w:color w:val="auto"/>
                <w:szCs w:val="21"/>
                <w:highlight w:val="none"/>
              </w:rPr>
              <w:t>D1分标</w:t>
            </w:r>
          </w:p>
        </w:tc>
        <w:tc>
          <w:tcPr>
            <w:tcW w:w="456" w:type="pct"/>
            <w:vMerge w:val="restart"/>
            <w:noWrap w:val="0"/>
            <w:vAlign w:val="center"/>
          </w:tcPr>
          <w:p w14:paraId="6D20F5E3">
            <w:pPr>
              <w:widowControl/>
              <w:jc w:val="center"/>
              <w:textAlignment w:val="center"/>
              <w:rPr>
                <w:rFonts w:ascii="宋体" w:hAnsi="宋体" w:cs="宋体"/>
                <w:color w:val="auto"/>
                <w:szCs w:val="21"/>
                <w:highlight w:val="none"/>
              </w:rPr>
            </w:pPr>
            <w:r>
              <w:rPr>
                <w:rFonts w:hint="eastAsia" w:ascii="宋体" w:hAnsi="宋体"/>
                <w:color w:val="auto"/>
                <w:szCs w:val="21"/>
                <w:highlight w:val="none"/>
              </w:rPr>
              <w:t>小反刍兽疫活疫苗</w:t>
            </w:r>
          </w:p>
        </w:tc>
        <w:tc>
          <w:tcPr>
            <w:tcW w:w="512" w:type="pct"/>
            <w:tcBorders>
              <w:bottom w:val="single" w:color="auto" w:sz="4" w:space="0"/>
              <w:right w:val="single" w:color="auto" w:sz="4" w:space="0"/>
            </w:tcBorders>
            <w:noWrap w:val="0"/>
            <w:vAlign w:val="center"/>
          </w:tcPr>
          <w:p w14:paraId="74D8BEBA">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289</w:t>
            </w:r>
          </w:p>
          <w:p w14:paraId="41089129">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万头份</w:t>
            </w:r>
          </w:p>
        </w:tc>
        <w:tc>
          <w:tcPr>
            <w:tcW w:w="528" w:type="pct"/>
            <w:tcBorders>
              <w:bottom w:val="single" w:color="auto" w:sz="4" w:space="0"/>
              <w:right w:val="single" w:color="auto" w:sz="4" w:space="0"/>
            </w:tcBorders>
            <w:noWrap w:val="0"/>
            <w:vAlign w:val="center"/>
          </w:tcPr>
          <w:p w14:paraId="04D6FFA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0.30</w:t>
            </w:r>
          </w:p>
        </w:tc>
        <w:tc>
          <w:tcPr>
            <w:tcW w:w="668" w:type="pct"/>
            <w:tcBorders>
              <w:left w:val="single" w:color="auto" w:sz="4" w:space="0"/>
              <w:bottom w:val="single" w:color="auto" w:sz="4" w:space="0"/>
            </w:tcBorders>
            <w:noWrap w:val="0"/>
            <w:vAlign w:val="center"/>
          </w:tcPr>
          <w:p w14:paraId="24ABB21D">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86.70</w:t>
            </w:r>
          </w:p>
        </w:tc>
        <w:tc>
          <w:tcPr>
            <w:tcW w:w="2364" w:type="pct"/>
            <w:vMerge w:val="restart"/>
            <w:noWrap w:val="0"/>
            <w:vAlign w:val="center"/>
          </w:tcPr>
          <w:p w14:paraId="59C0F6EF">
            <w:pPr>
              <w:widowControl/>
              <w:textAlignment w:val="center"/>
              <w:rPr>
                <w:rFonts w:hint="eastAsia" w:ascii="宋体" w:hAnsi="宋体" w:cs="宋体"/>
                <w:color w:val="auto"/>
                <w:szCs w:val="21"/>
                <w:highlight w:val="none"/>
              </w:rPr>
            </w:pPr>
            <w:r>
              <w:rPr>
                <w:rFonts w:hint="eastAsia" w:ascii="宋体" w:hAnsi="宋体"/>
                <w:color w:val="auto"/>
                <w:szCs w:val="21"/>
                <w:highlight w:val="none"/>
              </w:rPr>
              <w:t>1.用小反刍兽疫弱毒Clone9株接种敏感细胞，收获细胞培养物，加适宜稳定剂经冷冻真空干燥制成。</w:t>
            </w:r>
            <w:r>
              <w:rPr>
                <w:rFonts w:hint="eastAsia" w:ascii="宋体" w:hAnsi="宋体"/>
                <w:color w:val="auto"/>
                <w:szCs w:val="21"/>
                <w:highlight w:val="none"/>
              </w:rPr>
              <w:br w:type="textWrapping"/>
            </w:r>
            <w:r>
              <w:rPr>
                <w:rFonts w:hint="eastAsia" w:ascii="宋体" w:hAnsi="宋体"/>
                <w:color w:val="auto"/>
                <w:szCs w:val="21"/>
                <w:highlight w:val="none"/>
              </w:rPr>
              <w:t>2.用于预防羊的小反刍兽疫，每头份疫苗含有的小反刍兽疫</w:t>
            </w:r>
            <w:r>
              <w:rPr>
                <w:rFonts w:hint="eastAsia" w:ascii="宋体" w:hAnsi="宋体"/>
                <w:color w:val="auto"/>
                <w:szCs w:val="21"/>
                <w:highlight w:val="none"/>
                <w:lang w:val="en-US" w:eastAsia="zh-CN"/>
              </w:rPr>
              <w:t>疫苗</w:t>
            </w:r>
            <w:r>
              <w:rPr>
                <w:rFonts w:hint="eastAsia" w:ascii="宋体" w:hAnsi="宋体"/>
                <w:color w:val="auto"/>
                <w:szCs w:val="21"/>
                <w:highlight w:val="none"/>
              </w:rPr>
              <w:t>毒至少为10</w:t>
            </w:r>
            <w:r>
              <w:rPr>
                <w:rFonts w:hint="eastAsia" w:ascii="宋体" w:hAnsi="宋体"/>
                <w:color w:val="auto"/>
                <w:szCs w:val="21"/>
                <w:highlight w:val="none"/>
                <w:vertAlign w:val="superscript"/>
              </w:rPr>
              <w:t>3</w:t>
            </w:r>
            <w:r>
              <w:rPr>
                <w:rFonts w:hint="eastAsia" w:ascii="宋体" w:hAnsi="宋体"/>
                <w:color w:val="auto"/>
                <w:szCs w:val="21"/>
                <w:highlight w:val="none"/>
              </w:rPr>
              <w:t>TCID</w:t>
            </w:r>
            <w:r>
              <w:rPr>
                <w:rFonts w:hint="eastAsia" w:ascii="宋体" w:hAnsi="宋体"/>
                <w:color w:val="auto"/>
                <w:szCs w:val="21"/>
                <w:highlight w:val="none"/>
                <w:vertAlign w:val="subscript"/>
              </w:rPr>
              <w:t>50</w:t>
            </w:r>
            <w:r>
              <w:rPr>
                <w:rFonts w:hint="eastAsia" w:ascii="宋体" w:hAnsi="宋体"/>
                <w:color w:val="auto"/>
                <w:szCs w:val="21"/>
                <w:highlight w:val="none"/>
              </w:rPr>
              <w:t>。</w:t>
            </w:r>
            <w:r>
              <w:rPr>
                <w:rFonts w:hint="eastAsia" w:ascii="宋体" w:hAnsi="宋体"/>
                <w:color w:val="auto"/>
                <w:szCs w:val="21"/>
                <w:highlight w:val="none"/>
              </w:rPr>
              <w:br w:type="textWrapping"/>
            </w:r>
            <w:r>
              <w:rPr>
                <w:rFonts w:hint="eastAsia" w:ascii="宋体" w:hAnsi="宋体"/>
                <w:color w:val="auto"/>
                <w:szCs w:val="21"/>
                <w:highlight w:val="none"/>
              </w:rPr>
              <w:t>3.规格：50头份/瓶或100头份/瓶。</w:t>
            </w:r>
            <w:r>
              <w:rPr>
                <w:rFonts w:hint="eastAsia" w:ascii="宋体" w:hAnsi="宋体"/>
                <w:color w:val="auto"/>
                <w:szCs w:val="21"/>
                <w:highlight w:val="none"/>
              </w:rPr>
              <w:br w:type="textWrapping"/>
            </w:r>
            <w:r>
              <w:rPr>
                <w:rFonts w:hint="eastAsia" w:ascii="宋体" w:hAnsi="宋体"/>
                <w:color w:val="auto"/>
                <w:szCs w:val="21"/>
                <w:highlight w:val="none"/>
              </w:rPr>
              <w:t>4.外观、剂型、稳定性、安全性、效价、保护期、包装等符合国家兽用生物制品规程要求。</w:t>
            </w:r>
            <w:r>
              <w:rPr>
                <w:rFonts w:hint="eastAsia" w:ascii="宋体" w:hAnsi="宋体"/>
                <w:color w:val="auto"/>
                <w:szCs w:val="21"/>
                <w:highlight w:val="none"/>
              </w:rPr>
              <w:br w:type="textWrapping"/>
            </w:r>
            <w:r>
              <w:rPr>
                <w:rFonts w:hint="eastAsia" w:ascii="宋体" w:hAnsi="宋体"/>
                <w:color w:val="auto"/>
                <w:szCs w:val="21"/>
                <w:highlight w:val="none"/>
              </w:rPr>
              <w:t>5.-20℃以下保存，有效期(疫苗完成生产之日起计算）为24个月。</w:t>
            </w:r>
          </w:p>
        </w:tc>
      </w:tr>
      <w:tr w14:paraId="01980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0" w:type="pct"/>
            <w:noWrap w:val="0"/>
            <w:vAlign w:val="center"/>
          </w:tcPr>
          <w:p w14:paraId="37434CB8">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D2分标</w:t>
            </w:r>
          </w:p>
        </w:tc>
        <w:tc>
          <w:tcPr>
            <w:tcW w:w="456" w:type="pct"/>
            <w:vMerge w:val="continue"/>
            <w:tcBorders>
              <w:bottom w:val="single" w:color="auto" w:sz="4" w:space="0"/>
            </w:tcBorders>
            <w:noWrap w:val="0"/>
            <w:vAlign w:val="center"/>
          </w:tcPr>
          <w:p w14:paraId="3CFA864F">
            <w:pPr>
              <w:widowControl/>
              <w:jc w:val="center"/>
              <w:textAlignment w:val="center"/>
              <w:rPr>
                <w:rFonts w:hint="eastAsia" w:ascii="宋体" w:hAnsi="宋体"/>
                <w:color w:val="auto"/>
                <w:szCs w:val="21"/>
                <w:highlight w:val="none"/>
              </w:rPr>
            </w:pPr>
          </w:p>
        </w:tc>
        <w:tc>
          <w:tcPr>
            <w:tcW w:w="512" w:type="pct"/>
            <w:tcBorders>
              <w:bottom w:val="single" w:color="auto" w:sz="4" w:space="0"/>
              <w:right w:val="single" w:color="auto" w:sz="4" w:space="0"/>
            </w:tcBorders>
            <w:noWrap w:val="0"/>
            <w:vAlign w:val="center"/>
          </w:tcPr>
          <w:p w14:paraId="791118A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71</w:t>
            </w:r>
          </w:p>
          <w:p w14:paraId="295BA0E4">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万头份</w:t>
            </w:r>
          </w:p>
        </w:tc>
        <w:tc>
          <w:tcPr>
            <w:tcW w:w="528" w:type="pct"/>
            <w:tcBorders>
              <w:bottom w:val="single" w:color="auto" w:sz="4" w:space="0"/>
              <w:right w:val="single" w:color="auto" w:sz="4" w:space="0"/>
            </w:tcBorders>
            <w:noWrap w:val="0"/>
            <w:vAlign w:val="center"/>
          </w:tcPr>
          <w:p w14:paraId="63D8B5F1">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0.30</w:t>
            </w:r>
          </w:p>
        </w:tc>
        <w:tc>
          <w:tcPr>
            <w:tcW w:w="668" w:type="pct"/>
            <w:tcBorders>
              <w:left w:val="single" w:color="auto" w:sz="4" w:space="0"/>
              <w:bottom w:val="single" w:color="auto" w:sz="4" w:space="0"/>
            </w:tcBorders>
            <w:noWrap w:val="0"/>
            <w:vAlign w:val="center"/>
          </w:tcPr>
          <w:p w14:paraId="1CFA0C38">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21.30</w:t>
            </w:r>
          </w:p>
        </w:tc>
        <w:tc>
          <w:tcPr>
            <w:tcW w:w="2364" w:type="pct"/>
            <w:vMerge w:val="continue"/>
            <w:tcBorders>
              <w:bottom w:val="single" w:color="auto" w:sz="4" w:space="0"/>
            </w:tcBorders>
            <w:noWrap w:val="0"/>
            <w:vAlign w:val="center"/>
          </w:tcPr>
          <w:p w14:paraId="47512B5E">
            <w:pPr>
              <w:widowControl/>
              <w:textAlignment w:val="center"/>
              <w:rPr>
                <w:rFonts w:hint="eastAsia" w:ascii="宋体" w:hAnsi="宋体"/>
                <w:color w:val="auto"/>
                <w:szCs w:val="21"/>
                <w:highlight w:val="none"/>
              </w:rPr>
            </w:pPr>
          </w:p>
        </w:tc>
      </w:tr>
    </w:tbl>
    <w:p w14:paraId="15518BF0">
      <w:pPr>
        <w:spacing w:line="360" w:lineRule="exact"/>
        <w:rPr>
          <w:rFonts w:hint="eastAsia" w:ascii="黑体" w:hAnsi="黑体" w:eastAsia="黑体"/>
          <w:b/>
          <w:bCs/>
          <w:color w:val="auto"/>
          <w:sz w:val="24"/>
          <w:highlight w:val="none"/>
        </w:rPr>
      </w:pPr>
      <w:bookmarkStart w:id="13" w:name="_Toc28359003"/>
      <w:bookmarkStart w:id="14" w:name="_Toc35393791"/>
      <w:bookmarkStart w:id="15" w:name="_Toc28359080"/>
      <w:bookmarkStart w:id="16" w:name="_Toc35393622"/>
    </w:p>
    <w:p w14:paraId="0A0EBD65">
      <w:pPr>
        <w:keepNext w:val="0"/>
        <w:keepLines w:val="0"/>
        <w:pageBreakBefore w:val="0"/>
        <w:kinsoku/>
        <w:wordWrap/>
        <w:overflowPunct/>
        <w:topLinePunct w:val="0"/>
        <w:bidi w:val="0"/>
        <w:spacing w:line="340" w:lineRule="atLeast"/>
        <w:textAlignment w:val="auto"/>
        <w:rPr>
          <w:rFonts w:ascii="黑体" w:hAnsi="黑体" w:eastAsia="黑体"/>
          <w:b/>
          <w:bCs/>
          <w:color w:val="auto"/>
          <w:sz w:val="24"/>
          <w:highlight w:val="none"/>
        </w:rPr>
      </w:pPr>
      <w:r>
        <w:rPr>
          <w:rFonts w:hint="eastAsia" w:ascii="黑体" w:hAnsi="黑体" w:eastAsia="黑体"/>
          <w:b/>
          <w:bCs/>
          <w:color w:val="auto"/>
          <w:sz w:val="24"/>
          <w:highlight w:val="none"/>
        </w:rPr>
        <w:t>二、申请人的资格要求：</w:t>
      </w:r>
      <w:bookmarkEnd w:id="13"/>
      <w:bookmarkEnd w:id="14"/>
      <w:bookmarkEnd w:id="15"/>
      <w:bookmarkEnd w:id="16"/>
    </w:p>
    <w:p w14:paraId="0B01B67F">
      <w:pPr>
        <w:keepNext w:val="0"/>
        <w:keepLines w:val="0"/>
        <w:pageBreakBefore w:val="0"/>
        <w:kinsoku/>
        <w:wordWrap/>
        <w:overflowPunct/>
        <w:topLinePunct w:val="0"/>
        <w:bidi w:val="0"/>
        <w:spacing w:line="340" w:lineRule="atLeast"/>
        <w:ind w:firstLine="420" w:firstLineChars="200"/>
        <w:textAlignment w:val="auto"/>
        <w:rPr>
          <w:rFonts w:ascii="宋体" w:hAnsi="宋体"/>
          <w:color w:val="auto"/>
          <w:szCs w:val="21"/>
          <w:highlight w:val="none"/>
        </w:rPr>
      </w:pPr>
      <w:bookmarkStart w:id="17" w:name="_Hlk51746371"/>
      <w:bookmarkStart w:id="18" w:name="_Toc28359081"/>
      <w:bookmarkStart w:id="19" w:name="_Toc35393623"/>
      <w:bookmarkStart w:id="20" w:name="_Toc35393792"/>
      <w:bookmarkStart w:id="21" w:name="_Toc28359004"/>
      <w:r>
        <w:rPr>
          <w:rFonts w:hint="eastAsia" w:ascii="宋体" w:hAnsi="宋体"/>
          <w:color w:val="auto"/>
          <w:szCs w:val="21"/>
          <w:highlight w:val="none"/>
        </w:rPr>
        <w:t>1.满足《中华人民共和国政府采购法》第二十二条规定；</w:t>
      </w:r>
    </w:p>
    <w:p w14:paraId="0648FD43">
      <w:pPr>
        <w:keepNext w:val="0"/>
        <w:keepLines w:val="0"/>
        <w:pageBreakBefore w:val="0"/>
        <w:kinsoku/>
        <w:wordWrap/>
        <w:overflowPunct/>
        <w:topLinePunct w:val="0"/>
        <w:bidi w:val="0"/>
        <w:spacing w:line="340" w:lineRule="atLeast"/>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.落实政府采购政策需满足的资格要求：无；</w:t>
      </w:r>
    </w:p>
    <w:p w14:paraId="4A956764">
      <w:pPr>
        <w:keepNext w:val="0"/>
        <w:keepLines w:val="0"/>
        <w:pageBreakBefore w:val="0"/>
        <w:kinsoku/>
        <w:wordWrap/>
        <w:overflowPunct/>
        <w:topLinePunct w:val="0"/>
        <w:bidi w:val="0"/>
        <w:spacing w:line="340" w:lineRule="atLeast"/>
        <w:ind w:firstLine="420" w:firstLineChars="200"/>
        <w:textAlignment w:val="auto"/>
        <w:rPr>
          <w:rFonts w:ascii="宋体" w:hAnsi="宋体"/>
          <w:color w:val="auto"/>
          <w:szCs w:val="21"/>
          <w:highlight w:val="none"/>
        </w:rPr>
      </w:pPr>
      <w:r>
        <w:rPr>
          <w:rFonts w:hint="eastAsia" w:ascii="宋体" w:hAnsi="宋体"/>
          <w:color w:val="auto"/>
          <w:szCs w:val="21"/>
          <w:highlight w:val="none"/>
        </w:rPr>
        <w:t>3.本项目的特定资格要求：</w:t>
      </w:r>
    </w:p>
    <w:p w14:paraId="1E982C58">
      <w:pPr>
        <w:keepNext w:val="0"/>
        <w:keepLines w:val="0"/>
        <w:pageBreakBefore w:val="0"/>
        <w:kinsoku/>
        <w:wordWrap/>
        <w:overflowPunct/>
        <w:topLinePunct w:val="0"/>
        <w:bidi w:val="0"/>
        <w:spacing w:line="340" w:lineRule="atLeast"/>
        <w:ind w:firstLine="420" w:firstLineChars="200"/>
        <w:textAlignment w:val="auto"/>
        <w:rPr>
          <w:rFonts w:ascii="宋体" w:hAnsi="宋体"/>
          <w:color w:val="auto"/>
          <w:szCs w:val="21"/>
          <w:highlight w:val="none"/>
        </w:rPr>
      </w:pPr>
      <w:r>
        <w:rPr>
          <w:rFonts w:hint="eastAsia" w:ascii="宋体" w:hAnsi="宋体"/>
          <w:color w:val="auto"/>
          <w:szCs w:val="21"/>
          <w:highlight w:val="none"/>
        </w:rPr>
        <w:t>（1）投标人必须具有农业农村部门核发的有效的兽药生产许可证及兽药GMP证书；</w:t>
      </w:r>
    </w:p>
    <w:p w14:paraId="23FB956D">
      <w:pPr>
        <w:keepNext w:val="0"/>
        <w:keepLines w:val="0"/>
        <w:pageBreakBefore w:val="0"/>
        <w:kinsoku/>
        <w:wordWrap/>
        <w:overflowPunct/>
        <w:topLinePunct w:val="0"/>
        <w:bidi w:val="0"/>
        <w:spacing w:line="340" w:lineRule="atLeas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（2）投标人必须具有投标相应种类疫苗的兽药产品批准文号（如农业农村部兽药产品批准文号正在换发办理中，则需提供相关证明材料）。</w:t>
      </w:r>
    </w:p>
    <w:bookmarkEnd w:id="17"/>
    <w:p w14:paraId="333CE8FC">
      <w:pPr>
        <w:keepNext w:val="0"/>
        <w:keepLines w:val="0"/>
        <w:pageBreakBefore w:val="0"/>
        <w:kinsoku/>
        <w:wordWrap/>
        <w:overflowPunct/>
        <w:topLinePunct w:val="0"/>
        <w:bidi w:val="0"/>
        <w:spacing w:line="340" w:lineRule="atLeast"/>
        <w:textAlignment w:val="auto"/>
        <w:rPr>
          <w:rFonts w:hint="eastAsia" w:ascii="黑体" w:hAnsi="黑体" w:eastAsia="黑体"/>
          <w:b/>
          <w:bCs/>
          <w:color w:val="auto"/>
          <w:sz w:val="24"/>
          <w:highlight w:val="none"/>
        </w:rPr>
      </w:pPr>
    </w:p>
    <w:p w14:paraId="6CBE306F">
      <w:pPr>
        <w:keepNext w:val="0"/>
        <w:keepLines w:val="0"/>
        <w:pageBreakBefore w:val="0"/>
        <w:kinsoku/>
        <w:wordWrap/>
        <w:overflowPunct/>
        <w:topLinePunct w:val="0"/>
        <w:bidi w:val="0"/>
        <w:spacing w:line="340" w:lineRule="atLeast"/>
        <w:textAlignment w:val="auto"/>
        <w:rPr>
          <w:rFonts w:ascii="黑体" w:hAnsi="黑体" w:eastAsia="黑体"/>
          <w:b/>
          <w:bCs/>
          <w:color w:val="auto"/>
          <w:sz w:val="24"/>
          <w:highlight w:val="none"/>
        </w:rPr>
      </w:pPr>
      <w:r>
        <w:rPr>
          <w:rFonts w:hint="eastAsia" w:ascii="黑体" w:hAnsi="黑体" w:eastAsia="黑体"/>
          <w:b/>
          <w:bCs/>
          <w:color w:val="auto"/>
          <w:sz w:val="24"/>
          <w:highlight w:val="none"/>
        </w:rPr>
        <w:t>三、获取招标文件</w:t>
      </w:r>
      <w:bookmarkEnd w:id="18"/>
      <w:bookmarkEnd w:id="19"/>
      <w:bookmarkEnd w:id="20"/>
      <w:bookmarkEnd w:id="21"/>
    </w:p>
    <w:p w14:paraId="77D522E0">
      <w:pPr>
        <w:keepNext w:val="0"/>
        <w:keepLines w:val="0"/>
        <w:pageBreakBefore w:val="0"/>
        <w:kinsoku/>
        <w:wordWrap/>
        <w:overflowPunct/>
        <w:topLinePunct w:val="0"/>
        <w:bidi w:val="0"/>
        <w:spacing w:line="340" w:lineRule="atLeast"/>
        <w:ind w:firstLine="420" w:firstLineChars="200"/>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ascii="宋体" w:hAnsi="宋体" w:cs="宋体"/>
          <w:bCs/>
          <w:color w:val="auto"/>
          <w:kern w:val="0"/>
          <w:szCs w:val="21"/>
          <w:highlight w:val="none"/>
          <w:u w:val="single"/>
        </w:rPr>
        <w:t>202</w:t>
      </w:r>
      <w:r>
        <w:rPr>
          <w:rFonts w:hint="eastAsia" w:ascii="宋体" w:hAnsi="宋体" w:cs="宋体"/>
          <w:bCs/>
          <w:color w:val="auto"/>
          <w:kern w:val="0"/>
          <w:szCs w:val="21"/>
          <w:highlight w:val="none"/>
          <w:u w:val="single"/>
        </w:rPr>
        <w:t>6年</w:t>
      </w:r>
      <w:r>
        <w:rPr>
          <w:rFonts w:hint="eastAsia" w:ascii="宋体" w:hAnsi="宋体" w:cs="宋体"/>
          <w:bCs/>
          <w:color w:val="auto"/>
          <w:kern w:val="0"/>
          <w:szCs w:val="21"/>
          <w:highlight w:val="none"/>
          <w:u w:val="single"/>
          <w:lang w:val="en-US" w:eastAsia="zh-CN"/>
        </w:rPr>
        <w:t>5</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9</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rPr>
        <w:t>至</w:t>
      </w:r>
      <w:r>
        <w:rPr>
          <w:rFonts w:ascii="宋体" w:hAnsi="宋体" w:cs="宋体"/>
          <w:bCs/>
          <w:color w:val="auto"/>
          <w:kern w:val="0"/>
          <w:szCs w:val="21"/>
          <w:highlight w:val="none"/>
          <w:u w:val="single"/>
        </w:rPr>
        <w:t>202</w:t>
      </w:r>
      <w:r>
        <w:rPr>
          <w:rFonts w:hint="eastAsia" w:ascii="宋体" w:hAnsi="宋体" w:cs="宋体"/>
          <w:bCs/>
          <w:color w:val="auto"/>
          <w:kern w:val="0"/>
          <w:szCs w:val="21"/>
          <w:highlight w:val="none"/>
          <w:u w:val="single"/>
        </w:rPr>
        <w:t>6年</w:t>
      </w:r>
      <w:r>
        <w:rPr>
          <w:rFonts w:hint="eastAsia" w:ascii="宋体" w:hAnsi="宋体" w:cs="宋体"/>
          <w:bCs/>
          <w:color w:val="auto"/>
          <w:kern w:val="0"/>
          <w:szCs w:val="21"/>
          <w:highlight w:val="none"/>
          <w:u w:val="single"/>
          <w:lang w:val="en-US" w:eastAsia="zh-CN"/>
        </w:rPr>
        <w:t>5</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15</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rPr>
        <w:t>，每天</w:t>
      </w:r>
      <w:r>
        <w:rPr>
          <w:rFonts w:hint="eastAsia" w:ascii="宋体" w:hAnsi="宋体" w:cs="宋体"/>
          <w:bCs/>
          <w:color w:val="auto"/>
          <w:kern w:val="0"/>
          <w:szCs w:val="21"/>
          <w:highlight w:val="none"/>
          <w:u w:val="single"/>
        </w:rPr>
        <w:t>0:00至23:59</w:t>
      </w:r>
      <w:r>
        <w:rPr>
          <w:rFonts w:hint="eastAsia" w:ascii="宋体" w:hAnsi="宋体" w:cs="宋体"/>
          <w:bCs/>
          <w:color w:val="auto"/>
          <w:kern w:val="0"/>
          <w:szCs w:val="21"/>
          <w:highlight w:val="none"/>
        </w:rPr>
        <w:t>（北京时间）</w:t>
      </w:r>
    </w:p>
    <w:p w14:paraId="51D9F44B">
      <w:pPr>
        <w:keepNext w:val="0"/>
        <w:keepLines w:val="0"/>
        <w:pageBreakBefore w:val="0"/>
        <w:kinsoku/>
        <w:wordWrap/>
        <w:overflowPunct/>
        <w:topLinePunct w:val="0"/>
        <w:bidi w:val="0"/>
        <w:spacing w:line="340" w:lineRule="atLeast"/>
        <w:ind w:firstLine="420" w:firstLineChars="200"/>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w:t>
      </w:r>
      <w:r>
        <w:rPr>
          <w:rFonts w:hint="eastAsia" w:ascii="宋体" w:hAnsi="宋体" w:cs="宋体"/>
          <w:bCs/>
          <w:color w:val="auto"/>
          <w:kern w:val="0"/>
          <w:szCs w:val="21"/>
          <w:highlight w:val="none"/>
        </w:rPr>
        <w:fldChar w:fldCharType="begin"/>
      </w:r>
      <w:r>
        <w:rPr>
          <w:rFonts w:hint="eastAsia" w:ascii="宋体" w:hAnsi="宋体" w:cs="宋体"/>
          <w:bCs/>
          <w:color w:val="auto"/>
          <w:kern w:val="0"/>
          <w:szCs w:val="21"/>
          <w:highlight w:val="none"/>
        </w:rPr>
        <w:instrText xml:space="preserve">HYPERLINK "https://www.gcy.zfcg.gxzf.gov.cn/"</w:instrText>
      </w:r>
      <w:r>
        <w:rPr>
          <w:rFonts w:hint="eastAsia" w:ascii="宋体" w:hAnsi="宋体" w:cs="宋体"/>
          <w:bCs/>
          <w:color w:val="auto"/>
          <w:kern w:val="0"/>
          <w:szCs w:val="21"/>
          <w:highlight w:val="none"/>
        </w:rPr>
        <w:fldChar w:fldCharType="separate"/>
      </w:r>
      <w:r>
        <w:rPr>
          <w:rFonts w:hint="eastAsia"/>
          <w:color w:val="auto"/>
          <w:highlight w:val="none"/>
        </w:rPr>
        <w:t>https://www.gcy.zfcg.gxzf.gov.cn/</w:t>
      </w:r>
      <w:r>
        <w:rPr>
          <w:rFonts w:hint="eastAsia" w:ascii="宋体" w:hAnsi="宋体" w:cs="宋体"/>
          <w:bCs/>
          <w:color w:val="auto"/>
          <w:kern w:val="0"/>
          <w:szCs w:val="21"/>
          <w:highlight w:val="none"/>
        </w:rPr>
        <w:fldChar w:fldCharType="end"/>
      </w:r>
      <w:r>
        <w:rPr>
          <w:rFonts w:hint="eastAsia" w:ascii="宋体" w:hAnsi="宋体" w:cs="宋体"/>
          <w:bCs/>
          <w:color w:val="auto"/>
          <w:kern w:val="0"/>
          <w:szCs w:val="21"/>
          <w:highlight w:val="none"/>
        </w:rPr>
        <w:t>）</w:t>
      </w:r>
    </w:p>
    <w:p w14:paraId="604979E7">
      <w:pPr>
        <w:keepNext w:val="0"/>
        <w:keepLines w:val="0"/>
        <w:pageBreakBefore w:val="0"/>
        <w:kinsoku/>
        <w:wordWrap/>
        <w:overflowPunct/>
        <w:topLinePunct w:val="0"/>
        <w:bidi w:val="0"/>
        <w:spacing w:line="340" w:lineRule="atLeast"/>
        <w:ind w:firstLine="420" w:firstLineChars="200"/>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广西政府采购云平台（https://www.gcy.zfcg.gxzf.gov.cn/）-进入“项目采购”应用，在获取采购文件菜单中选择项目，并按系统操作获取招标文件（或在“广西政府采购云平台电子投标客户端-获取采购文件”跳转到</w:t>
      </w:r>
      <w:r>
        <w:rPr>
          <w:rFonts w:hint="eastAsia" w:ascii="宋体" w:hAnsi="宋体"/>
          <w:color w:val="auto"/>
          <w:szCs w:val="21"/>
          <w:highlight w:val="none"/>
        </w:rPr>
        <w:t>广西政府采购云平台</w:t>
      </w:r>
      <w:r>
        <w:rPr>
          <w:rFonts w:hint="eastAsia" w:ascii="宋体" w:hAnsi="宋体" w:cs="宋体"/>
          <w:bCs/>
          <w:color w:val="auto"/>
          <w:kern w:val="0"/>
          <w:szCs w:val="21"/>
          <w:highlight w:val="none"/>
        </w:rPr>
        <w:t>系统获取）。</w:t>
      </w:r>
      <w:r>
        <w:rPr>
          <w:rFonts w:hint="eastAsia" w:ascii="宋体" w:hAnsi="宋体"/>
          <w:color w:val="auto"/>
          <w:szCs w:val="21"/>
          <w:highlight w:val="none"/>
        </w:rPr>
        <w:t>电子投标文件制作需要基于广西政府采购云平台获取的招标文件编制，</w:t>
      </w:r>
      <w:r>
        <w:rPr>
          <w:rFonts w:hint="eastAsia" w:ascii="宋体" w:hAnsi="宋体" w:cs="宋体"/>
          <w:bCs/>
          <w:color w:val="auto"/>
          <w:kern w:val="0"/>
          <w:szCs w:val="21"/>
          <w:highlight w:val="none"/>
        </w:rPr>
        <w:t>通过其他方式获取招标文件的，将有可能导致供应商无法在</w:t>
      </w:r>
      <w:r>
        <w:rPr>
          <w:rFonts w:hint="eastAsia" w:ascii="宋体" w:hAnsi="宋体"/>
          <w:color w:val="auto"/>
          <w:szCs w:val="21"/>
          <w:highlight w:val="none"/>
        </w:rPr>
        <w:t>广西政府采购云平台</w:t>
      </w:r>
      <w:r>
        <w:rPr>
          <w:rFonts w:hint="eastAsia" w:ascii="宋体" w:hAnsi="宋体" w:cs="宋体"/>
          <w:bCs/>
          <w:color w:val="auto"/>
          <w:kern w:val="0"/>
          <w:szCs w:val="21"/>
          <w:highlight w:val="none"/>
        </w:rPr>
        <w:t>编制及上传投标文件。</w:t>
      </w:r>
    </w:p>
    <w:p w14:paraId="73DBF0C7">
      <w:pPr>
        <w:keepNext w:val="0"/>
        <w:keepLines w:val="0"/>
        <w:pageBreakBefore w:val="0"/>
        <w:kinsoku/>
        <w:wordWrap/>
        <w:overflowPunct/>
        <w:topLinePunct w:val="0"/>
        <w:bidi w:val="0"/>
        <w:spacing w:line="340" w:lineRule="atLeast"/>
        <w:ind w:firstLine="420" w:firstLineChars="200"/>
        <w:textAlignment w:val="auto"/>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u w:val="single"/>
        </w:rPr>
        <w:t>0</w:t>
      </w:r>
      <w:r>
        <w:rPr>
          <w:rFonts w:hint="eastAsia" w:ascii="宋体" w:hAnsi="宋体" w:cs="宋体"/>
          <w:color w:val="auto"/>
          <w:szCs w:val="21"/>
          <w:highlight w:val="none"/>
        </w:rPr>
        <w:t>元。</w:t>
      </w:r>
    </w:p>
    <w:p w14:paraId="06C22A70">
      <w:pPr>
        <w:keepNext w:val="0"/>
        <w:keepLines w:val="0"/>
        <w:pageBreakBefore w:val="0"/>
        <w:kinsoku/>
        <w:wordWrap/>
        <w:overflowPunct/>
        <w:topLinePunct w:val="0"/>
        <w:bidi w:val="0"/>
        <w:spacing w:line="340" w:lineRule="atLeast"/>
        <w:textAlignment w:val="auto"/>
        <w:rPr>
          <w:rFonts w:ascii="黑体" w:hAnsi="黑体" w:eastAsia="黑体"/>
          <w:b/>
          <w:bCs/>
          <w:color w:val="auto"/>
          <w:sz w:val="24"/>
          <w:highlight w:val="none"/>
        </w:rPr>
      </w:pPr>
      <w:bookmarkStart w:id="22" w:name="_Toc28359082"/>
      <w:bookmarkStart w:id="23" w:name="_Toc28359005"/>
      <w:bookmarkStart w:id="24" w:name="_Toc35393624"/>
      <w:bookmarkStart w:id="25" w:name="_Toc35393793"/>
      <w:r>
        <w:rPr>
          <w:rFonts w:hint="eastAsia" w:ascii="黑体" w:hAnsi="黑体" w:eastAsia="黑体"/>
          <w:b/>
          <w:bCs/>
          <w:color w:val="auto"/>
          <w:sz w:val="24"/>
          <w:highlight w:val="none"/>
        </w:rPr>
        <w:t>四、提交投标文件</w:t>
      </w:r>
      <w:bookmarkEnd w:id="22"/>
      <w:bookmarkEnd w:id="23"/>
      <w:r>
        <w:rPr>
          <w:rFonts w:hint="eastAsia" w:ascii="黑体" w:hAnsi="黑体" w:eastAsia="黑体"/>
          <w:b/>
          <w:bCs/>
          <w:color w:val="auto"/>
          <w:sz w:val="24"/>
          <w:highlight w:val="none"/>
        </w:rPr>
        <w:t>截止时间、开标时间和地点</w:t>
      </w:r>
      <w:bookmarkEnd w:id="24"/>
      <w:bookmarkEnd w:id="25"/>
    </w:p>
    <w:p w14:paraId="1690696A">
      <w:pPr>
        <w:keepNext w:val="0"/>
        <w:keepLines w:val="0"/>
        <w:pageBreakBefore w:val="0"/>
        <w:kinsoku/>
        <w:wordWrap/>
        <w:overflowPunct/>
        <w:topLinePunct w:val="0"/>
        <w:bidi w:val="0"/>
        <w:spacing w:line="340" w:lineRule="atLeast"/>
        <w:ind w:firstLine="420" w:firstLineChars="200"/>
        <w:textAlignment w:val="auto"/>
        <w:rPr>
          <w:rFonts w:ascii="宋体" w:hAnsi="宋体" w:cs="宋体"/>
          <w:color w:val="auto"/>
          <w:szCs w:val="21"/>
          <w:highlight w:val="none"/>
          <w:u w:val="single"/>
        </w:rPr>
      </w:pPr>
      <w:bookmarkStart w:id="26" w:name="_Toc35393625"/>
      <w:bookmarkStart w:id="27" w:name="_Toc35393794"/>
      <w:bookmarkStart w:id="28" w:name="_Toc28359007"/>
      <w:bookmarkStart w:id="29" w:name="_Toc28359084"/>
      <w:r>
        <w:rPr>
          <w:rFonts w:hint="eastAsia" w:ascii="宋体" w:hAnsi="宋体"/>
          <w:bCs/>
          <w:color w:val="auto"/>
          <w:szCs w:val="21"/>
          <w:highlight w:val="none"/>
          <w:u w:val="none"/>
          <w:lang w:val="en-US" w:eastAsia="zh-CN"/>
        </w:rPr>
        <w:t>提交投标文件截止时间（开标时间）：</w:t>
      </w:r>
      <w:r>
        <w:rPr>
          <w:rFonts w:ascii="宋体" w:hAnsi="宋体"/>
          <w:bCs/>
          <w:color w:val="auto"/>
          <w:szCs w:val="21"/>
          <w:highlight w:val="none"/>
          <w:u w:val="none"/>
        </w:rPr>
        <w:t>202</w:t>
      </w:r>
      <w:r>
        <w:rPr>
          <w:rFonts w:hint="eastAsia" w:ascii="宋体" w:hAnsi="宋体"/>
          <w:bCs/>
          <w:color w:val="auto"/>
          <w:szCs w:val="21"/>
          <w:highlight w:val="none"/>
          <w:u w:val="none"/>
        </w:rPr>
        <w:t>6年</w:t>
      </w:r>
      <w:r>
        <w:rPr>
          <w:rFonts w:hint="eastAsia" w:ascii="宋体" w:hAnsi="宋体"/>
          <w:bCs/>
          <w:color w:val="auto"/>
          <w:szCs w:val="21"/>
          <w:highlight w:val="none"/>
          <w:u w:val="none"/>
          <w:lang w:val="en-US" w:eastAsia="zh-CN"/>
        </w:rPr>
        <w:t>6</w:t>
      </w:r>
      <w:r>
        <w:rPr>
          <w:rFonts w:hint="eastAsia" w:ascii="宋体" w:hAnsi="宋体"/>
          <w:bCs/>
          <w:color w:val="auto"/>
          <w:szCs w:val="21"/>
          <w:highlight w:val="none"/>
          <w:u w:val="none"/>
        </w:rPr>
        <w:t>月</w:t>
      </w:r>
      <w:r>
        <w:rPr>
          <w:rFonts w:hint="eastAsia" w:ascii="宋体" w:hAnsi="宋体"/>
          <w:bCs/>
          <w:color w:val="auto"/>
          <w:szCs w:val="21"/>
          <w:highlight w:val="none"/>
          <w:u w:val="none"/>
          <w:lang w:val="en-US" w:eastAsia="zh-CN"/>
        </w:rPr>
        <w:t>3</w:t>
      </w:r>
      <w:r>
        <w:rPr>
          <w:rFonts w:hint="eastAsia" w:ascii="宋体" w:hAnsi="宋体"/>
          <w:bCs/>
          <w:color w:val="auto"/>
          <w:szCs w:val="21"/>
          <w:highlight w:val="none"/>
          <w:u w:val="none"/>
        </w:rPr>
        <w:t>日</w:t>
      </w:r>
      <w:r>
        <w:rPr>
          <w:rFonts w:hint="eastAsia" w:ascii="宋体" w:hAnsi="宋体"/>
          <w:bCs/>
          <w:color w:val="auto"/>
          <w:szCs w:val="21"/>
          <w:highlight w:val="none"/>
          <w:u w:val="none"/>
        </w:rPr>
        <w:t>上午9时30分</w:t>
      </w:r>
      <w:r>
        <w:rPr>
          <w:rFonts w:hint="eastAsia" w:ascii="宋体" w:hAnsi="宋体"/>
          <w:bCs/>
          <w:color w:val="auto"/>
          <w:szCs w:val="21"/>
          <w:highlight w:val="none"/>
        </w:rPr>
        <w:t>（北京时间）</w:t>
      </w:r>
    </w:p>
    <w:p w14:paraId="4D9D4C45">
      <w:pPr>
        <w:keepNext w:val="0"/>
        <w:keepLines w:val="0"/>
        <w:pageBreakBefore w:val="0"/>
        <w:kinsoku/>
        <w:wordWrap/>
        <w:overflowPunct/>
        <w:topLinePunct w:val="0"/>
        <w:bidi w:val="0"/>
        <w:spacing w:line="340" w:lineRule="atLeas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投标地点：广西政府采购云平台（https://www.gcy.zfcg.gxzf.gov.cn/）</w:t>
      </w:r>
    </w:p>
    <w:p w14:paraId="60DE4225">
      <w:pPr>
        <w:keepNext w:val="0"/>
        <w:keepLines w:val="0"/>
        <w:pageBreakBefore w:val="0"/>
        <w:kinsoku/>
        <w:wordWrap/>
        <w:overflowPunct/>
        <w:topLinePunct w:val="0"/>
        <w:bidi w:val="0"/>
        <w:spacing w:line="340" w:lineRule="atLeas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开标地点：广西政府采购云平台电子开标大厅</w:t>
      </w:r>
    </w:p>
    <w:p w14:paraId="45392A7C">
      <w:pPr>
        <w:keepNext w:val="0"/>
        <w:keepLines w:val="0"/>
        <w:pageBreakBefore w:val="0"/>
        <w:kinsoku/>
        <w:wordWrap/>
        <w:overflowPunct/>
        <w:topLinePunct w:val="0"/>
        <w:bidi w:val="0"/>
        <w:spacing w:line="340" w:lineRule="atLeast"/>
        <w:textAlignment w:val="auto"/>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6"/>
      <w:bookmarkEnd w:id="27"/>
      <w:bookmarkEnd w:id="28"/>
      <w:bookmarkEnd w:id="29"/>
    </w:p>
    <w:p w14:paraId="21843926">
      <w:pPr>
        <w:keepNext w:val="0"/>
        <w:keepLines w:val="0"/>
        <w:pageBreakBefore w:val="0"/>
        <w:kinsoku/>
        <w:wordWrap/>
        <w:overflowPunct/>
        <w:topLinePunct w:val="0"/>
        <w:bidi w:val="0"/>
        <w:spacing w:line="340" w:lineRule="atLeas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774EDA57">
      <w:pPr>
        <w:keepNext w:val="0"/>
        <w:keepLines w:val="0"/>
        <w:pageBreakBefore w:val="0"/>
        <w:kinsoku/>
        <w:wordWrap/>
        <w:overflowPunct/>
        <w:topLinePunct w:val="0"/>
        <w:bidi w:val="0"/>
        <w:spacing w:line="340" w:lineRule="atLeast"/>
        <w:textAlignment w:val="auto"/>
        <w:rPr>
          <w:rFonts w:ascii="黑体" w:hAnsi="黑体" w:eastAsia="黑体"/>
          <w:b/>
          <w:bCs/>
          <w:color w:val="auto"/>
          <w:sz w:val="24"/>
          <w:highlight w:val="none"/>
        </w:rPr>
      </w:pPr>
      <w:bookmarkStart w:id="30" w:name="_Toc35393795"/>
      <w:bookmarkStart w:id="31" w:name="_Toc35393626"/>
      <w:r>
        <w:rPr>
          <w:rFonts w:hint="eastAsia" w:ascii="黑体" w:hAnsi="黑体" w:eastAsia="黑体"/>
          <w:b/>
          <w:bCs/>
          <w:color w:val="auto"/>
          <w:sz w:val="24"/>
          <w:highlight w:val="none"/>
        </w:rPr>
        <w:t>六、其他补充事宜</w:t>
      </w:r>
      <w:bookmarkEnd w:id="30"/>
      <w:bookmarkEnd w:id="31"/>
    </w:p>
    <w:p w14:paraId="2D81E9AF">
      <w:pPr>
        <w:keepNext w:val="0"/>
        <w:keepLines w:val="0"/>
        <w:pageBreakBefore w:val="0"/>
        <w:kinsoku/>
        <w:wordWrap/>
        <w:overflowPunct/>
        <w:topLinePunct w:val="0"/>
        <w:bidi w:val="0"/>
        <w:spacing w:line="340" w:lineRule="atLeast"/>
        <w:ind w:firstLine="420" w:firstLineChars="200"/>
        <w:jc w:val="left"/>
        <w:textAlignment w:val="auto"/>
        <w:rPr>
          <w:rFonts w:hint="eastAsia" w:ascii="宋体" w:hAnsi="宋体" w:cs="宋体"/>
          <w:color w:val="auto"/>
          <w:kern w:val="0"/>
          <w:szCs w:val="21"/>
          <w:highlight w:val="none"/>
        </w:rPr>
      </w:pPr>
      <w:bookmarkStart w:id="32" w:name="_Hlk37429585"/>
      <w:bookmarkStart w:id="33" w:name="_Hlk37429595"/>
      <w:bookmarkStart w:id="34" w:name="_Toc28359008"/>
      <w:bookmarkStart w:id="35" w:name="_Toc28359085"/>
      <w:bookmarkStart w:id="36" w:name="_Toc35393796"/>
      <w:bookmarkStart w:id="37" w:name="_Toc35393627"/>
      <w:r>
        <w:rPr>
          <w:rFonts w:hint="eastAsia" w:ascii="宋体" w:hAnsi="宋体" w:cs="宋体"/>
          <w:color w:val="auto"/>
          <w:kern w:val="0"/>
          <w:szCs w:val="21"/>
          <w:highlight w:val="none"/>
          <w:lang w:val="en-US" w:eastAsia="zh-CN"/>
        </w:rPr>
        <w:t>1.本项目政府采购意向公示：</w:t>
      </w:r>
      <w:r>
        <w:rPr>
          <w:rFonts w:hint="eastAsia" w:ascii="宋体" w:hAnsi="宋体" w:cs="宋体"/>
          <w:color w:val="auto"/>
          <w:kern w:val="0"/>
          <w:szCs w:val="21"/>
          <w:highlight w:val="none"/>
        </w:rPr>
        <w:t>广西壮族自治区农业农村厅2026年2月至12月政府采购意向http://zfcg.gxzf.gov.cn/luban/detail?parentId=66485&amp;articleId=ann_y13Sh2UK0xbs+Adkes/K79D5ndTMr3NGt5TILBJnhQo=&amp;utm=app-announcement-front.6da13629.0.0.ba739f8012bb11f1b841cf06fa1f8e64</w:t>
      </w:r>
    </w:p>
    <w:p w14:paraId="285EC875">
      <w:pPr>
        <w:keepNext w:val="0"/>
        <w:keepLines w:val="0"/>
        <w:pageBreakBefore w:val="0"/>
        <w:kinsoku/>
        <w:wordWrap/>
        <w:overflowPunct/>
        <w:topLinePunct w:val="0"/>
        <w:bidi w:val="0"/>
        <w:spacing w:line="340" w:lineRule="atLeas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.网上查询地址</w:t>
      </w:r>
    </w:p>
    <w:p w14:paraId="52310413">
      <w:pPr>
        <w:keepNext w:val="0"/>
        <w:keepLines w:val="0"/>
        <w:pageBreakBefore w:val="0"/>
        <w:kinsoku/>
        <w:wordWrap/>
        <w:overflowPunct/>
        <w:topLinePunct w:val="0"/>
        <w:bidi w:val="0"/>
        <w:spacing w:line="340" w:lineRule="atLeast"/>
        <w:ind w:firstLine="420" w:firstLineChars="200"/>
        <w:textAlignment w:val="auto"/>
        <w:rPr>
          <w:rFonts w:hint="eastAsia" w:ascii="宋体" w:hAnsi="宋体" w:cs="宋体"/>
          <w:i/>
          <w:color w:val="auto"/>
          <w:kern w:val="0"/>
          <w:szCs w:val="21"/>
          <w:highlight w:val="none"/>
        </w:rPr>
      </w:pPr>
      <w:r>
        <w:rPr>
          <w:rFonts w:hint="eastAsia" w:ascii="宋体" w:hAnsi="宋体" w:cs="宋体"/>
          <w:color w:val="auto"/>
          <w:kern w:val="0"/>
          <w:szCs w:val="21"/>
          <w:highlight w:val="none"/>
        </w:rPr>
        <w:t>中国政府采购网（http://www.ccgp.gov.cn）、广西壮族自治区政府采购网（http://zfcg.gxzf.gov.cn）、广西壮族自治区公共资源交易中心（http://gxggzy.gxzf.gov.cn/）</w:t>
      </w:r>
    </w:p>
    <w:bookmarkEnd w:id="32"/>
    <w:bookmarkEnd w:id="33"/>
    <w:p w14:paraId="270AD24B">
      <w:pPr>
        <w:keepNext w:val="0"/>
        <w:keepLines w:val="0"/>
        <w:pageBreakBefore w:val="0"/>
        <w:kinsoku/>
        <w:wordWrap/>
        <w:overflowPunct/>
        <w:topLinePunct w:val="0"/>
        <w:bidi w:val="0"/>
        <w:spacing w:line="340" w:lineRule="atLeast"/>
        <w:ind w:firstLine="424" w:firstLineChars="202"/>
        <w:textAlignment w:val="auto"/>
        <w:rPr>
          <w:rFonts w:hint="eastAsia" w:ascii="宋体" w:hAnsi="宋体" w:cs="宋体"/>
          <w:color w:val="auto"/>
          <w:kern w:val="0"/>
          <w:szCs w:val="21"/>
          <w:highlight w:val="none"/>
        </w:rPr>
      </w:pPr>
      <w:bookmarkStart w:id="38" w:name="_Hlk37429674"/>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5DB7DA60">
      <w:pPr>
        <w:keepNext w:val="0"/>
        <w:keepLines w:val="0"/>
        <w:pageBreakBefore w:val="0"/>
        <w:kinsoku/>
        <w:wordWrap/>
        <w:overflowPunct/>
        <w:topLinePunct w:val="0"/>
        <w:bidi w:val="0"/>
        <w:spacing w:line="340" w:lineRule="atLeast"/>
        <w:ind w:firstLine="420" w:firstLineChars="200"/>
        <w:textAlignment w:val="auto"/>
        <w:rPr>
          <w:rFonts w:ascii="宋体" w:hAnsi="宋体" w:cs="宋体"/>
          <w:iCs/>
          <w:color w:val="auto"/>
          <w:kern w:val="0"/>
          <w:szCs w:val="21"/>
          <w:highlight w:val="none"/>
        </w:rPr>
      </w:pPr>
      <w:r>
        <w:rPr>
          <w:rFonts w:hint="eastAsia" w:ascii="宋体" w:hAnsi="宋体" w:cs="宋体"/>
          <w:iCs/>
          <w:color w:val="auto"/>
          <w:kern w:val="0"/>
          <w:szCs w:val="21"/>
          <w:highlight w:val="none"/>
        </w:rPr>
        <w:t>（1）政府采购促进中小企业发展。</w:t>
      </w:r>
    </w:p>
    <w:p w14:paraId="51D8E8A4">
      <w:pPr>
        <w:keepNext w:val="0"/>
        <w:keepLines w:val="0"/>
        <w:pageBreakBefore w:val="0"/>
        <w:kinsoku/>
        <w:wordWrap/>
        <w:overflowPunct/>
        <w:topLinePunct w:val="0"/>
        <w:bidi w:val="0"/>
        <w:spacing w:line="340" w:lineRule="atLeast"/>
        <w:ind w:firstLine="420" w:firstLineChars="200"/>
        <w:textAlignment w:val="auto"/>
        <w:rPr>
          <w:rFonts w:ascii="宋体" w:hAnsi="宋体" w:cs="宋体"/>
          <w:iCs/>
          <w:color w:val="auto"/>
          <w:kern w:val="0"/>
          <w:szCs w:val="21"/>
          <w:highlight w:val="none"/>
        </w:rPr>
      </w:pPr>
      <w:r>
        <w:rPr>
          <w:rFonts w:hint="eastAsia" w:ascii="宋体" w:hAnsi="宋体" w:cs="宋体"/>
          <w:iCs/>
          <w:color w:val="auto"/>
          <w:kern w:val="0"/>
          <w:szCs w:val="21"/>
          <w:highlight w:val="none"/>
        </w:rPr>
        <w:t>（2）政府采购支持采用本国产品的政策。</w:t>
      </w:r>
    </w:p>
    <w:p w14:paraId="200117CE">
      <w:pPr>
        <w:keepNext w:val="0"/>
        <w:keepLines w:val="0"/>
        <w:pageBreakBefore w:val="0"/>
        <w:kinsoku/>
        <w:wordWrap/>
        <w:overflowPunct/>
        <w:topLinePunct w:val="0"/>
        <w:bidi w:val="0"/>
        <w:spacing w:line="340" w:lineRule="atLeast"/>
        <w:ind w:firstLine="420" w:firstLineChars="200"/>
        <w:textAlignment w:val="auto"/>
        <w:rPr>
          <w:rFonts w:ascii="宋体" w:hAnsi="宋体" w:cs="宋体"/>
          <w:iCs/>
          <w:color w:val="auto"/>
          <w:kern w:val="0"/>
          <w:szCs w:val="21"/>
          <w:highlight w:val="none"/>
        </w:rPr>
      </w:pPr>
      <w:r>
        <w:rPr>
          <w:rFonts w:hint="eastAsia" w:ascii="宋体" w:hAnsi="宋体" w:cs="宋体"/>
          <w:iCs/>
          <w:color w:val="auto"/>
          <w:kern w:val="0"/>
          <w:szCs w:val="21"/>
          <w:highlight w:val="none"/>
        </w:rPr>
        <w:t>（3）强制采购节能产品；优先采购节能产品、环境标志产品。</w:t>
      </w:r>
    </w:p>
    <w:p w14:paraId="0B04F364">
      <w:pPr>
        <w:keepNext w:val="0"/>
        <w:keepLines w:val="0"/>
        <w:pageBreakBefore w:val="0"/>
        <w:kinsoku/>
        <w:wordWrap/>
        <w:overflowPunct/>
        <w:topLinePunct w:val="0"/>
        <w:bidi w:val="0"/>
        <w:spacing w:line="340" w:lineRule="atLeast"/>
        <w:ind w:firstLine="420" w:firstLineChars="200"/>
        <w:textAlignment w:val="auto"/>
        <w:rPr>
          <w:rFonts w:ascii="宋体" w:hAnsi="宋体" w:cs="宋体"/>
          <w:iCs/>
          <w:color w:val="auto"/>
          <w:kern w:val="0"/>
          <w:szCs w:val="21"/>
          <w:highlight w:val="none"/>
        </w:rPr>
      </w:pPr>
      <w:r>
        <w:rPr>
          <w:rFonts w:hint="eastAsia" w:ascii="宋体" w:hAnsi="宋体" w:cs="宋体"/>
          <w:iCs/>
          <w:color w:val="auto"/>
          <w:kern w:val="0"/>
          <w:szCs w:val="21"/>
          <w:highlight w:val="none"/>
        </w:rPr>
        <w:t>（4）政府采购促进残疾人就业政策。</w:t>
      </w:r>
    </w:p>
    <w:p w14:paraId="6B0E2595">
      <w:pPr>
        <w:keepNext w:val="0"/>
        <w:keepLines w:val="0"/>
        <w:pageBreakBefore w:val="0"/>
        <w:kinsoku/>
        <w:wordWrap/>
        <w:overflowPunct/>
        <w:topLinePunct w:val="0"/>
        <w:bidi w:val="0"/>
        <w:spacing w:line="340" w:lineRule="atLeast"/>
        <w:ind w:firstLine="420" w:firstLineChars="200"/>
        <w:textAlignment w:val="auto"/>
        <w:rPr>
          <w:rFonts w:hint="eastAsia" w:ascii="宋体" w:hAnsi="宋体" w:cs="宋体"/>
          <w:i/>
          <w:iCs/>
          <w:color w:val="auto"/>
          <w:kern w:val="0"/>
          <w:szCs w:val="21"/>
          <w:highlight w:val="none"/>
        </w:rPr>
      </w:pPr>
      <w:r>
        <w:rPr>
          <w:rFonts w:hint="eastAsia" w:ascii="宋体" w:hAnsi="宋体" w:cs="宋体"/>
          <w:iCs/>
          <w:color w:val="auto"/>
          <w:kern w:val="0"/>
          <w:szCs w:val="21"/>
          <w:highlight w:val="none"/>
        </w:rPr>
        <w:t>（5）政府采购支持监狱企业发展。</w:t>
      </w:r>
    </w:p>
    <w:bookmarkEnd w:id="38"/>
    <w:p w14:paraId="3CC572D4">
      <w:pPr>
        <w:keepNext w:val="0"/>
        <w:keepLines w:val="0"/>
        <w:pageBreakBefore w:val="0"/>
        <w:widowControl/>
        <w:kinsoku/>
        <w:wordWrap/>
        <w:overflowPunct/>
        <w:topLinePunct w:val="0"/>
        <w:bidi w:val="0"/>
        <w:spacing w:line="340" w:lineRule="atLeast"/>
        <w:ind w:firstLine="422" w:firstLineChars="200"/>
        <w:jc w:val="left"/>
        <w:textAlignment w:val="auto"/>
        <w:rPr>
          <w:rFonts w:hint="eastAsia" w:ascii="宋体" w:hAnsi="宋体"/>
          <w:b/>
          <w:color w:val="auto"/>
          <w:szCs w:val="21"/>
          <w:highlight w:val="none"/>
        </w:rPr>
      </w:pPr>
      <w:r>
        <w:rPr>
          <w:rFonts w:hint="eastAsia" w:ascii="宋体" w:hAnsi="宋体" w:cs="宋体"/>
          <w:b/>
          <w:color w:val="auto"/>
          <w:kern w:val="0"/>
          <w:szCs w:val="21"/>
          <w:highlight w:val="none"/>
          <w:lang w:val="en-US" w:eastAsia="zh-CN"/>
        </w:rPr>
        <w:t>4</w:t>
      </w:r>
      <w:r>
        <w:rPr>
          <w:rFonts w:hint="eastAsia" w:ascii="宋体" w:hAnsi="宋体" w:cs="宋体"/>
          <w:b/>
          <w:color w:val="auto"/>
          <w:kern w:val="0"/>
          <w:szCs w:val="21"/>
          <w:highlight w:val="none"/>
        </w:rPr>
        <w:t>.投标人</w:t>
      </w:r>
      <w:r>
        <w:rPr>
          <w:rFonts w:hint="eastAsia" w:ascii="宋体" w:hAnsi="宋体"/>
          <w:b/>
          <w:color w:val="auto"/>
          <w:szCs w:val="21"/>
          <w:highlight w:val="none"/>
        </w:rPr>
        <w:t>投标注意事项</w:t>
      </w:r>
    </w:p>
    <w:p w14:paraId="763B4C5C">
      <w:pPr>
        <w:keepNext w:val="0"/>
        <w:keepLines w:val="0"/>
        <w:pageBreakBefore w:val="0"/>
        <w:widowControl/>
        <w:kinsoku/>
        <w:wordWrap/>
        <w:overflowPunct/>
        <w:topLinePunct w:val="0"/>
        <w:bidi w:val="0"/>
        <w:spacing w:line="340" w:lineRule="atLeast"/>
        <w:ind w:firstLine="422" w:firstLineChars="200"/>
        <w:jc w:val="left"/>
        <w:textAlignment w:val="auto"/>
        <w:rPr>
          <w:rFonts w:hint="eastAsia" w:ascii="宋体" w:hAnsi="宋体"/>
          <w:bCs/>
          <w:color w:val="auto"/>
          <w:szCs w:val="21"/>
          <w:highlight w:val="none"/>
        </w:rPr>
      </w:pPr>
      <w:r>
        <w:rPr>
          <w:rFonts w:hint="eastAsia" w:ascii="宋体" w:hAnsi="宋体"/>
          <w:b/>
          <w:color w:val="auto"/>
          <w:szCs w:val="21"/>
          <w:highlight w:val="none"/>
        </w:rPr>
        <w:t>（1）本项目为全流程电子化采购项目，</w:t>
      </w:r>
      <w:r>
        <w:rPr>
          <w:rFonts w:hint="eastAsia" w:ascii="宋体" w:hAnsi="宋体"/>
          <w:bCs/>
          <w:color w:val="auto"/>
          <w:szCs w:val="21"/>
          <w:highlight w:val="none"/>
        </w:rPr>
        <w:t>通过广西政府采购云平台（https://www.gcy.zfcg.gxzf.gov.cn/）实行在线电子投标，投标人应先安装“广西政府采购云平台电子投标客户端”（请自行前往广西政府采购云平台进行下载），并按照本项目招标文件和广西政府采购云平台的要求编制、加密后在投标截止时间前通过网络上传至 广西政府采购云平台（</w:t>
      </w:r>
      <w:r>
        <w:rPr>
          <w:rFonts w:hint="eastAsia" w:ascii="宋体" w:hAnsi="宋体"/>
          <w:bCs/>
          <w:color w:val="auto"/>
          <w:szCs w:val="21"/>
          <w:highlight w:val="none"/>
          <w:u w:val="single"/>
        </w:rPr>
        <w:t>加密的电子投标文件是指</w:t>
      </w:r>
      <w:r>
        <w:rPr>
          <w:rFonts w:hint="eastAsia"/>
          <w:bCs/>
          <w:color w:val="auto"/>
          <w:highlight w:val="none"/>
          <w:u w:val="single"/>
        </w:rPr>
        <w:t>后缀名为“jm</w:t>
      </w:r>
      <w:r>
        <w:rPr>
          <w:bCs/>
          <w:color w:val="auto"/>
          <w:highlight w:val="none"/>
          <w:u w:val="single"/>
        </w:rPr>
        <w:t>bs</w:t>
      </w:r>
      <w:r>
        <w:rPr>
          <w:rFonts w:hint="eastAsia"/>
          <w:bCs/>
          <w:color w:val="auto"/>
          <w:highlight w:val="none"/>
          <w:u w:val="single"/>
        </w:rPr>
        <w:t>”的文件</w:t>
      </w:r>
      <w:r>
        <w:rPr>
          <w:rFonts w:hint="eastAsia" w:ascii="宋体" w:hAnsi="宋体"/>
          <w:bCs/>
          <w:color w:val="auto"/>
          <w:szCs w:val="21"/>
          <w:highlight w:val="none"/>
        </w:rPr>
        <w:t>），投标人在广西政府采购云平台提交电子投标文件时，请填写参加远程开标活动经办人联系方式。投标人登录广西政府采购云平台，依次进入“服务中心-项目采购-操作流程-电子招投标-</w:t>
      </w:r>
      <w:r>
        <w:rPr>
          <w:bCs/>
          <w:color w:val="auto"/>
          <w:highlight w:val="none"/>
        </w:rPr>
        <w:t>政府采购项目电子交易管理操作指南-供应商</w:t>
      </w:r>
      <w:r>
        <w:rPr>
          <w:rFonts w:hint="eastAsia" w:ascii="宋体" w:hAnsi="宋体"/>
          <w:bCs/>
          <w:color w:val="auto"/>
          <w:szCs w:val="21"/>
          <w:highlight w:val="none"/>
        </w:rPr>
        <w:t>”查看电子投标具体操作流程。</w:t>
      </w:r>
    </w:p>
    <w:p w14:paraId="4243913C">
      <w:pPr>
        <w:keepNext w:val="0"/>
        <w:keepLines w:val="0"/>
        <w:pageBreakBefore w:val="0"/>
        <w:widowControl/>
        <w:kinsoku/>
        <w:wordWrap/>
        <w:overflowPunct/>
        <w:topLinePunct w:val="0"/>
        <w:bidi w:val="0"/>
        <w:spacing w:line="340" w:lineRule="atLeast"/>
        <w:ind w:firstLine="422" w:firstLineChars="200"/>
        <w:jc w:val="left"/>
        <w:textAlignment w:val="auto"/>
        <w:rPr>
          <w:rFonts w:ascii="宋体" w:hAnsi="宋体"/>
          <w:b/>
          <w:color w:val="auto"/>
          <w:szCs w:val="21"/>
          <w:highlight w:val="none"/>
        </w:rPr>
      </w:pPr>
      <w:r>
        <w:rPr>
          <w:rFonts w:hint="eastAsia" w:ascii="宋体" w:hAnsi="宋体"/>
          <w:b/>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cs="宋体"/>
          <w:b/>
          <w:color w:val="auto"/>
          <w:kern w:val="0"/>
          <w:szCs w:val="21"/>
          <w:highlight w:val="none"/>
        </w:rPr>
        <w:t>广西政府采购云平台，</w:t>
      </w:r>
      <w:r>
        <w:rPr>
          <w:rFonts w:hint="eastAsia" w:ascii="宋体" w:hAnsi="宋体"/>
          <w:b/>
          <w:color w:val="auto"/>
          <w:szCs w:val="21"/>
          <w:highlight w:val="none"/>
        </w:rPr>
        <w:t>依次进入“服务中心-入驻与配置”中查看CA数字证书办理操作流程。</w:t>
      </w:r>
      <w:r>
        <w:rPr>
          <w:rFonts w:hint="eastAsia" w:ascii="宋体" w:hAnsi="宋体" w:cs="宋体"/>
          <w:b/>
          <w:bCs/>
          <w:color w:val="auto"/>
          <w:kern w:val="0"/>
          <w:szCs w:val="21"/>
          <w:highlight w:val="none"/>
        </w:rPr>
        <w:t>如在操作过程中遇到问题或者需要技术支持，请致电广西政府采购云平台客服热线：</w:t>
      </w:r>
      <w:r>
        <w:rPr>
          <w:rFonts w:hint="eastAsia" w:ascii="宋体" w:hAnsi="宋体"/>
          <w:b/>
          <w:color w:val="auto"/>
          <w:szCs w:val="21"/>
          <w:highlight w:val="none"/>
        </w:rPr>
        <w:t>95763或0771-3381253）。</w:t>
      </w:r>
    </w:p>
    <w:p w14:paraId="7CEF7721">
      <w:pPr>
        <w:keepNext w:val="0"/>
        <w:keepLines w:val="0"/>
        <w:pageBreakBefore w:val="0"/>
        <w:kinsoku/>
        <w:wordWrap/>
        <w:overflowPunct/>
        <w:topLinePunct w:val="0"/>
        <w:bidi w:val="0"/>
        <w:snapToGrid w:val="0"/>
        <w:spacing w:line="340" w:lineRule="atLeast"/>
        <w:ind w:firstLine="422" w:firstLineChars="200"/>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2C4F21F3">
      <w:pPr>
        <w:keepNext w:val="0"/>
        <w:keepLines w:val="0"/>
        <w:pageBreakBefore w:val="0"/>
        <w:kinsoku/>
        <w:wordWrap/>
        <w:overflowPunct/>
        <w:topLinePunct w:val="0"/>
        <w:bidi w:val="0"/>
        <w:spacing w:line="340" w:lineRule="atLeast"/>
        <w:ind w:firstLine="426" w:firstLineChars="202"/>
        <w:textAlignment w:val="auto"/>
        <w:rPr>
          <w:rFonts w:ascii="宋体" w:hAnsi="宋体"/>
          <w:b/>
          <w:color w:val="auto"/>
          <w:szCs w:val="21"/>
          <w:highlight w:val="none"/>
        </w:rPr>
      </w:pPr>
      <w:r>
        <w:rPr>
          <w:rFonts w:hint="eastAsia" w:ascii="宋体" w:hAnsi="宋体"/>
          <w:b/>
          <w:color w:val="auto"/>
          <w:szCs w:val="21"/>
          <w:highlight w:val="none"/>
        </w:rPr>
        <w:t>注：</w:t>
      </w:r>
    </w:p>
    <w:p w14:paraId="779C594A">
      <w:pPr>
        <w:keepNext w:val="0"/>
        <w:keepLines w:val="0"/>
        <w:pageBreakBefore w:val="0"/>
        <w:kinsoku/>
        <w:wordWrap/>
        <w:overflowPunct/>
        <w:topLinePunct w:val="0"/>
        <w:bidi w:val="0"/>
        <w:spacing w:line="340" w:lineRule="atLeast"/>
        <w:ind w:firstLine="426" w:firstLineChars="202"/>
        <w:textAlignment w:val="auto"/>
        <w:rPr>
          <w:rFonts w:ascii="宋体" w:hAnsi="宋体"/>
          <w:b/>
          <w:color w:val="auto"/>
          <w:szCs w:val="21"/>
          <w:highlight w:val="none"/>
        </w:rPr>
      </w:pPr>
      <w:r>
        <w:rPr>
          <w:rFonts w:ascii="宋体" w:hAnsi="宋体"/>
          <w:b/>
          <w:color w:val="auto"/>
          <w:szCs w:val="21"/>
          <w:highlight w:val="none"/>
        </w:rPr>
        <w:fldChar w:fldCharType="begin"/>
      </w:r>
      <w:r>
        <w:rPr>
          <w:rFonts w:ascii="宋体" w:hAnsi="宋体"/>
          <w:b/>
          <w:color w:val="auto"/>
          <w:szCs w:val="21"/>
          <w:highlight w:val="none"/>
        </w:rPr>
        <w:instrText xml:space="preserve"> </w:instrText>
      </w:r>
      <w:r>
        <w:rPr>
          <w:rFonts w:hint="eastAsia" w:ascii="宋体" w:hAnsi="宋体"/>
          <w:b/>
          <w:color w:val="auto"/>
          <w:szCs w:val="21"/>
          <w:highlight w:val="none"/>
        </w:rPr>
        <w:instrText xml:space="preserve">= 1 \* GB3</w:instrText>
      </w:r>
      <w:r>
        <w:rPr>
          <w:rFonts w:ascii="宋体" w:hAnsi="宋体"/>
          <w:b/>
          <w:color w:val="auto"/>
          <w:szCs w:val="21"/>
          <w:highlight w:val="none"/>
        </w:rPr>
        <w:instrText xml:space="preserve"> </w:instrText>
      </w:r>
      <w:r>
        <w:rPr>
          <w:rFonts w:ascii="宋体" w:hAnsi="宋体"/>
          <w:b/>
          <w:color w:val="auto"/>
          <w:szCs w:val="21"/>
          <w:highlight w:val="none"/>
        </w:rPr>
        <w:fldChar w:fldCharType="separate"/>
      </w:r>
      <w:r>
        <w:rPr>
          <w:rFonts w:hint="eastAsia" w:ascii="宋体" w:hAnsi="宋体"/>
          <w:b/>
          <w:color w:val="auto"/>
          <w:szCs w:val="21"/>
          <w:highlight w:val="none"/>
        </w:rPr>
        <w:t>①</w:t>
      </w:r>
      <w:r>
        <w:rPr>
          <w:rFonts w:ascii="宋体" w:hAnsi="宋体"/>
          <w:b/>
          <w:color w:val="auto"/>
          <w:szCs w:val="21"/>
          <w:highlight w:val="none"/>
        </w:rPr>
        <w:fldChar w:fldCharType="end"/>
      </w:r>
      <w:r>
        <w:rPr>
          <w:rFonts w:hint="eastAsia" w:ascii="宋体" w:hAnsi="宋体"/>
          <w:b/>
          <w:color w:val="auto"/>
          <w:szCs w:val="21"/>
          <w:highlight w:val="none"/>
        </w:rPr>
        <w:t>为确保网上操作合法、有效和安全，请投标人确保在电子投标过程中能够对相关数据电文进行加密和使用电子签章，妥善保管C</w:t>
      </w:r>
      <w:r>
        <w:rPr>
          <w:rFonts w:ascii="宋体" w:hAnsi="宋体"/>
          <w:b/>
          <w:color w:val="auto"/>
          <w:szCs w:val="21"/>
          <w:highlight w:val="none"/>
        </w:rPr>
        <w:t>A</w:t>
      </w:r>
      <w:r>
        <w:rPr>
          <w:rFonts w:hint="eastAsia" w:ascii="宋体" w:hAnsi="宋体"/>
          <w:b/>
          <w:color w:val="auto"/>
          <w:szCs w:val="21"/>
          <w:highlight w:val="none"/>
        </w:rPr>
        <w:t>数字证书并使用有效的CA数字证书参与整个招标活动。</w:t>
      </w:r>
    </w:p>
    <w:p w14:paraId="24DC49E7">
      <w:pPr>
        <w:keepNext w:val="0"/>
        <w:keepLines w:val="0"/>
        <w:pageBreakBefore w:val="0"/>
        <w:kinsoku/>
        <w:wordWrap/>
        <w:overflowPunct/>
        <w:topLinePunct w:val="0"/>
        <w:bidi w:val="0"/>
        <w:spacing w:line="340" w:lineRule="atLeast"/>
        <w:ind w:firstLine="426" w:firstLineChars="202"/>
        <w:textAlignment w:val="auto"/>
        <w:rPr>
          <w:rFonts w:ascii="宋体" w:hAnsi="宋体"/>
          <w:b/>
          <w:bCs/>
          <w:color w:val="auto"/>
          <w:szCs w:val="21"/>
          <w:highlight w:val="none"/>
        </w:rPr>
      </w:pPr>
      <w:r>
        <w:rPr>
          <w:rFonts w:ascii="宋体" w:hAnsi="宋体"/>
          <w:b/>
          <w:color w:val="auto"/>
          <w:szCs w:val="21"/>
          <w:highlight w:val="none"/>
        </w:rPr>
        <w:fldChar w:fldCharType="begin"/>
      </w:r>
      <w:r>
        <w:rPr>
          <w:rFonts w:ascii="宋体" w:hAnsi="宋体"/>
          <w:b/>
          <w:color w:val="auto"/>
          <w:szCs w:val="21"/>
          <w:highlight w:val="none"/>
        </w:rPr>
        <w:instrText xml:space="preserve"> </w:instrText>
      </w:r>
      <w:r>
        <w:rPr>
          <w:rFonts w:hint="eastAsia" w:ascii="宋体" w:hAnsi="宋体"/>
          <w:b/>
          <w:color w:val="auto"/>
          <w:szCs w:val="21"/>
          <w:highlight w:val="none"/>
        </w:rPr>
        <w:instrText xml:space="preserve">= 2 \* GB3</w:instrText>
      </w:r>
      <w:r>
        <w:rPr>
          <w:rFonts w:ascii="宋体" w:hAnsi="宋体"/>
          <w:b/>
          <w:color w:val="auto"/>
          <w:szCs w:val="21"/>
          <w:highlight w:val="none"/>
        </w:rPr>
        <w:instrText xml:space="preserve"> </w:instrText>
      </w:r>
      <w:r>
        <w:rPr>
          <w:rFonts w:ascii="宋体" w:hAnsi="宋体"/>
          <w:b/>
          <w:color w:val="auto"/>
          <w:szCs w:val="21"/>
          <w:highlight w:val="none"/>
        </w:rPr>
        <w:fldChar w:fldCharType="separate"/>
      </w:r>
      <w:r>
        <w:rPr>
          <w:rFonts w:hint="eastAsia" w:ascii="宋体" w:hAnsi="宋体"/>
          <w:b/>
          <w:color w:val="auto"/>
          <w:szCs w:val="21"/>
          <w:highlight w:val="none"/>
        </w:rPr>
        <w:t>②</w:t>
      </w:r>
      <w:r>
        <w:rPr>
          <w:rFonts w:ascii="宋体" w:hAnsi="宋体"/>
          <w:b/>
          <w:color w:val="auto"/>
          <w:szCs w:val="21"/>
          <w:highlight w:val="none"/>
        </w:rPr>
        <w:fldChar w:fldCharType="end"/>
      </w:r>
      <w:r>
        <w:rPr>
          <w:rFonts w:hint="eastAsia" w:ascii="宋体" w:hAnsi="宋体"/>
          <w:b/>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68868F78">
      <w:pPr>
        <w:keepNext w:val="0"/>
        <w:keepLines w:val="0"/>
        <w:pageBreakBefore w:val="0"/>
        <w:kinsoku/>
        <w:wordWrap/>
        <w:overflowPunct/>
        <w:topLinePunct w:val="0"/>
        <w:bidi w:val="0"/>
        <w:spacing w:line="340" w:lineRule="atLeast"/>
        <w:ind w:firstLine="426" w:firstLineChars="202"/>
        <w:textAlignment w:val="auto"/>
        <w:rPr>
          <w:rFonts w:ascii="宋体" w:hAnsi="宋体"/>
          <w:b/>
          <w:color w:val="auto"/>
          <w:szCs w:val="21"/>
          <w:highlight w:val="none"/>
        </w:rPr>
      </w:pPr>
      <w:r>
        <w:rPr>
          <w:rFonts w:hint="eastAsia" w:ascii="宋体" w:hAnsi="宋体"/>
          <w:b/>
          <w:color w:val="auto"/>
          <w:szCs w:val="21"/>
          <w:highlight w:val="none"/>
          <w:lang w:val="en-US" w:eastAsia="zh-CN"/>
        </w:rPr>
        <w:t>5</w:t>
      </w:r>
      <w:r>
        <w:rPr>
          <w:rFonts w:hint="eastAsia" w:ascii="宋体" w:hAnsi="宋体"/>
          <w:b/>
          <w:color w:val="auto"/>
          <w:szCs w:val="21"/>
          <w:highlight w:val="none"/>
        </w:rPr>
        <w:t>.特别说明：</w:t>
      </w:r>
    </w:p>
    <w:p w14:paraId="517279F0">
      <w:pPr>
        <w:keepNext w:val="0"/>
        <w:keepLines w:val="0"/>
        <w:pageBreakBefore w:val="0"/>
        <w:kinsoku/>
        <w:wordWrap/>
        <w:overflowPunct/>
        <w:topLinePunct w:val="0"/>
        <w:bidi w:val="0"/>
        <w:spacing w:line="340" w:lineRule="atLeast"/>
        <w:ind w:firstLine="426" w:firstLineChars="202"/>
        <w:textAlignment w:val="auto"/>
        <w:rPr>
          <w:rFonts w:hint="eastAsia" w:ascii="宋体" w:hAnsi="宋体"/>
          <w:b/>
          <w:color w:val="auto"/>
          <w:highlight w:val="none"/>
          <w:u w:val="single"/>
        </w:rPr>
      </w:pPr>
      <w:r>
        <w:rPr>
          <w:rFonts w:hint="eastAsia" w:ascii="宋体" w:hAnsi="宋体"/>
          <w:b/>
          <w:color w:val="auto"/>
          <w:highlight w:val="none"/>
          <w:u w:val="single"/>
        </w:rPr>
        <w:t>为确保供货的及时性，投标人均可参与以下各标的、各分标的投标，但对同一标的不同分标的，一个投标人只能中其中一个分标；若某投标人有两个（或两个以上）分标综合评分最高，则优先推荐成为预算金额较大分标的为第一中标候选人；各标的之间则不受此限制。若进入详评的投标人个数少于分标个数时，则按此循环，可累计中标。</w:t>
      </w:r>
    </w:p>
    <w:p w14:paraId="7DD68833">
      <w:pPr>
        <w:keepNext w:val="0"/>
        <w:keepLines w:val="0"/>
        <w:pageBreakBefore w:val="0"/>
        <w:kinsoku/>
        <w:wordWrap/>
        <w:overflowPunct/>
        <w:topLinePunct w:val="0"/>
        <w:bidi w:val="0"/>
        <w:spacing w:line="340" w:lineRule="atLeast"/>
        <w:ind w:firstLine="426" w:firstLineChars="202"/>
        <w:textAlignment w:val="auto"/>
        <w:rPr>
          <w:rFonts w:hint="eastAsia" w:ascii="宋体" w:hAnsi="宋体"/>
          <w:b/>
          <w:bCs/>
          <w:color w:val="auto"/>
          <w:szCs w:val="21"/>
          <w:highlight w:val="none"/>
        </w:rPr>
      </w:pPr>
      <w:r>
        <w:rPr>
          <w:rFonts w:hint="eastAsia" w:ascii="宋体" w:hAnsi="宋体"/>
          <w:b/>
          <w:color w:val="auto"/>
          <w:szCs w:val="21"/>
          <w:highlight w:val="none"/>
          <w:u w:val="single"/>
          <w:lang w:val="en-US" w:eastAsia="zh-CN"/>
        </w:rPr>
        <w:t>6</w:t>
      </w:r>
      <w:r>
        <w:rPr>
          <w:rFonts w:hint="eastAsia" w:ascii="宋体" w:hAnsi="宋体"/>
          <w:b/>
          <w:color w:val="auto"/>
          <w:szCs w:val="21"/>
          <w:highlight w:val="none"/>
          <w:u w:val="single"/>
        </w:rPr>
        <w:t>.本项目要求投标保证金。投标人参与多个分标投标的，可按标段规定金额分别提交；采用合并方式一次性提交保证金的，如实缴金额合计数少于应缴金额合计数的，不能确定其所投标段保证金金额的，其所投分标均作投标无效处理。</w:t>
      </w:r>
    </w:p>
    <w:p w14:paraId="217BE807">
      <w:pPr>
        <w:keepNext w:val="0"/>
        <w:keepLines w:val="0"/>
        <w:pageBreakBefore w:val="0"/>
        <w:kinsoku/>
        <w:wordWrap/>
        <w:overflowPunct/>
        <w:topLinePunct w:val="0"/>
        <w:bidi w:val="0"/>
        <w:spacing w:line="340" w:lineRule="atLeast"/>
        <w:textAlignment w:val="auto"/>
        <w:rPr>
          <w:rFonts w:ascii="黑体" w:hAnsi="黑体" w:eastAsia="黑体"/>
          <w:b/>
          <w:bCs/>
          <w:color w:val="auto"/>
          <w:sz w:val="24"/>
          <w:highlight w:val="none"/>
        </w:rPr>
      </w:pPr>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4"/>
      <w:bookmarkEnd w:id="35"/>
      <w:bookmarkEnd w:id="36"/>
      <w:bookmarkEnd w:id="37"/>
    </w:p>
    <w:p w14:paraId="1E327769">
      <w:pPr>
        <w:keepNext w:val="0"/>
        <w:keepLines w:val="0"/>
        <w:pageBreakBefore w:val="0"/>
        <w:kinsoku/>
        <w:wordWrap/>
        <w:overflowPunct/>
        <w:topLinePunct w:val="0"/>
        <w:bidi w:val="0"/>
        <w:spacing w:line="340" w:lineRule="atLeast"/>
        <w:ind w:firstLine="424" w:firstLineChars="202"/>
        <w:jc w:val="left"/>
        <w:textAlignment w:val="auto"/>
        <w:rPr>
          <w:rFonts w:hint="eastAsia" w:ascii="宋体" w:hAnsi="宋体"/>
          <w:color w:val="auto"/>
          <w:szCs w:val="21"/>
          <w:highlight w:val="none"/>
        </w:rPr>
      </w:pPr>
      <w:r>
        <w:rPr>
          <w:rFonts w:hint="eastAsia" w:ascii="宋体" w:hAnsi="宋体" w:cs="宋体"/>
          <w:color w:val="auto"/>
          <w:szCs w:val="21"/>
          <w:highlight w:val="none"/>
        </w:rPr>
        <w:t>1.采购人信息</w:t>
      </w:r>
    </w:p>
    <w:p w14:paraId="5469CD85">
      <w:pPr>
        <w:keepNext w:val="0"/>
        <w:keepLines w:val="0"/>
        <w:pageBreakBefore w:val="0"/>
        <w:kinsoku/>
        <w:wordWrap/>
        <w:overflowPunct/>
        <w:topLinePunct w:val="0"/>
        <w:bidi w:val="0"/>
        <w:spacing w:line="340" w:lineRule="atLeast"/>
        <w:ind w:firstLine="424" w:firstLineChars="202"/>
        <w:jc w:val="left"/>
        <w:textAlignment w:val="auto"/>
        <w:rPr>
          <w:rFonts w:ascii="宋体" w:hAnsi="宋体"/>
          <w:color w:val="auto"/>
          <w:szCs w:val="21"/>
          <w:highlight w:val="none"/>
        </w:rPr>
      </w:pPr>
      <w:bookmarkStart w:id="39" w:name="_Toc28359009"/>
      <w:bookmarkStart w:id="40" w:name="_Toc28359086"/>
      <w:r>
        <w:rPr>
          <w:rFonts w:hint="eastAsia" w:ascii="宋体" w:hAnsi="宋体"/>
          <w:color w:val="auto"/>
          <w:szCs w:val="21"/>
          <w:highlight w:val="none"/>
        </w:rPr>
        <w:t>名称：广西壮族自治区动物疫病预防控制中心</w:t>
      </w:r>
    </w:p>
    <w:p w14:paraId="4A2AA636">
      <w:pPr>
        <w:keepNext w:val="0"/>
        <w:keepLines w:val="0"/>
        <w:pageBreakBefore w:val="0"/>
        <w:kinsoku/>
        <w:wordWrap/>
        <w:overflowPunct/>
        <w:topLinePunct w:val="0"/>
        <w:bidi w:val="0"/>
        <w:spacing w:line="340" w:lineRule="atLeast"/>
        <w:ind w:firstLine="424" w:firstLineChars="202"/>
        <w:jc w:val="left"/>
        <w:textAlignment w:val="auto"/>
        <w:rPr>
          <w:rFonts w:ascii="宋体" w:hAnsi="宋体"/>
          <w:color w:val="auto"/>
          <w:szCs w:val="21"/>
          <w:highlight w:val="none"/>
        </w:rPr>
      </w:pPr>
      <w:r>
        <w:rPr>
          <w:rFonts w:hint="eastAsia" w:ascii="宋体" w:hAnsi="宋体"/>
          <w:color w:val="auto"/>
          <w:szCs w:val="21"/>
          <w:highlight w:val="none"/>
        </w:rPr>
        <w:t>地址：广西南宁市友爱北路51号</w:t>
      </w:r>
    </w:p>
    <w:p w14:paraId="4326E306">
      <w:pPr>
        <w:keepNext w:val="0"/>
        <w:keepLines w:val="0"/>
        <w:pageBreakBefore w:val="0"/>
        <w:kinsoku/>
        <w:wordWrap/>
        <w:overflowPunct/>
        <w:topLinePunct w:val="0"/>
        <w:bidi w:val="0"/>
        <w:spacing w:line="340" w:lineRule="atLeast"/>
        <w:ind w:firstLine="424" w:firstLineChars="202"/>
        <w:jc w:val="left"/>
        <w:textAlignment w:val="auto"/>
        <w:rPr>
          <w:rFonts w:ascii="宋体" w:hAnsi="宋体"/>
          <w:color w:val="auto"/>
          <w:szCs w:val="21"/>
          <w:highlight w:val="none"/>
        </w:rPr>
      </w:pPr>
      <w:r>
        <w:rPr>
          <w:rFonts w:hint="eastAsia" w:ascii="宋体" w:hAnsi="宋体"/>
          <w:color w:val="auto"/>
          <w:szCs w:val="21"/>
          <w:highlight w:val="none"/>
        </w:rPr>
        <w:t>联系方式：</w:t>
      </w:r>
      <w:r>
        <w:rPr>
          <w:rFonts w:hint="eastAsia" w:ascii="宋体" w:hAnsi="宋体"/>
          <w:color w:val="auto"/>
          <w:szCs w:val="21"/>
          <w:highlight w:val="none"/>
          <w:lang w:val="en-US" w:eastAsia="zh-CN"/>
        </w:rPr>
        <w:t>吕思明</w:t>
      </w:r>
      <w:r>
        <w:rPr>
          <w:rFonts w:hint="eastAsia" w:ascii="宋体" w:hAnsi="宋体"/>
          <w:color w:val="auto"/>
          <w:szCs w:val="21"/>
          <w:highlight w:val="none"/>
        </w:rPr>
        <w:t xml:space="preserve"> ，0771-3123004</w:t>
      </w:r>
      <w:r>
        <w:rPr>
          <w:rFonts w:ascii="宋体" w:hAnsi="宋体" w:cs="Arial"/>
          <w:color w:val="auto"/>
          <w:szCs w:val="21"/>
          <w:highlight w:val="none"/>
        </w:rPr>
        <w:t xml:space="preserve"> </w:t>
      </w:r>
    </w:p>
    <w:p w14:paraId="0970FD8C">
      <w:pPr>
        <w:keepNext w:val="0"/>
        <w:keepLines w:val="0"/>
        <w:pageBreakBefore w:val="0"/>
        <w:kinsoku/>
        <w:wordWrap/>
        <w:overflowPunct/>
        <w:topLinePunct w:val="0"/>
        <w:bidi w:val="0"/>
        <w:spacing w:line="340" w:lineRule="atLeast"/>
        <w:ind w:firstLine="424" w:firstLineChars="202"/>
        <w:jc w:val="left"/>
        <w:textAlignment w:val="auto"/>
        <w:rPr>
          <w:rFonts w:hint="eastAsia" w:ascii="宋体" w:hAnsi="宋体"/>
          <w:color w:val="auto"/>
          <w:szCs w:val="21"/>
          <w:highlight w:val="none"/>
        </w:rPr>
      </w:pPr>
      <w:r>
        <w:rPr>
          <w:rFonts w:hint="eastAsia" w:ascii="宋体" w:hAnsi="宋体"/>
          <w:color w:val="auto"/>
          <w:szCs w:val="21"/>
          <w:highlight w:val="none"/>
        </w:rPr>
        <w:t>2.采购代理机构信息</w:t>
      </w:r>
      <w:bookmarkEnd w:id="39"/>
      <w:bookmarkEnd w:id="40"/>
    </w:p>
    <w:p w14:paraId="2A6765F2">
      <w:pPr>
        <w:keepNext w:val="0"/>
        <w:keepLines w:val="0"/>
        <w:pageBreakBefore w:val="0"/>
        <w:kinsoku/>
        <w:wordWrap/>
        <w:overflowPunct/>
        <w:topLinePunct w:val="0"/>
        <w:bidi w:val="0"/>
        <w:spacing w:line="340" w:lineRule="atLeast"/>
        <w:ind w:firstLine="424" w:firstLineChars="202"/>
        <w:jc w:val="left"/>
        <w:textAlignment w:val="auto"/>
        <w:rPr>
          <w:rFonts w:hint="eastAsia" w:ascii="宋体" w:hAnsi="宋体"/>
          <w:color w:val="auto"/>
          <w:szCs w:val="21"/>
          <w:highlight w:val="none"/>
        </w:rPr>
      </w:pPr>
      <w:bookmarkStart w:id="41" w:name="_Toc28359010"/>
      <w:bookmarkStart w:id="42" w:name="_Toc28359087"/>
      <w:r>
        <w:rPr>
          <w:rFonts w:hint="eastAsia" w:ascii="宋体" w:hAnsi="宋体"/>
          <w:color w:val="auto"/>
          <w:szCs w:val="21"/>
          <w:highlight w:val="none"/>
        </w:rPr>
        <w:t>名 称：广西中信恒泰工程顾问有限公司　　</w:t>
      </w:r>
    </w:p>
    <w:p w14:paraId="53CD24CF">
      <w:pPr>
        <w:keepNext w:val="0"/>
        <w:keepLines w:val="0"/>
        <w:pageBreakBefore w:val="0"/>
        <w:kinsoku/>
        <w:wordWrap/>
        <w:overflowPunct/>
        <w:topLinePunct w:val="0"/>
        <w:bidi w:val="0"/>
        <w:spacing w:line="340" w:lineRule="atLeast"/>
        <w:ind w:firstLine="424" w:firstLineChars="202"/>
        <w:jc w:val="left"/>
        <w:textAlignment w:val="auto"/>
        <w:rPr>
          <w:rFonts w:hint="eastAsia" w:ascii="宋体" w:hAnsi="宋体"/>
          <w:color w:val="auto"/>
          <w:szCs w:val="21"/>
          <w:highlight w:val="none"/>
        </w:rPr>
      </w:pPr>
      <w:r>
        <w:rPr>
          <w:rFonts w:hint="eastAsia" w:ascii="宋体" w:hAnsi="宋体"/>
          <w:color w:val="auto"/>
          <w:szCs w:val="21"/>
          <w:highlight w:val="none"/>
        </w:rPr>
        <w:t>地　址：广西南宁市青秀区云景路69号南宁轨道大厦B楼8层</w:t>
      </w:r>
    </w:p>
    <w:p w14:paraId="7BD7EC61">
      <w:pPr>
        <w:keepNext w:val="0"/>
        <w:keepLines w:val="0"/>
        <w:pageBreakBefore w:val="0"/>
        <w:kinsoku/>
        <w:wordWrap/>
        <w:overflowPunct/>
        <w:topLinePunct w:val="0"/>
        <w:bidi w:val="0"/>
        <w:spacing w:line="340" w:lineRule="atLeast"/>
        <w:ind w:firstLine="424" w:firstLineChars="202"/>
        <w:jc w:val="left"/>
        <w:textAlignment w:val="auto"/>
        <w:rPr>
          <w:rFonts w:hint="eastAsia" w:ascii="宋体" w:hAnsi="宋体"/>
          <w:color w:val="auto"/>
          <w:szCs w:val="21"/>
          <w:highlight w:val="none"/>
        </w:rPr>
      </w:pPr>
      <w:r>
        <w:rPr>
          <w:rFonts w:hint="eastAsia" w:ascii="宋体" w:hAnsi="宋体"/>
          <w:color w:val="auto"/>
          <w:szCs w:val="21"/>
          <w:highlight w:val="none"/>
        </w:rPr>
        <w:t>联系方式：</w:t>
      </w:r>
      <w:r>
        <w:rPr>
          <w:rFonts w:hint="eastAsia" w:hAnsi="宋体"/>
          <w:color w:val="auto"/>
          <w:highlight w:val="none"/>
        </w:rPr>
        <w:t>廖欣蕾、陈燕英；</w:t>
      </w:r>
      <w:r>
        <w:rPr>
          <w:rFonts w:hint="eastAsia" w:ascii="宋体" w:hAnsi="宋体"/>
          <w:color w:val="auto"/>
          <w:szCs w:val="21"/>
          <w:highlight w:val="none"/>
        </w:rPr>
        <w:t>0771-5776251</w:t>
      </w:r>
    </w:p>
    <w:p w14:paraId="51B3B983">
      <w:pPr>
        <w:keepNext w:val="0"/>
        <w:keepLines w:val="0"/>
        <w:pageBreakBefore w:val="0"/>
        <w:kinsoku/>
        <w:wordWrap/>
        <w:overflowPunct/>
        <w:topLinePunct w:val="0"/>
        <w:bidi w:val="0"/>
        <w:spacing w:line="340" w:lineRule="atLeast"/>
        <w:ind w:firstLine="424" w:firstLineChars="202"/>
        <w:textAlignment w:val="auto"/>
        <w:rPr>
          <w:rFonts w:ascii="宋体" w:hAnsi="宋体"/>
          <w:color w:val="auto"/>
          <w:szCs w:val="21"/>
          <w:highlight w:val="none"/>
          <w:u w:val="single"/>
        </w:rPr>
      </w:pPr>
      <w:r>
        <w:rPr>
          <w:rFonts w:hint="eastAsia" w:ascii="宋体" w:hAnsi="宋体" w:cs="宋体"/>
          <w:color w:val="auto"/>
          <w:szCs w:val="21"/>
          <w:highlight w:val="none"/>
        </w:rPr>
        <w:t>3.项目</w:t>
      </w:r>
      <w:r>
        <w:rPr>
          <w:rFonts w:ascii="宋体" w:hAnsi="宋体" w:cs="宋体"/>
          <w:color w:val="auto"/>
          <w:szCs w:val="21"/>
          <w:highlight w:val="none"/>
        </w:rPr>
        <w:t>联系方式</w:t>
      </w:r>
      <w:bookmarkEnd w:id="41"/>
      <w:bookmarkEnd w:id="42"/>
    </w:p>
    <w:p w14:paraId="691EBF18">
      <w:pPr>
        <w:pStyle w:val="24"/>
        <w:keepNext w:val="0"/>
        <w:keepLines w:val="0"/>
        <w:pageBreakBefore w:val="0"/>
        <w:kinsoku/>
        <w:wordWrap/>
        <w:overflowPunct/>
        <w:topLinePunct w:val="0"/>
        <w:bidi w:val="0"/>
        <w:spacing w:line="340" w:lineRule="atLeast"/>
        <w:ind w:firstLine="424" w:firstLineChars="202"/>
        <w:textAlignment w:val="auto"/>
        <w:rPr>
          <w:rFonts w:hAnsi="宋体"/>
          <w:color w:val="auto"/>
          <w:sz w:val="21"/>
          <w:highlight w:val="none"/>
        </w:rPr>
      </w:pPr>
      <w:r>
        <w:rPr>
          <w:rFonts w:hint="eastAsia" w:hAnsi="宋体"/>
          <w:color w:val="auto"/>
          <w:sz w:val="21"/>
          <w:highlight w:val="none"/>
        </w:rPr>
        <w:t>项目联系人</w:t>
      </w:r>
      <w:r>
        <w:rPr>
          <w:rFonts w:hint="eastAsia" w:hAnsi="宋体"/>
          <w:color w:val="auto"/>
          <w:sz w:val="21"/>
          <w:highlight w:val="none"/>
          <w:lang w:eastAsia="zh-CN"/>
        </w:rPr>
        <w:t>：</w:t>
      </w:r>
      <w:r>
        <w:rPr>
          <w:rFonts w:hint="eastAsia" w:hAnsi="宋体"/>
          <w:color w:val="auto"/>
          <w:sz w:val="21"/>
          <w:highlight w:val="none"/>
        </w:rPr>
        <w:t>廖欣蕾、陈燕英</w:t>
      </w:r>
    </w:p>
    <w:p w14:paraId="1F569235">
      <w:pPr>
        <w:keepNext w:val="0"/>
        <w:keepLines w:val="0"/>
        <w:pageBreakBefore w:val="0"/>
        <w:kinsoku/>
        <w:wordWrap/>
        <w:overflowPunct/>
        <w:topLinePunct w:val="0"/>
        <w:bidi w:val="0"/>
        <w:spacing w:line="340" w:lineRule="atLeast"/>
        <w:ind w:firstLine="424" w:firstLineChars="202"/>
        <w:textAlignment w:val="auto"/>
        <w:rPr>
          <w:rFonts w:ascii="宋体" w:hAnsi="宋体"/>
          <w:color w:val="auto"/>
          <w:szCs w:val="21"/>
          <w:highlight w:val="none"/>
        </w:rPr>
      </w:pPr>
      <w:r>
        <w:rPr>
          <w:rFonts w:hint="eastAsia" w:ascii="宋体" w:hAnsi="宋体"/>
          <w:color w:val="auto"/>
          <w:szCs w:val="21"/>
          <w:highlight w:val="none"/>
        </w:rPr>
        <w:t>电话：0771-5776251</w:t>
      </w:r>
    </w:p>
    <w:p w14:paraId="36F0E494">
      <w:pPr>
        <w:pStyle w:val="2"/>
        <w:keepNext w:val="0"/>
        <w:keepLines w:val="0"/>
        <w:pageBreakBefore w:val="0"/>
        <w:tabs>
          <w:tab w:val="left" w:pos="0"/>
          <w:tab w:val="left" w:pos="3165"/>
          <w:tab w:val="center" w:pos="4153"/>
        </w:tabs>
        <w:kinsoku/>
        <w:wordWrap/>
        <w:overflowPunct/>
        <w:topLinePunct w:val="0"/>
        <w:autoSpaceDE w:val="0"/>
        <w:autoSpaceDN w:val="0"/>
        <w:bidi w:val="0"/>
        <w:adjustRightInd w:val="0"/>
        <w:spacing w:before="0" w:after="0" w:line="340" w:lineRule="atLeast"/>
        <w:jc w:val="both"/>
        <w:textAlignment w:val="auto"/>
        <w:rPr>
          <w:rFonts w:hint="eastAsia" w:ascii="仿宋_GB2312" w:hAnsi="宋体" w:eastAsia="仿宋_GB2312"/>
          <w:color w:val="auto"/>
          <w:sz w:val="24"/>
          <w:szCs w:val="20"/>
          <w:highlight w:val="none"/>
        </w:rPr>
      </w:pPr>
    </w:p>
    <w:p w14:paraId="07DEEF43">
      <w:pPr>
        <w:pStyle w:val="2"/>
        <w:keepNext w:val="0"/>
        <w:keepLines w:val="0"/>
        <w:pageBreakBefore w:val="0"/>
        <w:tabs>
          <w:tab w:val="left" w:pos="0"/>
          <w:tab w:val="left" w:pos="3165"/>
          <w:tab w:val="center" w:pos="4153"/>
        </w:tabs>
        <w:kinsoku/>
        <w:wordWrap/>
        <w:overflowPunct/>
        <w:topLinePunct w:val="0"/>
        <w:autoSpaceDE w:val="0"/>
        <w:autoSpaceDN w:val="0"/>
        <w:bidi w:val="0"/>
        <w:adjustRightInd w:val="0"/>
        <w:spacing w:before="0" w:after="0" w:line="340" w:lineRule="atLeast"/>
        <w:jc w:val="righ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广西中信恒泰工程顾问有限公司　</w:t>
      </w:r>
    </w:p>
    <w:p w14:paraId="244F8B33">
      <w:pPr>
        <w:pStyle w:val="2"/>
        <w:keepNext w:val="0"/>
        <w:keepLines w:val="0"/>
        <w:pageBreakBefore w:val="0"/>
        <w:tabs>
          <w:tab w:val="left" w:pos="0"/>
          <w:tab w:val="left" w:pos="3165"/>
          <w:tab w:val="center" w:pos="4153"/>
        </w:tabs>
        <w:kinsoku/>
        <w:wordWrap/>
        <w:overflowPunct/>
        <w:topLinePunct w:val="0"/>
        <w:autoSpaceDE w:val="0"/>
        <w:autoSpaceDN w:val="0"/>
        <w:bidi w:val="0"/>
        <w:adjustRightInd w:val="0"/>
        <w:spacing w:before="0" w:after="0" w:line="340" w:lineRule="atLeast"/>
        <w:jc w:val="righ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2026年</w:t>
      </w:r>
      <w:r>
        <w:rPr>
          <w:rFonts w:hint="eastAsia" w:ascii="宋体" w:hAnsi="宋体" w:cs="宋体"/>
          <w:b w:val="0"/>
          <w:bCs w:val="0"/>
          <w:color w:val="auto"/>
          <w:kern w:val="0"/>
          <w:sz w:val="21"/>
          <w:szCs w:val="21"/>
          <w:highlight w:val="none"/>
          <w:lang w:val="en-US" w:eastAsia="zh-CN" w:bidi="ar-SA"/>
        </w:rPr>
        <w:t>5</w:t>
      </w:r>
      <w:r>
        <w:rPr>
          <w:rFonts w:hint="eastAsia" w:ascii="宋体" w:hAnsi="宋体" w:eastAsia="宋体" w:cs="宋体"/>
          <w:b w:val="0"/>
          <w:bCs w:val="0"/>
          <w:color w:val="auto"/>
          <w:kern w:val="0"/>
          <w:sz w:val="21"/>
          <w:szCs w:val="21"/>
          <w:highlight w:val="none"/>
          <w:lang w:val="en-US" w:eastAsia="zh-CN" w:bidi="ar-SA"/>
        </w:rPr>
        <w:t>月</w:t>
      </w:r>
      <w:r>
        <w:rPr>
          <w:rFonts w:hint="eastAsia" w:ascii="宋体" w:hAnsi="宋体" w:cs="宋体"/>
          <w:b w:val="0"/>
          <w:bCs w:val="0"/>
          <w:color w:val="auto"/>
          <w:kern w:val="0"/>
          <w:sz w:val="21"/>
          <w:szCs w:val="21"/>
          <w:highlight w:val="none"/>
          <w:lang w:val="en-US" w:eastAsia="zh-CN" w:bidi="ar-SA"/>
        </w:rPr>
        <w:t>9</w:t>
      </w:r>
      <w:r>
        <w:rPr>
          <w:rFonts w:hint="eastAsia" w:ascii="宋体" w:hAnsi="宋体" w:eastAsia="宋体" w:cs="宋体"/>
          <w:b w:val="0"/>
          <w:bCs w:val="0"/>
          <w:color w:val="auto"/>
          <w:kern w:val="0"/>
          <w:sz w:val="21"/>
          <w:szCs w:val="21"/>
          <w:highlight w:val="none"/>
          <w:lang w:val="en-US" w:eastAsia="zh-CN" w:bidi="ar-SA"/>
        </w:rPr>
        <w:t>日</w:t>
      </w:r>
    </w:p>
    <w:p w14:paraId="760A7703">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pPr>
      <w:r>
        <w:rPr>
          <w:rFonts w:ascii="仿宋_GB2312" w:hAnsi="宋体" w:eastAsia="仿宋_GB2312"/>
          <w:color w:val="auto"/>
          <w:sz w:val="24"/>
          <w:szCs w:val="20"/>
          <w:highlight w:val="none"/>
        </w:rPr>
        <w:br w:type="page"/>
      </w:r>
      <w:bookmarkStart w:id="43" w:name="_Toc19607"/>
      <w:bookmarkStart w:id="44" w:name="_Toc15987"/>
      <w:r>
        <w:rPr>
          <w:rFonts w:hint="eastAsia"/>
          <w:color w:val="auto"/>
          <w:highlight w:val="none"/>
        </w:rPr>
        <w:t>第二章 采购需求</w:t>
      </w:r>
      <w:bookmarkEnd w:id="43"/>
      <w:bookmarkEnd w:id="44"/>
    </w:p>
    <w:p w14:paraId="02F508EF">
      <w:pPr>
        <w:spacing w:line="360" w:lineRule="auto"/>
        <w:jc w:val="left"/>
        <w:rPr>
          <w:rFonts w:hint="eastAsia" w:ascii="宋体" w:hAnsi="宋体" w:cs="宋体"/>
          <w:color w:val="auto"/>
          <w:szCs w:val="21"/>
          <w:highlight w:val="none"/>
        </w:rPr>
      </w:pPr>
      <w:bookmarkStart w:id="45" w:name="_Toc254970631"/>
      <w:bookmarkStart w:id="46" w:name="_Toc254970490"/>
    </w:p>
    <w:p w14:paraId="47FBF6CD">
      <w:pPr>
        <w:spacing w:before="120" w:beforeLines="50" w:after="120" w:afterLines="50"/>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 xml:space="preserve"> 采 购 需 求</w:t>
      </w:r>
    </w:p>
    <w:p w14:paraId="7DDD40FF">
      <w:pPr>
        <w:spacing w:before="240" w:beforeLines="100" w:after="240" w:afterLines="100"/>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256D8AFD">
      <w:pPr>
        <w:spacing w:before="240" w:beforeLines="100" w:after="240" w:afterLines="100"/>
        <w:ind w:firstLine="420" w:firstLineChars="200"/>
        <w:jc w:val="left"/>
        <w:rPr>
          <w:rFonts w:hint="eastAsia" w:ascii="宋体" w:hAnsi="宋体" w:cs="宋体"/>
          <w:color w:val="auto"/>
          <w:szCs w:val="21"/>
          <w:highlight w:val="none"/>
        </w:rPr>
      </w:pPr>
      <w:r>
        <w:rPr>
          <w:rFonts w:hint="eastAsia" w:ascii="宋体" w:hAnsi="宋体"/>
          <w:color w:val="auto"/>
          <w:szCs w:val="21"/>
          <w:highlight w:val="none"/>
        </w:rPr>
        <w:t>1.为落实政府采购政策需满足的要求</w:t>
      </w:r>
    </w:p>
    <w:p w14:paraId="2D524724">
      <w:pPr>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（1）本招标文件（以下或简称为“采购文件”）所称中小企业必须符合《政府采购促进中小企业发展管理办法》（财库〔2020〕46号）的规定。</w:t>
      </w:r>
    </w:p>
    <w:p w14:paraId="68C2B5DF">
      <w:pPr>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复印件（加盖投标人电子签章），</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。如本项目包含的货物属于品目清单内非标注“★”的产品时，应优先采购，具体详见“第四章 评标方法及评标标准”。</w:t>
      </w:r>
    </w:p>
    <w:p w14:paraId="260896F5">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A2546F5">
      <w:pPr>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（4）根据《关于调整网络安全专用产品安全管理有关事项的公告》（2023年</w:t>
      </w:r>
      <w:r>
        <w:rPr>
          <w:rFonts w:hint="eastAsia" w:ascii="宋体" w:hAnsi="宋体" w:cs="宋体"/>
          <w:color w:val="auto"/>
          <w:szCs w:val="21"/>
          <w:highlight w:val="none"/>
          <w:lang w:val="en-US" w:eastAsia="zh-CN"/>
        </w:rPr>
        <w:t>第</w:t>
      </w:r>
      <w:r>
        <w:rPr>
          <w:rFonts w:hint="eastAsia" w:ascii="宋体" w:hAnsi="宋体" w:cs="宋体"/>
          <w:color w:val="auto"/>
          <w:szCs w:val="21"/>
          <w:highlight w:val="none"/>
        </w:rPr>
        <w:t>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w:t>
      </w:r>
      <w:r>
        <w:rPr>
          <w:rFonts w:hint="eastAsia" w:ascii="宋体" w:hAnsi="宋体" w:cs="宋体"/>
          <w:b/>
          <w:color w:val="auto"/>
          <w:szCs w:val="21"/>
          <w:highlight w:val="none"/>
        </w:rPr>
        <w:t>不在《网络关键设备和网络安全专用产品安全认证和安全检测结果》中或不在有效期内的，按无效投标处理</w:t>
      </w:r>
      <w:r>
        <w:rPr>
          <w:rFonts w:hint="eastAsia" w:ascii="宋体" w:hAnsi="宋体" w:cs="宋体"/>
          <w:color w:val="auto"/>
          <w:szCs w:val="21"/>
          <w:highlight w:val="none"/>
        </w:rPr>
        <w:t>。如属于《网络关键设备和网络安全专用产品目录》中“二、网络安全专用产品”内“产品类别”中的所描述的产品，但不属于所列“产品描述”情形的，应提供相应的说明及证明材料。</w:t>
      </w:r>
    </w:p>
    <w:p w14:paraId="48D3FCB7">
      <w:pPr>
        <w:spacing w:before="240" w:beforeLines="100" w:after="240" w:afterLines="100"/>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71A0C18D">
      <w:pPr>
        <w:spacing w:before="240" w:beforeLines="100" w:after="240" w:afterLines="100"/>
        <w:ind w:firstLine="402" w:firstLineChars="202"/>
        <w:jc w:val="left"/>
        <w:rPr>
          <w:rFonts w:ascii="宋体" w:hAnsi="宋体" w:cs="宋体"/>
          <w:b/>
          <w:color w:val="auto"/>
          <w:szCs w:val="21"/>
          <w:highlight w:val="none"/>
        </w:rPr>
      </w:pPr>
      <w:r>
        <w:rPr>
          <w:rFonts w:hint="eastAsia" w:ascii="宋体" w:hAnsi="宋体" w:cs="宋体"/>
          <w:b/>
          <w:color w:val="auto"/>
          <w:spacing w:val="-6"/>
          <w:szCs w:val="21"/>
          <w:highlight w:val="none"/>
        </w:rPr>
        <w:t>本项目“技术需求及要求”及“商务要求”中凡标注“▲”的条款或要求，投标人不响应或不满足的，投标文件即作无效处理；其他标注“▲”的事项或说明，投标人投标文件不符合要求的即作无效处理。</w:t>
      </w:r>
    </w:p>
    <w:p w14:paraId="16AE7645">
      <w:pPr>
        <w:spacing w:line="40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采购需求中如出现的品牌、型号或者生产厂家仅起参考作用，不属于指定品牌、型号或者生产厂家的情形。投标人可参照或者选用其他相当的品牌、型号或者生产厂家替代，但选用的投标产品参数性能必须满足实质性要求。</w:t>
      </w:r>
    </w:p>
    <w:p w14:paraId="04CC93F6">
      <w:pPr>
        <w:spacing w:before="240" w:beforeLines="100" w:after="240" w:afterLines="100"/>
        <w:ind w:firstLine="424" w:firstLineChars="202"/>
        <w:jc w:val="left"/>
        <w:rPr>
          <w:rFonts w:ascii="宋体" w:hAnsi="宋体" w:cs="宋体"/>
          <w:color w:val="auto"/>
          <w:szCs w:val="21"/>
          <w:highlight w:val="none"/>
        </w:rPr>
      </w:pPr>
    </w:p>
    <w:p w14:paraId="3EA4B992">
      <w:pPr>
        <w:spacing w:before="240" w:beforeLines="100" w:after="240" w:afterLines="100"/>
        <w:ind w:firstLine="424" w:firstLineChars="202"/>
        <w:jc w:val="left"/>
        <w:rPr>
          <w:rFonts w:ascii="宋体" w:hAnsi="宋体"/>
          <w:color w:val="auto"/>
          <w:szCs w:val="21"/>
          <w:highlight w:val="none"/>
        </w:rPr>
      </w:pPr>
      <w:r>
        <w:rPr>
          <w:rFonts w:hint="eastAsia" w:ascii="宋体" w:hAnsi="宋体" w:cs="宋体"/>
          <w:color w:val="auto"/>
          <w:szCs w:val="21"/>
          <w:highlight w:val="none"/>
        </w:rPr>
        <w:t>4.</w:t>
      </w:r>
      <w:r>
        <w:rPr>
          <w:rFonts w:hint="eastAsia" w:ascii="宋体" w:hAnsi="宋体"/>
          <w:color w:val="auto"/>
          <w:szCs w:val="21"/>
          <w:highlight w:val="none"/>
        </w:rPr>
        <w:t>投标人必须自行为其投标产品侵犯他人的知识产权或者专利成果的行为承担相应法律责任。</w:t>
      </w:r>
    </w:p>
    <w:p w14:paraId="36C9D198">
      <w:pPr>
        <w:pStyle w:val="18"/>
        <w:spacing w:before="240" w:beforeLines="100" w:after="240" w:afterLines="100" w:line="240" w:lineRule="auto"/>
        <w:ind w:firstLine="420" w:firstLineChars="200"/>
        <w:rPr>
          <w:rFonts w:hint="eastAsia" w:ascii="宋体" w:hAnsi="宋体"/>
          <w:b/>
          <w:bCs/>
          <w:color w:val="auto"/>
          <w:sz w:val="21"/>
          <w:szCs w:val="21"/>
          <w:highlight w:val="none"/>
          <w:u w:val="single"/>
        </w:rPr>
      </w:pPr>
      <w:r>
        <w:rPr>
          <w:rFonts w:hint="eastAsia" w:ascii="宋体" w:hAnsi="宋体"/>
          <w:color w:val="auto"/>
          <w:sz w:val="21"/>
          <w:szCs w:val="21"/>
          <w:highlight w:val="none"/>
        </w:rPr>
        <w:t>7.所属行业依照《中小企业划型标准规定》（工信部联企业〔2011〕300号）及《国民经济行业分类》（GB/T4754-2017）的有关规定执行。</w:t>
      </w:r>
    </w:p>
    <w:p w14:paraId="70A3E02E">
      <w:pPr>
        <w:pStyle w:val="18"/>
        <w:spacing w:line="400" w:lineRule="exact"/>
        <w:ind w:firstLine="420" w:firstLineChars="200"/>
        <w:rPr>
          <w:rFonts w:hint="eastAsia" w:ascii="宋体" w:hAnsi="宋体"/>
          <w:b w:val="0"/>
          <w:bCs/>
          <w:color w:val="auto"/>
          <w:sz w:val="21"/>
          <w:szCs w:val="21"/>
          <w:highlight w:val="none"/>
        </w:rPr>
      </w:pPr>
      <w:r>
        <w:rPr>
          <w:rFonts w:hint="eastAsia" w:ascii="宋体" w:hAnsi="宋体"/>
          <w:b w:val="0"/>
          <w:bCs/>
          <w:color w:val="auto"/>
          <w:kern w:val="2"/>
          <w:sz w:val="21"/>
          <w:szCs w:val="21"/>
          <w:highlight w:val="none"/>
        </w:rPr>
        <w:t>6.</w:t>
      </w:r>
      <w:r>
        <w:rPr>
          <w:rFonts w:hint="eastAsia" w:ascii="宋体" w:hAnsi="宋体"/>
          <w:b w:val="0"/>
          <w:bCs/>
          <w:color w:val="auto"/>
          <w:kern w:val="2"/>
          <w:sz w:val="21"/>
          <w:szCs w:val="21"/>
          <w:highlight w:val="none"/>
          <w:u w:val="single"/>
        </w:rPr>
        <w:t>投标人对所投产品的技术指标应做到真实响应，如发现有虚假应标情形的，除投标无效外，还将报财政监管部门处理。投标人提供假冒伪劣产品的，将依照政府采购法第七十七条第一款的规定追究法律责任。</w:t>
      </w:r>
    </w:p>
    <w:p w14:paraId="65CE0372">
      <w:pPr>
        <w:pStyle w:val="18"/>
        <w:spacing w:before="240" w:beforeLines="100" w:after="240" w:afterLines="100" w:line="240" w:lineRule="auto"/>
        <w:ind w:firstLine="420" w:firstLineChars="200"/>
        <w:rPr>
          <w:rFonts w:ascii="宋体" w:hAnsi="宋体"/>
          <w:b/>
          <w:color w:val="auto"/>
          <w:kern w:val="2"/>
          <w:sz w:val="21"/>
          <w:szCs w:val="21"/>
          <w:highlight w:val="none"/>
          <w:u w:val="single"/>
        </w:rPr>
      </w:pPr>
      <w:r>
        <w:rPr>
          <w:rFonts w:hint="eastAsia" w:ascii="宋体" w:hAnsi="宋体"/>
          <w:color w:val="auto"/>
          <w:kern w:val="2"/>
          <w:sz w:val="21"/>
          <w:szCs w:val="21"/>
          <w:highlight w:val="none"/>
          <w:lang w:val="en-US" w:eastAsia="zh-CN"/>
        </w:rPr>
        <w:t>7</w:t>
      </w:r>
      <w:r>
        <w:rPr>
          <w:rFonts w:hint="eastAsia" w:ascii="宋体" w:hAnsi="宋体"/>
          <w:color w:val="auto"/>
          <w:kern w:val="2"/>
          <w:sz w:val="21"/>
          <w:szCs w:val="21"/>
          <w:highlight w:val="none"/>
        </w:rPr>
        <w:t>.</w:t>
      </w:r>
      <w:r>
        <w:rPr>
          <w:rFonts w:hint="eastAsia" w:ascii="宋体" w:hAnsi="宋体"/>
          <w:b/>
          <w:color w:val="auto"/>
          <w:kern w:val="2"/>
          <w:sz w:val="21"/>
          <w:szCs w:val="21"/>
          <w:highlight w:val="none"/>
          <w:u w:val="single"/>
        </w:rPr>
        <w:t>本项目采购需求表中如有要求提供证明文件、材料或承诺书，请在《技术要求偏离表》或《商务要求偏离表》中应答，并同时注明相关文件材料或承诺书在投标文件中放置的所在页码。</w:t>
      </w:r>
    </w:p>
    <w:p w14:paraId="0E712226">
      <w:pPr>
        <w:pStyle w:val="18"/>
        <w:spacing w:before="240" w:beforeLines="100" w:after="240" w:afterLines="100" w:line="240" w:lineRule="auto"/>
        <w:ind w:firstLine="422" w:firstLineChars="200"/>
        <w:rPr>
          <w:rFonts w:hint="eastAsia" w:ascii="宋体" w:hAnsi="宋体"/>
          <w:b/>
          <w:color w:val="auto"/>
          <w:kern w:val="2"/>
          <w:sz w:val="21"/>
          <w:szCs w:val="21"/>
          <w:highlight w:val="none"/>
          <w:u w:val="single"/>
        </w:rPr>
      </w:pPr>
      <w:r>
        <w:rPr>
          <w:rFonts w:hint="eastAsia" w:ascii="宋体" w:hAnsi="宋体"/>
          <w:b/>
          <w:color w:val="auto"/>
          <w:kern w:val="2"/>
          <w:sz w:val="21"/>
          <w:szCs w:val="21"/>
          <w:highlight w:val="none"/>
          <w:u w:val="single"/>
          <w:lang w:val="en-US" w:eastAsia="zh-CN"/>
        </w:rPr>
        <w:t>8</w:t>
      </w:r>
      <w:r>
        <w:rPr>
          <w:rFonts w:hint="eastAsia" w:ascii="宋体" w:hAnsi="宋体"/>
          <w:b/>
          <w:color w:val="auto"/>
          <w:kern w:val="2"/>
          <w:sz w:val="21"/>
          <w:szCs w:val="21"/>
          <w:highlight w:val="none"/>
          <w:u w:val="single"/>
        </w:rPr>
        <w:t>.为确保供货的及时性，投标人均可参与各标的、各分标的投标，但对同一标的不同分标的，一个投标人只能中其中一个分标；若某投标人有两个（或两个以上）分标综合评分最高，则优先推荐成为预算金额较大分标的为第一中标候选人；各标的之间则不受此限制。若进入详评的投标人个数少于分标个数时，则按此循环，可累计中标。</w:t>
      </w:r>
    </w:p>
    <w:p w14:paraId="4D8E9F14">
      <w:pPr>
        <w:pStyle w:val="18"/>
        <w:spacing w:before="240" w:beforeLines="100" w:after="240" w:afterLines="100" w:line="240" w:lineRule="auto"/>
        <w:ind w:firstLine="480" w:firstLineChars="200"/>
        <w:rPr>
          <w:b w:val="0"/>
          <w:bCs/>
          <w:color w:val="auto"/>
          <w:highlight w:val="none"/>
        </w:rPr>
      </w:pPr>
      <w:r>
        <w:rPr>
          <w:rFonts w:hint="eastAsia" w:ascii="宋体" w:hAnsi="宋体"/>
          <w:b w:val="0"/>
          <w:bCs/>
          <w:color w:val="auto"/>
          <w:szCs w:val="21"/>
          <w:highlight w:val="none"/>
          <w:lang w:val="en-US" w:eastAsia="zh-CN"/>
        </w:rPr>
        <w:t>9</w:t>
      </w:r>
      <w:r>
        <w:rPr>
          <w:rFonts w:hint="eastAsia" w:ascii="宋体" w:hAnsi="宋体"/>
          <w:b w:val="0"/>
          <w:bCs/>
          <w:color w:val="auto"/>
          <w:szCs w:val="21"/>
          <w:highlight w:val="none"/>
        </w:rPr>
        <w:t>.</w:t>
      </w:r>
      <w:r>
        <w:rPr>
          <w:rFonts w:hint="eastAsia" w:ascii="宋体" w:hAnsi="宋体" w:cs="宋体"/>
          <w:b w:val="0"/>
          <w:bCs/>
          <w:color w:val="auto"/>
          <w:kern w:val="0"/>
          <w:sz w:val="20"/>
          <w:szCs w:val="20"/>
          <w:highlight w:val="none"/>
          <w:lang w:bidi="ar"/>
        </w:rPr>
        <w:t>采购标的对应的中小企业划分标准所属行业名称：工业。（行业名称及划分见本章附件 ）</w:t>
      </w:r>
    </w:p>
    <w:p w14:paraId="1AF16415">
      <w:pPr>
        <w:pStyle w:val="18"/>
        <w:spacing w:before="240" w:beforeLines="100" w:after="240" w:afterLines="100" w:line="240" w:lineRule="auto"/>
        <w:rPr>
          <w:rFonts w:ascii="宋体" w:hAnsi="宋体"/>
          <w:bCs/>
          <w:color w:val="auto"/>
          <w:kern w:val="2"/>
          <w:sz w:val="21"/>
          <w:szCs w:val="21"/>
          <w:highlight w:val="none"/>
        </w:rPr>
      </w:pPr>
    </w:p>
    <w:p w14:paraId="00E8BB25">
      <w:pPr>
        <w:rPr>
          <w:rFonts w:hint="eastAsia" w:ascii="宋体" w:hAnsi="宋体"/>
          <w:b/>
          <w:bCs/>
          <w:color w:val="auto"/>
          <w:sz w:val="24"/>
          <w:highlight w:val="none"/>
          <w:u w:val="single"/>
        </w:rPr>
      </w:pPr>
      <w:r>
        <w:rPr>
          <w:rFonts w:hint="eastAsia" w:ascii="宋体" w:hAnsi="宋体"/>
          <w:b/>
          <w:bCs/>
          <w:color w:val="auto"/>
          <w:highlight w:val="none"/>
          <w:u w:val="single"/>
        </w:rPr>
        <w:br w:type="page"/>
      </w:r>
      <w:r>
        <w:rPr>
          <w:rFonts w:hint="eastAsia" w:ascii="宋体" w:hAnsi="宋体"/>
          <w:b/>
          <w:bCs/>
          <w:color w:val="auto"/>
          <w:sz w:val="24"/>
          <w:highlight w:val="none"/>
          <w:u w:val="single"/>
        </w:rPr>
        <w:t xml:space="preserve">A1 - A4  </w:t>
      </w:r>
      <w:r>
        <w:rPr>
          <w:rFonts w:hint="eastAsia" w:ascii="宋体" w:hAnsi="宋体"/>
          <w:b/>
          <w:bCs/>
          <w:color w:val="auto"/>
          <w:sz w:val="24"/>
          <w:highlight w:val="none"/>
        </w:rPr>
        <w:t xml:space="preserve">分标     </w:t>
      </w:r>
      <w:r>
        <w:rPr>
          <w:rFonts w:hint="eastAsia" w:ascii="宋体" w:hAnsi="宋体" w:cs="宋体"/>
          <w:b/>
          <w:color w:val="auto"/>
          <w:sz w:val="24"/>
          <w:highlight w:val="none"/>
        </w:rPr>
        <w:t>标的名称：</w:t>
      </w:r>
      <w:r>
        <w:rPr>
          <w:rFonts w:hint="eastAsia" w:ascii="宋体" w:hAnsi="宋体"/>
          <w:b/>
          <w:bCs/>
          <w:color w:val="auto"/>
          <w:sz w:val="24"/>
          <w:highlight w:val="none"/>
          <w:u w:val="single"/>
        </w:rPr>
        <w:t xml:space="preserve">猪口蹄疫O型灭活疫苗 </w:t>
      </w:r>
    </w:p>
    <w:tbl>
      <w:tblPr>
        <w:tblStyle w:val="49"/>
        <w:tblpPr w:leftFromText="180" w:rightFromText="180" w:vertAnchor="text" w:horzAnchor="page" w:tblpX="1139" w:tblpY="203"/>
        <w:tblOverlap w:val="never"/>
        <w:tblW w:w="53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6"/>
        <w:gridCol w:w="889"/>
        <w:gridCol w:w="920"/>
        <w:gridCol w:w="1007"/>
        <w:gridCol w:w="1328"/>
        <w:gridCol w:w="4688"/>
      </w:tblGrid>
      <w:tr w14:paraId="0BE4E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24" w:type="pct"/>
            <w:noWrap w:val="0"/>
            <w:vAlign w:val="center"/>
          </w:tcPr>
          <w:p w14:paraId="79663799">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50" w:type="pct"/>
            <w:noWrap w:val="0"/>
            <w:vAlign w:val="center"/>
          </w:tcPr>
          <w:p w14:paraId="5EEE8983">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5E0E8B61">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466" w:type="pct"/>
            <w:tcBorders>
              <w:left w:val="single" w:color="auto" w:sz="4" w:space="0"/>
            </w:tcBorders>
            <w:noWrap w:val="0"/>
            <w:vAlign w:val="center"/>
          </w:tcPr>
          <w:p w14:paraId="43746C4F">
            <w:pPr>
              <w:snapToGrid w:val="0"/>
              <w:jc w:val="center"/>
              <w:rPr>
                <w:rFonts w:ascii="宋体" w:hAnsi="宋体" w:cs="Arial"/>
                <w:b/>
                <w:color w:val="auto"/>
                <w:szCs w:val="21"/>
                <w:highlight w:val="none"/>
              </w:rPr>
            </w:pPr>
            <w:r>
              <w:rPr>
                <w:rFonts w:hint="eastAsia" w:ascii="宋体" w:hAnsi="宋体" w:cs="Arial"/>
                <w:b/>
                <w:color w:val="auto"/>
                <w:szCs w:val="21"/>
                <w:highlight w:val="none"/>
              </w:rPr>
              <w:t>数量及单位</w:t>
            </w:r>
          </w:p>
        </w:tc>
        <w:tc>
          <w:tcPr>
            <w:tcW w:w="510" w:type="pct"/>
            <w:tcBorders>
              <w:left w:val="single" w:color="auto" w:sz="4" w:space="0"/>
            </w:tcBorders>
            <w:noWrap w:val="0"/>
            <w:vAlign w:val="center"/>
          </w:tcPr>
          <w:p w14:paraId="11459B10">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6B74F791">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（万元）</w:t>
            </w:r>
          </w:p>
        </w:tc>
        <w:tc>
          <w:tcPr>
            <w:tcW w:w="672" w:type="pct"/>
            <w:tcBorders>
              <w:left w:val="single" w:color="auto" w:sz="4" w:space="0"/>
            </w:tcBorders>
            <w:noWrap w:val="0"/>
            <w:vAlign w:val="center"/>
          </w:tcPr>
          <w:p w14:paraId="6BE20B5E">
            <w:pPr>
              <w:snapToGrid w:val="0"/>
              <w:jc w:val="center"/>
              <w:rPr>
                <w:rFonts w:hint="eastAsia" w:ascii="宋体" w:hAnsi="宋体" w:cs="Arial"/>
                <w:b/>
                <w:color w:val="auto"/>
                <w:szCs w:val="21"/>
                <w:highlight w:val="none"/>
              </w:rPr>
            </w:pPr>
            <w:r>
              <w:rPr>
                <w:rFonts w:hint="eastAsia" w:ascii="宋体" w:hAnsi="宋体" w:cs="宋体"/>
                <w:b/>
                <w:color w:val="auto"/>
                <w:szCs w:val="21"/>
                <w:highlight w:val="none"/>
              </w:rPr>
              <w:t>分标最高限价（万元）</w:t>
            </w:r>
          </w:p>
        </w:tc>
        <w:tc>
          <w:tcPr>
            <w:tcW w:w="2375" w:type="pct"/>
            <w:noWrap w:val="0"/>
            <w:vAlign w:val="center"/>
          </w:tcPr>
          <w:p w14:paraId="75626D50">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3FAFD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524" w:type="pct"/>
            <w:noWrap w:val="0"/>
            <w:vAlign w:val="center"/>
          </w:tcPr>
          <w:p w14:paraId="2520965C">
            <w:pPr>
              <w:snapToGrid w:val="0"/>
              <w:jc w:val="center"/>
              <w:rPr>
                <w:rFonts w:hint="eastAsia" w:ascii="宋体" w:hAnsi="宋体"/>
                <w:color w:val="auto"/>
                <w:szCs w:val="21"/>
                <w:highlight w:val="none"/>
              </w:rPr>
            </w:pPr>
            <w:r>
              <w:rPr>
                <w:rFonts w:hint="eastAsia" w:ascii="宋体" w:hAnsi="宋体" w:cs="Arial"/>
                <w:color w:val="auto"/>
                <w:szCs w:val="21"/>
                <w:highlight w:val="none"/>
              </w:rPr>
              <w:t>A1分标</w:t>
            </w:r>
          </w:p>
        </w:tc>
        <w:tc>
          <w:tcPr>
            <w:tcW w:w="450" w:type="pct"/>
            <w:vMerge w:val="restart"/>
            <w:noWrap w:val="0"/>
            <w:vAlign w:val="center"/>
          </w:tcPr>
          <w:p w14:paraId="13D9CFDC">
            <w:pPr>
              <w:jc w:val="center"/>
              <w:textAlignment w:val="center"/>
              <w:rPr>
                <w:rFonts w:ascii="宋体" w:hAnsi="宋体" w:cs="宋体"/>
                <w:color w:val="auto"/>
                <w:szCs w:val="21"/>
                <w:highlight w:val="none"/>
              </w:rPr>
            </w:pPr>
            <w:r>
              <w:rPr>
                <w:rFonts w:hint="eastAsia" w:ascii="宋体" w:hAnsi="宋体"/>
                <w:color w:val="auto"/>
                <w:szCs w:val="21"/>
                <w:highlight w:val="none"/>
              </w:rPr>
              <w:t>猪口蹄疫O型灭活疫苗</w:t>
            </w:r>
          </w:p>
        </w:tc>
        <w:tc>
          <w:tcPr>
            <w:tcW w:w="466" w:type="pct"/>
            <w:tcBorders>
              <w:left w:val="single" w:color="auto" w:sz="4" w:space="0"/>
              <w:bottom w:val="single" w:color="auto" w:sz="4" w:space="0"/>
            </w:tcBorders>
            <w:noWrap w:val="0"/>
            <w:vAlign w:val="center"/>
          </w:tcPr>
          <w:p w14:paraId="6F31C926">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1000</w:t>
            </w:r>
          </w:p>
          <w:p w14:paraId="4B81D5FB">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10" w:type="pct"/>
            <w:tcBorders>
              <w:left w:val="single" w:color="auto" w:sz="4" w:space="0"/>
              <w:bottom w:val="single" w:color="auto" w:sz="4" w:space="0"/>
            </w:tcBorders>
            <w:noWrap w:val="0"/>
            <w:vAlign w:val="center"/>
          </w:tcPr>
          <w:p w14:paraId="4FFD60DE">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72" w:type="pct"/>
            <w:tcBorders>
              <w:left w:val="single" w:color="auto" w:sz="4" w:space="0"/>
              <w:bottom w:val="single" w:color="auto" w:sz="4" w:space="0"/>
            </w:tcBorders>
            <w:noWrap w:val="0"/>
            <w:vAlign w:val="center"/>
          </w:tcPr>
          <w:p w14:paraId="58B4EFEA">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600.00</w:t>
            </w:r>
          </w:p>
        </w:tc>
        <w:tc>
          <w:tcPr>
            <w:tcW w:w="2375" w:type="pct"/>
            <w:vMerge w:val="restart"/>
            <w:noWrap w:val="0"/>
            <w:vAlign w:val="center"/>
          </w:tcPr>
          <w:p w14:paraId="178991E6">
            <w:pPr>
              <w:widowControl/>
              <w:textAlignment w:val="center"/>
              <w:rPr>
                <w:rFonts w:hint="eastAsia" w:ascii="宋体" w:hAnsi="宋体" w:cs="宋体"/>
                <w:color w:val="auto"/>
                <w:kern w:val="2"/>
                <w:sz w:val="21"/>
                <w:szCs w:val="21"/>
                <w:highlight w:val="none"/>
                <w:lang w:val="en-US" w:eastAsia="zh-CN" w:bidi="ar-SA"/>
              </w:rPr>
            </w:pPr>
            <w:r>
              <w:rPr>
                <w:rFonts w:hint="eastAsia" w:ascii="宋体" w:hAnsi="宋体"/>
                <w:color w:val="auto"/>
                <w:szCs w:val="21"/>
                <w:highlight w:val="none"/>
              </w:rPr>
              <w:t>1.</w:t>
            </w:r>
            <w:r>
              <w:rPr>
                <w:rFonts w:hint="eastAsia" w:ascii="宋体" w:hAnsi="宋体"/>
                <w:color w:val="auto"/>
                <w:szCs w:val="21"/>
                <w:highlight w:val="none"/>
                <w:lang w:val="en-US" w:eastAsia="zh-CN"/>
              </w:rPr>
              <w:t>将</w:t>
            </w:r>
            <w:r>
              <w:rPr>
                <w:rFonts w:hint="eastAsia" w:ascii="宋体" w:hAnsi="宋体"/>
                <w:color w:val="auto"/>
                <w:szCs w:val="21"/>
                <w:highlight w:val="none"/>
              </w:rPr>
              <w:t>口蹄疫O型猪源病毒疫苗毒株接种</w:t>
            </w:r>
            <w:r>
              <w:rPr>
                <w:rFonts w:hint="eastAsia" w:ascii="宋体" w:hAnsi="宋体"/>
                <w:color w:val="auto"/>
                <w:szCs w:val="21"/>
                <w:highlight w:val="none"/>
                <w:lang w:val="en-US" w:eastAsia="zh-CN"/>
              </w:rPr>
              <w:t>敏感</w:t>
            </w:r>
            <w:r>
              <w:rPr>
                <w:rFonts w:hint="eastAsia" w:ascii="宋体" w:hAnsi="宋体"/>
                <w:color w:val="auto"/>
                <w:szCs w:val="21"/>
                <w:highlight w:val="none"/>
              </w:rPr>
              <w:t>细胞培养</w:t>
            </w:r>
            <w:r>
              <w:rPr>
                <w:rFonts w:hint="eastAsia" w:ascii="宋体" w:hAnsi="宋体"/>
                <w:color w:val="auto"/>
                <w:szCs w:val="21"/>
                <w:highlight w:val="none"/>
                <w:lang w:eastAsia="zh-CN"/>
              </w:rPr>
              <w:t>，</w:t>
            </w:r>
            <w:r>
              <w:rPr>
                <w:rFonts w:hint="eastAsia" w:ascii="宋体" w:hAnsi="宋体"/>
                <w:color w:val="auto"/>
                <w:szCs w:val="21"/>
                <w:highlight w:val="none"/>
              </w:rPr>
              <w:t>收获细胞培养物，经BEI灭活后，加206或201佐剂混合乳化制成。</w:t>
            </w:r>
            <w:r>
              <w:rPr>
                <w:rFonts w:hint="eastAsia" w:ascii="宋体" w:hAnsi="宋体"/>
                <w:color w:val="auto"/>
                <w:szCs w:val="21"/>
                <w:highlight w:val="none"/>
              </w:rPr>
              <w:br w:type="textWrapping"/>
            </w:r>
            <w:r>
              <w:rPr>
                <w:rFonts w:hint="eastAsia" w:ascii="宋体" w:hAnsi="宋体"/>
                <w:color w:val="auto"/>
                <w:szCs w:val="21"/>
                <w:highlight w:val="none"/>
              </w:rPr>
              <w:t>2.规格：100ml/瓶或50ml/瓶。</w:t>
            </w:r>
            <w:r>
              <w:rPr>
                <w:rFonts w:hint="eastAsia" w:ascii="宋体" w:hAnsi="宋体"/>
                <w:color w:val="auto"/>
                <w:szCs w:val="21"/>
                <w:highlight w:val="none"/>
              </w:rPr>
              <w:br w:type="textWrapping"/>
            </w:r>
            <w:r>
              <w:rPr>
                <w:rFonts w:hint="eastAsia" w:ascii="宋体" w:hAnsi="宋体"/>
                <w:color w:val="auto"/>
                <w:szCs w:val="21"/>
                <w:highlight w:val="none"/>
              </w:rPr>
              <w:t>3.外观、剂型、粘度、稳定性、安全性、效价、保护期、包装等符合国家兽用生物制品规程要求。</w:t>
            </w:r>
            <w:r>
              <w:rPr>
                <w:rFonts w:hint="eastAsia" w:ascii="宋体" w:hAnsi="宋体"/>
                <w:color w:val="auto"/>
                <w:szCs w:val="21"/>
                <w:highlight w:val="none"/>
              </w:rPr>
              <w:br w:type="textWrapping"/>
            </w:r>
            <w:r>
              <w:rPr>
                <w:rFonts w:hint="eastAsia" w:ascii="宋体" w:hAnsi="宋体"/>
                <w:color w:val="auto"/>
                <w:szCs w:val="21"/>
                <w:highlight w:val="none"/>
              </w:rPr>
              <w:t>4.在2～8℃保存，有效期（疫苗完成生产之日起计算）为12个月或以上。</w:t>
            </w:r>
          </w:p>
        </w:tc>
      </w:tr>
      <w:tr w14:paraId="57D90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524" w:type="pct"/>
            <w:noWrap w:val="0"/>
            <w:vAlign w:val="center"/>
          </w:tcPr>
          <w:p w14:paraId="3BBF1FEA">
            <w:pPr>
              <w:snapToGrid w:val="0"/>
              <w:jc w:val="center"/>
              <w:rPr>
                <w:rFonts w:hint="eastAsia" w:ascii="宋体" w:hAnsi="宋体"/>
                <w:color w:val="auto"/>
                <w:szCs w:val="21"/>
                <w:highlight w:val="none"/>
              </w:rPr>
            </w:pPr>
            <w:r>
              <w:rPr>
                <w:rFonts w:hint="eastAsia" w:ascii="宋体" w:hAnsi="宋体" w:cs="Arial"/>
                <w:color w:val="auto"/>
                <w:szCs w:val="21"/>
                <w:highlight w:val="none"/>
              </w:rPr>
              <w:t>A2分标</w:t>
            </w:r>
          </w:p>
        </w:tc>
        <w:tc>
          <w:tcPr>
            <w:tcW w:w="450" w:type="pct"/>
            <w:vMerge w:val="continue"/>
            <w:noWrap w:val="0"/>
            <w:vAlign w:val="center"/>
          </w:tcPr>
          <w:p w14:paraId="4BF0ED81">
            <w:pPr>
              <w:jc w:val="center"/>
              <w:textAlignment w:val="center"/>
              <w:rPr>
                <w:rFonts w:ascii="宋体" w:hAnsi="宋体" w:cs="宋体"/>
                <w:color w:val="auto"/>
                <w:szCs w:val="21"/>
                <w:highlight w:val="none"/>
              </w:rPr>
            </w:pPr>
          </w:p>
        </w:tc>
        <w:tc>
          <w:tcPr>
            <w:tcW w:w="466" w:type="pct"/>
            <w:tcBorders>
              <w:left w:val="single" w:color="auto" w:sz="4" w:space="0"/>
              <w:bottom w:val="single" w:color="auto" w:sz="4" w:space="0"/>
            </w:tcBorders>
            <w:noWrap w:val="0"/>
            <w:vAlign w:val="center"/>
          </w:tcPr>
          <w:p w14:paraId="25C1D6B1">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800</w:t>
            </w:r>
          </w:p>
          <w:p w14:paraId="52BD49CC">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10" w:type="pct"/>
            <w:tcBorders>
              <w:left w:val="single" w:color="auto" w:sz="4" w:space="0"/>
              <w:bottom w:val="single" w:color="auto" w:sz="4" w:space="0"/>
            </w:tcBorders>
            <w:noWrap w:val="0"/>
            <w:vAlign w:val="center"/>
          </w:tcPr>
          <w:p w14:paraId="33A9BA91">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72" w:type="pct"/>
            <w:tcBorders>
              <w:left w:val="single" w:color="auto" w:sz="4" w:space="0"/>
              <w:bottom w:val="single" w:color="auto" w:sz="4" w:space="0"/>
            </w:tcBorders>
            <w:noWrap w:val="0"/>
            <w:vAlign w:val="center"/>
          </w:tcPr>
          <w:p w14:paraId="4DF7DDCB">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480.00</w:t>
            </w:r>
          </w:p>
        </w:tc>
        <w:tc>
          <w:tcPr>
            <w:tcW w:w="2375" w:type="pct"/>
            <w:vMerge w:val="continue"/>
            <w:noWrap w:val="0"/>
            <w:vAlign w:val="center"/>
          </w:tcPr>
          <w:p w14:paraId="51DAA05A">
            <w:pPr>
              <w:textAlignment w:val="center"/>
              <w:rPr>
                <w:rFonts w:hint="eastAsia" w:ascii="宋体" w:hAnsi="宋体" w:cs="宋体"/>
                <w:color w:val="auto"/>
                <w:szCs w:val="21"/>
                <w:highlight w:val="none"/>
              </w:rPr>
            </w:pPr>
          </w:p>
        </w:tc>
      </w:tr>
      <w:tr w14:paraId="63673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524" w:type="pct"/>
            <w:noWrap w:val="0"/>
            <w:vAlign w:val="center"/>
          </w:tcPr>
          <w:p w14:paraId="1BA0A5D8">
            <w:pPr>
              <w:snapToGrid w:val="0"/>
              <w:jc w:val="center"/>
              <w:rPr>
                <w:rFonts w:hint="eastAsia" w:ascii="宋体" w:hAnsi="宋体"/>
                <w:color w:val="auto"/>
                <w:szCs w:val="21"/>
                <w:highlight w:val="none"/>
              </w:rPr>
            </w:pPr>
            <w:r>
              <w:rPr>
                <w:rFonts w:hint="eastAsia" w:ascii="宋体" w:hAnsi="宋体" w:cs="Arial"/>
                <w:color w:val="auto"/>
                <w:szCs w:val="21"/>
                <w:highlight w:val="none"/>
              </w:rPr>
              <w:t>A3分标</w:t>
            </w:r>
          </w:p>
        </w:tc>
        <w:tc>
          <w:tcPr>
            <w:tcW w:w="450" w:type="pct"/>
            <w:vMerge w:val="continue"/>
            <w:noWrap w:val="0"/>
            <w:vAlign w:val="center"/>
          </w:tcPr>
          <w:p w14:paraId="0AFD84DE">
            <w:pPr>
              <w:jc w:val="center"/>
              <w:textAlignment w:val="center"/>
              <w:rPr>
                <w:rFonts w:ascii="宋体" w:hAnsi="宋体" w:cs="宋体"/>
                <w:color w:val="auto"/>
                <w:szCs w:val="21"/>
                <w:highlight w:val="none"/>
              </w:rPr>
            </w:pPr>
          </w:p>
        </w:tc>
        <w:tc>
          <w:tcPr>
            <w:tcW w:w="466" w:type="pct"/>
            <w:tcBorders>
              <w:left w:val="single" w:color="auto" w:sz="4" w:space="0"/>
              <w:bottom w:val="single" w:color="auto" w:sz="4" w:space="0"/>
            </w:tcBorders>
            <w:noWrap w:val="0"/>
            <w:vAlign w:val="center"/>
          </w:tcPr>
          <w:p w14:paraId="283EB90E">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600</w:t>
            </w:r>
          </w:p>
          <w:p w14:paraId="57D260A6">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10" w:type="pct"/>
            <w:tcBorders>
              <w:left w:val="single" w:color="auto" w:sz="4" w:space="0"/>
              <w:bottom w:val="single" w:color="auto" w:sz="4" w:space="0"/>
            </w:tcBorders>
            <w:noWrap w:val="0"/>
            <w:vAlign w:val="center"/>
          </w:tcPr>
          <w:p w14:paraId="5CDB6222">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72" w:type="pct"/>
            <w:tcBorders>
              <w:left w:val="single" w:color="auto" w:sz="4" w:space="0"/>
              <w:bottom w:val="single" w:color="auto" w:sz="4" w:space="0"/>
            </w:tcBorders>
            <w:noWrap w:val="0"/>
            <w:vAlign w:val="center"/>
          </w:tcPr>
          <w:p w14:paraId="68BC5957">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360.00</w:t>
            </w:r>
          </w:p>
        </w:tc>
        <w:tc>
          <w:tcPr>
            <w:tcW w:w="2375" w:type="pct"/>
            <w:vMerge w:val="continue"/>
            <w:noWrap w:val="0"/>
            <w:vAlign w:val="center"/>
          </w:tcPr>
          <w:p w14:paraId="73379801">
            <w:pPr>
              <w:textAlignment w:val="center"/>
              <w:rPr>
                <w:rFonts w:hint="eastAsia" w:ascii="宋体" w:hAnsi="宋体" w:cs="宋体"/>
                <w:color w:val="auto"/>
                <w:szCs w:val="21"/>
                <w:highlight w:val="none"/>
              </w:rPr>
            </w:pPr>
          </w:p>
        </w:tc>
      </w:tr>
      <w:tr w14:paraId="6D256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4" w:type="pct"/>
            <w:noWrap w:val="0"/>
            <w:vAlign w:val="center"/>
          </w:tcPr>
          <w:p w14:paraId="6FF47D8F">
            <w:pPr>
              <w:snapToGrid w:val="0"/>
              <w:jc w:val="center"/>
              <w:rPr>
                <w:rFonts w:hint="eastAsia" w:ascii="宋体" w:hAnsi="宋体"/>
                <w:color w:val="auto"/>
                <w:szCs w:val="21"/>
                <w:highlight w:val="none"/>
              </w:rPr>
            </w:pPr>
            <w:r>
              <w:rPr>
                <w:rFonts w:hint="eastAsia" w:ascii="宋体" w:hAnsi="宋体" w:cs="Arial"/>
                <w:color w:val="auto"/>
                <w:szCs w:val="21"/>
                <w:highlight w:val="none"/>
              </w:rPr>
              <w:t>A4分标</w:t>
            </w:r>
          </w:p>
        </w:tc>
        <w:tc>
          <w:tcPr>
            <w:tcW w:w="450" w:type="pct"/>
            <w:vMerge w:val="continue"/>
            <w:tcBorders>
              <w:bottom w:val="single" w:color="auto" w:sz="4" w:space="0"/>
            </w:tcBorders>
            <w:noWrap w:val="0"/>
            <w:vAlign w:val="center"/>
          </w:tcPr>
          <w:p w14:paraId="216682A2">
            <w:pPr>
              <w:jc w:val="center"/>
              <w:textAlignment w:val="center"/>
              <w:rPr>
                <w:rFonts w:ascii="宋体" w:hAnsi="宋体" w:cs="宋体"/>
                <w:color w:val="auto"/>
                <w:szCs w:val="21"/>
                <w:highlight w:val="none"/>
              </w:rPr>
            </w:pPr>
          </w:p>
        </w:tc>
        <w:tc>
          <w:tcPr>
            <w:tcW w:w="466" w:type="pct"/>
            <w:tcBorders>
              <w:left w:val="single" w:color="auto" w:sz="4" w:space="0"/>
              <w:bottom w:val="single" w:color="auto" w:sz="4" w:space="0"/>
            </w:tcBorders>
            <w:noWrap w:val="0"/>
            <w:vAlign w:val="center"/>
          </w:tcPr>
          <w:p w14:paraId="0A81F6DE">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500</w:t>
            </w:r>
          </w:p>
          <w:p w14:paraId="74726095">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万毫升</w:t>
            </w:r>
          </w:p>
        </w:tc>
        <w:tc>
          <w:tcPr>
            <w:tcW w:w="510" w:type="pct"/>
            <w:tcBorders>
              <w:left w:val="single" w:color="auto" w:sz="4" w:space="0"/>
              <w:bottom w:val="single" w:color="auto" w:sz="4" w:space="0"/>
            </w:tcBorders>
            <w:noWrap w:val="0"/>
            <w:vAlign w:val="center"/>
          </w:tcPr>
          <w:p w14:paraId="031052B8">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0.60</w:t>
            </w:r>
          </w:p>
        </w:tc>
        <w:tc>
          <w:tcPr>
            <w:tcW w:w="672" w:type="pct"/>
            <w:tcBorders>
              <w:left w:val="single" w:color="auto" w:sz="4" w:space="0"/>
              <w:bottom w:val="single" w:color="auto" w:sz="4" w:space="0"/>
            </w:tcBorders>
            <w:noWrap w:val="0"/>
            <w:vAlign w:val="center"/>
          </w:tcPr>
          <w:p w14:paraId="6EA96CC4">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300.00</w:t>
            </w:r>
          </w:p>
        </w:tc>
        <w:tc>
          <w:tcPr>
            <w:tcW w:w="2375" w:type="pct"/>
            <w:vMerge w:val="continue"/>
            <w:tcBorders>
              <w:bottom w:val="single" w:color="auto" w:sz="4" w:space="0"/>
            </w:tcBorders>
            <w:noWrap w:val="0"/>
            <w:vAlign w:val="center"/>
          </w:tcPr>
          <w:p w14:paraId="680FED81">
            <w:pPr>
              <w:textAlignment w:val="center"/>
              <w:rPr>
                <w:rFonts w:hint="eastAsia" w:ascii="宋体" w:hAnsi="宋体" w:cs="宋体"/>
                <w:color w:val="auto"/>
                <w:szCs w:val="21"/>
                <w:highlight w:val="none"/>
              </w:rPr>
            </w:pPr>
          </w:p>
        </w:tc>
      </w:tr>
    </w:tbl>
    <w:p w14:paraId="4C23754C">
      <w:pPr>
        <w:rPr>
          <w:rFonts w:hint="eastAsia" w:ascii="宋体" w:hAnsi="宋体"/>
          <w:b/>
          <w:bCs/>
          <w:color w:val="auto"/>
          <w:szCs w:val="21"/>
          <w:highlight w:val="none"/>
        </w:rPr>
      </w:pPr>
    </w:p>
    <w:p w14:paraId="5E21486D">
      <w:pPr>
        <w:rPr>
          <w:rFonts w:hint="eastAsia" w:ascii="宋体" w:hAnsi="宋体"/>
          <w:b/>
          <w:bCs/>
          <w:color w:val="auto"/>
          <w:szCs w:val="21"/>
          <w:highlight w:val="none"/>
          <w:u w:val="single"/>
        </w:rPr>
      </w:pPr>
      <w:r>
        <w:rPr>
          <w:rFonts w:hint="eastAsia" w:ascii="宋体" w:hAnsi="宋体"/>
          <w:b/>
          <w:bCs/>
          <w:color w:val="auto"/>
          <w:szCs w:val="21"/>
          <w:highlight w:val="none"/>
          <w:u w:val="single"/>
        </w:rPr>
        <w:t xml:space="preserve">B </w:t>
      </w:r>
      <w:r>
        <w:rPr>
          <w:rFonts w:hint="eastAsia" w:ascii="宋体" w:hAnsi="宋体"/>
          <w:b/>
          <w:bCs/>
          <w:color w:val="auto"/>
          <w:szCs w:val="21"/>
          <w:highlight w:val="none"/>
        </w:rPr>
        <w:t>分标    标的名称：</w:t>
      </w:r>
      <w:r>
        <w:rPr>
          <w:rFonts w:hint="eastAsia" w:ascii="宋体" w:hAnsi="宋体"/>
          <w:b/>
          <w:bCs/>
          <w:color w:val="auto"/>
          <w:szCs w:val="21"/>
          <w:highlight w:val="none"/>
          <w:u w:val="single"/>
        </w:rPr>
        <w:t>猪口蹄疫O型合成肽疫苗</w:t>
      </w:r>
    </w:p>
    <w:tbl>
      <w:tblPr>
        <w:tblStyle w:val="49"/>
        <w:tblW w:w="53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9"/>
        <w:gridCol w:w="966"/>
        <w:gridCol w:w="897"/>
        <w:gridCol w:w="1031"/>
        <w:gridCol w:w="1336"/>
        <w:gridCol w:w="4660"/>
      </w:tblGrid>
      <w:tr w14:paraId="2A67C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7" w:type="pct"/>
            <w:noWrap w:val="0"/>
            <w:vAlign w:val="center"/>
          </w:tcPr>
          <w:p w14:paraId="674D43F9">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91" w:type="pct"/>
            <w:noWrap w:val="0"/>
            <w:vAlign w:val="center"/>
          </w:tcPr>
          <w:p w14:paraId="3FC20072">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5CD6D9A9">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456" w:type="pct"/>
            <w:tcBorders>
              <w:right w:val="single" w:color="auto" w:sz="4" w:space="0"/>
            </w:tcBorders>
            <w:noWrap w:val="0"/>
            <w:vAlign w:val="center"/>
          </w:tcPr>
          <w:p w14:paraId="2673A5C2">
            <w:pPr>
              <w:snapToGrid w:val="0"/>
              <w:jc w:val="center"/>
              <w:rPr>
                <w:rFonts w:ascii="宋体" w:hAnsi="宋体" w:cs="宋体"/>
                <w:b/>
                <w:color w:val="auto"/>
                <w:szCs w:val="21"/>
                <w:highlight w:val="none"/>
              </w:rPr>
            </w:pPr>
            <w:r>
              <w:rPr>
                <w:rFonts w:hint="eastAsia" w:ascii="宋体" w:hAnsi="宋体" w:cs="Arial"/>
                <w:b/>
                <w:color w:val="auto"/>
                <w:szCs w:val="21"/>
                <w:highlight w:val="none"/>
              </w:rPr>
              <w:t>数量及单位</w:t>
            </w:r>
          </w:p>
        </w:tc>
        <w:tc>
          <w:tcPr>
            <w:tcW w:w="524" w:type="pct"/>
            <w:tcBorders>
              <w:right w:val="single" w:color="auto" w:sz="4" w:space="0"/>
            </w:tcBorders>
            <w:noWrap w:val="0"/>
            <w:vAlign w:val="center"/>
          </w:tcPr>
          <w:p w14:paraId="099867A2">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65897B78">
            <w:pPr>
              <w:snapToGrid w:val="0"/>
              <w:jc w:val="center"/>
              <w:rPr>
                <w:rFonts w:hint="eastAsia" w:ascii="宋体" w:hAnsi="宋体" w:cs="宋体"/>
                <w:b/>
                <w:color w:val="auto"/>
                <w:szCs w:val="21"/>
                <w:highlight w:val="none"/>
              </w:rPr>
            </w:pPr>
            <w:r>
              <w:rPr>
                <w:rFonts w:hint="eastAsia" w:ascii="宋体" w:hAnsi="宋体" w:cs="Arial"/>
                <w:b/>
                <w:color w:val="auto"/>
                <w:szCs w:val="21"/>
                <w:highlight w:val="none"/>
              </w:rPr>
              <w:t>（万元）</w:t>
            </w:r>
          </w:p>
        </w:tc>
        <w:tc>
          <w:tcPr>
            <w:tcW w:w="679" w:type="pct"/>
            <w:tcBorders>
              <w:left w:val="single" w:color="auto" w:sz="4" w:space="0"/>
            </w:tcBorders>
            <w:noWrap w:val="0"/>
            <w:vAlign w:val="center"/>
          </w:tcPr>
          <w:p w14:paraId="4E394B17">
            <w:pPr>
              <w:snapToGrid w:val="0"/>
              <w:jc w:val="center"/>
              <w:rPr>
                <w:rFonts w:hint="eastAsia" w:ascii="宋体" w:hAnsi="宋体" w:cs="宋体"/>
                <w:b/>
                <w:color w:val="auto"/>
                <w:szCs w:val="21"/>
                <w:highlight w:val="none"/>
              </w:rPr>
            </w:pPr>
            <w:r>
              <w:rPr>
                <w:rFonts w:hint="eastAsia" w:ascii="宋体" w:hAnsi="宋体" w:cs="宋体"/>
                <w:b/>
                <w:color w:val="auto"/>
                <w:szCs w:val="21"/>
                <w:highlight w:val="none"/>
              </w:rPr>
              <w:t>分标最高限价（万元）</w:t>
            </w:r>
          </w:p>
        </w:tc>
        <w:tc>
          <w:tcPr>
            <w:tcW w:w="2370" w:type="pct"/>
            <w:noWrap w:val="0"/>
            <w:vAlign w:val="center"/>
          </w:tcPr>
          <w:p w14:paraId="093D9155">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736C9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7" w:type="pct"/>
            <w:noWrap w:val="0"/>
            <w:vAlign w:val="center"/>
          </w:tcPr>
          <w:p w14:paraId="1CEE2199">
            <w:pPr>
              <w:snapToGrid w:val="0"/>
              <w:jc w:val="center"/>
              <w:rPr>
                <w:rFonts w:hint="eastAsia" w:ascii="宋体" w:hAnsi="宋体"/>
                <w:color w:val="auto"/>
                <w:szCs w:val="21"/>
                <w:highlight w:val="none"/>
              </w:rPr>
            </w:pPr>
            <w:r>
              <w:rPr>
                <w:rFonts w:hint="eastAsia" w:ascii="宋体" w:hAnsi="宋体" w:cs="Arial"/>
                <w:color w:val="auto"/>
                <w:szCs w:val="21"/>
                <w:highlight w:val="none"/>
              </w:rPr>
              <w:t>B分标</w:t>
            </w:r>
          </w:p>
        </w:tc>
        <w:tc>
          <w:tcPr>
            <w:tcW w:w="491" w:type="pct"/>
            <w:noWrap w:val="0"/>
            <w:vAlign w:val="center"/>
          </w:tcPr>
          <w:p w14:paraId="6ACECEF5">
            <w:pPr>
              <w:widowControl/>
              <w:jc w:val="center"/>
              <w:textAlignment w:val="center"/>
              <w:rPr>
                <w:rFonts w:ascii="宋体" w:hAnsi="宋体" w:cs="宋体"/>
                <w:color w:val="auto"/>
                <w:szCs w:val="21"/>
                <w:highlight w:val="none"/>
              </w:rPr>
            </w:pPr>
            <w:r>
              <w:rPr>
                <w:rFonts w:hint="eastAsia" w:ascii="宋体" w:hAnsi="宋体"/>
                <w:color w:val="auto"/>
                <w:szCs w:val="21"/>
                <w:highlight w:val="none"/>
              </w:rPr>
              <w:t>猪口蹄疫O型合成肽疫苗</w:t>
            </w:r>
          </w:p>
        </w:tc>
        <w:tc>
          <w:tcPr>
            <w:tcW w:w="456" w:type="pct"/>
            <w:tcBorders>
              <w:bottom w:val="single" w:color="auto" w:sz="4" w:space="0"/>
              <w:right w:val="single" w:color="auto" w:sz="4" w:space="0"/>
            </w:tcBorders>
            <w:noWrap w:val="0"/>
            <w:vAlign w:val="center"/>
          </w:tcPr>
          <w:p w14:paraId="6C45203D">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133.5</w:t>
            </w:r>
          </w:p>
          <w:p w14:paraId="4B8619E2">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万头份</w:t>
            </w:r>
          </w:p>
        </w:tc>
        <w:tc>
          <w:tcPr>
            <w:tcW w:w="524" w:type="pct"/>
            <w:tcBorders>
              <w:bottom w:val="single" w:color="auto" w:sz="4" w:space="0"/>
              <w:right w:val="single" w:color="auto" w:sz="4" w:space="0"/>
            </w:tcBorders>
            <w:noWrap w:val="0"/>
            <w:vAlign w:val="center"/>
          </w:tcPr>
          <w:p w14:paraId="64BF9F94">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1.20</w:t>
            </w:r>
          </w:p>
        </w:tc>
        <w:tc>
          <w:tcPr>
            <w:tcW w:w="679" w:type="pct"/>
            <w:tcBorders>
              <w:left w:val="single" w:color="auto" w:sz="4" w:space="0"/>
              <w:bottom w:val="single" w:color="auto" w:sz="4" w:space="0"/>
            </w:tcBorders>
            <w:noWrap w:val="0"/>
            <w:vAlign w:val="center"/>
          </w:tcPr>
          <w:p w14:paraId="6685ECE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160.20</w:t>
            </w:r>
          </w:p>
        </w:tc>
        <w:tc>
          <w:tcPr>
            <w:tcW w:w="2370" w:type="pct"/>
            <w:noWrap w:val="0"/>
            <w:vAlign w:val="center"/>
          </w:tcPr>
          <w:p w14:paraId="3F902CA5">
            <w:pPr>
              <w:widowControl/>
              <w:textAlignment w:val="center"/>
              <w:rPr>
                <w:rFonts w:hint="eastAsia" w:ascii="宋体" w:hAnsi="宋体" w:cs="宋体"/>
                <w:color w:val="auto"/>
                <w:szCs w:val="21"/>
                <w:highlight w:val="none"/>
              </w:rPr>
            </w:pPr>
            <w:r>
              <w:rPr>
                <w:rFonts w:hint="eastAsia" w:ascii="宋体" w:hAnsi="宋体"/>
                <w:color w:val="auto"/>
                <w:szCs w:val="21"/>
                <w:highlight w:val="none"/>
              </w:rPr>
              <w:t>1.将生物工程技术合成的猪口蹄疫O型病毒抗原多肽与50V佐剂混合乳化制成。</w:t>
            </w:r>
            <w:r>
              <w:rPr>
                <w:rFonts w:hint="eastAsia" w:ascii="宋体" w:hAnsi="宋体"/>
                <w:color w:val="auto"/>
                <w:szCs w:val="21"/>
                <w:highlight w:val="none"/>
              </w:rPr>
              <w:br w:type="textWrapping"/>
            </w:r>
            <w:r>
              <w:rPr>
                <w:rFonts w:hint="eastAsia" w:ascii="宋体" w:hAnsi="宋体"/>
                <w:color w:val="auto"/>
                <w:szCs w:val="21"/>
                <w:highlight w:val="none"/>
              </w:rPr>
              <w:t>2.规格：100ml/瓶或50ml/瓶。</w:t>
            </w:r>
            <w:r>
              <w:rPr>
                <w:rFonts w:hint="eastAsia" w:ascii="宋体" w:hAnsi="宋体"/>
                <w:color w:val="auto"/>
                <w:szCs w:val="21"/>
                <w:highlight w:val="none"/>
              </w:rPr>
              <w:br w:type="textWrapping"/>
            </w:r>
            <w:r>
              <w:rPr>
                <w:rFonts w:hint="eastAsia" w:ascii="宋体" w:hAnsi="宋体"/>
                <w:color w:val="auto"/>
                <w:szCs w:val="21"/>
                <w:highlight w:val="none"/>
              </w:rPr>
              <w:t>3.外观、剂型、粘度、稳定性、安全性、效价、保护期、包装等符合国家兽用生物制品规程要求。</w:t>
            </w:r>
            <w:r>
              <w:rPr>
                <w:rFonts w:hint="eastAsia" w:ascii="宋体" w:hAnsi="宋体"/>
                <w:color w:val="auto"/>
                <w:szCs w:val="21"/>
                <w:highlight w:val="none"/>
              </w:rPr>
              <w:br w:type="textWrapping"/>
            </w:r>
            <w:r>
              <w:rPr>
                <w:rFonts w:hint="eastAsia" w:ascii="宋体" w:hAnsi="宋体"/>
                <w:color w:val="auto"/>
                <w:szCs w:val="21"/>
                <w:highlight w:val="none"/>
              </w:rPr>
              <w:t>4.在2～8℃保存，有效期（疫苗完成生产之日起计算）为12个月或以上。</w:t>
            </w:r>
          </w:p>
        </w:tc>
      </w:tr>
    </w:tbl>
    <w:p w14:paraId="1BD44BA3">
      <w:pPr>
        <w:rPr>
          <w:rFonts w:hint="eastAsia" w:ascii="宋体" w:hAnsi="宋体"/>
          <w:b/>
          <w:bCs/>
          <w:color w:val="auto"/>
          <w:szCs w:val="21"/>
          <w:highlight w:val="none"/>
        </w:rPr>
      </w:pPr>
    </w:p>
    <w:p w14:paraId="0B9D71D3">
      <w:pPr>
        <w:rPr>
          <w:rFonts w:hint="eastAsia" w:ascii="宋体" w:hAnsi="宋体"/>
          <w:b/>
          <w:bCs/>
          <w:color w:val="auto"/>
          <w:szCs w:val="21"/>
          <w:highlight w:val="none"/>
          <w:u w:val="single"/>
        </w:rPr>
      </w:pPr>
      <w:r>
        <w:rPr>
          <w:rFonts w:hint="eastAsia" w:ascii="宋体" w:hAnsi="宋体"/>
          <w:b/>
          <w:bCs/>
          <w:color w:val="auto"/>
          <w:szCs w:val="21"/>
          <w:highlight w:val="none"/>
          <w:u w:val="single"/>
        </w:rPr>
        <w:t>C</w:t>
      </w:r>
      <w:r>
        <w:rPr>
          <w:rFonts w:hint="eastAsia" w:ascii="宋体" w:hAnsi="宋体"/>
          <w:b/>
          <w:bCs/>
          <w:color w:val="auto"/>
          <w:szCs w:val="21"/>
          <w:highlight w:val="none"/>
        </w:rPr>
        <w:t xml:space="preserve">分标     </w:t>
      </w:r>
      <w:r>
        <w:rPr>
          <w:rFonts w:hint="eastAsia" w:ascii="宋体" w:hAnsi="宋体" w:cs="宋体"/>
          <w:b/>
          <w:color w:val="auto"/>
          <w:szCs w:val="21"/>
          <w:highlight w:val="none"/>
        </w:rPr>
        <w:t>标的名称：</w:t>
      </w:r>
      <w:bookmarkStart w:id="47" w:name="OLE_LINK5"/>
      <w:r>
        <w:rPr>
          <w:rFonts w:hint="eastAsia" w:ascii="宋体" w:hAnsi="宋体"/>
          <w:b/>
          <w:bCs/>
          <w:color w:val="auto"/>
          <w:szCs w:val="21"/>
          <w:highlight w:val="none"/>
          <w:u w:val="single"/>
        </w:rPr>
        <w:t>猪口蹄疫O型合成肽疫苗</w:t>
      </w:r>
      <w:bookmarkEnd w:id="47"/>
      <w:r>
        <w:rPr>
          <w:rFonts w:hint="eastAsia" w:ascii="宋体" w:hAnsi="宋体"/>
          <w:b/>
          <w:bCs/>
          <w:color w:val="auto"/>
          <w:szCs w:val="21"/>
          <w:highlight w:val="none"/>
        </w:rPr>
        <w:t>或</w:t>
      </w:r>
      <w:r>
        <w:rPr>
          <w:rFonts w:hint="eastAsia" w:ascii="宋体" w:hAnsi="宋体"/>
          <w:b/>
          <w:bCs/>
          <w:color w:val="auto"/>
          <w:szCs w:val="21"/>
          <w:highlight w:val="none"/>
          <w:u w:val="single"/>
        </w:rPr>
        <w:t>猪口蹄疫O型病毒样颗粒疫苗</w:t>
      </w:r>
    </w:p>
    <w:tbl>
      <w:tblPr>
        <w:tblStyle w:val="49"/>
        <w:tblW w:w="53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963"/>
        <w:gridCol w:w="920"/>
        <w:gridCol w:w="1014"/>
        <w:gridCol w:w="1288"/>
        <w:gridCol w:w="4777"/>
      </w:tblGrid>
      <w:tr w14:paraId="10642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9" w:type="pct"/>
            <w:noWrap w:val="0"/>
            <w:vAlign w:val="center"/>
          </w:tcPr>
          <w:p w14:paraId="7379B949">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90" w:type="pct"/>
            <w:noWrap w:val="0"/>
            <w:vAlign w:val="center"/>
          </w:tcPr>
          <w:p w14:paraId="0CF4A860">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689B3962">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468" w:type="pct"/>
            <w:tcBorders>
              <w:right w:val="single" w:color="auto" w:sz="4" w:space="0"/>
            </w:tcBorders>
            <w:noWrap w:val="0"/>
            <w:vAlign w:val="center"/>
          </w:tcPr>
          <w:p w14:paraId="755D9888">
            <w:pPr>
              <w:snapToGrid w:val="0"/>
              <w:jc w:val="center"/>
              <w:rPr>
                <w:rFonts w:ascii="宋体" w:hAnsi="宋体" w:cs="宋体"/>
                <w:b/>
                <w:color w:val="auto"/>
                <w:szCs w:val="21"/>
                <w:highlight w:val="none"/>
              </w:rPr>
            </w:pPr>
            <w:r>
              <w:rPr>
                <w:rFonts w:hint="eastAsia" w:ascii="宋体" w:hAnsi="宋体" w:cs="Arial"/>
                <w:b/>
                <w:color w:val="auto"/>
                <w:szCs w:val="21"/>
                <w:highlight w:val="none"/>
              </w:rPr>
              <w:t>数量及单位</w:t>
            </w:r>
          </w:p>
        </w:tc>
        <w:tc>
          <w:tcPr>
            <w:tcW w:w="516" w:type="pct"/>
            <w:tcBorders>
              <w:right w:val="single" w:color="auto" w:sz="4" w:space="0"/>
            </w:tcBorders>
            <w:noWrap w:val="0"/>
            <w:vAlign w:val="center"/>
          </w:tcPr>
          <w:p w14:paraId="59F12206">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5FC1BDBF">
            <w:pPr>
              <w:snapToGrid w:val="0"/>
              <w:jc w:val="center"/>
              <w:rPr>
                <w:rFonts w:hint="eastAsia" w:ascii="宋体" w:hAnsi="宋体" w:cs="宋体"/>
                <w:b/>
                <w:color w:val="auto"/>
                <w:szCs w:val="21"/>
                <w:highlight w:val="none"/>
              </w:rPr>
            </w:pPr>
            <w:r>
              <w:rPr>
                <w:rFonts w:hint="eastAsia" w:ascii="宋体" w:hAnsi="宋体" w:cs="Arial"/>
                <w:b/>
                <w:color w:val="auto"/>
                <w:szCs w:val="21"/>
                <w:highlight w:val="none"/>
              </w:rPr>
              <w:t>（万元）</w:t>
            </w:r>
          </w:p>
        </w:tc>
        <w:tc>
          <w:tcPr>
            <w:tcW w:w="655" w:type="pct"/>
            <w:tcBorders>
              <w:left w:val="single" w:color="auto" w:sz="4" w:space="0"/>
            </w:tcBorders>
            <w:noWrap w:val="0"/>
            <w:vAlign w:val="center"/>
          </w:tcPr>
          <w:p w14:paraId="27B0BBEE">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分标最高限价（万元）</w:t>
            </w:r>
          </w:p>
        </w:tc>
        <w:tc>
          <w:tcPr>
            <w:tcW w:w="2430" w:type="pct"/>
            <w:noWrap w:val="0"/>
            <w:vAlign w:val="center"/>
          </w:tcPr>
          <w:p w14:paraId="62B4698B">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03A39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9" w:hRule="atLeast"/>
          <w:jc w:val="center"/>
        </w:trPr>
        <w:tc>
          <w:tcPr>
            <w:tcW w:w="439" w:type="pct"/>
            <w:noWrap w:val="0"/>
            <w:vAlign w:val="center"/>
          </w:tcPr>
          <w:p w14:paraId="2FD48EA1">
            <w:pPr>
              <w:snapToGrid w:val="0"/>
              <w:jc w:val="center"/>
              <w:rPr>
                <w:rFonts w:hint="eastAsia" w:ascii="宋体" w:hAnsi="宋体"/>
                <w:color w:val="auto"/>
                <w:szCs w:val="21"/>
                <w:highlight w:val="none"/>
              </w:rPr>
            </w:pPr>
            <w:r>
              <w:rPr>
                <w:rFonts w:hint="eastAsia" w:ascii="宋体" w:hAnsi="宋体" w:cs="Arial"/>
                <w:color w:val="auto"/>
                <w:szCs w:val="21"/>
                <w:highlight w:val="none"/>
              </w:rPr>
              <w:t>C分标</w:t>
            </w:r>
          </w:p>
        </w:tc>
        <w:tc>
          <w:tcPr>
            <w:tcW w:w="490" w:type="pct"/>
            <w:tcBorders>
              <w:bottom w:val="single" w:color="auto" w:sz="4" w:space="0"/>
            </w:tcBorders>
            <w:noWrap w:val="0"/>
            <w:vAlign w:val="center"/>
          </w:tcPr>
          <w:p w14:paraId="28C30742">
            <w:pPr>
              <w:snapToGrid w:val="0"/>
              <w:jc w:val="center"/>
              <w:rPr>
                <w:rFonts w:hint="eastAsia" w:ascii="宋体" w:hAnsi="宋体" w:cs="Arial"/>
                <w:color w:val="auto"/>
                <w:szCs w:val="21"/>
                <w:highlight w:val="none"/>
              </w:rPr>
            </w:pPr>
            <w:r>
              <w:rPr>
                <w:rFonts w:hint="eastAsia" w:ascii="宋体" w:hAnsi="宋体"/>
                <w:bCs/>
                <w:color w:val="auto"/>
                <w:szCs w:val="21"/>
                <w:highlight w:val="none"/>
              </w:rPr>
              <w:t>猪口蹄疫O型合成肽疫苗或</w:t>
            </w:r>
            <w:r>
              <w:rPr>
                <w:rFonts w:hint="eastAsia" w:ascii="宋体" w:hAnsi="宋体" w:cs="Arial"/>
                <w:color w:val="auto"/>
                <w:szCs w:val="21"/>
                <w:highlight w:val="none"/>
              </w:rPr>
              <w:t>猪口蹄疫O型病毒样颗粒疫苗</w:t>
            </w:r>
          </w:p>
        </w:tc>
        <w:tc>
          <w:tcPr>
            <w:tcW w:w="468" w:type="pct"/>
            <w:tcBorders>
              <w:bottom w:val="single" w:color="auto" w:sz="4" w:space="0"/>
              <w:right w:val="single" w:color="auto" w:sz="4" w:space="0"/>
            </w:tcBorders>
            <w:noWrap w:val="0"/>
            <w:vAlign w:val="center"/>
          </w:tcPr>
          <w:p w14:paraId="6E3A715C">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30</w:t>
            </w:r>
          </w:p>
          <w:p w14:paraId="132B9DEC">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万头份</w:t>
            </w:r>
          </w:p>
        </w:tc>
        <w:tc>
          <w:tcPr>
            <w:tcW w:w="516" w:type="pct"/>
            <w:tcBorders>
              <w:bottom w:val="single" w:color="auto" w:sz="4" w:space="0"/>
              <w:right w:val="single" w:color="auto" w:sz="4" w:space="0"/>
            </w:tcBorders>
            <w:noWrap w:val="0"/>
            <w:vAlign w:val="center"/>
          </w:tcPr>
          <w:p w14:paraId="66127C82">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1.20</w:t>
            </w:r>
          </w:p>
        </w:tc>
        <w:tc>
          <w:tcPr>
            <w:tcW w:w="655" w:type="pct"/>
            <w:tcBorders>
              <w:left w:val="single" w:color="auto" w:sz="4" w:space="0"/>
              <w:bottom w:val="single" w:color="auto" w:sz="4" w:space="0"/>
            </w:tcBorders>
            <w:noWrap w:val="0"/>
            <w:vAlign w:val="center"/>
          </w:tcPr>
          <w:p w14:paraId="1CD45342">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36.00</w:t>
            </w:r>
          </w:p>
        </w:tc>
        <w:tc>
          <w:tcPr>
            <w:tcW w:w="2430" w:type="pct"/>
            <w:tcBorders>
              <w:bottom w:val="single" w:color="auto" w:sz="4" w:space="0"/>
            </w:tcBorders>
            <w:noWrap w:val="0"/>
            <w:vAlign w:val="center"/>
          </w:tcPr>
          <w:p w14:paraId="64962C20">
            <w:pPr>
              <w:widowControl/>
              <w:textAlignment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1.将生物工程技术合成的猪口蹄疫O型病毒抗原多肽，或者用表达O型口蹄疫病毒多种结构蛋白经生物工程技术组装成口蹄疫病毒样颗粒，与50V或者用206佐剂混合乳化制成。</w:t>
            </w:r>
          </w:p>
          <w:p w14:paraId="37AA9052">
            <w:pPr>
              <w:widowControl/>
              <w:textAlignment w:val="center"/>
              <w:rPr>
                <w:rFonts w:hint="eastAsia" w:ascii="宋体" w:hAnsi="宋体"/>
                <w:color w:val="auto"/>
                <w:szCs w:val="21"/>
                <w:highlight w:val="none"/>
              </w:rPr>
            </w:pPr>
            <w:r>
              <w:rPr>
                <w:rFonts w:hint="eastAsia" w:ascii="宋体" w:hAnsi="宋体"/>
                <w:color w:val="auto"/>
                <w:szCs w:val="21"/>
                <w:highlight w:val="none"/>
              </w:rPr>
              <w:t>2.规格：100ml/瓶或50ml/瓶。猪口蹄疫O型合成肽疫苗</w:t>
            </w:r>
            <w:r>
              <w:rPr>
                <w:rFonts w:hint="eastAsia" w:ascii="宋体" w:hAnsi="宋体" w:cs="Arial"/>
                <w:color w:val="auto"/>
                <w:szCs w:val="21"/>
                <w:highlight w:val="none"/>
              </w:rPr>
              <w:t>1头</w:t>
            </w:r>
            <w:r>
              <w:rPr>
                <w:rFonts w:ascii="宋体" w:hAnsi="宋体" w:cs="Arial"/>
                <w:color w:val="auto"/>
                <w:szCs w:val="21"/>
                <w:highlight w:val="none"/>
              </w:rPr>
              <w:t>份</w:t>
            </w:r>
            <w:r>
              <w:rPr>
                <w:rFonts w:hint="eastAsia" w:ascii="宋体" w:hAnsi="宋体" w:cs="Arial"/>
                <w:color w:val="auto"/>
                <w:szCs w:val="21"/>
                <w:highlight w:val="none"/>
              </w:rPr>
              <w:t>/1毫升</w:t>
            </w:r>
            <w:r>
              <w:rPr>
                <w:rFonts w:hint="eastAsia" w:ascii="宋体" w:hAnsi="宋体"/>
                <w:color w:val="auto"/>
                <w:szCs w:val="21"/>
                <w:highlight w:val="none"/>
              </w:rPr>
              <w:t>，</w:t>
            </w:r>
            <w:r>
              <w:rPr>
                <w:rFonts w:hint="eastAsia" w:ascii="宋体" w:hAnsi="宋体" w:cs="Arial"/>
                <w:color w:val="auto"/>
                <w:szCs w:val="21"/>
                <w:highlight w:val="none"/>
              </w:rPr>
              <w:t>猪口蹄疫O型病毒样颗粒疫苗1头</w:t>
            </w:r>
            <w:r>
              <w:rPr>
                <w:rFonts w:ascii="宋体" w:hAnsi="宋体" w:cs="Arial"/>
                <w:color w:val="auto"/>
                <w:szCs w:val="21"/>
                <w:highlight w:val="none"/>
              </w:rPr>
              <w:t>份</w:t>
            </w:r>
            <w:r>
              <w:rPr>
                <w:rFonts w:hint="eastAsia" w:ascii="宋体" w:hAnsi="宋体" w:cs="Arial"/>
                <w:color w:val="auto"/>
                <w:szCs w:val="21"/>
                <w:highlight w:val="none"/>
              </w:rPr>
              <w:t>/2毫升。</w:t>
            </w:r>
          </w:p>
          <w:p w14:paraId="6F84CE19">
            <w:pPr>
              <w:widowControl/>
              <w:textAlignment w:val="center"/>
              <w:rPr>
                <w:rFonts w:hint="eastAsia" w:ascii="宋体" w:hAnsi="宋体"/>
                <w:color w:val="auto"/>
                <w:szCs w:val="21"/>
                <w:highlight w:val="none"/>
              </w:rPr>
            </w:pPr>
            <w:r>
              <w:rPr>
                <w:rFonts w:hint="eastAsia" w:ascii="宋体" w:hAnsi="宋体"/>
                <w:color w:val="auto"/>
                <w:szCs w:val="21"/>
                <w:highlight w:val="none"/>
              </w:rPr>
              <w:t>3.外观、剂型、粘度、稳定性、安全性、效价、保护期、包装等符合国家兽用生物制品规程要求。</w:t>
            </w:r>
          </w:p>
          <w:p w14:paraId="7994DD05">
            <w:pPr>
              <w:widowControl/>
              <w:textAlignment w:val="center"/>
              <w:rPr>
                <w:rFonts w:hint="eastAsia" w:ascii="宋体" w:hAnsi="宋体" w:cs="宋体"/>
                <w:color w:val="auto"/>
                <w:szCs w:val="21"/>
                <w:highlight w:val="none"/>
              </w:rPr>
            </w:pPr>
            <w:r>
              <w:rPr>
                <w:rFonts w:hint="eastAsia" w:ascii="宋体" w:hAnsi="宋体"/>
                <w:color w:val="auto"/>
                <w:szCs w:val="21"/>
                <w:highlight w:val="none"/>
              </w:rPr>
              <w:t>4.在2～8℃保存，有效期(疫苗完成生产之日起计算）为12个月或以上。</w:t>
            </w:r>
          </w:p>
        </w:tc>
      </w:tr>
    </w:tbl>
    <w:p w14:paraId="7820B453">
      <w:pPr>
        <w:ind w:left="119"/>
        <w:rPr>
          <w:rFonts w:ascii="宋体" w:hAnsi="宋体"/>
          <w:color w:val="auto"/>
          <w:szCs w:val="21"/>
          <w:highlight w:val="none"/>
        </w:rPr>
      </w:pPr>
    </w:p>
    <w:p w14:paraId="51CE11DB">
      <w:pPr>
        <w:rPr>
          <w:rFonts w:hint="eastAsia" w:ascii="宋体" w:hAnsi="宋体"/>
          <w:b/>
          <w:bCs/>
          <w:color w:val="auto"/>
          <w:szCs w:val="21"/>
          <w:highlight w:val="none"/>
        </w:rPr>
      </w:pPr>
      <w:r>
        <w:rPr>
          <w:rFonts w:hint="eastAsia" w:ascii="宋体" w:hAnsi="宋体"/>
          <w:b/>
          <w:bCs/>
          <w:color w:val="auto"/>
          <w:szCs w:val="21"/>
          <w:highlight w:val="none"/>
          <w:u w:val="single"/>
        </w:rPr>
        <w:t>D1-D2</w:t>
      </w:r>
      <w:r>
        <w:rPr>
          <w:rFonts w:hint="eastAsia" w:ascii="宋体" w:hAnsi="宋体"/>
          <w:b/>
          <w:bCs/>
          <w:color w:val="auto"/>
          <w:szCs w:val="21"/>
          <w:highlight w:val="none"/>
        </w:rPr>
        <w:t xml:space="preserve">分标     </w:t>
      </w:r>
      <w:r>
        <w:rPr>
          <w:rFonts w:hint="eastAsia" w:ascii="宋体" w:hAnsi="宋体" w:cs="宋体"/>
          <w:b/>
          <w:color w:val="auto"/>
          <w:szCs w:val="21"/>
          <w:highlight w:val="none"/>
        </w:rPr>
        <w:t>标的名称</w:t>
      </w:r>
      <w:r>
        <w:rPr>
          <w:rFonts w:hint="eastAsia" w:ascii="宋体" w:hAnsi="宋体"/>
          <w:b/>
          <w:bCs/>
          <w:color w:val="auto"/>
          <w:szCs w:val="21"/>
          <w:highlight w:val="none"/>
        </w:rPr>
        <w:t>：</w:t>
      </w:r>
      <w:r>
        <w:rPr>
          <w:rFonts w:hint="eastAsia" w:ascii="宋体" w:hAnsi="宋体"/>
          <w:b/>
          <w:bCs/>
          <w:color w:val="auto"/>
          <w:szCs w:val="21"/>
          <w:highlight w:val="none"/>
          <w:u w:val="single"/>
        </w:rPr>
        <w:t>小反刍兽疫弱毒活疫苗</w:t>
      </w:r>
    </w:p>
    <w:tbl>
      <w:tblPr>
        <w:tblStyle w:val="49"/>
        <w:tblW w:w="53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
        <w:gridCol w:w="879"/>
        <w:gridCol w:w="964"/>
        <w:gridCol w:w="978"/>
        <w:gridCol w:w="1329"/>
        <w:gridCol w:w="4841"/>
      </w:tblGrid>
      <w:tr w14:paraId="700C1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8" w:type="pct"/>
            <w:noWrap w:val="0"/>
            <w:vAlign w:val="center"/>
          </w:tcPr>
          <w:p w14:paraId="4F9B55AE">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分标号</w:t>
            </w:r>
          </w:p>
        </w:tc>
        <w:tc>
          <w:tcPr>
            <w:tcW w:w="444" w:type="pct"/>
            <w:noWrap w:val="0"/>
            <w:vAlign w:val="center"/>
          </w:tcPr>
          <w:p w14:paraId="785816BB">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标的</w:t>
            </w:r>
          </w:p>
          <w:p w14:paraId="73551DC3">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486" w:type="pct"/>
            <w:tcBorders>
              <w:right w:val="single" w:color="auto" w:sz="4" w:space="0"/>
            </w:tcBorders>
            <w:noWrap w:val="0"/>
            <w:vAlign w:val="center"/>
          </w:tcPr>
          <w:p w14:paraId="79BF44F0">
            <w:pPr>
              <w:snapToGrid w:val="0"/>
              <w:jc w:val="center"/>
              <w:rPr>
                <w:rFonts w:ascii="宋体" w:hAnsi="宋体" w:cs="宋体"/>
                <w:b/>
                <w:color w:val="auto"/>
                <w:szCs w:val="21"/>
                <w:highlight w:val="none"/>
              </w:rPr>
            </w:pPr>
            <w:r>
              <w:rPr>
                <w:rFonts w:hint="eastAsia" w:ascii="宋体" w:hAnsi="宋体" w:cs="Arial"/>
                <w:b/>
                <w:color w:val="auto"/>
                <w:szCs w:val="21"/>
                <w:highlight w:val="none"/>
              </w:rPr>
              <w:t>数量及单位</w:t>
            </w:r>
          </w:p>
        </w:tc>
        <w:tc>
          <w:tcPr>
            <w:tcW w:w="494" w:type="pct"/>
            <w:tcBorders>
              <w:right w:val="single" w:color="auto" w:sz="4" w:space="0"/>
            </w:tcBorders>
            <w:noWrap w:val="0"/>
            <w:vAlign w:val="center"/>
          </w:tcPr>
          <w:p w14:paraId="67AE1E87">
            <w:pPr>
              <w:snapToGrid w:val="0"/>
              <w:jc w:val="center"/>
              <w:rPr>
                <w:rFonts w:hint="eastAsia" w:ascii="宋体" w:hAnsi="宋体" w:cs="Arial"/>
                <w:b/>
                <w:color w:val="auto"/>
                <w:szCs w:val="21"/>
                <w:highlight w:val="none"/>
              </w:rPr>
            </w:pPr>
            <w:r>
              <w:rPr>
                <w:rFonts w:hint="eastAsia" w:ascii="宋体" w:hAnsi="宋体" w:cs="Arial"/>
                <w:b/>
                <w:color w:val="auto"/>
                <w:szCs w:val="21"/>
                <w:highlight w:val="none"/>
              </w:rPr>
              <w:t>单价</w:t>
            </w:r>
          </w:p>
          <w:p w14:paraId="1F32BB24">
            <w:pPr>
              <w:snapToGrid w:val="0"/>
              <w:jc w:val="center"/>
              <w:rPr>
                <w:rFonts w:hint="eastAsia" w:ascii="宋体" w:hAnsi="宋体" w:cs="宋体"/>
                <w:b/>
                <w:color w:val="auto"/>
                <w:szCs w:val="21"/>
                <w:highlight w:val="none"/>
              </w:rPr>
            </w:pPr>
            <w:r>
              <w:rPr>
                <w:rFonts w:hint="eastAsia" w:ascii="宋体" w:hAnsi="宋体" w:cs="Arial"/>
                <w:b/>
                <w:color w:val="auto"/>
                <w:szCs w:val="21"/>
                <w:highlight w:val="none"/>
              </w:rPr>
              <w:t>（万元）</w:t>
            </w:r>
          </w:p>
        </w:tc>
        <w:tc>
          <w:tcPr>
            <w:tcW w:w="671" w:type="pct"/>
            <w:tcBorders>
              <w:left w:val="single" w:color="auto" w:sz="4" w:space="0"/>
            </w:tcBorders>
            <w:noWrap w:val="0"/>
            <w:vAlign w:val="center"/>
          </w:tcPr>
          <w:p w14:paraId="7C139D42">
            <w:pPr>
              <w:tabs>
                <w:tab w:val="left" w:pos="180"/>
                <w:tab w:val="left" w:pos="1620"/>
              </w:tabs>
              <w:jc w:val="center"/>
              <w:rPr>
                <w:rFonts w:hint="eastAsia" w:ascii="宋体" w:hAnsi="宋体" w:cs="宋体"/>
                <w:b/>
                <w:color w:val="auto"/>
                <w:szCs w:val="21"/>
                <w:highlight w:val="none"/>
              </w:rPr>
            </w:pPr>
            <w:r>
              <w:rPr>
                <w:rFonts w:hint="eastAsia" w:ascii="宋体" w:hAnsi="宋体" w:cs="宋体"/>
                <w:b/>
                <w:color w:val="auto"/>
                <w:szCs w:val="21"/>
                <w:highlight w:val="none"/>
              </w:rPr>
              <w:t>分标最高限价（万元）</w:t>
            </w:r>
          </w:p>
        </w:tc>
        <w:tc>
          <w:tcPr>
            <w:tcW w:w="2445" w:type="pct"/>
            <w:noWrap w:val="0"/>
            <w:vAlign w:val="center"/>
          </w:tcPr>
          <w:p w14:paraId="41994709">
            <w:pPr>
              <w:tabs>
                <w:tab w:val="left" w:pos="180"/>
                <w:tab w:val="left" w:pos="1620"/>
              </w:tabs>
              <w:jc w:val="center"/>
              <w:rPr>
                <w:rFonts w:hint="eastAsia" w:ascii="宋体" w:hAnsi="宋体" w:cs="宋体"/>
                <w:b/>
                <w:color w:val="auto"/>
                <w:szCs w:val="21"/>
                <w:highlight w:val="none"/>
              </w:rPr>
            </w:pPr>
            <w:r>
              <w:rPr>
                <w:rFonts w:hint="eastAsia" w:ascii="宋体" w:hAnsi="宋体"/>
                <w:b/>
                <w:color w:val="auto"/>
                <w:szCs w:val="21"/>
                <w:highlight w:val="none"/>
              </w:rPr>
              <w:t>技术需求及要求</w:t>
            </w:r>
          </w:p>
        </w:tc>
      </w:tr>
      <w:tr w14:paraId="7CA8F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1" w:hRule="atLeast"/>
          <w:jc w:val="center"/>
        </w:trPr>
        <w:tc>
          <w:tcPr>
            <w:tcW w:w="458" w:type="pct"/>
            <w:noWrap w:val="0"/>
            <w:vAlign w:val="center"/>
          </w:tcPr>
          <w:p w14:paraId="3404BD7B">
            <w:pPr>
              <w:snapToGrid w:val="0"/>
              <w:jc w:val="center"/>
              <w:rPr>
                <w:rFonts w:hint="eastAsia" w:ascii="宋体" w:hAnsi="宋体"/>
                <w:color w:val="auto"/>
                <w:szCs w:val="21"/>
                <w:highlight w:val="none"/>
              </w:rPr>
            </w:pPr>
            <w:r>
              <w:rPr>
                <w:rFonts w:hint="eastAsia" w:ascii="宋体" w:hAnsi="宋体" w:cs="Arial"/>
                <w:color w:val="auto"/>
                <w:szCs w:val="21"/>
                <w:highlight w:val="none"/>
              </w:rPr>
              <w:t>D1分标</w:t>
            </w:r>
          </w:p>
        </w:tc>
        <w:tc>
          <w:tcPr>
            <w:tcW w:w="444" w:type="pct"/>
            <w:vMerge w:val="restart"/>
            <w:noWrap w:val="0"/>
            <w:vAlign w:val="center"/>
          </w:tcPr>
          <w:p w14:paraId="7632EE54">
            <w:pPr>
              <w:widowControl/>
              <w:jc w:val="center"/>
              <w:textAlignment w:val="center"/>
              <w:rPr>
                <w:rFonts w:ascii="宋体" w:hAnsi="宋体" w:cs="宋体"/>
                <w:color w:val="auto"/>
                <w:szCs w:val="21"/>
                <w:highlight w:val="none"/>
              </w:rPr>
            </w:pPr>
            <w:r>
              <w:rPr>
                <w:rFonts w:hint="eastAsia" w:ascii="宋体" w:hAnsi="宋体"/>
                <w:color w:val="auto"/>
                <w:szCs w:val="21"/>
                <w:highlight w:val="none"/>
              </w:rPr>
              <w:t>小反刍兽疫活疫苗</w:t>
            </w:r>
          </w:p>
        </w:tc>
        <w:tc>
          <w:tcPr>
            <w:tcW w:w="486" w:type="pct"/>
            <w:tcBorders>
              <w:bottom w:val="single" w:color="auto" w:sz="4" w:space="0"/>
              <w:right w:val="single" w:color="auto" w:sz="4" w:space="0"/>
            </w:tcBorders>
            <w:noWrap w:val="0"/>
            <w:vAlign w:val="center"/>
          </w:tcPr>
          <w:p w14:paraId="628815AE">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289</w:t>
            </w:r>
          </w:p>
          <w:p w14:paraId="3BD88F4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万头份</w:t>
            </w:r>
          </w:p>
        </w:tc>
        <w:tc>
          <w:tcPr>
            <w:tcW w:w="494" w:type="pct"/>
            <w:tcBorders>
              <w:bottom w:val="single" w:color="auto" w:sz="4" w:space="0"/>
              <w:right w:val="single" w:color="auto" w:sz="4" w:space="0"/>
            </w:tcBorders>
            <w:noWrap w:val="0"/>
            <w:vAlign w:val="center"/>
          </w:tcPr>
          <w:p w14:paraId="626BE8EB">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0.30</w:t>
            </w:r>
          </w:p>
        </w:tc>
        <w:tc>
          <w:tcPr>
            <w:tcW w:w="671" w:type="pct"/>
            <w:tcBorders>
              <w:left w:val="single" w:color="auto" w:sz="4" w:space="0"/>
              <w:bottom w:val="single" w:color="auto" w:sz="4" w:space="0"/>
            </w:tcBorders>
            <w:noWrap w:val="0"/>
            <w:vAlign w:val="center"/>
          </w:tcPr>
          <w:p w14:paraId="27DC9024">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86.70</w:t>
            </w:r>
          </w:p>
        </w:tc>
        <w:tc>
          <w:tcPr>
            <w:tcW w:w="2445" w:type="pct"/>
            <w:vMerge w:val="restart"/>
            <w:noWrap w:val="0"/>
            <w:vAlign w:val="center"/>
          </w:tcPr>
          <w:p w14:paraId="1D5E8C71">
            <w:pPr>
              <w:widowControl/>
              <w:textAlignment w:val="center"/>
              <w:rPr>
                <w:rFonts w:hint="eastAsia" w:ascii="宋体" w:hAnsi="宋体" w:cs="宋体"/>
                <w:color w:val="auto"/>
                <w:szCs w:val="21"/>
                <w:highlight w:val="none"/>
              </w:rPr>
            </w:pPr>
            <w:r>
              <w:rPr>
                <w:rFonts w:hint="eastAsia" w:ascii="宋体" w:hAnsi="宋体"/>
                <w:color w:val="auto"/>
                <w:szCs w:val="21"/>
                <w:highlight w:val="none"/>
              </w:rPr>
              <w:t>1.用小反刍兽疫弱毒Clone9株接种敏感细胞，收获细胞培养物，加适宜稳定剂经冷冻真空干燥制成。</w:t>
            </w:r>
            <w:r>
              <w:rPr>
                <w:rFonts w:hint="eastAsia" w:ascii="宋体" w:hAnsi="宋体"/>
                <w:color w:val="auto"/>
                <w:szCs w:val="21"/>
                <w:highlight w:val="none"/>
              </w:rPr>
              <w:br w:type="textWrapping"/>
            </w:r>
            <w:r>
              <w:rPr>
                <w:rFonts w:hint="eastAsia" w:ascii="宋体" w:hAnsi="宋体"/>
                <w:color w:val="auto"/>
                <w:szCs w:val="21"/>
                <w:highlight w:val="none"/>
              </w:rPr>
              <w:t>2.用于预防羊的小反刍兽疫，每头份疫苗含有的小反刍兽疫</w:t>
            </w:r>
            <w:r>
              <w:rPr>
                <w:rFonts w:hint="eastAsia" w:ascii="宋体" w:hAnsi="宋体"/>
                <w:color w:val="auto"/>
                <w:szCs w:val="21"/>
                <w:highlight w:val="none"/>
                <w:lang w:val="en-US" w:eastAsia="zh-CN"/>
              </w:rPr>
              <w:t>疫苗</w:t>
            </w:r>
            <w:r>
              <w:rPr>
                <w:rFonts w:hint="eastAsia" w:ascii="宋体" w:hAnsi="宋体"/>
                <w:color w:val="auto"/>
                <w:szCs w:val="21"/>
                <w:highlight w:val="none"/>
              </w:rPr>
              <w:t>毒至少为10</w:t>
            </w:r>
            <w:r>
              <w:rPr>
                <w:rFonts w:hint="eastAsia" w:ascii="宋体" w:hAnsi="宋体"/>
                <w:color w:val="auto"/>
                <w:szCs w:val="21"/>
                <w:highlight w:val="none"/>
                <w:vertAlign w:val="superscript"/>
              </w:rPr>
              <w:t>3</w:t>
            </w:r>
            <w:r>
              <w:rPr>
                <w:rFonts w:hint="eastAsia" w:ascii="宋体" w:hAnsi="宋体"/>
                <w:color w:val="auto"/>
                <w:szCs w:val="21"/>
                <w:highlight w:val="none"/>
              </w:rPr>
              <w:t>TCID</w:t>
            </w:r>
            <w:r>
              <w:rPr>
                <w:rFonts w:hint="eastAsia" w:ascii="宋体" w:hAnsi="宋体"/>
                <w:color w:val="auto"/>
                <w:szCs w:val="21"/>
                <w:highlight w:val="none"/>
                <w:vertAlign w:val="subscript"/>
              </w:rPr>
              <w:t>50</w:t>
            </w:r>
            <w:r>
              <w:rPr>
                <w:rFonts w:hint="eastAsia" w:ascii="宋体" w:hAnsi="宋体"/>
                <w:color w:val="auto"/>
                <w:szCs w:val="21"/>
                <w:highlight w:val="none"/>
              </w:rPr>
              <w:t>。</w:t>
            </w:r>
            <w:r>
              <w:rPr>
                <w:rFonts w:hint="eastAsia" w:ascii="宋体" w:hAnsi="宋体"/>
                <w:color w:val="auto"/>
                <w:szCs w:val="21"/>
                <w:highlight w:val="none"/>
              </w:rPr>
              <w:br w:type="textWrapping"/>
            </w:r>
            <w:r>
              <w:rPr>
                <w:rFonts w:hint="eastAsia" w:ascii="宋体" w:hAnsi="宋体"/>
                <w:color w:val="auto"/>
                <w:szCs w:val="21"/>
                <w:highlight w:val="none"/>
              </w:rPr>
              <w:t>3.规格：50头份/瓶或100头份/瓶。</w:t>
            </w:r>
            <w:r>
              <w:rPr>
                <w:rFonts w:hint="eastAsia" w:ascii="宋体" w:hAnsi="宋体"/>
                <w:color w:val="auto"/>
                <w:szCs w:val="21"/>
                <w:highlight w:val="none"/>
              </w:rPr>
              <w:br w:type="textWrapping"/>
            </w:r>
            <w:r>
              <w:rPr>
                <w:rFonts w:hint="eastAsia" w:ascii="宋体" w:hAnsi="宋体"/>
                <w:color w:val="auto"/>
                <w:szCs w:val="21"/>
                <w:highlight w:val="none"/>
              </w:rPr>
              <w:t>4.外观、剂型、稳定性、安全性、效价、保护期、包装等符合国家兽用生物制品规程要求。</w:t>
            </w:r>
            <w:r>
              <w:rPr>
                <w:rFonts w:hint="eastAsia" w:ascii="宋体" w:hAnsi="宋体"/>
                <w:color w:val="auto"/>
                <w:szCs w:val="21"/>
                <w:highlight w:val="none"/>
              </w:rPr>
              <w:br w:type="textWrapping"/>
            </w:r>
            <w:r>
              <w:rPr>
                <w:rFonts w:hint="eastAsia" w:ascii="宋体" w:hAnsi="宋体"/>
                <w:color w:val="auto"/>
                <w:szCs w:val="21"/>
                <w:highlight w:val="none"/>
              </w:rPr>
              <w:t>5.-20℃以下保存，有效期(疫苗完成生产之日起计算）为24个月。</w:t>
            </w:r>
          </w:p>
        </w:tc>
      </w:tr>
      <w:tr w14:paraId="73EE6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58" w:type="pct"/>
            <w:noWrap w:val="0"/>
            <w:vAlign w:val="center"/>
          </w:tcPr>
          <w:p w14:paraId="3C5EA7A6">
            <w:pPr>
              <w:snapToGrid w:val="0"/>
              <w:jc w:val="center"/>
              <w:rPr>
                <w:rFonts w:hint="eastAsia" w:ascii="宋体" w:hAnsi="宋体" w:cs="Arial"/>
                <w:color w:val="auto"/>
                <w:szCs w:val="21"/>
                <w:highlight w:val="none"/>
              </w:rPr>
            </w:pPr>
            <w:r>
              <w:rPr>
                <w:rFonts w:hint="eastAsia" w:ascii="宋体" w:hAnsi="宋体" w:cs="Arial"/>
                <w:color w:val="auto"/>
                <w:szCs w:val="21"/>
                <w:highlight w:val="none"/>
              </w:rPr>
              <w:t>D2分标</w:t>
            </w:r>
          </w:p>
        </w:tc>
        <w:tc>
          <w:tcPr>
            <w:tcW w:w="444" w:type="pct"/>
            <w:vMerge w:val="continue"/>
            <w:tcBorders>
              <w:bottom w:val="single" w:color="auto" w:sz="4" w:space="0"/>
            </w:tcBorders>
            <w:noWrap w:val="0"/>
            <w:vAlign w:val="center"/>
          </w:tcPr>
          <w:p w14:paraId="1F8AE796">
            <w:pPr>
              <w:widowControl/>
              <w:jc w:val="center"/>
              <w:textAlignment w:val="center"/>
              <w:rPr>
                <w:rFonts w:hint="eastAsia" w:ascii="宋体" w:hAnsi="宋体"/>
                <w:color w:val="auto"/>
                <w:szCs w:val="21"/>
                <w:highlight w:val="none"/>
              </w:rPr>
            </w:pPr>
          </w:p>
        </w:tc>
        <w:tc>
          <w:tcPr>
            <w:tcW w:w="486" w:type="pct"/>
            <w:tcBorders>
              <w:bottom w:val="single" w:color="auto" w:sz="4" w:space="0"/>
              <w:right w:val="single" w:color="auto" w:sz="4" w:space="0"/>
            </w:tcBorders>
            <w:noWrap w:val="0"/>
            <w:vAlign w:val="center"/>
          </w:tcPr>
          <w:p w14:paraId="3C90A3EA">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71</w:t>
            </w:r>
          </w:p>
          <w:p w14:paraId="58BA4674">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万头份</w:t>
            </w:r>
          </w:p>
        </w:tc>
        <w:tc>
          <w:tcPr>
            <w:tcW w:w="494" w:type="pct"/>
            <w:tcBorders>
              <w:bottom w:val="single" w:color="auto" w:sz="4" w:space="0"/>
              <w:right w:val="single" w:color="auto" w:sz="4" w:space="0"/>
            </w:tcBorders>
            <w:noWrap w:val="0"/>
            <w:vAlign w:val="center"/>
          </w:tcPr>
          <w:p w14:paraId="3F71DFB4">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0.30</w:t>
            </w:r>
          </w:p>
        </w:tc>
        <w:tc>
          <w:tcPr>
            <w:tcW w:w="671" w:type="pct"/>
            <w:tcBorders>
              <w:left w:val="single" w:color="auto" w:sz="4" w:space="0"/>
              <w:bottom w:val="single" w:color="auto" w:sz="4" w:space="0"/>
            </w:tcBorders>
            <w:noWrap w:val="0"/>
            <w:vAlign w:val="center"/>
          </w:tcPr>
          <w:p w14:paraId="6A03EC80">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21.30</w:t>
            </w:r>
          </w:p>
        </w:tc>
        <w:tc>
          <w:tcPr>
            <w:tcW w:w="2445" w:type="pct"/>
            <w:vMerge w:val="continue"/>
            <w:tcBorders>
              <w:bottom w:val="single" w:color="auto" w:sz="4" w:space="0"/>
            </w:tcBorders>
            <w:noWrap w:val="0"/>
            <w:vAlign w:val="center"/>
          </w:tcPr>
          <w:p w14:paraId="3B065E47">
            <w:pPr>
              <w:widowControl/>
              <w:textAlignment w:val="center"/>
              <w:rPr>
                <w:rFonts w:hint="eastAsia" w:ascii="宋体" w:hAnsi="宋体"/>
                <w:color w:val="auto"/>
                <w:szCs w:val="21"/>
                <w:highlight w:val="none"/>
              </w:rPr>
            </w:pPr>
          </w:p>
        </w:tc>
      </w:tr>
    </w:tbl>
    <w:p w14:paraId="68A89C06">
      <w:pPr>
        <w:ind w:firstLine="420" w:firstLineChars="200"/>
        <w:rPr>
          <w:rFonts w:hint="eastAsia" w:ascii="宋体" w:hAnsi="宋体"/>
          <w:color w:val="auto"/>
          <w:szCs w:val="21"/>
          <w:highlight w:val="none"/>
        </w:rPr>
      </w:pPr>
    </w:p>
    <w:p w14:paraId="44B283ED">
      <w:pPr>
        <w:rPr>
          <w:rFonts w:hint="eastAsia" w:ascii="宋体" w:hAnsi="宋体"/>
          <w:color w:val="auto"/>
          <w:szCs w:val="21"/>
          <w:highlight w:val="none"/>
        </w:rPr>
      </w:pPr>
      <w:r>
        <w:rPr>
          <w:rFonts w:hint="eastAsia" w:ascii="宋体" w:hAnsi="宋体"/>
          <w:b/>
          <w:bCs/>
          <w:color w:val="auto"/>
          <w:sz w:val="24"/>
          <w:highlight w:val="none"/>
        </w:rPr>
        <w:t>适用8个分标（A1 - A4分标、B分标、C分标、 D1-D2分标）</w:t>
      </w:r>
    </w:p>
    <w:tbl>
      <w:tblPr>
        <w:tblStyle w:val="49"/>
        <w:tblW w:w="513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88"/>
        <w:gridCol w:w="1332"/>
        <w:gridCol w:w="6853"/>
      </w:tblGrid>
      <w:tr w14:paraId="7825A8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top"/>
          </w:tcPr>
          <w:p w14:paraId="097CD13F">
            <w:pPr>
              <w:spacing w:before="120" w:beforeLines="50" w:after="120" w:afterLines="50"/>
              <w:rPr>
                <w:rFonts w:hint="eastAsia" w:ascii="宋体" w:hAnsi="宋体"/>
                <w:b/>
                <w:bCs/>
                <w:color w:val="auto"/>
                <w:szCs w:val="21"/>
                <w:highlight w:val="none"/>
              </w:rPr>
            </w:pPr>
            <w:r>
              <w:rPr>
                <w:rFonts w:hint="eastAsia" w:ascii="宋体" w:hAnsi="宋体"/>
                <w:b/>
                <w:color w:val="auto"/>
                <w:szCs w:val="21"/>
                <w:highlight w:val="none"/>
              </w:rPr>
              <w:t>一、商务要求</w:t>
            </w:r>
          </w:p>
        </w:tc>
      </w:tr>
      <w:tr w14:paraId="528B1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7D82A708">
            <w:pPr>
              <w:spacing w:before="120" w:beforeLines="50" w:after="120" w:afterLines="50"/>
              <w:jc w:val="center"/>
              <w:rPr>
                <w:rFonts w:hint="default" w:ascii="宋体" w:hAnsi="宋体" w:eastAsia="宋体"/>
                <w:b w:val="0"/>
                <w:bCs/>
                <w:color w:val="auto"/>
                <w:szCs w:val="21"/>
                <w:highlight w:val="none"/>
                <w:lang w:val="en-US" w:eastAsia="zh-CN"/>
              </w:rPr>
            </w:pPr>
            <w:r>
              <w:rPr>
                <w:rFonts w:hint="eastAsia" w:ascii="宋体" w:hAnsi="宋体"/>
                <w:b w:val="0"/>
                <w:bCs/>
                <w:color w:val="auto"/>
                <w:szCs w:val="21"/>
                <w:highlight w:val="none"/>
                <w:lang w:val="en-US" w:eastAsia="zh-CN"/>
              </w:rPr>
              <w:t>合同签订时间</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78AFCEBC">
            <w:pPr>
              <w:spacing w:before="120" w:beforeLines="50" w:after="120" w:afterLines="50"/>
              <w:jc w:val="both"/>
              <w:rPr>
                <w:rFonts w:hint="default" w:ascii="宋体" w:hAnsi="宋体" w:eastAsia="宋体"/>
                <w:b w:val="0"/>
                <w:bCs/>
                <w:color w:val="auto"/>
                <w:szCs w:val="21"/>
                <w:highlight w:val="none"/>
                <w:lang w:val="en-US" w:eastAsia="zh-CN"/>
              </w:rPr>
            </w:pPr>
            <w:r>
              <w:rPr>
                <w:rFonts w:hint="eastAsia" w:ascii="宋体" w:hAnsi="宋体"/>
                <w:b w:val="0"/>
                <w:bCs/>
                <w:color w:val="auto"/>
                <w:szCs w:val="21"/>
                <w:highlight w:val="none"/>
                <w:lang w:val="en-US" w:eastAsia="zh-CN"/>
              </w:rPr>
              <w:t>自中标通知书发出之日起25天内。</w:t>
            </w:r>
          </w:p>
        </w:tc>
      </w:tr>
      <w:tr w14:paraId="186C9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79"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5836FEFD">
            <w:pPr>
              <w:spacing w:before="120" w:beforeLines="50" w:after="120" w:afterLines="50"/>
              <w:rPr>
                <w:rFonts w:ascii="宋体" w:hAnsi="宋体"/>
                <w:color w:val="auto"/>
                <w:szCs w:val="21"/>
                <w:highlight w:val="none"/>
              </w:rPr>
            </w:pPr>
            <w:r>
              <w:rPr>
                <w:rFonts w:hint="eastAsia" w:ascii="宋体" w:hAnsi="宋体"/>
                <w:color w:val="auto"/>
                <w:szCs w:val="21"/>
                <w:highlight w:val="none"/>
              </w:rPr>
              <w:t>▲交货时间及地点</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797A1B01">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1.交货时间：接到采购人供货需求通知7日内，中标人应按照采购人要求的时间及时送达，送货时应提前2日通知采购人（含各市、县动物疫病预防控制机构）做好接货准备。提前或延期到货造成的损失由中标人承担。</w:t>
            </w:r>
          </w:p>
          <w:p w14:paraId="4A3B8FA9">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2.交货地点：广西动物疫病预防控制中心、广西14个市及所属的各县（市、区）动物疫病预防控制机构，具体在签订合同后另行约定。</w:t>
            </w:r>
          </w:p>
        </w:tc>
      </w:tr>
      <w:tr w14:paraId="49EBD4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44E1172E">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▲有效期</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0E3741FE">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中标人负责送货上门。如中标货物承诺的有效期为12个月的，送达采购人指定地点时剩余有效期应保证不少于7个月（含7个月）；如中标产品承诺的有效期为18个月的，送达采购人指定地点时剩余有效期应保证不少于13个月（含13个月）；如中标产品承诺的有效期为24个月的，送达采购人指定地点时剩余有效期应保证不少于18个月（含18个月）。如遇紧急免疫需要，经双方协商一致，中标人可提供尚在有效期内的中标货物。货物从生产地运送到采购人指定地点，必须符合动物疫苗运输环节质量保障及管理要求。</w:t>
            </w:r>
          </w:p>
        </w:tc>
      </w:tr>
      <w:tr w14:paraId="1F0F6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72"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51E3502B">
            <w:pPr>
              <w:spacing w:before="120" w:beforeLines="50" w:after="120" w:afterLines="50"/>
              <w:rPr>
                <w:rFonts w:ascii="宋体" w:hAnsi="宋体"/>
                <w:color w:val="auto"/>
                <w:szCs w:val="21"/>
                <w:highlight w:val="none"/>
              </w:rPr>
            </w:pPr>
            <w:r>
              <w:rPr>
                <w:rFonts w:hint="eastAsia" w:ascii="宋体" w:hAnsi="宋体"/>
                <w:color w:val="auto"/>
                <w:szCs w:val="21"/>
                <w:highlight w:val="none"/>
              </w:rPr>
              <w:t>产品包装和运输要求</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4ABC0DFC">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▲1.产品包装要求：产品外包装、瓶签内容完整，瓶签内容至少包括产品名称、批准文号、生产批号、有效期、规格、使用说明、贮存条件、生产企业。</w:t>
            </w:r>
          </w:p>
          <w:p w14:paraId="7F51C25A">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2.根据《财政部等三部门联合印发商品包装和快递包装政府采购需求标准（试行）》财办库</w:t>
            </w:r>
            <w:r>
              <w:rPr>
                <w:rFonts w:hint="eastAsia" w:ascii="宋体" w:hAnsi="宋体"/>
                <w:color w:val="auto"/>
                <w:szCs w:val="21"/>
                <w:highlight w:val="none"/>
                <w:lang w:eastAsia="zh-CN"/>
              </w:rPr>
              <w:t>（</w:t>
            </w:r>
            <w:r>
              <w:rPr>
                <w:rFonts w:hint="eastAsia" w:ascii="宋体" w:hAnsi="宋体"/>
                <w:color w:val="auto"/>
                <w:szCs w:val="21"/>
                <w:highlight w:val="none"/>
              </w:rPr>
              <w:t>2020</w:t>
            </w:r>
            <w:r>
              <w:rPr>
                <w:rFonts w:hint="eastAsia" w:ascii="宋体" w:hAnsi="宋体"/>
                <w:color w:val="auto"/>
                <w:szCs w:val="21"/>
                <w:highlight w:val="none"/>
                <w:lang w:eastAsia="zh-CN"/>
              </w:rPr>
              <w:t>）</w:t>
            </w:r>
            <w:r>
              <w:rPr>
                <w:rFonts w:hint="eastAsia" w:ascii="宋体" w:hAnsi="宋体"/>
                <w:color w:val="auto"/>
                <w:szCs w:val="21"/>
                <w:highlight w:val="none"/>
              </w:rPr>
              <w:t>123号文规定，若投标产品使用塑料、纸质、木质等包装材料时应满足《商品包装政府采购需求标准（试行）》要求，若投标产品需要快递包装，快递封装材料应满足《快递包装政府采购需求标准（试行）》要求。</w:t>
            </w:r>
          </w:p>
        </w:tc>
      </w:tr>
      <w:tr w14:paraId="3099A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0861EFC7">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产品质量证明材料要求</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64F0DF23">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1.凡使用进口佐剂的疫苗，</w:t>
            </w:r>
            <w:r>
              <w:rPr>
                <w:rFonts w:hint="eastAsia" w:ascii="宋体" w:hAnsi="宋体"/>
                <w:b/>
                <w:color w:val="auto"/>
                <w:szCs w:val="21"/>
                <w:highlight w:val="none"/>
                <w:u w:val="single"/>
              </w:rPr>
              <w:t>投标人在投标文件中提供上年度</w:t>
            </w:r>
            <w:r>
              <w:rPr>
                <w:rFonts w:hint="eastAsia" w:ascii="宋体" w:hAnsi="宋体"/>
                <w:b/>
                <w:color w:val="auto"/>
                <w:szCs w:val="21"/>
                <w:highlight w:val="none"/>
                <w:u w:val="single"/>
                <w:lang w:eastAsia="zh-CN"/>
              </w:rPr>
              <w:t>（</w:t>
            </w:r>
            <w:r>
              <w:rPr>
                <w:rFonts w:hint="eastAsia" w:ascii="宋体" w:hAnsi="宋体"/>
                <w:b/>
                <w:color w:val="auto"/>
                <w:szCs w:val="21"/>
                <w:highlight w:val="none"/>
                <w:u w:val="single"/>
                <w:lang w:val="en-US" w:eastAsia="zh-CN"/>
              </w:rPr>
              <w:t>即2025年</w:t>
            </w:r>
            <w:r>
              <w:rPr>
                <w:rFonts w:hint="eastAsia" w:ascii="宋体" w:hAnsi="宋体"/>
                <w:b/>
                <w:color w:val="auto"/>
                <w:szCs w:val="21"/>
                <w:highlight w:val="none"/>
                <w:u w:val="single"/>
                <w:lang w:eastAsia="zh-CN"/>
              </w:rPr>
              <w:t>）</w:t>
            </w:r>
            <w:r>
              <w:rPr>
                <w:rFonts w:hint="eastAsia" w:ascii="宋体" w:hAnsi="宋体"/>
                <w:b/>
                <w:color w:val="auto"/>
                <w:szCs w:val="21"/>
                <w:highlight w:val="none"/>
                <w:u w:val="single"/>
              </w:rPr>
              <w:t>以来相应疫苗佐剂的购买合同和发票原件的彩色扫描件等证明材料</w:t>
            </w:r>
            <w:r>
              <w:rPr>
                <w:rFonts w:hint="eastAsia" w:ascii="宋体" w:hAnsi="宋体"/>
                <w:color w:val="auto"/>
                <w:szCs w:val="21"/>
                <w:highlight w:val="none"/>
              </w:rPr>
              <w:t>并加盖公章或电子公章，签订合同后，采购人有权要求中标人在规定期限内将相关原件提供给采购人核对，如发现中标人提供虚假材料牟取中标的，将向财政部门报告，取消其中标资格并按财政部门规定予以处罚。</w:t>
            </w:r>
          </w:p>
          <w:p w14:paraId="5D954D37">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投标人提供2025年以来连续5批次疫苗的批签发报告（从首次获得该产品批准文号之日起到投标文件提交截止时间止不足1年且获得的批签发报告不足5批次的，只需提供从首次获得该产品批准文号之日起所获得的所有批签发报告）。批签发报告时间以中国兽医药品监察所审核日期为准，要求彩色复印件并加盖公章或电子公章，签订合同后，采购人有权要求中标人在规定期限内将相关原件提供给采购人核对，如发现中标人提供虚假材料牟取中标的，将向财政部门报告，取消其中标资格并按财政部门规定予以处罚。</w:t>
            </w:r>
          </w:p>
          <w:p w14:paraId="1A35D850">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▲3.评标时，若评标委员会发现投标人提供的批签发报告与中国兽医药品监察所备案的批签发报告数据不一致的，将视为投标无效。</w:t>
            </w:r>
          </w:p>
        </w:tc>
      </w:tr>
      <w:tr w14:paraId="2A3AC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510C427A">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▲售前、售中、售后服务要求</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09933D84">
            <w:pPr>
              <w:spacing w:before="120" w:beforeLines="50" w:after="120" w:afterLines="50"/>
              <w:ind w:firstLine="420" w:firstLineChars="200"/>
              <w:rPr>
                <w:rFonts w:hint="eastAsia" w:ascii="宋体" w:hAnsi="宋体"/>
                <w:b w:val="0"/>
                <w:bCs/>
                <w:strike w:val="0"/>
                <w:color w:val="auto"/>
                <w:szCs w:val="21"/>
                <w:highlight w:val="none"/>
                <w:u w:val="none"/>
              </w:rPr>
            </w:pPr>
            <w:r>
              <w:rPr>
                <w:rFonts w:hint="eastAsia" w:ascii="宋体" w:hAnsi="宋体"/>
                <w:b w:val="0"/>
                <w:bCs/>
                <w:strike w:val="0"/>
                <w:dstrike w:val="0"/>
                <w:color w:val="auto"/>
                <w:szCs w:val="21"/>
                <w:highlight w:val="none"/>
                <w:u w:val="none"/>
              </w:rPr>
              <w:t>投标人在投标文件中必须提供符合实际、切实可行、可操作性强的售前、售中、售后服务方案。</w:t>
            </w:r>
          </w:p>
          <w:p w14:paraId="68468F21">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投标人中标后必须严格履行与采购人签订的采购合同，严格执行所承诺的服务条款。按合同规定供货结束并履行所有承诺服务事项后，中标人必须30天内向采购人提供履行合同、完成服务条款承诺的相关工作的详细总结材料（必须附具详实的数据及有关证明材料）。</w:t>
            </w:r>
          </w:p>
          <w:p w14:paraId="58CABB05">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1.加强与采购人产品需求对接，做好生产计划安排。</w:t>
            </w:r>
          </w:p>
          <w:p w14:paraId="55CD3F9C">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2.中标人负责送货上门，疫苗发货及运输环节质量保障要求 </w:t>
            </w:r>
          </w:p>
          <w:p w14:paraId="7F0D6826">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中标人从生产地（或疫苗中转仓库）将中标产品运送采购人（指定地点），必须保证该产品的运输储存温度符合其现行部颁规程（指农业农村部颁布的规程）规定的储存温度要求。凡未按规定温度条件运输的疫苗，采购人一律拒收。</w:t>
            </w:r>
          </w:p>
          <w:p w14:paraId="45A40D87">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（2）中标人在收到采购人的订单需货通知后，应及时核对、确认应发疫苗品种、剂型、规格、数量以及发货时间要求、收货地点等信息，按规定时间和运输质量保障要求送到采购人指定地点。</w:t>
            </w:r>
          </w:p>
          <w:p w14:paraId="2C1B1257">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中标人每次发出疫苗时，应填写发货单（格式见本章附表），详细填写发货单位、承运单位、疫苗名称、剂型、批准文号、数量、规格、生产日期、批号、有效期、运载工具种类及车牌号、司机及押运人员姓名及联系电话、大概行程及到达采购人时间等内容，同时将发货单以传真或电子邮件形式发给采购人。不按规定要求发货的，采购人一律拒收，损失由中标人承担。</w:t>
            </w:r>
          </w:p>
          <w:p w14:paraId="5EC4CDBD">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4）中标人自行配送动物疫苗的，应当具备相应的冷链贮存、运输条件，也可以委托具备相应冷链贮存、运输条件的配送单位配送，并对委托配送的产品质量负责。冷链贮存、运输全过程应当处于规定的贮藏温度环境下。</w:t>
            </w:r>
          </w:p>
          <w:p w14:paraId="156E2C91">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5）通过空运运送疫苗的，中标人应将发货、到货时间告知采购人，并经采购人同意、确认后方可发货。空运疫苗的冷藏箱应配置有温度自动监控记录设备，冷藏箱内应放置足够数量的专用冰袋，保证疫苗运至采购人指定地点后冰袋内的冰块未融化，以保证疫苗运输过程储存温度符合规定要求。货物延时发到采购人指定地点的，采购人拒绝接收货物，损失由中标人负责。</w:t>
            </w:r>
          </w:p>
          <w:p w14:paraId="6650CB08">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6）中标人使用冷藏运输车运送疫苗的，冷藏运输车必须装配有冷链设备移动监控（GPRS监控）系统或温度自动监控记录系统，24小时监控温度变化。疫苗装车时应保证预留足够的冷气循环通道，并采取相应措施防止疫苗包装箱、疫苗瓶滑动、碰撞、破裂；运送过程中应派人全程押送，严防日光曝晒。</w:t>
            </w:r>
          </w:p>
          <w:p w14:paraId="521C1748">
            <w:pPr>
              <w:spacing w:before="120" w:beforeLines="50" w:after="120" w:afterLines="50"/>
              <w:ind w:firstLine="420" w:firstLineChars="200"/>
              <w:rPr>
                <w:rFonts w:ascii="宋体" w:hAnsi="宋体"/>
                <w:color w:val="auto"/>
                <w:szCs w:val="21"/>
                <w:highlight w:val="none"/>
              </w:rPr>
            </w:pPr>
            <w:bookmarkStart w:id="48" w:name="OLE_LINK2"/>
            <w:r>
              <w:rPr>
                <w:rFonts w:hint="eastAsia" w:ascii="宋体" w:hAnsi="宋体"/>
                <w:color w:val="auto"/>
                <w:szCs w:val="21"/>
                <w:highlight w:val="none"/>
              </w:rPr>
              <w:t>（7）</w:t>
            </w:r>
            <w:bookmarkEnd w:id="48"/>
            <w:r>
              <w:rPr>
                <w:rFonts w:hint="eastAsia" w:ascii="宋体" w:hAnsi="宋体"/>
                <w:color w:val="auto"/>
                <w:szCs w:val="21"/>
                <w:highlight w:val="none"/>
              </w:rPr>
              <w:t>疫苗运输过程中发生交通事故、车辆损坏或冷藏车制冷故障时，必须通知采购人，并采取迅速有效的应急措施，确保疫苗储存温度达到规定要求。应急处置过程应有详细记录，并在疫苗到达时提供采购人。</w:t>
            </w:r>
          </w:p>
          <w:p w14:paraId="2394CC05">
            <w:pPr>
              <w:spacing w:before="120" w:beforeLines="50" w:after="120" w:afterLines="50"/>
              <w:ind w:firstLine="422" w:firstLineChars="200"/>
              <w:rPr>
                <w:rFonts w:hint="eastAsia" w:ascii="宋体" w:hAnsi="宋体"/>
                <w:b/>
                <w:bCs/>
                <w:color w:val="auto"/>
                <w:szCs w:val="21"/>
                <w:highlight w:val="none"/>
              </w:rPr>
            </w:pPr>
            <w:r>
              <w:rPr>
                <w:rFonts w:hint="eastAsia" w:ascii="宋体" w:hAnsi="宋体"/>
                <w:b/>
                <w:bCs/>
                <w:color w:val="auto"/>
                <w:szCs w:val="21"/>
                <w:highlight w:val="none"/>
              </w:rPr>
              <w:t>（8）所有疫苗均须赋有国家兽药产品追溯二维码，全程纳入国家兽药产品追溯系统，扫码可查、信息真实可追溯，无追溯码或追溯信息无效的，采购方有权拒收。</w:t>
            </w:r>
          </w:p>
          <w:p w14:paraId="3234FEFF">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3.中标人必须为使用方（广西动物疫病预防控制中心、广西14个市及所属的各县（市、区）动物疫病预防控制机构）提供相关知识培训，</w:t>
            </w:r>
            <w:r>
              <w:rPr>
                <w:rFonts w:hint="eastAsia" w:ascii="宋体" w:hAnsi="宋体"/>
                <w:b/>
                <w:color w:val="auto"/>
                <w:szCs w:val="21"/>
                <w:highlight w:val="none"/>
                <w:u w:val="single"/>
              </w:rPr>
              <w:t>投标人必须在投标文件中提供符合实际并具有操作性的培训方案</w:t>
            </w:r>
            <w:r>
              <w:rPr>
                <w:rFonts w:hint="eastAsia" w:ascii="宋体" w:hAnsi="宋体"/>
                <w:color w:val="auto"/>
                <w:szCs w:val="21"/>
                <w:highlight w:val="none"/>
              </w:rPr>
              <w:t>。</w:t>
            </w:r>
          </w:p>
          <w:p w14:paraId="2B043B16">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4.中标人必须协助使用方（广西动物疫病预防控制中心、广西14个市及所属的各县（市、区）动物疫病预防控制机构）开展疫苗免疫效果监测与评估工作，必要时提供监测试剂（中标人提供的监测试剂费用应包含在本次报价中，采购人不再另行支付），确保免疫达到国家规定的保护水平。</w:t>
            </w:r>
            <w:r>
              <w:rPr>
                <w:rFonts w:hint="eastAsia" w:ascii="宋体" w:hAnsi="宋体"/>
                <w:b/>
                <w:color w:val="auto"/>
                <w:szCs w:val="21"/>
                <w:highlight w:val="none"/>
                <w:u w:val="single"/>
              </w:rPr>
              <w:t>投标人必须在投标文件中提供切实可行的工作方案，并在方案中承诺可提供监测试剂量的相关描述。中标人在签订合同后提供</w:t>
            </w:r>
            <w:r>
              <w:rPr>
                <w:rFonts w:hint="eastAsia" w:ascii="宋体" w:hAnsi="宋体"/>
                <w:b/>
                <w:color w:val="auto"/>
                <w:szCs w:val="21"/>
                <w:highlight w:val="none"/>
                <w:u w:val="single"/>
                <w:lang w:val="en-US" w:eastAsia="zh-CN"/>
              </w:rPr>
              <w:t>专业</w:t>
            </w:r>
            <w:r>
              <w:rPr>
                <w:rFonts w:hint="eastAsia" w:ascii="宋体" w:hAnsi="宋体"/>
                <w:b/>
                <w:color w:val="auto"/>
                <w:szCs w:val="21"/>
                <w:highlight w:val="none"/>
                <w:u w:val="single"/>
              </w:rPr>
              <w:t>的</w:t>
            </w:r>
            <w:r>
              <w:rPr>
                <w:rFonts w:hint="eastAsia" w:ascii="宋体" w:hAnsi="宋体"/>
                <w:b/>
                <w:color w:val="auto"/>
                <w:szCs w:val="21"/>
                <w:highlight w:val="none"/>
                <w:u w:val="single"/>
                <w:lang w:val="en-US" w:eastAsia="zh-CN"/>
              </w:rPr>
              <w:t>售后</w:t>
            </w:r>
            <w:r>
              <w:rPr>
                <w:rFonts w:hint="eastAsia" w:ascii="宋体" w:hAnsi="宋体"/>
                <w:b/>
                <w:color w:val="auto"/>
                <w:szCs w:val="21"/>
                <w:highlight w:val="none"/>
                <w:u w:val="single"/>
              </w:rPr>
              <w:t>服务团队（注：该团队可以是中标人设在广西境内的分公司、办事处或技术服务团队，也可委托其他广西本地公司或机构，但必须在签订合同后出示委托协议及被委托方的资质、实力、营业执照等证明材料</w:t>
            </w:r>
            <w:r>
              <w:rPr>
                <w:rFonts w:hint="eastAsia" w:ascii="宋体" w:hAnsi="宋体"/>
                <w:color w:val="auto"/>
                <w:szCs w:val="21"/>
                <w:highlight w:val="none"/>
              </w:rPr>
              <w:t>）。疫苗免疫效果监测与评估工作由采购人统筹安排。</w:t>
            </w:r>
          </w:p>
          <w:p w14:paraId="32A450C6">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5.中标人必须及时处理免疫应激死亡补偿事宜，建立动物注射疫苗后出现大面积应激反应的应急处置及补偿机制，补偿最低标准参照当地畜禽市场价格；</w:t>
            </w:r>
            <w:r>
              <w:rPr>
                <w:rFonts w:hint="eastAsia" w:ascii="宋体" w:hAnsi="宋体"/>
                <w:b/>
                <w:color w:val="auto"/>
                <w:szCs w:val="21"/>
                <w:highlight w:val="none"/>
                <w:u w:val="single"/>
              </w:rPr>
              <w:t>投标人必须在投标文件中提供切实可行的补偿方案</w:t>
            </w:r>
            <w:r>
              <w:rPr>
                <w:rFonts w:hint="eastAsia" w:ascii="宋体" w:hAnsi="宋体"/>
                <w:color w:val="auto"/>
                <w:szCs w:val="21"/>
                <w:highlight w:val="none"/>
              </w:rPr>
              <w:t>，并在其投标文件中详述一旦出现疫苗质量问题、引发免疫失败或引发疫情的责任事故的应急处置预案及相应的损失赔偿方式。</w:t>
            </w:r>
          </w:p>
          <w:p w14:paraId="5DBDB9C6">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u w:val="single"/>
              </w:rPr>
              <w:t>投标人必须承诺确保疫苗运输、贮藏、使用各环节的质量和使用效果的相关服务内容，并在投标文件中提供可操作性强的具体方案</w:t>
            </w:r>
            <w:r>
              <w:rPr>
                <w:rFonts w:hint="eastAsia" w:ascii="宋体" w:hAnsi="宋体"/>
                <w:color w:val="auto"/>
                <w:szCs w:val="21"/>
                <w:highlight w:val="none"/>
              </w:rPr>
              <w:t>。</w:t>
            </w:r>
          </w:p>
          <w:p w14:paraId="2463CBCD">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7.相关费用已包含在本次报价中，采购人不再另行支付。</w:t>
            </w:r>
          </w:p>
        </w:tc>
      </w:tr>
      <w:tr w14:paraId="301A83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212FB0C2">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▲供货要求</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0AEEF4A2">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中标人应按照投标承诺标准和采购人的需求及时供货，不得以缺货、生产线改造、运输延误等任何理由（除不可抗力因素外）拖延供货或不供货。对拖延供货或不供货的中标人，采购人有权终止合同，并出具不良记录报监督管理部门，中标人自行承担被列入政府采购黑名单的责任。对拖延供货或不供货的中标人，经采购人警告两次以上的，扣除履约保证金。</w:t>
            </w:r>
          </w:p>
        </w:tc>
      </w:tr>
      <w:tr w14:paraId="7E85A3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2256FC12">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▲付款条件</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51286EA9">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签订合同后十个工作日内，</w:t>
            </w:r>
            <w:r>
              <w:rPr>
                <w:rFonts w:hint="eastAsia" w:ascii="宋体" w:hAnsi="宋体"/>
                <w:color w:val="auto"/>
                <w:szCs w:val="21"/>
                <w:highlight w:val="none"/>
                <w:lang w:val="en-US" w:eastAsia="zh-CN"/>
              </w:rPr>
              <w:t>采购人</w:t>
            </w:r>
            <w:r>
              <w:rPr>
                <w:rFonts w:hint="eastAsia" w:ascii="宋体" w:hAnsi="宋体"/>
                <w:color w:val="auto"/>
                <w:szCs w:val="21"/>
                <w:highlight w:val="none"/>
              </w:rPr>
              <w:t>向</w:t>
            </w:r>
            <w:r>
              <w:rPr>
                <w:rFonts w:hint="eastAsia" w:ascii="宋体" w:hAnsi="宋体"/>
                <w:color w:val="auto"/>
                <w:szCs w:val="21"/>
                <w:highlight w:val="none"/>
                <w:lang w:val="en-US" w:eastAsia="zh-CN"/>
              </w:rPr>
              <w:t>中标人</w:t>
            </w:r>
            <w:r>
              <w:rPr>
                <w:rFonts w:hint="eastAsia" w:ascii="宋体" w:hAnsi="宋体"/>
                <w:color w:val="auto"/>
                <w:szCs w:val="21"/>
                <w:highlight w:val="none"/>
              </w:rPr>
              <w:t>支付合同价款的30%作为预付款；</w:t>
            </w:r>
          </w:p>
          <w:p w14:paraId="530C9324">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每批次交货完成并验收合格后，</w:t>
            </w:r>
            <w:r>
              <w:rPr>
                <w:rFonts w:hint="eastAsia" w:ascii="宋体" w:hAnsi="宋体"/>
                <w:color w:val="auto"/>
                <w:szCs w:val="21"/>
                <w:highlight w:val="none"/>
                <w:lang w:val="en-US" w:eastAsia="zh-CN"/>
              </w:rPr>
              <w:t>中标人</w:t>
            </w:r>
            <w:r>
              <w:rPr>
                <w:rFonts w:hint="eastAsia" w:ascii="宋体" w:hAnsi="宋体"/>
                <w:color w:val="auto"/>
                <w:szCs w:val="21"/>
                <w:highlight w:val="none"/>
              </w:rPr>
              <w:t>向</w:t>
            </w:r>
            <w:r>
              <w:rPr>
                <w:rFonts w:hint="eastAsia" w:ascii="宋体" w:hAnsi="宋体"/>
                <w:color w:val="auto"/>
                <w:szCs w:val="21"/>
                <w:highlight w:val="none"/>
                <w:lang w:val="en-US" w:eastAsia="zh-CN"/>
              </w:rPr>
              <w:t>采购人</w:t>
            </w:r>
            <w:r>
              <w:rPr>
                <w:rFonts w:hint="eastAsia" w:ascii="宋体" w:hAnsi="宋体"/>
                <w:color w:val="auto"/>
                <w:szCs w:val="21"/>
                <w:highlight w:val="none"/>
              </w:rPr>
              <w:t>开具相应批次金额发票，</w:t>
            </w:r>
            <w:r>
              <w:rPr>
                <w:rFonts w:hint="eastAsia" w:ascii="宋体" w:hAnsi="宋体"/>
                <w:color w:val="auto"/>
                <w:szCs w:val="21"/>
                <w:highlight w:val="none"/>
                <w:lang w:val="en-US" w:eastAsia="zh-CN"/>
              </w:rPr>
              <w:t>采购人</w:t>
            </w:r>
            <w:r>
              <w:rPr>
                <w:rFonts w:hint="eastAsia" w:ascii="宋体" w:hAnsi="宋体"/>
                <w:color w:val="auto"/>
                <w:szCs w:val="21"/>
                <w:highlight w:val="none"/>
              </w:rPr>
              <w:t>自收到发票后十个工作日内，按批次支付</w:t>
            </w:r>
            <w:r>
              <w:rPr>
                <w:rFonts w:hint="eastAsia" w:ascii="宋体" w:hAnsi="宋体"/>
                <w:color w:val="auto"/>
                <w:szCs w:val="21"/>
                <w:highlight w:val="none"/>
                <w:lang w:val="en-US" w:eastAsia="zh-CN"/>
              </w:rPr>
              <w:t>中标人</w:t>
            </w:r>
            <w:r>
              <w:rPr>
                <w:rFonts w:hint="eastAsia" w:ascii="宋体" w:hAnsi="宋体"/>
                <w:color w:val="auto"/>
                <w:szCs w:val="21"/>
                <w:highlight w:val="none"/>
              </w:rPr>
              <w:t>余下70%合同货款；</w:t>
            </w:r>
          </w:p>
          <w:p w14:paraId="239CB93B">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3.中标人</w:t>
            </w:r>
            <w:r>
              <w:rPr>
                <w:rFonts w:hint="eastAsia" w:ascii="宋体" w:hAnsi="宋体"/>
                <w:color w:val="auto"/>
                <w:szCs w:val="21"/>
                <w:highlight w:val="none"/>
              </w:rPr>
              <w:t>在每次请款前，应将相关材料提交</w:t>
            </w:r>
            <w:r>
              <w:rPr>
                <w:rFonts w:hint="eastAsia" w:ascii="宋体" w:hAnsi="宋体"/>
                <w:color w:val="auto"/>
                <w:szCs w:val="21"/>
                <w:highlight w:val="none"/>
                <w:lang w:val="en-US" w:eastAsia="zh-CN"/>
              </w:rPr>
              <w:t>采购人</w:t>
            </w:r>
            <w:r>
              <w:rPr>
                <w:rFonts w:hint="eastAsia" w:ascii="宋体" w:hAnsi="宋体"/>
                <w:color w:val="auto"/>
                <w:szCs w:val="21"/>
                <w:highlight w:val="none"/>
              </w:rPr>
              <w:t>。</w:t>
            </w:r>
          </w:p>
        </w:tc>
      </w:tr>
      <w:tr w14:paraId="4810D8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558C0279">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▲履约保证金</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0BA6E42E">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1.履约保证金金额：按中标金额的2%交纳。</w:t>
            </w:r>
          </w:p>
          <w:p w14:paraId="4AD38CD4">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2.履约保证金递交方式：以银行转账、支票、汇票、本票或者银行、保险机构出具的保函等非现金形式提交。采用银行转账方式的，由中标人按规定的金额缴入采购人指定账户。</w:t>
            </w:r>
          </w:p>
          <w:p w14:paraId="5781E77F">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3.履约保证金退付方式、时间及条件：售后服务验收合格后五个工作日内退还（无息）。</w:t>
            </w:r>
          </w:p>
          <w:p w14:paraId="6782D9A2">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开户名称：广西壮族自治区动物疫病预防控制中心</w:t>
            </w:r>
          </w:p>
          <w:p w14:paraId="634692A3">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开户银行：农行南宁科技支行</w:t>
            </w:r>
          </w:p>
          <w:p w14:paraId="0118F127">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银行账号：20015701040000032</w:t>
            </w:r>
          </w:p>
          <w:p w14:paraId="5717303A">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中标合同金额100万元或以上的，中标人可以按照《广西壮族自治区财政厅关于在政府采购活动中推广使用电子保函的通知》（桂财采〔2023〕92号）文件要求采用保函方式提交履约保证金；若中标人采用保函以外的方式提交履约保证金的，应选用对公开户行为中国农业银行股份有限公司的，以便采购人后期快捷办理退付手续。</w:t>
            </w:r>
          </w:p>
        </w:tc>
      </w:tr>
      <w:tr w14:paraId="652F0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66A95B24">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▲验收要求</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740C69E6">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1.农业农村部执行批签发的产品，中标人发出的每个批次的货物必须随货附有中国兽医药品监察所的批签发报告复印件，并加盖投标企业、厂家的公章，否则，采购人可拒绝接受验货。</w:t>
            </w:r>
          </w:p>
          <w:p w14:paraId="47FDA3B0">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疫苗运至采购人指定地点后，由疫苗使用单位（广西动物疫病预防控制中心、广西14个市及所属的各县（市、区）动物疫病预防控制机构）对温度自动监控记录仪检查并打印疫苗运输过程的温度记录情况，符合疫苗保存温度要求的，方可进行验收。验收时，由采购单位人员对疫苗发货单及疫苗名称、剂型、批准文号、标签、数量、规格、生产日期、批号、有效期、运输过程冷藏车工作状态及温度记录等内容一一核验，并开箱抽查，出现下列情况的，采购人一律拒收：</w:t>
            </w:r>
          </w:p>
          <w:p w14:paraId="77691A81">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2.1运输过程无防晒、防破碎措施，温度自动监控记录仪的温度记录无法打印或虽能打印但疫苗运输储存温度不符合要求的；</w:t>
            </w:r>
          </w:p>
          <w:p w14:paraId="7B0B5EC2">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2.2产品包装、使用说明书或产品标示的企业名称、疫苗种类、剂型、批准文号、标签、数量、规格、生产日期、批号、有效期等不符合要求的；</w:t>
            </w:r>
          </w:p>
          <w:p w14:paraId="2D4341EA">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2.3外观检查，产品破损、包装容器破漏或内有异物、凝块、絮状物、霉团，或破乳分层、变色、变质等情况的；</w:t>
            </w:r>
          </w:p>
          <w:p w14:paraId="655F68F5">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2.4兽药监察机构抽检不合格的；</w:t>
            </w:r>
          </w:p>
          <w:p w14:paraId="6E6D7ADB">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2.5不符合合同规定的。</w:t>
            </w:r>
          </w:p>
          <w:p w14:paraId="062274C3">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3.采购人根据发货清单验收，验收时双方（采购人和中标人）签字、盖章。采购人凭双方签字、盖章的发货清单、验收结算单付款。</w:t>
            </w:r>
          </w:p>
          <w:p w14:paraId="08835B54">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4.对验收不合格的产品，中标人应无条件退换。</w:t>
            </w:r>
          </w:p>
          <w:p w14:paraId="05F1D0E7">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5.验收标准：符合现行国家相关标准以及本项目的招标文件、中标人投标文件、采购合同以及补充协议（如有）的要求。</w:t>
            </w:r>
          </w:p>
        </w:tc>
      </w:tr>
      <w:tr w14:paraId="6B7EF5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2"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6F892BC2">
            <w:pPr>
              <w:spacing w:before="120" w:beforeLines="50" w:after="120" w:afterLines="50"/>
              <w:rPr>
                <w:rFonts w:ascii="宋体" w:hAnsi="宋体"/>
                <w:color w:val="auto"/>
                <w:szCs w:val="21"/>
                <w:highlight w:val="none"/>
              </w:rPr>
            </w:pPr>
            <w:r>
              <w:rPr>
                <w:rFonts w:hint="eastAsia" w:ascii="宋体" w:hAnsi="宋体"/>
                <w:color w:val="auto"/>
                <w:szCs w:val="21"/>
                <w:highlight w:val="none"/>
              </w:rPr>
              <w:t>▲产品抽检</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68806A36">
            <w:pPr>
              <w:spacing w:before="120" w:beforeLines="50" w:after="120" w:afterLines="50"/>
              <w:ind w:right="-57" w:rightChars="-27" w:firstLine="420" w:firstLineChars="200"/>
              <w:jc w:val="left"/>
              <w:rPr>
                <w:rFonts w:ascii="宋体" w:hAnsi="宋体"/>
                <w:color w:val="auto"/>
                <w:szCs w:val="21"/>
                <w:highlight w:val="none"/>
              </w:rPr>
            </w:pPr>
            <w:r>
              <w:rPr>
                <w:rFonts w:hint="eastAsia" w:ascii="宋体" w:hAnsi="宋体"/>
                <w:color w:val="auto"/>
                <w:szCs w:val="21"/>
                <w:highlight w:val="none"/>
              </w:rPr>
              <w:t>采购人可根据需要，在疫苗验收入库时对中标人提供的产品随机抽取样品（在中标人代表现场见证情况下），并委托第三方机构进行盲样检验。若供应的产品经检验存在不符合国家要求的，按“质量责任”第2条处理；未达到投标承诺的中标人应立即整改、兑现承诺，并承担因此造成的损失。抽检费用由该中标人承担。</w:t>
            </w:r>
          </w:p>
        </w:tc>
      </w:tr>
      <w:tr w14:paraId="625FB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392DB2BB">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▲质量责任</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00C6C063">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中标人供货产品应是完全符合国家标准规定的质量、性能和技术规格（包括包装上印刷的产品名称、文号、批号、商标、规格、失效日期、贮存条件、防伪标识、作用与用途、用法与用量、企业名称等）的产品，并达到采购人提出的其它要求。保证在规定温度、贮藏条件下运送，</w:t>
            </w:r>
            <w:r>
              <w:rPr>
                <w:rFonts w:hint="eastAsia" w:ascii="宋体" w:hAnsi="宋体"/>
                <w:b/>
                <w:color w:val="auto"/>
                <w:szCs w:val="21"/>
                <w:highlight w:val="none"/>
                <w:u w:val="single"/>
              </w:rPr>
              <w:t>在投标文件中承诺的质量保证期内对任何质量问题负责</w:t>
            </w:r>
            <w:r>
              <w:rPr>
                <w:rFonts w:hint="eastAsia" w:ascii="宋体" w:hAnsi="宋体"/>
                <w:color w:val="auto"/>
                <w:szCs w:val="21"/>
                <w:highlight w:val="none"/>
              </w:rPr>
              <w:t>。</w:t>
            </w:r>
          </w:p>
          <w:p w14:paraId="6BEF2EAD">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若供应的产品经检验存在不符合国家规定要求等质量问题，或变更佐剂的，采购人可立即终止供货合同，将违约行为上报政府采购监督管理部门，依法接受财政部门处罚，中标人自行承担被列入政府采购黑名单的责任。</w:t>
            </w:r>
          </w:p>
          <w:p w14:paraId="363A5352">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3.中标人应及时、妥善处理免疫应激反应补偿事宜，或委托有关单位处理，以确保采购人、使用方的权益。</w:t>
            </w:r>
          </w:p>
          <w:p w14:paraId="74916122">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4.在规定的免疫保护期内，免疫后的动物仍然发生疫情的，双方组成调查组查明原因，如确因疫苗质量问题引起的，中标人按“售前、售中、售后服务要求”的第“5”点提出要求执行。</w:t>
            </w:r>
          </w:p>
          <w:p w14:paraId="4896DAD8">
            <w:pPr>
              <w:spacing w:before="120" w:beforeLines="50" w:after="120" w:afterLines="50"/>
              <w:ind w:firstLine="420" w:firstLineChars="200"/>
              <w:rPr>
                <w:rFonts w:hint="eastAsia" w:ascii="宋体" w:hAnsi="宋体" w:cs="宋体"/>
                <w:color w:val="auto"/>
                <w:szCs w:val="21"/>
                <w:highlight w:val="none"/>
              </w:rPr>
            </w:pPr>
            <w:r>
              <w:rPr>
                <w:rFonts w:hint="eastAsia" w:ascii="宋体" w:hAnsi="宋体"/>
                <w:color w:val="auto"/>
                <w:szCs w:val="21"/>
                <w:highlight w:val="none"/>
              </w:rPr>
              <w:t>5.满足招标文件提出的其他要求。</w:t>
            </w:r>
          </w:p>
        </w:tc>
      </w:tr>
      <w:tr w14:paraId="68D255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345FE2FB">
            <w:pPr>
              <w:snapToGrid w:val="0"/>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▲报价要求</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086113D2">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本次报价须为人民币报价，投标报价是履行合同的最终价格，应包括设备及服务需求要求所需的一切费用总和，除另有约定外，中标价不因任何因素而调整：</w:t>
            </w:r>
          </w:p>
          <w:p w14:paraId="0F97770B">
            <w:pPr>
              <w:pStyle w:val="24"/>
              <w:snapToGrid w:val="0"/>
              <w:spacing w:before="120" w:beforeLines="50" w:after="120" w:afterLines="50"/>
              <w:ind w:firstLine="400" w:firstLineChars="200"/>
              <w:rPr>
                <w:rFonts w:hint="eastAsia" w:hAnsi="宋体"/>
                <w:color w:val="auto"/>
                <w:sz w:val="21"/>
                <w:highlight w:val="none"/>
              </w:rPr>
            </w:pPr>
            <w:r>
              <w:rPr>
                <w:rFonts w:hint="eastAsia" w:hAnsi="宋体"/>
                <w:color w:val="auto"/>
                <w:highlight w:val="none"/>
              </w:rPr>
              <w:t>货物完整报价包括货物税金、疫苗稀释液、运至最终目的地运输、储存、搬运、检测及抽检、验收（含换货验收）、保险以及伴随货物服务的有关一切费用（包括差旅、培训、疫苗使用效果监测、免疫应激反应处理、死亡畜禽补偿、免疫失败引发疫情时应急处置及确保疫苗质量及使用效果的其它相关服务等所有费用）。</w:t>
            </w:r>
          </w:p>
        </w:tc>
      </w:tr>
      <w:tr w14:paraId="341E3D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79A3D4B2">
            <w:pPr>
              <w:snapToGrid w:val="0"/>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▲合同终止</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44C58CED">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在下列情况下，采购人有权向采购监督管理部门汇报后，经批准，采购人向中标人提出合同自然终止：</w:t>
            </w:r>
          </w:p>
          <w:p w14:paraId="01EDF2A9">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1.无法按采购人确定的供货期限供货的。</w:t>
            </w:r>
          </w:p>
          <w:p w14:paraId="3315652D">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2.因产品质量等原因造成最终用户不接受中标人的货物。</w:t>
            </w:r>
          </w:p>
          <w:p w14:paraId="37B84017">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3.产品发生重大质量事故。</w:t>
            </w:r>
          </w:p>
          <w:p w14:paraId="46108CBD">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4.产品批准文号被吊销。</w:t>
            </w:r>
          </w:p>
          <w:p w14:paraId="1DA5BFFB">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5.财政部门款项不到位。</w:t>
            </w:r>
          </w:p>
          <w:p w14:paraId="264B1659">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6.国家政策发生改变。</w:t>
            </w:r>
          </w:p>
        </w:tc>
      </w:tr>
      <w:tr w14:paraId="6D601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10118550">
            <w:pPr>
              <w:snapToGrid w:val="0"/>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▲其他要求</w:t>
            </w:r>
          </w:p>
        </w:tc>
        <w:tc>
          <w:tcPr>
            <w:tcW w:w="4319" w:type="pct"/>
            <w:gridSpan w:val="2"/>
            <w:tcBorders>
              <w:top w:val="single" w:color="auto" w:sz="4" w:space="0"/>
              <w:left w:val="single" w:color="auto" w:sz="4" w:space="0"/>
              <w:bottom w:val="single" w:color="auto" w:sz="4" w:space="0"/>
              <w:right w:val="single" w:color="auto" w:sz="4" w:space="0"/>
            </w:tcBorders>
            <w:noWrap w:val="0"/>
            <w:vAlign w:val="center"/>
          </w:tcPr>
          <w:p w14:paraId="7C1BFCE6">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1.如遇国家和广西壮族自治区防疫政策调整，采购人可要求中标人免费更换为使用农业农村部批准的其他疫苗毒株生产的相应疫苗。</w:t>
            </w:r>
          </w:p>
          <w:p w14:paraId="085327F8">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2.为确保紧急防控时动物疫苗能及时调拨到位，国家强制免疫疫苗投标人应承诺为采购人在广西南宁租用临时疫苗储备库及在广西境内运输疫苗提供必要协助（</w:t>
            </w:r>
            <w:r>
              <w:rPr>
                <w:rFonts w:hint="eastAsia" w:ascii="宋体" w:hAnsi="宋体"/>
                <w:b/>
                <w:color w:val="auto"/>
                <w:szCs w:val="21"/>
                <w:highlight w:val="none"/>
                <w:u w:val="single"/>
              </w:rPr>
              <w:t>需在投标文件中有较具体的方案或措施</w:t>
            </w:r>
            <w:r>
              <w:rPr>
                <w:rFonts w:hint="eastAsia" w:ascii="宋体" w:hAnsi="宋体"/>
                <w:color w:val="auto"/>
                <w:szCs w:val="21"/>
                <w:highlight w:val="none"/>
              </w:rPr>
              <w:t>）。相关费用应包含在本次报价中，采购人不再另行支付。</w:t>
            </w:r>
          </w:p>
          <w:p w14:paraId="1394EFF3">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凡涉及要求提供检验报告或检测报告的（含评审加分项），中标人须在签订合同后的规定期限内将相关原件提供给采购人核对，如发现中标人提供虚假材料牟取中标的，将向财政部门报告，取消其中标资格并按财政部门规定予以处罚。</w:t>
            </w:r>
          </w:p>
        </w:tc>
      </w:tr>
      <w:tr w14:paraId="5BE2F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45E1135A">
            <w:pPr>
              <w:spacing w:before="120" w:beforeLines="50" w:after="120" w:afterLines="50"/>
              <w:rPr>
                <w:rFonts w:hint="eastAsia" w:ascii="宋体" w:hAnsi="宋体"/>
                <w:b/>
                <w:color w:val="auto"/>
                <w:szCs w:val="21"/>
                <w:highlight w:val="none"/>
              </w:rPr>
            </w:pPr>
            <w:r>
              <w:rPr>
                <w:rFonts w:hint="eastAsia" w:ascii="宋体" w:hAnsi="宋体"/>
                <w:b/>
                <w:bCs/>
                <w:color w:val="auto"/>
                <w:szCs w:val="21"/>
                <w:highlight w:val="none"/>
              </w:rPr>
              <w:t>二、与实现项目目标相关的其他要求</w:t>
            </w:r>
          </w:p>
        </w:tc>
      </w:tr>
      <w:tr w14:paraId="73A1DF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2CD92103">
            <w:pPr>
              <w:spacing w:before="120" w:beforeLines="50" w:after="120" w:afterLines="50"/>
              <w:rPr>
                <w:rFonts w:hint="eastAsia" w:ascii="宋体" w:hAnsi="宋体"/>
                <w:b/>
                <w:color w:val="auto"/>
                <w:szCs w:val="21"/>
                <w:highlight w:val="none"/>
              </w:rPr>
            </w:pPr>
            <w:r>
              <w:rPr>
                <w:rFonts w:hint="eastAsia" w:ascii="宋体" w:hAnsi="宋体"/>
                <w:b/>
                <w:color w:val="auto"/>
                <w:szCs w:val="21"/>
                <w:highlight w:val="none"/>
              </w:rPr>
              <w:t>（一）投标人的履约能力要求</w:t>
            </w:r>
          </w:p>
        </w:tc>
      </w:tr>
      <w:tr w14:paraId="0C9DA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1383" w:type="pct"/>
            <w:gridSpan w:val="2"/>
            <w:tcBorders>
              <w:top w:val="single" w:color="auto" w:sz="4" w:space="0"/>
              <w:left w:val="single" w:color="auto" w:sz="4" w:space="0"/>
              <w:bottom w:val="single" w:color="auto" w:sz="4" w:space="0"/>
              <w:right w:val="single" w:color="auto" w:sz="4" w:space="0"/>
            </w:tcBorders>
            <w:noWrap w:val="0"/>
            <w:vAlign w:val="center"/>
          </w:tcPr>
          <w:p w14:paraId="121090BF">
            <w:pPr>
              <w:spacing w:before="120" w:beforeLines="50" w:after="120" w:afterLines="50"/>
              <w:rPr>
                <w:rFonts w:ascii="宋体" w:hAnsi="宋体"/>
                <w:color w:val="auto"/>
                <w:szCs w:val="21"/>
                <w:highlight w:val="none"/>
              </w:rPr>
            </w:pPr>
            <w:r>
              <w:rPr>
                <w:rFonts w:hint="eastAsia" w:ascii="宋体" w:hAnsi="宋体"/>
                <w:color w:val="auto"/>
                <w:szCs w:val="21"/>
                <w:highlight w:val="none"/>
              </w:rPr>
              <w:t>质量管理、企业信用要求</w:t>
            </w:r>
          </w:p>
        </w:tc>
        <w:tc>
          <w:tcPr>
            <w:tcW w:w="3616" w:type="pct"/>
            <w:tcBorders>
              <w:top w:val="single" w:color="auto" w:sz="4" w:space="0"/>
              <w:left w:val="single" w:color="auto" w:sz="4" w:space="0"/>
              <w:bottom w:val="single" w:color="auto" w:sz="4" w:space="0"/>
              <w:right w:val="single" w:color="auto" w:sz="4" w:space="0"/>
            </w:tcBorders>
            <w:noWrap w:val="0"/>
            <w:vAlign w:val="center"/>
          </w:tcPr>
          <w:p w14:paraId="2EE7B726">
            <w:pPr>
              <w:spacing w:before="120" w:beforeLines="50" w:after="120" w:afterLines="50"/>
              <w:rPr>
                <w:rFonts w:ascii="宋体" w:hAnsi="宋体"/>
                <w:color w:val="auto"/>
                <w:szCs w:val="21"/>
                <w:highlight w:val="none"/>
              </w:rPr>
            </w:pPr>
            <w:r>
              <w:rPr>
                <w:rFonts w:hint="eastAsia" w:ascii="宋体" w:hAnsi="宋体"/>
                <w:color w:val="auto"/>
                <w:szCs w:val="21"/>
                <w:highlight w:val="none"/>
              </w:rPr>
              <w:t>如有，请结合本招标文件第四章“评标办法及评分标准”在投标文件中自行提供。</w:t>
            </w:r>
          </w:p>
        </w:tc>
      </w:tr>
      <w:tr w14:paraId="30D1A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3" w:type="pct"/>
            <w:gridSpan w:val="2"/>
            <w:tcBorders>
              <w:top w:val="single" w:color="auto" w:sz="4" w:space="0"/>
              <w:left w:val="single" w:color="auto" w:sz="4" w:space="0"/>
              <w:bottom w:val="single" w:color="auto" w:sz="4" w:space="0"/>
              <w:right w:val="single" w:color="auto" w:sz="4" w:space="0"/>
            </w:tcBorders>
            <w:noWrap w:val="0"/>
            <w:vAlign w:val="center"/>
          </w:tcPr>
          <w:p w14:paraId="3ED213AC">
            <w:pPr>
              <w:spacing w:before="120" w:beforeLines="50" w:after="120" w:afterLines="50"/>
              <w:rPr>
                <w:rFonts w:ascii="宋体" w:hAnsi="宋体"/>
                <w:color w:val="auto"/>
                <w:szCs w:val="21"/>
                <w:highlight w:val="none"/>
              </w:rPr>
            </w:pPr>
            <w:r>
              <w:rPr>
                <w:rFonts w:hint="eastAsia" w:ascii="宋体" w:hAnsi="宋体"/>
                <w:color w:val="auto"/>
                <w:szCs w:val="21"/>
                <w:highlight w:val="none"/>
              </w:rPr>
              <w:t>能力或者业绩要求</w:t>
            </w:r>
          </w:p>
        </w:tc>
        <w:tc>
          <w:tcPr>
            <w:tcW w:w="3616" w:type="pct"/>
            <w:tcBorders>
              <w:top w:val="single" w:color="auto" w:sz="4" w:space="0"/>
              <w:left w:val="single" w:color="auto" w:sz="4" w:space="0"/>
              <w:bottom w:val="single" w:color="auto" w:sz="4" w:space="0"/>
              <w:right w:val="single" w:color="auto" w:sz="4" w:space="0"/>
            </w:tcBorders>
            <w:noWrap w:val="0"/>
            <w:vAlign w:val="center"/>
          </w:tcPr>
          <w:p w14:paraId="5616E775">
            <w:pPr>
              <w:spacing w:before="120" w:beforeLines="50" w:after="120" w:afterLines="50"/>
              <w:rPr>
                <w:rFonts w:ascii="宋体" w:hAnsi="宋体"/>
                <w:color w:val="auto"/>
                <w:szCs w:val="21"/>
                <w:highlight w:val="none"/>
              </w:rPr>
            </w:pPr>
            <w:r>
              <w:rPr>
                <w:rFonts w:hint="eastAsia" w:ascii="宋体" w:hAnsi="宋体"/>
                <w:color w:val="auto"/>
                <w:szCs w:val="21"/>
                <w:highlight w:val="none"/>
              </w:rPr>
              <w:t>如有，请结合本招标文件第四章“评标办法及评分标准”在投标文件中自行提供。</w:t>
            </w:r>
          </w:p>
        </w:tc>
      </w:tr>
      <w:tr w14:paraId="7C076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0E978AD5">
            <w:pPr>
              <w:spacing w:before="120" w:beforeLines="50" w:after="120" w:afterLines="50"/>
              <w:rPr>
                <w:rFonts w:hint="eastAsia" w:ascii="宋体" w:hAnsi="宋体"/>
                <w:b/>
                <w:color w:val="auto"/>
                <w:szCs w:val="21"/>
                <w:highlight w:val="none"/>
              </w:rPr>
            </w:pPr>
            <w:r>
              <w:rPr>
                <w:rFonts w:hint="eastAsia" w:ascii="宋体" w:hAnsi="宋体"/>
                <w:b/>
                <w:color w:val="auto"/>
                <w:szCs w:val="21"/>
                <w:highlight w:val="none"/>
              </w:rPr>
              <w:t>（二）政策性加分条件</w:t>
            </w:r>
          </w:p>
        </w:tc>
      </w:tr>
      <w:tr w14:paraId="6E52B9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01FFC218">
            <w:pPr>
              <w:spacing w:before="120" w:beforeLines="50" w:after="120" w:afterLines="50"/>
              <w:rPr>
                <w:rFonts w:hint="eastAsia" w:ascii="宋体" w:hAnsi="宋体"/>
                <w:color w:val="auto"/>
                <w:szCs w:val="21"/>
                <w:highlight w:val="none"/>
              </w:rPr>
            </w:pPr>
            <w:r>
              <w:rPr>
                <w:rFonts w:hint="eastAsia" w:ascii="宋体" w:hAnsi="宋体"/>
                <w:color w:val="auto"/>
                <w:szCs w:val="21"/>
                <w:highlight w:val="none"/>
              </w:rPr>
              <w:t>符合节能环保等国家政策要求。</w:t>
            </w:r>
          </w:p>
        </w:tc>
      </w:tr>
      <w:tr w14:paraId="4577B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4FC39DB5">
            <w:pPr>
              <w:tabs>
                <w:tab w:val="left" w:pos="180"/>
                <w:tab w:val="left" w:pos="1620"/>
              </w:tabs>
              <w:spacing w:before="120" w:beforeLines="50" w:after="120" w:afterLines="50"/>
              <w:rPr>
                <w:rFonts w:ascii="宋体" w:hAnsi="宋体" w:cs="宋体"/>
                <w:bCs/>
                <w:color w:val="auto"/>
                <w:szCs w:val="21"/>
                <w:highlight w:val="none"/>
              </w:rPr>
            </w:pPr>
            <w:r>
              <w:rPr>
                <w:rFonts w:hint="eastAsia" w:ascii="宋体" w:hAnsi="宋体"/>
                <w:b/>
                <w:color w:val="auto"/>
                <w:szCs w:val="21"/>
                <w:highlight w:val="none"/>
              </w:rPr>
              <w:t>（三）验收事项其他说明</w:t>
            </w:r>
          </w:p>
        </w:tc>
      </w:tr>
      <w:tr w14:paraId="09AC80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3835BB3C">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本章《采购需求》有其他要求的按其要求。</w:t>
            </w:r>
          </w:p>
          <w:p w14:paraId="7F5A36B4">
            <w:pPr>
              <w:spacing w:before="120" w:beforeLines="50" w:after="120" w:afterLines="50"/>
              <w:ind w:firstLine="420" w:firstLineChars="200"/>
              <w:rPr>
                <w:rFonts w:ascii="宋体" w:hAnsi="宋体"/>
                <w:color w:val="auto"/>
                <w:szCs w:val="21"/>
                <w:highlight w:val="none"/>
              </w:rPr>
            </w:pPr>
            <w:r>
              <w:rPr>
                <w:rFonts w:hint="eastAsia" w:ascii="宋体" w:hAnsi="宋体"/>
                <w:color w:val="auto"/>
                <w:szCs w:val="21"/>
                <w:highlight w:val="none"/>
              </w:rPr>
              <w:t>2.其他未尽事宜应严格按照《关于印发广西壮族自治区政府采购项目履约验收管理办法的通知》[桂财采〔2015〕22号]以及《财政部关于进一步加强政府采购需求和履约验收管理的指导意见》[财库〔2016〕205号]规定执行。</w:t>
            </w:r>
          </w:p>
          <w:p w14:paraId="355C69AF">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验收过程中，除另有约定的以外，验收费用（含产品检测及抽检、项目交货验收、换货验收等）均由中标人承担。报价时应考虑相关费用。</w:t>
            </w:r>
          </w:p>
          <w:p w14:paraId="1F03C0A6">
            <w:pPr>
              <w:spacing w:before="120" w:beforeLines="50" w:after="120" w:afterLines="50"/>
              <w:ind w:firstLine="411" w:firstLineChars="196"/>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产品实行强制标准认证制度、生产许可证制度、销售或经营许可证制度、注册证制度的，中标人均应提供相关有效的证书复印件。</w:t>
            </w:r>
          </w:p>
        </w:tc>
      </w:tr>
      <w:tr w14:paraId="13EA3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2AA89A34">
            <w:pPr>
              <w:spacing w:before="120" w:beforeLines="50" w:after="120" w:afterLines="50"/>
              <w:rPr>
                <w:rFonts w:ascii="宋体" w:hAnsi="宋体"/>
                <w:color w:val="auto"/>
                <w:szCs w:val="21"/>
                <w:highlight w:val="none"/>
              </w:rPr>
            </w:pPr>
            <w:r>
              <w:rPr>
                <w:rFonts w:hint="eastAsia" w:ascii="宋体" w:hAnsi="宋体"/>
                <w:b/>
                <w:color w:val="auto"/>
                <w:szCs w:val="21"/>
                <w:highlight w:val="none"/>
              </w:rPr>
              <w:t>（四）进口产品及核心产品说明</w:t>
            </w:r>
          </w:p>
        </w:tc>
      </w:tr>
      <w:tr w14:paraId="04F90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63C74D46">
            <w:pPr>
              <w:spacing w:before="120" w:beforeLines="50" w:after="120" w:afterLines="50"/>
              <w:ind w:firstLine="435"/>
              <w:rPr>
                <w:rFonts w:ascii="宋体" w:hAnsi="宋体"/>
                <w:color w:val="auto"/>
                <w:szCs w:val="21"/>
                <w:highlight w:val="none"/>
              </w:rPr>
            </w:pPr>
            <w:r>
              <w:rPr>
                <w:rFonts w:hint="eastAsia" w:ascii="宋体" w:hAnsi="宋体"/>
                <w:color w:val="auto"/>
                <w:szCs w:val="21"/>
                <w:highlight w:val="none"/>
              </w:rPr>
              <w:t>▲1.本分标货物不接受进口产品（即通过中国海关报关验放进入中国境内且产自关境外的产品）参与投标，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如有进口产品参与投标的作无效标处理</w:t>
            </w:r>
            <w:r>
              <w:rPr>
                <w:rFonts w:hint="eastAsia" w:ascii="宋体" w:hAnsi="宋体"/>
                <w:color w:val="auto"/>
                <w:szCs w:val="21"/>
                <w:highlight w:val="none"/>
              </w:rPr>
              <w:t>。</w:t>
            </w:r>
          </w:p>
          <w:p w14:paraId="29D5625B">
            <w:pPr>
              <w:spacing w:before="120" w:beforeLines="50" w:after="120" w:afterLines="50"/>
              <w:ind w:firstLine="435"/>
              <w:rPr>
                <w:rFonts w:hint="eastAsia" w:ascii="宋体" w:hAnsi="宋体"/>
                <w:b/>
                <w:color w:val="auto"/>
                <w:szCs w:val="21"/>
                <w:highlight w:val="none"/>
              </w:rPr>
            </w:pPr>
            <w:r>
              <w:rPr>
                <w:rFonts w:hint="eastAsia" w:ascii="宋体" w:hAnsi="宋体"/>
                <w:b/>
                <w:bCs/>
                <w:color w:val="auto"/>
                <w:szCs w:val="21"/>
                <w:highlight w:val="none"/>
                <w:u w:val="single"/>
              </w:rPr>
              <w:t>2</w:t>
            </w:r>
            <w:r>
              <w:rPr>
                <w:rFonts w:ascii="宋体" w:hAnsi="宋体"/>
                <w:b/>
                <w:bCs/>
                <w:color w:val="auto"/>
                <w:szCs w:val="21"/>
                <w:highlight w:val="none"/>
                <w:u w:val="single"/>
              </w:rPr>
              <w:t>.</w:t>
            </w:r>
            <w:r>
              <w:rPr>
                <w:rFonts w:hint="eastAsia" w:ascii="宋体" w:hAnsi="宋体"/>
                <w:b/>
                <w:bCs/>
                <w:color w:val="auto"/>
                <w:szCs w:val="21"/>
                <w:highlight w:val="none"/>
                <w:u w:val="singl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r>
              <w:rPr>
                <w:rFonts w:hint="eastAsia" w:ascii="宋体" w:hAnsi="宋体"/>
                <w:color w:val="auto"/>
                <w:szCs w:val="21"/>
                <w:highlight w:val="none"/>
              </w:rPr>
              <w:t>。</w:t>
            </w:r>
          </w:p>
        </w:tc>
      </w:tr>
      <w:tr w14:paraId="325AF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036DCB69">
            <w:pPr>
              <w:spacing w:before="120" w:beforeLines="50" w:after="120" w:afterLines="50"/>
              <w:rPr>
                <w:rFonts w:hint="eastAsia" w:ascii="宋体" w:hAnsi="宋体"/>
                <w:b/>
                <w:color w:val="auto"/>
                <w:szCs w:val="21"/>
                <w:highlight w:val="none"/>
              </w:rPr>
            </w:pPr>
            <w:r>
              <w:rPr>
                <w:rFonts w:hint="eastAsia" w:ascii="宋体" w:hAnsi="宋体"/>
                <w:b/>
                <w:color w:val="auto"/>
                <w:szCs w:val="21"/>
                <w:highlight w:val="none"/>
              </w:rPr>
              <w:t>（五）其他要求</w:t>
            </w:r>
          </w:p>
        </w:tc>
      </w:tr>
      <w:tr w14:paraId="715DBB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382B3862">
            <w:pPr>
              <w:spacing w:before="120" w:beforeLines="50" w:after="120" w:afterLines="50"/>
              <w:ind w:firstLine="420" w:firstLineChars="200"/>
              <w:rPr>
                <w:rFonts w:hint="eastAsia" w:ascii="宋体" w:hAnsi="宋体"/>
                <w:color w:val="auto"/>
                <w:szCs w:val="21"/>
                <w:highlight w:val="none"/>
              </w:rPr>
            </w:pPr>
            <w:r>
              <w:rPr>
                <w:rFonts w:hint="eastAsia" w:ascii="宋体" w:hAnsi="宋体"/>
                <w:color w:val="auto"/>
                <w:szCs w:val="21"/>
                <w:highlight w:val="none"/>
              </w:rPr>
              <w:t>1.投标人结合自身能力及本项目采购需求，在投标文件中提供相应的售前、售中和售后服务方案，包括但不限于：①对接方案、②疫苗运输质量保障方案、③培训、④监测、⑤应激反应处置、⑥疫苗质量问题及免疫失败应急处置、⑦确保疫苗运输、贮藏、使用各环节的质量和使用效果的其他相关服务方案等。</w:t>
            </w:r>
          </w:p>
          <w:p w14:paraId="278D9698">
            <w:pPr>
              <w:pStyle w:val="16"/>
              <w:ind w:firstLine="420" w:firstLineChars="200"/>
              <w:rPr>
                <w:rFonts w:hint="eastAsia" w:ascii="宋体" w:hAnsi="宋体"/>
                <w:b/>
                <w:color w:val="auto"/>
                <w:szCs w:val="21"/>
                <w:highlight w:val="none"/>
              </w:rPr>
            </w:pPr>
            <w:r>
              <w:rPr>
                <w:rFonts w:hint="eastAsia" w:ascii="宋体" w:hAnsi="宋体"/>
                <w:color w:val="auto"/>
                <w:szCs w:val="21"/>
                <w:highlight w:val="none"/>
              </w:rPr>
              <w:t>2.如有，请</w:t>
            </w:r>
            <w:r>
              <w:rPr>
                <w:rFonts w:hint="eastAsia"/>
                <w:color w:val="auto"/>
                <w:highlight w:val="none"/>
                <w:lang w:val="en-US" w:eastAsia="zh-CN"/>
              </w:rPr>
              <w:t>在</w:t>
            </w:r>
            <w:r>
              <w:rPr>
                <w:rFonts w:hint="eastAsia" w:ascii="宋体" w:hAnsi="宋体"/>
                <w:color w:val="auto"/>
                <w:szCs w:val="21"/>
                <w:highlight w:val="none"/>
              </w:rPr>
              <w:t>投标文件中提供技术能力相关证明，包含但不限于工艺技术设备及综合实力、信誉、业绩、合同履行用户评价意见（合同履行用户评价意见以用户出具并加盖公章的复印件为准）等内容。</w:t>
            </w:r>
          </w:p>
        </w:tc>
      </w:tr>
      <w:tr w14:paraId="25C3FB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48C9F346">
            <w:pPr>
              <w:spacing w:before="120" w:beforeLines="50" w:after="120" w:afterLines="50"/>
              <w:rPr>
                <w:rFonts w:hint="eastAsia" w:ascii="宋体" w:hAnsi="宋体"/>
                <w:color w:val="auto"/>
                <w:szCs w:val="21"/>
                <w:highlight w:val="none"/>
              </w:rPr>
            </w:pPr>
            <w:r>
              <w:rPr>
                <w:rFonts w:hint="eastAsia" w:ascii="宋体" w:hAnsi="宋体"/>
                <w:b/>
                <w:color w:val="auto"/>
                <w:szCs w:val="21"/>
                <w:highlight w:val="none"/>
              </w:rPr>
              <w:t>三</w:t>
            </w:r>
            <w:r>
              <w:rPr>
                <w:rFonts w:ascii="宋体" w:hAnsi="宋体"/>
                <w:b/>
                <w:color w:val="auto"/>
                <w:szCs w:val="21"/>
                <w:highlight w:val="none"/>
              </w:rPr>
              <w:t>、其他说明</w:t>
            </w:r>
          </w:p>
        </w:tc>
      </w:tr>
      <w:tr w14:paraId="19D79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69B0DA9B">
            <w:pPr>
              <w:spacing w:before="120" w:beforeLines="50" w:after="120" w:afterLines="50"/>
              <w:ind w:firstLine="422" w:firstLineChars="200"/>
              <w:rPr>
                <w:rFonts w:hint="eastAsia" w:ascii="宋体" w:hAnsi="宋体"/>
                <w:color w:val="auto"/>
                <w:spacing w:val="-4"/>
                <w:szCs w:val="21"/>
                <w:highlight w:val="none"/>
              </w:rPr>
            </w:pPr>
            <w:r>
              <w:rPr>
                <w:rFonts w:hint="eastAsia" w:ascii="宋体" w:hAnsi="宋体"/>
                <w:b/>
                <w:bCs/>
                <w:color w:val="auto"/>
                <w:szCs w:val="21"/>
                <w:highlight w:val="none"/>
                <w:u w:val="single"/>
              </w:rPr>
              <w:t>▲各分标最高限价已在第一章“招标公告”中列明，评审时以各分标最高限价为评审依据，投标人所投分标投标报价超最高限价的作</w:t>
            </w:r>
            <w:r>
              <w:rPr>
                <w:rFonts w:hint="eastAsia" w:ascii="宋体" w:hAnsi="宋体"/>
                <w:b/>
                <w:color w:val="auto"/>
                <w:szCs w:val="21"/>
                <w:highlight w:val="none"/>
                <w:u w:val="single"/>
              </w:rPr>
              <w:t>无效投标处理</w:t>
            </w:r>
            <w:r>
              <w:rPr>
                <w:rFonts w:hint="eastAsia" w:ascii="宋体" w:hAnsi="宋体"/>
                <w:color w:val="auto"/>
                <w:szCs w:val="21"/>
                <w:highlight w:val="none"/>
              </w:rPr>
              <w:t>。</w:t>
            </w:r>
          </w:p>
        </w:tc>
      </w:tr>
    </w:tbl>
    <w:p w14:paraId="15F4F808">
      <w:pPr>
        <w:spacing w:before="120" w:beforeLines="50" w:after="120" w:afterLines="50"/>
        <w:rPr>
          <w:rFonts w:hint="eastAsia" w:ascii="宋体" w:hAnsi="宋体"/>
          <w:color w:val="auto"/>
          <w:szCs w:val="21"/>
          <w:highlight w:val="none"/>
        </w:rPr>
      </w:pPr>
    </w:p>
    <w:p w14:paraId="1D55F7AA">
      <w:pPr>
        <w:rPr>
          <w:rFonts w:hint="eastAsia" w:ascii="宋体" w:hAnsi="宋体"/>
          <w:color w:val="auto"/>
          <w:szCs w:val="21"/>
          <w:highlight w:val="none"/>
        </w:rPr>
      </w:pPr>
      <w:r>
        <w:rPr>
          <w:rFonts w:hint="eastAsia" w:ascii="宋体" w:hAnsi="宋体"/>
          <w:color w:val="auto"/>
          <w:szCs w:val="21"/>
          <w:highlight w:val="none"/>
        </w:rPr>
        <w:br w:type="page"/>
      </w:r>
    </w:p>
    <w:p w14:paraId="56B99A1A">
      <w:pPr>
        <w:spacing w:line="360" w:lineRule="exact"/>
        <w:rPr>
          <w:rFonts w:hint="eastAsia" w:ascii="宋体" w:hAnsi="宋体"/>
          <w:color w:val="auto"/>
          <w:szCs w:val="21"/>
          <w:highlight w:val="none"/>
        </w:rPr>
      </w:pPr>
      <w:r>
        <w:rPr>
          <w:rFonts w:hint="eastAsia" w:ascii="宋体" w:hAnsi="宋体"/>
          <w:color w:val="auto"/>
          <w:szCs w:val="21"/>
          <w:highlight w:val="none"/>
        </w:rPr>
        <w:t>附表：</w:t>
      </w:r>
    </w:p>
    <w:p w14:paraId="21CB748D">
      <w:pPr>
        <w:spacing w:line="360" w:lineRule="exact"/>
        <w:rPr>
          <w:rFonts w:hint="eastAsia" w:ascii="宋体" w:hAnsi="宋体"/>
          <w:color w:val="auto"/>
          <w:szCs w:val="21"/>
          <w:highlight w:val="none"/>
        </w:rPr>
      </w:pPr>
    </w:p>
    <w:p w14:paraId="4200AAEB">
      <w:pPr>
        <w:spacing w:line="560" w:lineRule="exact"/>
        <w:jc w:val="center"/>
        <w:rPr>
          <w:rFonts w:hint="eastAsia" w:ascii="仿宋_GB2312" w:hAnsi="宋体" w:eastAsia="仿宋_GB2312"/>
          <w:b/>
          <w:color w:val="auto"/>
          <w:sz w:val="44"/>
          <w:szCs w:val="44"/>
          <w:highlight w:val="none"/>
        </w:rPr>
      </w:pPr>
      <w:r>
        <w:rPr>
          <w:rFonts w:hint="eastAsia" w:ascii="仿宋_GB2312" w:hAnsi="宋体" w:eastAsia="仿宋_GB2312"/>
          <w:b/>
          <w:color w:val="auto"/>
          <w:sz w:val="44"/>
          <w:szCs w:val="44"/>
          <w:highlight w:val="none"/>
        </w:rPr>
        <w:t>动物疫苗发货单</w:t>
      </w:r>
    </w:p>
    <w:p w14:paraId="3590E96A">
      <w:pPr>
        <w:spacing w:line="360" w:lineRule="auto"/>
        <w:rPr>
          <w:rFonts w:hint="eastAsia" w:ascii="仿宋_GB2312" w:eastAsia="仿宋_GB2312"/>
          <w:bCs/>
          <w:color w:val="auto"/>
          <w:sz w:val="24"/>
          <w:highlight w:val="none"/>
        </w:rPr>
      </w:pPr>
    </w:p>
    <w:p w14:paraId="31104554">
      <w:pPr>
        <w:spacing w:line="360" w:lineRule="atLeast"/>
        <w:rPr>
          <w:rFonts w:hint="eastAsia" w:ascii="宋体" w:hAnsi="宋体"/>
          <w:bCs/>
          <w:color w:val="auto"/>
          <w:szCs w:val="21"/>
          <w:highlight w:val="none"/>
          <w:u w:val="single"/>
        </w:rPr>
      </w:pPr>
      <w:r>
        <w:rPr>
          <w:rFonts w:hint="eastAsia" w:ascii="宋体" w:hAnsi="宋体"/>
          <w:bCs/>
          <w:color w:val="auto"/>
          <w:szCs w:val="21"/>
          <w:highlight w:val="none"/>
        </w:rPr>
        <w:t>发货单位（公章）：</w:t>
      </w:r>
    </w:p>
    <w:p w14:paraId="2A3279EB">
      <w:pPr>
        <w:spacing w:line="360" w:lineRule="atLeast"/>
        <w:rPr>
          <w:rFonts w:hint="eastAsia" w:ascii="宋体" w:hAnsi="宋体"/>
          <w:bCs/>
          <w:color w:val="auto"/>
          <w:szCs w:val="21"/>
          <w:highlight w:val="none"/>
        </w:rPr>
      </w:pPr>
      <w:r>
        <w:rPr>
          <w:rFonts w:hint="eastAsia" w:ascii="宋体" w:hAnsi="宋体"/>
          <w:bCs/>
          <w:color w:val="auto"/>
          <w:szCs w:val="21"/>
          <w:highlight w:val="none"/>
        </w:rPr>
        <w:t>发货时间：</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时</w:t>
      </w:r>
      <w:r>
        <w:rPr>
          <w:rFonts w:hint="eastAsia" w:ascii="宋体" w:hAnsi="宋体"/>
          <w:bCs/>
          <w:color w:val="auto"/>
          <w:szCs w:val="21"/>
          <w:highlight w:val="none"/>
          <w:u w:val="single"/>
        </w:rPr>
        <w:t xml:space="preserve">        </w:t>
      </w:r>
      <w:r>
        <w:rPr>
          <w:rFonts w:hint="eastAsia" w:ascii="宋体" w:hAnsi="宋体"/>
          <w:bCs/>
          <w:color w:val="auto"/>
          <w:szCs w:val="21"/>
          <w:highlight w:val="none"/>
        </w:rPr>
        <w:t>分</w:t>
      </w:r>
    </w:p>
    <w:p w14:paraId="5AB73385">
      <w:pPr>
        <w:spacing w:line="360" w:lineRule="atLeast"/>
        <w:rPr>
          <w:rFonts w:hint="eastAsia" w:ascii="宋体" w:hAnsi="宋体"/>
          <w:color w:val="auto"/>
          <w:szCs w:val="21"/>
          <w:highlight w:val="none"/>
        </w:rPr>
      </w:pPr>
      <w:r>
        <w:rPr>
          <w:rFonts w:hint="eastAsia" w:ascii="宋体" w:hAnsi="宋体"/>
          <w:bCs/>
          <w:color w:val="auto"/>
          <w:szCs w:val="21"/>
          <w:highlight w:val="none"/>
        </w:rPr>
        <w:t>货物清单：（不够填写可另附页）</w:t>
      </w:r>
    </w:p>
    <w:tbl>
      <w:tblPr>
        <w:tblStyle w:val="49"/>
        <w:tblW w:w="5000"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5"/>
        <w:gridCol w:w="891"/>
        <w:gridCol w:w="1333"/>
        <w:gridCol w:w="1745"/>
        <w:gridCol w:w="1111"/>
        <w:gridCol w:w="1111"/>
        <w:gridCol w:w="1427"/>
      </w:tblGrid>
      <w:tr w14:paraId="3CF0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blCellSpacing w:w="0" w:type="dxa"/>
          <w:jc w:val="center"/>
        </w:trPr>
        <w:tc>
          <w:tcPr>
            <w:tcW w:w="783" w:type="pct"/>
            <w:shd w:val="clear" w:color="auto" w:fill="FFFFFF"/>
            <w:noWrap w:val="0"/>
            <w:vAlign w:val="center"/>
          </w:tcPr>
          <w:p w14:paraId="4BD7A3C6">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疫苗名称</w:t>
            </w:r>
          </w:p>
        </w:tc>
        <w:tc>
          <w:tcPr>
            <w:tcW w:w="493" w:type="pct"/>
            <w:shd w:val="clear" w:color="auto" w:fill="FFFFFF"/>
            <w:noWrap w:val="0"/>
            <w:vAlign w:val="center"/>
          </w:tcPr>
          <w:p w14:paraId="2F1CBC42">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剂型</w:t>
            </w:r>
          </w:p>
        </w:tc>
        <w:tc>
          <w:tcPr>
            <w:tcW w:w="738" w:type="pct"/>
            <w:shd w:val="clear" w:color="auto" w:fill="FFFFFF"/>
            <w:noWrap w:val="0"/>
            <w:vAlign w:val="center"/>
          </w:tcPr>
          <w:p w14:paraId="4A194B59">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批准文号</w:t>
            </w:r>
          </w:p>
        </w:tc>
        <w:tc>
          <w:tcPr>
            <w:tcW w:w="966" w:type="pct"/>
            <w:shd w:val="clear" w:color="auto" w:fill="FFFFFF"/>
            <w:noWrap w:val="0"/>
            <w:vAlign w:val="center"/>
          </w:tcPr>
          <w:p w14:paraId="05520752">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规格(毫升/头份)</w:t>
            </w:r>
          </w:p>
        </w:tc>
        <w:tc>
          <w:tcPr>
            <w:tcW w:w="615" w:type="pct"/>
            <w:shd w:val="clear" w:color="auto" w:fill="FFFFFF"/>
            <w:noWrap w:val="0"/>
            <w:vAlign w:val="center"/>
          </w:tcPr>
          <w:p w14:paraId="0E3C99F6">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生产日期/批号</w:t>
            </w:r>
          </w:p>
        </w:tc>
        <w:tc>
          <w:tcPr>
            <w:tcW w:w="615" w:type="pct"/>
            <w:shd w:val="clear" w:color="auto" w:fill="FFFFFF"/>
            <w:noWrap w:val="0"/>
            <w:vAlign w:val="center"/>
          </w:tcPr>
          <w:p w14:paraId="77426850">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有效期</w:t>
            </w:r>
          </w:p>
        </w:tc>
        <w:tc>
          <w:tcPr>
            <w:tcW w:w="790" w:type="pct"/>
            <w:shd w:val="clear" w:color="auto" w:fill="FFFFFF"/>
            <w:noWrap w:val="0"/>
            <w:vAlign w:val="center"/>
          </w:tcPr>
          <w:p w14:paraId="7F7775CE">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数量</w:t>
            </w:r>
          </w:p>
          <w:p w14:paraId="16645058">
            <w:pPr>
              <w:spacing w:line="360" w:lineRule="atLeast"/>
              <w:jc w:val="center"/>
              <w:rPr>
                <w:rFonts w:hint="eastAsia" w:ascii="宋体" w:hAnsi="宋体"/>
                <w:bCs/>
                <w:color w:val="auto"/>
                <w:szCs w:val="21"/>
                <w:highlight w:val="none"/>
              </w:rPr>
            </w:pPr>
            <w:r>
              <w:rPr>
                <w:rFonts w:hint="eastAsia" w:ascii="宋体" w:hAnsi="宋体"/>
                <w:bCs/>
                <w:color w:val="auto"/>
                <w:szCs w:val="21"/>
                <w:highlight w:val="none"/>
              </w:rPr>
              <w:t>(毫升/头份)</w:t>
            </w:r>
          </w:p>
        </w:tc>
      </w:tr>
      <w:tr w14:paraId="5B15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1E1AAA99">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48B98102">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0E4CB950">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74190CD1">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121B2A45">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1047EB2A">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0E644CE3">
            <w:pPr>
              <w:spacing w:line="360" w:lineRule="atLeast"/>
              <w:jc w:val="center"/>
              <w:rPr>
                <w:rFonts w:hint="eastAsia" w:ascii="宋体" w:hAnsi="宋体"/>
                <w:bCs/>
                <w:color w:val="auto"/>
                <w:szCs w:val="21"/>
                <w:highlight w:val="none"/>
              </w:rPr>
            </w:pPr>
          </w:p>
        </w:tc>
      </w:tr>
      <w:tr w14:paraId="641E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35C271C5">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6605BA83">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08CBC355">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5EA3A685">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79367B5D">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168B6606">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13C93863">
            <w:pPr>
              <w:spacing w:line="360" w:lineRule="atLeast"/>
              <w:jc w:val="center"/>
              <w:rPr>
                <w:rFonts w:hint="eastAsia" w:ascii="宋体" w:hAnsi="宋体"/>
                <w:bCs/>
                <w:color w:val="auto"/>
                <w:szCs w:val="21"/>
                <w:highlight w:val="none"/>
              </w:rPr>
            </w:pPr>
          </w:p>
        </w:tc>
      </w:tr>
      <w:tr w14:paraId="0F6A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13A5F1B4">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0A81B4DE">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0A13D948">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3D64D734">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47410FF0">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78F6A989">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3AB6D417">
            <w:pPr>
              <w:spacing w:line="360" w:lineRule="atLeast"/>
              <w:jc w:val="center"/>
              <w:rPr>
                <w:rFonts w:hint="eastAsia" w:ascii="宋体" w:hAnsi="宋体"/>
                <w:bCs/>
                <w:color w:val="auto"/>
                <w:szCs w:val="21"/>
                <w:highlight w:val="none"/>
              </w:rPr>
            </w:pPr>
          </w:p>
        </w:tc>
      </w:tr>
      <w:tr w14:paraId="2CA7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4D9B46F5">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0C831731">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72EF2F11">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23602844">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354E9D96">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236690B2">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004C8D86">
            <w:pPr>
              <w:spacing w:line="360" w:lineRule="atLeast"/>
              <w:jc w:val="center"/>
              <w:rPr>
                <w:rFonts w:hint="eastAsia" w:ascii="宋体" w:hAnsi="宋体"/>
                <w:bCs/>
                <w:color w:val="auto"/>
                <w:szCs w:val="21"/>
                <w:highlight w:val="none"/>
              </w:rPr>
            </w:pPr>
          </w:p>
        </w:tc>
      </w:tr>
      <w:tr w14:paraId="22A1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42873C1A">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6B574A25">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43120751">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6E9A53BB">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1ACBDA72">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24420E0D">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60BAAD3D">
            <w:pPr>
              <w:spacing w:line="360" w:lineRule="atLeast"/>
              <w:jc w:val="center"/>
              <w:rPr>
                <w:rFonts w:hint="eastAsia" w:ascii="宋体" w:hAnsi="宋体"/>
                <w:bCs/>
                <w:color w:val="auto"/>
                <w:szCs w:val="21"/>
                <w:highlight w:val="none"/>
              </w:rPr>
            </w:pPr>
          </w:p>
        </w:tc>
      </w:tr>
      <w:tr w14:paraId="7921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59651ED1">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658F75C2">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520A8EB7">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07DFCBC2">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11A613D8">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07C3B155">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1289C0AF">
            <w:pPr>
              <w:spacing w:line="360" w:lineRule="atLeast"/>
              <w:jc w:val="center"/>
              <w:rPr>
                <w:rFonts w:hint="eastAsia" w:ascii="宋体" w:hAnsi="宋体"/>
                <w:bCs/>
                <w:color w:val="auto"/>
                <w:szCs w:val="21"/>
                <w:highlight w:val="none"/>
              </w:rPr>
            </w:pPr>
          </w:p>
        </w:tc>
      </w:tr>
      <w:tr w14:paraId="4F70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7BD8B67B">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4A66E6E0">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733C1F57">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4DA1D88B">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289DB1A9">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0DE85E9A">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4A3924CE">
            <w:pPr>
              <w:spacing w:line="360" w:lineRule="atLeast"/>
              <w:jc w:val="center"/>
              <w:rPr>
                <w:rFonts w:hint="eastAsia" w:ascii="宋体" w:hAnsi="宋体"/>
                <w:bCs/>
                <w:color w:val="auto"/>
                <w:szCs w:val="21"/>
                <w:highlight w:val="none"/>
              </w:rPr>
            </w:pPr>
          </w:p>
        </w:tc>
      </w:tr>
      <w:tr w14:paraId="6ED0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15C53FAE">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6C5D12FD">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49FDFFEC">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1572C9E1">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2A46558A">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7DB17A42">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6E002426">
            <w:pPr>
              <w:spacing w:line="360" w:lineRule="atLeast"/>
              <w:jc w:val="center"/>
              <w:rPr>
                <w:rFonts w:hint="eastAsia" w:ascii="宋体" w:hAnsi="宋体"/>
                <w:bCs/>
                <w:color w:val="auto"/>
                <w:szCs w:val="21"/>
                <w:highlight w:val="none"/>
              </w:rPr>
            </w:pPr>
          </w:p>
        </w:tc>
      </w:tr>
      <w:tr w14:paraId="4C17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CellSpacing w:w="0" w:type="dxa"/>
          <w:jc w:val="center"/>
        </w:trPr>
        <w:tc>
          <w:tcPr>
            <w:tcW w:w="783" w:type="pct"/>
            <w:shd w:val="clear" w:color="auto" w:fill="FFFFFF"/>
            <w:noWrap w:val="0"/>
            <w:vAlign w:val="center"/>
          </w:tcPr>
          <w:p w14:paraId="51B2E840">
            <w:pPr>
              <w:spacing w:line="360" w:lineRule="atLeast"/>
              <w:jc w:val="center"/>
              <w:rPr>
                <w:rFonts w:hint="eastAsia" w:ascii="宋体" w:hAnsi="宋体"/>
                <w:bCs/>
                <w:color w:val="auto"/>
                <w:szCs w:val="21"/>
                <w:highlight w:val="none"/>
              </w:rPr>
            </w:pPr>
          </w:p>
        </w:tc>
        <w:tc>
          <w:tcPr>
            <w:tcW w:w="493" w:type="pct"/>
            <w:shd w:val="clear" w:color="auto" w:fill="FFFFFF"/>
            <w:noWrap w:val="0"/>
            <w:vAlign w:val="center"/>
          </w:tcPr>
          <w:p w14:paraId="57E8A96F">
            <w:pPr>
              <w:spacing w:line="360" w:lineRule="atLeast"/>
              <w:jc w:val="center"/>
              <w:rPr>
                <w:rFonts w:hint="eastAsia" w:ascii="宋体" w:hAnsi="宋体"/>
                <w:bCs/>
                <w:color w:val="auto"/>
                <w:szCs w:val="21"/>
                <w:highlight w:val="none"/>
              </w:rPr>
            </w:pPr>
          </w:p>
        </w:tc>
        <w:tc>
          <w:tcPr>
            <w:tcW w:w="738" w:type="pct"/>
            <w:shd w:val="clear" w:color="auto" w:fill="FFFFFF"/>
            <w:noWrap w:val="0"/>
            <w:vAlign w:val="center"/>
          </w:tcPr>
          <w:p w14:paraId="16DDE013">
            <w:pPr>
              <w:spacing w:line="360" w:lineRule="atLeast"/>
              <w:jc w:val="center"/>
              <w:rPr>
                <w:rFonts w:hint="eastAsia" w:ascii="宋体" w:hAnsi="宋体"/>
                <w:bCs/>
                <w:color w:val="auto"/>
                <w:szCs w:val="21"/>
                <w:highlight w:val="none"/>
              </w:rPr>
            </w:pPr>
          </w:p>
        </w:tc>
        <w:tc>
          <w:tcPr>
            <w:tcW w:w="966" w:type="pct"/>
            <w:shd w:val="clear" w:color="auto" w:fill="FFFFFF"/>
            <w:noWrap w:val="0"/>
            <w:vAlign w:val="center"/>
          </w:tcPr>
          <w:p w14:paraId="21264EB3">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5B49449A">
            <w:pPr>
              <w:spacing w:line="360" w:lineRule="atLeast"/>
              <w:jc w:val="center"/>
              <w:rPr>
                <w:rFonts w:hint="eastAsia" w:ascii="宋体" w:hAnsi="宋体"/>
                <w:bCs/>
                <w:color w:val="auto"/>
                <w:szCs w:val="21"/>
                <w:highlight w:val="none"/>
              </w:rPr>
            </w:pPr>
          </w:p>
        </w:tc>
        <w:tc>
          <w:tcPr>
            <w:tcW w:w="615" w:type="pct"/>
            <w:shd w:val="clear" w:color="auto" w:fill="FFFFFF"/>
            <w:noWrap w:val="0"/>
            <w:vAlign w:val="center"/>
          </w:tcPr>
          <w:p w14:paraId="24B43A1B">
            <w:pPr>
              <w:spacing w:line="360" w:lineRule="atLeast"/>
              <w:jc w:val="center"/>
              <w:rPr>
                <w:rFonts w:hint="eastAsia" w:ascii="宋体" w:hAnsi="宋体"/>
                <w:bCs/>
                <w:color w:val="auto"/>
                <w:szCs w:val="21"/>
                <w:highlight w:val="none"/>
              </w:rPr>
            </w:pPr>
          </w:p>
        </w:tc>
        <w:tc>
          <w:tcPr>
            <w:tcW w:w="790" w:type="pct"/>
            <w:shd w:val="clear" w:color="auto" w:fill="FFFFFF"/>
            <w:noWrap w:val="0"/>
            <w:vAlign w:val="center"/>
          </w:tcPr>
          <w:p w14:paraId="594EFC52">
            <w:pPr>
              <w:spacing w:line="360" w:lineRule="atLeast"/>
              <w:jc w:val="center"/>
              <w:rPr>
                <w:rFonts w:hint="eastAsia" w:ascii="宋体" w:hAnsi="宋体"/>
                <w:bCs/>
                <w:color w:val="auto"/>
                <w:szCs w:val="21"/>
                <w:highlight w:val="none"/>
              </w:rPr>
            </w:pPr>
          </w:p>
        </w:tc>
      </w:tr>
    </w:tbl>
    <w:p w14:paraId="7D5558F5">
      <w:pPr>
        <w:spacing w:line="360" w:lineRule="atLeast"/>
        <w:rPr>
          <w:rFonts w:hint="eastAsia" w:ascii="宋体" w:hAnsi="宋体"/>
          <w:bCs/>
          <w:color w:val="auto"/>
          <w:szCs w:val="21"/>
          <w:highlight w:val="none"/>
        </w:rPr>
      </w:pPr>
    </w:p>
    <w:p w14:paraId="1BD8DFC8">
      <w:pPr>
        <w:spacing w:line="360" w:lineRule="atLeast"/>
        <w:rPr>
          <w:rFonts w:hint="eastAsia" w:ascii="宋体" w:hAnsi="宋体"/>
          <w:color w:val="auto"/>
          <w:szCs w:val="21"/>
          <w:highlight w:val="none"/>
        </w:rPr>
      </w:pPr>
      <w:r>
        <w:rPr>
          <w:rFonts w:hint="eastAsia" w:ascii="宋体" w:hAnsi="宋体"/>
          <w:bCs/>
          <w:color w:val="auto"/>
          <w:szCs w:val="21"/>
          <w:highlight w:val="none"/>
        </w:rPr>
        <w:t>疫苗运输工具：⑴冷藏车</w:t>
      </w:r>
      <w:r>
        <w:rPr>
          <w:rFonts w:ascii="宋体" w:hAnsi="宋体"/>
          <w:bCs/>
          <w:color w:val="auto"/>
          <w:szCs w:val="21"/>
          <w:highlight w:val="none"/>
        </w:rPr>
        <w:t xml:space="preserve"> </w:t>
      </w:r>
      <w:r>
        <w:rPr>
          <w:rFonts w:hint="eastAsia" w:ascii="宋体" w:hAnsi="宋体"/>
          <w:bCs/>
          <w:color w:val="auto"/>
          <w:szCs w:val="21"/>
          <w:highlight w:val="none"/>
        </w:rPr>
        <w:t xml:space="preserve"> </w:t>
      </w:r>
      <w:r>
        <w:rPr>
          <w:rFonts w:ascii="宋体" w:hAnsi="宋体"/>
          <w:bCs/>
          <w:color w:val="auto"/>
          <w:szCs w:val="21"/>
          <w:highlight w:val="none"/>
        </w:rPr>
        <w:t xml:space="preserve"> </w:t>
      </w:r>
      <w:r>
        <w:rPr>
          <w:rFonts w:hint="eastAsia" w:ascii="宋体" w:hAnsi="宋体"/>
          <w:bCs/>
          <w:color w:val="auto"/>
          <w:szCs w:val="21"/>
          <w:highlight w:val="none"/>
        </w:rPr>
        <w:t>⑵疫苗运输车</w:t>
      </w:r>
      <w:r>
        <w:rPr>
          <w:rFonts w:ascii="宋体" w:hAnsi="宋体"/>
          <w:bCs/>
          <w:color w:val="auto"/>
          <w:szCs w:val="21"/>
          <w:highlight w:val="none"/>
        </w:rPr>
        <w:t xml:space="preserve"> </w:t>
      </w:r>
      <w:r>
        <w:rPr>
          <w:rFonts w:hint="eastAsia" w:ascii="宋体" w:hAnsi="宋体"/>
          <w:bCs/>
          <w:color w:val="auto"/>
          <w:szCs w:val="21"/>
          <w:highlight w:val="none"/>
        </w:rPr>
        <w:t xml:space="preserve">  ⑶航空运输  </w:t>
      </w:r>
      <w:r>
        <w:rPr>
          <w:rFonts w:ascii="宋体" w:hAnsi="宋体"/>
          <w:bCs/>
          <w:color w:val="auto"/>
          <w:szCs w:val="21"/>
          <w:highlight w:val="none"/>
        </w:rPr>
        <w:t xml:space="preserve"> </w:t>
      </w:r>
      <w:r>
        <w:rPr>
          <w:rFonts w:hint="eastAsia" w:ascii="宋体" w:hAnsi="宋体"/>
          <w:bCs/>
          <w:color w:val="auto"/>
          <w:szCs w:val="21"/>
          <w:highlight w:val="none"/>
        </w:rPr>
        <w:t>⑷其它</w:t>
      </w:r>
      <w:r>
        <w:rPr>
          <w:rFonts w:ascii="宋体" w:hAnsi="宋体"/>
          <w:bCs/>
          <w:color w:val="auto"/>
          <w:szCs w:val="21"/>
          <w:highlight w:val="none"/>
        </w:rPr>
        <w:t>_____________</w:t>
      </w:r>
    </w:p>
    <w:p w14:paraId="6C01EEEF">
      <w:pPr>
        <w:spacing w:line="360" w:lineRule="atLeast"/>
        <w:rPr>
          <w:rFonts w:hint="eastAsia" w:ascii="宋体" w:hAnsi="宋体"/>
          <w:color w:val="auto"/>
          <w:szCs w:val="21"/>
          <w:highlight w:val="none"/>
          <w:u w:val="single"/>
        </w:rPr>
      </w:pPr>
      <w:r>
        <w:rPr>
          <w:rFonts w:hint="eastAsia" w:ascii="宋体" w:hAnsi="宋体"/>
          <w:bCs/>
          <w:color w:val="auto"/>
          <w:szCs w:val="21"/>
          <w:highlight w:val="none"/>
        </w:rPr>
        <w:t>疫苗冷藏方式：⑴冷藏车</w:t>
      </w:r>
      <w:r>
        <w:rPr>
          <w:rFonts w:ascii="宋体" w:hAnsi="宋体"/>
          <w:bCs/>
          <w:color w:val="auto"/>
          <w:szCs w:val="21"/>
          <w:highlight w:val="none"/>
        </w:rPr>
        <w:t xml:space="preserve"> </w:t>
      </w:r>
      <w:r>
        <w:rPr>
          <w:rFonts w:hint="eastAsia" w:ascii="宋体" w:hAnsi="宋体"/>
          <w:bCs/>
          <w:color w:val="auto"/>
          <w:szCs w:val="21"/>
          <w:highlight w:val="none"/>
        </w:rPr>
        <w:t xml:space="preserve">  ⑵车载冷藏箱   ⑶冷藏箱配冰袋</w:t>
      </w:r>
      <w:r>
        <w:rPr>
          <w:rFonts w:ascii="宋体" w:hAnsi="宋体"/>
          <w:bCs/>
          <w:color w:val="auto"/>
          <w:szCs w:val="21"/>
          <w:highlight w:val="none"/>
        </w:rPr>
        <w:t xml:space="preserve"> </w:t>
      </w:r>
      <w:r>
        <w:rPr>
          <w:rFonts w:hint="eastAsia" w:ascii="宋体" w:hAnsi="宋体"/>
          <w:bCs/>
          <w:color w:val="auto"/>
          <w:szCs w:val="21"/>
          <w:highlight w:val="none"/>
        </w:rPr>
        <w:t xml:space="preserve"> ⑷其它</w:t>
      </w:r>
      <w:r>
        <w:rPr>
          <w:rFonts w:ascii="宋体" w:hAnsi="宋体"/>
          <w:bCs/>
          <w:color w:val="auto"/>
          <w:szCs w:val="21"/>
          <w:highlight w:val="none"/>
        </w:rPr>
        <w:t>__________</w:t>
      </w:r>
    </w:p>
    <w:p w14:paraId="48AD63A6">
      <w:pPr>
        <w:spacing w:line="360" w:lineRule="atLeast"/>
        <w:rPr>
          <w:rFonts w:hint="eastAsia" w:ascii="宋体" w:hAnsi="宋体"/>
          <w:bCs/>
          <w:color w:val="auto"/>
          <w:szCs w:val="21"/>
          <w:highlight w:val="none"/>
        </w:rPr>
      </w:pPr>
      <w:r>
        <w:rPr>
          <w:rFonts w:hint="eastAsia" w:ascii="宋体" w:hAnsi="宋体"/>
          <w:bCs/>
          <w:color w:val="auto"/>
          <w:szCs w:val="21"/>
          <w:highlight w:val="none"/>
        </w:rPr>
        <w:t>计划送达时间：</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时</w:t>
      </w:r>
    </w:p>
    <w:p w14:paraId="15C1DB2B">
      <w:pPr>
        <w:spacing w:line="360" w:lineRule="atLeast"/>
        <w:rPr>
          <w:rFonts w:hint="eastAsia" w:ascii="宋体" w:hAnsi="宋体"/>
          <w:bCs/>
          <w:color w:val="auto"/>
          <w:szCs w:val="21"/>
          <w:highlight w:val="none"/>
          <w:u w:val="single"/>
        </w:rPr>
      </w:pPr>
      <w:r>
        <w:rPr>
          <w:rFonts w:hint="eastAsia" w:ascii="宋体" w:hAnsi="宋体"/>
          <w:bCs/>
          <w:color w:val="auto"/>
          <w:szCs w:val="21"/>
          <w:highlight w:val="none"/>
        </w:rPr>
        <w:t>预计行驶里程数：</w:t>
      </w:r>
      <w:r>
        <w:rPr>
          <w:rFonts w:hint="eastAsia" w:ascii="宋体" w:hAnsi="宋体"/>
          <w:bCs/>
          <w:color w:val="auto"/>
          <w:szCs w:val="21"/>
          <w:highlight w:val="none"/>
          <w:u w:val="single"/>
        </w:rPr>
        <w:t xml:space="preserve">          </w:t>
      </w:r>
      <w:r>
        <w:rPr>
          <w:rFonts w:hint="eastAsia" w:ascii="宋体" w:hAnsi="宋体"/>
          <w:bCs/>
          <w:color w:val="auto"/>
          <w:szCs w:val="21"/>
          <w:highlight w:val="none"/>
        </w:rPr>
        <w:t>公里（启运时车辆显示里程数：</w:t>
      </w:r>
      <w:r>
        <w:rPr>
          <w:rFonts w:hint="eastAsia" w:ascii="宋体" w:hAnsi="宋体"/>
          <w:bCs/>
          <w:color w:val="auto"/>
          <w:szCs w:val="21"/>
          <w:highlight w:val="none"/>
          <w:u w:val="single"/>
        </w:rPr>
        <w:t xml:space="preserve">            </w:t>
      </w:r>
      <w:r>
        <w:rPr>
          <w:rFonts w:hint="eastAsia" w:ascii="宋体" w:hAnsi="宋体"/>
          <w:bCs/>
          <w:color w:val="auto"/>
          <w:szCs w:val="21"/>
          <w:highlight w:val="none"/>
        </w:rPr>
        <w:t>公里）</w:t>
      </w:r>
    </w:p>
    <w:p w14:paraId="62A67304">
      <w:pPr>
        <w:spacing w:line="360" w:lineRule="atLeast"/>
        <w:rPr>
          <w:rFonts w:ascii="宋体" w:hAnsi="宋体"/>
          <w:bCs/>
          <w:color w:val="auto"/>
          <w:szCs w:val="21"/>
          <w:highlight w:val="none"/>
          <w:u w:val="single"/>
        </w:rPr>
      </w:pPr>
      <w:r>
        <w:rPr>
          <w:rFonts w:hint="eastAsia" w:ascii="宋体" w:hAnsi="宋体"/>
          <w:bCs/>
          <w:color w:val="auto"/>
          <w:szCs w:val="21"/>
          <w:highlight w:val="none"/>
        </w:rPr>
        <w:t>发货人：</w:t>
      </w:r>
      <w:r>
        <w:rPr>
          <w:rFonts w:hint="eastAsia" w:ascii="宋体" w:hAnsi="宋体"/>
          <w:bCs/>
          <w:color w:val="auto"/>
          <w:szCs w:val="21"/>
          <w:highlight w:val="none"/>
          <w:u w:val="single"/>
        </w:rPr>
        <w:t xml:space="preserve">                        </w:t>
      </w:r>
      <w:r>
        <w:rPr>
          <w:rFonts w:hint="eastAsia" w:ascii="宋体" w:hAnsi="宋体"/>
          <w:bCs/>
          <w:color w:val="auto"/>
          <w:szCs w:val="21"/>
          <w:highlight w:val="none"/>
        </w:rPr>
        <w:t>联系电话（手机）：</w:t>
      </w:r>
      <w:r>
        <w:rPr>
          <w:rFonts w:hint="eastAsia" w:ascii="宋体" w:hAnsi="宋体"/>
          <w:bCs/>
          <w:color w:val="auto"/>
          <w:szCs w:val="21"/>
          <w:highlight w:val="none"/>
          <w:u w:val="single"/>
        </w:rPr>
        <w:t xml:space="preserve">                     </w:t>
      </w:r>
      <w:r>
        <w:rPr>
          <w:rFonts w:ascii="宋体" w:hAnsi="宋体"/>
          <w:bCs/>
          <w:color w:val="auto"/>
          <w:szCs w:val="21"/>
          <w:highlight w:val="none"/>
          <w:u w:val="single"/>
        </w:rPr>
        <w:t> </w:t>
      </w:r>
    </w:p>
    <w:p w14:paraId="74403FC6">
      <w:pPr>
        <w:spacing w:line="360" w:lineRule="atLeast"/>
        <w:rPr>
          <w:rFonts w:ascii="宋体" w:hAnsi="宋体"/>
          <w:bCs/>
          <w:color w:val="auto"/>
          <w:szCs w:val="21"/>
          <w:highlight w:val="none"/>
        </w:rPr>
      </w:pPr>
      <w:r>
        <w:rPr>
          <w:rFonts w:hint="eastAsia" w:ascii="宋体" w:hAnsi="宋体"/>
          <w:bCs/>
          <w:color w:val="auto"/>
          <w:szCs w:val="21"/>
          <w:highlight w:val="none"/>
        </w:rPr>
        <w:t>承运单位：</w:t>
      </w:r>
      <w:r>
        <w:rPr>
          <w:rFonts w:hint="eastAsia" w:ascii="宋体" w:hAnsi="宋体"/>
          <w:bCs/>
          <w:color w:val="auto"/>
          <w:szCs w:val="21"/>
          <w:highlight w:val="none"/>
          <w:u w:val="single"/>
        </w:rPr>
        <w:t xml:space="preserve">                               </w:t>
      </w:r>
      <w:r>
        <w:rPr>
          <w:rFonts w:hint="eastAsia" w:ascii="宋体" w:hAnsi="宋体"/>
          <w:bCs/>
          <w:color w:val="auto"/>
          <w:szCs w:val="21"/>
          <w:highlight w:val="none"/>
        </w:rPr>
        <w:t>车牌号：</w:t>
      </w:r>
      <w:r>
        <w:rPr>
          <w:rFonts w:hint="eastAsia" w:ascii="宋体" w:hAnsi="宋体"/>
          <w:bCs/>
          <w:color w:val="auto"/>
          <w:szCs w:val="21"/>
          <w:highlight w:val="none"/>
          <w:u w:val="single"/>
        </w:rPr>
        <w:t xml:space="preserve">                     </w:t>
      </w:r>
      <w:r>
        <w:rPr>
          <w:rFonts w:ascii="宋体" w:hAnsi="宋体"/>
          <w:bCs/>
          <w:color w:val="auto"/>
          <w:szCs w:val="21"/>
          <w:highlight w:val="none"/>
          <w:u w:val="single"/>
        </w:rPr>
        <w:t> </w:t>
      </w:r>
    </w:p>
    <w:p w14:paraId="7051A7D4">
      <w:pPr>
        <w:spacing w:line="360" w:lineRule="atLeast"/>
        <w:rPr>
          <w:rFonts w:ascii="宋体" w:hAnsi="宋体"/>
          <w:bCs/>
          <w:color w:val="auto"/>
          <w:szCs w:val="21"/>
          <w:highlight w:val="none"/>
          <w:u w:val="single"/>
        </w:rPr>
      </w:pPr>
      <w:r>
        <w:rPr>
          <w:rFonts w:hint="eastAsia" w:ascii="宋体" w:hAnsi="宋体"/>
          <w:bCs/>
          <w:color w:val="auto"/>
          <w:szCs w:val="21"/>
          <w:highlight w:val="none"/>
        </w:rPr>
        <w:t>司机签名：</w:t>
      </w:r>
      <w:r>
        <w:rPr>
          <w:rFonts w:hint="eastAsia" w:ascii="宋体" w:hAnsi="宋体"/>
          <w:bCs/>
          <w:color w:val="auto"/>
          <w:szCs w:val="21"/>
          <w:highlight w:val="none"/>
          <w:u w:val="single"/>
        </w:rPr>
        <w:t xml:space="preserve">                      </w:t>
      </w:r>
      <w:r>
        <w:rPr>
          <w:rFonts w:hint="eastAsia" w:ascii="宋体" w:hAnsi="宋体"/>
          <w:bCs/>
          <w:color w:val="auto"/>
          <w:szCs w:val="21"/>
          <w:highlight w:val="none"/>
        </w:rPr>
        <w:t>联系电话（手机）：</w:t>
      </w:r>
      <w:r>
        <w:rPr>
          <w:rFonts w:hint="eastAsia" w:ascii="宋体" w:hAnsi="宋体"/>
          <w:bCs/>
          <w:color w:val="auto"/>
          <w:szCs w:val="21"/>
          <w:highlight w:val="none"/>
          <w:u w:val="single"/>
        </w:rPr>
        <w:t xml:space="preserve">                     </w:t>
      </w:r>
      <w:r>
        <w:rPr>
          <w:rFonts w:ascii="宋体" w:hAnsi="宋体"/>
          <w:bCs/>
          <w:color w:val="auto"/>
          <w:szCs w:val="21"/>
          <w:highlight w:val="none"/>
          <w:u w:val="single"/>
        </w:rPr>
        <w:t> </w:t>
      </w:r>
    </w:p>
    <w:p w14:paraId="2515F581">
      <w:pPr>
        <w:spacing w:line="360" w:lineRule="atLeast"/>
        <w:rPr>
          <w:rFonts w:hint="eastAsia" w:ascii="宋体" w:hAnsi="宋体"/>
          <w:bCs/>
          <w:color w:val="auto"/>
          <w:szCs w:val="21"/>
          <w:highlight w:val="none"/>
          <w:u w:val="single"/>
        </w:rPr>
      </w:pPr>
      <w:r>
        <w:rPr>
          <w:rFonts w:hint="eastAsia" w:ascii="宋体" w:hAnsi="宋体"/>
          <w:bCs/>
          <w:color w:val="auto"/>
          <w:szCs w:val="21"/>
          <w:highlight w:val="none"/>
        </w:rPr>
        <w:t>押运人：</w:t>
      </w:r>
      <w:r>
        <w:rPr>
          <w:rFonts w:hint="eastAsia" w:ascii="宋体" w:hAnsi="宋体"/>
          <w:bCs/>
          <w:color w:val="auto"/>
          <w:szCs w:val="21"/>
          <w:highlight w:val="none"/>
          <w:u w:val="single"/>
        </w:rPr>
        <w:t xml:space="preserve">                        </w:t>
      </w:r>
      <w:r>
        <w:rPr>
          <w:rFonts w:hint="eastAsia" w:ascii="宋体" w:hAnsi="宋体"/>
          <w:bCs/>
          <w:color w:val="auto"/>
          <w:szCs w:val="21"/>
          <w:highlight w:val="none"/>
        </w:rPr>
        <w:t>联系电话（手机）：</w:t>
      </w:r>
      <w:r>
        <w:rPr>
          <w:rFonts w:hint="eastAsia" w:ascii="宋体" w:hAnsi="宋体"/>
          <w:bCs/>
          <w:color w:val="auto"/>
          <w:szCs w:val="21"/>
          <w:highlight w:val="none"/>
          <w:u w:val="single"/>
        </w:rPr>
        <w:t xml:space="preserve">                     </w:t>
      </w:r>
      <w:r>
        <w:rPr>
          <w:rFonts w:ascii="宋体" w:hAnsi="宋体"/>
          <w:bCs/>
          <w:color w:val="auto"/>
          <w:szCs w:val="21"/>
          <w:highlight w:val="none"/>
          <w:u w:val="single"/>
        </w:rPr>
        <w:t> </w:t>
      </w:r>
    </w:p>
    <w:p w14:paraId="2189275E">
      <w:pPr>
        <w:spacing w:line="428" w:lineRule="exact"/>
        <w:ind w:left="119"/>
        <w:rPr>
          <w:rFonts w:ascii="宋体" w:hAnsi="宋体"/>
          <w:color w:val="auto"/>
          <w:szCs w:val="21"/>
          <w:highlight w:val="none"/>
        </w:rPr>
      </w:pPr>
    </w:p>
    <w:p w14:paraId="3DDCC3E9">
      <w:pPr>
        <w:spacing w:line="428" w:lineRule="exact"/>
        <w:ind w:left="119"/>
        <w:rPr>
          <w:rFonts w:ascii="宋体" w:hAnsi="宋体"/>
          <w:color w:val="auto"/>
          <w:szCs w:val="21"/>
          <w:highlight w:val="none"/>
        </w:rPr>
      </w:pPr>
    </w:p>
    <w:p w14:paraId="05109ED5">
      <w:pPr>
        <w:spacing w:line="428" w:lineRule="exact"/>
        <w:ind w:left="119"/>
        <w:rPr>
          <w:rFonts w:hint="eastAsia" w:ascii="宋体" w:hAnsi="宋体"/>
          <w:color w:val="auto"/>
          <w:szCs w:val="21"/>
          <w:highlight w:val="none"/>
        </w:rPr>
      </w:pPr>
    </w:p>
    <w:p w14:paraId="66C57FA0">
      <w:pPr>
        <w:spacing w:line="428" w:lineRule="exact"/>
        <w:ind w:left="119"/>
        <w:rPr>
          <w:rFonts w:ascii="Arial Unicode MS" w:hAnsi="Arial Unicode MS" w:eastAsia="Arial Unicode MS" w:cs="Arial Unicode MS"/>
          <w:color w:val="auto"/>
          <w:sz w:val="32"/>
          <w:szCs w:val="32"/>
          <w:highlight w:val="none"/>
        </w:rPr>
      </w:pPr>
      <w:r>
        <w:rPr>
          <w:rFonts w:hint="eastAsia"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附件1：</w:t>
      </w:r>
    </w:p>
    <w:p w14:paraId="5EF2D6DB">
      <w:pPr>
        <w:spacing w:before="7"/>
        <w:rPr>
          <w:rFonts w:hint="eastAsia" w:ascii="Arial Unicode MS" w:hAnsi="Arial Unicode MS" w:eastAsia="Arial Unicode MS" w:cs="Arial Unicode MS"/>
          <w:color w:val="auto"/>
          <w:sz w:val="17"/>
          <w:szCs w:val="17"/>
          <w:highlight w:val="none"/>
        </w:rPr>
      </w:pPr>
    </w:p>
    <w:p w14:paraId="7AD5176B">
      <w:pPr>
        <w:spacing w:line="528" w:lineRule="exact"/>
        <w:ind w:left="1871"/>
        <w:rPr>
          <w:rFonts w:hint="eastAsia" w:ascii="宋体" w:hAnsi="宋体" w:cs="宋体"/>
          <w:color w:val="auto"/>
          <w:sz w:val="40"/>
          <w:szCs w:val="40"/>
          <w:highlight w:val="none"/>
        </w:rPr>
      </w:pPr>
      <w:r>
        <w:rPr>
          <w:rFonts w:hint="eastAsia" w:ascii="宋体" w:hAnsi="宋体" w:cs="宋体"/>
          <w:color w:val="auto"/>
          <w:sz w:val="44"/>
          <w:szCs w:val="44"/>
          <w:highlight w:val="none"/>
        </w:rPr>
        <w:t>节能产品政府采购品目清单</w:t>
      </w:r>
    </w:p>
    <w:tbl>
      <w:tblPr>
        <w:tblStyle w:val="49"/>
        <w:tblW w:w="50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98"/>
        <w:gridCol w:w="1609"/>
        <w:gridCol w:w="2078"/>
        <w:gridCol w:w="3626"/>
      </w:tblGrid>
      <w:tr w14:paraId="7F50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3B2007FF">
            <w:pPr>
              <w:jc w:val="center"/>
              <w:rPr>
                <w:rFonts w:ascii="Calibri" w:hAnsi="Calibri"/>
                <w:color w:val="auto"/>
                <w:szCs w:val="22"/>
                <w:highlight w:val="none"/>
              </w:rPr>
            </w:pPr>
            <w:r>
              <w:rPr>
                <w:rFonts w:hint="eastAsia" w:ascii="宋体" w:hAnsi="宋体" w:cs="宋体"/>
                <w:b/>
                <w:bCs/>
                <w:color w:val="auto"/>
                <w:w w:val="99"/>
                <w:highlight w:val="none"/>
              </w:rPr>
              <w:t>品目序号</w:t>
            </w:r>
          </w:p>
        </w:tc>
        <w:tc>
          <w:tcPr>
            <w:tcW w:w="2646" w:type="pct"/>
            <w:gridSpan w:val="3"/>
            <w:tcBorders>
              <w:top w:val="single" w:color="000000" w:sz="4" w:space="0"/>
              <w:left w:val="single" w:color="000000" w:sz="4" w:space="0"/>
              <w:bottom w:val="single" w:color="000000" w:sz="4" w:space="0"/>
              <w:right w:val="single" w:color="000000" w:sz="4" w:space="0"/>
            </w:tcBorders>
            <w:noWrap w:val="0"/>
            <w:vAlign w:val="center"/>
          </w:tcPr>
          <w:p w14:paraId="163C910B">
            <w:pPr>
              <w:jc w:val="center"/>
              <w:rPr>
                <w:rFonts w:ascii="Calibri" w:hAnsi="Calibri"/>
                <w:color w:val="auto"/>
                <w:szCs w:val="22"/>
                <w:highlight w:val="none"/>
              </w:rPr>
            </w:pPr>
            <w:r>
              <w:rPr>
                <w:rFonts w:hint="eastAsia" w:ascii="宋体" w:hAnsi="宋体" w:cs="宋体"/>
                <w:b/>
                <w:bCs/>
                <w:color w:val="auto"/>
                <w:w w:val="99"/>
                <w:highlight w:val="none"/>
              </w:rPr>
              <w:t>名称</w:t>
            </w:r>
          </w:p>
        </w:tc>
        <w:tc>
          <w:tcPr>
            <w:tcW w:w="1963" w:type="pct"/>
            <w:tcBorders>
              <w:top w:val="single" w:color="000000" w:sz="4" w:space="0"/>
              <w:left w:val="single" w:color="000000" w:sz="4" w:space="0"/>
              <w:bottom w:val="single" w:color="000000" w:sz="4" w:space="0"/>
              <w:right w:val="single" w:color="000000" w:sz="4" w:space="0"/>
            </w:tcBorders>
            <w:noWrap w:val="0"/>
            <w:vAlign w:val="center"/>
          </w:tcPr>
          <w:p w14:paraId="3CFE6165">
            <w:pPr>
              <w:jc w:val="center"/>
              <w:rPr>
                <w:rFonts w:ascii="Calibri" w:hAnsi="Calibri"/>
                <w:color w:val="auto"/>
                <w:szCs w:val="22"/>
                <w:highlight w:val="none"/>
              </w:rPr>
            </w:pPr>
            <w:r>
              <w:rPr>
                <w:rFonts w:hint="eastAsia" w:ascii="宋体" w:hAnsi="宋体" w:cs="宋体"/>
                <w:b/>
                <w:bCs/>
                <w:color w:val="auto"/>
                <w:w w:val="99"/>
                <w:highlight w:val="none"/>
              </w:rPr>
              <w:t>依据的标准</w:t>
            </w:r>
          </w:p>
        </w:tc>
      </w:tr>
      <w:tr w14:paraId="0648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tcBorders>
              <w:top w:val="single" w:color="000000" w:sz="4" w:space="0"/>
              <w:left w:val="single" w:color="000000" w:sz="4" w:space="0"/>
              <w:bottom w:val="single" w:color="000000" w:sz="4" w:space="0"/>
              <w:right w:val="single" w:color="000000" w:sz="4" w:space="0"/>
            </w:tcBorders>
            <w:noWrap w:val="0"/>
            <w:vAlign w:val="center"/>
          </w:tcPr>
          <w:p w14:paraId="7BAB3519">
            <w:pPr>
              <w:jc w:val="center"/>
              <w:rPr>
                <w:rFonts w:ascii="宋体" w:hAnsi="宋体"/>
                <w:color w:val="auto"/>
                <w:szCs w:val="21"/>
                <w:highlight w:val="none"/>
              </w:rPr>
            </w:pPr>
            <w:r>
              <w:rPr>
                <w:rFonts w:hint="eastAsia" w:ascii="宋体" w:hAnsi="宋体"/>
                <w:color w:val="auto"/>
                <w:szCs w:val="21"/>
                <w:highlight w:val="none"/>
              </w:rPr>
              <w:t>1</w:t>
            </w:r>
          </w:p>
        </w:tc>
        <w:tc>
          <w:tcPr>
            <w:tcW w:w="648" w:type="pct"/>
            <w:vMerge w:val="restart"/>
            <w:tcBorders>
              <w:top w:val="single" w:color="000000" w:sz="4" w:space="0"/>
              <w:left w:val="single" w:color="000000" w:sz="4" w:space="0"/>
              <w:bottom w:val="single" w:color="000000" w:sz="4" w:space="0"/>
              <w:right w:val="single" w:color="000000" w:sz="4" w:space="0"/>
            </w:tcBorders>
            <w:noWrap w:val="0"/>
            <w:vAlign w:val="center"/>
          </w:tcPr>
          <w:p w14:paraId="43A39E7A">
            <w:pPr>
              <w:jc w:val="center"/>
              <w:rPr>
                <w:rFonts w:ascii="宋体" w:hAnsi="宋体"/>
                <w:color w:val="auto"/>
                <w:szCs w:val="21"/>
                <w:highlight w:val="none"/>
              </w:rPr>
            </w:pPr>
            <w:r>
              <w:rPr>
                <w:rFonts w:hint="eastAsia" w:ascii="宋体" w:hAnsi="宋体" w:cs="仿宋_GB2312"/>
                <w:color w:val="auto"/>
                <w:szCs w:val="21"/>
                <w:highlight w:val="none"/>
              </w:rPr>
              <w:t>A02010100</w:t>
            </w:r>
            <w:r>
              <w:rPr>
                <w:rFonts w:hint="eastAsia" w:ascii="宋体" w:hAnsi="宋体" w:cs="宋体"/>
                <w:color w:val="auto"/>
                <w:w w:val="99"/>
                <w:szCs w:val="21"/>
                <w:highlight w:val="none"/>
              </w:rPr>
              <w:t>计算机</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3E5F5CA5">
            <w:pPr>
              <w:pStyle w:val="110"/>
              <w:spacing w:before="93"/>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93226CE">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0CB641EC">
            <w:pPr>
              <w:pStyle w:val="110"/>
              <w:spacing w:before="93"/>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《微型计算机能效限定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及能</w:t>
            </w:r>
            <w:r>
              <w:rPr>
                <w:rFonts w:hint="eastAsia" w:ascii="宋体" w:hAnsi="宋体" w:cs="宋体"/>
                <w:color w:val="auto"/>
                <w:w w:val="99"/>
                <w:kern w:val="2"/>
                <w:sz w:val="21"/>
                <w:szCs w:val="21"/>
                <w:highlight w:val="none"/>
                <w:lang w:eastAsia="zh-CN"/>
              </w:rPr>
              <w:t>效等级》（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28380</w:t>
            </w:r>
            <w:r>
              <w:rPr>
                <w:rFonts w:hint="eastAsia" w:ascii="宋体" w:hAnsi="宋体" w:cs="宋体"/>
                <w:color w:val="auto"/>
                <w:w w:val="99"/>
                <w:kern w:val="2"/>
                <w:sz w:val="21"/>
                <w:szCs w:val="21"/>
                <w:highlight w:val="none"/>
                <w:lang w:eastAsia="zh-CN"/>
              </w:rPr>
              <w:t>）</w:t>
            </w:r>
          </w:p>
        </w:tc>
      </w:tr>
      <w:tr w14:paraId="0BF3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E1343F">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6A2C01">
            <w:pPr>
              <w:widowControl/>
              <w:jc w:val="left"/>
              <w:rPr>
                <w:rFonts w:ascii="宋体" w:hAnsi="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65F80E91">
            <w:pPr>
              <w:pStyle w:val="110"/>
              <w:spacing w:before="44"/>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3FB8922">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6A5166F2">
            <w:pPr>
              <w:pStyle w:val="110"/>
              <w:spacing w:before="44"/>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《微型计算机能效限定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及能</w:t>
            </w:r>
            <w:r>
              <w:rPr>
                <w:rFonts w:hint="eastAsia" w:ascii="宋体" w:hAnsi="宋体" w:cs="宋体"/>
                <w:color w:val="auto"/>
                <w:w w:val="99"/>
                <w:kern w:val="2"/>
                <w:sz w:val="21"/>
                <w:szCs w:val="21"/>
                <w:highlight w:val="none"/>
                <w:lang w:eastAsia="zh-CN"/>
              </w:rPr>
              <w:t>效等级》（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28380</w:t>
            </w:r>
            <w:r>
              <w:rPr>
                <w:rFonts w:hint="eastAsia" w:ascii="宋体" w:hAnsi="宋体" w:cs="宋体"/>
                <w:color w:val="auto"/>
                <w:w w:val="99"/>
                <w:kern w:val="2"/>
                <w:sz w:val="21"/>
                <w:szCs w:val="21"/>
                <w:highlight w:val="none"/>
                <w:lang w:eastAsia="zh-CN"/>
              </w:rPr>
              <w:t>）</w:t>
            </w:r>
          </w:p>
        </w:tc>
      </w:tr>
      <w:tr w14:paraId="4284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32D751">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0BA009">
            <w:pPr>
              <w:widowControl/>
              <w:jc w:val="left"/>
              <w:rPr>
                <w:rFonts w:ascii="宋体" w:hAnsi="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6F6858B0">
            <w:pPr>
              <w:pStyle w:val="110"/>
              <w:spacing w:before="64"/>
              <w:ind w:left="7" w:right="5"/>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仿宋_GB2312"/>
                <w:color w:val="auto"/>
                <w:kern w:val="2"/>
                <w:sz w:val="21"/>
                <w:szCs w:val="21"/>
                <w:highlight w:val="none"/>
                <w:lang w:eastAsia="zh-CN"/>
              </w:rPr>
              <w:t>A02010109平板式计算机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3320FB23">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654BA673">
            <w:pPr>
              <w:pStyle w:val="110"/>
              <w:spacing w:before="64"/>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《微型计算机能效限定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及能</w:t>
            </w:r>
            <w:r>
              <w:rPr>
                <w:rFonts w:hint="eastAsia" w:ascii="宋体" w:hAnsi="宋体" w:cs="宋体"/>
                <w:color w:val="auto"/>
                <w:w w:val="99"/>
                <w:kern w:val="2"/>
                <w:sz w:val="21"/>
                <w:szCs w:val="21"/>
                <w:highlight w:val="none"/>
                <w:lang w:eastAsia="zh-CN"/>
              </w:rPr>
              <w:t>效等级》（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28380</w:t>
            </w:r>
            <w:r>
              <w:rPr>
                <w:rFonts w:hint="eastAsia" w:ascii="宋体" w:hAnsi="宋体" w:cs="宋体"/>
                <w:color w:val="auto"/>
                <w:w w:val="99"/>
                <w:kern w:val="2"/>
                <w:sz w:val="21"/>
                <w:szCs w:val="21"/>
                <w:highlight w:val="none"/>
                <w:lang w:eastAsia="zh-CN"/>
              </w:rPr>
              <w:t>）</w:t>
            </w:r>
          </w:p>
        </w:tc>
      </w:tr>
      <w:tr w14:paraId="0EAA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tcBorders>
              <w:top w:val="single" w:color="000000" w:sz="4" w:space="0"/>
              <w:left w:val="single" w:color="000000" w:sz="4" w:space="0"/>
              <w:bottom w:val="single" w:color="000000" w:sz="4" w:space="0"/>
              <w:right w:val="single" w:color="000000" w:sz="4" w:space="0"/>
            </w:tcBorders>
            <w:noWrap w:val="0"/>
            <w:vAlign w:val="center"/>
          </w:tcPr>
          <w:p w14:paraId="120AB7D9">
            <w:pPr>
              <w:jc w:val="center"/>
              <w:rPr>
                <w:rFonts w:ascii="宋体" w:hAnsi="宋体"/>
                <w:color w:val="auto"/>
                <w:szCs w:val="21"/>
                <w:highlight w:val="none"/>
              </w:rPr>
            </w:pPr>
            <w:r>
              <w:rPr>
                <w:rFonts w:hint="eastAsia" w:ascii="宋体" w:hAnsi="宋体"/>
                <w:color w:val="auto"/>
                <w:szCs w:val="21"/>
                <w:highlight w:val="none"/>
              </w:rPr>
              <w:t>2</w:t>
            </w:r>
          </w:p>
        </w:tc>
        <w:tc>
          <w:tcPr>
            <w:tcW w:w="648" w:type="pct"/>
            <w:vMerge w:val="restart"/>
            <w:tcBorders>
              <w:top w:val="single" w:color="000000" w:sz="4" w:space="0"/>
              <w:left w:val="single" w:color="000000" w:sz="4" w:space="0"/>
              <w:bottom w:val="single" w:color="000000" w:sz="4" w:space="0"/>
              <w:right w:val="single" w:color="000000" w:sz="4" w:space="0"/>
            </w:tcBorders>
            <w:noWrap w:val="0"/>
            <w:vAlign w:val="center"/>
          </w:tcPr>
          <w:p w14:paraId="079413A4">
            <w:pPr>
              <w:pStyle w:val="11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8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846BC0B">
            <w:pPr>
              <w:jc w:val="center"/>
              <w:rPr>
                <w:rFonts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26E20EC7">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A02021001 A3黑白打印机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17E0CEA7">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4F10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26B3B8">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0BE7DC">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DAAE02">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370537EE">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A02021002 A3彩色打印机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3E339ABB">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7BDE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643C0A">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E2674C">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A9CA09">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73409D72">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A02021003 A4黑白打印机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6301E2E">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4DDA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7BED1D">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58B955">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F94086">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5C572441">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A02021004 A4彩色打印机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55E6EA5">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0E10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9768A4">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AFECAE">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36D31D">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76B9189C">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A02021005 3D打印机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531D9AC2">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043A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43E001">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3CAC9C">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0354EC">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6DB84BC">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A02021006票据打印机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158C7C8">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7DC9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66A4B7">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8D7099">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4171B2">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4016DA6">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A02021007条码打印机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6F36EF68">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681C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38A7B2">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19FD51">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1CBF00">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257FBBD2">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A02021008地址打印机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7F24A2EC">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2BD2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35DE0A">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665F1F">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8E2C89">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766B04CC">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A02021099其他打印机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41EC2586">
            <w:pPr>
              <w:pStyle w:val="110"/>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4DB8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4422FC">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2B8E56">
            <w:pPr>
              <w:widowControl/>
              <w:jc w:val="left"/>
              <w:rPr>
                <w:rFonts w:ascii="宋体" w:hAnsi="宋体" w:cs="宋体"/>
                <w:color w:val="auto"/>
                <w:szCs w:val="21"/>
                <w:highlight w:val="none"/>
              </w:rPr>
            </w:pPr>
          </w:p>
        </w:tc>
        <w:tc>
          <w:tcPr>
            <w:tcW w:w="8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874203D">
            <w:pPr>
              <w:jc w:val="center"/>
              <w:rPr>
                <w:rFonts w:ascii="宋体" w:hAnsi="宋体"/>
                <w:color w:val="auto"/>
                <w:szCs w:val="21"/>
                <w:highlight w:val="none"/>
              </w:rPr>
            </w:pPr>
            <w:r>
              <w:rPr>
                <w:rFonts w:hint="eastAsia" w:ascii="宋体" w:hAnsi="宋体"/>
                <w:color w:val="auto"/>
                <w:szCs w:val="21"/>
                <w:highlight w:val="none"/>
              </w:rPr>
              <w:t>A02021100输入输出设备</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658B8619">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A02021104液晶显示器</w:t>
            </w:r>
          </w:p>
        </w:tc>
        <w:tc>
          <w:tcPr>
            <w:tcW w:w="1963" w:type="pct"/>
            <w:tcBorders>
              <w:top w:val="single" w:color="000000" w:sz="4" w:space="0"/>
              <w:left w:val="single" w:color="000000" w:sz="4" w:space="0"/>
              <w:bottom w:val="single" w:color="000000" w:sz="4" w:space="0"/>
              <w:right w:val="single" w:color="000000" w:sz="4" w:space="0"/>
            </w:tcBorders>
            <w:noWrap w:val="0"/>
            <w:vAlign w:val="center"/>
          </w:tcPr>
          <w:p w14:paraId="7FC34BBA">
            <w:pPr>
              <w:rPr>
                <w:rFonts w:ascii="宋体" w:hAnsi="宋体"/>
                <w:color w:val="auto"/>
                <w:szCs w:val="21"/>
                <w:highlight w:val="none"/>
              </w:rPr>
            </w:pPr>
            <w:r>
              <w:rPr>
                <w:rFonts w:hint="eastAsia" w:ascii="宋体" w:hAnsi="宋体" w:cs="宋体"/>
                <w:color w:val="auto"/>
                <w:spacing w:val="12"/>
                <w:w w:val="99"/>
                <w:szCs w:val="21"/>
                <w:highlight w:val="none"/>
              </w:rPr>
              <w:t>《计算机显示器能效限</w:t>
            </w:r>
            <w:r>
              <w:rPr>
                <w:rFonts w:hint="eastAsia" w:ascii="宋体" w:hAnsi="宋体" w:cs="宋体"/>
                <w:color w:val="auto"/>
                <w:spacing w:val="9"/>
                <w:w w:val="99"/>
                <w:szCs w:val="21"/>
                <w:highlight w:val="none"/>
              </w:rPr>
              <w:t>定</w:t>
            </w:r>
            <w:r>
              <w:rPr>
                <w:rFonts w:hint="eastAsia" w:ascii="宋体" w:hAnsi="宋体" w:cs="宋体"/>
                <w:color w:val="auto"/>
                <w:spacing w:val="12"/>
                <w:w w:val="99"/>
                <w:szCs w:val="21"/>
                <w:highlight w:val="none"/>
              </w:rPr>
              <w:t>值及</w:t>
            </w:r>
            <w:r>
              <w:rPr>
                <w:rFonts w:hint="eastAsia" w:ascii="宋体" w:hAnsi="宋体" w:cs="宋体"/>
                <w:color w:val="auto"/>
                <w:w w:val="99"/>
                <w:szCs w:val="21"/>
                <w:highlight w:val="none"/>
              </w:rPr>
              <w:t>能效等级</w:t>
            </w:r>
            <w:r>
              <w:rPr>
                <w:rFonts w:hint="eastAsia" w:ascii="宋体" w:hAnsi="宋体" w:cs="宋体"/>
                <w:color w:val="auto"/>
                <w:spacing w:val="2"/>
                <w:w w:val="99"/>
                <w:szCs w:val="21"/>
                <w:highlight w:val="none"/>
              </w:rPr>
              <w:t>》</w:t>
            </w:r>
            <w:r>
              <w:rPr>
                <w:rFonts w:hint="eastAsia" w:ascii="宋体" w:hAnsi="宋体" w:cs="宋体"/>
                <w:color w:val="auto"/>
                <w:w w:val="99"/>
                <w:szCs w:val="21"/>
                <w:highlight w:val="none"/>
              </w:rPr>
              <w:t>（</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21</w:t>
            </w:r>
            <w:r>
              <w:rPr>
                <w:rFonts w:hint="eastAsia" w:ascii="宋体" w:hAnsi="宋体" w:cs="宋体"/>
                <w:color w:val="auto"/>
                <w:w w:val="99"/>
                <w:szCs w:val="21"/>
                <w:highlight w:val="none"/>
              </w:rPr>
              <w:t>52</w:t>
            </w:r>
            <w:r>
              <w:rPr>
                <w:rFonts w:hint="eastAsia" w:ascii="宋体" w:hAnsi="宋体" w:cs="宋体"/>
                <w:color w:val="auto"/>
                <w:spacing w:val="1"/>
                <w:w w:val="99"/>
                <w:szCs w:val="21"/>
                <w:highlight w:val="none"/>
              </w:rPr>
              <w:t>0</w:t>
            </w:r>
            <w:r>
              <w:rPr>
                <w:rFonts w:hint="eastAsia" w:ascii="宋体" w:hAnsi="宋体" w:cs="宋体"/>
                <w:color w:val="auto"/>
                <w:w w:val="99"/>
                <w:szCs w:val="21"/>
                <w:highlight w:val="none"/>
              </w:rPr>
              <w:t>）</w:t>
            </w:r>
          </w:p>
        </w:tc>
      </w:tr>
      <w:tr w14:paraId="2CFC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732BD7">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3914ED">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BCB820">
            <w:pPr>
              <w:widowControl/>
              <w:jc w:val="left"/>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26158AD4">
            <w:pPr>
              <w:jc w:val="center"/>
              <w:rPr>
                <w:rFonts w:hint="eastAsia" w:ascii="宋体" w:hAnsi="宋体" w:cs="宋体"/>
                <w:color w:val="auto"/>
                <w:spacing w:val="2"/>
                <w:w w:val="99"/>
                <w:szCs w:val="21"/>
                <w:highlight w:val="none"/>
              </w:rPr>
            </w:pPr>
            <w:r>
              <w:rPr>
                <w:rFonts w:hint="eastAsia" w:ascii="宋体" w:hAnsi="宋体" w:cs="宋体"/>
                <w:color w:val="auto"/>
                <w:spacing w:val="2"/>
                <w:w w:val="99"/>
                <w:szCs w:val="21"/>
                <w:highlight w:val="none"/>
              </w:rPr>
              <w:t>A02021118扫描仪</w:t>
            </w:r>
          </w:p>
        </w:tc>
        <w:tc>
          <w:tcPr>
            <w:tcW w:w="1963" w:type="pct"/>
            <w:tcBorders>
              <w:top w:val="single" w:color="000000" w:sz="4" w:space="0"/>
              <w:left w:val="single" w:color="000000" w:sz="4" w:space="0"/>
              <w:bottom w:val="single" w:color="000000" w:sz="4" w:space="0"/>
              <w:right w:val="single" w:color="000000" w:sz="4" w:space="0"/>
            </w:tcBorders>
            <w:noWrap w:val="0"/>
            <w:vAlign w:val="center"/>
          </w:tcPr>
          <w:p w14:paraId="60601BF8">
            <w:pPr>
              <w:rPr>
                <w:rFonts w:ascii="宋体" w:hAnsi="宋体"/>
                <w:color w:val="auto"/>
                <w:szCs w:val="21"/>
                <w:highlight w:val="none"/>
              </w:rPr>
            </w:pPr>
            <w:r>
              <w:rPr>
                <w:rFonts w:hint="eastAsia" w:ascii="宋体" w:hAnsi="宋体" w:cs="宋体"/>
                <w:color w:val="auto"/>
                <w:w w:val="99"/>
                <w:szCs w:val="21"/>
                <w:highlight w:val="none"/>
              </w:rPr>
              <w:t>参</w:t>
            </w:r>
            <w:r>
              <w:rPr>
                <w:rFonts w:hint="eastAsia" w:ascii="宋体" w:hAnsi="宋体" w:cs="宋体"/>
                <w:color w:val="auto"/>
                <w:spacing w:val="-29"/>
                <w:w w:val="99"/>
                <w:szCs w:val="21"/>
                <w:highlight w:val="none"/>
              </w:rPr>
              <w:t>照</w:t>
            </w:r>
            <w:r>
              <w:rPr>
                <w:rFonts w:hint="eastAsia" w:ascii="宋体" w:hAnsi="宋体" w:cs="宋体"/>
                <w:color w:val="auto"/>
                <w:w w:val="99"/>
                <w:szCs w:val="21"/>
                <w:highlight w:val="none"/>
              </w:rPr>
              <w:t>《</w:t>
            </w:r>
            <w:r>
              <w:rPr>
                <w:rFonts w:hint="eastAsia" w:ascii="宋体" w:hAnsi="宋体" w:cs="宋体"/>
                <w:color w:val="auto"/>
                <w:spacing w:val="2"/>
                <w:w w:val="99"/>
                <w:szCs w:val="21"/>
                <w:highlight w:val="none"/>
              </w:rPr>
              <w:t>复</w:t>
            </w:r>
            <w:r>
              <w:rPr>
                <w:rFonts w:hint="eastAsia" w:ascii="宋体" w:hAnsi="宋体" w:cs="宋体"/>
                <w:color w:val="auto"/>
                <w:w w:val="99"/>
                <w:szCs w:val="21"/>
                <w:highlight w:val="none"/>
              </w:rPr>
              <w:t>印</w:t>
            </w:r>
            <w:r>
              <w:rPr>
                <w:rFonts w:hint="eastAsia" w:ascii="宋体" w:hAnsi="宋体" w:cs="宋体"/>
                <w:color w:val="auto"/>
                <w:spacing w:val="2"/>
                <w:w w:val="99"/>
                <w:szCs w:val="21"/>
                <w:highlight w:val="none"/>
              </w:rPr>
              <w:t>机</w:t>
            </w:r>
            <w:r>
              <w:rPr>
                <w:rFonts w:hint="eastAsia" w:ascii="宋体" w:hAnsi="宋体" w:cs="宋体"/>
                <w:color w:val="auto"/>
                <w:spacing w:val="-29"/>
                <w:w w:val="99"/>
                <w:szCs w:val="21"/>
                <w:highlight w:val="none"/>
              </w:rPr>
              <w:t>、</w:t>
            </w:r>
            <w:r>
              <w:rPr>
                <w:rFonts w:hint="eastAsia" w:ascii="宋体" w:hAnsi="宋体" w:cs="宋体"/>
                <w:color w:val="auto"/>
                <w:w w:val="99"/>
                <w:szCs w:val="21"/>
                <w:highlight w:val="none"/>
              </w:rPr>
              <w:t>打</w:t>
            </w:r>
            <w:r>
              <w:rPr>
                <w:rFonts w:hint="eastAsia" w:ascii="宋体" w:hAnsi="宋体" w:cs="宋体"/>
                <w:color w:val="auto"/>
                <w:spacing w:val="2"/>
                <w:w w:val="99"/>
                <w:szCs w:val="21"/>
                <w:highlight w:val="none"/>
              </w:rPr>
              <w:t>印</w:t>
            </w:r>
            <w:r>
              <w:rPr>
                <w:rFonts w:hint="eastAsia" w:ascii="宋体" w:hAnsi="宋体" w:cs="宋体"/>
                <w:color w:val="auto"/>
                <w:w w:val="99"/>
                <w:szCs w:val="21"/>
                <w:highlight w:val="none"/>
              </w:rPr>
              <w:t>机和</w:t>
            </w:r>
            <w:r>
              <w:rPr>
                <w:rFonts w:hint="eastAsia" w:ascii="宋体" w:hAnsi="宋体" w:cs="宋体"/>
                <w:color w:val="auto"/>
                <w:spacing w:val="2"/>
                <w:w w:val="99"/>
                <w:szCs w:val="21"/>
                <w:highlight w:val="none"/>
              </w:rPr>
              <w:t>传</w:t>
            </w:r>
            <w:r>
              <w:rPr>
                <w:rFonts w:hint="eastAsia" w:ascii="宋体" w:hAnsi="宋体" w:cs="宋体"/>
                <w:color w:val="auto"/>
                <w:w w:val="99"/>
                <w:szCs w:val="21"/>
                <w:highlight w:val="none"/>
              </w:rPr>
              <w:t>真机能效限定</w:t>
            </w:r>
            <w:r>
              <w:rPr>
                <w:rFonts w:hint="eastAsia" w:ascii="宋体" w:hAnsi="宋体" w:cs="宋体"/>
                <w:color w:val="auto"/>
                <w:spacing w:val="2"/>
                <w:w w:val="99"/>
                <w:szCs w:val="21"/>
                <w:highlight w:val="none"/>
              </w:rPr>
              <w:t>值</w:t>
            </w:r>
            <w:r>
              <w:rPr>
                <w:rFonts w:hint="eastAsia" w:ascii="宋体" w:hAnsi="宋体" w:cs="宋体"/>
                <w:color w:val="auto"/>
                <w:w w:val="99"/>
                <w:szCs w:val="21"/>
                <w:highlight w:val="none"/>
              </w:rPr>
              <w:t>及能</w:t>
            </w:r>
            <w:r>
              <w:rPr>
                <w:rFonts w:hint="eastAsia" w:ascii="宋体" w:hAnsi="宋体" w:cs="宋体"/>
                <w:color w:val="auto"/>
                <w:spacing w:val="2"/>
                <w:w w:val="99"/>
                <w:szCs w:val="21"/>
                <w:highlight w:val="none"/>
              </w:rPr>
              <w:t>效</w:t>
            </w:r>
            <w:r>
              <w:rPr>
                <w:rFonts w:hint="eastAsia" w:ascii="宋体" w:hAnsi="宋体" w:cs="宋体"/>
                <w:color w:val="auto"/>
                <w:w w:val="99"/>
                <w:szCs w:val="21"/>
                <w:highlight w:val="none"/>
              </w:rPr>
              <w:t>等级</w:t>
            </w:r>
            <w:r>
              <w:rPr>
                <w:rFonts w:hint="eastAsia" w:ascii="宋体" w:hAnsi="宋体" w:cs="宋体"/>
                <w:color w:val="auto"/>
                <w:spacing w:val="-106"/>
                <w:w w:val="99"/>
                <w:szCs w:val="21"/>
                <w:highlight w:val="none"/>
              </w:rPr>
              <w:t>》</w:t>
            </w:r>
            <w:r>
              <w:rPr>
                <w:rFonts w:hint="eastAsia" w:ascii="宋体" w:hAnsi="宋体" w:cs="宋体"/>
                <w:color w:val="auto"/>
                <w:w w:val="99"/>
                <w:szCs w:val="21"/>
                <w:highlight w:val="none"/>
              </w:rPr>
              <w:t>（</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2152</w:t>
            </w:r>
            <w:r>
              <w:rPr>
                <w:rFonts w:hint="eastAsia" w:ascii="宋体" w:hAnsi="宋体" w:cs="宋体"/>
                <w:color w:val="auto"/>
                <w:w w:val="99"/>
                <w:szCs w:val="21"/>
                <w:highlight w:val="none"/>
              </w:rPr>
              <w:t>1）</w:t>
            </w:r>
            <w:r>
              <w:rPr>
                <w:rFonts w:hint="eastAsia" w:ascii="宋体" w:hAnsi="宋体" w:cs="宋体"/>
                <w:color w:val="auto"/>
                <w:spacing w:val="2"/>
                <w:w w:val="99"/>
                <w:szCs w:val="21"/>
                <w:highlight w:val="none"/>
              </w:rPr>
              <w:t>中</w:t>
            </w:r>
            <w:r>
              <w:rPr>
                <w:rFonts w:hint="eastAsia" w:ascii="宋体" w:hAnsi="宋体" w:cs="宋体"/>
                <w:color w:val="auto"/>
                <w:spacing w:val="4"/>
                <w:w w:val="99"/>
                <w:szCs w:val="21"/>
                <w:highlight w:val="none"/>
              </w:rPr>
              <w:t>打印速</w:t>
            </w:r>
            <w:r>
              <w:rPr>
                <w:rFonts w:hint="eastAsia" w:ascii="宋体" w:hAnsi="宋体" w:cs="宋体"/>
                <w:color w:val="auto"/>
                <w:spacing w:val="2"/>
                <w:w w:val="99"/>
                <w:szCs w:val="21"/>
                <w:highlight w:val="none"/>
              </w:rPr>
              <w:t>度</w:t>
            </w:r>
            <w:r>
              <w:rPr>
                <w:rFonts w:hint="eastAsia" w:ascii="宋体" w:hAnsi="宋体" w:cs="宋体"/>
                <w:color w:val="auto"/>
                <w:w w:val="99"/>
                <w:szCs w:val="21"/>
                <w:highlight w:val="none"/>
              </w:rPr>
              <w:t>为</w:t>
            </w:r>
            <w:r>
              <w:rPr>
                <w:rFonts w:hint="eastAsia" w:ascii="宋体" w:hAnsi="宋体" w:cs="宋体"/>
                <w:color w:val="auto"/>
                <w:spacing w:val="1"/>
                <w:w w:val="99"/>
                <w:szCs w:val="21"/>
                <w:highlight w:val="none"/>
              </w:rPr>
              <w:t>1</w:t>
            </w:r>
            <w:r>
              <w:rPr>
                <w:rFonts w:hint="eastAsia" w:ascii="宋体" w:hAnsi="宋体" w:cs="宋体"/>
                <w:color w:val="auto"/>
                <w:w w:val="99"/>
                <w:szCs w:val="21"/>
                <w:highlight w:val="none"/>
              </w:rPr>
              <w:t>5</w:t>
            </w:r>
            <w:r>
              <w:rPr>
                <w:rFonts w:hint="eastAsia" w:ascii="宋体" w:hAnsi="宋体" w:cs="宋体"/>
                <w:color w:val="auto"/>
                <w:spacing w:val="2"/>
                <w:w w:val="99"/>
                <w:szCs w:val="21"/>
                <w:highlight w:val="none"/>
              </w:rPr>
              <w:t>页</w:t>
            </w:r>
            <w:r>
              <w:rPr>
                <w:rFonts w:hint="eastAsia" w:ascii="宋体" w:hAnsi="宋体" w:cs="宋体"/>
                <w:color w:val="auto"/>
                <w:spacing w:val="5"/>
                <w:w w:val="99"/>
                <w:szCs w:val="21"/>
                <w:highlight w:val="none"/>
              </w:rPr>
              <w:t>/</w:t>
            </w:r>
            <w:r>
              <w:rPr>
                <w:rFonts w:hint="eastAsia" w:ascii="宋体" w:hAnsi="宋体" w:cs="宋体"/>
                <w:color w:val="auto"/>
                <w:spacing w:val="4"/>
                <w:w w:val="99"/>
                <w:szCs w:val="21"/>
                <w:highlight w:val="none"/>
              </w:rPr>
              <w:t>分的</w:t>
            </w:r>
            <w:r>
              <w:rPr>
                <w:rFonts w:hint="eastAsia" w:ascii="宋体" w:hAnsi="宋体" w:cs="宋体"/>
                <w:color w:val="auto"/>
                <w:spacing w:val="2"/>
                <w:w w:val="99"/>
                <w:szCs w:val="21"/>
                <w:highlight w:val="none"/>
              </w:rPr>
              <w:t>针</w:t>
            </w:r>
            <w:r>
              <w:rPr>
                <w:rFonts w:hint="eastAsia" w:ascii="宋体" w:hAnsi="宋体" w:cs="宋体"/>
                <w:color w:val="auto"/>
                <w:spacing w:val="4"/>
                <w:w w:val="99"/>
                <w:szCs w:val="21"/>
                <w:highlight w:val="none"/>
              </w:rPr>
              <w:t>式</w:t>
            </w:r>
            <w:r>
              <w:rPr>
                <w:rFonts w:hint="eastAsia" w:ascii="宋体" w:hAnsi="宋体" w:cs="宋体"/>
                <w:color w:val="auto"/>
                <w:w w:val="99"/>
                <w:szCs w:val="21"/>
                <w:highlight w:val="none"/>
              </w:rPr>
              <w:t>打印机相</w:t>
            </w:r>
            <w:r>
              <w:rPr>
                <w:rFonts w:hint="eastAsia" w:ascii="宋体" w:hAnsi="宋体" w:cs="宋体"/>
                <w:color w:val="auto"/>
                <w:spacing w:val="2"/>
                <w:w w:val="99"/>
                <w:szCs w:val="21"/>
                <w:highlight w:val="none"/>
              </w:rPr>
              <w:t>关</w:t>
            </w:r>
            <w:r>
              <w:rPr>
                <w:rFonts w:hint="eastAsia" w:ascii="宋体" w:hAnsi="宋体" w:cs="宋体"/>
                <w:color w:val="auto"/>
                <w:w w:val="99"/>
                <w:szCs w:val="21"/>
                <w:highlight w:val="none"/>
              </w:rPr>
              <w:t>要求</w:t>
            </w:r>
          </w:p>
        </w:tc>
      </w:tr>
      <w:tr w14:paraId="3AF2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7F73C37F">
            <w:pPr>
              <w:jc w:val="center"/>
              <w:rPr>
                <w:rFonts w:ascii="宋体" w:hAnsi="宋体"/>
                <w:color w:val="auto"/>
                <w:szCs w:val="21"/>
                <w:highlight w:val="none"/>
              </w:rPr>
            </w:pPr>
            <w:r>
              <w:rPr>
                <w:rFonts w:hint="eastAsia" w:ascii="宋体" w:hAnsi="宋体"/>
                <w:color w:val="auto"/>
                <w:w w:val="99"/>
                <w:szCs w:val="21"/>
                <w:highlight w:val="none"/>
              </w:rPr>
              <w:t>3</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70B79848">
            <w:pPr>
              <w:jc w:val="center"/>
              <w:rPr>
                <w:rFonts w:ascii="宋体" w:hAnsi="宋体"/>
                <w:color w:val="auto"/>
                <w:szCs w:val="21"/>
                <w:highlight w:val="none"/>
              </w:rPr>
            </w:pPr>
            <w:r>
              <w:rPr>
                <w:rFonts w:hint="eastAsia" w:ascii="宋体" w:hAnsi="宋体"/>
                <w:color w:val="auto"/>
                <w:szCs w:val="21"/>
                <w:highlight w:val="none"/>
              </w:rPr>
              <w:t>A02020200投影仪</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6543F3B3">
            <w:pPr>
              <w:jc w:val="center"/>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1591ACC">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center"/>
          </w:tcPr>
          <w:p w14:paraId="05F92361">
            <w:pPr>
              <w:rPr>
                <w:rFonts w:ascii="宋体" w:hAnsi="宋体"/>
                <w:color w:val="auto"/>
                <w:szCs w:val="21"/>
                <w:highlight w:val="none"/>
              </w:rPr>
            </w:pPr>
            <w:r>
              <w:rPr>
                <w:rFonts w:hint="eastAsia" w:ascii="宋体" w:hAnsi="宋体" w:cs="宋体"/>
                <w:color w:val="auto"/>
                <w:w w:val="99"/>
                <w:szCs w:val="21"/>
                <w:highlight w:val="none"/>
              </w:rPr>
              <w:t>《投影</w:t>
            </w:r>
            <w:r>
              <w:rPr>
                <w:rFonts w:hint="eastAsia" w:ascii="宋体" w:hAnsi="宋体" w:cs="宋体"/>
                <w:color w:val="auto"/>
                <w:spacing w:val="2"/>
                <w:w w:val="99"/>
                <w:szCs w:val="21"/>
                <w:highlight w:val="none"/>
              </w:rPr>
              <w:t>机</w:t>
            </w:r>
            <w:r>
              <w:rPr>
                <w:rFonts w:hint="eastAsia" w:ascii="宋体" w:hAnsi="宋体" w:cs="宋体"/>
                <w:color w:val="auto"/>
                <w:w w:val="99"/>
                <w:szCs w:val="21"/>
                <w:highlight w:val="none"/>
              </w:rPr>
              <w:t>能效</w:t>
            </w:r>
            <w:r>
              <w:rPr>
                <w:rFonts w:hint="eastAsia" w:ascii="宋体" w:hAnsi="宋体" w:cs="宋体"/>
                <w:color w:val="auto"/>
                <w:spacing w:val="2"/>
                <w:w w:val="99"/>
                <w:szCs w:val="21"/>
                <w:highlight w:val="none"/>
              </w:rPr>
              <w:t>限</w:t>
            </w:r>
            <w:r>
              <w:rPr>
                <w:rFonts w:hint="eastAsia" w:ascii="宋体" w:hAnsi="宋体" w:cs="宋体"/>
                <w:color w:val="auto"/>
                <w:w w:val="99"/>
                <w:szCs w:val="21"/>
                <w:highlight w:val="none"/>
              </w:rPr>
              <w:t>定值</w:t>
            </w:r>
            <w:r>
              <w:rPr>
                <w:rFonts w:hint="eastAsia" w:ascii="宋体" w:hAnsi="宋体" w:cs="宋体"/>
                <w:color w:val="auto"/>
                <w:spacing w:val="2"/>
                <w:w w:val="99"/>
                <w:szCs w:val="21"/>
                <w:highlight w:val="none"/>
              </w:rPr>
              <w:t>及</w:t>
            </w:r>
            <w:r>
              <w:rPr>
                <w:rFonts w:hint="eastAsia" w:ascii="宋体" w:hAnsi="宋体" w:cs="宋体"/>
                <w:color w:val="auto"/>
                <w:w w:val="99"/>
                <w:szCs w:val="21"/>
                <w:highlight w:val="none"/>
              </w:rPr>
              <w:t>能</w:t>
            </w:r>
            <w:r>
              <w:rPr>
                <w:rFonts w:hint="eastAsia" w:ascii="宋体" w:hAnsi="宋体" w:cs="宋体"/>
                <w:color w:val="auto"/>
                <w:spacing w:val="2"/>
                <w:w w:val="99"/>
                <w:szCs w:val="21"/>
                <w:highlight w:val="none"/>
              </w:rPr>
              <w:t>效</w:t>
            </w:r>
            <w:r>
              <w:rPr>
                <w:rFonts w:hint="eastAsia" w:ascii="宋体" w:hAnsi="宋体" w:cs="宋体"/>
                <w:color w:val="auto"/>
                <w:w w:val="99"/>
                <w:szCs w:val="21"/>
                <w:highlight w:val="none"/>
              </w:rPr>
              <w:t>等级》（</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3</w:t>
            </w:r>
            <w:r>
              <w:rPr>
                <w:rFonts w:hint="eastAsia" w:ascii="宋体" w:hAnsi="宋体" w:cs="宋体"/>
                <w:color w:val="auto"/>
                <w:w w:val="99"/>
                <w:szCs w:val="21"/>
                <w:highlight w:val="none"/>
              </w:rPr>
              <w:t>20</w:t>
            </w:r>
            <w:r>
              <w:rPr>
                <w:rFonts w:hint="eastAsia" w:ascii="宋体" w:hAnsi="宋体" w:cs="宋体"/>
                <w:color w:val="auto"/>
                <w:spacing w:val="1"/>
                <w:w w:val="99"/>
                <w:szCs w:val="21"/>
                <w:highlight w:val="none"/>
              </w:rPr>
              <w:t>28</w:t>
            </w:r>
            <w:r>
              <w:rPr>
                <w:rFonts w:hint="eastAsia" w:ascii="宋体" w:hAnsi="宋体" w:cs="宋体"/>
                <w:color w:val="auto"/>
                <w:w w:val="99"/>
                <w:szCs w:val="21"/>
                <w:highlight w:val="none"/>
              </w:rPr>
              <w:t>）</w:t>
            </w:r>
          </w:p>
        </w:tc>
      </w:tr>
      <w:tr w14:paraId="5E80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39CCBB84">
            <w:pPr>
              <w:jc w:val="center"/>
              <w:rPr>
                <w:rFonts w:ascii="宋体" w:hAnsi="宋体"/>
                <w:color w:val="auto"/>
                <w:szCs w:val="21"/>
                <w:highlight w:val="none"/>
              </w:rPr>
            </w:pPr>
            <w:r>
              <w:rPr>
                <w:rFonts w:hint="eastAsia" w:ascii="宋体" w:hAnsi="宋体"/>
                <w:color w:val="auto"/>
                <w:szCs w:val="21"/>
                <w:highlight w:val="none"/>
              </w:rPr>
              <w:t>4</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12713267">
            <w:pPr>
              <w:pStyle w:val="110"/>
              <w:spacing w:before="6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2E7B2AD7">
            <w:pPr>
              <w:jc w:val="center"/>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4C4A960">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center"/>
          </w:tcPr>
          <w:p w14:paraId="3C6EB7C4">
            <w:pPr>
              <w:rPr>
                <w:rFonts w:ascii="宋体" w:hAnsi="宋体"/>
                <w:color w:val="auto"/>
                <w:szCs w:val="21"/>
                <w:highlight w:val="none"/>
              </w:rPr>
            </w:pPr>
            <w:r>
              <w:rPr>
                <w:rFonts w:hint="eastAsia" w:ascii="宋体" w:hAnsi="宋体" w:cs="宋体"/>
                <w:color w:val="auto"/>
                <w:w w:val="99"/>
                <w:szCs w:val="21"/>
                <w:highlight w:val="none"/>
              </w:rPr>
              <w:t>《复印</w:t>
            </w:r>
            <w:r>
              <w:rPr>
                <w:rFonts w:hint="eastAsia" w:ascii="宋体" w:hAnsi="宋体" w:cs="宋体"/>
                <w:color w:val="auto"/>
                <w:spacing w:val="2"/>
                <w:w w:val="99"/>
                <w:szCs w:val="21"/>
                <w:highlight w:val="none"/>
              </w:rPr>
              <w:t>机</w:t>
            </w:r>
            <w:r>
              <w:rPr>
                <w:rFonts w:hint="eastAsia" w:ascii="宋体" w:hAnsi="宋体" w:cs="宋体"/>
                <w:color w:val="auto"/>
                <w:spacing w:val="-58"/>
                <w:w w:val="99"/>
                <w:szCs w:val="21"/>
                <w:highlight w:val="none"/>
              </w:rPr>
              <w:t>、</w:t>
            </w:r>
            <w:r>
              <w:rPr>
                <w:rFonts w:hint="eastAsia" w:ascii="宋体" w:hAnsi="宋体" w:cs="宋体"/>
                <w:color w:val="auto"/>
                <w:spacing w:val="2"/>
                <w:w w:val="99"/>
                <w:szCs w:val="21"/>
                <w:highlight w:val="none"/>
              </w:rPr>
              <w:t>打</w:t>
            </w:r>
            <w:r>
              <w:rPr>
                <w:rFonts w:hint="eastAsia" w:ascii="宋体" w:hAnsi="宋体" w:cs="宋体"/>
                <w:color w:val="auto"/>
                <w:w w:val="99"/>
                <w:szCs w:val="21"/>
                <w:highlight w:val="none"/>
              </w:rPr>
              <w:t>印机</w:t>
            </w:r>
            <w:r>
              <w:rPr>
                <w:rFonts w:hint="eastAsia" w:ascii="宋体" w:hAnsi="宋体" w:cs="宋体"/>
                <w:color w:val="auto"/>
                <w:spacing w:val="2"/>
                <w:w w:val="99"/>
                <w:szCs w:val="21"/>
                <w:highlight w:val="none"/>
              </w:rPr>
              <w:t>和</w:t>
            </w:r>
            <w:r>
              <w:rPr>
                <w:rFonts w:hint="eastAsia" w:ascii="宋体" w:hAnsi="宋体" w:cs="宋体"/>
                <w:color w:val="auto"/>
                <w:w w:val="99"/>
                <w:szCs w:val="21"/>
                <w:highlight w:val="none"/>
              </w:rPr>
              <w:t>传真</w:t>
            </w:r>
            <w:r>
              <w:rPr>
                <w:rFonts w:hint="eastAsia" w:ascii="宋体" w:hAnsi="宋体" w:cs="宋体"/>
                <w:color w:val="auto"/>
                <w:spacing w:val="2"/>
                <w:w w:val="99"/>
                <w:szCs w:val="21"/>
                <w:highlight w:val="none"/>
              </w:rPr>
              <w:t>机</w:t>
            </w:r>
            <w:r>
              <w:rPr>
                <w:rFonts w:hint="eastAsia" w:ascii="宋体" w:hAnsi="宋体" w:cs="宋体"/>
                <w:color w:val="auto"/>
                <w:w w:val="99"/>
                <w:szCs w:val="21"/>
                <w:highlight w:val="none"/>
              </w:rPr>
              <w:t>能效限定值及</w:t>
            </w:r>
            <w:r>
              <w:rPr>
                <w:rFonts w:hint="eastAsia" w:ascii="宋体" w:hAnsi="宋体" w:cs="宋体"/>
                <w:color w:val="auto"/>
                <w:spacing w:val="2"/>
                <w:w w:val="99"/>
                <w:szCs w:val="21"/>
                <w:highlight w:val="none"/>
              </w:rPr>
              <w:t>能</w:t>
            </w:r>
            <w:r>
              <w:rPr>
                <w:rFonts w:hint="eastAsia" w:ascii="宋体" w:hAnsi="宋体" w:cs="宋体"/>
                <w:color w:val="auto"/>
                <w:w w:val="99"/>
                <w:szCs w:val="21"/>
                <w:highlight w:val="none"/>
              </w:rPr>
              <w:t>效等</w:t>
            </w:r>
            <w:r>
              <w:rPr>
                <w:rFonts w:hint="eastAsia" w:ascii="宋体" w:hAnsi="宋体" w:cs="宋体"/>
                <w:color w:val="auto"/>
                <w:spacing w:val="2"/>
                <w:w w:val="99"/>
                <w:szCs w:val="21"/>
                <w:highlight w:val="none"/>
              </w:rPr>
              <w:t>级</w:t>
            </w:r>
            <w:r>
              <w:rPr>
                <w:rFonts w:hint="eastAsia" w:ascii="宋体" w:hAnsi="宋体" w:cs="宋体"/>
                <w:color w:val="auto"/>
                <w:w w:val="99"/>
                <w:szCs w:val="21"/>
                <w:highlight w:val="none"/>
              </w:rPr>
              <w:t>》（</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21</w:t>
            </w:r>
            <w:r>
              <w:rPr>
                <w:rFonts w:hint="eastAsia" w:ascii="宋体" w:hAnsi="宋体" w:cs="宋体"/>
                <w:color w:val="auto"/>
                <w:w w:val="99"/>
                <w:szCs w:val="21"/>
                <w:highlight w:val="none"/>
              </w:rPr>
              <w:t>52</w:t>
            </w:r>
            <w:r>
              <w:rPr>
                <w:rFonts w:hint="eastAsia" w:ascii="宋体" w:hAnsi="宋体" w:cs="宋体"/>
                <w:color w:val="auto"/>
                <w:spacing w:val="1"/>
                <w:w w:val="99"/>
                <w:szCs w:val="21"/>
                <w:highlight w:val="none"/>
              </w:rPr>
              <w:t>1</w:t>
            </w:r>
            <w:r>
              <w:rPr>
                <w:rFonts w:hint="eastAsia" w:ascii="宋体" w:hAnsi="宋体" w:cs="宋体"/>
                <w:color w:val="auto"/>
                <w:w w:val="99"/>
                <w:szCs w:val="21"/>
                <w:highlight w:val="none"/>
              </w:rPr>
              <w:t>）</w:t>
            </w:r>
          </w:p>
        </w:tc>
      </w:tr>
      <w:tr w14:paraId="48D4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359E42D2">
            <w:pPr>
              <w:pStyle w:val="110"/>
              <w:spacing w:before="16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16B9052C">
            <w:pPr>
              <w:pStyle w:val="110"/>
              <w:spacing w:before="16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50383ADD">
            <w:pPr>
              <w:pStyle w:val="110"/>
              <w:spacing w:before="160"/>
              <w:ind w:left="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6459AEC3">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5E76EA51">
            <w:pPr>
              <w:pStyle w:val="110"/>
              <w:spacing w:before="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《清水离心泵能效限定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及节</w:t>
            </w:r>
            <w:r>
              <w:rPr>
                <w:rFonts w:hint="eastAsia" w:ascii="宋体" w:hAnsi="宋体" w:cs="宋体"/>
                <w:color w:val="auto"/>
                <w:w w:val="99"/>
                <w:kern w:val="2"/>
                <w:sz w:val="21"/>
                <w:szCs w:val="21"/>
                <w:highlight w:val="none"/>
                <w:lang w:eastAsia="zh-CN"/>
              </w:rPr>
              <w:t>能评价值</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19</w:t>
            </w:r>
            <w:r>
              <w:rPr>
                <w:rFonts w:hint="eastAsia" w:ascii="宋体" w:hAnsi="宋体" w:cs="宋体"/>
                <w:color w:val="auto"/>
                <w:w w:val="99"/>
                <w:kern w:val="2"/>
                <w:sz w:val="21"/>
                <w:szCs w:val="21"/>
                <w:highlight w:val="none"/>
                <w:lang w:eastAsia="zh-CN"/>
              </w:rPr>
              <w:t>76</w:t>
            </w:r>
            <w:r>
              <w:rPr>
                <w:rFonts w:hint="eastAsia" w:ascii="宋体" w:hAnsi="宋体" w:cs="宋体"/>
                <w:color w:val="auto"/>
                <w:spacing w:val="1"/>
                <w:w w:val="99"/>
                <w:kern w:val="2"/>
                <w:sz w:val="21"/>
                <w:szCs w:val="21"/>
                <w:highlight w:val="none"/>
                <w:lang w:eastAsia="zh-CN"/>
              </w:rPr>
              <w:t>2</w:t>
            </w:r>
            <w:r>
              <w:rPr>
                <w:rFonts w:hint="eastAsia" w:ascii="宋体" w:hAnsi="宋体" w:cs="宋体"/>
                <w:color w:val="auto"/>
                <w:w w:val="99"/>
                <w:kern w:val="2"/>
                <w:sz w:val="21"/>
                <w:szCs w:val="21"/>
                <w:highlight w:val="none"/>
                <w:lang w:eastAsia="zh-CN"/>
              </w:rPr>
              <w:t>）</w:t>
            </w:r>
          </w:p>
        </w:tc>
      </w:tr>
      <w:tr w14:paraId="7F44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tcBorders>
              <w:top w:val="single" w:color="000000" w:sz="4" w:space="0"/>
              <w:left w:val="single" w:color="000000" w:sz="4" w:space="0"/>
              <w:bottom w:val="single" w:color="000000" w:sz="4" w:space="0"/>
              <w:right w:val="single" w:color="000000" w:sz="4" w:space="0"/>
            </w:tcBorders>
            <w:noWrap w:val="0"/>
            <w:vAlign w:val="center"/>
          </w:tcPr>
          <w:p w14:paraId="1D77B9FA">
            <w:pPr>
              <w:jc w:val="center"/>
              <w:rPr>
                <w:rFonts w:ascii="宋体" w:hAnsi="宋体"/>
                <w:color w:val="auto"/>
                <w:szCs w:val="21"/>
                <w:highlight w:val="none"/>
              </w:rPr>
            </w:pPr>
            <w:r>
              <w:rPr>
                <w:rFonts w:hint="eastAsia" w:ascii="宋体" w:hAnsi="宋体"/>
                <w:color w:val="auto"/>
                <w:szCs w:val="21"/>
                <w:highlight w:val="none"/>
              </w:rPr>
              <w:t>6</w:t>
            </w:r>
          </w:p>
        </w:tc>
        <w:tc>
          <w:tcPr>
            <w:tcW w:w="648" w:type="pct"/>
            <w:vMerge w:val="restart"/>
            <w:tcBorders>
              <w:top w:val="single" w:color="000000" w:sz="4" w:space="0"/>
              <w:left w:val="single" w:color="000000" w:sz="4" w:space="0"/>
              <w:bottom w:val="single" w:color="000000" w:sz="4" w:space="0"/>
              <w:right w:val="single" w:color="000000" w:sz="4" w:space="0"/>
            </w:tcBorders>
            <w:noWrap w:val="0"/>
            <w:vAlign w:val="center"/>
          </w:tcPr>
          <w:p w14:paraId="3929EF0E">
            <w:pPr>
              <w:pStyle w:val="110"/>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8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D04A326">
            <w:pPr>
              <w:pStyle w:val="11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7AF8744">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5E237827">
            <w:pPr>
              <w:pStyle w:val="110"/>
              <w:spacing w:before="30" w:line="276" w:lineRule="auto"/>
              <w:ind w:left="7" w:right="4"/>
              <w:jc w:val="both"/>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《冷水机组能效限定值</w:t>
            </w:r>
            <w:r>
              <w:rPr>
                <w:rFonts w:hint="eastAsia" w:ascii="宋体" w:hAnsi="宋体" w:cs="宋体"/>
                <w:color w:val="auto"/>
                <w:spacing w:val="9"/>
                <w:w w:val="99"/>
                <w:kern w:val="2"/>
                <w:sz w:val="21"/>
                <w:szCs w:val="21"/>
                <w:highlight w:val="none"/>
                <w:lang w:eastAsia="zh-CN"/>
              </w:rPr>
              <w:t>及</w:t>
            </w:r>
            <w:r>
              <w:rPr>
                <w:rFonts w:hint="eastAsia" w:ascii="宋体" w:hAnsi="宋体" w:cs="宋体"/>
                <w:color w:val="auto"/>
                <w:spacing w:val="12"/>
                <w:w w:val="99"/>
                <w:kern w:val="2"/>
                <w:sz w:val="21"/>
                <w:szCs w:val="21"/>
                <w:highlight w:val="none"/>
                <w:lang w:eastAsia="zh-CN"/>
              </w:rPr>
              <w:t>能效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3"/>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195</w:t>
            </w:r>
            <w:r>
              <w:rPr>
                <w:rFonts w:hint="eastAsia" w:ascii="宋体" w:hAnsi="宋体" w:cs="宋体"/>
                <w:color w:val="auto"/>
                <w:w w:val="99"/>
                <w:kern w:val="2"/>
                <w:sz w:val="21"/>
                <w:szCs w:val="21"/>
                <w:highlight w:val="none"/>
                <w:lang w:eastAsia="zh-CN"/>
              </w:rPr>
              <w:t>77</w:t>
            </w:r>
            <w:r>
              <w:rPr>
                <w:rFonts w:hint="eastAsia" w:ascii="宋体" w:hAnsi="宋体" w:cs="宋体"/>
                <w:color w:val="auto"/>
                <w:spacing w:val="-3"/>
                <w:w w:val="99"/>
                <w:kern w:val="2"/>
                <w:sz w:val="21"/>
                <w:szCs w:val="21"/>
                <w:highlight w:val="none"/>
                <w:lang w:eastAsia="zh-CN"/>
              </w:rPr>
              <w:t>），</w:t>
            </w:r>
            <w:r>
              <w:rPr>
                <w:rFonts w:hint="eastAsia" w:ascii="宋体" w:hAnsi="宋体" w:cs="宋体"/>
                <w:color w:val="auto"/>
                <w:w w:val="99"/>
                <w:kern w:val="2"/>
                <w:sz w:val="21"/>
                <w:szCs w:val="21"/>
                <w:highlight w:val="none"/>
                <w:lang w:eastAsia="zh-CN"/>
              </w:rPr>
              <w:t>《低</w:t>
            </w:r>
            <w:r>
              <w:rPr>
                <w:rFonts w:hint="eastAsia" w:ascii="宋体" w:hAnsi="宋体" w:cs="宋体"/>
                <w:color w:val="auto"/>
                <w:spacing w:val="2"/>
                <w:w w:val="99"/>
                <w:kern w:val="2"/>
                <w:sz w:val="21"/>
                <w:szCs w:val="21"/>
                <w:highlight w:val="none"/>
                <w:lang w:eastAsia="zh-CN"/>
              </w:rPr>
              <w:t>环</w:t>
            </w:r>
            <w:r>
              <w:rPr>
                <w:rFonts w:hint="eastAsia" w:ascii="宋体" w:hAnsi="宋体" w:cs="宋体"/>
                <w:color w:val="auto"/>
                <w:w w:val="99"/>
                <w:kern w:val="2"/>
                <w:sz w:val="21"/>
                <w:szCs w:val="21"/>
                <w:highlight w:val="none"/>
                <w:lang w:eastAsia="zh-CN"/>
              </w:rPr>
              <w:t>境温度空气源</w:t>
            </w:r>
            <w:r>
              <w:rPr>
                <w:rFonts w:hint="eastAsia" w:ascii="宋体" w:hAnsi="宋体" w:cs="宋体"/>
                <w:color w:val="auto"/>
                <w:spacing w:val="2"/>
                <w:w w:val="99"/>
                <w:kern w:val="2"/>
                <w:sz w:val="21"/>
                <w:szCs w:val="21"/>
                <w:highlight w:val="none"/>
                <w:lang w:eastAsia="zh-CN"/>
              </w:rPr>
              <w:t>热</w:t>
            </w:r>
            <w:r>
              <w:rPr>
                <w:rFonts w:hint="eastAsia" w:ascii="宋体" w:hAnsi="宋体" w:cs="宋体"/>
                <w:color w:val="auto"/>
                <w:spacing w:val="-29"/>
                <w:w w:val="99"/>
                <w:kern w:val="2"/>
                <w:sz w:val="21"/>
                <w:szCs w:val="21"/>
                <w:highlight w:val="none"/>
                <w:lang w:eastAsia="zh-CN"/>
              </w:rPr>
              <w:t>泵</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冷水</w:t>
            </w:r>
            <w:r>
              <w:rPr>
                <w:rFonts w:hint="eastAsia" w:ascii="宋体" w:hAnsi="宋体" w:cs="宋体"/>
                <w:color w:val="auto"/>
                <w:spacing w:val="-27"/>
                <w:w w:val="99"/>
                <w:kern w:val="2"/>
                <w:sz w:val="21"/>
                <w:szCs w:val="21"/>
                <w:highlight w:val="none"/>
                <w:lang w:eastAsia="zh-CN"/>
              </w:rPr>
              <w:t>）</w:t>
            </w:r>
            <w:r>
              <w:rPr>
                <w:rFonts w:hint="eastAsia" w:ascii="宋体" w:hAnsi="宋体" w:cs="宋体"/>
                <w:color w:val="auto"/>
                <w:w w:val="99"/>
                <w:kern w:val="2"/>
                <w:sz w:val="21"/>
                <w:szCs w:val="21"/>
                <w:highlight w:val="none"/>
                <w:lang w:eastAsia="zh-CN"/>
              </w:rPr>
              <w:t>机组</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效限定值及能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37</w:t>
            </w:r>
            <w:r>
              <w:rPr>
                <w:rFonts w:hint="eastAsia" w:ascii="宋体" w:hAnsi="宋体" w:cs="宋体"/>
                <w:color w:val="auto"/>
                <w:w w:val="99"/>
                <w:kern w:val="2"/>
                <w:sz w:val="21"/>
                <w:szCs w:val="21"/>
                <w:highlight w:val="none"/>
                <w:lang w:eastAsia="zh-CN"/>
              </w:rPr>
              <w:t>48</w:t>
            </w:r>
            <w:r>
              <w:rPr>
                <w:rFonts w:hint="eastAsia" w:ascii="宋体" w:hAnsi="宋体" w:cs="宋体"/>
                <w:color w:val="auto"/>
                <w:spacing w:val="-2"/>
                <w:w w:val="99"/>
                <w:kern w:val="2"/>
                <w:sz w:val="21"/>
                <w:szCs w:val="21"/>
                <w:highlight w:val="none"/>
                <w:lang w:eastAsia="zh-CN"/>
              </w:rPr>
              <w:t>0</w:t>
            </w:r>
            <w:r>
              <w:rPr>
                <w:rFonts w:hint="eastAsia" w:ascii="宋体" w:hAnsi="宋体" w:cs="宋体"/>
                <w:color w:val="auto"/>
                <w:w w:val="99"/>
                <w:kern w:val="2"/>
                <w:sz w:val="21"/>
                <w:szCs w:val="21"/>
                <w:highlight w:val="none"/>
                <w:lang w:eastAsia="zh-CN"/>
              </w:rPr>
              <w:t>）</w:t>
            </w:r>
          </w:p>
        </w:tc>
      </w:tr>
      <w:tr w14:paraId="32A6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958C0E">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E872C8">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774602">
            <w:pPr>
              <w:widowControl/>
              <w:jc w:val="left"/>
              <w:rPr>
                <w:rFonts w:ascii="宋体" w:hAnsi="宋体" w:cs="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31C77B8A">
            <w:pPr>
              <w:jc w:val="center"/>
              <w:rPr>
                <w:rFonts w:hint="eastAsia" w:ascii="宋体" w:hAnsi="宋体" w:cs="宋体"/>
                <w:color w:val="auto"/>
                <w:w w:val="99"/>
                <w:szCs w:val="21"/>
                <w:highlight w:val="none"/>
              </w:rPr>
            </w:pPr>
            <w:r>
              <w:rPr>
                <w:rFonts w:hint="eastAsia" w:ascii="宋体" w:hAnsi="宋体" w:cs="宋体"/>
                <w:color w:val="auto"/>
                <w:w w:val="99"/>
                <w:szCs w:val="21"/>
                <w:highlight w:val="none"/>
              </w:rPr>
              <w:t>溴化锂吸收式冷水机组</w:t>
            </w:r>
          </w:p>
        </w:tc>
        <w:tc>
          <w:tcPr>
            <w:tcW w:w="1963" w:type="pct"/>
            <w:tcBorders>
              <w:top w:val="single" w:color="000000" w:sz="4" w:space="0"/>
              <w:left w:val="single" w:color="000000" w:sz="4" w:space="0"/>
              <w:bottom w:val="single" w:color="000000" w:sz="4" w:space="0"/>
              <w:right w:val="single" w:color="000000" w:sz="4" w:space="0"/>
            </w:tcBorders>
            <w:noWrap w:val="0"/>
            <w:vAlign w:val="center"/>
          </w:tcPr>
          <w:p w14:paraId="21342463">
            <w:pPr>
              <w:pStyle w:val="110"/>
              <w:spacing w:before="93"/>
              <w:ind w:left="7"/>
              <w:rPr>
                <w:rFonts w:hint="eastAsia"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《溴化锂吸收式冷水机组能效限</w:t>
            </w:r>
          </w:p>
          <w:p w14:paraId="589C1523">
            <w:pPr>
              <w:rPr>
                <w:rFonts w:hint="eastAsia" w:ascii="宋体" w:hAnsi="宋体" w:cs="宋体"/>
                <w:color w:val="auto"/>
                <w:w w:val="99"/>
                <w:szCs w:val="21"/>
                <w:highlight w:val="none"/>
              </w:rPr>
            </w:pPr>
            <w:r>
              <w:rPr>
                <w:rFonts w:hint="eastAsia" w:ascii="宋体" w:hAnsi="宋体" w:cs="宋体"/>
                <w:color w:val="auto"/>
                <w:w w:val="99"/>
                <w:szCs w:val="21"/>
                <w:highlight w:val="none"/>
              </w:rPr>
              <w:t>定值及能效等级》（GB29540）</w:t>
            </w:r>
          </w:p>
        </w:tc>
      </w:tr>
      <w:tr w14:paraId="3B84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3CD13D">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B12E13">
            <w:pPr>
              <w:widowControl/>
              <w:jc w:val="left"/>
              <w:rPr>
                <w:rFonts w:ascii="宋体" w:hAnsi="宋体" w:cs="宋体"/>
                <w:color w:val="auto"/>
                <w:szCs w:val="21"/>
                <w:highlight w:val="none"/>
              </w:rPr>
            </w:pPr>
          </w:p>
        </w:tc>
        <w:tc>
          <w:tcPr>
            <w:tcW w:w="872" w:type="pct"/>
            <w:vMerge w:val="restart"/>
            <w:tcBorders>
              <w:top w:val="single" w:color="000000" w:sz="4" w:space="0"/>
              <w:left w:val="single" w:color="000000" w:sz="4" w:space="0"/>
              <w:bottom w:val="single" w:color="000000" w:sz="4" w:space="0"/>
              <w:right w:val="single" w:color="000000" w:sz="4" w:space="0"/>
            </w:tcBorders>
            <w:noWrap w:val="0"/>
            <w:vAlign w:val="center"/>
          </w:tcPr>
          <w:p w14:paraId="485FB869">
            <w:pPr>
              <w:pStyle w:val="11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6DA4DFBA">
            <w:pPr>
              <w:pStyle w:val="110"/>
              <w:spacing w:before="4" w:line="276" w:lineRule="auto"/>
              <w:ind w:left="7" w:righ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多联式空调（热泵）机组（制量&gt;14000W）</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4D3D5B51">
            <w:pPr>
              <w:pStyle w:val="110"/>
              <w:spacing w:before="160" w:line="276" w:lineRule="auto"/>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《多联式空调（热泵）机组能效限定值及能源效率等级》（GB21454）</w:t>
            </w:r>
          </w:p>
        </w:tc>
      </w:tr>
      <w:tr w14:paraId="2DFD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F23249">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6DEF99">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2DF578">
            <w:pPr>
              <w:widowControl/>
              <w:jc w:val="left"/>
              <w:rPr>
                <w:rFonts w:ascii="宋体" w:hAnsi="宋体" w:cs="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20068A23">
            <w:pPr>
              <w:jc w:val="center"/>
              <w:rPr>
                <w:rFonts w:ascii="宋体" w:hAnsi="宋体"/>
                <w:color w:val="auto"/>
                <w:szCs w:val="21"/>
                <w:highlight w:val="none"/>
              </w:rPr>
            </w:pPr>
            <w:r>
              <w:rPr>
                <w:rFonts w:hint="eastAsia" w:ascii="宋体" w:hAnsi="宋体" w:cs="宋体"/>
                <w:color w:val="auto"/>
                <w:w w:val="99"/>
                <w:szCs w:val="21"/>
                <w:highlight w:val="none"/>
              </w:rPr>
              <w:t>单元式空气调节机</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3178EC94">
            <w:pPr>
              <w:rPr>
                <w:rFonts w:ascii="宋体" w:hAnsi="宋体"/>
                <w:color w:val="auto"/>
                <w:szCs w:val="21"/>
                <w:highlight w:val="none"/>
              </w:rPr>
            </w:pPr>
            <w:r>
              <w:rPr>
                <w:rFonts w:hint="eastAsia" w:ascii="宋体" w:hAnsi="宋体" w:cs="宋体"/>
                <w:color w:val="auto"/>
                <w:w w:val="99"/>
                <w:szCs w:val="21"/>
                <w:highlight w:val="none"/>
              </w:rPr>
              <w:t>《单元式空气调节机能效限定值及能效等级》（GB19576）《风管送风式空调机组能效限定值及能效等级》（GB37479）</w:t>
            </w:r>
          </w:p>
        </w:tc>
      </w:tr>
      <w:tr w14:paraId="6FAE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E0ACB9">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B2A205">
            <w:pPr>
              <w:widowControl/>
              <w:jc w:val="left"/>
              <w:rPr>
                <w:rFonts w:ascii="宋体" w:hAnsi="宋体" w:cs="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080155DD">
            <w:pPr>
              <w:pStyle w:val="110"/>
              <w:spacing w:before="83"/>
              <w:ind w:lef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0B32B0EC">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6CE4B39B">
            <w:pPr>
              <w:pStyle w:val="110"/>
              <w:spacing w:before="83"/>
              <w:ind w:left="7"/>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《单元式空气调节机能效限定值</w:t>
            </w:r>
          </w:p>
          <w:p w14:paraId="3DBB0199">
            <w:pPr>
              <w:pStyle w:val="110"/>
              <w:spacing w:before="83"/>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及能效等级》（GB19576）</w:t>
            </w:r>
          </w:p>
        </w:tc>
      </w:tr>
      <w:tr w14:paraId="51A1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64A4CE">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10F273">
            <w:pPr>
              <w:widowControl/>
              <w:jc w:val="left"/>
              <w:rPr>
                <w:rFonts w:ascii="宋体" w:hAnsi="宋体" w:cs="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4268D115">
            <w:pPr>
              <w:pStyle w:val="110"/>
              <w:spacing w:line="254" w:lineRule="exact"/>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A02052399其他制冷空调设备</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03E407D1">
            <w:pPr>
              <w:widowControl/>
              <w:jc w:val="center"/>
              <w:rPr>
                <w:rFonts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0210F7D9">
            <w:pPr>
              <w:pStyle w:val="110"/>
              <w:spacing w:line="254" w:lineRule="exact"/>
              <w:ind w:left="7"/>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《机械通风冷却塔第1部分：中小型开式冷却塔》（GB/T7190.1）</w:t>
            </w:r>
          </w:p>
          <w:p w14:paraId="21DC7D8D">
            <w:pPr>
              <w:pStyle w:val="110"/>
              <w:spacing w:line="254" w:lineRule="exact"/>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《机械通风冷却塔第2部分：大型开式冷却塔》（GB/T7190.2）</w:t>
            </w:r>
          </w:p>
        </w:tc>
      </w:tr>
      <w:tr w14:paraId="6287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63A8AB1F">
            <w:pPr>
              <w:pStyle w:val="11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3065B5F6">
            <w:pPr>
              <w:pStyle w:val="110"/>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7EEF9E06">
            <w:pPr>
              <w:jc w:val="center"/>
              <w:rPr>
                <w:rFonts w:ascii="宋体" w:hAnsi="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A8673CF">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AFBF4F9">
            <w:pPr>
              <w:pStyle w:val="110"/>
              <w:spacing w:before="52" w:line="276" w:lineRule="auto"/>
              <w:ind w:left="7" w:right="4"/>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《中小型三相异步电动机能效限定值及能效等级》（GB18613）</w:t>
            </w:r>
          </w:p>
        </w:tc>
      </w:tr>
      <w:tr w14:paraId="4CAC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37BC3A9D">
            <w:pPr>
              <w:pStyle w:val="11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44B8EC9D">
            <w:pPr>
              <w:pStyle w:val="110"/>
              <w:spacing w:before="3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143DD41F">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61CF4FDA">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667ECBB0">
            <w:pPr>
              <w:pStyle w:val="110"/>
              <w:spacing w:before="30"/>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《三相配电变压器能效限定值及</w:t>
            </w:r>
          </w:p>
        </w:tc>
      </w:tr>
      <w:tr w14:paraId="3F68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35C2546D">
            <w:pPr>
              <w:pStyle w:val="11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68252CE0">
            <w:pPr>
              <w:pStyle w:val="110"/>
              <w:spacing w:before="126"/>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672334A5">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29CEBE15">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1A3F0DFA">
            <w:pPr>
              <w:pStyle w:val="110"/>
              <w:spacing w:before="126"/>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《管形荧光灯镇流器能效限定值及能效等级》（GB17896）</w:t>
            </w:r>
          </w:p>
        </w:tc>
      </w:tr>
      <w:tr w14:paraId="25A4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tcBorders>
              <w:top w:val="single" w:color="000000" w:sz="4" w:space="0"/>
              <w:left w:val="single" w:color="000000" w:sz="4" w:space="0"/>
              <w:bottom w:val="single" w:color="000000" w:sz="4" w:space="0"/>
              <w:right w:val="single" w:color="000000" w:sz="4" w:space="0"/>
            </w:tcBorders>
            <w:noWrap w:val="0"/>
            <w:vAlign w:val="center"/>
          </w:tcPr>
          <w:p w14:paraId="4D6627B6">
            <w:pPr>
              <w:pStyle w:val="110"/>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648" w:type="pct"/>
            <w:vMerge w:val="restart"/>
            <w:tcBorders>
              <w:top w:val="single" w:color="000000" w:sz="4" w:space="0"/>
              <w:left w:val="single" w:color="000000" w:sz="4" w:space="0"/>
              <w:bottom w:val="single" w:color="000000" w:sz="4" w:space="0"/>
              <w:right w:val="single" w:color="000000" w:sz="4" w:space="0"/>
            </w:tcBorders>
            <w:noWrap w:val="0"/>
            <w:vAlign w:val="center"/>
          </w:tcPr>
          <w:p w14:paraId="3D8484B1">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01A32C0A">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84F9091">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81D0287">
            <w:pPr>
              <w:pStyle w:val="110"/>
              <w:spacing w:before="126"/>
              <w:ind w:left="7"/>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《家用电冰箱耗电量限定值及能效等级》（GB12021.2）</w:t>
            </w:r>
          </w:p>
        </w:tc>
      </w:tr>
      <w:tr w14:paraId="7B77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A4FAFB">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5E9189">
            <w:pPr>
              <w:widowControl/>
              <w:jc w:val="left"/>
              <w:rPr>
                <w:rFonts w:ascii="宋体" w:hAnsi="宋体" w:cs="宋体"/>
                <w:color w:val="auto"/>
                <w:szCs w:val="21"/>
                <w:highlight w:val="none"/>
              </w:rPr>
            </w:pPr>
          </w:p>
        </w:tc>
        <w:tc>
          <w:tcPr>
            <w:tcW w:w="8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5313A44">
            <w:pPr>
              <w:pStyle w:val="110"/>
              <w:spacing w:before="17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5EC2781A">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32EC3BDD">
            <w:pPr>
              <w:pStyle w:val="110"/>
              <w:spacing w:line="256" w:lineRule="exact"/>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《房间空气调节器能效限定值及能效等级》（GB21455-2019）</w:t>
            </w:r>
          </w:p>
        </w:tc>
      </w:tr>
      <w:tr w14:paraId="36BC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88110F">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2C53A9">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C51020">
            <w:pPr>
              <w:widowControl/>
              <w:jc w:val="left"/>
              <w:rPr>
                <w:rFonts w:ascii="宋体" w:hAnsi="宋体" w:cs="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6C281E4F">
            <w:pPr>
              <w:pStyle w:val="110"/>
              <w:spacing w:before="4"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4857393B">
            <w:pPr>
              <w:pStyle w:val="110"/>
              <w:spacing w:before="160" w:line="276" w:lineRule="auto"/>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《多联式空调（热泵）机组能效限定值及能源效率等级》（GB21454）</w:t>
            </w:r>
          </w:p>
        </w:tc>
      </w:tr>
      <w:tr w14:paraId="3FBB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7A344B">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E5D13F">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7674E0">
            <w:pPr>
              <w:widowControl/>
              <w:jc w:val="left"/>
              <w:rPr>
                <w:rFonts w:ascii="宋体" w:hAnsi="宋体" w:cs="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05E3328B">
            <w:pPr>
              <w:pStyle w:val="110"/>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4C8DD940">
            <w:pPr>
              <w:pStyle w:val="110"/>
              <w:spacing w:before="4"/>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《单元式空气调节机能效限定值及能源效率等级》（GB19576）《风管送风式空调机组能效限定值及能效等级》（GB37479）</w:t>
            </w:r>
          </w:p>
        </w:tc>
      </w:tr>
      <w:tr w14:paraId="6C9F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F51CD2">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C2A44E">
            <w:pPr>
              <w:widowControl/>
              <w:jc w:val="left"/>
              <w:rPr>
                <w:rFonts w:ascii="宋体" w:hAnsi="宋体" w:cs="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55708731">
            <w:pPr>
              <w:pStyle w:val="110"/>
              <w:spacing w:before="16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6EF9254A">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F6FA0A6">
            <w:pPr>
              <w:pStyle w:val="110"/>
              <w:spacing w:before="6" w:line="276" w:lineRule="auto"/>
              <w:ind w:left="7" w:right="4"/>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《电动洗衣机能效水效限定值及等级》（GB12021.4）</w:t>
            </w:r>
          </w:p>
        </w:tc>
      </w:tr>
      <w:tr w14:paraId="00F2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A66A0E">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FE6C0A">
            <w:pPr>
              <w:widowControl/>
              <w:jc w:val="left"/>
              <w:rPr>
                <w:rFonts w:ascii="宋体" w:hAnsi="宋体" w:cs="宋体"/>
                <w:color w:val="auto"/>
                <w:szCs w:val="21"/>
                <w:highlight w:val="none"/>
              </w:rPr>
            </w:pPr>
          </w:p>
        </w:tc>
        <w:tc>
          <w:tcPr>
            <w:tcW w:w="8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A8BE7B3">
            <w:pPr>
              <w:pStyle w:val="110"/>
              <w:spacing w:before="161"/>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DC556FA">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6C1382EB">
            <w:pPr>
              <w:pStyle w:val="110"/>
              <w:tabs>
                <w:tab w:val="left" w:pos="1608"/>
              </w:tabs>
              <w:spacing w:before="5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《储水式电热水器能效</w:t>
            </w:r>
            <w:r>
              <w:rPr>
                <w:rFonts w:hint="eastAsia" w:ascii="宋体" w:hAnsi="宋体" w:cs="宋体"/>
                <w:color w:val="auto"/>
                <w:spacing w:val="9"/>
                <w:w w:val="99"/>
                <w:kern w:val="2"/>
                <w:sz w:val="21"/>
                <w:szCs w:val="21"/>
                <w:highlight w:val="none"/>
                <w:lang w:eastAsia="zh-CN"/>
              </w:rPr>
              <w:t>限</w:t>
            </w:r>
            <w:r>
              <w:rPr>
                <w:rFonts w:hint="eastAsia" w:ascii="宋体" w:hAnsi="宋体" w:cs="宋体"/>
                <w:color w:val="auto"/>
                <w:spacing w:val="12"/>
                <w:w w:val="99"/>
                <w:kern w:val="2"/>
                <w:sz w:val="21"/>
                <w:szCs w:val="21"/>
                <w:highlight w:val="none"/>
                <w:lang w:eastAsia="zh-CN"/>
              </w:rPr>
              <w:t>定值</w:t>
            </w:r>
            <w:r>
              <w:rPr>
                <w:rFonts w:hint="eastAsia" w:ascii="宋体" w:hAnsi="宋体" w:cs="宋体"/>
                <w:color w:val="auto"/>
                <w:w w:val="99"/>
                <w:kern w:val="2"/>
                <w:sz w:val="21"/>
                <w:szCs w:val="21"/>
                <w:highlight w:val="none"/>
                <w:lang w:eastAsia="zh-CN"/>
              </w:rPr>
              <w:t>及能效等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51</w:t>
            </w:r>
            <w:r>
              <w:rPr>
                <w:rFonts w:hint="eastAsia" w:ascii="宋体" w:hAnsi="宋体" w:cs="宋体"/>
                <w:color w:val="auto"/>
                <w:spacing w:val="1"/>
                <w:w w:val="99"/>
                <w:kern w:val="2"/>
                <w:sz w:val="21"/>
                <w:szCs w:val="21"/>
                <w:highlight w:val="none"/>
                <w:lang w:eastAsia="zh-CN"/>
              </w:rPr>
              <w:t>9</w:t>
            </w:r>
            <w:r>
              <w:rPr>
                <w:rFonts w:hint="eastAsia" w:ascii="宋体" w:hAnsi="宋体" w:cs="宋体"/>
                <w:color w:val="auto"/>
                <w:w w:val="99"/>
                <w:kern w:val="2"/>
                <w:sz w:val="21"/>
                <w:szCs w:val="21"/>
                <w:highlight w:val="none"/>
                <w:lang w:eastAsia="zh-CN"/>
              </w:rPr>
              <w:t>）</w:t>
            </w:r>
          </w:p>
        </w:tc>
      </w:tr>
      <w:tr w14:paraId="6C74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F377E0">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01835E">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E9B4F6">
            <w:pPr>
              <w:widowControl/>
              <w:jc w:val="left"/>
              <w:rPr>
                <w:rFonts w:ascii="宋体" w:hAnsi="宋体" w:cs="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7F7752D0">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7D09412">
            <w:pPr>
              <w:pStyle w:val="110"/>
              <w:spacing w:before="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《家用燃气快速热水器</w:t>
            </w:r>
            <w:r>
              <w:rPr>
                <w:rFonts w:hint="eastAsia" w:ascii="宋体" w:hAnsi="宋体" w:cs="宋体"/>
                <w:color w:val="auto"/>
                <w:spacing w:val="9"/>
                <w:w w:val="99"/>
                <w:kern w:val="2"/>
                <w:sz w:val="21"/>
                <w:szCs w:val="21"/>
                <w:highlight w:val="none"/>
                <w:lang w:eastAsia="zh-CN"/>
              </w:rPr>
              <w:t>和</w:t>
            </w:r>
            <w:r>
              <w:rPr>
                <w:rFonts w:hint="eastAsia" w:ascii="宋体" w:hAnsi="宋体" w:cs="宋体"/>
                <w:color w:val="auto"/>
                <w:spacing w:val="12"/>
                <w:w w:val="99"/>
                <w:kern w:val="2"/>
                <w:sz w:val="21"/>
                <w:szCs w:val="21"/>
                <w:highlight w:val="none"/>
                <w:lang w:eastAsia="zh-CN"/>
              </w:rPr>
              <w:t>燃气</w:t>
            </w:r>
            <w:r>
              <w:rPr>
                <w:rFonts w:hint="eastAsia" w:ascii="宋体" w:hAnsi="宋体" w:cs="宋体"/>
                <w:color w:val="auto"/>
                <w:w w:val="99"/>
                <w:kern w:val="2"/>
                <w:sz w:val="21"/>
                <w:szCs w:val="21"/>
                <w:highlight w:val="none"/>
                <w:lang w:eastAsia="zh-CN"/>
              </w:rPr>
              <w:t>采暖热水</w:t>
            </w:r>
            <w:r>
              <w:rPr>
                <w:rFonts w:hint="eastAsia" w:ascii="宋体" w:hAnsi="宋体" w:cs="宋体"/>
                <w:color w:val="auto"/>
                <w:spacing w:val="2"/>
                <w:w w:val="99"/>
                <w:kern w:val="2"/>
                <w:sz w:val="21"/>
                <w:szCs w:val="21"/>
                <w:highlight w:val="none"/>
                <w:lang w:eastAsia="zh-CN"/>
              </w:rPr>
              <w:t>炉</w:t>
            </w:r>
            <w:r>
              <w:rPr>
                <w:rFonts w:hint="eastAsia" w:ascii="宋体" w:hAnsi="宋体" w:cs="宋体"/>
                <w:color w:val="auto"/>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w:t>
            </w:r>
            <w:r>
              <w:rPr>
                <w:rFonts w:hint="eastAsia" w:ascii="宋体" w:hAnsi="宋体" w:cs="宋体"/>
                <w:color w:val="auto"/>
                <w:spacing w:val="2"/>
                <w:w w:val="99"/>
                <w:kern w:val="2"/>
                <w:sz w:val="21"/>
                <w:szCs w:val="21"/>
                <w:highlight w:val="none"/>
                <w:lang w:eastAsia="zh-CN"/>
              </w:rPr>
              <w:t>及</w:t>
            </w:r>
            <w:r>
              <w:rPr>
                <w:rFonts w:hint="eastAsia" w:ascii="宋体" w:hAnsi="宋体" w:cs="宋体"/>
                <w:color w:val="auto"/>
                <w:w w:val="99"/>
                <w:kern w:val="2"/>
                <w:sz w:val="21"/>
                <w:szCs w:val="21"/>
                <w:highlight w:val="none"/>
                <w:lang w:eastAsia="zh-CN"/>
              </w:rPr>
              <w:t>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w:t>
            </w:r>
            <w:r>
              <w:rPr>
                <w:rFonts w:hint="eastAsia" w:ascii="宋体" w:hAnsi="宋体" w:cs="宋体"/>
                <w:color w:val="auto"/>
                <w:w w:val="99"/>
                <w:kern w:val="2"/>
                <w:sz w:val="21"/>
                <w:szCs w:val="21"/>
                <w:highlight w:val="none"/>
                <w:lang w:eastAsia="zh-CN"/>
              </w:rPr>
              <w:t>06</w:t>
            </w:r>
            <w:r>
              <w:rPr>
                <w:rFonts w:hint="eastAsia" w:ascii="宋体" w:hAnsi="宋体" w:cs="宋体"/>
                <w:color w:val="auto"/>
                <w:spacing w:val="1"/>
                <w:w w:val="99"/>
                <w:kern w:val="2"/>
                <w:sz w:val="21"/>
                <w:szCs w:val="21"/>
                <w:highlight w:val="none"/>
                <w:lang w:eastAsia="zh-CN"/>
              </w:rPr>
              <w:t>65</w:t>
            </w:r>
            <w:r>
              <w:rPr>
                <w:rFonts w:hint="eastAsia" w:ascii="宋体" w:hAnsi="宋体" w:cs="宋体"/>
                <w:color w:val="auto"/>
                <w:w w:val="99"/>
                <w:kern w:val="2"/>
                <w:sz w:val="21"/>
                <w:szCs w:val="21"/>
                <w:highlight w:val="none"/>
                <w:lang w:eastAsia="zh-CN"/>
              </w:rPr>
              <w:t>）</w:t>
            </w:r>
          </w:p>
        </w:tc>
      </w:tr>
      <w:tr w14:paraId="6CC5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3DF3CD">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50FEC2">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8AF168">
            <w:pPr>
              <w:widowControl/>
              <w:jc w:val="left"/>
              <w:rPr>
                <w:rFonts w:ascii="宋体" w:hAnsi="宋体" w:cs="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3864593E">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2611D963">
            <w:pPr>
              <w:pStyle w:val="110"/>
              <w:spacing w:before="93" w:line="276" w:lineRule="auto"/>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《热泵</w:t>
            </w:r>
            <w:r>
              <w:rPr>
                <w:rFonts w:hint="eastAsia" w:ascii="宋体" w:hAnsi="宋体" w:cs="宋体"/>
                <w:color w:val="auto"/>
                <w:spacing w:val="2"/>
                <w:w w:val="99"/>
                <w:kern w:val="2"/>
                <w:sz w:val="21"/>
                <w:szCs w:val="21"/>
                <w:highlight w:val="none"/>
                <w:lang w:eastAsia="zh-CN"/>
              </w:rPr>
              <w:t>热</w:t>
            </w:r>
            <w:r>
              <w:rPr>
                <w:rFonts w:hint="eastAsia" w:ascii="宋体" w:hAnsi="宋体" w:cs="宋体"/>
                <w:color w:val="auto"/>
                <w:w w:val="99"/>
                <w:kern w:val="2"/>
                <w:sz w:val="21"/>
                <w:szCs w:val="21"/>
                <w:highlight w:val="none"/>
                <w:lang w:eastAsia="zh-CN"/>
              </w:rPr>
              <w:t>水</w:t>
            </w:r>
            <w:r>
              <w:rPr>
                <w:rFonts w:hint="eastAsia" w:ascii="宋体" w:hAnsi="宋体" w:cs="宋体"/>
                <w:color w:val="auto"/>
                <w:spacing w:val="-27"/>
                <w:w w:val="99"/>
                <w:kern w:val="2"/>
                <w:sz w:val="21"/>
                <w:szCs w:val="21"/>
                <w:highlight w:val="none"/>
                <w:lang w:eastAsia="zh-CN"/>
              </w:rPr>
              <w:t>机</w:t>
            </w:r>
            <w:r>
              <w:rPr>
                <w:rFonts w:hint="eastAsia" w:ascii="宋体" w:hAnsi="宋体" w:cs="宋体"/>
                <w:color w:val="auto"/>
                <w:w w:val="99"/>
                <w:kern w:val="2"/>
                <w:sz w:val="21"/>
                <w:szCs w:val="21"/>
                <w:highlight w:val="none"/>
                <w:lang w:eastAsia="zh-CN"/>
              </w:rPr>
              <w:t>（器</w:t>
            </w:r>
            <w:r>
              <w:rPr>
                <w:rFonts w:hint="eastAsia" w:ascii="宋体" w:hAnsi="宋体" w:cs="宋体"/>
                <w:color w:val="auto"/>
                <w:spacing w:val="-27"/>
                <w:w w:val="99"/>
                <w:kern w:val="2"/>
                <w:sz w:val="21"/>
                <w:szCs w:val="21"/>
                <w:highlight w:val="none"/>
                <w:lang w:eastAsia="zh-CN"/>
              </w:rPr>
              <w:t>）</w:t>
            </w:r>
            <w:r>
              <w:rPr>
                <w:rFonts w:hint="eastAsia" w:ascii="宋体" w:hAnsi="宋体" w:cs="宋体"/>
                <w:color w:val="auto"/>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定值及能效等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295</w:t>
            </w:r>
            <w:r>
              <w:rPr>
                <w:rFonts w:hint="eastAsia" w:ascii="宋体" w:hAnsi="宋体" w:cs="宋体"/>
                <w:color w:val="auto"/>
                <w:w w:val="99"/>
                <w:kern w:val="2"/>
                <w:sz w:val="21"/>
                <w:szCs w:val="21"/>
                <w:highlight w:val="none"/>
                <w:lang w:eastAsia="zh-CN"/>
              </w:rPr>
              <w:t>4</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7B21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B42F64">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4924A8">
            <w:pPr>
              <w:widowControl/>
              <w:jc w:val="left"/>
              <w:rPr>
                <w:rFonts w:ascii="宋体" w:hAnsi="宋体" w:cs="宋体"/>
                <w:color w:val="auto"/>
                <w:szCs w:val="21"/>
                <w:highlight w:val="none"/>
              </w:rPr>
            </w:pPr>
          </w:p>
        </w:tc>
        <w:tc>
          <w:tcPr>
            <w:tcW w:w="8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BA32CA">
            <w:pPr>
              <w:widowControl/>
              <w:jc w:val="left"/>
              <w:rPr>
                <w:rFonts w:ascii="宋体" w:hAnsi="宋体" w:cs="宋体"/>
                <w:color w:val="auto"/>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BAECB59">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09779BA2">
            <w:pPr>
              <w:pStyle w:val="110"/>
              <w:spacing w:before="5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《家用太阳能热水系统</w:t>
            </w:r>
            <w:r>
              <w:rPr>
                <w:rFonts w:hint="eastAsia" w:ascii="宋体" w:hAnsi="宋体" w:cs="宋体"/>
                <w:color w:val="auto"/>
                <w:spacing w:val="9"/>
                <w:w w:val="99"/>
                <w:kern w:val="2"/>
                <w:sz w:val="21"/>
                <w:szCs w:val="21"/>
                <w:highlight w:val="none"/>
                <w:lang w:eastAsia="zh-CN"/>
              </w:rPr>
              <w:t>能</w:t>
            </w:r>
            <w:r>
              <w:rPr>
                <w:rFonts w:hint="eastAsia" w:ascii="宋体" w:hAnsi="宋体" w:cs="宋体"/>
                <w:color w:val="auto"/>
                <w:spacing w:val="12"/>
                <w:w w:val="99"/>
                <w:kern w:val="2"/>
                <w:sz w:val="21"/>
                <w:szCs w:val="21"/>
                <w:highlight w:val="none"/>
                <w:lang w:eastAsia="zh-CN"/>
              </w:rPr>
              <w:t>效限</w:t>
            </w:r>
            <w:r>
              <w:rPr>
                <w:rFonts w:hint="eastAsia" w:ascii="宋体" w:hAnsi="宋体" w:cs="宋体"/>
                <w:color w:val="auto"/>
                <w:w w:val="99"/>
                <w:kern w:val="2"/>
                <w:sz w:val="21"/>
                <w:szCs w:val="21"/>
                <w:highlight w:val="none"/>
                <w:lang w:eastAsia="zh-CN"/>
              </w:rPr>
              <w:t>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26</w:t>
            </w:r>
            <w:r>
              <w:rPr>
                <w:rFonts w:hint="eastAsia" w:ascii="宋体" w:hAnsi="宋体" w:cs="宋体"/>
                <w:color w:val="auto"/>
                <w:w w:val="99"/>
                <w:kern w:val="2"/>
                <w:sz w:val="21"/>
                <w:szCs w:val="21"/>
                <w:highlight w:val="none"/>
                <w:lang w:eastAsia="zh-CN"/>
              </w:rPr>
              <w:t>96</w:t>
            </w:r>
            <w:r>
              <w:rPr>
                <w:rFonts w:hint="eastAsia" w:ascii="宋体" w:hAnsi="宋体" w:cs="宋体"/>
                <w:color w:val="auto"/>
                <w:spacing w:val="-2"/>
                <w:w w:val="99"/>
                <w:kern w:val="2"/>
                <w:sz w:val="21"/>
                <w:szCs w:val="21"/>
                <w:highlight w:val="none"/>
                <w:lang w:eastAsia="zh-CN"/>
              </w:rPr>
              <w:t>9</w:t>
            </w:r>
            <w:r>
              <w:rPr>
                <w:rFonts w:hint="eastAsia" w:ascii="宋体" w:hAnsi="宋体" w:cs="宋体"/>
                <w:color w:val="auto"/>
                <w:w w:val="99"/>
                <w:kern w:val="2"/>
                <w:sz w:val="21"/>
                <w:szCs w:val="21"/>
                <w:highlight w:val="none"/>
                <w:lang w:eastAsia="zh-CN"/>
              </w:rPr>
              <w:t>）</w:t>
            </w:r>
          </w:p>
        </w:tc>
      </w:tr>
      <w:tr w14:paraId="24AA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tcBorders>
              <w:top w:val="single" w:color="000000" w:sz="4" w:space="0"/>
              <w:left w:val="single" w:color="000000" w:sz="4" w:space="0"/>
              <w:bottom w:val="single" w:color="000000" w:sz="4" w:space="0"/>
              <w:right w:val="single" w:color="000000" w:sz="4" w:space="0"/>
            </w:tcBorders>
            <w:noWrap w:val="0"/>
            <w:vAlign w:val="center"/>
          </w:tcPr>
          <w:p w14:paraId="267E8D40">
            <w:pPr>
              <w:pStyle w:val="11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648" w:type="pct"/>
            <w:vMerge w:val="restart"/>
            <w:tcBorders>
              <w:top w:val="single" w:color="000000" w:sz="4" w:space="0"/>
              <w:left w:val="single" w:color="000000" w:sz="4" w:space="0"/>
              <w:bottom w:val="single" w:color="000000" w:sz="4" w:space="0"/>
              <w:right w:val="single" w:color="000000" w:sz="4" w:space="0"/>
            </w:tcBorders>
            <w:noWrap w:val="0"/>
            <w:vAlign w:val="center"/>
          </w:tcPr>
          <w:p w14:paraId="5995C551">
            <w:pPr>
              <w:pStyle w:val="110"/>
              <w:spacing w:before="15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388B75EB">
            <w:pPr>
              <w:pStyle w:val="110"/>
              <w:spacing w:before="133"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★普通照明用端荧光灯</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65EB0CE7">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547E3712">
            <w:pPr>
              <w:pStyle w:val="110"/>
              <w:spacing w:before="13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《普通照明用双端荧光</w:t>
            </w:r>
            <w:r>
              <w:rPr>
                <w:rFonts w:hint="eastAsia" w:ascii="宋体" w:hAnsi="宋体" w:cs="宋体"/>
                <w:color w:val="auto"/>
                <w:spacing w:val="9"/>
                <w:w w:val="99"/>
                <w:kern w:val="2"/>
                <w:sz w:val="21"/>
                <w:szCs w:val="21"/>
                <w:highlight w:val="none"/>
                <w:lang w:eastAsia="zh-CN"/>
              </w:rPr>
              <w:t>灯</w:t>
            </w:r>
            <w:r>
              <w:rPr>
                <w:rFonts w:hint="eastAsia" w:ascii="宋体" w:hAnsi="宋体" w:cs="宋体"/>
                <w:color w:val="auto"/>
                <w:spacing w:val="12"/>
                <w:w w:val="99"/>
                <w:kern w:val="2"/>
                <w:sz w:val="21"/>
                <w:szCs w:val="21"/>
                <w:highlight w:val="none"/>
                <w:lang w:eastAsia="zh-CN"/>
              </w:rPr>
              <w:t>能效</w:t>
            </w:r>
            <w:r>
              <w:rPr>
                <w:rFonts w:hint="eastAsia" w:ascii="宋体" w:hAnsi="宋体" w:cs="宋体"/>
                <w:color w:val="auto"/>
                <w:w w:val="99"/>
                <w:kern w:val="2"/>
                <w:sz w:val="21"/>
                <w:szCs w:val="21"/>
                <w:highlight w:val="none"/>
                <w:lang w:eastAsia="zh-CN"/>
              </w:rPr>
              <w:t>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19</w:t>
            </w:r>
            <w:r>
              <w:rPr>
                <w:rFonts w:hint="eastAsia" w:ascii="宋体" w:hAnsi="宋体" w:cs="宋体"/>
                <w:color w:val="auto"/>
                <w:w w:val="99"/>
                <w:kern w:val="2"/>
                <w:sz w:val="21"/>
                <w:szCs w:val="21"/>
                <w:highlight w:val="none"/>
                <w:lang w:eastAsia="zh-CN"/>
              </w:rPr>
              <w:t>04</w:t>
            </w:r>
            <w:r>
              <w:rPr>
                <w:rFonts w:hint="eastAsia" w:ascii="宋体" w:hAnsi="宋体" w:cs="宋体"/>
                <w:color w:val="auto"/>
                <w:spacing w:val="1"/>
                <w:w w:val="99"/>
                <w:kern w:val="2"/>
                <w:sz w:val="21"/>
                <w:szCs w:val="21"/>
                <w:highlight w:val="none"/>
                <w:lang w:eastAsia="zh-CN"/>
              </w:rPr>
              <w:t>3</w:t>
            </w:r>
            <w:r>
              <w:rPr>
                <w:rFonts w:hint="eastAsia" w:ascii="宋体" w:hAnsi="宋体" w:cs="宋体"/>
                <w:color w:val="auto"/>
                <w:w w:val="99"/>
                <w:kern w:val="2"/>
                <w:sz w:val="21"/>
                <w:szCs w:val="21"/>
                <w:highlight w:val="none"/>
                <w:lang w:eastAsia="zh-CN"/>
              </w:rPr>
              <w:t>）</w:t>
            </w:r>
          </w:p>
        </w:tc>
      </w:tr>
      <w:tr w14:paraId="3F88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82AA48">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56306B">
            <w:pPr>
              <w:widowControl/>
              <w:jc w:val="left"/>
              <w:rPr>
                <w:rFonts w:ascii="宋体" w:hAnsi="宋体" w:cs="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4292E870">
            <w:pPr>
              <w:pStyle w:val="110"/>
              <w:spacing w:before="92" w:line="276" w:lineRule="auto"/>
              <w:ind w:left="7" w:right="2"/>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3D5BD761">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7B95AAFE">
            <w:pPr>
              <w:pStyle w:val="110"/>
              <w:spacing w:before="92" w:line="276" w:lineRule="auto"/>
              <w:ind w:left="7" w:right="7"/>
              <w:rPr>
                <w:rFonts w:ascii="宋体" w:hAnsi="宋体" w:cs="宋体"/>
                <w:color w:val="auto"/>
                <w:kern w:val="2"/>
                <w:sz w:val="21"/>
                <w:szCs w:val="21"/>
                <w:highlight w:val="none"/>
                <w:lang w:eastAsia="zh-CN"/>
              </w:rPr>
            </w:pPr>
            <w:r>
              <w:rPr>
                <w:rFonts w:hint="eastAsia" w:ascii="宋体" w:hAnsi="宋体" w:cs="宋体"/>
                <w:color w:val="auto"/>
                <w:spacing w:val="4"/>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道</w:t>
            </w:r>
            <w:r>
              <w:rPr>
                <w:rFonts w:hint="eastAsia" w:ascii="宋体" w:hAnsi="宋体" w:cs="宋体"/>
                <w:color w:val="auto"/>
                <w:spacing w:val="4"/>
                <w:w w:val="99"/>
                <w:kern w:val="2"/>
                <w:sz w:val="21"/>
                <w:szCs w:val="21"/>
                <w:highlight w:val="none"/>
                <w:lang w:eastAsia="zh-CN"/>
              </w:rPr>
              <w:t>路和隧道照</w:t>
            </w:r>
            <w:r>
              <w:rPr>
                <w:rFonts w:hint="eastAsia" w:ascii="宋体" w:hAnsi="宋体" w:cs="宋体"/>
                <w:color w:val="auto"/>
                <w:spacing w:val="2"/>
                <w:w w:val="99"/>
                <w:kern w:val="2"/>
                <w:sz w:val="21"/>
                <w:szCs w:val="21"/>
                <w:highlight w:val="none"/>
                <w:lang w:eastAsia="zh-CN"/>
              </w:rPr>
              <w:t>明</w:t>
            </w:r>
            <w:r>
              <w:rPr>
                <w:rFonts w:hint="eastAsia" w:ascii="宋体" w:hAnsi="宋体" w:cs="宋体"/>
                <w:color w:val="auto"/>
                <w:w w:val="99"/>
                <w:kern w:val="2"/>
                <w:sz w:val="21"/>
                <w:szCs w:val="21"/>
                <w:highlight w:val="none"/>
                <w:lang w:eastAsia="zh-CN"/>
              </w:rPr>
              <w:t>用</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w:t>
            </w:r>
            <w:r>
              <w:rPr>
                <w:rFonts w:hint="eastAsia" w:ascii="宋体" w:hAnsi="宋体" w:cs="宋体"/>
                <w:color w:val="auto"/>
                <w:spacing w:val="4"/>
                <w:w w:val="99"/>
                <w:kern w:val="2"/>
                <w:sz w:val="21"/>
                <w:szCs w:val="21"/>
                <w:highlight w:val="none"/>
                <w:lang w:eastAsia="zh-CN"/>
              </w:rPr>
              <w:t>灯</w:t>
            </w:r>
            <w:r>
              <w:rPr>
                <w:rFonts w:hint="eastAsia" w:ascii="宋体" w:hAnsi="宋体" w:cs="宋体"/>
                <w:color w:val="auto"/>
                <w:spacing w:val="2"/>
                <w:w w:val="99"/>
                <w:kern w:val="2"/>
                <w:sz w:val="21"/>
                <w:szCs w:val="21"/>
                <w:highlight w:val="none"/>
                <w:lang w:eastAsia="zh-CN"/>
              </w:rPr>
              <w:t>具</w:t>
            </w:r>
            <w:r>
              <w:rPr>
                <w:rFonts w:hint="eastAsia" w:ascii="宋体" w:hAnsi="宋体" w:cs="宋体"/>
                <w:color w:val="auto"/>
                <w:w w:val="99"/>
                <w:kern w:val="2"/>
                <w:sz w:val="21"/>
                <w:szCs w:val="21"/>
                <w:highlight w:val="none"/>
                <w:lang w:eastAsia="zh-CN"/>
              </w:rPr>
              <w:t>能效限定</w:t>
            </w:r>
            <w:r>
              <w:rPr>
                <w:rFonts w:hint="eastAsia" w:ascii="宋体" w:hAnsi="宋体" w:cs="宋体"/>
                <w:color w:val="auto"/>
                <w:spacing w:val="2"/>
                <w:w w:val="99"/>
                <w:kern w:val="2"/>
                <w:sz w:val="21"/>
                <w:szCs w:val="21"/>
                <w:highlight w:val="none"/>
                <w:lang w:eastAsia="zh-CN"/>
              </w:rPr>
              <w:t>值</w:t>
            </w:r>
            <w:r>
              <w:rPr>
                <w:rFonts w:hint="eastAsia" w:ascii="宋体" w:hAnsi="宋体" w:cs="宋体"/>
                <w:color w:val="auto"/>
                <w:w w:val="99"/>
                <w:kern w:val="2"/>
                <w:sz w:val="21"/>
                <w:szCs w:val="21"/>
                <w:highlight w:val="none"/>
                <w:lang w:eastAsia="zh-CN"/>
              </w:rPr>
              <w:t>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106"/>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3747</w:t>
            </w:r>
            <w:r>
              <w:rPr>
                <w:rFonts w:hint="eastAsia" w:ascii="宋体" w:hAnsi="宋体" w:cs="宋体"/>
                <w:color w:val="auto"/>
                <w:w w:val="99"/>
                <w:kern w:val="2"/>
                <w:sz w:val="21"/>
                <w:szCs w:val="21"/>
                <w:highlight w:val="none"/>
                <w:lang w:eastAsia="zh-CN"/>
              </w:rPr>
              <w:t>8</w:t>
            </w:r>
          </w:p>
        </w:tc>
      </w:tr>
      <w:tr w14:paraId="31A4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031B44">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587725">
            <w:pPr>
              <w:widowControl/>
              <w:jc w:val="left"/>
              <w:rPr>
                <w:rFonts w:ascii="宋体" w:hAnsi="宋体" w:cs="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6C4810DB">
            <w:pPr>
              <w:pStyle w:val="110"/>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FB2BEE5">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00948535">
            <w:pPr>
              <w:pStyle w:val="110"/>
              <w:spacing w:before="83" w:line="276" w:lineRule="auto"/>
              <w:ind w:left="7" w:right="7"/>
              <w:rPr>
                <w:rFonts w:ascii="宋体" w:hAnsi="宋体" w:cs="宋体"/>
                <w:color w:val="auto"/>
                <w:kern w:val="2"/>
                <w:sz w:val="21"/>
                <w:szCs w:val="21"/>
                <w:highlight w:val="none"/>
                <w:lang w:eastAsia="zh-CN"/>
              </w:rPr>
            </w:pPr>
            <w:r>
              <w:rPr>
                <w:rFonts w:hint="eastAsia" w:ascii="宋体" w:hAnsi="宋体" w:cs="宋体"/>
                <w:color w:val="auto"/>
                <w:spacing w:val="4"/>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室</w:t>
            </w:r>
            <w:r>
              <w:rPr>
                <w:rFonts w:hint="eastAsia" w:ascii="宋体" w:hAnsi="宋体" w:cs="宋体"/>
                <w:color w:val="auto"/>
                <w:spacing w:val="4"/>
                <w:w w:val="99"/>
                <w:kern w:val="2"/>
                <w:sz w:val="21"/>
                <w:szCs w:val="21"/>
                <w:highlight w:val="none"/>
                <w:lang w:eastAsia="zh-CN"/>
              </w:rPr>
              <w:t>内照明</w:t>
            </w:r>
            <w:r>
              <w:rPr>
                <w:rFonts w:hint="eastAsia" w:ascii="宋体" w:hAnsi="宋体" w:cs="宋体"/>
                <w:color w:val="auto"/>
                <w:w w:val="99"/>
                <w:kern w:val="2"/>
                <w:sz w:val="21"/>
                <w:szCs w:val="21"/>
                <w:highlight w:val="none"/>
                <w:lang w:eastAsia="zh-CN"/>
              </w:rPr>
              <w:t>用</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w:t>
            </w:r>
            <w:r>
              <w:rPr>
                <w:rFonts w:hint="eastAsia" w:ascii="宋体" w:hAnsi="宋体" w:cs="宋体"/>
                <w:color w:val="auto"/>
                <w:spacing w:val="4"/>
                <w:w w:val="99"/>
                <w:kern w:val="2"/>
                <w:sz w:val="21"/>
                <w:szCs w:val="21"/>
                <w:highlight w:val="none"/>
                <w:lang w:eastAsia="zh-CN"/>
              </w:rPr>
              <w:t>产</w:t>
            </w:r>
            <w:r>
              <w:rPr>
                <w:rFonts w:hint="eastAsia" w:ascii="宋体" w:hAnsi="宋体" w:cs="宋体"/>
                <w:color w:val="auto"/>
                <w:spacing w:val="2"/>
                <w:w w:val="99"/>
                <w:kern w:val="2"/>
                <w:sz w:val="21"/>
                <w:szCs w:val="21"/>
                <w:highlight w:val="none"/>
                <w:lang w:eastAsia="zh-CN"/>
              </w:rPr>
              <w:t>品</w:t>
            </w:r>
            <w:r>
              <w:rPr>
                <w:rFonts w:hint="eastAsia" w:ascii="宋体" w:hAnsi="宋体" w:cs="宋体"/>
                <w:color w:val="auto"/>
                <w:spacing w:val="4"/>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w:t>
            </w:r>
            <w:r>
              <w:rPr>
                <w:rFonts w:hint="eastAsia" w:ascii="宋体" w:hAnsi="宋体" w:cs="宋体"/>
                <w:color w:val="auto"/>
                <w:w w:val="99"/>
                <w:kern w:val="2"/>
                <w:sz w:val="21"/>
                <w:szCs w:val="21"/>
                <w:highlight w:val="none"/>
                <w:lang w:eastAsia="zh-CN"/>
              </w:rPr>
              <w:t>25</w:t>
            </w:r>
            <w:r>
              <w:rPr>
                <w:rFonts w:hint="eastAsia" w:ascii="宋体" w:hAnsi="宋体" w:cs="宋体"/>
                <w:color w:val="auto"/>
                <w:spacing w:val="-2"/>
                <w:w w:val="99"/>
                <w:kern w:val="2"/>
                <w:sz w:val="21"/>
                <w:szCs w:val="21"/>
                <w:highlight w:val="none"/>
                <w:lang w:eastAsia="zh-CN"/>
              </w:rPr>
              <w:t>5</w:t>
            </w:r>
            <w:r>
              <w:rPr>
                <w:rFonts w:hint="eastAsia" w:ascii="宋体" w:hAnsi="宋体" w:cs="宋体"/>
                <w:color w:val="auto"/>
                <w:w w:val="99"/>
                <w:kern w:val="2"/>
                <w:sz w:val="21"/>
                <w:szCs w:val="21"/>
                <w:highlight w:val="none"/>
                <w:lang w:eastAsia="zh-CN"/>
              </w:rPr>
              <w:t>）</w:t>
            </w:r>
          </w:p>
        </w:tc>
      </w:tr>
      <w:tr w14:paraId="5ECE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05F90E">
            <w:pPr>
              <w:widowControl/>
              <w:jc w:val="left"/>
              <w:rPr>
                <w:rFonts w:ascii="宋体" w:hAnsi="宋体" w:cs="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E8D80B">
            <w:pPr>
              <w:widowControl/>
              <w:jc w:val="left"/>
              <w:rPr>
                <w:rFonts w:ascii="宋体" w:hAnsi="宋体" w:cs="宋体"/>
                <w:color w:val="auto"/>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2791D565">
            <w:pPr>
              <w:pStyle w:val="110"/>
              <w:spacing w:line="276" w:lineRule="auto"/>
              <w:ind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0955D86B">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0B5B1F9B">
            <w:pPr>
              <w:pStyle w:val="110"/>
              <w:spacing w:before="5"/>
              <w:rPr>
                <w:rFonts w:ascii="宋体" w:hAnsi="宋体" w:cs="宋体"/>
                <w:color w:val="auto"/>
                <w:kern w:val="2"/>
                <w:sz w:val="21"/>
                <w:szCs w:val="21"/>
                <w:highlight w:val="none"/>
                <w:lang w:eastAsia="zh-CN"/>
              </w:rPr>
            </w:pPr>
          </w:p>
          <w:p w14:paraId="79C55769">
            <w:pPr>
              <w:pStyle w:val="110"/>
              <w:spacing w:line="276" w:lineRule="auto"/>
              <w:ind w:left="7" w:right="7"/>
              <w:rPr>
                <w:rFonts w:ascii="宋体" w:hAnsi="宋体" w:cs="宋体"/>
                <w:color w:val="auto"/>
                <w:kern w:val="2"/>
                <w:sz w:val="21"/>
                <w:szCs w:val="21"/>
                <w:highlight w:val="none"/>
                <w:lang w:eastAsia="zh-CN"/>
              </w:rPr>
            </w:pPr>
            <w:r>
              <w:rPr>
                <w:rFonts w:hint="eastAsia" w:ascii="宋体" w:hAnsi="宋体" w:cs="宋体"/>
                <w:color w:val="auto"/>
                <w:spacing w:val="4"/>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室</w:t>
            </w:r>
            <w:r>
              <w:rPr>
                <w:rFonts w:hint="eastAsia" w:ascii="宋体" w:hAnsi="宋体" w:cs="宋体"/>
                <w:color w:val="auto"/>
                <w:spacing w:val="4"/>
                <w:w w:val="99"/>
                <w:kern w:val="2"/>
                <w:sz w:val="21"/>
                <w:szCs w:val="21"/>
                <w:highlight w:val="none"/>
                <w:lang w:eastAsia="zh-CN"/>
              </w:rPr>
              <w:t>内照明</w:t>
            </w:r>
            <w:r>
              <w:rPr>
                <w:rFonts w:hint="eastAsia" w:ascii="宋体" w:hAnsi="宋体" w:cs="宋体"/>
                <w:color w:val="auto"/>
                <w:w w:val="99"/>
                <w:kern w:val="2"/>
                <w:sz w:val="21"/>
                <w:szCs w:val="21"/>
                <w:highlight w:val="none"/>
                <w:lang w:eastAsia="zh-CN"/>
              </w:rPr>
              <w:t>用</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w:t>
            </w:r>
            <w:r>
              <w:rPr>
                <w:rFonts w:hint="eastAsia" w:ascii="宋体" w:hAnsi="宋体" w:cs="宋体"/>
                <w:color w:val="auto"/>
                <w:spacing w:val="4"/>
                <w:w w:val="99"/>
                <w:kern w:val="2"/>
                <w:sz w:val="21"/>
                <w:szCs w:val="21"/>
                <w:highlight w:val="none"/>
                <w:lang w:eastAsia="zh-CN"/>
              </w:rPr>
              <w:t>产</w:t>
            </w:r>
            <w:r>
              <w:rPr>
                <w:rFonts w:hint="eastAsia" w:ascii="宋体" w:hAnsi="宋体" w:cs="宋体"/>
                <w:color w:val="auto"/>
                <w:spacing w:val="2"/>
                <w:w w:val="99"/>
                <w:kern w:val="2"/>
                <w:sz w:val="21"/>
                <w:szCs w:val="21"/>
                <w:highlight w:val="none"/>
                <w:lang w:eastAsia="zh-CN"/>
              </w:rPr>
              <w:t>品</w:t>
            </w:r>
            <w:r>
              <w:rPr>
                <w:rFonts w:hint="eastAsia" w:ascii="宋体" w:hAnsi="宋体" w:cs="宋体"/>
                <w:color w:val="auto"/>
                <w:spacing w:val="4"/>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w:t>
            </w:r>
            <w:r>
              <w:rPr>
                <w:rFonts w:hint="eastAsia" w:ascii="宋体" w:hAnsi="宋体" w:cs="宋体"/>
                <w:color w:val="auto"/>
                <w:w w:val="99"/>
                <w:kern w:val="2"/>
                <w:sz w:val="21"/>
                <w:szCs w:val="21"/>
                <w:highlight w:val="none"/>
                <w:lang w:eastAsia="zh-CN"/>
              </w:rPr>
              <w:t>25</w:t>
            </w:r>
            <w:r>
              <w:rPr>
                <w:rFonts w:hint="eastAsia" w:ascii="宋体" w:hAnsi="宋体" w:cs="宋体"/>
                <w:color w:val="auto"/>
                <w:spacing w:val="-2"/>
                <w:w w:val="99"/>
                <w:kern w:val="2"/>
                <w:sz w:val="21"/>
                <w:szCs w:val="21"/>
                <w:highlight w:val="none"/>
                <w:lang w:eastAsia="zh-CN"/>
              </w:rPr>
              <w:t>5</w:t>
            </w:r>
            <w:r>
              <w:rPr>
                <w:rFonts w:hint="eastAsia" w:ascii="宋体" w:hAnsi="宋体" w:cs="宋体"/>
                <w:color w:val="auto"/>
                <w:w w:val="99"/>
                <w:kern w:val="2"/>
                <w:sz w:val="21"/>
                <w:szCs w:val="21"/>
                <w:highlight w:val="none"/>
                <w:lang w:eastAsia="zh-CN"/>
              </w:rPr>
              <w:t>）</w:t>
            </w:r>
          </w:p>
        </w:tc>
      </w:tr>
      <w:tr w14:paraId="3AE6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4A2A88BF">
            <w:pPr>
              <w:pStyle w:val="11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6931867F">
            <w:pPr>
              <w:pStyle w:val="110"/>
              <w:spacing w:before="81"/>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495116F0">
            <w:pPr>
              <w:pStyle w:val="110"/>
              <w:spacing w:before="81" w:line="276" w:lineRule="auto"/>
              <w:ind w:left="7" w:right="5"/>
              <w:jc w:val="center"/>
              <w:rPr>
                <w:rFonts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D71E728">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7A8EF886">
            <w:pPr>
              <w:pStyle w:val="110"/>
              <w:spacing w:before="81"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《平板电视能效限定值</w:t>
            </w:r>
            <w:r>
              <w:rPr>
                <w:rFonts w:hint="eastAsia" w:ascii="宋体" w:hAnsi="宋体" w:cs="宋体"/>
                <w:color w:val="auto"/>
                <w:spacing w:val="9"/>
                <w:w w:val="99"/>
                <w:kern w:val="2"/>
                <w:sz w:val="21"/>
                <w:szCs w:val="21"/>
                <w:highlight w:val="none"/>
                <w:lang w:eastAsia="zh-CN"/>
              </w:rPr>
              <w:t>及</w:t>
            </w:r>
            <w:r>
              <w:rPr>
                <w:rFonts w:hint="eastAsia" w:ascii="宋体" w:hAnsi="宋体" w:cs="宋体"/>
                <w:color w:val="auto"/>
                <w:spacing w:val="12"/>
                <w:w w:val="99"/>
                <w:kern w:val="2"/>
                <w:sz w:val="21"/>
                <w:szCs w:val="21"/>
                <w:highlight w:val="none"/>
                <w:lang w:eastAsia="zh-CN"/>
              </w:rPr>
              <w:t>能效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248</w:t>
            </w:r>
            <w:r>
              <w:rPr>
                <w:rFonts w:hint="eastAsia" w:ascii="宋体" w:hAnsi="宋体" w:cs="宋体"/>
                <w:color w:val="auto"/>
                <w:w w:val="99"/>
                <w:kern w:val="2"/>
                <w:sz w:val="21"/>
                <w:szCs w:val="21"/>
                <w:highlight w:val="none"/>
                <w:lang w:eastAsia="zh-CN"/>
              </w:rPr>
              <w:t>50）</w:t>
            </w:r>
          </w:p>
        </w:tc>
      </w:tr>
      <w:tr w14:paraId="77F5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7488AD89">
            <w:pPr>
              <w:pStyle w:val="11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3C7A1659">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3BDC03DC">
            <w:pPr>
              <w:pStyle w:val="110"/>
              <w:spacing w:line="276" w:lineRule="auto"/>
              <w:ind w:right="5"/>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0858EF9">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06E7F9C5">
            <w:pPr>
              <w:pStyle w:val="110"/>
              <w:spacing w:before="28" w:line="276" w:lineRule="auto"/>
              <w:ind w:left="7" w:right="5"/>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以射频信号为主要信号</w:t>
            </w:r>
            <w:r>
              <w:rPr>
                <w:rFonts w:hint="eastAsia" w:ascii="宋体" w:hAnsi="宋体" w:cs="宋体"/>
                <w:color w:val="auto"/>
                <w:spacing w:val="9"/>
                <w:w w:val="99"/>
                <w:kern w:val="2"/>
                <w:sz w:val="21"/>
                <w:szCs w:val="21"/>
                <w:highlight w:val="none"/>
                <w:lang w:eastAsia="zh-CN"/>
              </w:rPr>
              <w:t>输</w:t>
            </w:r>
            <w:r>
              <w:rPr>
                <w:rFonts w:hint="eastAsia" w:ascii="宋体" w:hAnsi="宋体" w:cs="宋体"/>
                <w:color w:val="auto"/>
                <w:spacing w:val="12"/>
                <w:w w:val="99"/>
                <w:kern w:val="2"/>
                <w:sz w:val="21"/>
                <w:szCs w:val="21"/>
                <w:highlight w:val="none"/>
                <w:lang w:eastAsia="zh-CN"/>
              </w:rPr>
              <w:t>入的</w:t>
            </w:r>
            <w:r>
              <w:rPr>
                <w:rFonts w:hint="eastAsia" w:ascii="宋体" w:hAnsi="宋体" w:cs="宋体"/>
                <w:color w:val="auto"/>
                <w:w w:val="99"/>
                <w:kern w:val="2"/>
                <w:sz w:val="21"/>
                <w:szCs w:val="21"/>
                <w:highlight w:val="none"/>
                <w:lang w:eastAsia="zh-CN"/>
              </w:rPr>
              <w:t>监视器应</w:t>
            </w:r>
            <w:r>
              <w:rPr>
                <w:rFonts w:hint="eastAsia" w:ascii="宋体" w:hAnsi="宋体" w:cs="宋体"/>
                <w:color w:val="auto"/>
                <w:spacing w:val="2"/>
                <w:w w:val="99"/>
                <w:kern w:val="2"/>
                <w:sz w:val="21"/>
                <w:szCs w:val="21"/>
                <w:highlight w:val="none"/>
                <w:lang w:eastAsia="zh-CN"/>
              </w:rPr>
              <w:t>符</w:t>
            </w:r>
            <w:r>
              <w:rPr>
                <w:rFonts w:hint="eastAsia" w:ascii="宋体" w:hAnsi="宋体" w:cs="宋体"/>
                <w:color w:val="auto"/>
                <w:spacing w:val="-58"/>
                <w:w w:val="99"/>
                <w:kern w:val="2"/>
                <w:sz w:val="21"/>
                <w:szCs w:val="21"/>
                <w:highlight w:val="none"/>
                <w:lang w:eastAsia="zh-CN"/>
              </w:rPr>
              <w:t>合</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平板</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限定值及能效</w:t>
            </w:r>
            <w:r>
              <w:rPr>
                <w:rFonts w:hint="eastAsia" w:ascii="宋体" w:hAnsi="宋体" w:cs="宋体"/>
                <w:color w:val="auto"/>
                <w:spacing w:val="2"/>
                <w:w w:val="99"/>
                <w:kern w:val="2"/>
                <w:sz w:val="21"/>
                <w:szCs w:val="21"/>
                <w:highlight w:val="none"/>
                <w:lang w:eastAsia="zh-CN"/>
              </w:rPr>
              <w:t>等</w:t>
            </w:r>
            <w:r>
              <w:rPr>
                <w:rFonts w:hint="eastAsia" w:ascii="宋体" w:hAnsi="宋体" w:cs="宋体"/>
                <w:color w:val="auto"/>
                <w:w w:val="99"/>
                <w:kern w:val="2"/>
                <w:sz w:val="21"/>
                <w:szCs w:val="21"/>
                <w:highlight w:val="none"/>
                <w:lang w:eastAsia="zh-CN"/>
              </w:rPr>
              <w:t>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24850</w:t>
            </w:r>
            <w:r>
              <w:rPr>
                <w:rFonts w:hint="eastAsia" w:ascii="宋体" w:hAnsi="宋体" w:cs="宋体"/>
                <w:color w:val="auto"/>
                <w:spacing w:val="-3"/>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2"/>
                <w:w w:val="99"/>
                <w:kern w:val="2"/>
                <w:sz w:val="21"/>
                <w:szCs w:val="21"/>
                <w:highlight w:val="none"/>
                <w:lang w:eastAsia="zh-CN"/>
              </w:rPr>
              <w:t>以数字信号为主要信号</w:t>
            </w:r>
            <w:r>
              <w:rPr>
                <w:rFonts w:hint="eastAsia" w:ascii="宋体" w:hAnsi="宋体" w:cs="宋体"/>
                <w:color w:val="auto"/>
                <w:spacing w:val="9"/>
                <w:w w:val="99"/>
                <w:kern w:val="2"/>
                <w:sz w:val="21"/>
                <w:szCs w:val="21"/>
                <w:highlight w:val="none"/>
                <w:lang w:eastAsia="zh-CN"/>
              </w:rPr>
              <w:t>输</w:t>
            </w:r>
            <w:r>
              <w:rPr>
                <w:rFonts w:hint="eastAsia" w:ascii="宋体" w:hAnsi="宋体" w:cs="宋体"/>
                <w:color w:val="auto"/>
                <w:spacing w:val="12"/>
                <w:w w:val="99"/>
                <w:kern w:val="2"/>
                <w:sz w:val="21"/>
                <w:szCs w:val="21"/>
                <w:highlight w:val="none"/>
                <w:lang w:eastAsia="zh-CN"/>
              </w:rPr>
              <w:t>入的</w:t>
            </w:r>
            <w:r>
              <w:rPr>
                <w:rFonts w:hint="eastAsia" w:ascii="宋体" w:hAnsi="宋体" w:cs="宋体"/>
                <w:color w:val="auto"/>
                <w:w w:val="99"/>
                <w:kern w:val="2"/>
                <w:sz w:val="21"/>
                <w:szCs w:val="21"/>
                <w:highlight w:val="none"/>
                <w:lang w:eastAsia="zh-CN"/>
              </w:rPr>
              <w:t>监视器应</w:t>
            </w:r>
            <w:r>
              <w:rPr>
                <w:rFonts w:hint="eastAsia" w:ascii="宋体" w:hAnsi="宋体" w:cs="宋体"/>
                <w:color w:val="auto"/>
                <w:spacing w:val="2"/>
                <w:w w:val="99"/>
                <w:kern w:val="2"/>
                <w:sz w:val="21"/>
                <w:szCs w:val="21"/>
                <w:highlight w:val="none"/>
                <w:lang w:eastAsia="zh-CN"/>
              </w:rPr>
              <w:t>符</w:t>
            </w:r>
            <w:r>
              <w:rPr>
                <w:rFonts w:hint="eastAsia" w:ascii="宋体" w:hAnsi="宋体" w:cs="宋体"/>
                <w:color w:val="auto"/>
                <w:spacing w:val="-58"/>
                <w:w w:val="99"/>
                <w:kern w:val="2"/>
                <w:sz w:val="21"/>
                <w:szCs w:val="21"/>
                <w:highlight w:val="none"/>
                <w:lang w:eastAsia="zh-CN"/>
              </w:rPr>
              <w:t>合</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计算</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显示</w:t>
            </w:r>
            <w:r>
              <w:rPr>
                <w:rFonts w:hint="eastAsia" w:ascii="宋体" w:hAnsi="宋体" w:cs="宋体"/>
                <w:color w:val="auto"/>
                <w:spacing w:val="2"/>
                <w:w w:val="99"/>
                <w:kern w:val="2"/>
                <w:sz w:val="21"/>
                <w:szCs w:val="21"/>
                <w:highlight w:val="none"/>
                <w:lang w:eastAsia="zh-CN"/>
              </w:rPr>
              <w:t>器</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0</w:t>
            </w:r>
            <w:r>
              <w:rPr>
                <w:rFonts w:hint="eastAsia" w:ascii="宋体" w:hAnsi="宋体" w:cs="宋体"/>
                <w:color w:val="auto"/>
                <w:w w:val="99"/>
                <w:kern w:val="2"/>
                <w:sz w:val="21"/>
                <w:szCs w:val="21"/>
                <w:highlight w:val="none"/>
                <w:lang w:eastAsia="zh-CN"/>
              </w:rPr>
              <w:t>）</w:t>
            </w:r>
          </w:p>
        </w:tc>
      </w:tr>
      <w:tr w14:paraId="013A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236C8671">
            <w:pPr>
              <w:pStyle w:val="11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758CB5FC">
            <w:pPr>
              <w:pStyle w:val="110"/>
              <w:spacing w:before="7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0A7C446D">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491A9CE6">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7D3DFB99">
            <w:pPr>
              <w:pStyle w:val="110"/>
              <w:spacing w:before="76"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《商用燃气灶具能效限</w:t>
            </w:r>
            <w:r>
              <w:rPr>
                <w:rFonts w:hint="eastAsia" w:ascii="宋体" w:hAnsi="宋体" w:cs="宋体"/>
                <w:color w:val="auto"/>
                <w:spacing w:val="9"/>
                <w:w w:val="99"/>
                <w:kern w:val="2"/>
                <w:sz w:val="21"/>
                <w:szCs w:val="21"/>
                <w:highlight w:val="none"/>
                <w:lang w:eastAsia="zh-CN"/>
              </w:rPr>
              <w:t>定</w:t>
            </w:r>
            <w:r>
              <w:rPr>
                <w:rFonts w:hint="eastAsia" w:ascii="宋体" w:hAnsi="宋体" w:cs="宋体"/>
                <w:color w:val="auto"/>
                <w:spacing w:val="12"/>
                <w:w w:val="99"/>
                <w:kern w:val="2"/>
                <w:sz w:val="21"/>
                <w:szCs w:val="21"/>
                <w:highlight w:val="none"/>
                <w:lang w:eastAsia="zh-CN"/>
              </w:rPr>
              <w:t>值及</w:t>
            </w:r>
            <w:r>
              <w:rPr>
                <w:rFonts w:hint="eastAsia" w:ascii="宋体" w:hAnsi="宋体" w:cs="宋体"/>
                <w:color w:val="auto"/>
                <w:w w:val="99"/>
                <w:kern w:val="2"/>
                <w:sz w:val="21"/>
                <w:szCs w:val="21"/>
                <w:highlight w:val="none"/>
                <w:lang w:eastAsia="zh-CN"/>
              </w:rPr>
              <w:t>能效等级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w:t>
            </w:r>
            <w:r>
              <w:rPr>
                <w:rFonts w:hint="eastAsia" w:ascii="宋体" w:hAnsi="宋体" w:cs="宋体"/>
                <w:color w:val="auto"/>
                <w:w w:val="99"/>
                <w:kern w:val="2"/>
                <w:sz w:val="21"/>
                <w:szCs w:val="21"/>
                <w:highlight w:val="none"/>
                <w:lang w:eastAsia="zh-CN"/>
              </w:rPr>
              <w:t>53</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42DD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tcBorders>
              <w:top w:val="single" w:color="000000" w:sz="4" w:space="0"/>
              <w:left w:val="single" w:color="000000" w:sz="4" w:space="0"/>
              <w:bottom w:val="single" w:color="000000" w:sz="4" w:space="0"/>
              <w:right w:val="single" w:color="000000" w:sz="4" w:space="0"/>
            </w:tcBorders>
            <w:noWrap w:val="0"/>
            <w:vAlign w:val="center"/>
          </w:tcPr>
          <w:p w14:paraId="5C224D00">
            <w:pPr>
              <w:jc w:val="center"/>
              <w:rPr>
                <w:rFonts w:ascii="宋体" w:hAnsi="宋体"/>
                <w:color w:val="auto"/>
                <w:szCs w:val="21"/>
                <w:highlight w:val="none"/>
              </w:rPr>
            </w:pPr>
            <w:r>
              <w:rPr>
                <w:rFonts w:hint="eastAsia" w:ascii="宋体" w:hAnsi="宋体"/>
                <w:color w:val="auto"/>
                <w:szCs w:val="21"/>
                <w:highlight w:val="none"/>
              </w:rPr>
              <w:t>15</w:t>
            </w:r>
          </w:p>
        </w:tc>
        <w:tc>
          <w:tcPr>
            <w:tcW w:w="648" w:type="pct"/>
            <w:vMerge w:val="restart"/>
            <w:tcBorders>
              <w:top w:val="single" w:color="000000" w:sz="4" w:space="0"/>
              <w:left w:val="single" w:color="000000" w:sz="4" w:space="0"/>
              <w:bottom w:val="single" w:color="000000" w:sz="4" w:space="0"/>
              <w:right w:val="single" w:color="000000" w:sz="4" w:space="0"/>
            </w:tcBorders>
            <w:noWrap w:val="0"/>
            <w:vAlign w:val="center"/>
          </w:tcPr>
          <w:p w14:paraId="6A5E7A32">
            <w:pPr>
              <w:pStyle w:val="110"/>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670CB8D4">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8495F9F">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6504C6CE">
            <w:pPr>
              <w:pStyle w:val="110"/>
              <w:spacing w:before="124"/>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《坐便</w:t>
            </w:r>
            <w:r>
              <w:rPr>
                <w:rFonts w:hint="eastAsia" w:ascii="宋体" w:hAnsi="宋体" w:cs="宋体"/>
                <w:color w:val="auto"/>
                <w:spacing w:val="2"/>
                <w:w w:val="99"/>
                <w:kern w:val="2"/>
                <w:sz w:val="21"/>
                <w:szCs w:val="21"/>
                <w:highlight w:val="none"/>
                <w:lang w:eastAsia="zh-CN"/>
              </w:rPr>
              <w:t>器</w:t>
            </w:r>
            <w:r>
              <w:rPr>
                <w:rFonts w:hint="eastAsia" w:ascii="宋体" w:hAnsi="宋体" w:cs="宋体"/>
                <w:color w:val="auto"/>
                <w:w w:val="99"/>
                <w:kern w:val="2"/>
                <w:sz w:val="21"/>
                <w:szCs w:val="21"/>
                <w:highlight w:val="none"/>
                <w:lang w:eastAsia="zh-CN"/>
              </w:rPr>
              <w:t>水效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w:t>
            </w:r>
            <w:r>
              <w:rPr>
                <w:rFonts w:hint="eastAsia" w:ascii="宋体" w:hAnsi="宋体" w:cs="宋体"/>
                <w:color w:val="auto"/>
                <w:spacing w:val="2"/>
                <w:w w:val="99"/>
                <w:kern w:val="2"/>
                <w:sz w:val="21"/>
                <w:szCs w:val="21"/>
                <w:highlight w:val="none"/>
                <w:lang w:eastAsia="zh-CN"/>
              </w:rPr>
              <w:t>及</w:t>
            </w:r>
            <w:r>
              <w:rPr>
                <w:rFonts w:hint="eastAsia" w:ascii="宋体" w:hAnsi="宋体" w:cs="宋体"/>
                <w:color w:val="auto"/>
                <w:w w:val="99"/>
                <w:kern w:val="2"/>
                <w:sz w:val="21"/>
                <w:szCs w:val="21"/>
                <w:highlight w:val="none"/>
                <w:lang w:eastAsia="zh-CN"/>
              </w:rPr>
              <w:t>水</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p>
          <w:p w14:paraId="06662870">
            <w:pPr>
              <w:pStyle w:val="110"/>
              <w:spacing w:before="50"/>
              <w:ind w:left="7"/>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G</w:t>
            </w:r>
            <w:r>
              <w:rPr>
                <w:rFonts w:hint="eastAsia" w:ascii="宋体" w:hAnsi="宋体" w:cs="宋体"/>
                <w:color w:val="auto"/>
                <w:w w:val="99"/>
                <w:kern w:val="2"/>
                <w:sz w:val="21"/>
                <w:szCs w:val="21"/>
                <w:highlight w:val="none"/>
              </w:rPr>
              <w:t>B</w:t>
            </w:r>
            <w:r>
              <w:rPr>
                <w:rFonts w:hint="eastAsia" w:ascii="宋体" w:hAnsi="宋体" w:cs="宋体"/>
                <w:color w:val="auto"/>
                <w:spacing w:val="1"/>
                <w:w w:val="99"/>
                <w:kern w:val="2"/>
                <w:sz w:val="21"/>
                <w:szCs w:val="21"/>
                <w:highlight w:val="none"/>
              </w:rPr>
              <w:t>2</w:t>
            </w:r>
            <w:r>
              <w:rPr>
                <w:rFonts w:hint="eastAsia" w:ascii="宋体" w:hAnsi="宋体" w:cs="宋体"/>
                <w:color w:val="auto"/>
                <w:w w:val="99"/>
                <w:kern w:val="2"/>
                <w:sz w:val="21"/>
                <w:szCs w:val="21"/>
                <w:highlight w:val="none"/>
              </w:rPr>
              <w:t>55</w:t>
            </w:r>
            <w:r>
              <w:rPr>
                <w:rFonts w:hint="eastAsia" w:ascii="宋体" w:hAnsi="宋体" w:cs="宋体"/>
                <w:color w:val="auto"/>
                <w:spacing w:val="1"/>
                <w:w w:val="99"/>
                <w:kern w:val="2"/>
                <w:sz w:val="21"/>
                <w:szCs w:val="21"/>
                <w:highlight w:val="none"/>
              </w:rPr>
              <w:t>02</w:t>
            </w:r>
            <w:r>
              <w:rPr>
                <w:rFonts w:hint="eastAsia" w:ascii="宋体" w:hAnsi="宋体" w:cs="宋体"/>
                <w:color w:val="auto"/>
                <w:w w:val="99"/>
                <w:kern w:val="2"/>
                <w:sz w:val="21"/>
                <w:szCs w:val="21"/>
                <w:highlight w:val="none"/>
              </w:rPr>
              <w:t>）</w:t>
            </w:r>
          </w:p>
        </w:tc>
      </w:tr>
      <w:tr w14:paraId="3558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BF605E">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C2A50F">
            <w:pPr>
              <w:widowControl/>
              <w:jc w:val="left"/>
              <w:rPr>
                <w:rFonts w:ascii="宋体" w:hAnsi="宋体" w:cs="宋体"/>
                <w:color w:val="auto"/>
                <w:w w:val="99"/>
                <w:szCs w:val="21"/>
                <w:highlight w:val="none"/>
                <w:lang w:eastAsia="en-US"/>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58B12639">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3C336A45">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5EBA0A1C">
            <w:pPr>
              <w:pStyle w:val="110"/>
              <w:spacing w:before="12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《蹲便器用水效率限定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及用</w:t>
            </w:r>
            <w:r>
              <w:rPr>
                <w:rFonts w:hint="eastAsia" w:ascii="宋体" w:hAnsi="宋体" w:cs="宋体"/>
                <w:color w:val="auto"/>
                <w:w w:val="99"/>
                <w:kern w:val="2"/>
                <w:sz w:val="21"/>
                <w:szCs w:val="21"/>
                <w:highlight w:val="none"/>
                <w:lang w:eastAsia="zh-CN"/>
              </w:rPr>
              <w:t>水效率等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307</w:t>
            </w:r>
            <w:r>
              <w:rPr>
                <w:rFonts w:hint="eastAsia" w:ascii="宋体" w:hAnsi="宋体" w:cs="宋体"/>
                <w:color w:val="auto"/>
                <w:w w:val="99"/>
                <w:kern w:val="2"/>
                <w:sz w:val="21"/>
                <w:szCs w:val="21"/>
                <w:highlight w:val="none"/>
                <w:lang w:eastAsia="zh-CN"/>
              </w:rPr>
              <w:t>1</w:t>
            </w:r>
            <w:r>
              <w:rPr>
                <w:rFonts w:hint="eastAsia" w:ascii="宋体" w:hAnsi="宋体" w:cs="宋体"/>
                <w:color w:val="auto"/>
                <w:spacing w:val="-1"/>
                <w:w w:val="99"/>
                <w:kern w:val="2"/>
                <w:sz w:val="21"/>
                <w:szCs w:val="21"/>
                <w:highlight w:val="none"/>
                <w:lang w:eastAsia="zh-CN"/>
              </w:rPr>
              <w:t>7</w:t>
            </w:r>
            <w:r>
              <w:rPr>
                <w:rFonts w:hint="eastAsia" w:ascii="宋体" w:hAnsi="宋体" w:cs="宋体"/>
                <w:color w:val="auto"/>
                <w:w w:val="99"/>
                <w:kern w:val="2"/>
                <w:sz w:val="21"/>
                <w:szCs w:val="21"/>
                <w:highlight w:val="none"/>
                <w:lang w:eastAsia="zh-CN"/>
              </w:rPr>
              <w:t>）</w:t>
            </w:r>
          </w:p>
        </w:tc>
      </w:tr>
      <w:tr w14:paraId="4380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38731A">
            <w:pPr>
              <w:widowControl/>
              <w:jc w:val="left"/>
              <w:rPr>
                <w:rFonts w:ascii="宋体" w:hAnsi="宋体"/>
                <w:color w:val="auto"/>
                <w:szCs w:val="21"/>
                <w:highlight w:val="none"/>
              </w:rPr>
            </w:pPr>
          </w:p>
        </w:tc>
        <w:tc>
          <w:tcPr>
            <w:tcW w:w="64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955D8E">
            <w:pPr>
              <w:widowControl/>
              <w:jc w:val="left"/>
              <w:rPr>
                <w:rFonts w:ascii="宋体" w:hAnsi="宋体" w:cs="宋体"/>
                <w:color w:val="auto"/>
                <w:w w:val="99"/>
                <w:szCs w:val="21"/>
                <w:highlight w:val="none"/>
              </w:rPr>
            </w:pP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1539298D">
            <w:pPr>
              <w:pStyle w:val="11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280313BB">
            <w:pPr>
              <w:jc w:val="center"/>
              <w:rPr>
                <w:rFonts w:ascii="宋体" w:hAnsi="宋体"/>
                <w:color w:val="auto"/>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3BED51BC">
            <w:pPr>
              <w:pStyle w:val="110"/>
              <w:spacing w:before="12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《小便器用水效率限定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及用</w:t>
            </w:r>
            <w:r>
              <w:rPr>
                <w:rFonts w:hint="eastAsia" w:ascii="宋体" w:hAnsi="宋体" w:cs="宋体"/>
                <w:color w:val="auto"/>
                <w:w w:val="99"/>
                <w:kern w:val="2"/>
                <w:sz w:val="21"/>
                <w:szCs w:val="21"/>
                <w:highlight w:val="none"/>
                <w:lang w:eastAsia="zh-CN"/>
              </w:rPr>
              <w:t>水效率等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w:t>
            </w:r>
            <w:r>
              <w:rPr>
                <w:rFonts w:hint="eastAsia" w:ascii="宋体" w:hAnsi="宋体" w:cs="宋体"/>
                <w:color w:val="auto"/>
                <w:w w:val="99"/>
                <w:kern w:val="2"/>
                <w:sz w:val="21"/>
                <w:szCs w:val="21"/>
                <w:highlight w:val="none"/>
                <w:lang w:eastAsia="zh-CN"/>
              </w:rPr>
              <w:t>7</w:t>
            </w:r>
            <w:r>
              <w:rPr>
                <w:rFonts w:hint="eastAsia" w:ascii="宋体" w:hAnsi="宋体" w:cs="宋体"/>
                <w:color w:val="auto"/>
                <w:spacing w:val="-1"/>
                <w:w w:val="99"/>
                <w:kern w:val="2"/>
                <w:sz w:val="21"/>
                <w:szCs w:val="21"/>
                <w:highlight w:val="none"/>
                <w:lang w:eastAsia="zh-CN"/>
              </w:rPr>
              <w:t>7</w:t>
            </w:r>
            <w:r>
              <w:rPr>
                <w:rFonts w:hint="eastAsia" w:ascii="宋体" w:hAnsi="宋体" w:cs="宋体"/>
                <w:color w:val="auto"/>
                <w:w w:val="99"/>
                <w:kern w:val="2"/>
                <w:sz w:val="21"/>
                <w:szCs w:val="21"/>
                <w:highlight w:val="none"/>
                <w:lang w:eastAsia="zh-CN"/>
              </w:rPr>
              <w:t>）</w:t>
            </w:r>
          </w:p>
        </w:tc>
      </w:tr>
      <w:tr w14:paraId="7C9A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40704DC6">
            <w:pPr>
              <w:pStyle w:val="11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2696F16A">
            <w:pPr>
              <w:pStyle w:val="110"/>
              <w:spacing w:before="153"/>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0CF59183">
            <w:pPr>
              <w:jc w:val="center"/>
              <w:rPr>
                <w:rFonts w:ascii="宋体" w:hAnsi="宋体"/>
                <w:color w:val="auto"/>
                <w:szCs w:val="21"/>
                <w:highlight w:val="none"/>
                <w:lang w:eastAsia="en-US"/>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7FDF26B2">
            <w:pPr>
              <w:jc w:val="center"/>
              <w:rPr>
                <w:rFonts w:ascii="宋体" w:hAnsi="宋体"/>
                <w:color w:val="auto"/>
                <w:szCs w:val="21"/>
                <w:highlight w:val="none"/>
                <w:lang w:eastAsia="en-US"/>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00E748BD">
            <w:pPr>
              <w:pStyle w:val="110"/>
              <w:spacing w:before="15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2025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61F6BE7E">
            <w:pPr>
              <w:pStyle w:val="110"/>
              <w:spacing w:before="124" w:line="276" w:lineRule="auto"/>
              <w:ind w:left="7" w:right="4"/>
              <w:rPr>
                <w:rFonts w:hint="eastAsia" w:ascii="宋体" w:hAnsi="宋体" w:cs="宋体"/>
                <w:color w:val="auto"/>
                <w:spacing w:val="12"/>
                <w:w w:val="99"/>
                <w:kern w:val="2"/>
                <w:sz w:val="21"/>
                <w:szCs w:val="21"/>
                <w:highlight w:val="none"/>
                <w:lang w:eastAsia="zh-CN"/>
              </w:rPr>
            </w:pPr>
            <w:r>
              <w:rPr>
                <w:rFonts w:hint="eastAsia" w:ascii="宋体" w:hAnsi="宋体" w:cs="宋体"/>
                <w:color w:val="auto"/>
                <w:spacing w:val="12"/>
                <w:w w:val="99"/>
                <w:kern w:val="2"/>
                <w:sz w:val="21"/>
                <w:szCs w:val="21"/>
                <w:highlight w:val="none"/>
                <w:lang w:eastAsia="zh-CN"/>
              </w:rPr>
              <w:t>17</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7423671E">
            <w:pPr>
              <w:pStyle w:val="110"/>
              <w:spacing w:before="124" w:line="276" w:lineRule="auto"/>
              <w:ind w:left="7" w:right="4"/>
              <w:rPr>
                <w:rFonts w:hint="eastAsia" w:ascii="宋体" w:hAnsi="宋体" w:cs="宋体"/>
                <w:color w:val="auto"/>
                <w:spacing w:val="12"/>
                <w:w w:val="99"/>
                <w:kern w:val="2"/>
                <w:sz w:val="21"/>
                <w:szCs w:val="21"/>
                <w:highlight w:val="none"/>
                <w:lang w:eastAsia="zh-CN"/>
              </w:rPr>
            </w:pPr>
            <w:r>
              <w:rPr>
                <w:rFonts w:hint="eastAsia" w:ascii="宋体" w:hAnsi="宋体" w:cs="宋体"/>
                <w:color w:val="auto"/>
                <w:spacing w:val="12"/>
                <w:w w:val="99"/>
                <w:kern w:val="2"/>
                <w:sz w:val="21"/>
                <w:szCs w:val="21"/>
                <w:highlight w:val="none"/>
                <w:lang w:eastAsia="zh-CN"/>
              </w:rPr>
              <w:t>A05020107便器冲洗阀</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72650378">
            <w:pPr>
              <w:pStyle w:val="110"/>
              <w:spacing w:before="124" w:line="276" w:lineRule="auto"/>
              <w:ind w:left="7" w:right="4"/>
              <w:rPr>
                <w:rFonts w:hint="eastAsia" w:ascii="宋体" w:hAnsi="宋体" w:cs="宋体"/>
                <w:color w:val="auto"/>
                <w:spacing w:val="12"/>
                <w:w w:val="99"/>
                <w:kern w:val="2"/>
                <w:sz w:val="21"/>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3F942008">
            <w:pPr>
              <w:pStyle w:val="110"/>
              <w:spacing w:before="124" w:line="276" w:lineRule="auto"/>
              <w:ind w:left="7" w:right="4"/>
              <w:rPr>
                <w:rFonts w:hint="eastAsia" w:ascii="宋体" w:hAnsi="宋体" w:cs="宋体"/>
                <w:color w:val="auto"/>
                <w:spacing w:val="12"/>
                <w:w w:val="99"/>
                <w:kern w:val="2"/>
                <w:sz w:val="21"/>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162C78F8">
            <w:pPr>
              <w:pStyle w:val="110"/>
              <w:spacing w:before="124" w:line="276" w:lineRule="auto"/>
              <w:ind w:left="7" w:right="4"/>
              <w:rPr>
                <w:rFonts w:hint="eastAsia" w:ascii="宋体" w:hAnsi="宋体" w:cs="宋体"/>
                <w:color w:val="auto"/>
                <w:spacing w:val="12"/>
                <w:w w:val="99"/>
                <w:kern w:val="2"/>
                <w:sz w:val="21"/>
                <w:szCs w:val="21"/>
                <w:highlight w:val="none"/>
                <w:lang w:eastAsia="zh-CN"/>
              </w:rPr>
            </w:pPr>
            <w:r>
              <w:rPr>
                <w:rFonts w:hint="eastAsia" w:ascii="宋体" w:hAnsi="宋体" w:cs="宋体"/>
                <w:color w:val="auto"/>
                <w:spacing w:val="12"/>
                <w:w w:val="99"/>
                <w:kern w:val="2"/>
                <w:sz w:val="21"/>
                <w:szCs w:val="21"/>
                <w:highlight w:val="none"/>
                <w:lang w:eastAsia="zh-CN"/>
              </w:rPr>
              <w:t>《便器冲洗阀用水效率限定值及用水效率等级》（GB28379）</w:t>
            </w:r>
          </w:p>
        </w:tc>
      </w:tr>
      <w:tr w14:paraId="2735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Borders>
              <w:top w:val="single" w:color="000000" w:sz="4" w:space="0"/>
              <w:left w:val="single" w:color="000000" w:sz="4" w:space="0"/>
              <w:bottom w:val="single" w:color="000000" w:sz="4" w:space="0"/>
              <w:right w:val="single" w:color="000000" w:sz="4" w:space="0"/>
            </w:tcBorders>
            <w:noWrap w:val="0"/>
            <w:vAlign w:val="center"/>
          </w:tcPr>
          <w:p w14:paraId="394BC3CE">
            <w:pPr>
              <w:pStyle w:val="110"/>
              <w:spacing w:before="124" w:line="276" w:lineRule="auto"/>
              <w:ind w:left="7" w:right="4"/>
              <w:rPr>
                <w:rFonts w:hint="eastAsia" w:ascii="宋体" w:hAnsi="宋体" w:cs="宋体"/>
                <w:color w:val="auto"/>
                <w:spacing w:val="12"/>
                <w:w w:val="99"/>
                <w:kern w:val="2"/>
                <w:sz w:val="21"/>
                <w:szCs w:val="21"/>
                <w:highlight w:val="none"/>
                <w:lang w:eastAsia="zh-CN"/>
              </w:rPr>
            </w:pPr>
            <w:r>
              <w:rPr>
                <w:rFonts w:hint="eastAsia" w:ascii="宋体" w:hAnsi="宋体" w:cs="宋体"/>
                <w:color w:val="auto"/>
                <w:spacing w:val="12"/>
                <w:w w:val="99"/>
                <w:kern w:val="2"/>
                <w:sz w:val="21"/>
                <w:szCs w:val="21"/>
                <w:highlight w:val="none"/>
                <w:lang w:eastAsia="zh-CN"/>
              </w:rPr>
              <w:t>18</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04B2A539">
            <w:pPr>
              <w:pStyle w:val="110"/>
              <w:spacing w:before="124" w:line="276" w:lineRule="auto"/>
              <w:ind w:left="7" w:right="4"/>
              <w:rPr>
                <w:rFonts w:hint="eastAsia" w:ascii="宋体" w:hAnsi="宋体" w:cs="宋体"/>
                <w:color w:val="auto"/>
                <w:spacing w:val="12"/>
                <w:w w:val="99"/>
                <w:kern w:val="2"/>
                <w:sz w:val="21"/>
                <w:szCs w:val="21"/>
                <w:highlight w:val="none"/>
                <w:lang w:eastAsia="zh-CN"/>
              </w:rPr>
            </w:pPr>
            <w:r>
              <w:rPr>
                <w:rFonts w:hint="eastAsia" w:ascii="宋体" w:hAnsi="宋体" w:cs="宋体"/>
                <w:color w:val="auto"/>
                <w:spacing w:val="12"/>
                <w:w w:val="99"/>
                <w:kern w:val="2"/>
                <w:sz w:val="21"/>
                <w:szCs w:val="21"/>
                <w:highlight w:val="none"/>
                <w:lang w:eastAsia="zh-CN"/>
              </w:rPr>
              <w:t>A05020110淋浴器</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23FC93AB">
            <w:pPr>
              <w:pStyle w:val="110"/>
              <w:spacing w:before="124" w:line="276" w:lineRule="auto"/>
              <w:ind w:left="7" w:right="4"/>
              <w:rPr>
                <w:rFonts w:hint="eastAsia" w:ascii="宋体" w:hAnsi="宋体" w:cs="宋体"/>
                <w:color w:val="auto"/>
                <w:spacing w:val="12"/>
                <w:w w:val="99"/>
                <w:kern w:val="2"/>
                <w:sz w:val="21"/>
                <w:szCs w:val="21"/>
                <w:highlight w:val="none"/>
              </w:rPr>
            </w:pPr>
          </w:p>
        </w:tc>
        <w:tc>
          <w:tcPr>
            <w:tcW w:w="1126" w:type="pct"/>
            <w:tcBorders>
              <w:top w:val="single" w:color="000000" w:sz="4" w:space="0"/>
              <w:left w:val="single" w:color="000000" w:sz="4" w:space="0"/>
              <w:bottom w:val="single" w:color="000000" w:sz="4" w:space="0"/>
              <w:right w:val="single" w:color="000000" w:sz="4" w:space="0"/>
            </w:tcBorders>
            <w:noWrap w:val="0"/>
            <w:vAlign w:val="center"/>
          </w:tcPr>
          <w:p w14:paraId="1C207DE7">
            <w:pPr>
              <w:pStyle w:val="110"/>
              <w:spacing w:before="124" w:line="276" w:lineRule="auto"/>
              <w:ind w:left="7" w:right="4"/>
              <w:rPr>
                <w:rFonts w:hint="eastAsia" w:ascii="宋体" w:hAnsi="宋体" w:cs="宋体"/>
                <w:color w:val="auto"/>
                <w:spacing w:val="12"/>
                <w:w w:val="99"/>
                <w:kern w:val="2"/>
                <w:sz w:val="21"/>
                <w:szCs w:val="21"/>
                <w:highlight w:val="none"/>
              </w:rPr>
            </w:pPr>
          </w:p>
        </w:tc>
        <w:tc>
          <w:tcPr>
            <w:tcW w:w="1963" w:type="pct"/>
            <w:tcBorders>
              <w:top w:val="single" w:color="000000" w:sz="4" w:space="0"/>
              <w:left w:val="single" w:color="000000" w:sz="4" w:space="0"/>
              <w:bottom w:val="single" w:color="000000" w:sz="4" w:space="0"/>
              <w:right w:val="single" w:color="000000" w:sz="4" w:space="0"/>
            </w:tcBorders>
            <w:noWrap w:val="0"/>
            <w:vAlign w:val="top"/>
          </w:tcPr>
          <w:p w14:paraId="4A79060C">
            <w:pPr>
              <w:pStyle w:val="110"/>
              <w:spacing w:before="124" w:line="276" w:lineRule="auto"/>
              <w:ind w:left="7" w:right="4"/>
              <w:rPr>
                <w:rFonts w:hint="eastAsia" w:ascii="宋体" w:hAnsi="宋体" w:cs="宋体"/>
                <w:color w:val="auto"/>
                <w:spacing w:val="12"/>
                <w:w w:val="99"/>
                <w:kern w:val="2"/>
                <w:sz w:val="21"/>
                <w:szCs w:val="21"/>
                <w:highlight w:val="none"/>
                <w:lang w:eastAsia="zh-CN"/>
              </w:rPr>
            </w:pPr>
            <w:r>
              <w:rPr>
                <w:rFonts w:hint="eastAsia" w:ascii="宋体" w:hAnsi="宋体" w:cs="宋体"/>
                <w:color w:val="auto"/>
                <w:spacing w:val="12"/>
                <w:w w:val="99"/>
                <w:kern w:val="2"/>
                <w:sz w:val="21"/>
                <w:szCs w:val="21"/>
                <w:highlight w:val="none"/>
                <w:lang w:eastAsia="zh-CN"/>
              </w:rPr>
              <w:t>《淋浴器用水效率限定值及用水效率等级》（GB28378）</w:t>
            </w:r>
          </w:p>
        </w:tc>
      </w:tr>
    </w:tbl>
    <w:p w14:paraId="62A5D53F">
      <w:pPr>
        <w:pStyle w:val="18"/>
        <w:spacing w:line="360" w:lineRule="auto"/>
        <w:rPr>
          <w:rFonts w:hint="eastAsia" w:ascii="宋体" w:hAnsi="宋体"/>
          <w:color w:val="auto"/>
          <w:kern w:val="2"/>
          <w:sz w:val="21"/>
          <w:szCs w:val="21"/>
          <w:highlight w:val="none"/>
        </w:rPr>
      </w:pPr>
      <w:r>
        <w:rPr>
          <w:rFonts w:hint="eastAsia" w:ascii="宋体" w:hAnsi="宋体"/>
          <w:color w:val="auto"/>
          <w:spacing w:val="-3"/>
          <w:sz w:val="21"/>
          <w:szCs w:val="21"/>
          <w:highlight w:val="none"/>
        </w:rPr>
        <w:t>注：</w:t>
      </w:r>
      <w:r>
        <w:rPr>
          <w:rFonts w:ascii="宋体" w:hAnsi="宋体"/>
          <w:color w:val="auto"/>
          <w:spacing w:val="-3"/>
          <w:sz w:val="21"/>
          <w:szCs w:val="21"/>
          <w:highlight w:val="none"/>
        </w:rPr>
        <w:t>1.</w:t>
      </w:r>
      <w:r>
        <w:rPr>
          <w:rFonts w:hint="eastAsia" w:ascii="宋体" w:hAnsi="宋体"/>
          <w:color w:val="auto"/>
          <w:spacing w:val="-3"/>
          <w:sz w:val="21"/>
          <w:szCs w:val="21"/>
          <w:highlight w:val="none"/>
        </w:rPr>
        <w:t>节能产品认证应依据相关国家标准的最新版本，依据国家标准中二级能效（水效）</w:t>
      </w:r>
      <w:r>
        <w:rPr>
          <w:rFonts w:hint="eastAsia" w:ascii="宋体" w:hAnsi="宋体"/>
          <w:color w:val="auto"/>
          <w:sz w:val="21"/>
          <w:szCs w:val="21"/>
          <w:highlight w:val="none"/>
        </w:rPr>
        <w:t>指标。</w:t>
      </w:r>
    </w:p>
    <w:p w14:paraId="2DEB4480">
      <w:pPr>
        <w:pStyle w:val="18"/>
        <w:spacing w:line="360" w:lineRule="auto"/>
        <w:ind w:firstLine="465"/>
        <w:rPr>
          <w:rFonts w:hint="eastAsia"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.以</w:t>
      </w:r>
      <w:r>
        <w:rPr>
          <w:rFonts w:ascii="宋体" w:hAnsi="宋体"/>
          <w:color w:val="auto"/>
          <w:sz w:val="21"/>
          <w:szCs w:val="21"/>
          <w:highlight w:val="none"/>
        </w:rPr>
        <w:t>“</w:t>
      </w:r>
      <w:r>
        <w:rPr>
          <w:rFonts w:hint="eastAsia" w:ascii="宋体" w:hAnsi="宋体"/>
          <w:color w:val="auto"/>
          <w:sz w:val="21"/>
          <w:szCs w:val="21"/>
          <w:highlight w:val="none"/>
        </w:rPr>
        <w:t>★</w:t>
      </w:r>
      <w:r>
        <w:rPr>
          <w:rFonts w:ascii="宋体" w:hAnsi="宋体"/>
          <w:color w:val="auto"/>
          <w:sz w:val="21"/>
          <w:szCs w:val="21"/>
          <w:highlight w:val="none"/>
        </w:rPr>
        <w:t>”</w:t>
      </w:r>
      <w:r>
        <w:rPr>
          <w:rFonts w:hint="eastAsia" w:ascii="宋体" w:hAnsi="宋体"/>
          <w:color w:val="auto"/>
          <w:sz w:val="21"/>
          <w:szCs w:val="21"/>
          <w:highlight w:val="none"/>
        </w:rPr>
        <w:t>标注的为政府强制采购产品。</w:t>
      </w:r>
    </w:p>
    <w:p w14:paraId="2BDB5A39">
      <w:pPr>
        <w:pStyle w:val="18"/>
        <w:spacing w:line="360" w:lineRule="auto"/>
        <w:ind w:firstLine="465"/>
        <w:rPr>
          <w:rFonts w:hint="eastAsia" w:ascii="宋体" w:hAnsi="宋体"/>
          <w:color w:val="auto"/>
          <w:sz w:val="21"/>
          <w:szCs w:val="21"/>
          <w:highlight w:val="none"/>
        </w:rPr>
      </w:pPr>
      <w:r>
        <w:rPr>
          <w:rFonts w:hint="eastAsia" w:ascii="宋体" w:hAnsi="宋体"/>
          <w:color w:val="auto"/>
          <w:sz w:val="21"/>
          <w:szCs w:val="21"/>
          <w:highlight w:val="none"/>
        </w:rPr>
        <w:t>3.本表格原为《关于印发节能产品政府采购品目清单的通知》（财库〔2019〕19号）规定的表格附件，其中名称及编码已根据《财政部关于印发〈政府采购品目分类目录〉的通知》（财库〔2022〕31号）修改。</w:t>
      </w:r>
    </w:p>
    <w:p w14:paraId="4B57BC17">
      <w:pPr>
        <w:tabs>
          <w:tab w:val="left" w:pos="180"/>
          <w:tab w:val="left" w:pos="1620"/>
        </w:tabs>
        <w:spacing w:line="360" w:lineRule="auto"/>
        <w:ind w:firstLine="420" w:firstLineChars="200"/>
        <w:rPr>
          <w:rFonts w:hint="eastAsia" w:ascii="宋体" w:hAnsi="宋体"/>
          <w:color w:val="auto"/>
          <w:highlight w:val="none"/>
        </w:rPr>
      </w:pPr>
    </w:p>
    <w:p w14:paraId="0653DD32">
      <w:pPr>
        <w:widowControl/>
        <w:jc w:val="left"/>
        <w:rPr>
          <w:rFonts w:hint="eastAsia" w:ascii="黑体" w:hAnsi="黑体" w:eastAsia="黑体" w:cs="黑体"/>
          <w:color w:val="auto"/>
          <w:sz w:val="24"/>
          <w:highlight w:val="none"/>
        </w:rPr>
      </w:pPr>
      <w:r>
        <w:rPr>
          <w:rFonts w:ascii="Arial Unicode MS" w:hAnsi="Arial Unicode MS" w:eastAsia="等线" w:cs="Arial Unicode MS"/>
          <w:color w:val="auto"/>
          <w:kern w:val="0"/>
          <w:sz w:val="32"/>
          <w:szCs w:val="32"/>
          <w:highlight w:val="none"/>
        </w:rPr>
        <w:br w:type="page"/>
      </w:r>
      <w:r>
        <w:rPr>
          <w:rFonts w:hint="eastAsia" w:ascii="黑体" w:hAnsi="黑体" w:eastAsia="黑体" w:cs="黑体"/>
          <w:color w:val="auto"/>
          <w:sz w:val="24"/>
          <w:highlight w:val="none"/>
        </w:rPr>
        <w:t>附件2：</w:t>
      </w:r>
      <w:r>
        <w:rPr>
          <w:rFonts w:hint="eastAsia"/>
          <w:b/>
          <w:color w:val="auto"/>
          <w:sz w:val="24"/>
          <w:highlight w:val="none"/>
        </w:rPr>
        <w:t>中小企业划型标准规定</w:t>
      </w:r>
    </w:p>
    <w:p w14:paraId="212FA807">
      <w:pPr>
        <w:pStyle w:val="18"/>
        <w:jc w:val="center"/>
        <w:rPr>
          <w:rFonts w:hint="eastAsia"/>
          <w:b/>
          <w:color w:val="auto"/>
          <w:sz w:val="28"/>
          <w:szCs w:val="28"/>
          <w:highlight w:val="none"/>
        </w:rPr>
      </w:pPr>
      <w:r>
        <w:rPr>
          <w:rFonts w:hint="eastAsia"/>
          <w:b/>
          <w:color w:val="auto"/>
          <w:sz w:val="28"/>
          <w:szCs w:val="28"/>
          <w:highlight w:val="none"/>
        </w:rPr>
        <w:t>中小企业划型标准规定</w:t>
      </w:r>
    </w:p>
    <w:p w14:paraId="52C5C39F">
      <w:pPr>
        <w:pStyle w:val="18"/>
        <w:jc w:val="center"/>
        <w:rPr>
          <w:color w:val="auto"/>
          <w:sz w:val="21"/>
          <w:szCs w:val="21"/>
          <w:highlight w:val="none"/>
        </w:rPr>
      </w:pPr>
      <w:r>
        <w:rPr>
          <w:rFonts w:hint="eastAsia" w:ascii="宋体" w:hAnsi="宋体"/>
          <w:color w:val="auto"/>
          <w:sz w:val="21"/>
          <w:szCs w:val="21"/>
          <w:highlight w:val="none"/>
        </w:rPr>
        <w:t>工信部联企业〔2011〕300号</w:t>
      </w:r>
    </w:p>
    <w:tbl>
      <w:tblPr>
        <w:tblStyle w:val="49"/>
        <w:tblW w:w="8941"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2"/>
        <w:gridCol w:w="1866"/>
        <w:gridCol w:w="800"/>
        <w:gridCol w:w="1732"/>
        <w:gridCol w:w="1600"/>
        <w:gridCol w:w="1071"/>
      </w:tblGrid>
      <w:tr w14:paraId="1F72E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872" w:type="dxa"/>
            <w:noWrap w:val="0"/>
            <w:vAlign w:val="center"/>
          </w:tcPr>
          <w:p w14:paraId="3A2FFC0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行业名称</w:t>
            </w:r>
          </w:p>
        </w:tc>
        <w:tc>
          <w:tcPr>
            <w:tcW w:w="1866" w:type="dxa"/>
            <w:noWrap w:val="0"/>
            <w:vAlign w:val="top"/>
          </w:tcPr>
          <w:p w14:paraId="03629D0B">
            <w:pPr>
              <w:widowControl/>
              <w:kinsoku w:val="0"/>
              <w:autoSpaceDE w:val="0"/>
              <w:autoSpaceDN w:val="0"/>
              <w:adjustRightInd w:val="0"/>
              <w:snapToGrid w:val="0"/>
              <w:spacing w:before="240"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指标名称</w:t>
            </w:r>
          </w:p>
        </w:tc>
        <w:tc>
          <w:tcPr>
            <w:tcW w:w="800" w:type="dxa"/>
            <w:noWrap w:val="0"/>
            <w:vAlign w:val="top"/>
          </w:tcPr>
          <w:p w14:paraId="51CE8527">
            <w:pPr>
              <w:widowControl/>
              <w:kinsoku w:val="0"/>
              <w:autoSpaceDE w:val="0"/>
              <w:autoSpaceDN w:val="0"/>
              <w:adjustRightInd w:val="0"/>
              <w:snapToGrid w:val="0"/>
              <w:spacing w:before="82" w:line="273" w:lineRule="auto"/>
              <w:ind w:left="111" w:right="14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计量单位</w:t>
            </w:r>
          </w:p>
        </w:tc>
        <w:tc>
          <w:tcPr>
            <w:tcW w:w="1732" w:type="dxa"/>
            <w:noWrap w:val="0"/>
            <w:vAlign w:val="top"/>
          </w:tcPr>
          <w:p w14:paraId="22888E96">
            <w:pPr>
              <w:widowControl/>
              <w:kinsoku w:val="0"/>
              <w:autoSpaceDE w:val="0"/>
              <w:autoSpaceDN w:val="0"/>
              <w:adjustRightInd w:val="0"/>
              <w:snapToGrid w:val="0"/>
              <w:spacing w:before="240" w:line="221" w:lineRule="auto"/>
              <w:ind w:left="130"/>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中型</w:t>
            </w:r>
          </w:p>
        </w:tc>
        <w:tc>
          <w:tcPr>
            <w:tcW w:w="1600" w:type="dxa"/>
            <w:noWrap w:val="0"/>
            <w:vAlign w:val="top"/>
          </w:tcPr>
          <w:p w14:paraId="3609C9F5">
            <w:pPr>
              <w:widowControl/>
              <w:kinsoku w:val="0"/>
              <w:autoSpaceDE w:val="0"/>
              <w:autoSpaceDN w:val="0"/>
              <w:adjustRightInd w:val="0"/>
              <w:snapToGrid w:val="0"/>
              <w:spacing w:before="240" w:line="222" w:lineRule="auto"/>
              <w:ind w:left="119"/>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小型</w:t>
            </w:r>
          </w:p>
        </w:tc>
        <w:tc>
          <w:tcPr>
            <w:tcW w:w="1071" w:type="dxa"/>
            <w:noWrap w:val="0"/>
            <w:vAlign w:val="top"/>
          </w:tcPr>
          <w:p w14:paraId="208DDAA7">
            <w:pPr>
              <w:widowControl/>
              <w:kinsoku w:val="0"/>
              <w:autoSpaceDE w:val="0"/>
              <w:autoSpaceDN w:val="0"/>
              <w:adjustRightInd w:val="0"/>
              <w:snapToGrid w:val="0"/>
              <w:spacing w:before="240" w:line="220"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微型</w:t>
            </w:r>
          </w:p>
        </w:tc>
      </w:tr>
      <w:tr w14:paraId="59FF3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872" w:type="dxa"/>
            <w:noWrap w:val="0"/>
            <w:vAlign w:val="center"/>
          </w:tcPr>
          <w:p w14:paraId="6DEC448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农、林、牧、渔</w:t>
            </w:r>
          </w:p>
        </w:tc>
        <w:tc>
          <w:tcPr>
            <w:tcW w:w="1866" w:type="dxa"/>
            <w:noWrap w:val="0"/>
            <w:vAlign w:val="top"/>
          </w:tcPr>
          <w:p w14:paraId="0053EC1F">
            <w:pPr>
              <w:widowControl/>
              <w:kinsoku w:val="0"/>
              <w:autoSpaceDE w:val="0"/>
              <w:autoSpaceDN w:val="0"/>
              <w:adjustRightInd w:val="0"/>
              <w:snapToGrid w:val="0"/>
              <w:spacing w:before="76"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05B2B94C">
            <w:pPr>
              <w:widowControl/>
              <w:kinsoku w:val="0"/>
              <w:autoSpaceDE w:val="0"/>
              <w:autoSpaceDN w:val="0"/>
              <w:adjustRightInd w:val="0"/>
              <w:snapToGrid w:val="0"/>
              <w:spacing w:before="76"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62309E0C">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500≤Y＜20000</w:t>
            </w:r>
          </w:p>
        </w:tc>
        <w:tc>
          <w:tcPr>
            <w:tcW w:w="1600" w:type="dxa"/>
            <w:noWrap w:val="0"/>
            <w:vAlign w:val="top"/>
          </w:tcPr>
          <w:p w14:paraId="09617859">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50≤Y＜500</w:t>
            </w:r>
          </w:p>
        </w:tc>
        <w:tc>
          <w:tcPr>
            <w:tcW w:w="1071" w:type="dxa"/>
            <w:noWrap w:val="0"/>
            <w:vAlign w:val="top"/>
          </w:tcPr>
          <w:p w14:paraId="58231410">
            <w:pPr>
              <w:widowControl/>
              <w:kinsoku w:val="0"/>
              <w:autoSpaceDE w:val="0"/>
              <w:autoSpaceDN w:val="0"/>
              <w:adjustRightInd w:val="0"/>
              <w:snapToGrid w:val="0"/>
              <w:spacing w:before="77"/>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Y＜50</w:t>
            </w:r>
          </w:p>
        </w:tc>
      </w:tr>
      <w:tr w14:paraId="31ED8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42E7A0B3">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工业</w:t>
            </w:r>
          </w:p>
        </w:tc>
        <w:tc>
          <w:tcPr>
            <w:tcW w:w="1866" w:type="dxa"/>
            <w:noWrap w:val="0"/>
            <w:vAlign w:val="top"/>
          </w:tcPr>
          <w:p w14:paraId="75E7B638">
            <w:pPr>
              <w:widowControl/>
              <w:kinsoku w:val="0"/>
              <w:autoSpaceDE w:val="0"/>
              <w:autoSpaceDN w:val="0"/>
              <w:adjustRightInd w:val="0"/>
              <w:snapToGrid w:val="0"/>
              <w:spacing w:before="76"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633F2279">
            <w:pPr>
              <w:widowControl/>
              <w:kinsoku w:val="0"/>
              <w:autoSpaceDE w:val="0"/>
              <w:autoSpaceDN w:val="0"/>
              <w:adjustRightInd w:val="0"/>
              <w:snapToGrid w:val="0"/>
              <w:spacing w:before="77"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5534B496">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00" w:type="dxa"/>
            <w:noWrap w:val="0"/>
            <w:vAlign w:val="top"/>
          </w:tcPr>
          <w:p w14:paraId="5E4613BE">
            <w:pPr>
              <w:widowControl/>
              <w:kinsoku w:val="0"/>
              <w:autoSpaceDE w:val="0"/>
              <w:autoSpaceDN w:val="0"/>
              <w:adjustRightInd w:val="0"/>
              <w:snapToGrid w:val="0"/>
              <w:spacing w:before="76"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71" w:type="dxa"/>
            <w:noWrap w:val="0"/>
            <w:vAlign w:val="top"/>
          </w:tcPr>
          <w:p w14:paraId="2FEE7A80">
            <w:pPr>
              <w:widowControl/>
              <w:kinsoku w:val="0"/>
              <w:autoSpaceDE w:val="0"/>
              <w:autoSpaceDN w:val="0"/>
              <w:adjustRightInd w:val="0"/>
              <w:snapToGrid w:val="0"/>
              <w:spacing w:before="77"/>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11EE6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872" w:type="dxa"/>
            <w:vMerge w:val="continue"/>
            <w:tcBorders>
              <w:top w:val="nil"/>
            </w:tcBorders>
            <w:noWrap w:val="0"/>
            <w:vAlign w:val="center"/>
          </w:tcPr>
          <w:p w14:paraId="472BEE16">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03F04166">
            <w:pPr>
              <w:widowControl/>
              <w:kinsoku w:val="0"/>
              <w:autoSpaceDE w:val="0"/>
              <w:autoSpaceDN w:val="0"/>
              <w:adjustRightInd w:val="0"/>
              <w:snapToGrid w:val="0"/>
              <w:spacing w:before="76"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28CC6B89">
            <w:pPr>
              <w:widowControl/>
              <w:kinsoku w:val="0"/>
              <w:autoSpaceDE w:val="0"/>
              <w:autoSpaceDN w:val="0"/>
              <w:adjustRightInd w:val="0"/>
              <w:snapToGrid w:val="0"/>
              <w:spacing w:before="76"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48182F03">
            <w:pPr>
              <w:widowControl/>
              <w:kinsoku w:val="0"/>
              <w:autoSpaceDE w:val="0"/>
              <w:autoSpaceDN w:val="0"/>
              <w:adjustRightInd w:val="0"/>
              <w:snapToGrid w:val="0"/>
              <w:spacing w:before="76"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2000≤Y＜40000</w:t>
            </w:r>
          </w:p>
        </w:tc>
        <w:tc>
          <w:tcPr>
            <w:tcW w:w="1600" w:type="dxa"/>
            <w:noWrap w:val="0"/>
            <w:vAlign w:val="top"/>
          </w:tcPr>
          <w:p w14:paraId="2494F6CB">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300≤Y＜2000</w:t>
            </w:r>
          </w:p>
        </w:tc>
        <w:tc>
          <w:tcPr>
            <w:tcW w:w="1071" w:type="dxa"/>
            <w:noWrap w:val="0"/>
            <w:vAlign w:val="top"/>
          </w:tcPr>
          <w:p w14:paraId="376277B8">
            <w:pPr>
              <w:widowControl/>
              <w:kinsoku w:val="0"/>
              <w:autoSpaceDE w:val="0"/>
              <w:autoSpaceDN w:val="0"/>
              <w:adjustRightInd w:val="0"/>
              <w:snapToGrid w:val="0"/>
              <w:spacing w:before="76"/>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Y＜300</w:t>
            </w:r>
          </w:p>
        </w:tc>
      </w:tr>
      <w:tr w14:paraId="44746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30F61A27">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建筑业</w:t>
            </w:r>
          </w:p>
        </w:tc>
        <w:tc>
          <w:tcPr>
            <w:tcW w:w="1866" w:type="dxa"/>
            <w:noWrap w:val="0"/>
            <w:vAlign w:val="top"/>
          </w:tcPr>
          <w:p w14:paraId="34BB5ECC">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5DDE55AA">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049685EA">
            <w:pPr>
              <w:widowControl/>
              <w:kinsoku w:val="0"/>
              <w:autoSpaceDE w:val="0"/>
              <w:autoSpaceDN w:val="0"/>
              <w:adjustRightInd w:val="0"/>
              <w:snapToGrid w:val="0"/>
              <w:spacing w:before="79" w:line="237" w:lineRule="auto"/>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6000≤Y＜80000</w:t>
            </w:r>
          </w:p>
        </w:tc>
        <w:tc>
          <w:tcPr>
            <w:tcW w:w="1600" w:type="dxa"/>
            <w:noWrap w:val="0"/>
            <w:vAlign w:val="top"/>
          </w:tcPr>
          <w:p w14:paraId="704E8484">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300≤Y＜6000</w:t>
            </w:r>
          </w:p>
        </w:tc>
        <w:tc>
          <w:tcPr>
            <w:tcW w:w="1071" w:type="dxa"/>
            <w:noWrap w:val="0"/>
            <w:vAlign w:val="top"/>
          </w:tcPr>
          <w:p w14:paraId="4305CC32">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Y＜300</w:t>
            </w:r>
          </w:p>
        </w:tc>
      </w:tr>
      <w:tr w14:paraId="74AD5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872" w:type="dxa"/>
            <w:vMerge w:val="continue"/>
            <w:tcBorders>
              <w:top w:val="nil"/>
            </w:tcBorders>
            <w:noWrap w:val="0"/>
            <w:vAlign w:val="center"/>
          </w:tcPr>
          <w:p w14:paraId="6BCED09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0AC45D60">
            <w:pPr>
              <w:widowControl/>
              <w:kinsoku w:val="0"/>
              <w:autoSpaceDE w:val="0"/>
              <w:autoSpaceDN w:val="0"/>
              <w:adjustRightInd w:val="0"/>
              <w:snapToGrid w:val="0"/>
              <w:spacing w:before="78"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800" w:type="dxa"/>
            <w:noWrap w:val="0"/>
            <w:vAlign w:val="top"/>
          </w:tcPr>
          <w:p w14:paraId="417784C9">
            <w:pPr>
              <w:widowControl/>
              <w:kinsoku w:val="0"/>
              <w:autoSpaceDE w:val="0"/>
              <w:autoSpaceDN w:val="0"/>
              <w:adjustRightInd w:val="0"/>
              <w:snapToGrid w:val="0"/>
              <w:spacing w:before="78"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465F3581">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5000≤Z＜80000</w:t>
            </w:r>
          </w:p>
        </w:tc>
        <w:tc>
          <w:tcPr>
            <w:tcW w:w="1600" w:type="dxa"/>
            <w:noWrap w:val="0"/>
            <w:vAlign w:val="top"/>
          </w:tcPr>
          <w:p w14:paraId="169F5D7F">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300≤Z＜5000</w:t>
            </w:r>
          </w:p>
        </w:tc>
        <w:tc>
          <w:tcPr>
            <w:tcW w:w="1071" w:type="dxa"/>
            <w:noWrap w:val="0"/>
            <w:vAlign w:val="top"/>
          </w:tcPr>
          <w:p w14:paraId="3CC18141">
            <w:pPr>
              <w:widowControl/>
              <w:kinsoku w:val="0"/>
              <w:autoSpaceDE w:val="0"/>
              <w:autoSpaceDN w:val="0"/>
              <w:adjustRightInd w:val="0"/>
              <w:snapToGrid w:val="0"/>
              <w:spacing w:before="79"/>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Z＜300</w:t>
            </w:r>
          </w:p>
        </w:tc>
      </w:tr>
      <w:tr w14:paraId="3D52A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40D24C82">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批发业</w:t>
            </w:r>
          </w:p>
        </w:tc>
        <w:tc>
          <w:tcPr>
            <w:tcW w:w="1866" w:type="dxa"/>
            <w:noWrap w:val="0"/>
            <w:vAlign w:val="top"/>
          </w:tcPr>
          <w:p w14:paraId="2C4C1794">
            <w:pPr>
              <w:widowControl/>
              <w:kinsoku w:val="0"/>
              <w:autoSpaceDE w:val="0"/>
              <w:autoSpaceDN w:val="0"/>
              <w:adjustRightInd w:val="0"/>
              <w:snapToGrid w:val="0"/>
              <w:spacing w:before="78"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759275C2">
            <w:pPr>
              <w:widowControl/>
              <w:kinsoku w:val="0"/>
              <w:autoSpaceDE w:val="0"/>
              <w:autoSpaceDN w:val="0"/>
              <w:adjustRightInd w:val="0"/>
              <w:snapToGrid w:val="0"/>
              <w:spacing w:before="79"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60C4D9AD">
            <w:pPr>
              <w:widowControl/>
              <w:kinsoku w:val="0"/>
              <w:autoSpaceDE w:val="0"/>
              <w:autoSpaceDN w:val="0"/>
              <w:adjustRightInd w:val="0"/>
              <w:snapToGrid w:val="0"/>
              <w:spacing w:before="78"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20≤X＜200</w:t>
            </w:r>
          </w:p>
        </w:tc>
        <w:tc>
          <w:tcPr>
            <w:tcW w:w="1600" w:type="dxa"/>
            <w:noWrap w:val="0"/>
            <w:vAlign w:val="top"/>
          </w:tcPr>
          <w:p w14:paraId="7369B256">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5≤X＜20</w:t>
            </w:r>
          </w:p>
        </w:tc>
        <w:tc>
          <w:tcPr>
            <w:tcW w:w="1071" w:type="dxa"/>
            <w:noWrap w:val="0"/>
            <w:vAlign w:val="top"/>
          </w:tcPr>
          <w:p w14:paraId="3A69120E">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X＜5</w:t>
            </w:r>
          </w:p>
        </w:tc>
      </w:tr>
      <w:tr w14:paraId="316CC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0AD45CC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71625653">
            <w:pPr>
              <w:widowControl/>
              <w:kinsoku w:val="0"/>
              <w:autoSpaceDE w:val="0"/>
              <w:autoSpaceDN w:val="0"/>
              <w:adjustRightInd w:val="0"/>
              <w:snapToGrid w:val="0"/>
              <w:spacing w:before="78"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25E97F98">
            <w:pPr>
              <w:widowControl/>
              <w:kinsoku w:val="0"/>
              <w:autoSpaceDE w:val="0"/>
              <w:autoSpaceDN w:val="0"/>
              <w:adjustRightInd w:val="0"/>
              <w:snapToGrid w:val="0"/>
              <w:spacing w:before="78"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621437FA">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5000≤Y＜40000</w:t>
            </w:r>
          </w:p>
        </w:tc>
        <w:tc>
          <w:tcPr>
            <w:tcW w:w="1600" w:type="dxa"/>
            <w:noWrap w:val="0"/>
            <w:vAlign w:val="top"/>
          </w:tcPr>
          <w:p w14:paraId="4D89D9B8">
            <w:pPr>
              <w:widowControl/>
              <w:kinsoku w:val="0"/>
              <w:autoSpaceDE w:val="0"/>
              <w:autoSpaceDN w:val="0"/>
              <w:adjustRightInd w:val="0"/>
              <w:snapToGrid w:val="0"/>
              <w:spacing w:before="78"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1000≤Y＜5000</w:t>
            </w:r>
          </w:p>
        </w:tc>
        <w:tc>
          <w:tcPr>
            <w:tcW w:w="1071" w:type="dxa"/>
            <w:noWrap w:val="0"/>
            <w:vAlign w:val="top"/>
          </w:tcPr>
          <w:p w14:paraId="29B2B0A2">
            <w:pPr>
              <w:widowControl/>
              <w:kinsoku w:val="0"/>
              <w:autoSpaceDE w:val="0"/>
              <w:autoSpaceDN w:val="0"/>
              <w:adjustRightInd w:val="0"/>
              <w:snapToGrid w:val="0"/>
              <w:spacing w:before="78"/>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Y＜1000</w:t>
            </w:r>
          </w:p>
        </w:tc>
      </w:tr>
      <w:tr w14:paraId="1210D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872" w:type="dxa"/>
            <w:vMerge w:val="restart"/>
            <w:tcBorders>
              <w:bottom w:val="nil"/>
            </w:tcBorders>
            <w:noWrap w:val="0"/>
            <w:vAlign w:val="center"/>
          </w:tcPr>
          <w:p w14:paraId="13C01B50">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零售业</w:t>
            </w:r>
          </w:p>
        </w:tc>
        <w:tc>
          <w:tcPr>
            <w:tcW w:w="1866" w:type="dxa"/>
            <w:noWrap w:val="0"/>
            <w:vAlign w:val="top"/>
          </w:tcPr>
          <w:p w14:paraId="281753B8">
            <w:pPr>
              <w:widowControl/>
              <w:kinsoku w:val="0"/>
              <w:autoSpaceDE w:val="0"/>
              <w:autoSpaceDN w:val="0"/>
              <w:adjustRightInd w:val="0"/>
              <w:snapToGrid w:val="0"/>
              <w:spacing w:before="80"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331FD06A">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1595E429">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50≤X＜300</w:t>
            </w:r>
          </w:p>
        </w:tc>
        <w:tc>
          <w:tcPr>
            <w:tcW w:w="1600" w:type="dxa"/>
            <w:noWrap w:val="0"/>
            <w:vAlign w:val="top"/>
          </w:tcPr>
          <w:p w14:paraId="57F84F19">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10≤X＜50</w:t>
            </w:r>
          </w:p>
        </w:tc>
        <w:tc>
          <w:tcPr>
            <w:tcW w:w="1071" w:type="dxa"/>
            <w:noWrap w:val="0"/>
            <w:vAlign w:val="top"/>
          </w:tcPr>
          <w:p w14:paraId="418E3D1F">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242C6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354D11D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240B71CB">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171C7942">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1BF6E5F8">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500≤Y＜20000</w:t>
            </w:r>
          </w:p>
        </w:tc>
        <w:tc>
          <w:tcPr>
            <w:tcW w:w="1600" w:type="dxa"/>
            <w:noWrap w:val="0"/>
            <w:vAlign w:val="top"/>
          </w:tcPr>
          <w:p w14:paraId="6BA40A3F">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100≤Y＜500</w:t>
            </w:r>
          </w:p>
        </w:tc>
        <w:tc>
          <w:tcPr>
            <w:tcW w:w="1071" w:type="dxa"/>
            <w:noWrap w:val="0"/>
            <w:vAlign w:val="top"/>
          </w:tcPr>
          <w:p w14:paraId="34FE7AE2">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5B07E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5D3552D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交通运输业</w:t>
            </w:r>
          </w:p>
        </w:tc>
        <w:tc>
          <w:tcPr>
            <w:tcW w:w="1866" w:type="dxa"/>
            <w:noWrap w:val="0"/>
            <w:vAlign w:val="top"/>
          </w:tcPr>
          <w:p w14:paraId="1AA3DFFF">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4783F478">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4F8ECD98">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00" w:type="dxa"/>
            <w:noWrap w:val="0"/>
            <w:vAlign w:val="top"/>
          </w:tcPr>
          <w:p w14:paraId="4F188C84">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71" w:type="dxa"/>
            <w:noWrap w:val="0"/>
            <w:vAlign w:val="top"/>
          </w:tcPr>
          <w:p w14:paraId="6698C900">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2D985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54C1A4C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2C3B4586">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656A8D4B">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07984FD5">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3000≤Y＜30000</w:t>
            </w:r>
          </w:p>
        </w:tc>
        <w:tc>
          <w:tcPr>
            <w:tcW w:w="1600" w:type="dxa"/>
            <w:noWrap w:val="0"/>
            <w:vAlign w:val="top"/>
          </w:tcPr>
          <w:p w14:paraId="0C7B032B">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200≤Y＜3000</w:t>
            </w:r>
          </w:p>
        </w:tc>
        <w:tc>
          <w:tcPr>
            <w:tcW w:w="1071" w:type="dxa"/>
            <w:noWrap w:val="0"/>
            <w:vAlign w:val="top"/>
          </w:tcPr>
          <w:p w14:paraId="102F0E3C">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Y＜200</w:t>
            </w:r>
          </w:p>
        </w:tc>
      </w:tr>
      <w:tr w14:paraId="34463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50716A4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仓储业</w:t>
            </w:r>
          </w:p>
        </w:tc>
        <w:tc>
          <w:tcPr>
            <w:tcW w:w="1866" w:type="dxa"/>
            <w:noWrap w:val="0"/>
            <w:vAlign w:val="top"/>
          </w:tcPr>
          <w:p w14:paraId="5C9946F2">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4A0E87CA">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6B138D13">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100≤X＜200</w:t>
            </w:r>
          </w:p>
        </w:tc>
        <w:tc>
          <w:tcPr>
            <w:tcW w:w="1600" w:type="dxa"/>
            <w:noWrap w:val="0"/>
            <w:vAlign w:val="top"/>
          </w:tcPr>
          <w:p w14:paraId="3118CC59">
            <w:pPr>
              <w:widowControl/>
              <w:kinsoku w:val="0"/>
              <w:autoSpaceDE w:val="0"/>
              <w:autoSpaceDN w:val="0"/>
              <w:adjustRightInd w:val="0"/>
              <w:snapToGrid w:val="0"/>
              <w:spacing w:before="81"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20≤X＜100</w:t>
            </w:r>
          </w:p>
        </w:tc>
        <w:tc>
          <w:tcPr>
            <w:tcW w:w="1071" w:type="dxa"/>
            <w:noWrap w:val="0"/>
            <w:vAlign w:val="top"/>
          </w:tcPr>
          <w:p w14:paraId="2AAA6BEA">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596A2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201AD95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432165FC">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21B3AB36">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790AB83A">
            <w:pPr>
              <w:widowControl/>
              <w:kinsoku w:val="0"/>
              <w:autoSpaceDE w:val="0"/>
              <w:autoSpaceDN w:val="0"/>
              <w:adjustRightInd w:val="0"/>
              <w:snapToGrid w:val="0"/>
              <w:spacing w:before="80"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1000≤Y＜30000</w:t>
            </w:r>
          </w:p>
        </w:tc>
        <w:tc>
          <w:tcPr>
            <w:tcW w:w="1600" w:type="dxa"/>
            <w:noWrap w:val="0"/>
            <w:vAlign w:val="top"/>
          </w:tcPr>
          <w:p w14:paraId="4713208B">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100≤Y＜1000</w:t>
            </w:r>
          </w:p>
        </w:tc>
        <w:tc>
          <w:tcPr>
            <w:tcW w:w="1071" w:type="dxa"/>
            <w:noWrap w:val="0"/>
            <w:vAlign w:val="top"/>
          </w:tcPr>
          <w:p w14:paraId="2FD47855">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6B914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54B47BA8">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邮政业</w:t>
            </w:r>
          </w:p>
        </w:tc>
        <w:tc>
          <w:tcPr>
            <w:tcW w:w="1866" w:type="dxa"/>
            <w:noWrap w:val="0"/>
            <w:vAlign w:val="top"/>
          </w:tcPr>
          <w:p w14:paraId="3F05CB26">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730FC682">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278DBACB">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00" w:type="dxa"/>
            <w:noWrap w:val="0"/>
            <w:vAlign w:val="top"/>
          </w:tcPr>
          <w:p w14:paraId="07B992F1">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71" w:type="dxa"/>
            <w:noWrap w:val="0"/>
            <w:vAlign w:val="top"/>
          </w:tcPr>
          <w:p w14:paraId="3863842F">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4D6DD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5C13E082">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5AB21259">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1BFF5A02">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30EE1460">
            <w:pPr>
              <w:widowControl/>
              <w:kinsoku w:val="0"/>
              <w:autoSpaceDE w:val="0"/>
              <w:autoSpaceDN w:val="0"/>
              <w:adjustRightInd w:val="0"/>
              <w:snapToGrid w:val="0"/>
              <w:spacing w:before="79"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2000≤Y＜30000</w:t>
            </w:r>
          </w:p>
        </w:tc>
        <w:tc>
          <w:tcPr>
            <w:tcW w:w="1600" w:type="dxa"/>
            <w:noWrap w:val="0"/>
            <w:vAlign w:val="top"/>
          </w:tcPr>
          <w:p w14:paraId="0946CB5B">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71" w:type="dxa"/>
            <w:noWrap w:val="0"/>
            <w:vAlign w:val="top"/>
          </w:tcPr>
          <w:p w14:paraId="5FAC426F">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5EF54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77EB8C97">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住宿业</w:t>
            </w:r>
          </w:p>
        </w:tc>
        <w:tc>
          <w:tcPr>
            <w:tcW w:w="1866" w:type="dxa"/>
            <w:noWrap w:val="0"/>
            <w:vAlign w:val="top"/>
          </w:tcPr>
          <w:p w14:paraId="3F72946E">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0E516C00">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7DA8ED7A">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00" w:type="dxa"/>
            <w:noWrap w:val="0"/>
            <w:vAlign w:val="top"/>
          </w:tcPr>
          <w:p w14:paraId="17CF87AC">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71" w:type="dxa"/>
            <w:noWrap w:val="0"/>
            <w:vAlign w:val="top"/>
          </w:tcPr>
          <w:p w14:paraId="0E8E360D">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11917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3DFEF94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45A2C2EF">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35509278">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5C237CEF">
            <w:pPr>
              <w:widowControl/>
              <w:kinsoku w:val="0"/>
              <w:autoSpaceDE w:val="0"/>
              <w:autoSpaceDN w:val="0"/>
              <w:adjustRightInd w:val="0"/>
              <w:snapToGrid w:val="0"/>
              <w:spacing w:before="80"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2000≤Y＜10000</w:t>
            </w:r>
          </w:p>
        </w:tc>
        <w:tc>
          <w:tcPr>
            <w:tcW w:w="1600" w:type="dxa"/>
            <w:noWrap w:val="0"/>
            <w:vAlign w:val="top"/>
          </w:tcPr>
          <w:p w14:paraId="5561F01B">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71" w:type="dxa"/>
            <w:noWrap w:val="0"/>
            <w:vAlign w:val="top"/>
          </w:tcPr>
          <w:p w14:paraId="7D537E5D">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19B2D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4E4F0A7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餐饮业</w:t>
            </w:r>
          </w:p>
        </w:tc>
        <w:tc>
          <w:tcPr>
            <w:tcW w:w="1866" w:type="dxa"/>
            <w:noWrap w:val="0"/>
            <w:vAlign w:val="top"/>
          </w:tcPr>
          <w:p w14:paraId="452299F1">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0653BD5C">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24EC7F14">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00" w:type="dxa"/>
            <w:noWrap w:val="0"/>
            <w:vAlign w:val="top"/>
          </w:tcPr>
          <w:p w14:paraId="0E233A0A">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71" w:type="dxa"/>
            <w:noWrap w:val="0"/>
            <w:vAlign w:val="top"/>
          </w:tcPr>
          <w:p w14:paraId="49070120">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77C2B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31646C3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0C0ECB97">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15DB759F">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09887B17">
            <w:pPr>
              <w:widowControl/>
              <w:kinsoku w:val="0"/>
              <w:autoSpaceDE w:val="0"/>
              <w:autoSpaceDN w:val="0"/>
              <w:adjustRightInd w:val="0"/>
              <w:snapToGrid w:val="0"/>
              <w:spacing w:before="79"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2000≤Y＜10000</w:t>
            </w:r>
          </w:p>
        </w:tc>
        <w:tc>
          <w:tcPr>
            <w:tcW w:w="1600" w:type="dxa"/>
            <w:noWrap w:val="0"/>
            <w:vAlign w:val="top"/>
          </w:tcPr>
          <w:p w14:paraId="1B74B30D">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71" w:type="dxa"/>
            <w:noWrap w:val="0"/>
            <w:vAlign w:val="top"/>
          </w:tcPr>
          <w:p w14:paraId="3D1EFB07">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1AD18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72" w:type="dxa"/>
            <w:vMerge w:val="restart"/>
            <w:tcBorders>
              <w:bottom w:val="nil"/>
            </w:tcBorders>
            <w:noWrap w:val="0"/>
            <w:vAlign w:val="center"/>
          </w:tcPr>
          <w:p w14:paraId="21270CDE">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信息传输业</w:t>
            </w:r>
          </w:p>
        </w:tc>
        <w:tc>
          <w:tcPr>
            <w:tcW w:w="1866" w:type="dxa"/>
            <w:noWrap w:val="0"/>
            <w:vAlign w:val="top"/>
          </w:tcPr>
          <w:p w14:paraId="4EB2FE6C">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35C6D1FE">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55B1B995">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100≤X＜2000</w:t>
            </w:r>
          </w:p>
        </w:tc>
        <w:tc>
          <w:tcPr>
            <w:tcW w:w="1600" w:type="dxa"/>
            <w:noWrap w:val="0"/>
            <w:vAlign w:val="top"/>
          </w:tcPr>
          <w:p w14:paraId="7E85488C">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71" w:type="dxa"/>
            <w:noWrap w:val="0"/>
            <w:vAlign w:val="top"/>
          </w:tcPr>
          <w:p w14:paraId="107D05E3">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7947E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5DCA6CF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36EF3441">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4E5AF85C">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52C9433C">
            <w:pPr>
              <w:widowControl/>
              <w:kinsoku w:val="0"/>
              <w:autoSpaceDE w:val="0"/>
              <w:autoSpaceDN w:val="0"/>
              <w:adjustRightInd w:val="0"/>
              <w:snapToGrid w:val="0"/>
              <w:spacing w:before="80"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1000≤Y＜100000</w:t>
            </w:r>
          </w:p>
        </w:tc>
        <w:tc>
          <w:tcPr>
            <w:tcW w:w="1600" w:type="dxa"/>
            <w:noWrap w:val="0"/>
            <w:vAlign w:val="top"/>
          </w:tcPr>
          <w:p w14:paraId="1668B1CC">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100≤Y＜1000</w:t>
            </w:r>
          </w:p>
        </w:tc>
        <w:tc>
          <w:tcPr>
            <w:tcW w:w="1071" w:type="dxa"/>
            <w:noWrap w:val="0"/>
            <w:vAlign w:val="top"/>
          </w:tcPr>
          <w:p w14:paraId="3A508F7A">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6085E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3A510BD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rPr>
            </w:pPr>
            <w:r>
              <w:rPr>
                <w:rFonts w:hint="eastAsia" w:ascii="宋体" w:hAnsi="宋体" w:cs="宋体"/>
                <w:snapToGrid w:val="0"/>
                <w:color w:val="auto"/>
                <w:kern w:val="0"/>
                <w:sz w:val="18"/>
                <w:szCs w:val="18"/>
                <w:highlight w:val="none"/>
              </w:rPr>
              <w:t>软件和信息技术服务业</w:t>
            </w:r>
          </w:p>
        </w:tc>
        <w:tc>
          <w:tcPr>
            <w:tcW w:w="1866" w:type="dxa"/>
            <w:noWrap w:val="0"/>
            <w:vAlign w:val="top"/>
          </w:tcPr>
          <w:p w14:paraId="77F29FDD">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29995330">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07800CAD">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00" w:type="dxa"/>
            <w:noWrap w:val="0"/>
            <w:vAlign w:val="top"/>
          </w:tcPr>
          <w:p w14:paraId="752F9E3C">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71" w:type="dxa"/>
            <w:noWrap w:val="0"/>
            <w:vAlign w:val="top"/>
          </w:tcPr>
          <w:p w14:paraId="783D15FE">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3A4EC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3B5D60AA">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3C2F1A80">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0A0DF046">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3F0EAAF7">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1000≤Y＜10000</w:t>
            </w:r>
          </w:p>
        </w:tc>
        <w:tc>
          <w:tcPr>
            <w:tcW w:w="1600" w:type="dxa"/>
            <w:noWrap w:val="0"/>
            <w:vAlign w:val="top"/>
          </w:tcPr>
          <w:p w14:paraId="3F699E58">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50≤Y＜1000</w:t>
            </w:r>
          </w:p>
        </w:tc>
        <w:tc>
          <w:tcPr>
            <w:tcW w:w="1071" w:type="dxa"/>
            <w:noWrap w:val="0"/>
            <w:vAlign w:val="top"/>
          </w:tcPr>
          <w:p w14:paraId="424057FD">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Y＜50</w:t>
            </w:r>
          </w:p>
        </w:tc>
      </w:tr>
      <w:tr w14:paraId="43B41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1F408FDE">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房地产开发经营</w:t>
            </w:r>
          </w:p>
        </w:tc>
        <w:tc>
          <w:tcPr>
            <w:tcW w:w="1866" w:type="dxa"/>
            <w:noWrap w:val="0"/>
            <w:vAlign w:val="top"/>
          </w:tcPr>
          <w:p w14:paraId="49CE7E46">
            <w:pPr>
              <w:widowControl/>
              <w:kinsoku w:val="0"/>
              <w:autoSpaceDE w:val="0"/>
              <w:autoSpaceDN w:val="0"/>
              <w:adjustRightInd w:val="0"/>
              <w:snapToGrid w:val="0"/>
              <w:spacing w:before="81"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6B25DF04">
            <w:pPr>
              <w:widowControl/>
              <w:kinsoku w:val="0"/>
              <w:autoSpaceDE w:val="0"/>
              <w:autoSpaceDN w:val="0"/>
              <w:adjustRightInd w:val="0"/>
              <w:snapToGrid w:val="0"/>
              <w:spacing w:before="81"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1EE4D38E">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1000≤Y＜200000</w:t>
            </w:r>
          </w:p>
        </w:tc>
        <w:tc>
          <w:tcPr>
            <w:tcW w:w="1600" w:type="dxa"/>
            <w:noWrap w:val="0"/>
            <w:vAlign w:val="top"/>
          </w:tcPr>
          <w:p w14:paraId="34DC73DB">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100≤X＜1000</w:t>
            </w:r>
          </w:p>
        </w:tc>
        <w:tc>
          <w:tcPr>
            <w:tcW w:w="1071" w:type="dxa"/>
            <w:noWrap w:val="0"/>
            <w:vAlign w:val="top"/>
          </w:tcPr>
          <w:p w14:paraId="7919CD5F">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X＜100</w:t>
            </w:r>
          </w:p>
        </w:tc>
      </w:tr>
      <w:tr w14:paraId="6DDD2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57CE6D00">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71C4F861">
            <w:pPr>
              <w:widowControl/>
              <w:kinsoku w:val="0"/>
              <w:autoSpaceDE w:val="0"/>
              <w:autoSpaceDN w:val="0"/>
              <w:adjustRightInd w:val="0"/>
              <w:snapToGrid w:val="0"/>
              <w:spacing w:before="80"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800" w:type="dxa"/>
            <w:noWrap w:val="0"/>
            <w:vAlign w:val="top"/>
          </w:tcPr>
          <w:p w14:paraId="793F2A0D">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19FC13F4">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5000≤Z＜10000</w:t>
            </w:r>
          </w:p>
        </w:tc>
        <w:tc>
          <w:tcPr>
            <w:tcW w:w="1600" w:type="dxa"/>
            <w:noWrap w:val="0"/>
            <w:vAlign w:val="top"/>
          </w:tcPr>
          <w:p w14:paraId="7DF0B1FB">
            <w:pPr>
              <w:widowControl/>
              <w:kinsoku w:val="0"/>
              <w:autoSpaceDE w:val="0"/>
              <w:autoSpaceDN w:val="0"/>
              <w:adjustRightInd w:val="0"/>
              <w:snapToGrid w:val="0"/>
              <w:spacing w:before="80"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2000≤Y＜5000</w:t>
            </w:r>
          </w:p>
        </w:tc>
        <w:tc>
          <w:tcPr>
            <w:tcW w:w="1071" w:type="dxa"/>
            <w:noWrap w:val="0"/>
            <w:vAlign w:val="top"/>
          </w:tcPr>
          <w:p w14:paraId="23ADDCDE">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Y＜2000</w:t>
            </w:r>
          </w:p>
        </w:tc>
      </w:tr>
      <w:tr w14:paraId="164CA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5F5F952A">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物业管理</w:t>
            </w:r>
          </w:p>
        </w:tc>
        <w:tc>
          <w:tcPr>
            <w:tcW w:w="1866" w:type="dxa"/>
            <w:noWrap w:val="0"/>
            <w:vAlign w:val="top"/>
          </w:tcPr>
          <w:p w14:paraId="70400E1F">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6F6A9131">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01604812">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00" w:type="dxa"/>
            <w:noWrap w:val="0"/>
            <w:vAlign w:val="top"/>
          </w:tcPr>
          <w:p w14:paraId="74FE4E2F">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071" w:type="dxa"/>
            <w:noWrap w:val="0"/>
            <w:vAlign w:val="top"/>
          </w:tcPr>
          <w:p w14:paraId="0A85349E">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X＜100</w:t>
            </w:r>
          </w:p>
        </w:tc>
      </w:tr>
      <w:tr w14:paraId="29B28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41589621">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1B6C03B1">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800" w:type="dxa"/>
            <w:noWrap w:val="0"/>
            <w:vAlign w:val="top"/>
          </w:tcPr>
          <w:p w14:paraId="439AD2B9">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01065520">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1000≤Y＜5000</w:t>
            </w:r>
          </w:p>
        </w:tc>
        <w:tc>
          <w:tcPr>
            <w:tcW w:w="1600" w:type="dxa"/>
            <w:noWrap w:val="0"/>
            <w:vAlign w:val="top"/>
          </w:tcPr>
          <w:p w14:paraId="1AB68D1A">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500≤Y＜1000</w:t>
            </w:r>
          </w:p>
        </w:tc>
        <w:tc>
          <w:tcPr>
            <w:tcW w:w="1071" w:type="dxa"/>
            <w:noWrap w:val="0"/>
            <w:vAlign w:val="top"/>
          </w:tcPr>
          <w:p w14:paraId="28CEF081">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Y＜500</w:t>
            </w:r>
          </w:p>
        </w:tc>
      </w:tr>
      <w:tr w14:paraId="455F1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restart"/>
            <w:tcBorders>
              <w:bottom w:val="nil"/>
            </w:tcBorders>
            <w:noWrap w:val="0"/>
            <w:vAlign w:val="center"/>
          </w:tcPr>
          <w:p w14:paraId="47F47203">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租赁和商务服务业</w:t>
            </w:r>
          </w:p>
        </w:tc>
        <w:tc>
          <w:tcPr>
            <w:tcW w:w="1866" w:type="dxa"/>
            <w:noWrap w:val="0"/>
            <w:vAlign w:val="top"/>
          </w:tcPr>
          <w:p w14:paraId="7BB8A859">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74727920">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767BE240">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00" w:type="dxa"/>
            <w:noWrap w:val="0"/>
            <w:vAlign w:val="top"/>
          </w:tcPr>
          <w:p w14:paraId="27936A0F">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71" w:type="dxa"/>
            <w:noWrap w:val="0"/>
            <w:vAlign w:val="top"/>
          </w:tcPr>
          <w:p w14:paraId="33E02963">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2CF76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72" w:type="dxa"/>
            <w:vMerge w:val="continue"/>
            <w:tcBorders>
              <w:top w:val="nil"/>
            </w:tcBorders>
            <w:noWrap w:val="0"/>
            <w:vAlign w:val="center"/>
          </w:tcPr>
          <w:p w14:paraId="3E25B54E">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66" w:type="dxa"/>
            <w:noWrap w:val="0"/>
            <w:vAlign w:val="top"/>
          </w:tcPr>
          <w:p w14:paraId="6A53B532">
            <w:pPr>
              <w:widowControl/>
              <w:kinsoku w:val="0"/>
              <w:autoSpaceDE w:val="0"/>
              <w:autoSpaceDN w:val="0"/>
              <w:adjustRightInd w:val="0"/>
              <w:snapToGrid w:val="0"/>
              <w:spacing w:before="80"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800" w:type="dxa"/>
            <w:noWrap w:val="0"/>
            <w:vAlign w:val="top"/>
          </w:tcPr>
          <w:p w14:paraId="75088044">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32" w:type="dxa"/>
            <w:noWrap w:val="0"/>
            <w:vAlign w:val="top"/>
          </w:tcPr>
          <w:p w14:paraId="65C82016">
            <w:pPr>
              <w:widowControl/>
              <w:kinsoku w:val="0"/>
              <w:autoSpaceDE w:val="0"/>
              <w:autoSpaceDN w:val="0"/>
              <w:adjustRightInd w:val="0"/>
              <w:snapToGrid w:val="0"/>
              <w:spacing w:before="80" w:line="237" w:lineRule="auto"/>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8000≤Z＜120000</w:t>
            </w:r>
          </w:p>
        </w:tc>
        <w:tc>
          <w:tcPr>
            <w:tcW w:w="1600" w:type="dxa"/>
            <w:noWrap w:val="0"/>
            <w:vAlign w:val="top"/>
          </w:tcPr>
          <w:p w14:paraId="574851CA">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100≤Z＜8000</w:t>
            </w:r>
          </w:p>
        </w:tc>
        <w:tc>
          <w:tcPr>
            <w:tcW w:w="1071" w:type="dxa"/>
            <w:noWrap w:val="0"/>
            <w:vAlign w:val="top"/>
          </w:tcPr>
          <w:p w14:paraId="3FB55410">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13884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872" w:type="dxa"/>
            <w:noWrap w:val="0"/>
            <w:vAlign w:val="center"/>
          </w:tcPr>
          <w:p w14:paraId="33186C7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其他未列明行业</w:t>
            </w:r>
          </w:p>
        </w:tc>
        <w:tc>
          <w:tcPr>
            <w:tcW w:w="1866" w:type="dxa"/>
            <w:noWrap w:val="0"/>
            <w:vAlign w:val="top"/>
          </w:tcPr>
          <w:p w14:paraId="263589F0">
            <w:pPr>
              <w:widowControl/>
              <w:kinsoku w:val="0"/>
              <w:autoSpaceDE w:val="0"/>
              <w:autoSpaceDN w:val="0"/>
              <w:adjustRightInd w:val="0"/>
              <w:snapToGrid w:val="0"/>
              <w:spacing w:before="84"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800" w:type="dxa"/>
            <w:noWrap w:val="0"/>
            <w:vAlign w:val="top"/>
          </w:tcPr>
          <w:p w14:paraId="1636467A">
            <w:pPr>
              <w:widowControl/>
              <w:kinsoku w:val="0"/>
              <w:autoSpaceDE w:val="0"/>
              <w:autoSpaceDN w:val="0"/>
              <w:adjustRightInd w:val="0"/>
              <w:snapToGrid w:val="0"/>
              <w:spacing w:before="84"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32" w:type="dxa"/>
            <w:noWrap w:val="0"/>
            <w:vAlign w:val="top"/>
          </w:tcPr>
          <w:p w14:paraId="4E2933E2">
            <w:pPr>
              <w:widowControl/>
              <w:kinsoku w:val="0"/>
              <w:autoSpaceDE w:val="0"/>
              <w:autoSpaceDN w:val="0"/>
              <w:adjustRightInd w:val="0"/>
              <w:snapToGrid w:val="0"/>
              <w:spacing w:before="84"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00" w:type="dxa"/>
            <w:noWrap w:val="0"/>
            <w:vAlign w:val="top"/>
          </w:tcPr>
          <w:p w14:paraId="6E48CB63">
            <w:pPr>
              <w:widowControl/>
              <w:kinsoku w:val="0"/>
              <w:autoSpaceDE w:val="0"/>
              <w:autoSpaceDN w:val="0"/>
              <w:adjustRightInd w:val="0"/>
              <w:snapToGrid w:val="0"/>
              <w:spacing w:before="84"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71" w:type="dxa"/>
            <w:noWrap w:val="0"/>
            <w:vAlign w:val="top"/>
          </w:tcPr>
          <w:p w14:paraId="44E505D9">
            <w:pPr>
              <w:widowControl/>
              <w:kinsoku w:val="0"/>
              <w:autoSpaceDE w:val="0"/>
              <w:autoSpaceDN w:val="0"/>
              <w:adjustRightInd w:val="0"/>
              <w:snapToGrid w:val="0"/>
              <w:spacing w:before="85"/>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bl>
    <w:p w14:paraId="51802D8C">
      <w:pPr>
        <w:widowControl/>
        <w:kinsoku w:val="0"/>
        <w:autoSpaceDE w:val="0"/>
        <w:autoSpaceDN w:val="0"/>
        <w:adjustRightInd w:val="0"/>
        <w:snapToGrid w:val="0"/>
        <w:spacing w:before="268"/>
        <w:ind w:firstLine="523"/>
        <w:textAlignment w:val="baseline"/>
        <w:rPr>
          <w:rFonts w:ascii="宋体" w:hAnsi="宋体" w:cs="宋体"/>
          <w:color w:val="auto"/>
          <w:sz w:val="20"/>
          <w:szCs w:val="20"/>
          <w:highlight w:val="none"/>
        </w:rPr>
      </w:pPr>
      <w:r>
        <w:rPr>
          <w:rFonts w:hint="eastAsia" w:ascii="宋体" w:hAnsi="宋体" w:cs="宋体"/>
          <w:snapToGrid w:val="0"/>
          <w:color w:val="auto"/>
          <w:spacing w:val="9"/>
          <w:kern w:val="0"/>
          <w:sz w:val="20"/>
          <w:szCs w:val="20"/>
          <w:highlight w:val="none"/>
        </w:rPr>
        <w:t>说明：上述标准参照《关于印发中小企业划</w:t>
      </w:r>
      <w:r>
        <w:rPr>
          <w:rFonts w:hint="eastAsia" w:ascii="宋体" w:hAnsi="宋体" w:cs="宋体"/>
          <w:snapToGrid w:val="0"/>
          <w:color w:val="auto"/>
          <w:spacing w:val="8"/>
          <w:kern w:val="0"/>
          <w:sz w:val="20"/>
          <w:szCs w:val="20"/>
          <w:highlight w:val="none"/>
        </w:rPr>
        <w:t>型标准规定的通知》（工信部联企业〔2011〕300号</w:t>
      </w:r>
      <w:r>
        <w:rPr>
          <w:rFonts w:hint="eastAsia" w:ascii="宋体" w:hAnsi="宋体" w:cs="宋体"/>
          <w:snapToGrid w:val="0"/>
          <w:color w:val="auto"/>
          <w:spacing w:val="-15"/>
          <w:kern w:val="0"/>
          <w:sz w:val="20"/>
          <w:szCs w:val="20"/>
          <w:highlight w:val="none"/>
        </w:rPr>
        <w:t>），</w:t>
      </w:r>
      <w:r>
        <w:rPr>
          <w:rFonts w:hint="eastAsia" w:ascii="宋体" w:hAnsi="宋体" w:cs="宋体"/>
          <w:snapToGrid w:val="0"/>
          <w:color w:val="auto"/>
          <w:spacing w:val="9"/>
          <w:kern w:val="0"/>
          <w:sz w:val="20"/>
          <w:szCs w:val="20"/>
          <w:highlight w:val="none"/>
        </w:rPr>
        <w:t>大型、中型和小型企业须同时满足所列指标的下限，否则下划一档；微型企业只须满足</w:t>
      </w:r>
      <w:r>
        <w:rPr>
          <w:rFonts w:hint="eastAsia" w:ascii="宋体" w:hAnsi="宋体" w:cs="宋体"/>
          <w:snapToGrid w:val="0"/>
          <w:color w:val="auto"/>
          <w:spacing w:val="8"/>
          <w:kern w:val="0"/>
          <w:sz w:val="20"/>
          <w:szCs w:val="20"/>
          <w:highlight w:val="none"/>
        </w:rPr>
        <w:t>所列指标中的一</w:t>
      </w:r>
      <w:r>
        <w:rPr>
          <w:rFonts w:hint="eastAsia" w:ascii="宋体" w:hAnsi="宋体" w:cs="宋体"/>
          <w:snapToGrid w:val="0"/>
          <w:color w:val="auto"/>
          <w:spacing w:val="4"/>
          <w:kern w:val="0"/>
          <w:sz w:val="20"/>
          <w:szCs w:val="20"/>
          <w:highlight w:val="none"/>
        </w:rPr>
        <w:t>项即可</w:t>
      </w:r>
      <w:r>
        <w:rPr>
          <w:rFonts w:hint="eastAsia"/>
          <w:color w:val="auto"/>
          <w:szCs w:val="21"/>
          <w:highlight w:val="none"/>
        </w:rPr>
        <w:t>。</w:t>
      </w:r>
    </w:p>
    <w:p w14:paraId="78F71DEC">
      <w:pPr>
        <w:spacing w:line="360" w:lineRule="auto"/>
        <w:ind w:firstLine="310" w:firstLineChars="147"/>
        <w:jc w:val="left"/>
        <w:rPr>
          <w:rFonts w:hint="eastAsia" w:ascii="宋体" w:hAnsi="宋体"/>
          <w:b/>
          <w:color w:val="auto"/>
          <w:szCs w:val="21"/>
          <w:highlight w:val="none"/>
        </w:rPr>
      </w:pPr>
    </w:p>
    <w:bookmarkEnd w:id="45"/>
    <w:bookmarkEnd w:id="46"/>
    <w:p w14:paraId="60DCEAA0">
      <w:pPr>
        <w:snapToGrid w:val="0"/>
        <w:jc w:val="center"/>
        <w:rPr>
          <w:rFonts w:hint="eastAsia" w:ascii="宋体" w:hAnsi="宋体"/>
          <w:color w:val="auto"/>
          <w:sz w:val="30"/>
          <w:szCs w:val="30"/>
          <w:highlight w:val="none"/>
        </w:rPr>
      </w:pPr>
    </w:p>
    <w:p w14:paraId="23B28BFE">
      <w:pPr>
        <w:widowControl/>
        <w:rPr>
          <w:rFonts w:ascii="宋体" w:hAnsi="宋体" w:cs="宋体"/>
          <w:color w:val="auto"/>
          <w:sz w:val="20"/>
          <w:szCs w:val="20"/>
          <w:highlight w:val="none"/>
        </w:rPr>
        <w:sectPr>
          <w:headerReference r:id="rId6" w:type="first"/>
          <w:footerReference r:id="rId8" w:type="first"/>
          <w:footerReference r:id="rId7" w:type="default"/>
          <w:pgSz w:w="11910" w:h="16840"/>
          <w:pgMar w:top="1179" w:right="1446" w:bottom="1071" w:left="1451" w:header="624" w:footer="624" w:gutter="0"/>
          <w:cols w:space="720" w:num="1"/>
          <w:titlePg/>
          <w:docGrid w:linePitch="286" w:charSpace="0"/>
        </w:sectPr>
      </w:pPr>
    </w:p>
    <w:p w14:paraId="03BF3E97">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pPr>
      <w:bookmarkStart w:id="49" w:name="_Toc9408"/>
      <w:bookmarkStart w:id="50" w:name="_Toc27675"/>
      <w:r>
        <w:rPr>
          <w:rFonts w:hint="eastAsia"/>
          <w:color w:val="auto"/>
          <w:highlight w:val="none"/>
        </w:rPr>
        <w:t>第三章  投标人须知</w:t>
      </w:r>
      <w:bookmarkEnd w:id="49"/>
      <w:bookmarkEnd w:id="50"/>
    </w:p>
    <w:p w14:paraId="43CF1C0F">
      <w:pPr>
        <w:jc w:val="center"/>
        <w:outlineLvl w:val="1"/>
        <w:rPr>
          <w:rFonts w:hint="eastAsia"/>
          <w:color w:val="auto"/>
          <w:sz w:val="36"/>
          <w:szCs w:val="36"/>
          <w:highlight w:val="none"/>
        </w:rPr>
      </w:pPr>
      <w:bookmarkStart w:id="51" w:name="_Toc7754"/>
      <w:bookmarkStart w:id="52" w:name="_Toc29367"/>
      <w:bookmarkStart w:id="53" w:name="_Toc254970667"/>
      <w:bookmarkStart w:id="54" w:name="_Toc254970526"/>
      <w:r>
        <w:rPr>
          <w:rFonts w:hint="eastAsia"/>
          <w:color w:val="auto"/>
          <w:sz w:val="36"/>
          <w:szCs w:val="36"/>
          <w:highlight w:val="none"/>
        </w:rPr>
        <w:t>投标人须知前附表</w:t>
      </w:r>
      <w:bookmarkEnd w:id="51"/>
      <w:bookmarkEnd w:id="52"/>
      <w:bookmarkEnd w:id="53"/>
      <w:bookmarkEnd w:id="54"/>
    </w:p>
    <w:tbl>
      <w:tblPr>
        <w:tblStyle w:val="4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47"/>
        <w:gridCol w:w="7881"/>
      </w:tblGrid>
      <w:tr w14:paraId="72BF02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4B42CF07">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条款号及内容</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265B0A11">
            <w:pPr>
              <w:snapToGrid w:val="0"/>
              <w:spacing w:line="400" w:lineRule="exact"/>
              <w:jc w:val="center"/>
              <w:rPr>
                <w:rFonts w:hint="eastAsia" w:ascii="宋体" w:hAnsi="宋体"/>
                <w:color w:val="auto"/>
                <w:szCs w:val="21"/>
                <w:highlight w:val="none"/>
              </w:rPr>
            </w:pPr>
            <w:r>
              <w:rPr>
                <w:rFonts w:hint="eastAsia" w:ascii="宋体" w:hAnsi="宋体"/>
                <w:color w:val="auto"/>
                <w:szCs w:val="21"/>
                <w:highlight w:val="none"/>
              </w:rPr>
              <w:t>编列内容</w:t>
            </w:r>
          </w:p>
        </w:tc>
      </w:tr>
      <w:tr w14:paraId="027D6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60A664C2">
            <w:pPr>
              <w:spacing w:line="400" w:lineRule="exact"/>
              <w:jc w:val="center"/>
              <w:rPr>
                <w:rFonts w:hint="eastAsia" w:ascii="宋体" w:hAnsi="宋体"/>
                <w:color w:val="auto"/>
                <w:szCs w:val="21"/>
                <w:highlight w:val="none"/>
              </w:rPr>
            </w:pPr>
            <w:r>
              <w:rPr>
                <w:rFonts w:hint="eastAsia" w:ascii="宋体" w:hAnsi="宋体"/>
                <w:color w:val="auto"/>
                <w:szCs w:val="21"/>
                <w:highlight w:val="none"/>
              </w:rPr>
              <w:t>3 投标人的资格要求</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23EF9D67">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投标人的资格要求详见招标公告。</w:t>
            </w:r>
          </w:p>
          <w:p w14:paraId="187A303F">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投标人出现下列情形之一的，不得参加政府采购活动：</w:t>
            </w:r>
          </w:p>
          <w:p w14:paraId="4D72AB28">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2.1</w:t>
            </w:r>
            <w:r>
              <w:rPr>
                <w:rFonts w:hint="eastAsia" w:ascii="宋体" w:hAnsi="宋体"/>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2A8417D">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2.2对在“信用中国”网站（www.creditchina.gov.cn）被列入重大税收违法失信主体或在“中国执行信息公开网”网站（https://zxgk.court.gov.cn/zhixing/）被列入失信被执行人或在中国政府采购网（www.ccgp.gov.cn）被列入政府采购严重违法失信行为记录名单及其他不符合《中华人民共和国政府采购法》第二十二条规定条件的供应商，不得参与政府采购活动。（以评审阶段通过“信用中国”网（www.creditchina.gov.cn）、中国执行信息公开网（https://zxgk.court.gov.cn/）、中国政府采购网（www.ccgp.gov.cn）查询的结果为准）</w:t>
            </w:r>
          </w:p>
        </w:tc>
      </w:tr>
      <w:tr w14:paraId="103A58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78573327">
            <w:pPr>
              <w:spacing w:line="400" w:lineRule="exact"/>
              <w:jc w:val="center"/>
              <w:rPr>
                <w:rFonts w:ascii="宋体" w:hAnsi="宋体"/>
                <w:color w:val="auto"/>
                <w:szCs w:val="21"/>
                <w:highlight w:val="none"/>
              </w:rPr>
            </w:pPr>
            <w:bookmarkStart w:id="55" w:name="_8.1"/>
            <w:bookmarkEnd w:id="55"/>
            <w:bookmarkStart w:id="56" w:name="_9.2"/>
            <w:bookmarkEnd w:id="56"/>
            <w:bookmarkStart w:id="57" w:name="_5"/>
            <w:bookmarkEnd w:id="57"/>
            <w:r>
              <w:rPr>
                <w:rFonts w:hint="eastAsia" w:ascii="宋体" w:hAnsi="宋体"/>
                <w:color w:val="auto"/>
                <w:szCs w:val="21"/>
                <w:highlight w:val="none"/>
              </w:rPr>
              <w:t>6.1联合体投标</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5CBEE2C8">
            <w:pPr>
              <w:pStyle w:val="16"/>
              <w:spacing w:line="400" w:lineRule="exact"/>
              <w:rPr>
                <w:rFonts w:hint="eastAsia" w:ascii="宋体" w:hAnsi="宋体"/>
                <w:color w:val="auto"/>
                <w:szCs w:val="21"/>
                <w:highlight w:val="none"/>
              </w:rPr>
            </w:pPr>
            <w:r>
              <w:rPr>
                <w:rFonts w:hint="eastAsia" w:ascii="宋体" w:hAnsi="宋体"/>
                <w:color w:val="auto"/>
                <w:szCs w:val="21"/>
                <w:highlight w:val="none"/>
              </w:rPr>
              <w:t>本项目是否接受联合体投标：详见招标公告。</w:t>
            </w:r>
          </w:p>
        </w:tc>
      </w:tr>
      <w:tr w14:paraId="55F088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5D37A45F">
            <w:pPr>
              <w:spacing w:line="400" w:lineRule="exact"/>
              <w:jc w:val="center"/>
              <w:rPr>
                <w:rFonts w:hint="eastAsia" w:ascii="宋体" w:hAnsi="宋体"/>
                <w:color w:val="auto"/>
                <w:szCs w:val="21"/>
                <w:highlight w:val="none"/>
              </w:rPr>
            </w:pPr>
            <w:r>
              <w:rPr>
                <w:rFonts w:ascii="宋体" w:hAnsi="宋体"/>
                <w:color w:val="auto"/>
                <w:szCs w:val="21"/>
                <w:highlight w:val="none"/>
              </w:rPr>
              <w:t>6.2</w:t>
            </w:r>
            <w:r>
              <w:rPr>
                <w:rFonts w:hint="eastAsia" w:ascii="宋体" w:hAnsi="宋体"/>
                <w:bCs/>
                <w:color w:val="auto"/>
                <w:szCs w:val="21"/>
                <w:highlight w:val="none"/>
              </w:rPr>
              <w:t>如接受联合体投标，联合体投标要求</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1C2CABA1">
            <w:pPr>
              <w:pStyle w:val="16"/>
              <w:spacing w:line="400" w:lineRule="exact"/>
              <w:rPr>
                <w:rFonts w:hint="eastAsia" w:ascii="宋体" w:hAnsi="宋体"/>
                <w:color w:val="auto"/>
                <w:szCs w:val="21"/>
                <w:highlight w:val="none"/>
              </w:rPr>
            </w:pPr>
            <w:bookmarkStart w:id="58" w:name="_Hlk54105293"/>
            <w:r>
              <w:rPr>
                <w:rFonts w:hint="eastAsia" w:ascii="宋体" w:hAnsi="宋体"/>
                <w:color w:val="auto"/>
                <w:szCs w:val="21"/>
                <w:highlight w:val="none"/>
              </w:rPr>
              <w:t>如接受联合体投标，</w:t>
            </w:r>
            <w:bookmarkEnd w:id="58"/>
            <w:r>
              <w:rPr>
                <w:rFonts w:hint="eastAsia" w:ascii="宋体" w:hAnsi="宋体"/>
                <w:color w:val="auto"/>
                <w:szCs w:val="21"/>
                <w:highlight w:val="none"/>
              </w:rPr>
              <w:t>联合体投标要求如下：</w:t>
            </w:r>
          </w:p>
          <w:p w14:paraId="26374258">
            <w:pPr>
              <w:pStyle w:val="16"/>
              <w:spacing w:line="400" w:lineRule="exac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两个以上投标人可以组成一个投标联合体，以一个投标人的身份共同参加投标。联合体投标的，须提供《联合体投标协议书》（格式见第六章）。</w:t>
            </w:r>
          </w:p>
          <w:p w14:paraId="387E9BB5">
            <w:pPr>
              <w:pStyle w:val="16"/>
              <w:spacing w:line="400" w:lineRule="exact"/>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5084E766">
            <w:pPr>
              <w:pStyle w:val="16"/>
              <w:spacing w:line="400" w:lineRule="exact"/>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联合体各方之间必须签订联合投标协议，协议书必须明确主体方（或者牵头方）并明确约定联合体各方承担的工作和相应的责任（各方承担责任与义务的分工必须符合采购需求，否则，</w:t>
            </w:r>
            <w:r>
              <w:rPr>
                <w:rFonts w:hint="eastAsia" w:ascii="宋体" w:hAnsi="宋体"/>
                <w:b/>
                <w:bCs/>
                <w:color w:val="auto"/>
                <w:szCs w:val="21"/>
                <w:highlight w:val="none"/>
              </w:rPr>
              <w:t>联合体投标无效</w:t>
            </w:r>
            <w:r>
              <w:rPr>
                <w:rFonts w:hint="eastAsia" w:ascii="宋体" w:hAnsi="宋体"/>
                <w:color w:val="auto"/>
                <w:szCs w:val="21"/>
                <w:highlight w:val="none"/>
              </w:rPr>
              <w:t>），并将联合投标协议放入投标文件。联合体各方必须共同与采购人签订采购合同，就采购合同约定的事项对采购人承担连带责任。</w:t>
            </w:r>
          </w:p>
          <w:p w14:paraId="1BC597FE">
            <w:pPr>
              <w:pStyle w:val="16"/>
              <w:spacing w:line="400" w:lineRule="exact"/>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以联合体形式参加政府采购活动的，联合体各方不得再单独参加或者与其他投标人另外组成联合体参加同一合同项下的政府采购活动。</w:t>
            </w:r>
          </w:p>
          <w:p w14:paraId="2F73F2C0">
            <w:pPr>
              <w:pStyle w:val="16"/>
              <w:spacing w:line="400" w:lineRule="exact"/>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联合体中有同类资质的投标人按照联合体分工承担相同工作的，应当按照资质等级较低的投标人确定资质等级。</w:t>
            </w:r>
          </w:p>
          <w:p w14:paraId="2AD5868B">
            <w:pPr>
              <w:pStyle w:val="16"/>
              <w:spacing w:line="400" w:lineRule="exact"/>
              <w:rPr>
                <w:rFonts w:hint="eastAsia" w:ascii="宋体" w:hAnsi="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w:t>
            </w:r>
            <w:r>
              <w:rPr>
                <w:rFonts w:hint="eastAsia" w:ascii="宋体" w:hAnsi="宋体"/>
                <w:color w:val="auto"/>
                <w:szCs w:val="21"/>
                <w:highlight w:val="none"/>
              </w:rPr>
              <w:t>联合体投标业绩、履约能力按照联合体各方其中较高的一方认定并计算（招标文件另有规定的除外）。</w:t>
            </w:r>
          </w:p>
          <w:p w14:paraId="0D6D8B01">
            <w:pPr>
              <w:pStyle w:val="16"/>
              <w:spacing w:line="400" w:lineRule="exact"/>
              <w:rPr>
                <w:rFonts w:hint="eastAsia" w:ascii="宋体" w:hAnsi="宋体"/>
                <w:color w:val="auto"/>
                <w:szCs w:val="21"/>
                <w:highlight w:val="non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rPr>
              <w:t>投标人为联合体的，可以由联合体中的一方或者多方共同交纳投标保证金，其交纳的保证金对联合体各方均具有约束力。</w:t>
            </w:r>
          </w:p>
          <w:p w14:paraId="2D7BF5B5">
            <w:pPr>
              <w:pStyle w:val="16"/>
              <w:spacing w:line="400" w:lineRule="exact"/>
              <w:rPr>
                <w:rFonts w:hint="eastAsia" w:ascii="宋体" w:hAnsi="宋体"/>
                <w:color w:val="auto"/>
                <w:szCs w:val="21"/>
                <w:highlight w:val="none"/>
              </w:rPr>
            </w:pPr>
            <w:r>
              <w:rPr>
                <w:rFonts w:hint="eastAsia" w:ascii="宋体" w:hAnsi="宋体"/>
                <w:color w:val="auto"/>
                <w:szCs w:val="21"/>
                <w:highlight w:val="none"/>
              </w:rPr>
              <w:t>8</w:t>
            </w:r>
            <w:r>
              <w:rPr>
                <w:rFonts w:ascii="宋体" w:hAnsi="宋体"/>
                <w:color w:val="auto"/>
                <w:szCs w:val="21"/>
                <w:highlight w:val="none"/>
              </w:rPr>
              <w:t>.</w:t>
            </w:r>
            <w:r>
              <w:rPr>
                <w:rFonts w:hint="eastAsia" w:ascii="宋体" w:hAnsi="宋体"/>
                <w:color w:val="auto"/>
                <w:szCs w:val="21"/>
                <w:highlight w:val="none"/>
              </w:rPr>
              <w:t>联合体各方均应按照招标文件的规定提交资格证明文件。</w:t>
            </w:r>
          </w:p>
        </w:tc>
      </w:tr>
      <w:tr w14:paraId="65ACF8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1245095A">
            <w:pPr>
              <w:spacing w:line="400" w:lineRule="exact"/>
              <w:jc w:val="center"/>
              <w:rPr>
                <w:rFonts w:ascii="宋体" w:hAnsi="宋体"/>
                <w:color w:val="auto"/>
                <w:szCs w:val="21"/>
                <w:highlight w:val="none"/>
              </w:rPr>
            </w:pPr>
            <w:r>
              <w:rPr>
                <w:rFonts w:hint="eastAsia" w:ascii="宋体" w:hAnsi="宋体"/>
                <w:color w:val="auto"/>
                <w:szCs w:val="21"/>
                <w:highlight w:val="none"/>
              </w:rPr>
              <w:t>7.2 本项目是否允许分包</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2A394EB9">
            <w:pPr>
              <w:pStyle w:val="16"/>
              <w:spacing w:line="400" w:lineRule="exact"/>
              <w:jc w:val="both"/>
              <w:rPr>
                <w:rFonts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不允许分包</w:t>
            </w:r>
          </w:p>
          <w:p w14:paraId="5738E56A">
            <w:pPr>
              <w:pStyle w:val="16"/>
              <w:spacing w:line="400" w:lineRule="exact"/>
              <w:jc w:val="both"/>
              <w:rPr>
                <w:rFonts w:hint="eastAsia" w:ascii="宋体" w:hAnsi="宋体"/>
                <w:color w:val="auto"/>
                <w:szCs w:val="21"/>
                <w:highlight w:val="none"/>
              </w:rPr>
            </w:pPr>
            <w:r>
              <w:rPr>
                <w:rFonts w:hint="eastAsia" w:ascii="宋体" w:hAnsi="宋体"/>
                <w:color w:val="auto"/>
                <w:szCs w:val="21"/>
                <w:highlight w:val="none"/>
              </w:rPr>
              <w:t>□允许分包</w:t>
            </w:r>
          </w:p>
          <w:p w14:paraId="1FE34033">
            <w:pPr>
              <w:pStyle w:val="16"/>
              <w:spacing w:line="400" w:lineRule="exact"/>
              <w:jc w:val="both"/>
              <w:rPr>
                <w:rFonts w:hint="eastAsia" w:ascii="宋体" w:hAnsi="宋体"/>
                <w:color w:val="auto"/>
                <w:szCs w:val="21"/>
                <w:highlight w:val="none"/>
                <w:u w:val="single"/>
              </w:rPr>
            </w:pPr>
            <w:r>
              <w:rPr>
                <w:rFonts w:hint="eastAsia" w:ascii="宋体" w:hAnsi="宋体"/>
                <w:color w:val="auto"/>
                <w:szCs w:val="21"/>
                <w:highlight w:val="none"/>
              </w:rPr>
              <w:t>分包内容：</w:t>
            </w:r>
            <w:r>
              <w:rPr>
                <w:rFonts w:hint="eastAsia" w:ascii="宋体" w:hAnsi="宋体"/>
                <w:color w:val="auto"/>
                <w:szCs w:val="21"/>
                <w:highlight w:val="none"/>
                <w:u w:val="single"/>
              </w:rPr>
              <w:t xml:space="preserve"> / 。</w:t>
            </w:r>
          </w:p>
          <w:p w14:paraId="3CB78958">
            <w:pPr>
              <w:pStyle w:val="16"/>
              <w:spacing w:line="400" w:lineRule="exact"/>
              <w:jc w:val="both"/>
              <w:rPr>
                <w:rFonts w:hint="eastAsia" w:ascii="宋体" w:hAnsi="宋体"/>
                <w:color w:val="auto"/>
                <w:szCs w:val="21"/>
                <w:highlight w:val="none"/>
                <w:u w:val="single"/>
              </w:rPr>
            </w:pPr>
            <w:r>
              <w:rPr>
                <w:rFonts w:hint="eastAsia" w:ascii="宋体" w:hAnsi="宋体"/>
                <w:color w:val="auto"/>
                <w:szCs w:val="21"/>
                <w:highlight w:val="none"/>
              </w:rPr>
              <w:t>分包金额或者比例：</w:t>
            </w:r>
            <w:r>
              <w:rPr>
                <w:rFonts w:hint="eastAsia" w:ascii="宋体" w:hAnsi="宋体"/>
                <w:color w:val="auto"/>
                <w:szCs w:val="21"/>
                <w:highlight w:val="none"/>
                <w:u w:val="single"/>
              </w:rPr>
              <w:t xml:space="preserve"> / 。</w:t>
            </w:r>
          </w:p>
        </w:tc>
      </w:tr>
      <w:tr w14:paraId="78CEB3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3DBE74A3">
            <w:pPr>
              <w:spacing w:line="400" w:lineRule="exact"/>
              <w:jc w:val="center"/>
              <w:rPr>
                <w:rFonts w:hint="eastAsia" w:ascii="宋体" w:hAnsi="宋体"/>
                <w:color w:val="auto"/>
                <w:szCs w:val="21"/>
                <w:highlight w:val="none"/>
              </w:rPr>
            </w:pPr>
            <w:r>
              <w:rPr>
                <w:rFonts w:hint="eastAsia" w:ascii="宋体" w:hAnsi="宋体"/>
                <w:color w:val="auto"/>
                <w:szCs w:val="21"/>
                <w:highlight w:val="none"/>
              </w:rPr>
              <w:t>8.1特别说明</w:t>
            </w:r>
          </w:p>
          <w:p w14:paraId="5B9C66D4">
            <w:pPr>
              <w:spacing w:line="400" w:lineRule="exact"/>
              <w:jc w:val="center"/>
              <w:rPr>
                <w:rFonts w:ascii="宋体" w:hAnsi="宋体"/>
                <w:color w:val="auto"/>
                <w:szCs w:val="21"/>
                <w:highlight w:val="none"/>
              </w:rPr>
            </w:pPr>
            <w:r>
              <w:rPr>
                <w:rFonts w:hint="eastAsia" w:ascii="宋体" w:hAnsi="宋体"/>
                <w:color w:val="auto"/>
                <w:szCs w:val="21"/>
                <w:highlight w:val="none"/>
              </w:rPr>
              <w:t>相同品牌产品</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2C65DE47">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采用综合评分法的采购项目，提供相同品牌产品（非单一产品采购项目的，指核心产品）的不同投标人评审得分相同时，按照下列方式确定一个投标人获得中标人推荐资格：</w:t>
            </w:r>
          </w:p>
          <w:p w14:paraId="5CD1B817">
            <w:pPr>
              <w:autoSpaceDE w:val="0"/>
              <w:autoSpaceDN w:val="0"/>
              <w:snapToGrid w:val="0"/>
              <w:spacing w:line="400" w:lineRule="exact"/>
              <w:textAlignment w:val="bottom"/>
              <w:rPr>
                <w:rFonts w:hint="eastAsia"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依次按投标报价低的优先、政策分得分高的优先、技术评分高的优先、商务评分高的优先、产品有效期长优先、交货期短优先、服务响应时间短优先、服务方案佳优先的顺序推荐；</w:t>
            </w:r>
          </w:p>
          <w:p w14:paraId="30063B57">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□随机抽取。</w:t>
            </w:r>
          </w:p>
        </w:tc>
      </w:tr>
      <w:tr w14:paraId="0ECFD7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1FE1014C">
            <w:pPr>
              <w:spacing w:line="400" w:lineRule="exact"/>
              <w:jc w:val="center"/>
              <w:rPr>
                <w:rFonts w:hint="eastAsia" w:ascii="宋体" w:hAnsi="宋体"/>
                <w:color w:val="auto"/>
                <w:szCs w:val="21"/>
                <w:highlight w:val="none"/>
              </w:rPr>
            </w:pPr>
            <w:r>
              <w:rPr>
                <w:rFonts w:hint="eastAsia" w:ascii="宋体" w:hAnsi="宋体"/>
                <w:color w:val="auto"/>
                <w:szCs w:val="21"/>
                <w:highlight w:val="none"/>
              </w:rPr>
              <w:t>8.5特别说明</w:t>
            </w:r>
          </w:p>
          <w:p w14:paraId="63ACD96E">
            <w:pPr>
              <w:spacing w:line="400" w:lineRule="exact"/>
              <w:jc w:val="center"/>
              <w:rPr>
                <w:rFonts w:ascii="宋体" w:hAnsi="宋体"/>
                <w:color w:val="auto"/>
                <w:szCs w:val="21"/>
                <w:highlight w:val="none"/>
              </w:rPr>
            </w:pPr>
            <w:r>
              <w:rPr>
                <w:rFonts w:hint="eastAsia" w:ascii="宋体" w:hAnsi="宋体"/>
                <w:color w:val="auto"/>
                <w:szCs w:val="21"/>
                <w:highlight w:val="none"/>
              </w:rPr>
              <w:t>本国产品</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066A63E3">
            <w:pPr>
              <w:pStyle w:val="7"/>
              <w:spacing w:line="360" w:lineRule="auto"/>
              <w:rPr>
                <w:color w:val="auto"/>
                <w:highlight w:val="none"/>
              </w:rPr>
            </w:pPr>
            <w:r>
              <w:rPr>
                <w:rFonts w:hint="eastAsia"/>
                <w:color w:val="auto"/>
                <w:highlight w:val="none"/>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6F048F3">
            <w:pPr>
              <w:pStyle w:val="7"/>
              <w:spacing w:line="360" w:lineRule="auto"/>
              <w:rPr>
                <w:color w:val="auto"/>
                <w:highlight w:val="none"/>
              </w:rPr>
            </w:pPr>
            <w:r>
              <w:rPr>
                <w:rFonts w:hint="eastAsia"/>
                <w:color w:val="auto"/>
                <w:highlight w:val="none"/>
              </w:rPr>
              <w:t>产品在中国境内生产的组件成本占比应当达到规定比例，计算公式为：</w:t>
            </w:r>
          </w:p>
          <w:p w14:paraId="5B09F788">
            <w:pPr>
              <w:widowControl/>
              <w:shd w:val="clear" w:color="auto" w:fill="FFFFFF"/>
              <w:spacing w:before="30" w:after="30" w:line="360" w:lineRule="auto"/>
              <w:jc w:val="center"/>
              <w:rPr>
                <w:rFonts w:hint="eastAsia"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3665855" cy="579120"/>
                  <wp:effectExtent l="0" t="0" r="698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3665855" cy="579120"/>
                          </a:xfrm>
                          <a:prstGeom prst="rect">
                            <a:avLst/>
                          </a:prstGeom>
                          <a:noFill/>
                          <a:ln>
                            <a:noFill/>
                          </a:ln>
                        </pic:spPr>
                      </pic:pic>
                    </a:graphicData>
                  </a:graphic>
                </wp:inline>
              </w:drawing>
            </w:r>
          </w:p>
          <w:p w14:paraId="3236A082">
            <w:pPr>
              <w:pStyle w:val="7"/>
              <w:spacing w:line="360" w:lineRule="auto"/>
              <w:rPr>
                <w:rFonts w:hint="eastAsia"/>
                <w:color w:val="auto"/>
                <w:highlight w:val="none"/>
              </w:rPr>
            </w:pPr>
            <w:r>
              <w:rPr>
                <w:rFonts w:hint="eastAsia"/>
                <w:color w:val="auto"/>
                <w:highlight w:val="none"/>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64AC5548">
            <w:pPr>
              <w:pStyle w:val="7"/>
              <w:spacing w:line="360" w:lineRule="auto"/>
              <w:rPr>
                <w:color w:val="auto"/>
                <w:highlight w:val="none"/>
              </w:rPr>
            </w:pPr>
            <w:r>
              <w:rPr>
                <w:rFonts w:hint="eastAsia"/>
                <w:color w:val="auto"/>
                <w:highlight w:val="none"/>
              </w:rPr>
              <w:t>政府采购活动中既有本国产品又有非本国产品参与竞争的，依法对本国产品给予价格评审优惠，对本国产品的报价给予20%的价格扣除，用扣除后的价格参与评审。</w:t>
            </w:r>
          </w:p>
          <w:p w14:paraId="41DB8D6E">
            <w:pPr>
              <w:pStyle w:val="7"/>
              <w:spacing w:line="360" w:lineRule="auto"/>
              <w:rPr>
                <w:rFonts w:hint="eastAsia" w:ascii="宋体" w:hAnsi="宋体"/>
                <w:color w:val="auto"/>
                <w:szCs w:val="21"/>
                <w:highlight w:val="none"/>
              </w:rPr>
            </w:pPr>
            <w:r>
              <w:rPr>
                <w:rFonts w:hint="eastAsia"/>
                <w:color w:val="auto"/>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tc>
      </w:tr>
      <w:tr w14:paraId="35BA15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vMerge w:val="restart"/>
            <w:tcBorders>
              <w:top w:val="single" w:color="auto" w:sz="4" w:space="0"/>
              <w:left w:val="single" w:color="auto" w:sz="4" w:space="0"/>
              <w:right w:val="single" w:color="auto" w:sz="4" w:space="0"/>
            </w:tcBorders>
            <w:noWrap w:val="0"/>
            <w:vAlign w:val="center"/>
          </w:tcPr>
          <w:p w14:paraId="1D6B0FEF">
            <w:pPr>
              <w:spacing w:line="400" w:lineRule="exact"/>
              <w:jc w:val="center"/>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1.2</w:t>
            </w:r>
            <w:r>
              <w:rPr>
                <w:rFonts w:hint="eastAsia" w:hAnsi="宋体"/>
                <w:color w:val="auto"/>
                <w:highlight w:val="none"/>
              </w:rPr>
              <w:t>现场考察或者召开开标前答疑会</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5F984B1E">
            <w:pPr>
              <w:snapToGrid w:val="0"/>
              <w:spacing w:line="400" w:lineRule="exact"/>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不组织现场考察</w:t>
            </w:r>
          </w:p>
          <w:p w14:paraId="70D6DE2D">
            <w:pPr>
              <w:snapToGrid w:val="0"/>
              <w:spacing w:line="400" w:lineRule="exact"/>
              <w:rPr>
                <w:rFonts w:ascii="宋体" w:hAnsi="宋体"/>
                <w:color w:val="auto"/>
                <w:szCs w:val="21"/>
                <w:highlight w:val="none"/>
              </w:rPr>
            </w:pPr>
            <w:r>
              <w:rPr>
                <w:rFonts w:hint="eastAsia" w:ascii="宋体" w:hAnsi="宋体"/>
                <w:color w:val="auto"/>
                <w:szCs w:val="21"/>
                <w:highlight w:val="none"/>
              </w:rPr>
              <w:t>□组织现场考察：</w:t>
            </w:r>
          </w:p>
          <w:p w14:paraId="4A9EF7B0">
            <w:pPr>
              <w:snapToGrid w:val="0"/>
              <w:spacing w:line="400" w:lineRule="exact"/>
              <w:rPr>
                <w:rFonts w:ascii="宋体" w:hAnsi="宋体"/>
                <w:color w:val="auto"/>
                <w:szCs w:val="21"/>
                <w:highlight w:val="none"/>
                <w:u w:val="single"/>
              </w:rPr>
            </w:pPr>
            <w:r>
              <w:rPr>
                <w:rFonts w:hint="eastAsia" w:ascii="宋体" w:hAnsi="宋体"/>
                <w:color w:val="auto"/>
                <w:szCs w:val="21"/>
                <w:highlight w:val="none"/>
              </w:rPr>
              <w:t>集中时间：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分</w:t>
            </w:r>
            <w:r>
              <w:rPr>
                <w:rFonts w:hint="eastAsia" w:ascii="宋体" w:hAnsi="宋体"/>
                <w:color w:val="auto"/>
                <w:szCs w:val="21"/>
                <w:highlight w:val="none"/>
              </w:rPr>
              <w:t>，逾时后果自负。集中地点：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09E15662">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；联系电话：</w:t>
            </w:r>
            <w:r>
              <w:rPr>
                <w:rFonts w:ascii="宋体" w:hAnsi="宋体"/>
                <w:color w:val="auto"/>
                <w:szCs w:val="21"/>
                <w:highlight w:val="none"/>
                <w:u w:val="single"/>
              </w:rPr>
              <w:t xml:space="preserve"> /</w:t>
            </w:r>
          </w:p>
        </w:tc>
      </w:tr>
      <w:tr w14:paraId="63A71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vMerge w:val="continue"/>
            <w:tcBorders>
              <w:left w:val="single" w:color="auto" w:sz="4" w:space="0"/>
              <w:bottom w:val="single" w:color="auto" w:sz="4" w:space="0"/>
              <w:right w:val="single" w:color="auto" w:sz="4" w:space="0"/>
            </w:tcBorders>
            <w:noWrap w:val="0"/>
            <w:vAlign w:val="center"/>
          </w:tcPr>
          <w:p w14:paraId="4457B4CA">
            <w:pPr>
              <w:spacing w:line="400" w:lineRule="exact"/>
              <w:jc w:val="center"/>
              <w:rPr>
                <w:rFonts w:hint="eastAsia" w:ascii="宋体" w:hAnsi="宋体"/>
                <w:color w:val="auto"/>
                <w:szCs w:val="21"/>
                <w:highlight w:val="none"/>
              </w:rPr>
            </w:pPr>
          </w:p>
        </w:tc>
        <w:tc>
          <w:tcPr>
            <w:tcW w:w="7950" w:type="dxa"/>
            <w:tcBorders>
              <w:top w:val="single" w:color="auto" w:sz="4" w:space="0"/>
              <w:left w:val="single" w:color="auto" w:sz="4" w:space="0"/>
              <w:bottom w:val="single" w:color="auto" w:sz="4" w:space="0"/>
              <w:right w:val="single" w:color="auto" w:sz="4" w:space="0"/>
            </w:tcBorders>
            <w:noWrap w:val="0"/>
            <w:vAlign w:val="center"/>
          </w:tcPr>
          <w:p w14:paraId="10C60C1E">
            <w:pPr>
              <w:snapToGrid w:val="0"/>
              <w:spacing w:line="400" w:lineRule="exact"/>
              <w:rPr>
                <w:rFonts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不组织召开开标前答疑会</w:t>
            </w:r>
          </w:p>
          <w:p w14:paraId="2D715DBD">
            <w:pPr>
              <w:snapToGrid w:val="0"/>
              <w:spacing w:line="400" w:lineRule="exact"/>
              <w:rPr>
                <w:rFonts w:ascii="宋体" w:hAnsi="宋体"/>
                <w:color w:val="auto"/>
                <w:szCs w:val="21"/>
                <w:highlight w:val="none"/>
              </w:rPr>
            </w:pPr>
            <w:r>
              <w:rPr>
                <w:rFonts w:hint="eastAsia" w:ascii="宋体" w:hAnsi="宋体"/>
                <w:color w:val="auto"/>
                <w:szCs w:val="21"/>
                <w:highlight w:val="none"/>
              </w:rPr>
              <w:t>□组织召开开标前答疑会</w:t>
            </w:r>
          </w:p>
          <w:p w14:paraId="0222E1CD">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会议开始时间：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，逾期后果自负。会议地点：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14:paraId="0A80A8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vMerge w:val="restart"/>
            <w:tcBorders>
              <w:top w:val="single" w:color="auto" w:sz="4" w:space="0"/>
              <w:left w:val="single" w:color="auto" w:sz="4" w:space="0"/>
              <w:right w:val="single" w:color="auto" w:sz="4" w:space="0"/>
            </w:tcBorders>
            <w:noWrap w:val="0"/>
            <w:vAlign w:val="center"/>
          </w:tcPr>
          <w:p w14:paraId="23A30E11">
            <w:pPr>
              <w:spacing w:line="400" w:lineRule="exact"/>
              <w:jc w:val="center"/>
              <w:rPr>
                <w:rFonts w:hint="eastAsia" w:ascii="宋体" w:hAnsi="宋体"/>
                <w:color w:val="auto"/>
                <w:szCs w:val="21"/>
                <w:highlight w:val="none"/>
              </w:rPr>
            </w:pPr>
            <w:bookmarkStart w:id="59" w:name="_13.1"/>
            <w:bookmarkEnd w:id="59"/>
            <w:r>
              <w:rPr>
                <w:rFonts w:hint="eastAsia" w:ascii="宋体" w:hAnsi="宋体"/>
                <w:color w:val="auto"/>
                <w:szCs w:val="21"/>
                <w:highlight w:val="none"/>
              </w:rPr>
              <w:t>13投标文件的组成</w:t>
            </w:r>
          </w:p>
        </w:tc>
        <w:tc>
          <w:tcPr>
            <w:tcW w:w="7950"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7D0E4B4">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报价文件：</w:t>
            </w:r>
          </w:p>
          <w:p w14:paraId="3040B181">
            <w:pPr>
              <w:tabs>
                <w:tab w:val="left" w:pos="459"/>
              </w:tabs>
              <w:snapToGrid w:val="0"/>
              <w:spacing w:line="400" w:lineRule="exact"/>
              <w:ind w:left="420"/>
              <w:jc w:val="left"/>
              <w:rPr>
                <w:rFonts w:hint="eastAsia" w:ascii="宋体" w:hAnsi="宋体"/>
                <w:color w:val="auto"/>
                <w:szCs w:val="21"/>
                <w:highlight w:val="none"/>
              </w:rPr>
            </w:pPr>
            <w:r>
              <w:rPr>
                <w:rFonts w:hint="eastAsia" w:ascii="宋体" w:hAnsi="宋体"/>
                <w:color w:val="auto"/>
                <w:szCs w:val="21"/>
                <w:highlight w:val="none"/>
              </w:rPr>
              <w:t>1.投标函（格式见第六章）；</w:t>
            </w:r>
            <w:r>
              <w:rPr>
                <w:rFonts w:hint="eastAsia" w:ascii="宋体" w:hAnsi="宋体"/>
                <w:b/>
                <w:color w:val="auto"/>
                <w:szCs w:val="21"/>
                <w:highlight w:val="none"/>
              </w:rPr>
              <w:t>（必须提供，否则按无效投标处理）</w:t>
            </w:r>
          </w:p>
          <w:p w14:paraId="599A2F40">
            <w:pPr>
              <w:tabs>
                <w:tab w:val="left" w:pos="0"/>
              </w:tabs>
              <w:snapToGrid w:val="0"/>
              <w:spacing w:line="400" w:lineRule="exact"/>
              <w:ind w:firstLine="420" w:firstLineChars="200"/>
              <w:jc w:val="left"/>
              <w:rPr>
                <w:rFonts w:hint="eastAsia" w:ascii="宋体" w:hAnsi="宋体"/>
                <w:color w:val="auto"/>
                <w:szCs w:val="21"/>
                <w:highlight w:val="none"/>
              </w:rPr>
            </w:pPr>
            <w:bookmarkStart w:id="60" w:name="_Hlk71299233"/>
            <w:r>
              <w:rPr>
                <w:rFonts w:hint="eastAsia" w:ascii="宋体" w:hAnsi="宋体"/>
                <w:color w:val="auto"/>
                <w:szCs w:val="21"/>
                <w:highlight w:val="none"/>
              </w:rPr>
              <w:t>2.开标一览表</w:t>
            </w:r>
            <w:bookmarkEnd w:id="60"/>
            <w:r>
              <w:rPr>
                <w:rFonts w:hint="eastAsia" w:ascii="宋体" w:hAnsi="宋体"/>
                <w:color w:val="auto"/>
                <w:szCs w:val="21"/>
                <w:highlight w:val="none"/>
              </w:rPr>
              <w:t>（格式见第六章）；（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03D837AF">
            <w:pPr>
              <w:tabs>
                <w:tab w:val="left" w:pos="0"/>
              </w:tabs>
              <w:snapToGrid w:val="0"/>
              <w:spacing w:line="36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3.供应商享受中小企业扶持政策的材料（</w:t>
            </w:r>
            <w:r>
              <w:rPr>
                <w:rFonts w:hint="eastAsia" w:ascii="宋体" w:hAnsi="宋体"/>
                <w:b/>
                <w:bCs/>
                <w:color w:val="auto"/>
                <w:szCs w:val="21"/>
                <w:highlight w:val="none"/>
              </w:rPr>
              <w:t>供应商根据自身响应情况，提供以下任意一项材料以证明自身可享受中小企业扶持政策）</w:t>
            </w:r>
            <w:r>
              <w:rPr>
                <w:rFonts w:hint="eastAsia" w:ascii="宋体" w:hAnsi="宋体"/>
                <w:color w:val="auto"/>
                <w:szCs w:val="21"/>
                <w:highlight w:val="none"/>
              </w:rPr>
              <w:t>：</w:t>
            </w:r>
          </w:p>
          <w:p w14:paraId="4BA5C40F">
            <w:pPr>
              <w:tabs>
                <w:tab w:val="left" w:pos="0"/>
              </w:tabs>
              <w:snapToGrid w:val="0"/>
              <w:spacing w:line="36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（1）《中小企业声明函》（格式后附）；</w:t>
            </w:r>
          </w:p>
          <w:p w14:paraId="72C758CC">
            <w:pPr>
              <w:tabs>
                <w:tab w:val="left" w:pos="0"/>
              </w:tabs>
              <w:snapToGrid w:val="0"/>
              <w:spacing w:line="36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（2）《残疾人福利性单位声明函》（格式后附）；</w:t>
            </w:r>
          </w:p>
          <w:p w14:paraId="624C3663">
            <w:pPr>
              <w:tabs>
                <w:tab w:val="left" w:pos="0"/>
              </w:tabs>
              <w:snapToGrid w:val="0"/>
              <w:spacing w:line="36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（3）省级以上监狱管理局、戒毒管理局(含新疆生产建设兵团)出具的属于监狱企业的证明文件； </w:t>
            </w:r>
          </w:p>
          <w:p w14:paraId="64C8BC31">
            <w:pPr>
              <w:tabs>
                <w:tab w:val="left" w:pos="0"/>
              </w:tabs>
              <w:snapToGrid w:val="0"/>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4.《关于符合本国产品标准的声明函》或者财政部会同有关部门规定的有关证明文件；</w:t>
            </w:r>
            <w:r>
              <w:rPr>
                <w:rFonts w:hint="eastAsia" w:ascii="宋体" w:hAnsi="宋体"/>
                <w:b/>
                <w:bCs/>
                <w:color w:val="auto"/>
                <w:szCs w:val="21"/>
                <w:highlight w:val="none"/>
              </w:rPr>
              <w:t>（供应商根据自身响应情况出具）</w:t>
            </w:r>
          </w:p>
          <w:p w14:paraId="04FA8995">
            <w:pPr>
              <w:tabs>
                <w:tab w:val="left" w:pos="0"/>
              </w:tabs>
              <w:snapToGrid w:val="0"/>
              <w:spacing w:line="36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5.投标人针对报价需要说明的其他文件和说明（格式自拟）。</w:t>
            </w:r>
          </w:p>
          <w:p w14:paraId="3D55CB9B">
            <w:pPr>
              <w:tabs>
                <w:tab w:val="left" w:pos="420"/>
              </w:tabs>
              <w:snapToGrid w:val="0"/>
              <w:spacing w:line="40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注：以上标明“必须提供”的材料，格式中有要求法定代表人或者委托代理人</w:t>
            </w:r>
            <w:r>
              <w:rPr>
                <w:rFonts w:hint="eastAsia" w:ascii="宋体" w:hAnsi="宋体" w:eastAsia="宋体" w:cs="Times New Roman"/>
                <w:b/>
                <w:color w:val="auto"/>
                <w:szCs w:val="21"/>
                <w:highlight w:val="none"/>
              </w:rPr>
              <w:t>签</w:t>
            </w:r>
            <w:r>
              <w:rPr>
                <w:rFonts w:hint="eastAsia" w:ascii="宋体" w:hAnsi="宋体" w:eastAsia="宋体" w:cs="Times New Roman"/>
                <w:b/>
                <w:color w:val="auto"/>
                <w:szCs w:val="21"/>
                <w:highlight w:val="none"/>
                <w:lang w:val="en-US" w:eastAsia="zh-CN"/>
              </w:rPr>
              <w:t>字</w:t>
            </w:r>
            <w:r>
              <w:rPr>
                <w:rFonts w:hint="eastAsia" w:ascii="宋体" w:hAnsi="宋体"/>
                <w:b/>
                <w:color w:val="auto"/>
                <w:szCs w:val="21"/>
                <w:highlight w:val="none"/>
              </w:rPr>
              <w:t>的，必须按要求</w:t>
            </w:r>
            <w:r>
              <w:rPr>
                <w:rFonts w:hint="eastAsia" w:ascii="宋体" w:hAnsi="宋体"/>
                <w:b/>
                <w:bCs/>
                <w:color w:val="auto"/>
                <w:szCs w:val="21"/>
                <w:highlight w:val="none"/>
              </w:rPr>
              <w:t>签字（或者电子签名）</w:t>
            </w:r>
            <w:r>
              <w:rPr>
                <w:rFonts w:hint="eastAsia" w:ascii="宋体" w:hAnsi="宋体"/>
                <w:b/>
                <w:bCs/>
                <w:color w:val="auto"/>
                <w:szCs w:val="21"/>
                <w:highlight w:val="none"/>
                <w:lang w:val="en-US" w:eastAsia="zh-CN"/>
              </w:rPr>
              <w:t>盖章，</w:t>
            </w:r>
            <w:r>
              <w:rPr>
                <w:rFonts w:hint="eastAsia" w:ascii="宋体" w:hAnsi="宋体"/>
                <w:b/>
                <w:color w:val="auto"/>
                <w:szCs w:val="21"/>
                <w:highlight w:val="none"/>
              </w:rPr>
              <w:t>并加盖投标人电子签章，否则按无效投标处理。</w:t>
            </w:r>
          </w:p>
        </w:tc>
      </w:tr>
      <w:tr w14:paraId="58F8B4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vMerge w:val="continue"/>
            <w:tcBorders>
              <w:left w:val="single" w:color="auto" w:sz="4" w:space="0"/>
              <w:right w:val="single" w:color="auto" w:sz="4" w:space="0"/>
            </w:tcBorders>
            <w:noWrap w:val="0"/>
            <w:vAlign w:val="center"/>
          </w:tcPr>
          <w:p w14:paraId="7F5AE3B6">
            <w:pPr>
              <w:spacing w:line="400" w:lineRule="exact"/>
              <w:rPr>
                <w:rFonts w:hint="eastAsia" w:ascii="宋体" w:hAnsi="宋体"/>
                <w:color w:val="auto"/>
                <w:szCs w:val="21"/>
                <w:highlight w:val="none"/>
              </w:rPr>
            </w:pPr>
            <w:bookmarkStart w:id="61" w:name="_13.2"/>
            <w:bookmarkEnd w:id="61"/>
          </w:p>
        </w:tc>
        <w:tc>
          <w:tcPr>
            <w:tcW w:w="7950"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CAF1AF8">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资格证明文件（投标人所提供的材料不完整，或模糊不清以致关键信息无法辨认的，责任自负）：</w:t>
            </w:r>
          </w:p>
          <w:p w14:paraId="204D2C6C">
            <w:pPr>
              <w:snapToGrid w:val="0"/>
              <w:spacing w:line="400" w:lineRule="exact"/>
              <w:ind w:firstLine="420" w:firstLineChars="200"/>
              <w:jc w:val="left"/>
              <w:rPr>
                <w:rFonts w:ascii="宋体" w:hAnsi="宋体" w:cs="Courier New"/>
                <w:b/>
                <w:color w:val="auto"/>
                <w:szCs w:val="21"/>
                <w:highlight w:val="none"/>
              </w:rPr>
            </w:pPr>
            <w:r>
              <w:rPr>
                <w:rFonts w:hint="eastAsia" w:ascii="宋体" w:hAnsi="宋体"/>
                <w:color w:val="auto"/>
                <w:szCs w:val="21"/>
                <w:highlight w:val="none"/>
              </w:rPr>
              <w:t>1.投标人为法人或者其他组织的，提供营业执照等证明文件复印件</w:t>
            </w:r>
            <w:r>
              <w:rPr>
                <w:rFonts w:hint="eastAsia" w:ascii="宋体" w:hAnsi="宋体" w:cs="宋体"/>
                <w:color w:val="auto"/>
                <w:szCs w:val="21"/>
                <w:highlight w:val="none"/>
              </w:rPr>
              <w:t>（如营业执照或者事业单位法人证书或者</w:t>
            </w:r>
            <w:r>
              <w:rPr>
                <w:rFonts w:hint="eastAsia" w:ascii="宋体" w:hAnsi="宋体" w:eastAsia="宋体" w:cs="Times New Roman"/>
                <w:color w:val="auto"/>
                <w:szCs w:val="21"/>
                <w:highlight w:val="none"/>
              </w:rPr>
              <w:t>执业许可证</w:t>
            </w:r>
            <w:r>
              <w:rPr>
                <w:rFonts w:hint="eastAsia" w:ascii="宋体" w:hAnsi="宋体" w:cs="宋体"/>
                <w:color w:val="auto"/>
                <w:szCs w:val="21"/>
                <w:highlight w:val="none"/>
              </w:rPr>
              <w:t>或者登记证书等）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111F12A4">
            <w:pPr>
              <w:snapToGrid w:val="0"/>
              <w:spacing w:line="400" w:lineRule="exact"/>
              <w:ind w:firstLine="420" w:firstLineChars="200"/>
              <w:jc w:val="left"/>
              <w:rPr>
                <w:rFonts w:hint="eastAsia" w:ascii="宋体" w:hAnsi="宋体" w:cs="Courier New"/>
                <w:b/>
                <w:color w:val="auto"/>
                <w:szCs w:val="21"/>
                <w:highlight w:val="none"/>
              </w:rPr>
            </w:pPr>
            <w:r>
              <w:rPr>
                <w:rFonts w:hint="eastAsia" w:ascii="宋体" w:hAnsi="宋体" w:cs="宋体"/>
                <w:color w:val="auto"/>
                <w:szCs w:val="21"/>
                <w:highlight w:val="none"/>
              </w:rPr>
              <w:t>2.投标人依法缴纳税收的相关材料（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1</w:t>
            </w:r>
            <w:r>
              <w:rPr>
                <w:rFonts w:hint="eastAsia" w:ascii="宋体" w:hAnsi="宋体" w:cs="宋体"/>
                <w:color w:val="auto"/>
                <w:szCs w:val="21"/>
                <w:highlight w:val="none"/>
                <w:u w:val="single"/>
              </w:rPr>
              <w:t xml:space="preserve">0 </w:t>
            </w:r>
            <w:r>
              <w:rPr>
                <w:rFonts w:hint="eastAsia" w:ascii="宋体" w:hAnsi="宋体" w:cs="宋体"/>
                <w:color w:val="auto"/>
                <w:szCs w:val="21"/>
                <w:highlight w:val="none"/>
              </w:rPr>
              <w:t>月至</w:t>
            </w:r>
            <w:r>
              <w:rPr>
                <w:rFonts w:hint="eastAsia" w:ascii="宋体" w:hAnsi="宋体" w:cs="宋体"/>
                <w:color w:val="auto"/>
                <w:szCs w:val="21"/>
                <w:highlight w:val="none"/>
                <w:u w:val="single"/>
                <w:lang w:val="en-US" w:eastAsia="zh-CN"/>
              </w:rPr>
              <w:t>投标截止时间</w:t>
            </w:r>
            <w:r>
              <w:rPr>
                <w:rFonts w:hint="eastAsia" w:ascii="宋体" w:hAnsi="宋体" w:cs="宋体"/>
                <w:color w:val="auto"/>
                <w:szCs w:val="21"/>
                <w:highlight w:val="none"/>
              </w:rPr>
              <w:t>内连续</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个月的依法缴纳税收的证明材料复印件；依法免税的供应商，必须提供符合免税条件的证明材料。从成立之日起到投标文件提交截止时间止不足要求月数的，只需提供从成立之日起的依法缴纳税收相应证明文件）</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307BBAF3">
            <w:pPr>
              <w:snapToGrid w:val="0"/>
              <w:spacing w:line="400" w:lineRule="exact"/>
              <w:ind w:firstLine="420" w:firstLineChars="200"/>
              <w:jc w:val="left"/>
              <w:rPr>
                <w:rFonts w:hint="eastAsia" w:ascii="宋体" w:hAnsi="宋体" w:cs="Courier New"/>
                <w:b/>
                <w:color w:val="auto"/>
                <w:szCs w:val="21"/>
                <w:highlight w:val="none"/>
              </w:rPr>
            </w:pPr>
            <w:r>
              <w:rPr>
                <w:rFonts w:hint="eastAsia" w:ascii="宋体" w:hAnsi="宋体" w:cs="宋体"/>
                <w:color w:val="auto"/>
                <w:szCs w:val="21"/>
                <w:highlight w:val="none"/>
              </w:rPr>
              <w:t>3.投标人依法缴纳社会保障资金的相关材料[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10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月至</w:t>
            </w:r>
            <w:r>
              <w:rPr>
                <w:rFonts w:hint="eastAsia" w:ascii="宋体" w:hAnsi="宋体" w:cs="宋体"/>
                <w:color w:val="auto"/>
                <w:szCs w:val="21"/>
                <w:highlight w:val="none"/>
                <w:u w:val="single"/>
                <w:lang w:val="en-US" w:eastAsia="zh-CN"/>
              </w:rPr>
              <w:t>投标截止时间</w:t>
            </w:r>
            <w:r>
              <w:rPr>
                <w:rFonts w:hint="eastAsia" w:ascii="宋体" w:hAnsi="宋体" w:cs="宋体"/>
                <w:color w:val="auto"/>
                <w:szCs w:val="21"/>
                <w:highlight w:val="none"/>
              </w:rPr>
              <w:t>内连续</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个月的依法缴纳社会保障资金的缴费证明材料（如：专用收据、社会保险缴纳清单或者社保部门的证明）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8FCBDED">
            <w:pPr>
              <w:snapToGrid w:val="0"/>
              <w:spacing w:line="400" w:lineRule="exact"/>
              <w:ind w:firstLine="420" w:firstLineChars="200"/>
              <w:jc w:val="left"/>
              <w:rPr>
                <w:rFonts w:hint="eastAsia" w:ascii="宋体" w:hAnsi="宋体" w:cs="Courier New"/>
                <w:b/>
                <w:color w:val="auto"/>
                <w:szCs w:val="21"/>
                <w:highlight w:val="none"/>
              </w:rPr>
            </w:pPr>
            <w:r>
              <w:rPr>
                <w:rFonts w:hint="eastAsia" w:ascii="宋体" w:hAnsi="宋体" w:cs="宋体"/>
                <w:color w:val="auto"/>
                <w:szCs w:val="21"/>
                <w:highlight w:val="none"/>
              </w:rPr>
              <w:t>4.投标人</w:t>
            </w:r>
            <w:r>
              <w:rPr>
                <w:rFonts w:hint="eastAsia" w:ascii="宋体" w:hAnsi="宋体"/>
                <w:color w:val="auto"/>
                <w:szCs w:val="21"/>
                <w:highlight w:val="none"/>
              </w:rPr>
              <w:t>财务状况报告[2</w:t>
            </w:r>
            <w:r>
              <w:rPr>
                <w:rFonts w:ascii="宋体" w:hAnsi="宋体"/>
                <w:color w:val="auto"/>
                <w:szCs w:val="21"/>
                <w:highlight w:val="none"/>
              </w:rPr>
              <w:t>02</w:t>
            </w:r>
            <w:r>
              <w:rPr>
                <w:rFonts w:hint="eastAsia" w:ascii="宋体" w:hAnsi="宋体"/>
                <w:color w:val="auto"/>
                <w:szCs w:val="21"/>
                <w:highlight w:val="none"/>
              </w:rPr>
              <w:t>4年或2</w:t>
            </w:r>
            <w:r>
              <w:rPr>
                <w:rFonts w:ascii="宋体" w:hAnsi="宋体"/>
                <w:color w:val="auto"/>
                <w:szCs w:val="21"/>
                <w:highlight w:val="none"/>
              </w:rPr>
              <w:t>02</w:t>
            </w:r>
            <w:r>
              <w:rPr>
                <w:rFonts w:hint="eastAsia" w:ascii="宋体" w:hAnsi="宋体"/>
                <w:color w:val="auto"/>
                <w:szCs w:val="21"/>
                <w:highlight w:val="none"/>
              </w:rPr>
              <w:t>5年度财务报表复印件，或者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5677A10">
            <w:pP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5.投标人直接控股股东信息表（格式见第六章）；</w:t>
            </w:r>
            <w:r>
              <w:rPr>
                <w:rFonts w:hint="eastAsia" w:ascii="宋体" w:hAnsi="宋体"/>
                <w:b/>
                <w:color w:val="auto"/>
                <w:szCs w:val="21"/>
                <w:highlight w:val="none"/>
              </w:rPr>
              <w:t>（必须提供，否则按无效投标处理）</w:t>
            </w:r>
          </w:p>
          <w:p w14:paraId="3A5062A9">
            <w:pP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6.投标人直接管理关系信息表（格式见第六章）；</w:t>
            </w:r>
            <w:r>
              <w:rPr>
                <w:rFonts w:hint="eastAsia" w:ascii="宋体" w:hAnsi="宋体"/>
                <w:b/>
                <w:color w:val="auto"/>
                <w:szCs w:val="21"/>
                <w:highlight w:val="none"/>
              </w:rPr>
              <w:t>（必须提供，否则按无效投标处理）</w:t>
            </w:r>
          </w:p>
          <w:p w14:paraId="509FC36A">
            <w:pPr>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.投标声明（格式见第六章）；（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7BB911C8">
            <w:pPr>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8.联合体协议书（格式见第六章）；</w:t>
            </w:r>
            <w:r>
              <w:rPr>
                <w:rFonts w:hint="eastAsia" w:ascii="宋体" w:hAnsi="宋体"/>
                <w:b/>
                <w:color w:val="auto"/>
                <w:szCs w:val="21"/>
                <w:highlight w:val="none"/>
              </w:rPr>
              <w:t>（本项目不接受联合体）</w:t>
            </w:r>
          </w:p>
          <w:p w14:paraId="7C2AA1A0">
            <w:pPr>
              <w:snapToGrid w:val="0"/>
              <w:spacing w:line="400" w:lineRule="exact"/>
              <w:ind w:firstLine="420" w:firstLineChars="200"/>
              <w:jc w:val="left"/>
              <w:rPr>
                <w:rFonts w:hint="eastAsia"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本项目落实政府采购政策需满足的资格要求：无；</w:t>
            </w:r>
          </w:p>
          <w:p w14:paraId="232C3F48">
            <w:pPr>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本项目的特定资格要求（</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36FC93B0">
            <w:pPr>
              <w:snapToGrid w:val="0"/>
              <w:spacing w:line="400" w:lineRule="exact"/>
              <w:ind w:firstLine="420" w:firstLineChars="200"/>
              <w:jc w:val="left"/>
              <w:rPr>
                <w:rFonts w:hint="eastAsia" w:ascii="宋体" w:hAnsi="宋体" w:cs="Courier New"/>
                <w:bCs/>
                <w:color w:val="auto"/>
                <w:szCs w:val="21"/>
                <w:highlight w:val="none"/>
              </w:rPr>
            </w:pPr>
            <w:r>
              <w:rPr>
                <w:rFonts w:hint="eastAsia" w:ascii="宋体" w:hAnsi="宋体" w:cs="Courier New"/>
                <w:bCs/>
                <w:color w:val="auto"/>
                <w:szCs w:val="21"/>
                <w:highlight w:val="none"/>
              </w:rPr>
              <w:t>（1）投标人必须具有农业农村部门核发的有效的兽药生产许可证及兽药GMP证书，复印件或扫描件；</w:t>
            </w:r>
          </w:p>
          <w:p w14:paraId="2929E7ED">
            <w:pPr>
              <w:snapToGrid w:val="0"/>
              <w:spacing w:line="400" w:lineRule="exact"/>
              <w:ind w:firstLine="420" w:firstLineChars="200"/>
              <w:jc w:val="left"/>
              <w:rPr>
                <w:rFonts w:hint="eastAsia" w:ascii="宋体" w:hAnsi="宋体" w:cs="Courier New"/>
                <w:bCs/>
                <w:color w:val="auto"/>
                <w:szCs w:val="21"/>
                <w:highlight w:val="none"/>
              </w:rPr>
            </w:pPr>
            <w:r>
              <w:rPr>
                <w:rFonts w:hint="eastAsia" w:ascii="宋体" w:hAnsi="宋体" w:cs="Courier New"/>
                <w:bCs/>
                <w:color w:val="auto"/>
                <w:szCs w:val="21"/>
                <w:highlight w:val="none"/>
              </w:rPr>
              <w:t>（2）投标人必须具有投标相应种类疫苗的兽药产品批准文号（如农业农村部兽药产品批准文号正在换发办理中，则需提供相关证明材料），复印件或扫描件。</w:t>
            </w:r>
          </w:p>
          <w:p w14:paraId="46D6A4DF">
            <w:pPr>
              <w:snapToGrid w:val="0"/>
              <w:spacing w:line="400" w:lineRule="exact"/>
              <w:ind w:firstLine="420" w:firstLineChars="200"/>
              <w:jc w:val="left"/>
              <w:rPr>
                <w:rFonts w:hint="eastAsia"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.除招标文件规定必须提供以外，投标人认为需要提供的其他证明材料。</w:t>
            </w:r>
          </w:p>
          <w:p w14:paraId="3C4AC0CA">
            <w:pPr>
              <w:snapToGrid w:val="0"/>
              <w:spacing w:line="400" w:lineRule="exact"/>
              <w:jc w:val="left"/>
              <w:rPr>
                <w:rFonts w:ascii="宋体" w:hAnsi="宋体"/>
                <w:b/>
                <w:bCs/>
                <w:color w:val="auto"/>
                <w:szCs w:val="21"/>
                <w:highlight w:val="none"/>
              </w:rPr>
            </w:pPr>
            <w:r>
              <w:rPr>
                <w:rFonts w:hint="eastAsia" w:ascii="宋体" w:hAnsi="宋体"/>
                <w:b/>
                <w:bCs/>
                <w:color w:val="auto"/>
                <w:szCs w:val="21"/>
                <w:highlight w:val="none"/>
              </w:rPr>
              <w:t>注：</w:t>
            </w:r>
          </w:p>
          <w:p w14:paraId="4D067634">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lang w:eastAsia="zh-CN"/>
              </w:rPr>
              <w:t>（</w:t>
            </w:r>
            <w:r>
              <w:rPr>
                <w:rFonts w:hint="eastAsia" w:ascii="宋体" w:hAnsi="宋体"/>
                <w:b/>
                <w:bCs/>
                <w:color w:val="auto"/>
                <w:szCs w:val="21"/>
                <w:highlight w:val="none"/>
              </w:rPr>
              <w:t>1</w:t>
            </w:r>
            <w:r>
              <w:rPr>
                <w:rFonts w:hint="eastAsia" w:ascii="宋体" w:hAnsi="宋体"/>
                <w:b/>
                <w:bCs/>
                <w:color w:val="auto"/>
                <w:szCs w:val="21"/>
                <w:highlight w:val="none"/>
                <w:lang w:eastAsia="zh-CN"/>
              </w:rPr>
              <w:t>）</w:t>
            </w:r>
            <w:r>
              <w:rPr>
                <w:rFonts w:hint="eastAsia" w:ascii="宋体" w:hAnsi="宋体"/>
                <w:b/>
                <w:bCs/>
                <w:color w:val="auto"/>
                <w:szCs w:val="21"/>
                <w:highlight w:val="none"/>
              </w:rPr>
              <w:t>以上标明“必须提供”的材料，格式中有要求法定代表人或者委托代理人签字的，必须按要求签字（或者电子签名）</w:t>
            </w:r>
            <w:r>
              <w:rPr>
                <w:rFonts w:hint="eastAsia" w:ascii="宋体" w:hAnsi="宋体"/>
                <w:b/>
                <w:bCs/>
                <w:color w:val="auto"/>
                <w:szCs w:val="21"/>
                <w:highlight w:val="none"/>
                <w:lang w:val="en-US" w:eastAsia="zh-CN"/>
              </w:rPr>
              <w:t>盖章，</w:t>
            </w:r>
            <w:r>
              <w:rPr>
                <w:rFonts w:hint="eastAsia" w:ascii="宋体" w:hAnsi="宋体"/>
                <w:b/>
                <w:bCs/>
                <w:color w:val="auto"/>
                <w:szCs w:val="21"/>
                <w:highlight w:val="none"/>
              </w:rPr>
              <w:t>并加盖投标人电子签章，否则按无效投标处理。</w:t>
            </w:r>
          </w:p>
          <w:p w14:paraId="4A32FCE1">
            <w:pPr>
              <w:snapToGrid w:val="0"/>
              <w:spacing w:line="4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lang w:eastAsia="zh-CN"/>
              </w:rPr>
              <w:t>（</w:t>
            </w:r>
            <w:r>
              <w:rPr>
                <w:rFonts w:hint="eastAsia" w:ascii="宋体" w:hAnsi="宋体"/>
                <w:b/>
                <w:bCs/>
                <w:color w:val="auto"/>
                <w:szCs w:val="21"/>
                <w:highlight w:val="none"/>
              </w:rPr>
              <w:t>2</w:t>
            </w:r>
            <w:r>
              <w:rPr>
                <w:rFonts w:hint="eastAsia" w:ascii="宋体" w:hAnsi="宋体"/>
                <w:b/>
                <w:bCs/>
                <w:color w:val="auto"/>
                <w:szCs w:val="21"/>
                <w:highlight w:val="none"/>
                <w:lang w:eastAsia="zh-CN"/>
              </w:rPr>
              <w:t>）</w:t>
            </w:r>
            <w:r>
              <w:rPr>
                <w:rFonts w:hint="eastAsia" w:ascii="宋体" w:hAnsi="宋体"/>
                <w:b/>
                <w:bCs/>
                <w:color w:val="auto"/>
                <w:szCs w:val="21"/>
                <w:highlight w:val="none"/>
              </w:rPr>
              <w:t>联合体投标时，第1-</w:t>
            </w:r>
            <w:r>
              <w:rPr>
                <w:rFonts w:ascii="宋体" w:hAnsi="宋体"/>
                <w:b/>
                <w:bCs/>
                <w:color w:val="auto"/>
                <w:szCs w:val="21"/>
                <w:highlight w:val="none"/>
              </w:rPr>
              <w:t>6</w:t>
            </w:r>
            <w:r>
              <w:rPr>
                <w:rFonts w:hint="eastAsia" w:ascii="宋体" w:hAnsi="宋体"/>
                <w:b/>
                <w:bCs/>
                <w:color w:val="auto"/>
                <w:szCs w:val="21"/>
                <w:highlight w:val="none"/>
              </w:rPr>
              <w:t>项资格证明文件联合体各方均必须分别提供，并由联合体牵头人加盖电子签章，规定签字处签字（或者电子签名），否则按无效投标处理。</w:t>
            </w:r>
          </w:p>
        </w:tc>
      </w:tr>
      <w:tr w14:paraId="565AC5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vMerge w:val="continue"/>
            <w:tcBorders>
              <w:left w:val="single" w:color="auto" w:sz="4" w:space="0"/>
              <w:right w:val="single" w:color="auto" w:sz="4" w:space="0"/>
            </w:tcBorders>
            <w:noWrap w:val="0"/>
            <w:vAlign w:val="center"/>
          </w:tcPr>
          <w:p w14:paraId="25E85757">
            <w:pPr>
              <w:spacing w:line="400" w:lineRule="exact"/>
              <w:rPr>
                <w:rFonts w:hint="eastAsia" w:ascii="宋体" w:hAnsi="宋体"/>
                <w:color w:val="auto"/>
                <w:szCs w:val="21"/>
                <w:highlight w:val="none"/>
              </w:rPr>
            </w:pPr>
            <w:bookmarkStart w:id="62" w:name="_13.3"/>
            <w:bookmarkEnd w:id="62"/>
          </w:p>
        </w:tc>
        <w:tc>
          <w:tcPr>
            <w:tcW w:w="7950" w:type="dxa"/>
            <w:tcBorders>
              <w:top w:val="single" w:color="auto" w:sz="4" w:space="0"/>
              <w:left w:val="single" w:color="auto" w:sz="4" w:space="0"/>
              <w:bottom w:val="single" w:color="auto" w:sz="4" w:space="0"/>
              <w:right w:val="single" w:color="auto" w:sz="4" w:space="0"/>
            </w:tcBorders>
            <w:noWrap w:val="0"/>
            <w:vAlign w:val="center"/>
          </w:tcPr>
          <w:p w14:paraId="12B365A6">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商务及技术文件：</w:t>
            </w:r>
          </w:p>
          <w:p w14:paraId="562EA758">
            <w:pPr>
              <w:snapToGrid w:val="0"/>
              <w:spacing w:line="400" w:lineRule="exact"/>
              <w:jc w:val="left"/>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1. 商务部分</w:t>
            </w:r>
          </w:p>
          <w:p w14:paraId="424A8716">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1无串通投标行为的承诺函（格式见第六章）；（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796A3843">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2投标保证金提交凭证；（</w:t>
            </w:r>
            <w:r>
              <w:rPr>
                <w:rFonts w:hint="eastAsia" w:ascii="宋体" w:hAnsi="宋体"/>
                <w:b/>
                <w:bCs/>
                <w:color w:val="auto"/>
                <w:szCs w:val="21"/>
                <w:highlight w:val="none"/>
              </w:rPr>
              <w:t>如要求提交投标保证金的则必须提供</w:t>
            </w:r>
            <w:r>
              <w:rPr>
                <w:rFonts w:hint="eastAsia" w:ascii="宋体" w:hAnsi="宋体"/>
                <w:b/>
                <w:color w:val="auto"/>
                <w:szCs w:val="21"/>
                <w:highlight w:val="none"/>
              </w:rPr>
              <w:t>，否则按无效投标处理</w:t>
            </w:r>
            <w:r>
              <w:rPr>
                <w:rFonts w:hint="eastAsia" w:ascii="宋体" w:hAnsi="宋体"/>
                <w:color w:val="auto"/>
                <w:szCs w:val="21"/>
                <w:highlight w:val="none"/>
              </w:rPr>
              <w:t>）</w:t>
            </w:r>
          </w:p>
          <w:p w14:paraId="741C1FE5">
            <w:pPr>
              <w:snapToGrid w:val="0"/>
              <w:spacing w:line="400" w:lineRule="exact"/>
              <w:ind w:left="13" w:leftChars="6" w:firstLine="399" w:firstLineChars="190"/>
              <w:jc w:val="left"/>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3法定代表人身份证明及法定代表人有效身份证正反面复印件（格式见第六章）；（</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1601BC62">
            <w:pPr>
              <w:snapToGrid w:val="0"/>
              <w:spacing w:line="400" w:lineRule="exact"/>
              <w:ind w:left="13" w:leftChars="6" w:firstLine="399" w:firstLineChars="190"/>
              <w:jc w:val="left"/>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4授权委托书及委托代理人有效身份证正反面复印件（格式见第六章）；（</w:t>
            </w:r>
            <w:r>
              <w:rPr>
                <w:rFonts w:hint="eastAsia" w:ascii="宋体" w:hAnsi="宋体"/>
                <w:b/>
                <w:color w:val="auto"/>
                <w:szCs w:val="21"/>
                <w:highlight w:val="none"/>
              </w:rPr>
              <w:t>委托时必须提供，否则按无效投标处理</w:t>
            </w:r>
            <w:r>
              <w:rPr>
                <w:rFonts w:hint="eastAsia" w:ascii="宋体" w:hAnsi="宋体"/>
                <w:color w:val="auto"/>
                <w:szCs w:val="21"/>
                <w:highlight w:val="none"/>
              </w:rPr>
              <w:t>）</w:t>
            </w:r>
          </w:p>
          <w:p w14:paraId="1932843E">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1.5</w:t>
            </w:r>
            <w:r>
              <w:rPr>
                <w:rFonts w:hint="eastAsia" w:ascii="宋体" w:hAnsi="宋体"/>
                <w:color w:val="auto"/>
                <w:szCs w:val="21"/>
                <w:highlight w:val="none"/>
              </w:rPr>
              <w:t>商务要求偏离表（格式见第六章）；（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43B98AB9">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ascii="宋体" w:hAnsi="宋体"/>
                <w:color w:val="auto"/>
                <w:szCs w:val="21"/>
                <w:highlight w:val="none"/>
              </w:rPr>
              <w:t>6</w:t>
            </w:r>
            <w:r>
              <w:rPr>
                <w:rFonts w:hint="eastAsia" w:ascii="宋体" w:hAnsi="宋体"/>
                <w:color w:val="auto"/>
                <w:szCs w:val="21"/>
                <w:highlight w:val="none"/>
              </w:rPr>
              <w:t>售后服务承诺（格式自拟）；（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2354642B">
            <w:pPr>
              <w:snapToGrid w:val="0"/>
              <w:spacing w:line="400" w:lineRule="exact"/>
              <w:ind w:left="13" w:leftChars="6" w:firstLine="399" w:firstLineChars="19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1.7.本地化服务能力证明</w:t>
            </w:r>
            <w:r>
              <w:rPr>
                <w:rFonts w:hint="eastAsia" w:ascii="宋体" w:hAnsi="宋体"/>
                <w:color w:val="auto"/>
                <w:szCs w:val="21"/>
                <w:highlight w:val="none"/>
              </w:rPr>
              <w:t>（格式见第六章）</w:t>
            </w:r>
            <w:r>
              <w:rPr>
                <w:rFonts w:hint="eastAsia" w:ascii="宋体" w:hAnsi="宋体"/>
                <w:color w:val="auto"/>
                <w:szCs w:val="21"/>
                <w:highlight w:val="none"/>
                <w:lang w:val="en-US" w:eastAsia="zh-CN"/>
              </w:rPr>
              <w:t>；（如有）</w:t>
            </w:r>
          </w:p>
          <w:p w14:paraId="4397BEF9">
            <w:pPr>
              <w:snapToGrid w:val="0"/>
              <w:spacing w:line="400" w:lineRule="exact"/>
              <w:ind w:left="13" w:leftChars="6" w:firstLine="399" w:firstLineChars="190"/>
              <w:jc w:val="left"/>
              <w:rPr>
                <w:rFonts w:hint="eastAsia" w:ascii="宋体" w:hAnsi="宋体"/>
                <w:color w:val="auto"/>
                <w:szCs w:val="21"/>
                <w:highlight w:val="none"/>
                <w:lang w:val="en-US" w:eastAsia="zh-CN"/>
              </w:rPr>
            </w:pPr>
            <w:r>
              <w:rPr>
                <w:rFonts w:hint="eastAsia" w:ascii="宋体" w:hAnsi="宋体"/>
                <w:bCs/>
                <w:color w:val="auto"/>
                <w:szCs w:val="21"/>
                <w:highlight w:val="none"/>
                <w:lang w:val="en-US" w:eastAsia="zh-CN"/>
              </w:rPr>
              <w:t>1.8</w:t>
            </w:r>
            <w:r>
              <w:rPr>
                <w:rFonts w:hint="eastAsia" w:ascii="宋体" w:hAnsi="宋体"/>
                <w:bCs/>
                <w:color w:val="auto"/>
                <w:szCs w:val="21"/>
                <w:highlight w:val="none"/>
              </w:rPr>
              <w:t>售前、售中和售后服务方案</w:t>
            </w:r>
            <w:r>
              <w:rPr>
                <w:rFonts w:hint="eastAsia" w:ascii="宋体" w:hAnsi="宋体"/>
                <w:color w:val="auto"/>
                <w:szCs w:val="21"/>
                <w:highlight w:val="none"/>
              </w:rPr>
              <w:t>（格式自拟）</w:t>
            </w:r>
            <w:r>
              <w:rPr>
                <w:rFonts w:hint="eastAsia" w:ascii="宋体" w:hAnsi="宋体"/>
                <w:color w:val="auto"/>
                <w:szCs w:val="21"/>
                <w:highlight w:val="none"/>
                <w:lang w:val="en-US" w:eastAsia="zh-CN"/>
              </w:rPr>
              <w:t>；（本项为计分项，如有请提供。）</w:t>
            </w:r>
          </w:p>
          <w:p w14:paraId="5C2E8B4E">
            <w:pPr>
              <w:snapToGrid w:val="0"/>
              <w:spacing w:line="400" w:lineRule="exact"/>
              <w:ind w:left="13" w:leftChars="6" w:firstLine="399" w:firstLineChars="190"/>
              <w:jc w:val="left"/>
              <w:rPr>
                <w:rFonts w:hint="eastAsia" w:ascii="宋体" w:hAnsi="宋体"/>
                <w:b/>
                <w:bCs w:val="0"/>
                <w:color w:val="auto"/>
                <w:szCs w:val="21"/>
                <w:highlight w:val="none"/>
                <w:lang w:val="en-US" w:eastAsia="zh-CN"/>
              </w:rPr>
            </w:pPr>
            <w:r>
              <w:rPr>
                <w:rFonts w:hint="eastAsia" w:ascii="宋体" w:hAnsi="宋体"/>
                <w:color w:val="auto"/>
                <w:szCs w:val="21"/>
                <w:highlight w:val="none"/>
                <w:lang w:val="en-US" w:eastAsia="zh-CN"/>
              </w:rPr>
              <w:t>1.9</w:t>
            </w:r>
            <w:r>
              <w:rPr>
                <w:rFonts w:hint="eastAsia" w:ascii="宋体" w:hAnsi="宋体"/>
                <w:bCs/>
                <w:color w:val="auto"/>
                <w:szCs w:val="21"/>
                <w:highlight w:val="none"/>
              </w:rPr>
              <w:t>信誉业绩</w:t>
            </w:r>
            <w:r>
              <w:rPr>
                <w:rFonts w:hint="eastAsia" w:ascii="宋体" w:hAnsi="宋体"/>
                <w:color w:val="auto"/>
                <w:szCs w:val="21"/>
                <w:highlight w:val="none"/>
              </w:rPr>
              <w:t>（格式</w:t>
            </w:r>
            <w:r>
              <w:rPr>
                <w:rFonts w:hint="eastAsia" w:ascii="宋体" w:hAnsi="宋体"/>
                <w:color w:val="auto"/>
                <w:szCs w:val="21"/>
                <w:highlight w:val="none"/>
                <w:lang w:val="en-US" w:eastAsia="zh-CN"/>
              </w:rPr>
              <w:t>参照</w:t>
            </w:r>
            <w:r>
              <w:rPr>
                <w:rFonts w:hint="eastAsia" w:ascii="宋体" w:hAnsi="宋体"/>
                <w:color w:val="auto"/>
                <w:szCs w:val="21"/>
                <w:highlight w:val="none"/>
              </w:rPr>
              <w:t>第六章</w:t>
            </w:r>
            <w:r>
              <w:rPr>
                <w:rFonts w:hint="eastAsia" w:ascii="宋体" w:hAnsi="宋体"/>
                <w:color w:val="auto"/>
                <w:szCs w:val="21"/>
                <w:highlight w:val="none"/>
                <w:lang w:val="en-US" w:eastAsia="zh-CN"/>
              </w:rPr>
              <w:t>可延展</w:t>
            </w:r>
            <w:r>
              <w:rPr>
                <w:rFonts w:hint="eastAsia" w:ascii="宋体" w:hAnsi="宋体"/>
                <w:color w:val="auto"/>
                <w:szCs w:val="21"/>
                <w:highlight w:val="none"/>
              </w:rPr>
              <w:t>）</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（本项为计分项，如有请提供。）</w:t>
            </w:r>
          </w:p>
          <w:p w14:paraId="0FAF8BF1">
            <w:pPr>
              <w:snapToGrid w:val="0"/>
              <w:spacing w:line="400" w:lineRule="exact"/>
              <w:jc w:val="left"/>
              <w:rPr>
                <w:rFonts w:hint="default" w:ascii="宋体" w:hAnsi="宋体"/>
                <w:b/>
                <w:bCs w:val="0"/>
                <w:color w:val="auto"/>
                <w:szCs w:val="21"/>
                <w:highlight w:val="none"/>
                <w:lang w:val="en-US" w:eastAsia="zh-CN"/>
              </w:rPr>
            </w:pPr>
            <w:r>
              <w:rPr>
                <w:rFonts w:hint="eastAsia" w:ascii="宋体" w:hAnsi="宋体"/>
                <w:b/>
                <w:bCs w:val="0"/>
                <w:color w:val="auto"/>
                <w:szCs w:val="21"/>
                <w:highlight w:val="none"/>
                <w:lang w:val="en-US" w:eastAsia="zh-CN"/>
              </w:rPr>
              <w:t>2.技术部分</w:t>
            </w:r>
          </w:p>
          <w:p w14:paraId="3B48CE14">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2.1</w:t>
            </w:r>
            <w:r>
              <w:rPr>
                <w:rFonts w:hint="eastAsia" w:ascii="宋体" w:hAnsi="宋体"/>
                <w:color w:val="auto"/>
                <w:szCs w:val="21"/>
                <w:highlight w:val="none"/>
              </w:rPr>
              <w:t>投标人情况介绍（格式自拟）；（如有，请提供）</w:t>
            </w:r>
          </w:p>
          <w:p w14:paraId="2AFCF381">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2.2</w:t>
            </w:r>
            <w:r>
              <w:rPr>
                <w:rFonts w:hint="eastAsia" w:ascii="宋体" w:hAnsi="宋体"/>
                <w:color w:val="auto"/>
                <w:szCs w:val="21"/>
                <w:highlight w:val="none"/>
              </w:rPr>
              <w:t>货物配置清单（格式见第六章）；</w:t>
            </w:r>
            <w:r>
              <w:rPr>
                <w:rFonts w:hint="eastAsia" w:ascii="宋体" w:hAnsi="宋体"/>
                <w:b/>
                <w:color w:val="auto"/>
                <w:szCs w:val="21"/>
                <w:highlight w:val="none"/>
              </w:rPr>
              <w:t>（必须提供，否则按无效投标处理）</w:t>
            </w:r>
            <w:r>
              <w:rPr>
                <w:rFonts w:hint="eastAsia" w:ascii="宋体" w:hAnsi="宋体"/>
                <w:color w:val="auto"/>
                <w:szCs w:val="21"/>
                <w:highlight w:val="none"/>
              </w:rPr>
              <w:t xml:space="preserve"> </w:t>
            </w:r>
          </w:p>
          <w:p w14:paraId="16C61DF8">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2.3</w:t>
            </w:r>
            <w:r>
              <w:rPr>
                <w:rFonts w:hint="eastAsia" w:ascii="宋体" w:hAnsi="宋体"/>
                <w:color w:val="auto"/>
                <w:szCs w:val="21"/>
                <w:highlight w:val="none"/>
              </w:rPr>
              <w:t>技术要求偏离表（格式见第六章）；</w:t>
            </w:r>
            <w:r>
              <w:rPr>
                <w:rFonts w:hint="eastAsia" w:ascii="宋体" w:hAnsi="宋体"/>
                <w:b/>
                <w:color w:val="auto"/>
                <w:szCs w:val="21"/>
                <w:highlight w:val="none"/>
              </w:rPr>
              <w:t>（必须提供，否则按无效投标处理）</w:t>
            </w:r>
          </w:p>
          <w:p w14:paraId="1F65FB53">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2.4 </w:t>
            </w:r>
            <w:r>
              <w:rPr>
                <w:rFonts w:hint="eastAsia" w:ascii="宋体" w:hAnsi="宋体"/>
                <w:color w:val="auto"/>
                <w:szCs w:val="21"/>
                <w:highlight w:val="none"/>
              </w:rPr>
              <w:t>产品出厂标准、质量检测报告；（如有）</w:t>
            </w:r>
          </w:p>
          <w:p w14:paraId="22FD76B6">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2.5</w:t>
            </w:r>
            <w:r>
              <w:rPr>
                <w:rFonts w:hint="eastAsia" w:ascii="宋体" w:hAnsi="宋体"/>
                <w:color w:val="auto"/>
                <w:szCs w:val="21"/>
                <w:highlight w:val="none"/>
              </w:rPr>
              <w:t>优惠条件：投标人承诺给予招标人的各种优惠条件，包括售后服务、备品备件、专用耗材等方面的优惠；投标人不得给予赠品或者与采购无关的其他商品、服务；</w:t>
            </w:r>
          </w:p>
          <w:p w14:paraId="444FD229">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2.6 </w:t>
            </w:r>
            <w:r>
              <w:rPr>
                <w:rFonts w:hint="eastAsia" w:ascii="宋体" w:hAnsi="宋体"/>
                <w:color w:val="auto"/>
                <w:szCs w:val="21"/>
                <w:highlight w:val="none"/>
              </w:rPr>
              <w:t>项目实施方案（包括但不限于：具体实施流程、交货进度安排、质量保证措施、风险防范等措施、合理化建议和改进措施）（格式自拟）；（如有）</w:t>
            </w:r>
          </w:p>
          <w:p w14:paraId="5CB00ACC">
            <w:pPr>
              <w:snapToGrid w:val="0"/>
              <w:spacing w:line="400" w:lineRule="exact"/>
              <w:ind w:left="13" w:leftChars="6" w:firstLine="399" w:firstLineChars="190"/>
              <w:jc w:val="left"/>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 xml:space="preserve">2.7 </w:t>
            </w:r>
            <w:r>
              <w:rPr>
                <w:rFonts w:hint="eastAsia" w:ascii="宋体" w:hAnsi="宋体"/>
                <w:color w:val="auto"/>
                <w:szCs w:val="21"/>
                <w:highlight w:val="none"/>
              </w:rPr>
              <w:t>产品主要技术参数、性能及原料</w:t>
            </w:r>
            <w:r>
              <w:rPr>
                <w:rFonts w:hint="eastAsia" w:ascii="宋体" w:hAnsi="宋体"/>
                <w:color w:val="auto"/>
                <w:szCs w:val="21"/>
                <w:highlight w:val="none"/>
                <w:lang w:val="en-US" w:eastAsia="zh-CN"/>
              </w:rPr>
              <w:t>情况</w:t>
            </w:r>
            <w:r>
              <w:rPr>
                <w:rFonts w:hint="eastAsia" w:ascii="宋体" w:hAnsi="宋体"/>
                <w:color w:val="auto"/>
                <w:szCs w:val="21"/>
                <w:highlight w:val="none"/>
                <w:lang w:eastAsia="zh-CN"/>
              </w:rPr>
              <w:t>（</w:t>
            </w:r>
            <w:r>
              <w:rPr>
                <w:rFonts w:hint="eastAsia" w:hAnsi="宋体" w:cs="Courier New"/>
                <w:bCs/>
                <w:color w:val="auto"/>
                <w:kern w:val="2"/>
                <w:sz w:val="21"/>
                <w:highlight w:val="none"/>
              </w:rPr>
              <w:t>提供202</w:t>
            </w:r>
            <w:r>
              <w:rPr>
                <w:rFonts w:hint="eastAsia" w:hAnsi="宋体" w:cs="Courier New"/>
                <w:bCs/>
                <w:color w:val="auto"/>
                <w:kern w:val="2"/>
                <w:sz w:val="21"/>
                <w:highlight w:val="none"/>
                <w:lang w:val="en-US" w:eastAsia="zh-CN"/>
              </w:rPr>
              <w:t>5</w:t>
            </w:r>
            <w:r>
              <w:rPr>
                <w:rFonts w:hint="eastAsia" w:hAnsi="宋体" w:cs="Courier New"/>
                <w:bCs/>
                <w:color w:val="auto"/>
                <w:kern w:val="2"/>
                <w:sz w:val="21"/>
                <w:highlight w:val="none"/>
              </w:rPr>
              <w:t>年以来连续5批次疫苗批签发报告原件扫描件，批签发报告中的指标参数必须清晰</w:t>
            </w:r>
            <w:r>
              <w:rPr>
                <w:rFonts w:hint="eastAsia" w:hAnsi="宋体" w:cs="Courier New"/>
                <w:bCs/>
                <w:color w:val="auto"/>
                <w:kern w:val="2"/>
                <w:sz w:val="21"/>
                <w:highlight w:val="none"/>
                <w:lang w:eastAsia="zh-CN"/>
              </w:rPr>
              <w:t>）。</w:t>
            </w:r>
            <w:r>
              <w:rPr>
                <w:rFonts w:hint="eastAsia" w:ascii="宋体" w:hAnsi="宋体"/>
                <w:color w:val="auto"/>
                <w:szCs w:val="21"/>
                <w:highlight w:val="none"/>
                <w:lang w:val="en-US" w:eastAsia="zh-CN"/>
              </w:rPr>
              <w:t>（本项为计分项，如有请提供。）</w:t>
            </w:r>
          </w:p>
          <w:p w14:paraId="560CFBE2">
            <w:pPr>
              <w:snapToGrid w:val="0"/>
              <w:spacing w:line="400" w:lineRule="exact"/>
              <w:ind w:left="13" w:leftChars="6" w:firstLine="399" w:firstLineChars="19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2.8 </w:t>
            </w:r>
            <w:r>
              <w:rPr>
                <w:rFonts w:hint="eastAsia" w:ascii="宋体" w:hAnsi="宋体"/>
                <w:bCs/>
                <w:color w:val="auto"/>
                <w:szCs w:val="21"/>
                <w:highlight w:val="none"/>
              </w:rPr>
              <w:t>综合实力</w:t>
            </w:r>
            <w:r>
              <w:rPr>
                <w:rFonts w:hint="eastAsia" w:ascii="宋体" w:hAnsi="宋体"/>
                <w:bCs/>
                <w:color w:val="auto"/>
                <w:szCs w:val="21"/>
                <w:highlight w:val="none"/>
                <w:lang w:val="en-US" w:eastAsia="zh-CN"/>
              </w:rPr>
              <w:t>证明材料。</w:t>
            </w:r>
            <w:r>
              <w:rPr>
                <w:rFonts w:hint="eastAsia" w:ascii="宋体" w:hAnsi="宋体"/>
                <w:color w:val="auto"/>
                <w:szCs w:val="21"/>
                <w:highlight w:val="none"/>
                <w:lang w:val="en-US" w:eastAsia="zh-CN"/>
              </w:rPr>
              <w:t>（本项为计分项，如有请提供。）</w:t>
            </w:r>
          </w:p>
          <w:p w14:paraId="530CEE41">
            <w:pPr>
              <w:snapToGrid w:val="0"/>
              <w:spacing w:line="400" w:lineRule="exact"/>
              <w:ind w:left="13" w:leftChars="6" w:firstLine="399" w:firstLineChars="190"/>
              <w:jc w:val="left"/>
              <w:rPr>
                <w:rFonts w:hint="eastAsia" w:ascii="宋体" w:hAnsi="宋体"/>
                <w:color w:val="auto"/>
                <w:szCs w:val="21"/>
                <w:highlight w:val="none"/>
              </w:rPr>
            </w:pPr>
            <w:r>
              <w:rPr>
                <w:rFonts w:hint="eastAsia" w:ascii="宋体" w:hAnsi="宋体"/>
                <w:color w:val="auto"/>
                <w:szCs w:val="21"/>
                <w:highlight w:val="none"/>
                <w:lang w:val="en-US" w:eastAsia="zh-CN"/>
              </w:rPr>
              <w:t>2.9</w:t>
            </w:r>
            <w:r>
              <w:rPr>
                <w:rFonts w:hint="eastAsia" w:ascii="宋体" w:hAnsi="宋体"/>
                <w:color w:val="auto"/>
                <w:szCs w:val="21"/>
                <w:highlight w:val="none"/>
              </w:rPr>
              <w:t>.除招标文件规定必须提供以外，投标人认为需要提供的其他证明材料（格式自拟）。（投标人根据“第二章 采购需求”及“第四章 评标方法及评标标准”</w:t>
            </w:r>
            <w:r>
              <w:rPr>
                <w:rFonts w:hint="eastAsia" w:ascii="宋体" w:hAnsi="宋体"/>
                <w:color w:val="auto"/>
                <w:szCs w:val="21"/>
                <w:highlight w:val="none"/>
                <w:lang w:val="en-US" w:eastAsia="zh-CN"/>
              </w:rPr>
              <w:t>认为还需</w:t>
            </w:r>
            <w:r>
              <w:rPr>
                <w:rFonts w:hint="eastAsia" w:ascii="宋体" w:hAnsi="宋体"/>
                <w:color w:val="auto"/>
                <w:szCs w:val="21"/>
                <w:highlight w:val="none"/>
              </w:rPr>
              <w:t>提供</w:t>
            </w:r>
            <w:r>
              <w:rPr>
                <w:rFonts w:hint="eastAsia" w:ascii="宋体" w:hAnsi="宋体"/>
                <w:color w:val="auto"/>
                <w:szCs w:val="21"/>
                <w:highlight w:val="none"/>
                <w:lang w:val="en-US" w:eastAsia="zh-CN"/>
              </w:rPr>
              <w:t>的</w:t>
            </w:r>
            <w:r>
              <w:rPr>
                <w:rFonts w:hint="eastAsia" w:ascii="宋体" w:hAnsi="宋体"/>
                <w:color w:val="auto"/>
                <w:szCs w:val="21"/>
                <w:highlight w:val="none"/>
              </w:rPr>
              <w:t>有关证明材料）。</w:t>
            </w:r>
          </w:p>
          <w:p w14:paraId="3DAEE8CD">
            <w:pPr>
              <w:snapToGrid w:val="0"/>
              <w:spacing w:line="400" w:lineRule="exact"/>
              <w:ind w:left="13" w:leftChars="6" w:firstLine="401" w:firstLineChars="190"/>
              <w:jc w:val="left"/>
              <w:rPr>
                <w:rFonts w:hint="eastAsia" w:ascii="宋体" w:hAnsi="宋体"/>
                <w:b/>
                <w:bCs/>
                <w:color w:val="auto"/>
                <w:szCs w:val="21"/>
                <w:highlight w:val="none"/>
              </w:rPr>
            </w:pPr>
            <w:r>
              <w:rPr>
                <w:rFonts w:hint="eastAsia" w:ascii="宋体" w:hAnsi="宋体"/>
                <w:b/>
                <w:bCs/>
                <w:color w:val="auto"/>
                <w:szCs w:val="21"/>
                <w:highlight w:val="none"/>
              </w:rPr>
              <w:t>注：（1）以上标明“必须提供”的材料，格式中有要求法定代表人或者委托代理人签字的，必须按要求签字（或者电子签名）</w:t>
            </w:r>
            <w:r>
              <w:rPr>
                <w:rFonts w:hint="eastAsia" w:ascii="宋体" w:hAnsi="宋体"/>
                <w:b/>
                <w:bCs/>
                <w:color w:val="auto"/>
                <w:szCs w:val="21"/>
                <w:highlight w:val="none"/>
                <w:lang w:val="en-US" w:eastAsia="zh-CN"/>
              </w:rPr>
              <w:t>或盖章，</w:t>
            </w:r>
            <w:r>
              <w:rPr>
                <w:rFonts w:hint="eastAsia" w:ascii="宋体" w:hAnsi="宋体"/>
                <w:b/>
                <w:bCs/>
                <w:color w:val="auto"/>
                <w:szCs w:val="21"/>
                <w:highlight w:val="none"/>
              </w:rPr>
              <w:t>并加盖投标人电子签章，否则按无效投标处理。</w:t>
            </w:r>
          </w:p>
          <w:p w14:paraId="7799095B">
            <w:pPr>
              <w:numPr>
                <w:ilvl w:val="0"/>
                <w:numId w:val="11"/>
              </w:numPr>
              <w:snapToGrid w:val="0"/>
              <w:spacing w:line="400" w:lineRule="exact"/>
              <w:ind w:left="13" w:leftChars="6" w:firstLine="401" w:firstLineChars="190"/>
              <w:jc w:val="left"/>
              <w:rPr>
                <w:rFonts w:hint="eastAsia" w:ascii="宋体" w:hAnsi="宋体"/>
                <w:b/>
                <w:color w:val="auto"/>
                <w:szCs w:val="21"/>
                <w:highlight w:val="none"/>
                <w:u w:val="single"/>
              </w:rPr>
            </w:pPr>
            <w:r>
              <w:rPr>
                <w:rFonts w:hint="eastAsia" w:ascii="宋体" w:hAnsi="宋体"/>
                <w:b/>
                <w:color w:val="auto"/>
                <w:szCs w:val="21"/>
                <w:highlight w:val="none"/>
                <w:u w:val="single"/>
              </w:rPr>
              <w:t>本项目采购需求表中如有要求提供证明文件、材料或承诺书，请在《技术要求偏离表》或《商务要求偏离表》中应答，并同时在表中注明相关文件材料或承诺书在投标文件中放置的所在页码。</w:t>
            </w:r>
          </w:p>
          <w:p w14:paraId="543F5842">
            <w:pPr>
              <w:numPr>
                <w:ilvl w:val="0"/>
                <w:numId w:val="11"/>
              </w:numPr>
              <w:snapToGrid w:val="0"/>
              <w:spacing w:line="400" w:lineRule="exact"/>
              <w:ind w:left="13" w:leftChars="6" w:firstLine="401" w:firstLineChars="190"/>
              <w:jc w:val="left"/>
              <w:rPr>
                <w:rFonts w:hint="eastAsia" w:ascii="宋体" w:hAnsi="宋体"/>
                <w:b/>
                <w:color w:val="auto"/>
                <w:szCs w:val="21"/>
                <w:highlight w:val="none"/>
                <w:u w:val="single"/>
              </w:rPr>
            </w:pPr>
            <w:r>
              <w:rPr>
                <w:rFonts w:hint="eastAsia" w:ascii="宋体" w:hAnsi="宋体" w:cs="宋体"/>
                <w:b/>
                <w:bCs/>
                <w:color w:val="auto"/>
                <w:szCs w:val="21"/>
                <w:highlight w:val="none"/>
              </w:rPr>
              <w:t>第六章未附格式的，由投标人自行拟定。</w:t>
            </w:r>
          </w:p>
        </w:tc>
      </w:tr>
      <w:tr w14:paraId="46858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5B229BE1">
            <w:pPr>
              <w:spacing w:line="400" w:lineRule="exact"/>
              <w:jc w:val="center"/>
              <w:rPr>
                <w:rFonts w:hint="eastAsia" w:ascii="宋体" w:hAnsi="宋体"/>
                <w:color w:val="auto"/>
                <w:szCs w:val="21"/>
                <w:highlight w:val="none"/>
              </w:rPr>
            </w:pPr>
            <w:bookmarkStart w:id="63" w:name="_16.2"/>
            <w:bookmarkEnd w:id="63"/>
            <w:bookmarkStart w:id="64" w:name="_13.4"/>
            <w:bookmarkEnd w:id="64"/>
            <w:bookmarkStart w:id="65" w:name="_13.5"/>
            <w:bookmarkEnd w:id="65"/>
            <w:r>
              <w:rPr>
                <w:rFonts w:hint="eastAsia" w:ascii="宋体" w:hAnsi="宋体"/>
                <w:color w:val="auto"/>
                <w:szCs w:val="21"/>
                <w:highlight w:val="none"/>
              </w:rPr>
              <w:t>16</w:t>
            </w:r>
            <w:bookmarkStart w:id="66" w:name="_Hlt19693759"/>
            <w:bookmarkStart w:id="67" w:name="_Hlt19194066"/>
            <w:bookmarkStart w:id="68" w:name="_Hlt19693758"/>
            <w:bookmarkStart w:id="69" w:name="_Hlt19194067"/>
            <w:r>
              <w:rPr>
                <w:rFonts w:hint="eastAsia" w:ascii="宋体" w:hAnsi="宋体"/>
                <w:color w:val="auto"/>
                <w:szCs w:val="21"/>
                <w:highlight w:val="none"/>
              </w:rPr>
              <w:t>.</w:t>
            </w:r>
            <w:bookmarkEnd w:id="66"/>
            <w:bookmarkEnd w:id="67"/>
            <w:bookmarkEnd w:id="68"/>
            <w:bookmarkEnd w:id="69"/>
            <w:r>
              <w:rPr>
                <w:rFonts w:hint="eastAsia" w:ascii="宋体" w:hAnsi="宋体"/>
                <w:color w:val="auto"/>
                <w:szCs w:val="21"/>
                <w:highlight w:val="none"/>
              </w:rPr>
              <w:t>2投标报价</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781FB94D">
            <w:pPr>
              <w:numPr>
                <w:ilvl w:val="0"/>
                <w:numId w:val="0"/>
              </w:numPr>
              <w:snapToGrid w:val="0"/>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投标报价是履行合同的最终价格，投标人的投标报价为人民币含税价，本项目实行总价包干且为采购人指定地点的现场交货价。应包括设备及服务需求要求所需的一切费用总和，除另有约定外，中标价不因任何因素而调整：</w:t>
            </w:r>
          </w:p>
          <w:p w14:paraId="0CAE6284">
            <w:pPr>
              <w:numPr>
                <w:ilvl w:val="0"/>
                <w:numId w:val="0"/>
              </w:numPr>
              <w:snapToGrid w:val="0"/>
              <w:spacing w:line="400" w:lineRule="exact"/>
              <w:ind w:firstLine="420" w:firstLineChars="200"/>
              <w:rPr>
                <w:rFonts w:hint="default" w:ascii="宋体" w:hAnsi="宋体" w:eastAsia="宋体"/>
                <w:color w:val="auto"/>
                <w:szCs w:val="21"/>
                <w:highlight w:val="none"/>
                <w:lang w:val="en-US" w:eastAsia="zh-CN"/>
              </w:rPr>
            </w:pPr>
            <w:r>
              <w:rPr>
                <w:rFonts w:hint="eastAsia" w:hAnsi="宋体"/>
                <w:color w:val="auto"/>
                <w:highlight w:val="none"/>
              </w:rPr>
              <w:t>货物完整报价包括货物税金、疫苗稀释液、运至最终目的地运输、储存、搬运、检测及抽检、验收（含换货验收）、保险以及伴随货物服务的有关一切费用（包括差旅、培训、疫苗使用效果监测、免疫应激反应处理、死亡畜禽补偿、免疫失败引发疫情时应急处置及确保疫苗质量及使用效果的其它相关服务等所有费用）。</w:t>
            </w:r>
          </w:p>
          <w:p w14:paraId="022061DE">
            <w:pPr>
              <w:snapToGrid w:val="0"/>
              <w:spacing w:line="400" w:lineRule="exact"/>
              <w:ind w:firstLine="420" w:firstLineChars="200"/>
              <w:rPr>
                <w:rFonts w:hint="eastAsia"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.投标人漏报的单价或每单价报价中漏报、少报的费用，视为此项费用已隐含在投标报价中，中标后不得再向采购人收取任何费用。</w:t>
            </w:r>
          </w:p>
        </w:tc>
      </w:tr>
      <w:tr w14:paraId="713A54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3CC3F535">
            <w:pPr>
              <w:spacing w:line="400" w:lineRule="exact"/>
              <w:jc w:val="center"/>
              <w:rPr>
                <w:rFonts w:hint="eastAsia" w:ascii="宋体" w:hAnsi="宋体"/>
                <w:color w:val="auto"/>
                <w:szCs w:val="21"/>
                <w:highlight w:val="none"/>
              </w:rPr>
            </w:pPr>
            <w:bookmarkStart w:id="70" w:name="_17.1"/>
            <w:bookmarkEnd w:id="70"/>
            <w:r>
              <w:rPr>
                <w:rFonts w:hint="eastAsia" w:ascii="宋体" w:hAnsi="宋体"/>
                <w:color w:val="auto"/>
                <w:szCs w:val="21"/>
                <w:highlight w:val="none"/>
              </w:rPr>
              <w:t>17.</w:t>
            </w:r>
            <w:r>
              <w:rPr>
                <w:rFonts w:ascii="宋体" w:hAnsi="宋体"/>
                <w:color w:val="auto"/>
                <w:szCs w:val="21"/>
                <w:highlight w:val="none"/>
              </w:rPr>
              <w:t>2</w:t>
            </w:r>
            <w:r>
              <w:rPr>
                <w:rFonts w:hint="eastAsia" w:ascii="宋体" w:hAnsi="宋体"/>
                <w:color w:val="auto"/>
                <w:szCs w:val="21"/>
                <w:highlight w:val="none"/>
              </w:rPr>
              <w:t>投标有效期</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632CA876">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自投标截止之日起</w:t>
            </w:r>
            <w:r>
              <w:rPr>
                <w:rFonts w:ascii="宋体" w:hAnsi="宋体"/>
                <w:color w:val="auto"/>
                <w:szCs w:val="21"/>
                <w:highlight w:val="none"/>
                <w:u w:val="single"/>
              </w:rPr>
              <w:t xml:space="preserve"> 120 </w:t>
            </w:r>
            <w:r>
              <w:rPr>
                <w:rFonts w:hint="eastAsia" w:ascii="宋体" w:hAnsi="宋体"/>
                <w:color w:val="auto"/>
                <w:szCs w:val="21"/>
                <w:highlight w:val="none"/>
              </w:rPr>
              <w:t>日。</w:t>
            </w:r>
          </w:p>
        </w:tc>
      </w:tr>
      <w:tr w14:paraId="10F24B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749051F5">
            <w:pPr>
              <w:spacing w:line="400" w:lineRule="exact"/>
              <w:jc w:val="center"/>
              <w:rPr>
                <w:rFonts w:hint="eastAsia" w:ascii="宋体" w:hAnsi="宋体"/>
                <w:color w:val="auto"/>
                <w:szCs w:val="21"/>
                <w:highlight w:val="none"/>
              </w:rPr>
            </w:pPr>
            <w:bookmarkStart w:id="71" w:name="_18"/>
            <w:bookmarkEnd w:id="71"/>
            <w:r>
              <w:rPr>
                <w:rFonts w:hint="eastAsia" w:ascii="宋体" w:hAnsi="宋体"/>
                <w:color w:val="auto"/>
                <w:szCs w:val="21"/>
                <w:highlight w:val="none"/>
              </w:rPr>
              <w:t>18</w:t>
            </w:r>
            <w:r>
              <w:rPr>
                <w:rFonts w:ascii="宋体" w:hAnsi="宋体"/>
                <w:color w:val="auto"/>
                <w:szCs w:val="21"/>
                <w:highlight w:val="none"/>
              </w:rPr>
              <w:t>.1</w:t>
            </w:r>
            <w:r>
              <w:rPr>
                <w:rFonts w:hint="eastAsia" w:ascii="宋体" w:hAnsi="宋体"/>
                <w:color w:val="auto"/>
                <w:szCs w:val="21"/>
                <w:highlight w:val="none"/>
              </w:rPr>
              <w:t>投标保证金</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6992E89F">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□本项目不收取投标保证金。</w:t>
            </w:r>
          </w:p>
          <w:p w14:paraId="38533D33">
            <w:pPr>
              <w:snapToGrid w:val="0"/>
              <w:spacing w:line="400" w:lineRule="exact"/>
              <w:rPr>
                <w:rFonts w:hint="eastAsia"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本项目收取投标保证金，具体规定如下：</w:t>
            </w:r>
          </w:p>
          <w:p w14:paraId="27BEBE00">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A1分标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60000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39D94E2A">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A2分标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48000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0371D68E">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A3分标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36000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30602038">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A4分标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30000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56B9E4CC">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B分标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160</w:t>
            </w:r>
            <w:r>
              <w:rPr>
                <w:rFonts w:hint="eastAsia" w:ascii="宋体" w:hAnsi="宋体" w:cs="宋体"/>
                <w:color w:val="auto"/>
                <w:kern w:val="0"/>
                <w:szCs w:val="21"/>
                <w:highlight w:val="none"/>
                <w:u w:val="single"/>
                <w:lang w:val="en-US" w:eastAsia="zh-CN"/>
              </w:rPr>
              <w:t>2</w:t>
            </w:r>
            <w:r>
              <w:rPr>
                <w:rFonts w:hint="eastAsia" w:ascii="宋体" w:hAnsi="宋体" w:cs="宋体"/>
                <w:color w:val="auto"/>
                <w:kern w:val="0"/>
                <w:szCs w:val="21"/>
                <w:highlight w:val="none"/>
                <w:u w:val="single"/>
              </w:rPr>
              <w:t>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3F456CA0">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C分标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3600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517B3515">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D1分标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86</w:t>
            </w:r>
            <w:r>
              <w:rPr>
                <w:rFonts w:hint="eastAsia" w:ascii="宋体" w:hAnsi="宋体" w:cs="宋体"/>
                <w:color w:val="auto"/>
                <w:kern w:val="0"/>
                <w:szCs w:val="21"/>
                <w:highlight w:val="none"/>
                <w:u w:val="single"/>
                <w:lang w:val="en-US" w:eastAsia="zh-CN"/>
              </w:rPr>
              <w:t>7</w:t>
            </w:r>
            <w:r>
              <w:rPr>
                <w:rFonts w:hint="eastAsia" w:ascii="宋体" w:hAnsi="宋体" w:cs="宋体"/>
                <w:color w:val="auto"/>
                <w:kern w:val="0"/>
                <w:szCs w:val="21"/>
                <w:highlight w:val="none"/>
                <w:u w:val="single"/>
              </w:rPr>
              <w:t>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6F534FD6">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D2分标</w:t>
            </w:r>
            <w:r>
              <w:rPr>
                <w:rFonts w:hint="eastAsia" w:ascii="宋体" w:hAnsi="宋体" w:cs="宋体"/>
                <w:color w:val="auto"/>
                <w:kern w:val="0"/>
                <w:szCs w:val="21"/>
                <w:highlight w:val="none"/>
              </w:rPr>
              <w:t>：投标保证金人民币</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21</w:t>
            </w:r>
            <w:r>
              <w:rPr>
                <w:rFonts w:hint="eastAsia" w:ascii="宋体" w:hAnsi="宋体" w:cs="宋体"/>
                <w:color w:val="auto"/>
                <w:kern w:val="0"/>
                <w:szCs w:val="21"/>
                <w:highlight w:val="none"/>
                <w:u w:val="single"/>
                <w:lang w:val="en-US" w:eastAsia="zh-CN"/>
              </w:rPr>
              <w:t>3</w:t>
            </w:r>
            <w:r>
              <w:rPr>
                <w:rFonts w:hint="eastAsia" w:ascii="宋体" w:hAnsi="宋体" w:cs="宋体"/>
                <w:color w:val="auto"/>
                <w:kern w:val="0"/>
                <w:szCs w:val="21"/>
                <w:highlight w:val="none"/>
                <w:u w:val="single"/>
              </w:rPr>
              <w:t>0</w:t>
            </w:r>
            <w:r>
              <w:rPr>
                <w:rFonts w:ascii="宋体" w:hAnsi="宋体" w:cs="宋体"/>
                <w:color w:val="auto"/>
                <w:kern w:val="0"/>
                <w:szCs w:val="21"/>
                <w:highlight w:val="none"/>
                <w:u w:val="single"/>
              </w:rPr>
              <w:t>.00</w:t>
            </w:r>
            <w:r>
              <w:rPr>
                <w:rFonts w:hint="eastAsia" w:ascii="宋体" w:hAnsi="宋体" w:cs="宋体"/>
                <w:color w:val="auto"/>
                <w:kern w:val="0"/>
                <w:szCs w:val="21"/>
                <w:highlight w:val="none"/>
              </w:rPr>
              <w:t>元；</w:t>
            </w:r>
          </w:p>
          <w:p w14:paraId="161B604F">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投标保证金的缴纳方式：以银行转账、支票、汇票、本票或者金融机构、担保机构出具的保函等非现金形式提交。采用银行转账方式的，在投标截止时间前交至采购代理机构指定账户并以到账为准。缴纳投标保证金指定账户的信息：</w:t>
            </w:r>
          </w:p>
          <w:p w14:paraId="0D1AB6A3">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开户名称：广西中信恒泰工程顾问有限公司</w:t>
            </w:r>
          </w:p>
          <w:p w14:paraId="2AF6F91F">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开户银行：建行南宁金湖广场支行</w:t>
            </w:r>
          </w:p>
          <w:p w14:paraId="0D7EB880">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银行账号：4500 1604 2660 5250 2851</w:t>
            </w:r>
          </w:p>
          <w:p w14:paraId="4F7B0CC0">
            <w:pPr>
              <w:snapToGrid w:val="0"/>
              <w:spacing w:line="400" w:lineRule="exact"/>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采用支票、汇票、本票或者保函等方式的，在投标截止时间前，</w:t>
            </w:r>
            <w:r>
              <w:rPr>
                <w:rFonts w:hint="eastAsia" w:ascii="宋体" w:hAnsi="宋体" w:cs="宋体"/>
                <w:b/>
                <w:bCs/>
                <w:color w:val="auto"/>
                <w:kern w:val="0"/>
                <w:szCs w:val="21"/>
                <w:highlight w:val="none"/>
              </w:rPr>
              <w:t>投标人必须递交单独密封的支票、汇票、本票或者保函等原件给采购代理机构</w:t>
            </w:r>
            <w:r>
              <w:rPr>
                <w:rFonts w:hint="eastAsia" w:ascii="宋体" w:hAnsi="宋体" w:cs="宋体"/>
                <w:color w:val="auto"/>
                <w:kern w:val="0"/>
                <w:szCs w:val="21"/>
                <w:highlight w:val="none"/>
              </w:rPr>
              <w:t>。否则视为无效投标保证金。</w:t>
            </w:r>
          </w:p>
          <w:p w14:paraId="02071650">
            <w:pPr>
              <w:snapToGrid w:val="0"/>
              <w:spacing w:line="400" w:lineRule="exact"/>
              <w:rPr>
                <w:rFonts w:ascii="宋体" w:hAnsi="宋体"/>
                <w:b/>
                <w:bCs/>
                <w:color w:val="auto"/>
                <w:szCs w:val="21"/>
                <w:highlight w:val="none"/>
              </w:rPr>
            </w:pPr>
            <w:r>
              <w:rPr>
                <w:rFonts w:hint="eastAsia" w:ascii="宋体" w:hAnsi="宋体"/>
                <w:b/>
                <w:bCs/>
                <w:color w:val="auto"/>
                <w:szCs w:val="21"/>
                <w:highlight w:val="none"/>
              </w:rPr>
              <w:t>相关要求：</w:t>
            </w:r>
          </w:p>
          <w:p w14:paraId="771512F9">
            <w:pPr>
              <w:pStyle w:val="16"/>
              <w:spacing w:after="12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s="Arial"/>
                <w:b/>
                <w:color w:val="auto"/>
                <w:szCs w:val="21"/>
                <w:highlight w:val="none"/>
                <w:u w:val="single"/>
              </w:rPr>
              <w:t>投标人参与多个分标投标的，可按标段规定金额分别提交；采用合并方式一次性提交保证金的，如实缴金额合计数少于应缴金额合计数的，不能确定其所投标段保证金金额的，其所投分标均作投标无效处理</w:t>
            </w:r>
            <w:r>
              <w:rPr>
                <w:rFonts w:hint="eastAsia" w:ascii="宋体" w:hAnsi="宋体" w:cs="Arial"/>
                <w:b/>
                <w:color w:val="auto"/>
                <w:szCs w:val="21"/>
                <w:highlight w:val="none"/>
              </w:rPr>
              <w:t>。</w:t>
            </w:r>
          </w:p>
          <w:p w14:paraId="16464B79">
            <w:pPr>
              <w:pStyle w:val="16"/>
              <w:spacing w:after="120" w:line="400" w:lineRule="exact"/>
              <w:ind w:firstLine="420" w:firstLineChars="200"/>
              <w:rPr>
                <w:rFonts w:ascii="宋体" w:hAnsi="宋体"/>
                <w:color w:val="auto"/>
                <w:szCs w:val="21"/>
                <w:highlight w:val="none"/>
              </w:rPr>
            </w:pPr>
            <w:r>
              <w:rPr>
                <w:rFonts w:hint="eastAsia" w:ascii="宋体" w:hAnsi="宋体"/>
                <w:color w:val="auto"/>
                <w:szCs w:val="21"/>
                <w:highlight w:val="none"/>
              </w:rPr>
              <w:t>2.投标保证金采用银行转账交纳方式的，在投标截止时间前交至指定账户并且到账，投标人应将银行转账底单的复印件作为投标保证金提交凭证，放置于商务及技术文件中，</w:t>
            </w:r>
            <w:r>
              <w:rPr>
                <w:rFonts w:hint="eastAsia" w:ascii="宋体" w:hAnsi="宋体"/>
                <w:b/>
                <w:color w:val="auto"/>
                <w:szCs w:val="21"/>
                <w:highlight w:val="none"/>
              </w:rPr>
              <w:t>否则投标无效</w:t>
            </w:r>
            <w:r>
              <w:rPr>
                <w:rFonts w:hint="eastAsia" w:ascii="宋体" w:hAnsi="宋体"/>
                <w:color w:val="auto"/>
                <w:szCs w:val="21"/>
                <w:highlight w:val="none"/>
              </w:rPr>
              <w:t>。</w:t>
            </w:r>
          </w:p>
          <w:p w14:paraId="2F145742">
            <w:pPr>
              <w:pStyle w:val="16"/>
              <w:spacing w:after="120" w:line="400" w:lineRule="exact"/>
              <w:ind w:firstLine="420" w:firstLineChars="200"/>
              <w:rPr>
                <w:rFonts w:ascii="宋体" w:hAnsi="宋体"/>
                <w:color w:val="auto"/>
                <w:szCs w:val="21"/>
                <w:highlight w:val="none"/>
              </w:rPr>
            </w:pPr>
            <w:r>
              <w:rPr>
                <w:rFonts w:hint="eastAsia" w:ascii="宋体" w:hAnsi="宋体"/>
                <w:color w:val="auto"/>
                <w:szCs w:val="21"/>
                <w:highlight w:val="none"/>
              </w:rPr>
              <w:t>3.投标保证金采用支票、汇票、本票或者银行、保险机构出具的保函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交纳方式的，投标人应将支票、汇票、本票或者银行、保险机构出具的保函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的复印件作为投标保证金提交凭证，放置于商务及技术文件中，</w:t>
            </w:r>
            <w:r>
              <w:rPr>
                <w:rFonts w:hint="eastAsia" w:ascii="宋体" w:hAnsi="宋体"/>
                <w:b/>
                <w:color w:val="auto"/>
                <w:szCs w:val="21"/>
                <w:highlight w:val="none"/>
              </w:rPr>
              <w:t>否则投标无效</w:t>
            </w:r>
            <w:r>
              <w:rPr>
                <w:rFonts w:hint="eastAsia" w:ascii="宋体" w:hAnsi="宋体"/>
                <w:color w:val="auto"/>
                <w:szCs w:val="21"/>
                <w:highlight w:val="none"/>
              </w:rPr>
              <w:t>。投标人必须在投标截止时间前采用现场或邮寄方式（现场提交地址：</w:t>
            </w:r>
            <w:r>
              <w:rPr>
                <w:rFonts w:hint="eastAsia" w:ascii="宋体" w:hAnsi="宋体"/>
                <w:color w:val="auto"/>
                <w:szCs w:val="21"/>
                <w:highlight w:val="none"/>
                <w:u w:val="single"/>
              </w:rPr>
              <w:t>广西壮族自治区公共资源交易中心（广西南宁市青秀区星湖路2</w:t>
            </w:r>
            <w:r>
              <w:rPr>
                <w:rFonts w:ascii="宋体" w:hAnsi="宋体"/>
                <w:color w:val="auto"/>
                <w:szCs w:val="21"/>
                <w:highlight w:val="none"/>
                <w:u w:val="single"/>
              </w:rPr>
              <w:t>2</w:t>
            </w:r>
            <w:r>
              <w:rPr>
                <w:rFonts w:hint="eastAsia" w:ascii="宋体" w:hAnsi="宋体"/>
                <w:color w:val="auto"/>
                <w:szCs w:val="21"/>
                <w:highlight w:val="none"/>
                <w:u w:val="single"/>
              </w:rPr>
              <w:t>号开标楼）（具体根据开标当日电子屏幕显示的安排）</w:t>
            </w:r>
            <w:r>
              <w:rPr>
                <w:rFonts w:hint="eastAsia" w:ascii="宋体" w:hAnsi="宋体"/>
                <w:color w:val="auto"/>
                <w:szCs w:val="21"/>
                <w:highlight w:val="none"/>
              </w:rPr>
              <w:t>；邮寄地址：</w:t>
            </w:r>
            <w:r>
              <w:rPr>
                <w:rFonts w:hint="eastAsia" w:ascii="宋体" w:hAnsi="宋体"/>
                <w:color w:val="auto"/>
                <w:szCs w:val="21"/>
                <w:highlight w:val="none"/>
                <w:u w:val="single"/>
              </w:rPr>
              <w:t>广</w:t>
            </w:r>
            <w:r>
              <w:rPr>
                <w:rFonts w:hint="eastAsia" w:ascii="宋体" w:hAnsi="宋体"/>
                <w:bCs/>
                <w:color w:val="auto"/>
                <w:szCs w:val="21"/>
                <w:highlight w:val="none"/>
                <w:u w:val="single"/>
              </w:rPr>
              <w:t>西南宁市青秀区云景路69号南宁轨道大厦B楼15层广西中信恒泰工程顾问有限公司</w:t>
            </w:r>
            <w:r>
              <w:rPr>
                <w:rFonts w:hint="eastAsia" w:ascii="宋体" w:hAnsi="宋体"/>
                <w:color w:val="auto"/>
                <w:szCs w:val="21"/>
                <w:highlight w:val="none"/>
              </w:rPr>
              <w:t>，收件人：</w:t>
            </w:r>
            <w:r>
              <w:rPr>
                <w:rFonts w:hint="eastAsia" w:hAnsi="宋体"/>
                <w:color w:val="auto"/>
                <w:highlight w:val="none"/>
                <w:u w:val="single"/>
              </w:rPr>
              <w:t>廖欣蕾、陈燕英</w:t>
            </w:r>
            <w:r>
              <w:rPr>
                <w:rFonts w:hint="eastAsia" w:ascii="宋体" w:hAnsi="宋体"/>
                <w:color w:val="auto"/>
                <w:szCs w:val="21"/>
                <w:highlight w:val="none"/>
              </w:rPr>
              <w:t>，联系方式：</w:t>
            </w:r>
            <w:r>
              <w:rPr>
                <w:rFonts w:hint="eastAsia" w:ascii="宋体" w:hAnsi="宋体"/>
                <w:color w:val="auto"/>
                <w:szCs w:val="21"/>
                <w:highlight w:val="none"/>
                <w:u w:val="single"/>
              </w:rPr>
              <w:t>0771-5776251</w:t>
            </w:r>
            <w:r>
              <w:rPr>
                <w:rFonts w:hint="eastAsia" w:ascii="宋体" w:hAnsi="宋体"/>
                <w:color w:val="auto"/>
                <w:szCs w:val="21"/>
                <w:highlight w:val="none"/>
              </w:rPr>
              <w:t>）将单独密封的支票、汇票、本票或者银行、保险机构出具的保函原件提交给采购人或者采购代理机构，未按时提交的，投标无效，由采购人或者采购代理机构向投标人出具回执（邮寄方式的除外），并妥善保管。</w:t>
            </w:r>
          </w:p>
          <w:p w14:paraId="19852392">
            <w:pPr>
              <w:pStyle w:val="16"/>
              <w:spacing w:after="12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投标人为联合体的，可以由联合体中的一方或者多方共同交纳投标保证金，其交纳的保证金对联合体各方均具有约束力。</w:t>
            </w:r>
          </w:p>
          <w:p w14:paraId="6FA6037B">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 xml:space="preserve">备注： </w:t>
            </w:r>
          </w:p>
          <w:p w14:paraId="12CE91D2">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rPr>
              <w:t>1</w:t>
            </w:r>
            <w:r>
              <w:rPr>
                <w:rFonts w:hint="eastAsia" w:ascii="宋体" w:hAnsi="宋体"/>
                <w:b/>
                <w:color w:val="auto"/>
                <w:szCs w:val="21"/>
                <w:highlight w:val="none"/>
                <w:lang w:eastAsia="zh-CN"/>
              </w:rPr>
              <w:t>）</w:t>
            </w:r>
            <w:r>
              <w:rPr>
                <w:rFonts w:hint="eastAsia" w:ascii="宋体" w:hAnsi="宋体"/>
                <w:b/>
                <w:color w:val="auto"/>
                <w:szCs w:val="21"/>
                <w:highlight w:val="none"/>
              </w:rPr>
              <w:t>投标保证金在投标截止时间后提交的，或者不按规定交纳方式交纳的，或者未足额交纳的（包含保函额度不足的），视为无效投标保证金。</w:t>
            </w:r>
          </w:p>
          <w:p w14:paraId="7EE30804">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rPr>
              <w:t>2</w:t>
            </w:r>
            <w:r>
              <w:rPr>
                <w:rFonts w:hint="eastAsia" w:ascii="宋体" w:hAnsi="宋体"/>
                <w:b/>
                <w:color w:val="auto"/>
                <w:szCs w:val="21"/>
                <w:highlight w:val="none"/>
                <w:lang w:eastAsia="zh-CN"/>
              </w:rPr>
              <w:t>）</w:t>
            </w:r>
            <w:r>
              <w:rPr>
                <w:rFonts w:hint="eastAsia" w:ascii="宋体" w:hAnsi="宋体"/>
                <w:b/>
                <w:color w:val="auto"/>
                <w:szCs w:val="21"/>
                <w:highlight w:val="none"/>
              </w:rPr>
              <w:t>投标人采用现钞方式或者从个人账户（自然人投标除外）转出的投标保证金，视为无效投标保证金。</w:t>
            </w:r>
          </w:p>
          <w:p w14:paraId="4E71A1E5">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rPr>
              <w:t>3</w:t>
            </w:r>
            <w:r>
              <w:rPr>
                <w:rFonts w:hint="eastAsia" w:ascii="宋体" w:hAnsi="宋体"/>
                <w:b/>
                <w:color w:val="auto"/>
                <w:szCs w:val="21"/>
                <w:highlight w:val="none"/>
                <w:lang w:eastAsia="zh-CN"/>
              </w:rPr>
              <w:t>）</w:t>
            </w:r>
            <w:r>
              <w:rPr>
                <w:rFonts w:hint="eastAsia" w:ascii="宋体" w:hAnsi="宋体"/>
                <w:b/>
                <w:color w:val="auto"/>
                <w:szCs w:val="21"/>
                <w:highlight w:val="none"/>
              </w:rPr>
              <w:t>支票、汇票或者本票出现无效或者背书情形的，视为无效投标保证金。</w:t>
            </w:r>
          </w:p>
          <w:p w14:paraId="54A3658A">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rPr>
              <w:t>4</w:t>
            </w:r>
            <w:r>
              <w:rPr>
                <w:rFonts w:hint="eastAsia" w:ascii="宋体" w:hAnsi="宋体"/>
                <w:b/>
                <w:color w:val="auto"/>
                <w:szCs w:val="21"/>
                <w:highlight w:val="none"/>
                <w:lang w:eastAsia="zh-CN"/>
              </w:rPr>
              <w:t>）</w:t>
            </w:r>
            <w:r>
              <w:rPr>
                <w:rFonts w:hint="eastAsia" w:ascii="宋体" w:hAnsi="宋体"/>
                <w:b/>
                <w:color w:val="auto"/>
                <w:szCs w:val="21"/>
                <w:highlight w:val="none"/>
              </w:rPr>
              <w:t>保函有效期低于投标有效期的，视为无效投标保证金。</w:t>
            </w:r>
          </w:p>
          <w:p w14:paraId="643E36FA">
            <w:pPr>
              <w:snapToGrid w:val="0"/>
              <w:spacing w:line="400" w:lineRule="exact"/>
              <w:rPr>
                <w:rFonts w:hint="eastAsia" w:ascii="宋体" w:hAnsi="宋体"/>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rPr>
              <w:t>5</w:t>
            </w:r>
            <w:r>
              <w:rPr>
                <w:rFonts w:hint="eastAsia" w:ascii="宋体" w:hAnsi="宋体"/>
                <w:b/>
                <w:color w:val="auto"/>
                <w:szCs w:val="21"/>
                <w:highlight w:val="none"/>
                <w:lang w:eastAsia="zh-CN"/>
              </w:rPr>
              <w:t>）</w:t>
            </w:r>
            <w:r>
              <w:rPr>
                <w:rFonts w:hint="eastAsia" w:ascii="宋体" w:hAnsi="宋体"/>
                <w:b/>
                <w:color w:val="auto"/>
                <w:szCs w:val="21"/>
                <w:highlight w:val="none"/>
              </w:rPr>
              <w:t>采用银行、保险机构出具保函的，必须为无条件保函，否则视为无效投标保证金。</w:t>
            </w:r>
          </w:p>
        </w:tc>
      </w:tr>
      <w:tr w14:paraId="50222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7840859D">
            <w:pPr>
              <w:spacing w:line="400" w:lineRule="exact"/>
              <w:jc w:val="center"/>
              <w:rPr>
                <w:rFonts w:hint="eastAsia" w:ascii="宋体" w:hAnsi="宋体"/>
                <w:color w:val="auto"/>
                <w:szCs w:val="21"/>
                <w:highlight w:val="none"/>
              </w:rPr>
            </w:pPr>
            <w:bookmarkStart w:id="72" w:name="_19.2"/>
            <w:bookmarkEnd w:id="72"/>
            <w:r>
              <w:rPr>
                <w:rFonts w:hint="eastAsia" w:ascii="宋体" w:hAnsi="宋体"/>
                <w:color w:val="auto"/>
                <w:szCs w:val="21"/>
                <w:highlight w:val="none"/>
              </w:rPr>
              <w:t>20电子备份投标文件</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66C44330">
            <w:pPr>
              <w:autoSpaceDE w:val="0"/>
              <w:autoSpaceDN w:val="0"/>
              <w:adjustRightInd w:val="0"/>
              <w:spacing w:line="360" w:lineRule="exact"/>
              <w:textAlignment w:val="bottom"/>
              <w:rPr>
                <w:rFonts w:ascii="宋体" w:hAnsi="宋体"/>
                <w:color w:val="auto"/>
                <w:szCs w:val="21"/>
                <w:highlight w:val="none"/>
              </w:rPr>
            </w:pPr>
            <w:r>
              <w:rPr>
                <w:rFonts w:ascii="Segoe UI Emoji" w:hAnsi="Segoe UI Emoji" w:cs="Segoe UI Emoji"/>
                <w:color w:val="auto"/>
                <w:highlight w:val="none"/>
              </w:rPr>
              <w:t>☑</w:t>
            </w: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备份投标文件；</w:t>
            </w:r>
          </w:p>
          <w:p w14:paraId="70FD9C30">
            <w:pPr>
              <w:autoSpaceDE w:val="0"/>
              <w:autoSpaceDN w:val="0"/>
              <w:adjustRightInd w:val="0"/>
              <w:spacing w:line="360" w:lineRule="exact"/>
              <w:textAlignment w:val="bottom"/>
              <w:rPr>
                <w:rFonts w:hint="eastAsia"/>
                <w:color w:val="auto"/>
                <w:highlight w:val="none"/>
              </w:rPr>
            </w:pPr>
            <w:r>
              <w:rPr>
                <w:rFonts w:hint="eastAsia" w:ascii="宋体" w:hAnsi="宋体"/>
                <w:color w:val="auto"/>
                <w:szCs w:val="21"/>
                <w:highlight w:val="none"/>
              </w:rPr>
              <w:t>□</w:t>
            </w:r>
            <w:r>
              <w:rPr>
                <w:rFonts w:hint="eastAsia"/>
                <w:color w:val="auto"/>
                <w:highlight w:val="none"/>
              </w:rPr>
              <w:t>本项目接受电子备份投标文件。</w:t>
            </w:r>
          </w:p>
          <w:p w14:paraId="67BFCD4F">
            <w:pPr>
              <w:autoSpaceDE w:val="0"/>
              <w:autoSpaceDN w:val="0"/>
              <w:adjustRightInd w:val="0"/>
              <w:spacing w:line="360" w:lineRule="exact"/>
              <w:ind w:firstLine="420" w:firstLineChars="200"/>
              <w:textAlignment w:val="bottom"/>
              <w:rPr>
                <w:color w:val="auto"/>
                <w:highlight w:val="none"/>
              </w:rPr>
            </w:pPr>
            <w:r>
              <w:rPr>
                <w:rFonts w:hint="eastAsia"/>
                <w:color w:val="auto"/>
                <w:highlight w:val="none"/>
              </w:rPr>
              <w:t>电子</w:t>
            </w:r>
            <w:r>
              <w:rPr>
                <w:rFonts w:hint="eastAsia" w:ascii="宋体" w:hAnsi="宋体"/>
                <w:color w:val="auto"/>
                <w:szCs w:val="21"/>
                <w:highlight w:val="none"/>
              </w:rPr>
              <w:t>备份投标文件</w:t>
            </w:r>
            <w:r>
              <w:rPr>
                <w:rFonts w:hint="eastAsia"/>
                <w:color w:val="auto"/>
                <w:highlight w:val="none"/>
              </w:rPr>
              <w:t>提交方式：投标人可以在投标截止时间前采用以下</w:t>
            </w:r>
            <w:r>
              <w:rPr>
                <w:color w:val="auto"/>
                <w:highlight w:val="none"/>
                <w:u w:val="single"/>
              </w:rPr>
              <w:t xml:space="preserve">  /  </w:t>
            </w:r>
            <w:r>
              <w:rPr>
                <w:rFonts w:hint="eastAsia"/>
                <w:color w:val="auto"/>
                <w:highlight w:val="none"/>
              </w:rPr>
              <w:t>种方式向采购代理机构提交电子备份投标文件：</w:t>
            </w:r>
          </w:p>
          <w:p w14:paraId="61CDC931">
            <w:pPr>
              <w:autoSpaceDE w:val="0"/>
              <w:autoSpaceDN w:val="0"/>
              <w:adjustRightInd w:val="0"/>
              <w:spacing w:line="360" w:lineRule="exact"/>
              <w:textAlignment w:val="bottom"/>
              <w:rPr>
                <w:color w:val="auto"/>
                <w:highlight w:val="none"/>
              </w:rPr>
            </w:pPr>
            <w:r>
              <w:rPr>
                <w:rFonts w:hint="eastAsia"/>
                <w:color w:val="auto"/>
                <w:highlight w:val="none"/>
              </w:rPr>
              <w:t>（</w:t>
            </w:r>
            <w:r>
              <w:rPr>
                <w:color w:val="auto"/>
                <w:highlight w:val="none"/>
              </w:rPr>
              <w:t>1</w:t>
            </w:r>
            <w:r>
              <w:rPr>
                <w:rFonts w:hint="eastAsia"/>
                <w:color w:val="auto"/>
                <w:highlight w:val="none"/>
              </w:rPr>
              <w:t>）现场提交方式，应采用</w:t>
            </w:r>
            <w:r>
              <w:rPr>
                <w:color w:val="auto"/>
                <w:highlight w:val="none"/>
              </w:rPr>
              <w:t>U</w:t>
            </w:r>
            <w:r>
              <w:rPr>
                <w:rFonts w:hint="eastAsia"/>
                <w:color w:val="auto"/>
                <w:highlight w:val="none"/>
              </w:rPr>
              <w:t>盘进行存储，提交地址：</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；提交截止时间：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；外包装上注明投标人名称、项目名称及项目编号（外包装不作密封要求）。</w:t>
            </w:r>
          </w:p>
          <w:p w14:paraId="1F7CC015">
            <w:pPr>
              <w:autoSpaceDE w:val="0"/>
              <w:autoSpaceDN w:val="0"/>
              <w:adjustRightInd w:val="0"/>
              <w:spacing w:line="360" w:lineRule="exact"/>
              <w:textAlignment w:val="bottom"/>
              <w:rPr>
                <w:color w:val="auto"/>
                <w:highlight w:val="none"/>
              </w:rPr>
            </w:pPr>
            <w:r>
              <w:rPr>
                <w:rFonts w:hint="eastAsia"/>
                <w:color w:val="auto"/>
                <w:highlight w:val="none"/>
              </w:rPr>
              <w:t>（</w:t>
            </w:r>
            <w:r>
              <w:rPr>
                <w:color w:val="auto"/>
                <w:highlight w:val="none"/>
              </w:rPr>
              <w:t>2</w:t>
            </w:r>
            <w:r>
              <w:rPr>
                <w:rFonts w:hint="eastAsia"/>
                <w:color w:val="auto"/>
                <w:highlight w:val="none"/>
              </w:rPr>
              <w:t>）电子邮件方式，接收电子备份投标文件的电子邮箱为：</w:t>
            </w:r>
            <w:r>
              <w:rPr>
                <w:color w:val="auto"/>
                <w:highlight w:val="none"/>
                <w:u w:val="single"/>
              </w:rPr>
              <w:t xml:space="preserve">    /    </w:t>
            </w:r>
            <w:r>
              <w:rPr>
                <w:rFonts w:hint="eastAsia"/>
                <w:color w:val="auto"/>
                <w:highlight w:val="none"/>
              </w:rPr>
              <w:t>。</w:t>
            </w:r>
          </w:p>
          <w:p w14:paraId="0AE2A5D5">
            <w:pPr>
              <w:pStyle w:val="16"/>
              <w:spacing w:line="360" w:lineRule="exact"/>
              <w:rPr>
                <w:color w:val="auto"/>
                <w:highlight w:val="none"/>
              </w:rPr>
            </w:pPr>
            <w:r>
              <w:rPr>
                <w:rFonts w:hint="eastAsia"/>
                <w:color w:val="auto"/>
                <w:highlight w:val="none"/>
              </w:rPr>
              <w:t>（</w:t>
            </w:r>
            <w:r>
              <w:rPr>
                <w:color w:val="auto"/>
                <w:highlight w:val="none"/>
              </w:rPr>
              <w:t>3</w:t>
            </w:r>
            <w:r>
              <w:rPr>
                <w:rFonts w:hint="eastAsia"/>
                <w:color w:val="auto"/>
                <w:highlight w:val="none"/>
              </w:rPr>
              <w:t>）邮寄方式，应采用</w:t>
            </w:r>
            <w:r>
              <w:rPr>
                <w:color w:val="auto"/>
                <w:highlight w:val="none"/>
              </w:rPr>
              <w:t>U</w:t>
            </w:r>
            <w:r>
              <w:rPr>
                <w:rFonts w:hint="eastAsia"/>
                <w:color w:val="auto"/>
                <w:highlight w:val="none"/>
              </w:rPr>
              <w:t>盘进行存储，邮寄地址：</w:t>
            </w:r>
            <w:r>
              <w:rPr>
                <w:color w:val="auto"/>
                <w:highlight w:val="none"/>
                <w:u w:val="single"/>
              </w:rPr>
              <w:t xml:space="preserve">  /  </w:t>
            </w:r>
            <w:r>
              <w:rPr>
                <w:rFonts w:hint="eastAsia"/>
                <w:color w:val="auto"/>
                <w:highlight w:val="none"/>
              </w:rPr>
              <w:t>，截止接收时间：</w:t>
            </w:r>
            <w:r>
              <w:rPr>
                <w:color w:val="auto"/>
                <w:highlight w:val="none"/>
                <w:u w:val="single"/>
              </w:rPr>
              <w:t xml:space="preserve">  /  </w:t>
            </w:r>
            <w:r>
              <w:rPr>
                <w:rFonts w:hint="eastAsia"/>
                <w:color w:val="auto"/>
                <w:highlight w:val="none"/>
              </w:rPr>
              <w:t>，</w:t>
            </w:r>
          </w:p>
          <w:p w14:paraId="4D30D697">
            <w:pPr>
              <w:autoSpaceDE w:val="0"/>
              <w:autoSpaceDN w:val="0"/>
              <w:adjustRightInd w:val="0"/>
              <w:spacing w:line="360" w:lineRule="exact"/>
              <w:textAlignment w:val="bottom"/>
              <w:rPr>
                <w:color w:val="auto"/>
                <w:highlight w:val="none"/>
              </w:rPr>
            </w:pPr>
            <w:r>
              <w:rPr>
                <w:rFonts w:hint="eastAsia"/>
                <w:color w:val="auto"/>
                <w:highlight w:val="none"/>
              </w:rPr>
              <w:t>收件人：</w:t>
            </w:r>
            <w:r>
              <w:rPr>
                <w:color w:val="auto"/>
                <w:highlight w:val="none"/>
                <w:u w:val="single"/>
              </w:rPr>
              <w:t xml:space="preserve">  /  </w:t>
            </w:r>
            <w:r>
              <w:rPr>
                <w:rFonts w:hint="eastAsia"/>
                <w:color w:val="auto"/>
                <w:highlight w:val="none"/>
              </w:rPr>
              <w:t>，联系方式：</w:t>
            </w:r>
            <w:r>
              <w:rPr>
                <w:color w:val="auto"/>
                <w:highlight w:val="none"/>
                <w:u w:val="single"/>
              </w:rPr>
              <w:t xml:space="preserve">  /  </w:t>
            </w:r>
            <w:r>
              <w:rPr>
                <w:rFonts w:hint="eastAsia"/>
                <w:color w:val="auto"/>
                <w:highlight w:val="none"/>
              </w:rPr>
              <w:t>；外包装上注明投标人名称、项目名称及项目编号（外包装不作密封要求）。</w:t>
            </w:r>
            <w:r>
              <w:rPr>
                <w:color w:val="auto"/>
                <w:highlight w:val="none"/>
              </w:rPr>
              <w:t xml:space="preserve"> </w:t>
            </w:r>
          </w:p>
          <w:p w14:paraId="358EF9BD">
            <w:pPr>
              <w:autoSpaceDE w:val="0"/>
              <w:autoSpaceDN w:val="0"/>
              <w:snapToGrid w:val="0"/>
              <w:spacing w:line="360" w:lineRule="exact"/>
              <w:ind w:firstLine="420" w:firstLineChars="200"/>
              <w:textAlignment w:val="bottom"/>
              <w:rPr>
                <w:rFonts w:hint="eastAsia"/>
                <w:color w:val="auto"/>
                <w:highlight w:val="none"/>
              </w:rPr>
            </w:pPr>
            <w:r>
              <w:rPr>
                <w:rFonts w:hint="eastAsia"/>
                <w:color w:val="auto"/>
                <w:highlight w:val="none"/>
              </w:rPr>
              <w:t>投标人未按上述规定提交的电子备份投标文件，采购代理机构不予接收或承认。若电子加密投标文件解密成功，电子备份投标文件自动失效。若投标人无法在规定的时间内解密投标文件或者解密失败的，采购代理机构将电子备份投标文件按“广西政府采购云平台”操作规范上传至“广西政府采购云平台”，电子备份投标文件上传成功后，投标人原上传的电子加密投标文件自动失效。若投标人在规定时间内无法解密或解密失败且未提供电子备份投标文件的（包含提供的电子备份投标文件无效或无法解读的情况），</w:t>
            </w:r>
            <w:r>
              <w:rPr>
                <w:rFonts w:hint="eastAsia"/>
                <w:b/>
                <w:color w:val="auto"/>
                <w:highlight w:val="none"/>
              </w:rPr>
              <w:t>投标人的投标文件作无效处理</w:t>
            </w:r>
            <w:r>
              <w:rPr>
                <w:rFonts w:hint="eastAsia"/>
                <w:color w:val="auto"/>
                <w:highlight w:val="none"/>
              </w:rPr>
              <w:t>。</w:t>
            </w:r>
          </w:p>
        </w:tc>
      </w:tr>
      <w:tr w14:paraId="080480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3D3D9A9F">
            <w:pPr>
              <w:spacing w:line="400" w:lineRule="exact"/>
              <w:jc w:val="center"/>
              <w:rPr>
                <w:rFonts w:hint="eastAsia" w:ascii="宋体" w:hAnsi="宋体"/>
                <w:color w:val="auto"/>
                <w:szCs w:val="21"/>
                <w:highlight w:val="none"/>
              </w:rPr>
            </w:pPr>
            <w:bookmarkStart w:id="73" w:name="_21.1"/>
            <w:bookmarkEnd w:id="73"/>
            <w:r>
              <w:rPr>
                <w:rFonts w:hint="eastAsia" w:ascii="宋体" w:hAnsi="宋体"/>
                <w:color w:val="auto"/>
                <w:szCs w:val="21"/>
                <w:highlight w:val="none"/>
              </w:rPr>
              <w:t>21.1投标文件的提交</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34CA4E46">
            <w:pPr>
              <w:snapToGrid w:val="0"/>
              <w:spacing w:line="400" w:lineRule="exact"/>
              <w:rPr>
                <w:rFonts w:hint="eastAsia" w:ascii="宋体" w:hAnsi="宋体"/>
                <w:color w:val="auto"/>
                <w:szCs w:val="21"/>
                <w:highlight w:val="none"/>
                <w:u w:val="single"/>
              </w:rPr>
            </w:pPr>
            <w:r>
              <w:rPr>
                <w:rFonts w:hint="eastAsia" w:ascii="宋体" w:hAnsi="宋体"/>
                <w:color w:val="auto"/>
                <w:szCs w:val="21"/>
                <w:highlight w:val="none"/>
              </w:rPr>
              <w:t>1.提交投标文件截止时间：详见招标公告</w:t>
            </w:r>
          </w:p>
          <w:p w14:paraId="0C18C6C7">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2.投标地点：详见招标公告</w:t>
            </w:r>
          </w:p>
        </w:tc>
      </w:tr>
      <w:tr w14:paraId="308D3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0CECD91F">
            <w:pPr>
              <w:spacing w:line="400" w:lineRule="exact"/>
              <w:jc w:val="center"/>
              <w:rPr>
                <w:rFonts w:hint="eastAsia" w:ascii="宋体" w:hAnsi="宋体"/>
                <w:color w:val="auto"/>
                <w:szCs w:val="21"/>
                <w:highlight w:val="none"/>
              </w:rPr>
            </w:pPr>
            <w:bookmarkStart w:id="74" w:name="_23"/>
            <w:bookmarkEnd w:id="74"/>
            <w:r>
              <w:rPr>
                <w:rFonts w:hint="eastAsia" w:ascii="宋体" w:hAnsi="宋体"/>
                <w:color w:val="auto"/>
                <w:szCs w:val="21"/>
                <w:highlight w:val="none"/>
              </w:rPr>
              <w:t>23开标时间和地点</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442967B3">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1.开标时间：详见招标公告</w:t>
            </w:r>
          </w:p>
          <w:p w14:paraId="67D5F729">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2.开标地点：详见招标公告</w:t>
            </w:r>
          </w:p>
        </w:tc>
      </w:tr>
      <w:tr w14:paraId="73692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132FFEC8">
            <w:pPr>
              <w:spacing w:line="400" w:lineRule="exact"/>
              <w:jc w:val="center"/>
              <w:rPr>
                <w:rFonts w:hint="eastAsia" w:ascii="宋体" w:hAnsi="宋体"/>
                <w:color w:val="auto"/>
                <w:szCs w:val="21"/>
                <w:highlight w:val="none"/>
              </w:rPr>
            </w:pPr>
            <w:r>
              <w:rPr>
                <w:rFonts w:hint="eastAsia" w:ascii="宋体" w:hAnsi="宋体"/>
                <w:color w:val="auto"/>
                <w:szCs w:val="21"/>
                <w:highlight w:val="none"/>
              </w:rPr>
              <w:t>24.3（1）</w:t>
            </w:r>
            <w:r>
              <w:rPr>
                <w:rFonts w:hint="eastAsia"/>
                <w:color w:val="auto"/>
                <w:highlight w:val="none"/>
              </w:rPr>
              <w:t>解密电子投标文件</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16FEEBE7">
            <w:pPr>
              <w:snapToGrid w:val="0"/>
              <w:spacing w:line="400" w:lineRule="exact"/>
              <w:rPr>
                <w:rFonts w:hint="eastAsia" w:ascii="宋体" w:hAnsi="宋体"/>
                <w:b/>
                <w:color w:val="auto"/>
                <w:szCs w:val="21"/>
                <w:highlight w:val="none"/>
                <w:u w:val="single"/>
              </w:rPr>
            </w:pPr>
            <w:r>
              <w:rPr>
                <w:rFonts w:hint="eastAsia" w:ascii="宋体" w:hAnsi="宋体"/>
                <w:b/>
                <w:color w:val="auto"/>
                <w:szCs w:val="21"/>
                <w:highlight w:val="none"/>
              </w:rPr>
              <w:t>电子投标文件解密时间：</w:t>
            </w:r>
            <w:r>
              <w:rPr>
                <w:rFonts w:hint="eastAsia" w:ascii="宋体" w:hAnsi="宋体"/>
                <w:b/>
                <w:color w:val="auto"/>
                <w:szCs w:val="21"/>
                <w:highlight w:val="none"/>
                <w:u w:val="single"/>
              </w:rPr>
              <w:t xml:space="preserve"> </w:t>
            </w:r>
            <w:r>
              <w:rPr>
                <w:rFonts w:ascii="宋体" w:hAnsi="宋体"/>
                <w:b/>
                <w:color w:val="auto"/>
                <w:szCs w:val="21"/>
                <w:highlight w:val="none"/>
                <w:u w:val="single"/>
              </w:rPr>
              <w:t>30</w:t>
            </w:r>
            <w:r>
              <w:rPr>
                <w:rFonts w:hint="eastAsia" w:ascii="宋体" w:hAnsi="宋体"/>
                <w:b/>
                <w:color w:val="auto"/>
                <w:szCs w:val="21"/>
                <w:highlight w:val="none"/>
                <w:u w:val="single"/>
              </w:rPr>
              <w:t xml:space="preserve"> </w:t>
            </w:r>
            <w:r>
              <w:rPr>
                <w:rFonts w:hint="eastAsia" w:ascii="宋体" w:hAnsi="宋体"/>
                <w:b/>
                <w:color w:val="auto"/>
                <w:szCs w:val="21"/>
                <w:highlight w:val="none"/>
              </w:rPr>
              <w:t>分钟。</w:t>
            </w:r>
          </w:p>
        </w:tc>
      </w:tr>
      <w:tr w14:paraId="4796EB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0019D673">
            <w:pPr>
              <w:spacing w:line="400" w:lineRule="exact"/>
              <w:jc w:val="center"/>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）电子唱标</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3A2453CF">
            <w:pPr>
              <w:snapToGrid w:val="0"/>
              <w:spacing w:line="400" w:lineRule="exact"/>
              <w:rPr>
                <w:rFonts w:ascii="宋体" w:hAnsi="宋体"/>
                <w:color w:val="auto"/>
                <w:szCs w:val="21"/>
                <w:highlight w:val="none"/>
              </w:rPr>
            </w:pPr>
            <w:r>
              <w:rPr>
                <w:rFonts w:hint="eastAsia" w:ascii="宋体" w:hAnsi="宋体"/>
                <w:color w:val="auto"/>
                <w:szCs w:val="21"/>
                <w:highlight w:val="none"/>
              </w:rPr>
              <w:t>宣布的内容：投标人名称、投标价格。</w:t>
            </w:r>
          </w:p>
        </w:tc>
      </w:tr>
      <w:tr w14:paraId="47946F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4B3A05C8">
            <w:pPr>
              <w:spacing w:line="400" w:lineRule="exact"/>
              <w:jc w:val="center"/>
              <w:rPr>
                <w:rFonts w:hint="eastAsia" w:ascii="宋体" w:hAnsi="宋体"/>
                <w:color w:val="auto"/>
                <w:szCs w:val="21"/>
                <w:highlight w:val="none"/>
              </w:rPr>
            </w:pPr>
            <w:bookmarkStart w:id="75" w:name="_25.3"/>
            <w:bookmarkEnd w:id="75"/>
            <w:r>
              <w:rPr>
                <w:rFonts w:hint="eastAsia" w:ascii="宋体" w:hAnsi="宋体"/>
                <w:color w:val="auto"/>
                <w:szCs w:val="21"/>
                <w:highlight w:val="none"/>
              </w:rPr>
              <w:t>25.3（</w:t>
            </w:r>
            <w:r>
              <w:rPr>
                <w:rFonts w:ascii="宋体" w:hAnsi="宋体"/>
                <w:color w:val="auto"/>
                <w:szCs w:val="21"/>
                <w:highlight w:val="none"/>
              </w:rPr>
              <w:t>2</w:t>
            </w:r>
            <w:r>
              <w:rPr>
                <w:rFonts w:hint="eastAsia" w:ascii="宋体" w:hAnsi="宋体"/>
                <w:color w:val="auto"/>
                <w:szCs w:val="21"/>
                <w:highlight w:val="none"/>
              </w:rPr>
              <w:t>）信用查询</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4B9BFD6B">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746701F6">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查询渠道：“信用中国”网站（www.creditchina.gov.cn） 、中国执行信息公开网站（https://zxgk.court.gov.cn/zhixing/）</w:t>
            </w:r>
            <w:r>
              <w:rPr>
                <w:rFonts w:hint="eastAsia" w:ascii="宋体" w:hAnsi="宋体"/>
                <w:color w:val="auto"/>
                <w:szCs w:val="21"/>
                <w:highlight w:val="none"/>
                <w:lang w:eastAsia="zh-CN"/>
              </w:rPr>
              <w:t>、</w:t>
            </w:r>
            <w:r>
              <w:rPr>
                <w:rFonts w:hint="eastAsia" w:ascii="宋体" w:hAnsi="宋体"/>
                <w:color w:val="auto"/>
                <w:szCs w:val="21"/>
                <w:highlight w:val="none"/>
              </w:rPr>
              <w:t>中国政府采购网（www.ccgp.gov.cn）。</w:t>
            </w:r>
          </w:p>
          <w:p w14:paraId="45F2081B">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信用查询截止时点：资格审查结束前。</w:t>
            </w:r>
          </w:p>
          <w:p w14:paraId="184B3E35">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查询记录和证据留存方式：在查询网站中直接截图查询记录，截图作为在广西政府采购云平台作为附件上传保存。</w:t>
            </w:r>
          </w:p>
          <w:p w14:paraId="05E17974">
            <w:pPr>
              <w:snapToGrid w:val="0"/>
              <w:spacing w:line="400" w:lineRule="exact"/>
              <w:rPr>
                <w:rFonts w:hint="eastAsia" w:ascii="宋体" w:hAnsi="宋体"/>
                <w:b/>
                <w:color w:val="auto"/>
                <w:szCs w:val="21"/>
                <w:highlight w:val="none"/>
              </w:rPr>
            </w:pPr>
            <w:r>
              <w:rPr>
                <w:rFonts w:hint="eastAsia" w:ascii="宋体" w:hAnsi="宋体"/>
                <w:color w:val="auto"/>
                <w:szCs w:val="21"/>
                <w:highlight w:val="none"/>
              </w:rPr>
              <w:t>信用信息使用规则：对在“信用中国”网站（www.creditchina.gov.cn） 被列入重大税收违法失信主体或在“中国执行信息公开网”网站（https://zxgk.court.gov.cn/zhixing/）被列入失信被执行人或在中国政府采购网（www.ccgp.gov.cn）被列入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28F37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5B3163F0">
            <w:pPr>
              <w:spacing w:line="400" w:lineRule="exact"/>
              <w:jc w:val="center"/>
              <w:rPr>
                <w:rFonts w:hint="eastAsia" w:ascii="宋体" w:hAnsi="宋体"/>
                <w:color w:val="auto"/>
                <w:szCs w:val="21"/>
                <w:highlight w:val="none"/>
              </w:rPr>
            </w:pPr>
            <w:bookmarkStart w:id="76" w:name="_26"/>
            <w:bookmarkEnd w:id="76"/>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auto"/>
                <w:szCs w:val="21"/>
                <w:highlight w:val="none"/>
              </w:rPr>
              <w:t>评标委员会</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3F31A6E8">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评标委员会的人数：</w:t>
            </w:r>
            <w:r>
              <w:rPr>
                <w:rFonts w:hint="eastAsia" w:ascii="宋体" w:hAnsi="宋体"/>
                <w:color w:val="auto"/>
                <w:szCs w:val="21"/>
                <w:highlight w:val="none"/>
                <w:u w:val="single"/>
              </w:rPr>
              <w:t>7</w:t>
            </w:r>
            <w:r>
              <w:rPr>
                <w:rFonts w:hint="eastAsia" w:ascii="宋体" w:hAnsi="宋体"/>
                <w:color w:val="auto"/>
                <w:szCs w:val="21"/>
                <w:highlight w:val="none"/>
              </w:rPr>
              <w:t>人或以上单数</w:t>
            </w:r>
          </w:p>
        </w:tc>
      </w:tr>
      <w:tr w14:paraId="50A19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6049A1A9">
            <w:pPr>
              <w:spacing w:line="400" w:lineRule="exact"/>
              <w:jc w:val="center"/>
              <w:rPr>
                <w:rFonts w:hint="eastAsia" w:ascii="宋体" w:hAnsi="宋体"/>
                <w:color w:val="auto"/>
                <w:szCs w:val="21"/>
                <w:highlight w:val="none"/>
              </w:rPr>
            </w:pPr>
            <w:bookmarkStart w:id="77" w:name="_28.3"/>
            <w:bookmarkEnd w:id="77"/>
            <w:r>
              <w:rPr>
                <w:rFonts w:ascii="宋体" w:hAnsi="宋体"/>
                <w:color w:val="auto"/>
                <w:szCs w:val="21"/>
                <w:highlight w:val="none"/>
              </w:rPr>
              <w:t>29.1</w:t>
            </w:r>
            <w:r>
              <w:rPr>
                <w:rFonts w:hint="eastAsia" w:ascii="宋体" w:hAnsi="宋体"/>
                <w:color w:val="auto"/>
                <w:szCs w:val="21"/>
                <w:highlight w:val="none"/>
              </w:rPr>
              <w:t>评标方法</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685AABF8">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评标方法：</w:t>
            </w:r>
          </w:p>
          <w:p w14:paraId="3A0C3198">
            <w:pPr>
              <w:autoSpaceDE w:val="0"/>
              <w:autoSpaceDN w:val="0"/>
              <w:snapToGrid w:val="0"/>
              <w:spacing w:line="400" w:lineRule="exact"/>
              <w:textAlignment w:val="bottom"/>
              <w:rPr>
                <w:rFonts w:hint="eastAsia"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综合评分法</w:t>
            </w:r>
          </w:p>
          <w:p w14:paraId="54F1724C">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□最低评标价法</w:t>
            </w:r>
          </w:p>
        </w:tc>
      </w:tr>
      <w:tr w14:paraId="5D8755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1CF99251">
            <w:pPr>
              <w:spacing w:line="400" w:lineRule="exact"/>
              <w:jc w:val="center"/>
              <w:rPr>
                <w:rFonts w:hint="eastAsia" w:ascii="宋体" w:hAnsi="宋体"/>
                <w:color w:val="auto"/>
                <w:szCs w:val="21"/>
                <w:highlight w:val="none"/>
              </w:rPr>
            </w:pPr>
            <w:bookmarkStart w:id="78" w:name="_29.2.2（2）"/>
            <w:bookmarkEnd w:id="78"/>
            <w:r>
              <w:rPr>
                <w:rFonts w:hint="eastAsia" w:ascii="宋体" w:hAnsi="宋体"/>
                <w:color w:val="auto"/>
                <w:szCs w:val="21"/>
                <w:highlight w:val="none"/>
              </w:rPr>
              <w:t>2</w:t>
            </w:r>
            <w:r>
              <w:rPr>
                <w:rFonts w:ascii="宋体" w:hAnsi="宋体"/>
                <w:color w:val="auto"/>
                <w:szCs w:val="21"/>
                <w:highlight w:val="none"/>
              </w:rPr>
              <w:t>9.2</w:t>
            </w:r>
            <w:r>
              <w:rPr>
                <w:rFonts w:hint="eastAsia" w:hAnsi="宋体" w:cs="宋体"/>
                <w:color w:val="auto"/>
                <w:highlight w:val="none"/>
              </w:rPr>
              <w:t>商务/技术要求</w:t>
            </w:r>
            <w:r>
              <w:rPr>
                <w:rFonts w:hint="eastAsia" w:hAnsi="宋体"/>
                <w:color w:val="auto"/>
                <w:highlight w:val="none"/>
              </w:rPr>
              <w:t>允许负偏离的条款数</w:t>
            </w:r>
          </w:p>
        </w:tc>
        <w:tc>
          <w:tcPr>
            <w:tcW w:w="7950" w:type="dxa"/>
            <w:tcBorders>
              <w:top w:val="single" w:color="auto" w:sz="4" w:space="0"/>
              <w:left w:val="single" w:color="auto" w:sz="4" w:space="0"/>
              <w:right w:val="single" w:color="auto" w:sz="4" w:space="0"/>
            </w:tcBorders>
            <w:noWrap w:val="0"/>
            <w:vAlign w:val="center"/>
          </w:tcPr>
          <w:p w14:paraId="0AB41645">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1B2F85FA">
            <w:pPr>
              <w:snapToGrid w:val="0"/>
              <w:spacing w:line="400" w:lineRule="exact"/>
              <w:rPr>
                <w:rFonts w:hint="eastAsia" w:ascii="宋体" w:hAnsi="宋体"/>
                <w:color w:val="auto"/>
                <w:szCs w:val="21"/>
                <w:highlight w:val="none"/>
              </w:rPr>
            </w:pPr>
            <w:r>
              <w:rPr>
                <w:rFonts w:hint="eastAsia" w:ascii="宋体" w:hAnsi="宋体" w:cs="宋体"/>
                <w:color w:val="auto"/>
                <w:szCs w:val="21"/>
                <w:highlight w:val="none"/>
              </w:rPr>
              <w:t>技术需求评审中允许负偏离的条款数为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728E8A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76E58521">
            <w:pPr>
              <w:spacing w:line="400" w:lineRule="exact"/>
              <w:jc w:val="center"/>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9.3</w:t>
            </w:r>
            <w:r>
              <w:rPr>
                <w:rFonts w:hAnsi="宋体"/>
                <w:color w:val="auto"/>
                <w:highlight w:val="none"/>
              </w:rPr>
              <w:t>中标候选人推荐数量</w:t>
            </w:r>
          </w:p>
        </w:tc>
        <w:tc>
          <w:tcPr>
            <w:tcW w:w="7950" w:type="dxa"/>
            <w:tcBorders>
              <w:top w:val="single" w:color="auto" w:sz="4" w:space="0"/>
              <w:left w:val="single" w:color="auto" w:sz="4" w:space="0"/>
              <w:right w:val="single" w:color="auto" w:sz="4" w:space="0"/>
            </w:tcBorders>
            <w:noWrap w:val="0"/>
            <w:vAlign w:val="center"/>
          </w:tcPr>
          <w:p w14:paraId="194FE39F">
            <w:pPr>
              <w:snapToGrid w:val="0"/>
              <w:spacing w:line="400" w:lineRule="exact"/>
              <w:rPr>
                <w:rFonts w:ascii="宋体" w:hAnsi="宋体"/>
                <w:color w:val="auto"/>
                <w:szCs w:val="21"/>
                <w:highlight w:val="none"/>
              </w:rPr>
            </w:pPr>
            <w:r>
              <w:rPr>
                <w:rFonts w:ascii="宋体" w:hAnsi="宋体"/>
                <w:color w:val="auto"/>
                <w:szCs w:val="21"/>
                <w:highlight w:val="none"/>
              </w:rPr>
              <w:t>中标候选人推荐数量</w:t>
            </w:r>
            <w:r>
              <w:rPr>
                <w:rFonts w:hint="eastAsia" w:ascii="宋体" w:hAnsi="宋体"/>
                <w:color w:val="auto"/>
                <w:szCs w:val="21"/>
                <w:highlight w:val="none"/>
              </w:rPr>
              <w:t>：</w:t>
            </w:r>
          </w:p>
          <w:p w14:paraId="2B3D2BAB">
            <w:pPr>
              <w:snapToGrid w:val="0"/>
              <w:spacing w:line="40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  </w:t>
            </w:r>
            <w:r>
              <w:rPr>
                <w:rFonts w:ascii="宋体" w:hAnsi="宋体"/>
                <w:color w:val="auto"/>
                <w:szCs w:val="21"/>
                <w:highlight w:val="none"/>
              </w:rPr>
              <w:t>名</w:t>
            </w:r>
          </w:p>
          <w:p w14:paraId="399CD336">
            <w:pPr>
              <w:snapToGrid w:val="0"/>
              <w:spacing w:line="400" w:lineRule="exact"/>
              <w:rPr>
                <w:rFonts w:hint="eastAsia" w:ascii="宋体" w:hAnsi="宋体" w:cs="宋体"/>
                <w:color w:val="auto"/>
                <w:szCs w:val="21"/>
                <w:highlight w:val="none"/>
                <w:u w:val="single"/>
              </w:rPr>
            </w:pPr>
            <w:r>
              <w:rPr>
                <w:rFonts w:hint="eastAsia" w:ascii="MS Mincho" w:hAnsi="MS Mincho" w:eastAsia="MS Mincho" w:cs="MS Mincho"/>
                <w:color w:val="auto"/>
                <w:highlight w:val="none"/>
              </w:rPr>
              <w:t>☑</w:t>
            </w:r>
            <w:r>
              <w:rPr>
                <w:rFonts w:hint="eastAsia" w:ascii="宋体" w:hAnsi="宋体"/>
                <w:color w:val="auto"/>
                <w:szCs w:val="21"/>
                <w:highlight w:val="none"/>
              </w:rPr>
              <w:t>根据总得分由高到低排列次序并全部推荐为中标候选人。</w:t>
            </w:r>
          </w:p>
        </w:tc>
      </w:tr>
      <w:tr w14:paraId="66C13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4CA7910C">
            <w:pPr>
              <w:spacing w:line="400" w:lineRule="exact"/>
              <w:jc w:val="center"/>
              <w:rPr>
                <w:rFonts w:hint="eastAsia"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r>
              <w:rPr>
                <w:rFonts w:hint="eastAsia" w:ascii="宋体" w:hAnsi="宋体"/>
                <w:color w:val="auto"/>
                <w:szCs w:val="21"/>
                <w:highlight w:val="none"/>
              </w:rPr>
              <w:t>确定中标人</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65F92EE4">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采购人确定中标人时，出现中标候选人并列的情形，采购人按以下的方式确定中标人：</w:t>
            </w:r>
          </w:p>
          <w:p w14:paraId="7D6512B7">
            <w:pPr>
              <w:autoSpaceDE w:val="0"/>
              <w:autoSpaceDN w:val="0"/>
              <w:snapToGrid w:val="0"/>
              <w:spacing w:line="400" w:lineRule="exact"/>
              <w:textAlignment w:val="bottom"/>
              <w:rPr>
                <w:rFonts w:hint="eastAsia"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依次按投标报价低的优先、政策分得分高的优先、技术评分高的优先、商务评分高的优先、产品有效期长优先、交货期短优先、服务响应时间短优先、服务方案佳优先的顺序确定；</w:t>
            </w:r>
          </w:p>
          <w:p w14:paraId="00E38F61">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□随机抽取。</w:t>
            </w:r>
          </w:p>
        </w:tc>
      </w:tr>
      <w:tr w14:paraId="6E9720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624CABCA">
            <w:pPr>
              <w:spacing w:line="400" w:lineRule="exact"/>
              <w:jc w:val="center"/>
              <w:rPr>
                <w:rFonts w:hint="eastAsia" w:ascii="宋体" w:hAnsi="宋体"/>
                <w:color w:val="auto"/>
                <w:szCs w:val="21"/>
                <w:highlight w:val="none"/>
              </w:rPr>
            </w:pPr>
            <w:bookmarkStart w:id="79" w:name="_39.1"/>
            <w:bookmarkEnd w:id="79"/>
            <w:r>
              <w:rPr>
                <w:rFonts w:hint="eastAsia" w:ascii="宋体" w:hAnsi="宋体"/>
                <w:color w:val="auto"/>
                <w:szCs w:val="21"/>
                <w:highlight w:val="none"/>
              </w:rPr>
              <w:t>35</w:t>
            </w:r>
            <w:r>
              <w:rPr>
                <w:rFonts w:ascii="宋体" w:hAnsi="宋体"/>
                <w:color w:val="auto"/>
                <w:szCs w:val="21"/>
                <w:highlight w:val="none"/>
              </w:rPr>
              <w:t>.1</w:t>
            </w:r>
            <w:r>
              <w:rPr>
                <w:rFonts w:hint="eastAsia" w:ascii="宋体" w:hAnsi="宋体"/>
                <w:color w:val="auto"/>
                <w:szCs w:val="21"/>
                <w:highlight w:val="none"/>
              </w:rPr>
              <w:t>履约保证金</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2F7639EC">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p w14:paraId="41605747">
            <w:pPr>
              <w:pStyle w:val="16"/>
              <w:spacing w:after="120" w:line="400" w:lineRule="exact"/>
              <w:rPr>
                <w:rFonts w:hint="eastAsia"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本项目收取履约保证金，具体见本招标文件第二章。</w:t>
            </w:r>
          </w:p>
          <w:p w14:paraId="3DA1E9DE">
            <w:pPr>
              <w:spacing w:line="400" w:lineRule="exact"/>
              <w:jc w:val="left"/>
              <w:rPr>
                <w:rFonts w:ascii="宋体" w:hAnsi="宋体" w:cs="Courier New"/>
                <w:b/>
                <w:color w:val="auto"/>
                <w:szCs w:val="21"/>
                <w:highlight w:val="none"/>
              </w:rPr>
            </w:pPr>
            <w:r>
              <w:rPr>
                <w:rFonts w:ascii="宋体" w:hAnsi="宋体" w:cs="Courier New"/>
                <w:b/>
                <w:color w:val="auto"/>
                <w:szCs w:val="21"/>
                <w:highlight w:val="none"/>
              </w:rPr>
              <w:t>备注：</w:t>
            </w:r>
          </w:p>
          <w:p w14:paraId="426E7074">
            <w:pPr>
              <w:spacing w:line="400" w:lineRule="exact"/>
              <w:jc w:val="left"/>
              <w:rPr>
                <w:rFonts w:ascii="宋体" w:hAnsi="宋体"/>
                <w:b/>
                <w:color w:val="auto"/>
                <w:szCs w:val="21"/>
                <w:highlight w:val="none"/>
              </w:rPr>
            </w:pPr>
            <w:r>
              <w:rPr>
                <w:rFonts w:hint="eastAsia" w:ascii="宋体" w:hAnsi="宋体"/>
                <w:b/>
                <w:color w:val="auto"/>
                <w:szCs w:val="21"/>
                <w:highlight w:val="none"/>
              </w:rPr>
              <w:t>1.根据《广西壮族自治区财政厅关于持续优化政府采购营商环境推动高质量发展的通知》（桂财采〔2024〕55号）规定，对中小企业收取的履约保证金数额不得超过政府采购合同金额的2%。</w:t>
            </w:r>
          </w:p>
          <w:p w14:paraId="6454BCEB">
            <w:pPr>
              <w:spacing w:line="400" w:lineRule="exact"/>
              <w:jc w:val="left"/>
              <w:rPr>
                <w:rFonts w:hint="eastAsia" w:ascii="宋体" w:hAnsi="宋体"/>
                <w:b/>
                <w:color w:val="auto"/>
                <w:szCs w:val="21"/>
                <w:highlight w:val="none"/>
              </w:rPr>
            </w:pPr>
            <w:r>
              <w:rPr>
                <w:rFonts w:ascii="宋体" w:hAnsi="宋体"/>
                <w:b/>
                <w:color w:val="auto"/>
                <w:szCs w:val="21"/>
                <w:highlight w:val="none"/>
              </w:rPr>
              <w:t>2.</w:t>
            </w:r>
            <w:r>
              <w:rPr>
                <w:rFonts w:hint="eastAsia" w:ascii="宋体" w:hAnsi="宋体"/>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938DB6D">
            <w:pPr>
              <w:spacing w:line="400" w:lineRule="exact"/>
              <w:jc w:val="left"/>
              <w:rPr>
                <w:rFonts w:hint="eastAsia" w:ascii="宋体" w:hAnsi="宋体"/>
                <w:b/>
                <w:color w:val="auto"/>
                <w:szCs w:val="21"/>
                <w:highlight w:val="none"/>
              </w:rPr>
            </w:pPr>
            <w:r>
              <w:rPr>
                <w:rFonts w:ascii="宋体" w:hAnsi="宋体"/>
                <w:b/>
                <w:color w:val="auto"/>
                <w:szCs w:val="21"/>
                <w:highlight w:val="none"/>
              </w:rPr>
              <w:t>3.采用银行、保险机构出具的保函的，必须为无条件保函，否则不予签订合同。</w:t>
            </w:r>
          </w:p>
          <w:p w14:paraId="6ED12CA0">
            <w:pPr>
              <w:spacing w:line="400" w:lineRule="exact"/>
              <w:jc w:val="left"/>
              <w:rPr>
                <w:rFonts w:hint="eastAsia" w:ascii="宋体" w:hAnsi="宋体" w:cs="宋体"/>
                <w:color w:val="auto"/>
                <w:kern w:val="0"/>
                <w:szCs w:val="21"/>
                <w:highlight w:val="none"/>
              </w:rPr>
            </w:pPr>
            <w:r>
              <w:rPr>
                <w:rFonts w:ascii="宋体" w:hAnsi="宋体"/>
                <w:b/>
                <w:color w:val="auto"/>
                <w:szCs w:val="21"/>
                <w:highlight w:val="none"/>
              </w:rPr>
              <w:t>4.</w:t>
            </w:r>
            <w:r>
              <w:rPr>
                <w:rFonts w:hint="eastAsia" w:ascii="宋体" w:hAnsi="宋体"/>
                <w:b/>
                <w:color w:val="auto"/>
                <w:szCs w:val="21"/>
                <w:highlight w:val="none"/>
              </w:rPr>
              <w:t>投标人为联合体的，由联合体其中一方按规定提交的履约保证金，视为有效履约保证金。</w:t>
            </w:r>
          </w:p>
        </w:tc>
      </w:tr>
      <w:tr w14:paraId="4EA0AB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530AEEB8">
            <w:pPr>
              <w:spacing w:line="400" w:lineRule="exact"/>
              <w:jc w:val="center"/>
              <w:rPr>
                <w:rFonts w:hint="eastAsia" w:ascii="宋体" w:hAnsi="宋体"/>
                <w:color w:val="auto"/>
                <w:szCs w:val="21"/>
                <w:highlight w:val="none"/>
              </w:rPr>
            </w:pPr>
            <w:bookmarkStart w:id="80" w:name="_40.1"/>
            <w:bookmarkEnd w:id="80"/>
            <w:r>
              <w:rPr>
                <w:rFonts w:hint="eastAsia" w:ascii="宋体" w:hAnsi="宋体"/>
                <w:color w:val="auto"/>
                <w:szCs w:val="21"/>
                <w:highlight w:val="none"/>
              </w:rPr>
              <w:t>36.1签订合同</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0DADBA43">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148948D5">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615932DA">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59DFC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74F60280">
            <w:pPr>
              <w:spacing w:line="400" w:lineRule="exact"/>
              <w:jc w:val="center"/>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r>
              <w:rPr>
                <w:rFonts w:hint="eastAsia" w:ascii="宋体" w:hAnsi="宋体"/>
                <w:color w:val="auto"/>
                <w:szCs w:val="21"/>
                <w:highlight w:val="none"/>
              </w:rPr>
              <w:t>质疑</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5DC7E808">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2E12DAB3">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质疑联系部门及联系方式：</w:t>
            </w:r>
            <w:r>
              <w:rPr>
                <w:rFonts w:hint="eastAsia" w:ascii="宋体" w:hAnsi="宋体"/>
                <w:bCs/>
                <w:color w:val="auto"/>
                <w:szCs w:val="21"/>
                <w:highlight w:val="none"/>
                <w:u w:val="single"/>
              </w:rPr>
              <w:t>广西中信恒泰工程顾问有限公司</w:t>
            </w:r>
            <w:r>
              <w:rPr>
                <w:rFonts w:hint="eastAsia" w:ascii="宋体" w:hAnsi="宋体"/>
                <w:color w:val="auto"/>
                <w:szCs w:val="21"/>
                <w:highlight w:val="none"/>
              </w:rPr>
              <w:t>，</w:t>
            </w:r>
            <w:r>
              <w:rPr>
                <w:rFonts w:ascii="宋体" w:hAnsi="宋体"/>
                <w:color w:val="auto"/>
                <w:szCs w:val="21"/>
                <w:highlight w:val="none"/>
              </w:rPr>
              <w:t>联系</w:t>
            </w:r>
            <w:r>
              <w:rPr>
                <w:rFonts w:hint="eastAsia" w:ascii="宋体" w:hAnsi="宋体"/>
                <w:color w:val="auto"/>
                <w:szCs w:val="21"/>
                <w:highlight w:val="none"/>
              </w:rPr>
              <w:t>人及</w:t>
            </w:r>
            <w:r>
              <w:rPr>
                <w:rFonts w:ascii="宋体" w:hAnsi="宋体"/>
                <w:color w:val="auto"/>
                <w:szCs w:val="21"/>
                <w:highlight w:val="none"/>
              </w:rPr>
              <w:t>电话</w:t>
            </w:r>
            <w:r>
              <w:rPr>
                <w:rFonts w:hint="eastAsia" w:ascii="宋体" w:hAnsi="宋体"/>
                <w:color w:val="auto"/>
                <w:szCs w:val="21"/>
                <w:highlight w:val="none"/>
              </w:rPr>
              <w:t>：</w:t>
            </w:r>
            <w:r>
              <w:rPr>
                <w:rFonts w:hint="eastAsia" w:hAnsi="宋体"/>
                <w:color w:val="auto"/>
                <w:highlight w:val="none"/>
                <w:u w:val="single"/>
              </w:rPr>
              <w:t>廖欣蕾、陈燕英</w:t>
            </w:r>
            <w:r>
              <w:rPr>
                <w:rFonts w:hint="eastAsia" w:ascii="宋体" w:hAnsi="宋体"/>
                <w:color w:val="auto"/>
                <w:szCs w:val="21"/>
                <w:highlight w:val="none"/>
                <w:u w:val="single"/>
              </w:rPr>
              <w:t>0771-5776251</w:t>
            </w:r>
            <w:r>
              <w:rPr>
                <w:rFonts w:hint="eastAsia" w:ascii="宋体" w:hAnsi="宋体"/>
                <w:color w:val="auto"/>
                <w:szCs w:val="21"/>
                <w:highlight w:val="none"/>
              </w:rPr>
              <w:t>，</w:t>
            </w: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rPr>
              <w:t>广</w:t>
            </w:r>
            <w:r>
              <w:rPr>
                <w:rFonts w:hint="eastAsia" w:ascii="宋体" w:hAnsi="宋体"/>
                <w:bCs/>
                <w:color w:val="auto"/>
                <w:szCs w:val="21"/>
                <w:highlight w:val="none"/>
                <w:u w:val="single"/>
              </w:rPr>
              <w:t>西南宁市青秀区云景路69号南宁轨道大厦B楼15层</w:t>
            </w:r>
            <w:r>
              <w:rPr>
                <w:rFonts w:hint="eastAsia" w:ascii="宋体" w:hAnsi="宋体"/>
                <w:color w:val="auto"/>
                <w:szCs w:val="21"/>
                <w:highlight w:val="none"/>
                <w:u w:val="single"/>
              </w:rPr>
              <w:t>。</w:t>
            </w:r>
          </w:p>
          <w:p w14:paraId="7935513A">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现场提交质疑办理业务时间：每天8时30分到12时00分，14时30分到17时30分，业务时间以外、双休日和法定节假日不办理业务。</w:t>
            </w:r>
          </w:p>
        </w:tc>
      </w:tr>
      <w:tr w14:paraId="6B661B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10271D89">
            <w:pPr>
              <w:spacing w:line="400" w:lineRule="exact"/>
              <w:jc w:val="center"/>
              <w:rPr>
                <w:rFonts w:hint="eastAsia" w:ascii="宋体" w:hAnsi="宋体"/>
                <w:color w:val="auto"/>
                <w:szCs w:val="21"/>
                <w:highlight w:val="none"/>
              </w:rPr>
            </w:pPr>
            <w:bookmarkStart w:id="81" w:name="_42"/>
            <w:bookmarkEnd w:id="81"/>
            <w:bookmarkStart w:id="82" w:name="_41"/>
            <w:bookmarkEnd w:id="82"/>
            <w:bookmarkStart w:id="83" w:name="_Hlt17709148"/>
            <w:r>
              <w:rPr>
                <w:rFonts w:hint="eastAsia" w:ascii="宋体" w:hAnsi="宋体"/>
                <w:color w:val="auto"/>
                <w:szCs w:val="21"/>
                <w:highlight w:val="none"/>
              </w:rPr>
              <w:t>3</w:t>
            </w:r>
            <w:bookmarkEnd w:id="83"/>
            <w:r>
              <w:rPr>
                <w:rFonts w:ascii="宋体" w:hAnsi="宋体"/>
                <w:color w:val="auto"/>
                <w:szCs w:val="21"/>
                <w:highlight w:val="none"/>
              </w:rPr>
              <w:t>9.1</w:t>
            </w:r>
            <w:r>
              <w:rPr>
                <w:rFonts w:hint="eastAsia" w:hAnsi="宋体" w:cs="宋体"/>
                <w:color w:val="auto"/>
                <w:highlight w:val="none"/>
              </w:rPr>
              <w:t>采购代理费</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3EACB657">
            <w:pPr>
              <w:pStyle w:val="24"/>
              <w:snapToGrid w:val="0"/>
              <w:spacing w:line="400" w:lineRule="exact"/>
              <w:rPr>
                <w:rFonts w:hint="eastAsia" w:hAnsi="宋体" w:cs="宋体"/>
                <w:color w:val="auto"/>
                <w:sz w:val="21"/>
                <w:highlight w:val="none"/>
              </w:rPr>
            </w:pPr>
            <w:r>
              <w:rPr>
                <w:rFonts w:hint="eastAsia" w:hAnsi="宋体" w:cs="宋体"/>
                <w:color w:val="auto"/>
                <w:sz w:val="21"/>
                <w:highlight w:val="none"/>
              </w:rPr>
              <w:t>1.采购代理费支付方式：</w:t>
            </w:r>
          </w:p>
          <w:p w14:paraId="2A0A80AB">
            <w:pPr>
              <w:pStyle w:val="24"/>
              <w:snapToGrid w:val="0"/>
              <w:spacing w:line="400" w:lineRule="exact"/>
              <w:rPr>
                <w:rFonts w:hint="eastAsia" w:hAnsi="宋体" w:cs="宋体"/>
                <w:color w:val="auto"/>
                <w:sz w:val="21"/>
                <w:highlight w:val="none"/>
              </w:rPr>
            </w:pPr>
            <w:r>
              <w:rPr>
                <w:rFonts w:hint="eastAsia" w:ascii="MS Mincho" w:hAnsi="MS Mincho" w:eastAsia="MS Mincho" w:cs="MS Mincho"/>
                <w:color w:val="auto"/>
                <w:sz w:val="21"/>
                <w:highlight w:val="none"/>
              </w:rPr>
              <w:t>☑</w:t>
            </w:r>
            <w:r>
              <w:rPr>
                <w:rFonts w:hint="eastAsia" w:hAnsi="宋体" w:cs="宋体"/>
                <w:color w:val="auto"/>
                <w:sz w:val="21"/>
                <w:highlight w:val="none"/>
              </w:rPr>
              <w:t>本项目代理服务费由</w:t>
            </w:r>
            <w:r>
              <w:rPr>
                <w:rFonts w:hint="eastAsia" w:hAnsi="宋体" w:cs="宋体"/>
                <w:color w:val="auto"/>
                <w:sz w:val="21"/>
                <w:highlight w:val="none"/>
                <w:u w:val="single"/>
              </w:rPr>
              <w:t>中标人</w:t>
            </w:r>
            <w:r>
              <w:rPr>
                <w:rFonts w:hint="eastAsia" w:hAnsi="宋体" w:cs="宋体"/>
                <w:color w:val="auto"/>
                <w:sz w:val="21"/>
                <w:highlight w:val="none"/>
              </w:rPr>
              <w:t>一次性向采购代理机构支付。</w:t>
            </w:r>
          </w:p>
          <w:p w14:paraId="0BC361D7">
            <w:pPr>
              <w:pStyle w:val="24"/>
              <w:snapToGrid w:val="0"/>
              <w:spacing w:line="400" w:lineRule="exact"/>
              <w:rPr>
                <w:rFonts w:hint="eastAsia" w:hAnsi="宋体" w:cs="宋体"/>
                <w:color w:val="auto"/>
                <w:sz w:val="21"/>
                <w:highlight w:val="none"/>
              </w:rPr>
            </w:pPr>
            <w:r>
              <w:rPr>
                <w:rFonts w:hint="eastAsia" w:hAnsi="宋体" w:cs="宋体"/>
                <w:color w:val="auto"/>
                <w:sz w:val="21"/>
                <w:highlight w:val="none"/>
              </w:rPr>
              <w:t>□采购人支付。</w:t>
            </w:r>
          </w:p>
          <w:p w14:paraId="776D45DA">
            <w:pPr>
              <w:pStyle w:val="24"/>
              <w:snapToGrid w:val="0"/>
              <w:spacing w:line="400" w:lineRule="exact"/>
              <w:rPr>
                <w:rFonts w:hint="eastAsia" w:hAnsi="宋体" w:cs="宋体"/>
                <w:color w:val="auto"/>
                <w:sz w:val="21"/>
                <w:highlight w:val="none"/>
              </w:rPr>
            </w:pPr>
            <w:r>
              <w:rPr>
                <w:rFonts w:hint="eastAsia" w:hAnsi="宋体" w:cs="宋体"/>
                <w:color w:val="auto"/>
                <w:sz w:val="21"/>
                <w:highlight w:val="none"/>
              </w:rPr>
              <w:t>2.采购代理费收取标准：</w:t>
            </w:r>
          </w:p>
          <w:p w14:paraId="374BB502">
            <w:pPr>
              <w:pStyle w:val="24"/>
              <w:snapToGrid w:val="0"/>
              <w:spacing w:line="400" w:lineRule="exact"/>
              <w:rPr>
                <w:rFonts w:hint="eastAsia" w:hAnsi="宋体" w:cs="宋体"/>
                <w:color w:val="auto"/>
                <w:sz w:val="21"/>
                <w:highlight w:val="none"/>
              </w:rPr>
            </w:pPr>
            <w:r>
              <w:rPr>
                <w:rFonts w:hint="eastAsia" w:ascii="MS Mincho" w:hAnsi="MS Mincho" w:eastAsia="MS Mincho" w:cs="MS Mincho"/>
                <w:color w:val="auto"/>
                <w:sz w:val="21"/>
                <w:highlight w:val="none"/>
              </w:rPr>
              <w:t>☑</w:t>
            </w:r>
            <w:r>
              <w:rPr>
                <w:rFonts w:hint="eastAsia" w:hAnsi="宋体" w:cs="宋体"/>
                <w:color w:val="auto"/>
                <w:sz w:val="21"/>
                <w:highlight w:val="none"/>
              </w:rPr>
              <w:t>以分标（</w:t>
            </w:r>
            <w:r>
              <w:rPr>
                <w:rFonts w:hint="eastAsia" w:ascii="MS Mincho" w:hAnsi="MS Mincho" w:eastAsia="MS Mincho" w:cs="MS Mincho"/>
                <w:color w:val="auto"/>
                <w:sz w:val="21"/>
                <w:highlight w:val="none"/>
              </w:rPr>
              <w:t>☑</w:t>
            </w:r>
            <w:r>
              <w:rPr>
                <w:rFonts w:hint="eastAsia" w:hAnsi="宋体" w:cs="宋体"/>
                <w:color w:val="auto"/>
                <w:sz w:val="21"/>
                <w:highlight w:val="none"/>
              </w:rPr>
              <w:t>中标金额/□采购预算/□暂定中标金额/□其他</w:t>
            </w:r>
            <w:r>
              <w:rPr>
                <w:rFonts w:hint="eastAsia" w:hAnsi="宋体" w:cs="宋体"/>
                <w:color w:val="auto"/>
                <w:sz w:val="21"/>
                <w:highlight w:val="none"/>
                <w:u w:val="single"/>
              </w:rPr>
              <w:t xml:space="preserve"> </w:t>
            </w:r>
            <w:r>
              <w:rPr>
                <w:rFonts w:hAnsi="宋体" w:cs="宋体"/>
                <w:color w:val="auto"/>
                <w:sz w:val="21"/>
                <w:highlight w:val="none"/>
                <w:u w:val="single"/>
              </w:rPr>
              <w:t xml:space="preserve">/ </w:t>
            </w:r>
            <w:r>
              <w:rPr>
                <w:rFonts w:hint="eastAsia" w:hAnsi="宋体" w:cs="宋体"/>
                <w:color w:val="auto"/>
                <w:sz w:val="21"/>
                <w:highlight w:val="none"/>
              </w:rPr>
              <w:t>）为计费额，按本须知正文第</w:t>
            </w:r>
            <w:r>
              <w:rPr>
                <w:rFonts w:hAnsi="宋体" w:cs="宋体"/>
                <w:color w:val="auto"/>
                <w:sz w:val="21"/>
                <w:highlight w:val="none"/>
              </w:rPr>
              <w:t>39</w:t>
            </w:r>
            <w:r>
              <w:rPr>
                <w:rFonts w:hint="eastAsia" w:hAnsi="宋体" w:cs="宋体"/>
                <w:color w:val="auto"/>
                <w:sz w:val="21"/>
                <w:highlight w:val="none"/>
              </w:rPr>
              <w:t>.</w:t>
            </w:r>
            <w:r>
              <w:rPr>
                <w:rFonts w:hAnsi="宋体" w:cs="宋体"/>
                <w:color w:val="auto"/>
                <w:sz w:val="21"/>
                <w:highlight w:val="none"/>
              </w:rPr>
              <w:t>2</w:t>
            </w:r>
            <w:r>
              <w:rPr>
                <w:rFonts w:hint="eastAsia" w:hAnsi="宋体" w:cs="宋体"/>
                <w:color w:val="auto"/>
                <w:sz w:val="21"/>
                <w:highlight w:val="none"/>
              </w:rPr>
              <w:t>条规定的收费计算标准（</w:t>
            </w:r>
            <w:r>
              <w:rPr>
                <w:rFonts w:hint="eastAsia" w:ascii="MS Mincho" w:hAnsi="MS Mincho" w:eastAsia="MS Mincho" w:cs="MS Mincho"/>
                <w:color w:val="auto"/>
                <w:sz w:val="21"/>
                <w:highlight w:val="none"/>
              </w:rPr>
              <w:t>☑</w:t>
            </w:r>
            <w:r>
              <w:rPr>
                <w:rFonts w:hint="eastAsia" w:hAnsi="宋体" w:cs="宋体"/>
                <w:color w:val="auto"/>
                <w:sz w:val="21"/>
                <w:highlight w:val="none"/>
              </w:rPr>
              <w:t>货物招标/□服务招标/</w:t>
            </w:r>
            <w:bookmarkStart w:id="84" w:name="OLE_LINK3"/>
            <w:bookmarkStart w:id="85" w:name="OLE_LINK4"/>
            <w:r>
              <w:rPr>
                <w:rFonts w:hint="eastAsia" w:hAnsi="宋体" w:cs="宋体"/>
                <w:color w:val="auto"/>
                <w:sz w:val="21"/>
                <w:highlight w:val="none"/>
              </w:rPr>
              <w:t>□</w:t>
            </w:r>
            <w:bookmarkEnd w:id="84"/>
            <w:bookmarkEnd w:id="85"/>
            <w:r>
              <w:rPr>
                <w:rFonts w:hint="eastAsia" w:hAnsi="宋体" w:cs="宋体"/>
                <w:color w:val="auto"/>
                <w:sz w:val="21"/>
                <w:highlight w:val="none"/>
              </w:rPr>
              <w:t>工程招标）采用差额定率累进法计算出收费基准价格，采购代理收费以（</w:t>
            </w:r>
            <w:r>
              <w:rPr>
                <w:rFonts w:hint="eastAsia" w:ascii="MS Mincho" w:hAnsi="MS Mincho" w:eastAsia="MS Mincho" w:cs="MS Mincho"/>
                <w:color w:val="auto"/>
                <w:sz w:val="21"/>
                <w:highlight w:val="none"/>
              </w:rPr>
              <w:t>☑</w:t>
            </w:r>
            <w:r>
              <w:rPr>
                <w:rFonts w:hint="eastAsia" w:hAnsi="宋体" w:cs="宋体"/>
                <w:color w:val="auto"/>
                <w:sz w:val="21"/>
                <w:highlight w:val="none"/>
              </w:rPr>
              <w:t>收费基准价格/□收费基准价格下浮</w:t>
            </w:r>
            <w:r>
              <w:rPr>
                <w:rFonts w:hint="eastAsia" w:hAnsi="宋体" w:cs="宋体"/>
                <w:color w:val="auto"/>
                <w:sz w:val="21"/>
                <w:highlight w:val="none"/>
                <w:u w:val="single"/>
              </w:rPr>
              <w:t xml:space="preserve"> </w:t>
            </w:r>
            <w:r>
              <w:rPr>
                <w:rFonts w:hAnsi="宋体" w:cs="宋体"/>
                <w:color w:val="auto"/>
                <w:sz w:val="21"/>
                <w:highlight w:val="none"/>
                <w:u w:val="single"/>
              </w:rPr>
              <w:t xml:space="preserve"> </w:t>
            </w:r>
            <w:r>
              <w:rPr>
                <w:rFonts w:hint="eastAsia" w:hAnsi="宋体" w:cs="宋体"/>
                <w:color w:val="auto"/>
                <w:sz w:val="21"/>
                <w:highlight w:val="none"/>
                <w:u w:val="single"/>
              </w:rPr>
              <w:t>/%</w:t>
            </w:r>
            <w:r>
              <w:rPr>
                <w:rFonts w:hAnsi="宋体" w:cs="宋体"/>
                <w:color w:val="auto"/>
                <w:sz w:val="21"/>
                <w:highlight w:val="none"/>
              </w:rPr>
              <w:t>/</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Ansi="宋体" w:cs="宋体"/>
                <w:color w:val="auto"/>
                <w:sz w:val="21"/>
                <w:highlight w:val="none"/>
                <w:u w:val="single"/>
              </w:rPr>
              <w:t xml:space="preserve">/ </w:t>
            </w:r>
            <w:r>
              <w:rPr>
                <w:rFonts w:hint="eastAsia" w:hAnsi="宋体" w:cs="宋体"/>
                <w:color w:val="auto"/>
                <w:sz w:val="21"/>
                <w:highlight w:val="none"/>
                <w:u w:val="single"/>
              </w:rPr>
              <w:t>%</w:t>
            </w:r>
            <w:r>
              <w:rPr>
                <w:rFonts w:hint="eastAsia" w:hAnsi="宋体" w:cs="宋体"/>
                <w:color w:val="auto"/>
                <w:sz w:val="21"/>
                <w:highlight w:val="none"/>
              </w:rPr>
              <w:t>）收取。</w:t>
            </w:r>
          </w:p>
          <w:p w14:paraId="52C59272">
            <w:pPr>
              <w:pStyle w:val="24"/>
              <w:snapToGrid w:val="0"/>
              <w:spacing w:line="400" w:lineRule="exact"/>
              <w:rPr>
                <w:rFonts w:hAnsi="宋体" w:cs="宋体"/>
                <w:color w:val="auto"/>
                <w:sz w:val="21"/>
                <w:highlight w:val="none"/>
                <w:u w:val="single"/>
              </w:rPr>
            </w:pPr>
            <w:r>
              <w:rPr>
                <w:rFonts w:hint="eastAsia" w:hAnsi="宋体" w:cs="宋体"/>
                <w:color w:val="auto"/>
                <w:sz w:val="21"/>
                <w:highlight w:val="none"/>
                <w:lang w:eastAsia="zh-CN"/>
              </w:rPr>
              <w:t>□</w:t>
            </w: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r>
              <w:rPr>
                <w:rFonts w:hint="eastAsia" w:hAnsi="宋体" w:cs="宋体"/>
                <w:color w:val="auto"/>
                <w:sz w:val="21"/>
                <w:highlight w:val="none"/>
                <w:u w:val="single"/>
                <w:lang w:val="en-US" w:eastAsia="zh-CN"/>
              </w:rPr>
              <w:t>/</w:t>
            </w:r>
            <w:r>
              <w:rPr>
                <w:rFonts w:hint="eastAsia" w:ascii="宋体" w:hAnsi="宋体" w:eastAsia="宋体" w:cs="宋体"/>
                <w:color w:val="auto"/>
                <w:sz w:val="21"/>
                <w:highlight w:val="none"/>
              </w:rPr>
              <w:t xml:space="preserve">。 </w:t>
            </w:r>
          </w:p>
          <w:p w14:paraId="52DE30A1">
            <w:pPr>
              <w:pStyle w:val="24"/>
              <w:snapToGrid w:val="0"/>
              <w:spacing w:line="400" w:lineRule="exact"/>
              <w:rPr>
                <w:rFonts w:hint="eastAsia" w:hAnsi="宋体" w:cs="宋体"/>
                <w:color w:val="auto"/>
                <w:sz w:val="21"/>
                <w:highlight w:val="none"/>
              </w:rPr>
            </w:pPr>
            <w:r>
              <w:rPr>
                <w:rFonts w:hint="eastAsia" w:hAnsi="宋体" w:cs="宋体"/>
                <w:color w:val="auto"/>
                <w:sz w:val="21"/>
                <w:highlight w:val="none"/>
              </w:rPr>
              <w:t>3</w:t>
            </w:r>
            <w:r>
              <w:rPr>
                <w:rFonts w:hAnsi="宋体" w:cs="宋体"/>
                <w:color w:val="auto"/>
                <w:sz w:val="21"/>
                <w:highlight w:val="none"/>
              </w:rPr>
              <w:t>.</w:t>
            </w:r>
            <w:r>
              <w:rPr>
                <w:rFonts w:hint="eastAsia" w:hAnsi="宋体" w:cs="宋体"/>
                <w:color w:val="auto"/>
                <w:sz w:val="21"/>
                <w:highlight w:val="none"/>
              </w:rPr>
              <w:t>代理机构银行账户信息如下：</w:t>
            </w:r>
          </w:p>
          <w:p w14:paraId="5DE94CBE">
            <w:pPr>
              <w:pStyle w:val="24"/>
              <w:snapToGrid w:val="0"/>
              <w:spacing w:line="400" w:lineRule="exact"/>
              <w:rPr>
                <w:rFonts w:hint="eastAsia" w:hAnsi="宋体" w:cs="宋体"/>
                <w:color w:val="auto"/>
                <w:sz w:val="21"/>
                <w:highlight w:val="none"/>
              </w:rPr>
            </w:pPr>
            <w:r>
              <w:rPr>
                <w:rFonts w:hint="eastAsia" w:hAnsi="宋体" w:cs="宋体"/>
                <w:color w:val="auto"/>
                <w:sz w:val="21"/>
                <w:highlight w:val="none"/>
              </w:rPr>
              <w:t xml:space="preserve">开户名称：广西中信恒泰工程顾问有限公司 </w:t>
            </w:r>
          </w:p>
          <w:p w14:paraId="69BBECCF">
            <w:pPr>
              <w:pStyle w:val="24"/>
              <w:snapToGrid w:val="0"/>
              <w:spacing w:line="400" w:lineRule="exact"/>
              <w:rPr>
                <w:rFonts w:hint="eastAsia" w:hAnsi="宋体" w:cs="宋体"/>
                <w:color w:val="auto"/>
                <w:sz w:val="21"/>
                <w:highlight w:val="none"/>
              </w:rPr>
            </w:pPr>
            <w:r>
              <w:rPr>
                <w:rFonts w:hint="eastAsia" w:hAnsi="宋体" w:cs="宋体"/>
                <w:color w:val="auto"/>
                <w:sz w:val="21"/>
                <w:highlight w:val="none"/>
              </w:rPr>
              <w:t xml:space="preserve">开户银行：建设银行南宁市金湖广场支行 </w:t>
            </w:r>
          </w:p>
          <w:p w14:paraId="39952DDC">
            <w:pPr>
              <w:pStyle w:val="24"/>
              <w:snapToGrid w:val="0"/>
              <w:spacing w:line="400" w:lineRule="exact"/>
              <w:rPr>
                <w:rFonts w:hint="eastAsia" w:hAnsi="宋体" w:cs="宋体"/>
                <w:color w:val="auto"/>
                <w:sz w:val="21"/>
                <w:highlight w:val="none"/>
              </w:rPr>
            </w:pPr>
            <w:r>
              <w:rPr>
                <w:rFonts w:hint="eastAsia" w:hAnsi="宋体" w:cs="宋体"/>
                <w:color w:val="auto"/>
                <w:sz w:val="21"/>
                <w:highlight w:val="none"/>
              </w:rPr>
              <w:t xml:space="preserve">银行账号：4500 1604 2660 5250 2851 </w:t>
            </w:r>
          </w:p>
        </w:tc>
      </w:tr>
      <w:tr w14:paraId="3F30C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75FCDA94">
            <w:pPr>
              <w:snapToGrid w:val="0"/>
              <w:spacing w:line="400" w:lineRule="exact"/>
              <w:jc w:val="center"/>
              <w:rPr>
                <w:rFonts w:hint="eastAsia" w:ascii="宋体" w:hAnsi="宋体"/>
                <w:color w:val="auto"/>
                <w:szCs w:val="21"/>
                <w:highlight w:val="none"/>
              </w:rPr>
            </w:pPr>
            <w:r>
              <w:rPr>
                <w:rFonts w:ascii="宋体" w:hAnsi="宋体"/>
                <w:color w:val="auto"/>
                <w:szCs w:val="21"/>
                <w:highlight w:val="none"/>
              </w:rPr>
              <w:t>40.1</w:t>
            </w:r>
            <w:r>
              <w:rPr>
                <w:rFonts w:hint="eastAsia" w:ascii="宋体" w:hAnsi="宋体"/>
                <w:color w:val="auto"/>
                <w:szCs w:val="21"/>
                <w:highlight w:val="none"/>
              </w:rPr>
              <w:t>解释</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14A38E4A">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解释：</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tc>
      </w:tr>
      <w:tr w14:paraId="6CBA9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4" w:type="dxa"/>
            <w:tcBorders>
              <w:top w:val="single" w:color="auto" w:sz="4" w:space="0"/>
              <w:left w:val="single" w:color="auto" w:sz="4" w:space="0"/>
              <w:bottom w:val="single" w:color="auto" w:sz="4" w:space="0"/>
              <w:right w:val="single" w:color="auto" w:sz="4" w:space="0"/>
            </w:tcBorders>
            <w:noWrap w:val="0"/>
            <w:vAlign w:val="center"/>
          </w:tcPr>
          <w:p w14:paraId="493DFEA1">
            <w:pPr>
              <w:snapToGrid w:val="0"/>
              <w:spacing w:line="400" w:lineRule="exact"/>
              <w:jc w:val="center"/>
              <w:rPr>
                <w:rFonts w:ascii="宋体" w:hAnsi="宋体"/>
                <w:color w:val="auto"/>
                <w:szCs w:val="21"/>
                <w:highlight w:val="none"/>
              </w:rPr>
            </w:pPr>
            <w:r>
              <w:rPr>
                <w:rFonts w:ascii="宋体" w:hAnsi="宋体"/>
                <w:color w:val="auto"/>
                <w:szCs w:val="21"/>
                <w:highlight w:val="none"/>
              </w:rPr>
              <w:t>40.2</w:t>
            </w:r>
            <w:r>
              <w:rPr>
                <w:rFonts w:hint="eastAsia" w:ascii="宋体" w:hAnsi="宋体"/>
                <w:color w:val="auto"/>
                <w:szCs w:val="21"/>
                <w:highlight w:val="none"/>
              </w:rPr>
              <w:t>其他事项</w:t>
            </w:r>
          </w:p>
        </w:tc>
        <w:tc>
          <w:tcPr>
            <w:tcW w:w="7950" w:type="dxa"/>
            <w:tcBorders>
              <w:top w:val="single" w:color="auto" w:sz="4" w:space="0"/>
              <w:left w:val="single" w:color="auto" w:sz="4" w:space="0"/>
              <w:bottom w:val="single" w:color="auto" w:sz="4" w:space="0"/>
              <w:right w:val="single" w:color="auto" w:sz="4" w:space="0"/>
            </w:tcBorders>
            <w:noWrap w:val="0"/>
            <w:vAlign w:val="center"/>
          </w:tcPr>
          <w:p w14:paraId="60913DF4">
            <w:pPr>
              <w:pStyle w:val="24"/>
              <w:snapToGrid w:val="0"/>
              <w:spacing w:line="400" w:lineRule="exact"/>
              <w:rPr>
                <w:rFonts w:hint="eastAsia" w:hAnsi="宋体" w:cs="宋体"/>
                <w:bCs/>
                <w:color w:val="auto"/>
                <w:sz w:val="21"/>
                <w:highlight w:val="none"/>
              </w:rPr>
            </w:pPr>
            <w:r>
              <w:rPr>
                <w:rFonts w:hint="eastAsia" w:hAnsi="宋体" w:cs="宋体"/>
                <w:bCs/>
                <w:color w:val="auto"/>
                <w:sz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1E2611EB">
            <w:pPr>
              <w:pStyle w:val="24"/>
              <w:snapToGrid w:val="0"/>
              <w:spacing w:line="400" w:lineRule="exact"/>
              <w:rPr>
                <w:rFonts w:hint="eastAsia" w:hAnsi="宋体" w:cs="宋体"/>
                <w:bCs/>
                <w:color w:val="auto"/>
                <w:sz w:val="21"/>
                <w:highlight w:val="none"/>
              </w:rPr>
            </w:pPr>
            <w:r>
              <w:rPr>
                <w:rFonts w:hint="eastAsia" w:hAnsi="宋体" w:cs="宋体"/>
                <w:bCs/>
                <w:color w:val="auto"/>
                <w:sz w:val="21"/>
                <w:highlight w:val="none"/>
              </w:rPr>
              <w:t>2.本招标文件所称的“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0CF3287E">
            <w:pPr>
              <w:pStyle w:val="24"/>
              <w:snapToGrid w:val="0"/>
              <w:spacing w:line="400" w:lineRule="exact"/>
              <w:rPr>
                <w:rFonts w:hint="eastAsia" w:hAnsi="宋体" w:cs="宋体"/>
                <w:bCs/>
                <w:color w:val="auto"/>
                <w:sz w:val="21"/>
                <w:highlight w:val="none"/>
              </w:rPr>
            </w:pPr>
            <w:r>
              <w:rPr>
                <w:rFonts w:hint="eastAsia" w:hAnsi="宋体" w:cs="宋体"/>
                <w:bCs/>
                <w:color w:val="auto"/>
                <w:sz w:val="21"/>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7644A9C3">
            <w:pPr>
              <w:pStyle w:val="24"/>
              <w:snapToGrid w:val="0"/>
              <w:spacing w:line="400" w:lineRule="exact"/>
              <w:rPr>
                <w:rFonts w:hint="eastAsia" w:hAnsi="宋体" w:cs="宋体"/>
                <w:bCs/>
                <w:color w:val="auto"/>
                <w:sz w:val="21"/>
                <w:highlight w:val="none"/>
              </w:rPr>
            </w:pPr>
            <w:r>
              <w:rPr>
                <w:rFonts w:hint="eastAsia" w:hAnsi="宋体" w:cs="宋体"/>
                <w:bCs/>
                <w:color w:val="auto"/>
                <w:sz w:val="21"/>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58570D1B">
            <w:pPr>
              <w:pStyle w:val="24"/>
              <w:snapToGrid w:val="0"/>
              <w:spacing w:line="400" w:lineRule="exact"/>
              <w:rPr>
                <w:rFonts w:hint="eastAsia" w:hAnsi="宋体"/>
                <w:color w:val="auto"/>
                <w:sz w:val="21"/>
                <w:highlight w:val="none"/>
              </w:rPr>
            </w:pPr>
            <w:r>
              <w:rPr>
                <w:rFonts w:hint="eastAsia" w:hAnsi="宋体" w:cs="宋体"/>
                <w:bCs/>
                <w:color w:val="auto"/>
                <w:sz w:val="21"/>
                <w:highlight w:val="none"/>
              </w:rPr>
              <w:t>5.本招标文件所称的“以上”“以下”“以内”“届满”，包括本数；所称的“不满”“超过”“以外”，不包括本数。</w:t>
            </w:r>
          </w:p>
        </w:tc>
      </w:tr>
    </w:tbl>
    <w:p w14:paraId="7877E3BD">
      <w:pPr>
        <w:snapToGrid w:val="0"/>
        <w:rPr>
          <w:rFonts w:hint="eastAsia" w:ascii="宋体" w:hAnsi="宋体"/>
          <w:color w:val="auto"/>
          <w:sz w:val="24"/>
          <w:szCs w:val="20"/>
          <w:highlight w:val="none"/>
        </w:rPr>
      </w:pPr>
    </w:p>
    <w:p w14:paraId="39A3FD15">
      <w:pPr>
        <w:pStyle w:val="3"/>
        <w:keepNext w:val="0"/>
        <w:keepLines w:val="0"/>
        <w:jc w:val="center"/>
        <w:rPr>
          <w:rFonts w:hint="eastAsia"/>
          <w:color w:val="auto"/>
          <w:highlight w:val="none"/>
        </w:rPr>
      </w:pPr>
      <w:r>
        <w:rPr>
          <w:color w:val="auto"/>
          <w:highlight w:val="none"/>
        </w:rPr>
        <w:br w:type="page"/>
      </w:r>
      <w:bookmarkStart w:id="86" w:name="_Toc24790"/>
      <w:bookmarkStart w:id="87" w:name="_Toc8589"/>
      <w:r>
        <w:rPr>
          <w:rFonts w:hint="eastAsia"/>
          <w:color w:val="auto"/>
          <w:highlight w:val="none"/>
        </w:rPr>
        <w:t>投标人须知正文</w:t>
      </w:r>
      <w:bookmarkEnd w:id="86"/>
      <w:bookmarkEnd w:id="87"/>
    </w:p>
    <w:p w14:paraId="585C17CD">
      <w:pPr>
        <w:pStyle w:val="3"/>
        <w:keepNext w:val="0"/>
        <w:keepLines w:val="0"/>
        <w:jc w:val="center"/>
        <w:rPr>
          <w:rFonts w:hint="eastAsia"/>
          <w:color w:val="auto"/>
          <w:highlight w:val="none"/>
        </w:rPr>
      </w:pPr>
      <w:bookmarkStart w:id="88" w:name="_Toc16018"/>
      <w:r>
        <w:rPr>
          <w:rFonts w:hint="eastAsia"/>
          <w:color w:val="auto"/>
          <w:highlight w:val="none"/>
        </w:rPr>
        <w:t>一、总  则</w:t>
      </w:r>
      <w:bookmarkEnd w:id="88"/>
    </w:p>
    <w:p w14:paraId="4BE355AD">
      <w:pPr>
        <w:pStyle w:val="4"/>
        <w:keepNext w:val="0"/>
        <w:keepLines w:val="0"/>
        <w:spacing w:before="0" w:after="0" w:line="360" w:lineRule="auto"/>
        <w:ind w:left="420" w:leftChars="200"/>
        <w:rPr>
          <w:rFonts w:hint="eastAsia" w:ascii="黑体" w:hAnsi="黑体" w:eastAsia="黑体"/>
          <w:color w:val="auto"/>
          <w:sz w:val="24"/>
          <w:highlight w:val="none"/>
        </w:rPr>
      </w:pPr>
      <w:bookmarkStart w:id="89" w:name="_Toc25415"/>
      <w:bookmarkStart w:id="90" w:name="_Toc254970668"/>
      <w:bookmarkStart w:id="91" w:name="_Toc254970527"/>
      <w:r>
        <w:rPr>
          <w:rFonts w:hint="eastAsia" w:ascii="黑体" w:hAnsi="黑体" w:eastAsia="黑体"/>
          <w:color w:val="auto"/>
          <w:sz w:val="24"/>
          <w:highlight w:val="none"/>
        </w:rPr>
        <w:t>1.适用范围</w:t>
      </w:r>
      <w:bookmarkEnd w:id="89"/>
      <w:bookmarkEnd w:id="90"/>
      <w:bookmarkEnd w:id="91"/>
    </w:p>
    <w:p w14:paraId="5435B9B0">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32A4255D">
      <w:pPr>
        <w:snapToGrid w:val="0"/>
        <w:spacing w:line="360" w:lineRule="auto"/>
        <w:ind w:firstLine="420" w:firstLineChars="200"/>
        <w:jc w:val="left"/>
        <w:rPr>
          <w:rFonts w:ascii="宋体" w:hAnsi="宋体" w:cs="宋体"/>
          <w:color w:val="auto"/>
          <w:spacing w:val="-6"/>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35DB13BA">
      <w:pPr>
        <w:pStyle w:val="4"/>
        <w:keepNext w:val="0"/>
        <w:keepLines w:val="0"/>
        <w:spacing w:before="0" w:after="0" w:line="360" w:lineRule="auto"/>
        <w:ind w:left="420" w:leftChars="200"/>
        <w:rPr>
          <w:rFonts w:hint="eastAsia" w:ascii="黑体" w:hAnsi="黑体" w:eastAsia="黑体"/>
          <w:color w:val="auto"/>
          <w:sz w:val="24"/>
          <w:highlight w:val="none"/>
        </w:rPr>
      </w:pPr>
      <w:bookmarkStart w:id="92" w:name="_Toc254970528"/>
      <w:bookmarkStart w:id="93" w:name="_Toc254970669"/>
      <w:bookmarkStart w:id="94" w:name="_Toc22749"/>
      <w:r>
        <w:rPr>
          <w:rFonts w:hint="eastAsia" w:ascii="黑体" w:hAnsi="黑体" w:eastAsia="黑体"/>
          <w:color w:val="auto"/>
          <w:sz w:val="24"/>
          <w:highlight w:val="none"/>
        </w:rPr>
        <w:t>2.定义</w:t>
      </w:r>
      <w:bookmarkEnd w:id="92"/>
      <w:bookmarkEnd w:id="93"/>
      <w:bookmarkEnd w:id="94"/>
    </w:p>
    <w:p w14:paraId="4CF73FD3">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15F51EF2">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6AD7F29E">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14:paraId="6322F38D">
      <w:pPr>
        <w:pStyle w:val="7"/>
        <w:spacing w:line="360" w:lineRule="auto"/>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40FDB056">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w:t>
      </w:r>
    </w:p>
    <w:p w14:paraId="72E14B16">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2.6“售后服务”是指商品出售以后所提供的各种服务，包含但不限于投标人须承担的备品备件、包装、运输、装卸、保险、货到就位以及安装、调试、培训、质保以及其他各种服务。</w:t>
      </w:r>
    </w:p>
    <w:p w14:paraId="1C267405">
      <w:pPr>
        <w:pStyle w:val="6"/>
        <w:keepNext w:val="0"/>
        <w:keepLines w:val="0"/>
        <w:spacing w:before="0" w:after="0" w:line="360" w:lineRule="auto"/>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528462EF">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1A342877">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6F411361">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69A5AC53">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95" w:name="_Toc254970670"/>
      <w:bookmarkStart w:id="96" w:name="_Toc254970529"/>
    </w:p>
    <w:p w14:paraId="66FEA5B3">
      <w:pPr>
        <w:pStyle w:val="4"/>
        <w:keepNext w:val="0"/>
        <w:keepLines w:val="0"/>
        <w:spacing w:before="0" w:after="0" w:line="360" w:lineRule="auto"/>
        <w:ind w:left="420" w:leftChars="200"/>
        <w:rPr>
          <w:rFonts w:hint="eastAsia" w:ascii="黑体" w:hAnsi="黑体" w:eastAsia="黑体"/>
          <w:color w:val="auto"/>
          <w:sz w:val="24"/>
          <w:highlight w:val="none"/>
        </w:rPr>
      </w:pPr>
      <w:bookmarkStart w:id="97" w:name="_Toc13480"/>
      <w:r>
        <w:rPr>
          <w:rFonts w:hint="eastAsia" w:ascii="黑体" w:hAnsi="黑体" w:eastAsia="黑体"/>
          <w:color w:val="auto"/>
          <w:sz w:val="24"/>
          <w:highlight w:val="none"/>
        </w:rPr>
        <w:t>3.</w:t>
      </w:r>
      <w:bookmarkEnd w:id="95"/>
      <w:bookmarkEnd w:id="96"/>
      <w:r>
        <w:rPr>
          <w:rFonts w:hint="eastAsia" w:ascii="黑体" w:hAnsi="黑体" w:eastAsia="黑体"/>
          <w:color w:val="auto"/>
          <w:sz w:val="24"/>
          <w:highlight w:val="none"/>
        </w:rPr>
        <w:t>投标人的资格要求</w:t>
      </w:r>
      <w:bookmarkEnd w:id="97"/>
    </w:p>
    <w:p w14:paraId="27FF8AC5">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14:paraId="1BC7D40E">
      <w:pPr>
        <w:pStyle w:val="4"/>
        <w:keepNext w:val="0"/>
        <w:keepLines w:val="0"/>
        <w:spacing w:before="0" w:after="0" w:line="360" w:lineRule="auto"/>
        <w:ind w:left="420" w:leftChars="200"/>
        <w:rPr>
          <w:rFonts w:hint="eastAsia" w:ascii="黑体" w:hAnsi="黑体" w:eastAsia="黑体"/>
          <w:color w:val="auto"/>
          <w:sz w:val="24"/>
          <w:highlight w:val="none"/>
        </w:rPr>
      </w:pPr>
      <w:bookmarkStart w:id="98" w:name="_Toc254970530"/>
      <w:bookmarkStart w:id="99" w:name="_Toc29841"/>
      <w:bookmarkStart w:id="100" w:name="_Toc254970671"/>
      <w:r>
        <w:rPr>
          <w:rFonts w:hint="eastAsia" w:ascii="黑体" w:hAnsi="黑体" w:eastAsia="黑体"/>
          <w:color w:val="auto"/>
          <w:sz w:val="24"/>
          <w:highlight w:val="none"/>
        </w:rPr>
        <w:t>4.投标委托</w:t>
      </w:r>
      <w:bookmarkEnd w:id="98"/>
      <w:bookmarkEnd w:id="99"/>
      <w:bookmarkEnd w:id="100"/>
    </w:p>
    <w:p w14:paraId="697BF58C">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3A0F7642">
      <w:pPr>
        <w:pStyle w:val="4"/>
        <w:keepNext w:val="0"/>
        <w:keepLines w:val="0"/>
        <w:spacing w:before="0" w:after="0" w:line="360" w:lineRule="auto"/>
        <w:ind w:left="420" w:leftChars="200"/>
        <w:rPr>
          <w:rFonts w:hint="eastAsia" w:ascii="黑体" w:hAnsi="黑体" w:eastAsia="黑体"/>
          <w:color w:val="auto"/>
          <w:sz w:val="24"/>
          <w:highlight w:val="none"/>
        </w:rPr>
      </w:pPr>
      <w:bookmarkStart w:id="101" w:name="_5.投标费用"/>
      <w:bookmarkEnd w:id="101"/>
      <w:bookmarkStart w:id="102" w:name="_Toc254970531"/>
      <w:bookmarkStart w:id="103" w:name="_Toc24623"/>
      <w:bookmarkStart w:id="104" w:name="_Toc254970672"/>
      <w:r>
        <w:rPr>
          <w:rFonts w:hint="eastAsia" w:ascii="黑体" w:hAnsi="黑体" w:eastAsia="黑体"/>
          <w:color w:val="auto"/>
          <w:sz w:val="24"/>
          <w:highlight w:val="none"/>
        </w:rPr>
        <w:t>5.投标费用</w:t>
      </w:r>
      <w:bookmarkEnd w:id="102"/>
      <w:bookmarkEnd w:id="103"/>
      <w:bookmarkEnd w:id="104"/>
    </w:p>
    <w:p w14:paraId="1F965F61">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3D958A6A">
      <w:pPr>
        <w:pStyle w:val="4"/>
        <w:keepNext w:val="0"/>
        <w:keepLines w:val="0"/>
        <w:spacing w:before="0" w:after="0" w:line="360" w:lineRule="auto"/>
        <w:ind w:left="420" w:leftChars="200"/>
        <w:rPr>
          <w:rFonts w:hint="eastAsia" w:ascii="黑体" w:hAnsi="黑体" w:eastAsia="黑体"/>
          <w:color w:val="auto"/>
          <w:sz w:val="24"/>
          <w:highlight w:val="none"/>
        </w:rPr>
      </w:pPr>
      <w:bookmarkStart w:id="105" w:name="_Toc27575"/>
      <w:r>
        <w:rPr>
          <w:rFonts w:hint="eastAsia" w:ascii="黑体" w:hAnsi="黑体" w:eastAsia="黑体"/>
          <w:color w:val="auto"/>
          <w:sz w:val="24"/>
          <w:highlight w:val="none"/>
        </w:rPr>
        <w:t>6.联合体投标</w:t>
      </w:r>
      <w:bookmarkEnd w:id="105"/>
    </w:p>
    <w:p w14:paraId="5AF8DBA0">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3C176ECA">
      <w:pPr>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17268410">
      <w:pPr>
        <w:pStyle w:val="6"/>
        <w:keepNext w:val="0"/>
        <w:keepLines w:val="0"/>
        <w:spacing w:before="0" w:after="0" w:line="360" w:lineRule="auto"/>
        <w:ind w:firstLine="424" w:firstLineChars="202"/>
        <w:rPr>
          <w:rFonts w:hint="eastAsia" w:ascii="黑体" w:hAnsi="黑体" w:eastAsia="黑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106" w:name="_Hlk65857072"/>
      <w:r>
        <w:rPr>
          <w:rFonts w:hint="eastAsia" w:ascii="宋体" w:hAnsi="宋体"/>
          <w:b w:val="0"/>
          <w:bCs/>
          <w:color w:val="auto"/>
          <w:sz w:val="21"/>
          <w:szCs w:val="21"/>
          <w:highlight w:val="none"/>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106"/>
    </w:p>
    <w:p w14:paraId="60D44D86">
      <w:pPr>
        <w:pStyle w:val="4"/>
        <w:keepNext w:val="0"/>
        <w:keepLines w:val="0"/>
        <w:spacing w:before="0" w:after="0" w:line="360" w:lineRule="auto"/>
        <w:ind w:left="420" w:leftChars="200"/>
        <w:rPr>
          <w:rFonts w:hint="eastAsia" w:ascii="黑体" w:hAnsi="黑体" w:eastAsia="黑体"/>
          <w:color w:val="auto"/>
          <w:sz w:val="24"/>
          <w:highlight w:val="none"/>
        </w:rPr>
      </w:pPr>
      <w:bookmarkStart w:id="107" w:name="_Toc11427"/>
      <w:r>
        <w:rPr>
          <w:rFonts w:hint="eastAsia" w:ascii="黑体" w:hAnsi="黑体" w:eastAsia="黑体"/>
          <w:color w:val="auto"/>
          <w:sz w:val="24"/>
          <w:highlight w:val="none"/>
        </w:rPr>
        <w:t>7.转包与分包</w:t>
      </w:r>
      <w:bookmarkEnd w:id="107"/>
      <w:r>
        <w:rPr>
          <w:rFonts w:hint="eastAsia" w:ascii="黑体" w:hAnsi="黑体" w:eastAsia="黑体"/>
          <w:color w:val="auto"/>
          <w:sz w:val="24"/>
          <w:highlight w:val="none"/>
        </w:rPr>
        <w:t xml:space="preserve">             </w:t>
      </w:r>
    </w:p>
    <w:p w14:paraId="09951404">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7.1本项目不允许转包（另有约定的除外）。</w:t>
      </w:r>
    </w:p>
    <w:p w14:paraId="3B2C0DE3">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0421A681">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5D68E39F">
      <w:pPr>
        <w:pStyle w:val="4"/>
        <w:keepNext w:val="0"/>
        <w:keepLines w:val="0"/>
        <w:spacing w:before="0" w:after="0" w:line="360" w:lineRule="auto"/>
        <w:ind w:left="420" w:leftChars="200"/>
        <w:rPr>
          <w:rFonts w:hint="eastAsia" w:ascii="黑体" w:hAnsi="黑体" w:eastAsia="黑体"/>
          <w:color w:val="auto"/>
          <w:sz w:val="24"/>
          <w:highlight w:val="none"/>
        </w:rPr>
      </w:pPr>
      <w:bookmarkStart w:id="108" w:name="_Toc4932"/>
      <w:bookmarkStart w:id="109" w:name="_Toc254970673"/>
      <w:bookmarkStart w:id="110" w:name="_Toc254970532"/>
      <w:r>
        <w:rPr>
          <w:rFonts w:hint="eastAsia" w:ascii="黑体" w:hAnsi="黑体" w:eastAsia="黑体"/>
          <w:color w:val="auto"/>
          <w:sz w:val="24"/>
          <w:highlight w:val="none"/>
        </w:rPr>
        <w:t>8.特别说明</w:t>
      </w:r>
      <w:bookmarkEnd w:id="108"/>
      <w:bookmarkEnd w:id="109"/>
      <w:bookmarkEnd w:id="110"/>
    </w:p>
    <w:p w14:paraId="7F220323">
      <w:pPr>
        <w:pStyle w:val="6"/>
        <w:keepNext w:val="0"/>
        <w:keepLines w:val="0"/>
        <w:spacing w:before="0" w:after="0" w:line="360" w:lineRule="auto"/>
        <w:ind w:firstLine="420" w:firstLineChars="200"/>
        <w:rPr>
          <w:rFonts w:hint="eastAsia" w:ascii="宋体" w:hAnsi="宋体" w:eastAsia="宋体" w:cs="Times New Roman"/>
          <w:b w:val="0"/>
          <w:bCs/>
          <w:color w:val="auto"/>
          <w:sz w:val="21"/>
          <w:szCs w:val="21"/>
          <w:highlight w:val="none"/>
        </w:rPr>
      </w:pPr>
      <w:bookmarkStart w:id="111" w:name="_8.1提供相同品牌产品且通过资格审查、符合性审查的不同投标人参加同一合"/>
      <w:bookmarkEnd w:id="111"/>
      <w:r>
        <w:rPr>
          <w:rFonts w:ascii="宋体" w:hAnsi="宋体"/>
          <w:b w:val="0"/>
          <w:color w:val="auto"/>
          <w:sz w:val="21"/>
          <w:szCs w:val="21"/>
          <w:highlight w:val="none"/>
        </w:rPr>
        <w:fldChar w:fldCharType="begin"/>
      </w:r>
      <w:r>
        <w:rPr>
          <w:rFonts w:ascii="宋体" w:hAnsi="宋体"/>
          <w:b w:val="0"/>
          <w:color w:val="auto"/>
          <w:sz w:val="21"/>
          <w:szCs w:val="21"/>
          <w:highlight w:val="none"/>
        </w:rPr>
        <w:instrText xml:space="preserve"> HYPERLINK  \l "_8.1" </w:instrText>
      </w:r>
      <w:r>
        <w:rPr>
          <w:rFonts w:ascii="宋体" w:hAnsi="宋体"/>
          <w:b w:val="0"/>
          <w:color w:val="auto"/>
          <w:sz w:val="21"/>
          <w:szCs w:val="21"/>
          <w:highlight w:val="none"/>
        </w:rPr>
        <w:fldChar w:fldCharType="separate"/>
      </w:r>
      <w:r>
        <w:rPr>
          <w:rFonts w:hint="eastAsia" w:ascii="宋体" w:hAnsi="宋体"/>
          <w:b w:val="0"/>
          <w:color w:val="auto"/>
          <w:sz w:val="21"/>
          <w:szCs w:val="21"/>
          <w:highlight w:val="none"/>
        </w:rPr>
        <w:t>8.1</w:t>
      </w:r>
      <w:r>
        <w:rPr>
          <w:rFonts w:ascii="宋体" w:hAnsi="宋体"/>
          <w:b w:val="0"/>
          <w:color w:val="auto"/>
          <w:sz w:val="21"/>
          <w:szCs w:val="21"/>
          <w:highlight w:val="none"/>
        </w:rPr>
        <w:fldChar w:fldCharType="end"/>
      </w:r>
      <w:r>
        <w:rPr>
          <w:rFonts w:hint="eastAsia" w:ascii="宋体" w:hAnsi="宋体"/>
          <w:b w:val="0"/>
          <w:color w:val="auto"/>
          <w:sz w:val="21"/>
          <w:szCs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eastAsia="宋体" w:cs="Times New Roman"/>
          <w:b w:val="0"/>
          <w:bCs/>
          <w:color w:val="auto"/>
          <w:sz w:val="21"/>
          <w:szCs w:val="21"/>
          <w:highlight w:val="none"/>
        </w:rPr>
        <w:t>，</w:t>
      </w:r>
      <w:r>
        <w:rPr>
          <w:rFonts w:hint="eastAsia" w:ascii="宋体" w:hAnsi="宋体" w:eastAsia="宋体" w:cs="Times New Roman"/>
          <w:b/>
          <w:bCs w:val="0"/>
          <w:color w:val="auto"/>
          <w:sz w:val="21"/>
          <w:szCs w:val="21"/>
          <w:highlight w:val="none"/>
        </w:rPr>
        <w:t>其他投标无效</w:t>
      </w:r>
      <w:r>
        <w:rPr>
          <w:rFonts w:hint="eastAsia" w:ascii="宋体" w:hAnsi="宋体" w:eastAsia="宋体" w:cs="Times New Roman"/>
          <w:b w:val="0"/>
          <w:bCs/>
          <w:color w:val="auto"/>
          <w:sz w:val="21"/>
          <w:szCs w:val="21"/>
          <w:highlight w:val="none"/>
        </w:rPr>
        <w:t>。</w:t>
      </w:r>
    </w:p>
    <w:p w14:paraId="78D784FA">
      <w:pPr>
        <w:pStyle w:val="6"/>
        <w:keepNext w:val="0"/>
        <w:keepLines w:val="0"/>
        <w:spacing w:before="0" w:after="0" w:line="360" w:lineRule="auto"/>
        <w:ind w:firstLine="420" w:firstLineChars="200"/>
        <w:rPr>
          <w:rFonts w:hint="eastAsia" w:ascii="宋体" w:hAnsi="宋体" w:eastAsia="宋体" w:cs="Times New Roman"/>
          <w:b w:val="0"/>
          <w:bCs/>
          <w:color w:val="auto"/>
          <w:sz w:val="21"/>
          <w:szCs w:val="21"/>
          <w:highlight w:val="none"/>
        </w:rPr>
      </w:pPr>
      <w:r>
        <w:rPr>
          <w:rFonts w:hint="eastAsia" w:ascii="宋体" w:hAnsi="宋体" w:eastAsia="宋体" w:cs="Times New Roman"/>
          <w:b w:val="0"/>
          <w:bCs/>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545D9943">
      <w:pPr>
        <w:pStyle w:val="6"/>
        <w:keepNext w:val="0"/>
        <w:keepLines w:val="0"/>
        <w:spacing w:before="0" w:after="0" w:line="360" w:lineRule="auto"/>
        <w:ind w:firstLine="420" w:firstLineChars="200"/>
        <w:rPr>
          <w:rFonts w:hint="eastAsia" w:hAnsi="宋体"/>
          <w:color w:val="auto"/>
          <w:kern w:val="2"/>
          <w:sz w:val="21"/>
          <w:highlight w:val="none"/>
        </w:rPr>
      </w:pPr>
      <w:r>
        <w:rPr>
          <w:rFonts w:hint="eastAsia" w:ascii="宋体" w:hAnsi="宋体" w:eastAsia="宋体" w:cs="Times New Roman"/>
          <w:b w:val="0"/>
          <w:bCs/>
          <w:color w:val="auto"/>
          <w:sz w:val="21"/>
          <w:szCs w:val="21"/>
          <w:highlight w:val="none"/>
        </w:rPr>
        <w:t>非单一产品采购项目，多家投标人提供的核心产品品牌相同的，按前两款规定处理。</w:t>
      </w:r>
    </w:p>
    <w:p w14:paraId="763BB86A">
      <w:pPr>
        <w:pStyle w:val="6"/>
        <w:keepNext w:val="0"/>
        <w:keepLines w:val="0"/>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064A2660">
      <w:pPr>
        <w:pStyle w:val="6"/>
        <w:keepNext w:val="0"/>
        <w:keepLines w:val="0"/>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8.3投标人应仔细阅读招标文件的所有内容，按照招标文件的要求提交投标文件，并对所提供的全部资料的真实性承担法律责任。</w:t>
      </w:r>
    </w:p>
    <w:p w14:paraId="56A231CA">
      <w:pPr>
        <w:pStyle w:val="6"/>
        <w:keepNext w:val="0"/>
        <w:keepLines w:val="0"/>
        <w:spacing w:before="0" w:after="0" w:line="360" w:lineRule="auto"/>
        <w:ind w:firstLine="367" w:firstLineChars="175"/>
        <w:rPr>
          <w:rFonts w:hint="eastAsia" w:ascii="宋体" w:hAnsi="宋体"/>
          <w:b w:val="0"/>
          <w:bCs/>
          <w:color w:val="auto"/>
          <w:sz w:val="21"/>
          <w:szCs w:val="21"/>
          <w:highlight w:val="none"/>
        </w:rPr>
      </w:pPr>
      <w:r>
        <w:rPr>
          <w:rFonts w:hint="eastAsia" w:ascii="宋体" w:hAnsi="宋体"/>
          <w:b w:val="0"/>
          <w:bCs/>
          <w:color w:val="auto"/>
          <w:sz w:val="21"/>
          <w:szCs w:val="21"/>
          <w:highlight w:val="none"/>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14:paraId="17DFA957">
      <w:pPr>
        <w:pStyle w:val="6"/>
        <w:keepNext w:val="0"/>
        <w:keepLines w:val="0"/>
        <w:spacing w:before="0" w:after="0" w:line="360" w:lineRule="auto"/>
        <w:ind w:firstLine="367" w:firstLineChars="175"/>
        <w:rPr>
          <w:rFonts w:hint="eastAsia" w:ascii="宋体" w:hAnsi="宋体"/>
          <w:b w:val="0"/>
          <w:bCs/>
          <w:color w:val="auto"/>
          <w:sz w:val="21"/>
          <w:szCs w:val="21"/>
          <w:highlight w:val="none"/>
        </w:rPr>
      </w:pPr>
      <w:r>
        <w:rPr>
          <w:rFonts w:hint="eastAsia" w:ascii="宋体" w:hAnsi="宋体"/>
          <w:b w:val="0"/>
          <w:bCs/>
          <w:color w:val="auto"/>
          <w:sz w:val="21"/>
          <w:szCs w:val="21"/>
          <w:highlight w:val="none"/>
        </w:rPr>
        <w:t xml:space="preserve">8.5本国产品政策详见“投标人须知前附表”。 </w:t>
      </w:r>
    </w:p>
    <w:p w14:paraId="3AF8FCFC">
      <w:pPr>
        <w:pStyle w:val="7"/>
        <w:outlineLvl w:val="2"/>
        <w:rPr>
          <w:rFonts w:hint="eastAsia" w:ascii="黑体" w:hAnsi="黑体" w:eastAsia="黑体"/>
          <w:b/>
          <w:bCs/>
          <w:color w:val="auto"/>
          <w:kern w:val="0"/>
          <w:sz w:val="24"/>
          <w:szCs w:val="32"/>
          <w:highlight w:val="none"/>
        </w:rPr>
      </w:pPr>
      <w:bookmarkStart w:id="112" w:name="_Toc10088"/>
      <w:r>
        <w:rPr>
          <w:rFonts w:hint="eastAsia" w:ascii="黑体" w:hAnsi="黑体" w:eastAsia="黑体"/>
          <w:b/>
          <w:bCs/>
          <w:color w:val="auto"/>
          <w:kern w:val="0"/>
          <w:sz w:val="24"/>
          <w:szCs w:val="32"/>
          <w:highlight w:val="none"/>
        </w:rPr>
        <w:t>9.回避与串通投标</w:t>
      </w:r>
      <w:bookmarkEnd w:id="112"/>
    </w:p>
    <w:p w14:paraId="4872A57D">
      <w:pPr>
        <w:pStyle w:val="6"/>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供应商</w:t>
      </w:r>
      <w:r>
        <w:rPr>
          <w:rFonts w:ascii="宋体" w:hAnsi="宋体"/>
          <w:b w:val="0"/>
          <w:color w:val="auto"/>
          <w:sz w:val="21"/>
          <w:szCs w:val="21"/>
          <w:highlight w:val="none"/>
        </w:rPr>
        <w:t>有下列利害关系之一的，应当回避：</w:t>
      </w:r>
    </w:p>
    <w:p w14:paraId="69D59D12">
      <w:pPr>
        <w:pStyle w:val="24"/>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供应商</w:t>
      </w:r>
      <w:r>
        <w:rPr>
          <w:rFonts w:hAnsi="宋体"/>
          <w:color w:val="auto"/>
          <w:kern w:val="2"/>
          <w:sz w:val="21"/>
          <w:highlight w:val="none"/>
        </w:rPr>
        <w:t>存在劳动关系；</w:t>
      </w:r>
    </w:p>
    <w:p w14:paraId="0B8C8C86">
      <w:pPr>
        <w:pStyle w:val="24"/>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供应商</w:t>
      </w:r>
      <w:r>
        <w:rPr>
          <w:rFonts w:hAnsi="宋体"/>
          <w:color w:val="auto"/>
          <w:kern w:val="2"/>
          <w:sz w:val="21"/>
          <w:highlight w:val="none"/>
        </w:rPr>
        <w:t>的董事、监事；</w:t>
      </w:r>
    </w:p>
    <w:p w14:paraId="5583100F">
      <w:pPr>
        <w:pStyle w:val="24"/>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供应商</w:t>
      </w:r>
      <w:r>
        <w:rPr>
          <w:rFonts w:hAnsi="宋体"/>
          <w:color w:val="auto"/>
          <w:kern w:val="2"/>
          <w:sz w:val="21"/>
          <w:highlight w:val="none"/>
        </w:rPr>
        <w:t>的控股股东或者实际控制人；</w:t>
      </w:r>
    </w:p>
    <w:p w14:paraId="4ACA0A4F">
      <w:pPr>
        <w:pStyle w:val="24"/>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的法定代表人或者负责人有夫妻、直系血亲、三代以内旁系血亲或者近姻亲关系；</w:t>
      </w:r>
    </w:p>
    <w:p w14:paraId="50A6B1B6">
      <w:pPr>
        <w:pStyle w:val="24"/>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有其他可能影响政府采购活动公平、公正进行的关系。</w:t>
      </w:r>
    </w:p>
    <w:p w14:paraId="6301B5B7">
      <w:pPr>
        <w:pStyle w:val="24"/>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供应商</w:t>
      </w:r>
      <w:r>
        <w:rPr>
          <w:rFonts w:hAnsi="宋体"/>
          <w:color w:val="auto"/>
          <w:kern w:val="2"/>
          <w:sz w:val="21"/>
          <w:highlight w:val="none"/>
        </w:rPr>
        <w:t>认为采购人员及相关人员与其他</w:t>
      </w:r>
      <w:r>
        <w:rPr>
          <w:rFonts w:hint="eastAsia" w:hAnsi="宋体"/>
          <w:color w:val="auto"/>
          <w:kern w:val="2"/>
          <w:sz w:val="21"/>
          <w:highlight w:val="none"/>
        </w:rPr>
        <w:t>供应商</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6329928F">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524D4870">
      <w:pPr>
        <w:pStyle w:val="24"/>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（1）不同投标人的投标文件由同一单位或者个人编制；</w:t>
      </w:r>
      <w:r>
        <w:rPr>
          <w:rFonts w:hint="eastAsia" w:ascii="宋体" w:hAnsi="宋体" w:cs="宋体"/>
          <w:b/>
          <w:color w:val="auto"/>
          <w:szCs w:val="21"/>
          <w:highlight w:val="none"/>
        </w:rPr>
        <w:t>或者不同投标人报名的IP地址一致的；</w:t>
      </w:r>
      <w:r>
        <w:rPr>
          <w:rFonts w:hint="eastAsia" w:hAnsi="宋体"/>
          <w:b/>
          <w:color w:val="auto"/>
          <w:kern w:val="2"/>
          <w:sz w:val="21"/>
          <w:highlight w:val="none"/>
        </w:rPr>
        <w:t xml:space="preserve"> </w:t>
      </w:r>
    </w:p>
    <w:p w14:paraId="4A4A4631">
      <w:pPr>
        <w:pStyle w:val="24"/>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02B6687A">
      <w:pPr>
        <w:pStyle w:val="24"/>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5760DC51">
      <w:pPr>
        <w:pStyle w:val="24"/>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42E1E44B">
      <w:pPr>
        <w:pStyle w:val="24"/>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14:paraId="2B59A757">
      <w:pPr>
        <w:pStyle w:val="24"/>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49C0F384">
      <w:pPr>
        <w:pStyle w:val="6"/>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供应商有下列情形之一的，属于恶意串通行为，将报同级监督管理部门：</w:t>
      </w:r>
    </w:p>
    <w:p w14:paraId="64BE190C">
      <w:pPr>
        <w:pStyle w:val="24"/>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（1）供应商直接或者间接从采购人或者采购代理机构处获得其他供应商的相关信息并修改其投标文件或者响应文件；</w:t>
      </w:r>
    </w:p>
    <w:p w14:paraId="129FEAFB">
      <w:pPr>
        <w:pStyle w:val="24"/>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（2）供应商按照采购人或者采购代理机构的授意撤换、修改投标文件或者响应文件；</w:t>
      </w:r>
    </w:p>
    <w:p w14:paraId="34714705">
      <w:pPr>
        <w:pStyle w:val="24"/>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（3）供应商之间协商报价、技术方案等投标文件或者响应文件的实质性内容；</w:t>
      </w:r>
    </w:p>
    <w:p w14:paraId="7CACC69B">
      <w:pPr>
        <w:pStyle w:val="24"/>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（4）属于同一集团、协会、商会等组织成员的供应商按照该组织要求协同参加政府采购活动；</w:t>
      </w:r>
    </w:p>
    <w:p w14:paraId="5F0D69AC">
      <w:pPr>
        <w:pStyle w:val="24"/>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08AD5120">
      <w:pPr>
        <w:pStyle w:val="24"/>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（6）供应商之间商定部分供应商放弃参加政府采购活动或者放弃中标；</w:t>
      </w:r>
    </w:p>
    <w:p w14:paraId="75951D7A">
      <w:pPr>
        <w:pStyle w:val="24"/>
        <w:snapToGrid w:val="0"/>
        <w:spacing w:line="360" w:lineRule="auto"/>
        <w:ind w:left="2" w:leftChars="1" w:firstLine="420" w:firstLineChars="200"/>
        <w:rPr>
          <w:rFonts w:hint="eastAsia" w:hAnsi="宋体"/>
          <w:b/>
          <w:color w:val="auto"/>
          <w:kern w:val="2"/>
          <w:sz w:val="21"/>
          <w:highlight w:val="none"/>
        </w:rPr>
      </w:pPr>
      <w:r>
        <w:rPr>
          <w:rFonts w:hint="eastAsia" w:hAnsi="宋体"/>
          <w:color w:val="auto"/>
          <w:kern w:val="2"/>
          <w:sz w:val="21"/>
          <w:highlight w:val="none"/>
        </w:rPr>
        <w:t>（7）供应商与采购人或者采购代理机构之间、供应商相互之间，为谋求特定供应商中标或者排斥其他供应商的其他串通行为。</w:t>
      </w:r>
    </w:p>
    <w:p w14:paraId="55A7264C">
      <w:pPr>
        <w:pStyle w:val="3"/>
        <w:keepNext w:val="0"/>
        <w:keepLines w:val="0"/>
        <w:jc w:val="center"/>
        <w:rPr>
          <w:rFonts w:hint="eastAsia" w:ascii="Times New Roman" w:hAnsi="Times New Roman" w:eastAsia="宋体"/>
          <w:color w:val="auto"/>
          <w:highlight w:val="none"/>
        </w:rPr>
      </w:pPr>
      <w:bookmarkStart w:id="113" w:name="_Toc254970675"/>
      <w:bookmarkStart w:id="114" w:name="_Toc254970534"/>
      <w:bookmarkStart w:id="115" w:name="_Toc1625"/>
      <w:r>
        <w:rPr>
          <w:rFonts w:hint="eastAsia" w:ascii="Times New Roman" w:hAnsi="Times New Roman" w:eastAsia="宋体"/>
          <w:color w:val="auto"/>
          <w:highlight w:val="none"/>
        </w:rPr>
        <w:t>二、招标文件</w:t>
      </w:r>
      <w:bookmarkEnd w:id="113"/>
      <w:bookmarkEnd w:id="114"/>
      <w:bookmarkEnd w:id="115"/>
    </w:p>
    <w:p w14:paraId="6A663380">
      <w:pPr>
        <w:pStyle w:val="4"/>
        <w:keepNext w:val="0"/>
        <w:keepLines w:val="0"/>
        <w:spacing w:before="0" w:after="0" w:line="360" w:lineRule="auto"/>
        <w:ind w:left="420" w:leftChars="200"/>
        <w:rPr>
          <w:rFonts w:hint="eastAsia" w:ascii="黑体" w:hAnsi="黑体" w:eastAsia="黑体"/>
          <w:color w:val="auto"/>
          <w:sz w:val="24"/>
          <w:highlight w:val="none"/>
        </w:rPr>
      </w:pPr>
      <w:bookmarkStart w:id="116" w:name="_Toc32027"/>
      <w:r>
        <w:rPr>
          <w:rFonts w:hint="eastAsia" w:ascii="黑体" w:hAnsi="黑体" w:eastAsia="黑体"/>
          <w:color w:val="auto"/>
          <w:sz w:val="24"/>
          <w:highlight w:val="none"/>
        </w:rPr>
        <w:t>10.招标文件的组成</w:t>
      </w:r>
      <w:bookmarkEnd w:id="116"/>
    </w:p>
    <w:p w14:paraId="60005FEA">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（1）招标公告；</w:t>
      </w:r>
    </w:p>
    <w:p w14:paraId="600CC856">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（2）采购需求； </w:t>
      </w:r>
    </w:p>
    <w:p w14:paraId="70CC68A5">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（3）投标人须知；</w:t>
      </w:r>
    </w:p>
    <w:p w14:paraId="575B927F">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（4）评标方法及评标标准；</w:t>
      </w:r>
    </w:p>
    <w:p w14:paraId="6EC0624F">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（5）拟签订的合同文本；</w:t>
      </w:r>
    </w:p>
    <w:p w14:paraId="6A06C1E1">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（6）投标文件格式。</w:t>
      </w:r>
    </w:p>
    <w:p w14:paraId="67CF4AAE">
      <w:pPr>
        <w:pStyle w:val="4"/>
        <w:keepNext w:val="0"/>
        <w:keepLines w:val="0"/>
        <w:spacing w:before="0" w:after="0" w:line="360" w:lineRule="auto"/>
        <w:ind w:left="420" w:leftChars="200"/>
        <w:rPr>
          <w:rFonts w:hint="eastAsia" w:ascii="黑体" w:hAnsi="黑体" w:eastAsia="黑体"/>
          <w:color w:val="auto"/>
          <w:sz w:val="24"/>
          <w:highlight w:val="none"/>
        </w:rPr>
      </w:pPr>
      <w:bookmarkStart w:id="117" w:name="_Toc27904"/>
      <w:r>
        <w:rPr>
          <w:rFonts w:hint="eastAsia" w:ascii="黑体" w:hAnsi="黑体" w:eastAsia="黑体"/>
          <w:color w:val="auto"/>
          <w:sz w:val="24"/>
          <w:highlight w:val="none"/>
        </w:rPr>
        <w:t>11.招标文件的澄清、修改 、现场考察和答疑会</w:t>
      </w:r>
      <w:bookmarkEnd w:id="117"/>
    </w:p>
    <w:p w14:paraId="691BDA29">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6AA3596">
      <w:pPr>
        <w:pStyle w:val="24"/>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240C9E68">
      <w:pPr>
        <w:pStyle w:val="24"/>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1</w:t>
      </w:r>
      <w:r>
        <w:rPr>
          <w:rFonts w:hAnsi="宋体"/>
          <w:color w:val="auto"/>
          <w:sz w:val="21"/>
          <w:highlight w:val="none"/>
        </w:rPr>
        <w:t>1.2</w:t>
      </w:r>
      <w:bookmarkStart w:id="118" w:name="_Hlk53134511"/>
      <w:r>
        <w:rPr>
          <w:rFonts w:hint="eastAsia" w:hAnsi="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118"/>
    <w:p w14:paraId="78895730">
      <w:pPr>
        <w:pStyle w:val="3"/>
        <w:keepNext w:val="0"/>
        <w:keepLines w:val="0"/>
        <w:jc w:val="center"/>
        <w:rPr>
          <w:rFonts w:hint="eastAsia" w:ascii="Times New Roman" w:hAnsi="Times New Roman" w:eastAsia="宋体"/>
          <w:color w:val="auto"/>
          <w:highlight w:val="none"/>
        </w:rPr>
      </w:pPr>
      <w:bookmarkStart w:id="119" w:name="_Toc13313"/>
      <w:bookmarkStart w:id="120" w:name="_Toc254970676"/>
      <w:bookmarkStart w:id="121" w:name="_Toc254970535"/>
      <w:r>
        <w:rPr>
          <w:rFonts w:hint="eastAsia" w:ascii="Times New Roman" w:hAnsi="Times New Roman" w:eastAsia="宋体"/>
          <w:color w:val="auto"/>
          <w:highlight w:val="none"/>
        </w:rPr>
        <w:t>三、投标文件的编制</w:t>
      </w:r>
      <w:bookmarkEnd w:id="119"/>
      <w:bookmarkEnd w:id="120"/>
      <w:bookmarkEnd w:id="121"/>
    </w:p>
    <w:p w14:paraId="09553CB3">
      <w:pPr>
        <w:pStyle w:val="4"/>
        <w:keepNext w:val="0"/>
        <w:keepLines w:val="0"/>
        <w:spacing w:before="0" w:after="0" w:line="360" w:lineRule="auto"/>
        <w:ind w:left="420" w:leftChars="200"/>
        <w:rPr>
          <w:rFonts w:hint="eastAsia" w:ascii="黑体" w:hAnsi="黑体" w:eastAsia="黑体"/>
          <w:color w:val="auto"/>
          <w:sz w:val="24"/>
          <w:highlight w:val="none"/>
        </w:rPr>
      </w:pPr>
      <w:bookmarkStart w:id="122" w:name="_Toc8546"/>
      <w:bookmarkStart w:id="123" w:name="_Toc254970536"/>
      <w:bookmarkStart w:id="124" w:name="_Toc254970677"/>
      <w:r>
        <w:rPr>
          <w:rFonts w:hint="eastAsia" w:ascii="黑体" w:hAnsi="黑体" w:eastAsia="黑体"/>
          <w:color w:val="auto"/>
          <w:sz w:val="24"/>
          <w:highlight w:val="none"/>
        </w:rPr>
        <w:t>12.投标文件的编制原则</w:t>
      </w:r>
      <w:bookmarkEnd w:id="122"/>
    </w:p>
    <w:p w14:paraId="126CA841">
      <w:pPr>
        <w:snapToGrid w:val="0"/>
        <w:spacing w:line="360" w:lineRule="auto"/>
        <w:ind w:firstLine="42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7117C326">
      <w:pPr>
        <w:pStyle w:val="4"/>
        <w:keepNext w:val="0"/>
        <w:keepLines w:val="0"/>
        <w:spacing w:before="0" w:after="0" w:line="360" w:lineRule="auto"/>
        <w:ind w:left="420" w:leftChars="200"/>
        <w:rPr>
          <w:rFonts w:hint="eastAsia" w:ascii="黑体" w:hAnsi="黑体" w:eastAsia="黑体"/>
          <w:color w:val="auto"/>
          <w:sz w:val="24"/>
          <w:highlight w:val="none"/>
        </w:rPr>
      </w:pPr>
      <w:bookmarkStart w:id="125" w:name="_Toc16067"/>
      <w:r>
        <w:rPr>
          <w:rFonts w:hint="eastAsia" w:ascii="黑体" w:hAnsi="黑体" w:eastAsia="黑体"/>
          <w:color w:val="auto"/>
          <w:sz w:val="24"/>
          <w:highlight w:val="none"/>
        </w:rPr>
        <w:t>13.投标文件的组成</w:t>
      </w:r>
      <w:bookmarkEnd w:id="123"/>
      <w:bookmarkEnd w:id="124"/>
      <w:bookmarkEnd w:id="125"/>
    </w:p>
    <w:p w14:paraId="4E868B5D">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投标文件由报价文件、资格证明文件、商务及技术文件三部分组成。</w:t>
      </w:r>
    </w:p>
    <w:p w14:paraId="717B037A">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26" w:name="_13.1报价文件:_具体材料见“投标人须知前附表”。"/>
      <w:bookmarkEnd w:id="126"/>
      <w:r>
        <w:rPr>
          <w:rFonts w:hint="eastAsia" w:ascii="宋体" w:hAnsi="宋体"/>
          <w:b w:val="0"/>
          <w:color w:val="auto"/>
          <w:sz w:val="21"/>
          <w:szCs w:val="21"/>
          <w:highlight w:val="none"/>
        </w:rPr>
        <w:t>（1）报价文件：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3492294B">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27" w:name="_13.2资格证明文件：具体材料见“投标人须知前附表”。"/>
      <w:bookmarkEnd w:id="127"/>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78E02F6D">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28" w:name="_13.3商务文件:_具体材料见“投标人须知前附表”。"/>
      <w:bookmarkEnd w:id="128"/>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）商务及技术文件：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5C24D2D5">
      <w:pPr>
        <w:pStyle w:val="4"/>
        <w:keepNext w:val="0"/>
        <w:keepLines w:val="0"/>
        <w:spacing w:before="0" w:after="0" w:line="360" w:lineRule="auto"/>
        <w:ind w:left="420" w:leftChars="200"/>
        <w:rPr>
          <w:rFonts w:hint="eastAsia" w:ascii="黑体" w:hAnsi="黑体" w:eastAsia="黑体"/>
          <w:color w:val="auto"/>
          <w:sz w:val="24"/>
          <w:highlight w:val="none"/>
        </w:rPr>
      </w:pPr>
      <w:bookmarkStart w:id="129" w:name="_13.5投标文件电子版：具体材料见“投标人须知前附表”。"/>
      <w:bookmarkEnd w:id="129"/>
      <w:bookmarkStart w:id="130" w:name="_Toc28673"/>
      <w:bookmarkStart w:id="131" w:name="_Toc254970678"/>
      <w:bookmarkStart w:id="132" w:name="_Toc254970537"/>
      <w:r>
        <w:rPr>
          <w:rFonts w:hint="eastAsia" w:ascii="黑体" w:hAnsi="黑体" w:eastAsia="黑体"/>
          <w:color w:val="auto"/>
          <w:sz w:val="24"/>
          <w:highlight w:val="none"/>
        </w:rPr>
        <w:t>14.投标文件的语言及计量</w:t>
      </w:r>
      <w:bookmarkEnd w:id="130"/>
      <w:bookmarkEnd w:id="131"/>
      <w:bookmarkEnd w:id="132"/>
    </w:p>
    <w:p w14:paraId="78AFC403">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14:paraId="7AD6BEAE">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640BE4E">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6842B2CB">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color w:val="auto"/>
          <w:sz w:val="21"/>
          <w:szCs w:val="21"/>
          <w:highlight w:val="none"/>
        </w:rPr>
        <w:t>否则视同未响应。</w:t>
      </w:r>
    </w:p>
    <w:p w14:paraId="2066F1AC">
      <w:pPr>
        <w:pStyle w:val="4"/>
        <w:keepNext w:val="0"/>
        <w:keepLines w:val="0"/>
        <w:spacing w:before="0" w:after="0" w:line="360" w:lineRule="auto"/>
        <w:ind w:left="420" w:leftChars="200"/>
        <w:rPr>
          <w:rFonts w:hint="eastAsia" w:ascii="黑体" w:hAnsi="黑体" w:eastAsia="黑体"/>
          <w:color w:val="auto"/>
          <w:sz w:val="24"/>
          <w:highlight w:val="none"/>
        </w:rPr>
      </w:pPr>
      <w:bookmarkStart w:id="133" w:name="_Toc21083"/>
      <w:r>
        <w:rPr>
          <w:rFonts w:hint="eastAsia" w:ascii="黑体" w:hAnsi="黑体" w:eastAsia="黑体"/>
          <w:color w:val="auto"/>
          <w:sz w:val="24"/>
          <w:highlight w:val="none"/>
        </w:rPr>
        <w:t>15.投标的风险</w:t>
      </w:r>
      <w:bookmarkEnd w:id="133"/>
    </w:p>
    <w:p w14:paraId="2D414659">
      <w:pPr>
        <w:pStyle w:val="24"/>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70F291B7">
      <w:pPr>
        <w:pStyle w:val="4"/>
        <w:keepNext w:val="0"/>
        <w:keepLines w:val="0"/>
        <w:spacing w:before="0" w:after="0" w:line="360" w:lineRule="auto"/>
        <w:ind w:left="420" w:leftChars="200"/>
        <w:rPr>
          <w:rFonts w:hint="eastAsia" w:ascii="黑体" w:hAnsi="黑体" w:eastAsia="黑体"/>
          <w:color w:val="auto"/>
          <w:sz w:val="24"/>
          <w:highlight w:val="none"/>
        </w:rPr>
      </w:pPr>
      <w:bookmarkStart w:id="134" w:name="_Toc254970679"/>
      <w:bookmarkStart w:id="135" w:name="_Toc254970538"/>
      <w:bookmarkStart w:id="136" w:name="_Toc21122"/>
      <w:r>
        <w:rPr>
          <w:rFonts w:hint="eastAsia" w:ascii="黑体" w:hAnsi="黑体" w:eastAsia="黑体"/>
          <w:color w:val="auto"/>
          <w:sz w:val="24"/>
          <w:highlight w:val="none"/>
        </w:rPr>
        <w:t>16.投标报价</w:t>
      </w:r>
      <w:bookmarkEnd w:id="134"/>
      <w:bookmarkEnd w:id="135"/>
      <w:bookmarkEnd w:id="136"/>
    </w:p>
    <w:p w14:paraId="53C70D9C">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6743BF85">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37" w:name="_16.2投标报价具体定义见投标人须知前附表。"/>
      <w:bookmarkEnd w:id="137"/>
      <w:r>
        <w:rPr>
          <w:rFonts w:hint="eastAsia" w:ascii="宋体" w:hAnsi="宋体"/>
          <w:b w:val="0"/>
          <w:color w:val="auto"/>
          <w:sz w:val="21"/>
          <w:szCs w:val="21"/>
          <w:highlight w:val="none"/>
        </w:rPr>
        <w:t>16.2投标报价具体包括内容详见“投标人须知前附表”。</w:t>
      </w:r>
    </w:p>
    <w:p w14:paraId="6DBC14F3">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1C3164D2">
      <w:pPr>
        <w:pStyle w:val="4"/>
        <w:keepNext w:val="0"/>
        <w:keepLines w:val="0"/>
        <w:spacing w:before="0" w:after="0" w:line="360" w:lineRule="auto"/>
        <w:ind w:left="420" w:leftChars="200"/>
        <w:rPr>
          <w:rFonts w:hint="eastAsia" w:ascii="黑体" w:hAnsi="黑体" w:eastAsia="黑体"/>
          <w:color w:val="auto"/>
          <w:sz w:val="24"/>
          <w:highlight w:val="none"/>
        </w:rPr>
      </w:pPr>
      <w:bookmarkStart w:id="138" w:name="_Toc29"/>
      <w:r>
        <w:rPr>
          <w:rFonts w:hint="eastAsia" w:ascii="黑体" w:hAnsi="黑体" w:eastAsia="黑体"/>
          <w:color w:val="auto"/>
          <w:sz w:val="24"/>
          <w:highlight w:val="none"/>
        </w:rPr>
        <w:t>17.投标有效期</w:t>
      </w:r>
      <w:bookmarkEnd w:id="138"/>
    </w:p>
    <w:p w14:paraId="154F77C7">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39" w:name="_17.1投标有效期应按“投标人须知中的前附表”规定的期限。"/>
      <w:bookmarkEnd w:id="139"/>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490AEB16">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40" w:name="_Toc254970681"/>
      <w:bookmarkStart w:id="141" w:name="_Toc254970540"/>
      <w:r>
        <w:rPr>
          <w:rFonts w:hint="eastAsia" w:ascii="宋体" w:hAnsi="宋体"/>
          <w:b w:val="0"/>
          <w:color w:val="auto"/>
          <w:sz w:val="21"/>
          <w:szCs w:val="21"/>
          <w:highlight w:val="none"/>
        </w:rPr>
        <w:t xml:space="preserve"> 投标有效期应按招标文件规定的期限作出承诺，具体详见“投标人须知前附表”。</w:t>
      </w:r>
      <w:r>
        <w:rPr>
          <w:rFonts w:hint="eastAsia" w:ascii="宋体" w:hAnsi="宋体"/>
          <w:color w:val="auto"/>
          <w:sz w:val="21"/>
          <w:szCs w:val="21"/>
          <w:highlight w:val="none"/>
        </w:rPr>
        <w:t>承诺的投标有效期低于招标文件规定期限的，按无效投标处理</w:t>
      </w:r>
      <w:r>
        <w:rPr>
          <w:rFonts w:hint="eastAsia" w:ascii="宋体" w:hAnsi="宋体"/>
          <w:b w:val="0"/>
          <w:color w:val="auto"/>
          <w:sz w:val="21"/>
          <w:szCs w:val="21"/>
          <w:highlight w:val="none"/>
        </w:rPr>
        <w:t>。</w:t>
      </w:r>
    </w:p>
    <w:p w14:paraId="5586C19B">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40"/>
      <w:bookmarkEnd w:id="141"/>
    </w:p>
    <w:p w14:paraId="6F2CE796">
      <w:pPr>
        <w:pStyle w:val="4"/>
        <w:keepNext w:val="0"/>
        <w:keepLines w:val="0"/>
        <w:spacing w:before="0" w:after="0" w:line="360" w:lineRule="auto"/>
        <w:ind w:left="420" w:leftChars="200"/>
        <w:rPr>
          <w:rFonts w:hint="eastAsia" w:ascii="黑体" w:hAnsi="黑体" w:eastAsia="黑体"/>
          <w:color w:val="auto"/>
          <w:sz w:val="24"/>
          <w:highlight w:val="none"/>
        </w:rPr>
      </w:pPr>
      <w:bookmarkStart w:id="142" w:name="_18.投标保证金"/>
      <w:bookmarkEnd w:id="142"/>
      <w:bookmarkStart w:id="143" w:name="_Toc254970682"/>
      <w:bookmarkStart w:id="144" w:name="_Toc254970541"/>
      <w:bookmarkStart w:id="145" w:name="_Toc16905"/>
      <w:r>
        <w:rPr>
          <w:rFonts w:hint="eastAsia" w:ascii="黑体" w:hAnsi="黑体" w:eastAsia="黑体"/>
          <w:color w:val="auto"/>
          <w:sz w:val="24"/>
          <w:highlight w:val="none"/>
        </w:rPr>
        <w:t>18.投标保证金</w:t>
      </w:r>
      <w:bookmarkEnd w:id="143"/>
      <w:bookmarkEnd w:id="144"/>
      <w:bookmarkEnd w:id="145"/>
    </w:p>
    <w:p w14:paraId="68F4D881">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0E46A730">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18B94BA5">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未中标人的投标保证金自中标通知书发出之日起</w:t>
      </w:r>
      <w:r>
        <w:rPr>
          <w:rFonts w:ascii="宋体" w:hAnsi="宋体"/>
          <w:b w:val="0"/>
          <w:color w:val="auto"/>
          <w:sz w:val="21"/>
          <w:szCs w:val="21"/>
          <w:highlight w:val="none"/>
        </w:rPr>
        <w:t>5</w:t>
      </w:r>
      <w:r>
        <w:rPr>
          <w:rFonts w:hint="eastAsia" w:ascii="宋体" w:hAnsi="宋体"/>
          <w:b w:val="0"/>
          <w:color w:val="auto"/>
          <w:sz w:val="21"/>
          <w:szCs w:val="21"/>
          <w:highlight w:val="none"/>
        </w:rPr>
        <w:t>个工作日内退还；中标人的投标保证金自政府采购合同签订之日起</w:t>
      </w:r>
      <w:r>
        <w:rPr>
          <w:rFonts w:ascii="宋体" w:hAnsi="宋体"/>
          <w:b w:val="0"/>
          <w:color w:val="auto"/>
          <w:sz w:val="21"/>
          <w:szCs w:val="21"/>
          <w:highlight w:val="none"/>
        </w:rPr>
        <w:t>5</w:t>
      </w:r>
      <w:r>
        <w:rPr>
          <w:rFonts w:hint="eastAsia" w:ascii="宋体" w:hAnsi="宋体"/>
          <w:b w:val="0"/>
          <w:color w:val="auto"/>
          <w:sz w:val="21"/>
          <w:szCs w:val="21"/>
          <w:highlight w:val="none"/>
        </w:rPr>
        <w:t xml:space="preserve">个工作日内退还。 </w:t>
      </w:r>
    </w:p>
    <w:p w14:paraId="08E471A4">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63ADADA7">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6E24E777">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14:paraId="6846BA91">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（2）未按规定提交履约保证金的；</w:t>
      </w:r>
    </w:p>
    <w:p w14:paraId="322DA9D0">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1EE9C77E">
      <w:pPr>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（4）中标人无正当理由不与采购人签订合同的；</w:t>
      </w:r>
    </w:p>
    <w:p w14:paraId="0A01128D">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（5）投标人出现本章第9.2、9.3情形的；</w:t>
      </w:r>
    </w:p>
    <w:p w14:paraId="14A801B4">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14:paraId="1579A8B1">
      <w:pPr>
        <w:pStyle w:val="4"/>
        <w:keepNext w:val="0"/>
        <w:keepLines w:val="0"/>
        <w:spacing w:before="0" w:after="0" w:line="360" w:lineRule="auto"/>
        <w:ind w:left="420" w:leftChars="200"/>
        <w:rPr>
          <w:rFonts w:hint="eastAsia" w:ascii="黑体" w:hAnsi="黑体" w:eastAsia="黑体"/>
          <w:color w:val="auto"/>
          <w:sz w:val="24"/>
          <w:highlight w:val="none"/>
        </w:rPr>
      </w:pPr>
      <w:bookmarkStart w:id="146" w:name="_Toc254970542"/>
      <w:bookmarkStart w:id="147" w:name="_Toc254970683"/>
      <w:bookmarkStart w:id="148" w:name="_Toc23866"/>
      <w:r>
        <w:rPr>
          <w:rFonts w:hint="eastAsia" w:ascii="黑体" w:hAnsi="黑体" w:eastAsia="黑体"/>
          <w:color w:val="auto"/>
          <w:sz w:val="24"/>
          <w:highlight w:val="none"/>
        </w:rPr>
        <w:t>19.投标文件的</w:t>
      </w:r>
      <w:bookmarkEnd w:id="146"/>
      <w:bookmarkEnd w:id="147"/>
      <w:r>
        <w:rPr>
          <w:rFonts w:hint="eastAsia" w:ascii="黑体" w:hAnsi="黑体" w:eastAsia="黑体"/>
          <w:color w:val="auto"/>
          <w:sz w:val="24"/>
          <w:highlight w:val="none"/>
        </w:rPr>
        <w:t>编制</w:t>
      </w:r>
      <w:bookmarkEnd w:id="148"/>
    </w:p>
    <w:p w14:paraId="1BFD6904">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19.1投标人应先安装“广西政府采购云平台电子投标客户端”（请自行前往广西政府采购云平台进行下载），并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098D259B">
      <w:pPr>
        <w:pStyle w:val="6"/>
        <w:keepNext w:val="0"/>
        <w:keepLines w:val="0"/>
        <w:spacing w:before="0" w:after="0" w:line="360" w:lineRule="auto"/>
        <w:ind w:firstLine="315" w:firstLineChars="150"/>
        <w:rPr>
          <w:rFonts w:ascii="宋体" w:hAnsi="宋体"/>
          <w:b w:val="0"/>
          <w:color w:val="auto"/>
          <w:sz w:val="21"/>
          <w:szCs w:val="21"/>
          <w:highlight w:val="none"/>
        </w:rPr>
      </w:pPr>
      <w:bookmarkStart w:id="149" w:name="_19.2投标文件应按报价文件、资格证明文件、商务文件、技术文件分别编制"/>
      <w:bookmarkEnd w:id="149"/>
      <w:r>
        <w:rPr>
          <w:rFonts w:hint="eastAsia" w:ascii="宋体" w:hAnsi="宋体"/>
          <w:b w:val="0"/>
          <w:color w:val="auto"/>
          <w:sz w:val="21"/>
          <w:szCs w:val="21"/>
          <w:highlight w:val="none"/>
        </w:rPr>
        <w:t>19.2为确保网上操作合法、有效和安全，投标人应当在投标截止时间前完成在广西政府采购云平台的身份认证，确保在电子投标过程中能够对相关数据电文进行加密和使用电子签章。</w:t>
      </w:r>
    </w:p>
    <w:p w14:paraId="172B0FCF">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19.3投标文件须由投标人在规定位置签字（或者电子签名）、盖章（具体以投标人须知前附表或投标文件格式规定为准），</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36726B2A">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08A6231C">
      <w:pPr>
        <w:pStyle w:val="6"/>
        <w:keepNext w:val="0"/>
        <w:keepLines w:val="0"/>
        <w:spacing w:before="0" w:after="0" w:line="360" w:lineRule="auto"/>
        <w:ind w:firstLine="420" w:firstLineChars="200"/>
        <w:rPr>
          <w:rFonts w:ascii="黑体" w:hAnsi="黑体" w:eastAsia="黑体"/>
          <w:color w:val="auto"/>
          <w:sz w:val="24"/>
          <w:highlight w:val="none"/>
        </w:rPr>
      </w:pPr>
      <w:r>
        <w:rPr>
          <w:rFonts w:hint="eastAsia" w:ascii="宋体" w:hAnsi="宋体"/>
          <w:b w:val="0"/>
          <w:color w:val="auto"/>
          <w:sz w:val="21"/>
          <w:szCs w:val="21"/>
          <w:highlight w:val="none"/>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354F277A">
      <w:pPr>
        <w:pStyle w:val="4"/>
        <w:keepNext w:val="0"/>
        <w:keepLines w:val="0"/>
        <w:spacing w:before="0" w:after="0" w:line="360" w:lineRule="auto"/>
        <w:ind w:left="420" w:leftChars="200"/>
        <w:rPr>
          <w:rFonts w:hint="eastAsia" w:ascii="黑体" w:hAnsi="黑体" w:eastAsia="黑体"/>
          <w:color w:val="auto"/>
          <w:sz w:val="24"/>
          <w:highlight w:val="none"/>
        </w:rPr>
      </w:pPr>
      <w:bookmarkStart w:id="150" w:name="_Toc25913"/>
      <w:r>
        <w:rPr>
          <w:rFonts w:hint="eastAsia" w:ascii="黑体" w:hAnsi="黑体" w:eastAsia="黑体"/>
          <w:color w:val="auto"/>
          <w:sz w:val="24"/>
          <w:highlight w:val="none"/>
        </w:rPr>
        <w:t>20.电子备份投标文件</w:t>
      </w:r>
      <w:bookmarkEnd w:id="150"/>
    </w:p>
    <w:p w14:paraId="38318DB4">
      <w:pPr>
        <w:spacing w:line="360" w:lineRule="auto"/>
        <w:ind w:firstLine="420" w:firstLineChars="200"/>
        <w:rPr>
          <w:rFonts w:hint="eastAsia" w:ascii="黑体" w:hAnsi="黑体" w:eastAsia="黑体"/>
          <w:color w:val="auto"/>
          <w:sz w:val="24"/>
          <w:highlight w:val="none"/>
        </w:rPr>
      </w:pPr>
      <w:r>
        <w:rPr>
          <w:rFonts w:hint="eastAsia"/>
          <w:color w:val="auto"/>
          <w:highlight w:val="none"/>
        </w:rPr>
        <w:t>电子备份投标文件是指通过“广西政府采购云平台电子投标客户端”在线编制生成且后缀名为“</w:t>
      </w:r>
      <w:r>
        <w:rPr>
          <w:color w:val="auto"/>
          <w:highlight w:val="none"/>
        </w:rPr>
        <w:t>bfbs</w:t>
      </w:r>
      <w:r>
        <w:rPr>
          <w:rFonts w:hint="eastAsia"/>
          <w:color w:val="auto"/>
          <w:highlight w:val="none"/>
        </w:rPr>
        <w:t>”的文件，是否接受电子备份投标文件</w:t>
      </w:r>
      <w:r>
        <w:rPr>
          <w:rFonts w:hint="eastAsia" w:hAnsi="宋体"/>
          <w:bCs/>
          <w:color w:val="auto"/>
          <w:szCs w:val="21"/>
          <w:highlight w:val="none"/>
        </w:rPr>
        <w:t>详见在“投标人须知前附表”。</w:t>
      </w:r>
    </w:p>
    <w:p w14:paraId="3A013454">
      <w:pPr>
        <w:pStyle w:val="4"/>
        <w:keepNext w:val="0"/>
        <w:keepLines w:val="0"/>
        <w:spacing w:before="0" w:after="0" w:line="360" w:lineRule="auto"/>
        <w:ind w:left="420" w:leftChars="200"/>
        <w:rPr>
          <w:rFonts w:hint="eastAsia" w:ascii="黑体" w:hAnsi="黑体" w:eastAsia="黑体"/>
          <w:color w:val="auto"/>
          <w:sz w:val="24"/>
          <w:highlight w:val="none"/>
        </w:rPr>
      </w:pPr>
      <w:bookmarkStart w:id="151" w:name="_Toc2869"/>
      <w:r>
        <w:rPr>
          <w:rFonts w:hint="eastAsia" w:ascii="黑体" w:hAnsi="黑体" w:eastAsia="黑体"/>
          <w:color w:val="auto"/>
          <w:sz w:val="24"/>
          <w:highlight w:val="none"/>
        </w:rPr>
        <w:t>21.投标文件的提交</w:t>
      </w:r>
      <w:bookmarkEnd w:id="151"/>
    </w:p>
    <w:p w14:paraId="0DA40CD4">
      <w:pPr>
        <w:spacing w:line="360" w:lineRule="auto"/>
        <w:ind w:firstLine="420" w:firstLineChars="200"/>
        <w:rPr>
          <w:rFonts w:hint="eastAsia" w:hAnsi="宋体"/>
          <w:b/>
          <w:color w:val="auto"/>
          <w:highlight w:val="none"/>
        </w:rPr>
      </w:pPr>
      <w:bookmarkStart w:id="152" w:name="_21.1投标人必须在“投标人须知中的前附表”规定的投标文件接收时间和投"/>
      <w:bookmarkEnd w:id="152"/>
      <w:r>
        <w:rPr>
          <w:rFonts w:hint="eastAsia" w:hAnsi="宋体"/>
          <w:bCs/>
          <w:color w:val="auto"/>
          <w:szCs w:val="21"/>
          <w:highlight w:val="none"/>
        </w:rPr>
        <w:t>21.1投标人必须在“投标人须知前附表”规定的</w:t>
      </w:r>
      <w:r>
        <w:rPr>
          <w:rFonts w:hint="eastAsia" w:ascii="宋体" w:hAnsi="宋体"/>
          <w:color w:val="auto"/>
          <w:szCs w:val="21"/>
          <w:highlight w:val="none"/>
        </w:rPr>
        <w:t>提交投标文件截止时间前将</w:t>
      </w:r>
      <w:r>
        <w:rPr>
          <w:rFonts w:hint="eastAsia" w:hAnsi="宋体"/>
          <w:bCs/>
          <w:color w:val="auto"/>
          <w:szCs w:val="21"/>
          <w:highlight w:val="none"/>
        </w:rPr>
        <w:t>电子投标文件提交至投标地点。电子投标文件应在制作完成后，</w:t>
      </w:r>
      <w:r>
        <w:rPr>
          <w:rFonts w:hAnsi="宋体"/>
          <w:bCs/>
          <w:color w:val="auto"/>
          <w:szCs w:val="21"/>
          <w:highlight w:val="none"/>
        </w:rPr>
        <w:t>在投标截止时间前</w:t>
      </w:r>
      <w:r>
        <w:rPr>
          <w:rFonts w:hint="eastAsia" w:hAnsi="宋体"/>
          <w:bCs/>
          <w:color w:val="auto"/>
          <w:szCs w:val="21"/>
          <w:highlight w:val="none"/>
        </w:rPr>
        <w:t>通过有效数字证书（CA认证锁）进行电子签章、加密，然后通过网络将加密的电子投标文件递交至</w:t>
      </w:r>
      <w:r>
        <w:rPr>
          <w:rFonts w:hint="eastAsia" w:ascii="宋体" w:hAnsi="宋体"/>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26B599EF">
      <w:pPr>
        <w:spacing w:line="360" w:lineRule="auto"/>
        <w:ind w:firstLine="422" w:firstLineChars="200"/>
        <w:rPr>
          <w:rFonts w:hint="eastAsia" w:ascii="宋体" w:hAnsi="宋体"/>
          <w:b/>
          <w:color w:val="auto"/>
          <w:szCs w:val="20"/>
          <w:highlight w:val="none"/>
        </w:rPr>
      </w:pPr>
      <w:r>
        <w:rPr>
          <w:rFonts w:hint="eastAsia" w:ascii="宋体" w:hAnsi="宋体"/>
          <w:b/>
          <w:color w:val="auto"/>
          <w:szCs w:val="21"/>
          <w:highlight w:val="none"/>
        </w:rPr>
        <w:t>21.</w:t>
      </w:r>
      <w:r>
        <w:rPr>
          <w:rFonts w:ascii="宋体" w:hAnsi="宋体"/>
          <w:b/>
          <w:color w:val="auto"/>
          <w:szCs w:val="21"/>
          <w:highlight w:val="none"/>
        </w:rPr>
        <w:t>2</w:t>
      </w:r>
      <w:r>
        <w:rPr>
          <w:rFonts w:hint="eastAsia" w:ascii="宋体" w:hAnsi="宋体"/>
          <w:b/>
          <w:color w:val="auto"/>
          <w:szCs w:val="21"/>
          <w:highlight w:val="none"/>
        </w:rPr>
        <w:t>未在规定时间内提交或者未按照招标文件要求加密的电子投标文件，广西政府采购云平台将拒收。</w:t>
      </w:r>
    </w:p>
    <w:p w14:paraId="0F728727">
      <w:pPr>
        <w:pStyle w:val="4"/>
        <w:keepNext w:val="0"/>
        <w:keepLines w:val="0"/>
        <w:spacing w:before="0" w:after="0" w:line="360" w:lineRule="auto"/>
        <w:ind w:left="420" w:leftChars="200"/>
        <w:rPr>
          <w:rFonts w:hint="eastAsia" w:ascii="黑体" w:hAnsi="黑体" w:eastAsia="黑体"/>
          <w:color w:val="auto"/>
          <w:sz w:val="24"/>
          <w:highlight w:val="none"/>
        </w:rPr>
      </w:pPr>
      <w:bookmarkStart w:id="153" w:name="_Toc16202"/>
      <w:r>
        <w:rPr>
          <w:rFonts w:hint="eastAsia" w:ascii="黑体" w:hAnsi="黑体" w:eastAsia="黑体"/>
          <w:color w:val="auto"/>
          <w:sz w:val="24"/>
          <w:highlight w:val="none"/>
        </w:rPr>
        <w:t>22. 投标文件的补充、修改、撤回与退回</w:t>
      </w:r>
      <w:bookmarkEnd w:id="153"/>
    </w:p>
    <w:p w14:paraId="2F95D287">
      <w:pPr>
        <w:snapToGrid w:val="0"/>
        <w:spacing w:line="360" w:lineRule="auto"/>
        <w:ind w:firstLine="420"/>
        <w:jc w:val="left"/>
        <w:rPr>
          <w:rFonts w:hint="eastAsia" w:ascii="宋体" w:hAnsi="宋体"/>
          <w:color w:val="auto"/>
          <w:szCs w:val="21"/>
          <w:highlight w:val="none"/>
        </w:rPr>
      </w:pPr>
      <w:bookmarkStart w:id="154" w:name="_Toc254970684"/>
      <w:bookmarkStart w:id="155" w:name="_Toc254970543"/>
      <w:r>
        <w:rPr>
          <w:rFonts w:ascii="宋体" w:hAnsi="宋体" w:cs="宋体"/>
          <w:color w:val="auto"/>
          <w:szCs w:val="21"/>
          <w:highlight w:val="none"/>
        </w:rPr>
        <w:t>22</w:t>
      </w:r>
      <w:r>
        <w:rPr>
          <w:rFonts w:hint="eastAsia" w:ascii="宋体" w:hAnsi="宋体" w:cs="宋体"/>
          <w:color w:val="auto"/>
          <w:szCs w:val="21"/>
          <w:highlight w:val="none"/>
        </w:rPr>
        <w:t>.1</w:t>
      </w:r>
      <w:r>
        <w:rPr>
          <w:rFonts w:hint="eastAsia" w:ascii="宋体" w:hAnsi="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154"/>
    <w:bookmarkEnd w:id="155"/>
    <w:p w14:paraId="7D11F62B">
      <w:pPr>
        <w:pStyle w:val="123"/>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22.</w:t>
      </w:r>
      <w:r>
        <w:rPr>
          <w:rFonts w:hint="eastAsia" w:ascii="宋体" w:hAnsi="宋体" w:cs="宋体"/>
          <w:color w:val="auto"/>
          <w:sz w:val="21"/>
          <w:szCs w:val="21"/>
          <w:highlight w:val="none"/>
        </w:rPr>
        <w:t>2广西政府采购云平台收到投标文件后向供应商发出确认回执通知。在投标截止时间前，除供应商补充、修改或者撤回投标文件外，任何单位和个人不得解密或提取投标文件。</w:t>
      </w:r>
    </w:p>
    <w:p w14:paraId="7D8DAD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3</w:t>
      </w:r>
      <w:r>
        <w:rPr>
          <w:rFonts w:hint="eastAsia" w:ascii="宋体" w:hAnsi="宋体" w:cs="宋体"/>
          <w:color w:val="auto"/>
          <w:szCs w:val="21"/>
          <w:highlight w:val="none"/>
        </w:rPr>
        <w:t>在投标截止时间后，采购人和采购代理机构对已提交的投标文件概不退回。</w:t>
      </w:r>
    </w:p>
    <w:p w14:paraId="32257D3B">
      <w:pPr>
        <w:pStyle w:val="3"/>
        <w:keepNext w:val="0"/>
        <w:keepLines w:val="0"/>
        <w:jc w:val="center"/>
        <w:rPr>
          <w:rFonts w:hint="eastAsia" w:ascii="Times New Roman" w:hAnsi="Times New Roman" w:eastAsia="宋体"/>
          <w:color w:val="auto"/>
          <w:highlight w:val="none"/>
        </w:rPr>
      </w:pPr>
      <w:bookmarkStart w:id="156" w:name="_Toc254970544"/>
      <w:bookmarkStart w:id="157" w:name="_Toc254970685"/>
      <w:bookmarkStart w:id="158" w:name="_Toc20765"/>
      <w:r>
        <w:rPr>
          <w:rFonts w:hint="eastAsia" w:ascii="Times New Roman" w:hAnsi="Times New Roman" w:eastAsia="宋体"/>
          <w:color w:val="auto"/>
          <w:highlight w:val="none"/>
        </w:rPr>
        <w:t>四、开    标</w:t>
      </w:r>
      <w:bookmarkEnd w:id="156"/>
      <w:bookmarkEnd w:id="157"/>
      <w:bookmarkEnd w:id="158"/>
    </w:p>
    <w:p w14:paraId="279A7CCB">
      <w:pPr>
        <w:pStyle w:val="4"/>
        <w:keepNext w:val="0"/>
        <w:keepLines w:val="0"/>
        <w:spacing w:before="0" w:after="0" w:line="360" w:lineRule="auto"/>
        <w:ind w:left="420" w:leftChars="200"/>
        <w:rPr>
          <w:rFonts w:hint="eastAsia" w:ascii="黑体" w:hAnsi="黑体" w:eastAsia="黑体"/>
          <w:color w:val="auto"/>
          <w:sz w:val="24"/>
          <w:highlight w:val="none"/>
        </w:rPr>
      </w:pPr>
      <w:bookmarkStart w:id="159" w:name="_23.开标时间和地点"/>
      <w:bookmarkEnd w:id="159"/>
      <w:bookmarkStart w:id="160" w:name="_Toc28897"/>
      <w:r>
        <w:rPr>
          <w:rFonts w:hint="eastAsia" w:ascii="黑体" w:hAnsi="黑体" w:eastAsia="黑体"/>
          <w:color w:val="auto"/>
          <w:sz w:val="24"/>
          <w:highlight w:val="none"/>
        </w:rPr>
        <w:t>23.开标时间和地点</w:t>
      </w:r>
      <w:bookmarkEnd w:id="160"/>
    </w:p>
    <w:p w14:paraId="579FF635">
      <w:pPr>
        <w:spacing w:line="360" w:lineRule="auto"/>
        <w:ind w:firstLine="420" w:firstLineChars="200"/>
        <w:rPr>
          <w:rFonts w:hint="eastAsia" w:hAnsi="宋体"/>
          <w:bCs/>
          <w:color w:val="auto"/>
          <w:highlight w:val="none"/>
        </w:rPr>
      </w:pPr>
      <w:r>
        <w:rPr>
          <w:rFonts w:hint="eastAsia" w:hAnsi="宋体"/>
          <w:bCs/>
          <w:color w:val="auto"/>
          <w:highlight w:val="none"/>
        </w:rPr>
        <w:t>开标时间及地点详见“投标人须知前附表”</w:t>
      </w:r>
    </w:p>
    <w:p w14:paraId="5BB26B31">
      <w:pPr>
        <w:pStyle w:val="4"/>
        <w:keepNext w:val="0"/>
        <w:keepLines w:val="0"/>
        <w:spacing w:before="0" w:after="0" w:line="360" w:lineRule="auto"/>
        <w:ind w:left="420" w:leftChars="200"/>
        <w:rPr>
          <w:rFonts w:hint="eastAsia" w:ascii="黑体" w:hAnsi="黑体" w:eastAsia="黑体"/>
          <w:color w:val="auto"/>
          <w:sz w:val="24"/>
          <w:highlight w:val="none"/>
        </w:rPr>
      </w:pPr>
      <w:bookmarkStart w:id="161" w:name="_Toc13199"/>
      <w:r>
        <w:rPr>
          <w:rFonts w:hint="eastAsia" w:ascii="黑体" w:hAnsi="黑体" w:eastAsia="黑体"/>
          <w:color w:val="auto"/>
          <w:sz w:val="24"/>
          <w:highlight w:val="none"/>
        </w:rPr>
        <w:t>24.开标程序</w:t>
      </w:r>
      <w:bookmarkEnd w:id="161"/>
    </w:p>
    <w:p w14:paraId="38BA4F7F">
      <w:pPr>
        <w:pStyle w:val="7"/>
        <w:spacing w:line="360" w:lineRule="auto"/>
        <w:rPr>
          <w:color w:val="auto"/>
          <w:highlight w:val="none"/>
        </w:rPr>
      </w:pPr>
      <w:r>
        <w:rPr>
          <w:rFonts w:hint="eastAsia"/>
          <w:color w:val="auto"/>
          <w:highlight w:val="none"/>
        </w:rPr>
        <w:t>2</w:t>
      </w:r>
      <w:r>
        <w:rPr>
          <w:color w:val="auto"/>
          <w:highlight w:val="none"/>
        </w:rPr>
        <w:t>4.1</w:t>
      </w:r>
      <w:r>
        <w:rPr>
          <w:rFonts w:hint="eastAsia"/>
          <w:color w:val="auto"/>
          <w:highlight w:val="none"/>
        </w:rPr>
        <w:t>提交投标文件截止时间止，投标人不足3家的，不得开标。</w:t>
      </w:r>
    </w:p>
    <w:p w14:paraId="55175668">
      <w:pPr>
        <w:pStyle w:val="7"/>
        <w:spacing w:line="360" w:lineRule="auto"/>
        <w:rPr>
          <w:color w:val="auto"/>
          <w:highlight w:val="none"/>
        </w:rPr>
      </w:pPr>
      <w:r>
        <w:rPr>
          <w:rFonts w:hint="eastAsia"/>
          <w:color w:val="auto"/>
          <w:highlight w:val="none"/>
        </w:rPr>
        <w:t>24.</w:t>
      </w:r>
      <w:r>
        <w:rPr>
          <w:color w:val="auto"/>
          <w:highlight w:val="none"/>
        </w:rPr>
        <w:t>2</w:t>
      </w:r>
      <w:r>
        <w:rPr>
          <w:rFonts w:hint="eastAsia"/>
          <w:color w:val="auto"/>
          <w:highlight w:val="none"/>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6C10961D">
      <w:pPr>
        <w:pStyle w:val="7"/>
        <w:spacing w:line="360" w:lineRule="auto"/>
        <w:rPr>
          <w:rFonts w:hint="eastAsia"/>
          <w:color w:val="auto"/>
          <w:highlight w:val="none"/>
        </w:rPr>
      </w:pPr>
      <w:r>
        <w:rPr>
          <w:rFonts w:hint="eastAsia"/>
          <w:color w:val="auto"/>
          <w:highlight w:val="none"/>
        </w:rPr>
        <w:t>24.</w:t>
      </w:r>
      <w:r>
        <w:rPr>
          <w:color w:val="auto"/>
          <w:highlight w:val="none"/>
        </w:rPr>
        <w:t>3</w:t>
      </w:r>
      <w:r>
        <w:rPr>
          <w:rFonts w:hint="eastAsia"/>
          <w:color w:val="auto"/>
          <w:highlight w:val="none"/>
        </w:rPr>
        <w:t>开标程序</w:t>
      </w:r>
    </w:p>
    <w:p w14:paraId="78105C6E">
      <w:pPr>
        <w:pStyle w:val="7"/>
        <w:spacing w:line="360" w:lineRule="auto"/>
        <w:rPr>
          <w:rFonts w:hint="eastAsia"/>
          <w:color w:val="auto"/>
          <w:highlight w:val="none"/>
        </w:rPr>
      </w:pPr>
      <w:r>
        <w:rPr>
          <w:rFonts w:hint="eastAsia"/>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hAnsi="宋体"/>
          <w:bCs/>
          <w:color w:val="auto"/>
          <w:szCs w:val="21"/>
          <w:highlight w:val="none"/>
        </w:rPr>
        <w:t>“投标人须知前附表”</w:t>
      </w:r>
      <w:r>
        <w:rPr>
          <w:rFonts w:hint="eastAsia"/>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b/>
          <w:color w:val="auto"/>
          <w:highlight w:val="none"/>
        </w:rPr>
        <w:t>投标人</w:t>
      </w:r>
      <w:r>
        <w:rPr>
          <w:rFonts w:hint="eastAsia"/>
          <w:b/>
          <w:color w:val="auto"/>
          <w:highlight w:val="none"/>
        </w:rPr>
        <w:t>未在</w:t>
      </w:r>
      <w:r>
        <w:rPr>
          <w:b/>
          <w:color w:val="auto"/>
          <w:highlight w:val="none"/>
        </w:rPr>
        <w:t>规定的时间内解密</w:t>
      </w:r>
      <w:r>
        <w:rPr>
          <w:rFonts w:hint="eastAsia"/>
          <w:b/>
          <w:color w:val="auto"/>
          <w:highlight w:val="none"/>
        </w:rPr>
        <w:t>投标文件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w:t>
      </w:r>
      <w:r>
        <w:rPr>
          <w:rFonts w:hint="eastAsia" w:ascii="宋体" w:hAnsi="宋体"/>
          <w:b/>
          <w:color w:val="auto"/>
          <w:szCs w:val="21"/>
          <w:highlight w:val="none"/>
        </w:rPr>
        <w:t>投标人的投标文件作无效处理。</w:t>
      </w:r>
    </w:p>
    <w:p w14:paraId="188C8F50">
      <w:pPr>
        <w:pStyle w:val="7"/>
        <w:spacing w:line="360" w:lineRule="auto"/>
        <w:rPr>
          <w:rFonts w:hint="eastAsia"/>
          <w:color w:val="auto"/>
          <w:highlight w:val="none"/>
        </w:rPr>
      </w:pPr>
      <w:r>
        <w:rPr>
          <w:rFonts w:hint="eastAsia"/>
          <w:color w:val="auto"/>
          <w:highlight w:val="none"/>
        </w:rPr>
        <w:t>（2）电子唱标。投标文件解密结束，宣布的内容均在广西政府采购云平台远程开标大厅展示，具体详见</w:t>
      </w:r>
      <w:r>
        <w:rPr>
          <w:rFonts w:hint="eastAsia" w:hAnsi="宋体"/>
          <w:bCs/>
          <w:color w:val="auto"/>
          <w:highlight w:val="none"/>
        </w:rPr>
        <w:t>“投标人须知前附表”</w:t>
      </w:r>
      <w:r>
        <w:rPr>
          <w:rFonts w:hint="eastAsia"/>
          <w:color w:val="auto"/>
          <w:highlight w:val="none"/>
        </w:rPr>
        <w:t>；</w:t>
      </w:r>
    </w:p>
    <w:p w14:paraId="571B05D1">
      <w:pPr>
        <w:pStyle w:val="7"/>
        <w:spacing w:line="360" w:lineRule="auto"/>
        <w:rPr>
          <w:rFonts w:hint="eastAsia"/>
          <w:color w:val="auto"/>
          <w:szCs w:val="21"/>
          <w:highlight w:val="none"/>
        </w:rPr>
      </w:pPr>
      <w:r>
        <w:rPr>
          <w:rFonts w:hint="eastAsia"/>
          <w:color w:val="auto"/>
          <w:highlight w:val="none"/>
        </w:rPr>
        <w:t>（3）开标过程由采购代理机构如实记录，并电子留痕，由参加电子开标的各投标人代表对电子开标记录在开标记录公布后15分钟内进行当</w:t>
      </w:r>
      <w:r>
        <w:rPr>
          <w:rFonts w:hint="eastAsia"/>
          <w:color w:val="auto"/>
          <w:szCs w:val="21"/>
          <w:highlight w:val="none"/>
        </w:rPr>
        <w:t>场校核及勘误，并线上确认是否有异议，未确认的视同认可开标结果。</w:t>
      </w:r>
    </w:p>
    <w:p w14:paraId="4B6B636F">
      <w:pPr>
        <w:pStyle w:val="7"/>
        <w:spacing w:line="360" w:lineRule="auto"/>
        <w:rPr>
          <w:rFonts w:hint="eastAsia"/>
          <w:color w:val="auto"/>
          <w:szCs w:val="21"/>
          <w:highlight w:val="none"/>
        </w:rPr>
      </w:pPr>
      <w:r>
        <w:rPr>
          <w:rFonts w:hint="eastAsia"/>
          <w:color w:val="auto"/>
          <w:szCs w:val="21"/>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398D09E">
      <w:pPr>
        <w:pStyle w:val="7"/>
        <w:spacing w:line="360" w:lineRule="auto"/>
        <w:rPr>
          <w:rFonts w:hint="eastAsia"/>
          <w:color w:val="auto"/>
          <w:szCs w:val="21"/>
          <w:highlight w:val="none"/>
        </w:rPr>
      </w:pPr>
      <w:r>
        <w:rPr>
          <w:rFonts w:hint="eastAsia"/>
          <w:color w:val="auto"/>
          <w:szCs w:val="21"/>
          <w:highlight w:val="none"/>
        </w:rPr>
        <w:t>（5）开标结束。</w:t>
      </w:r>
    </w:p>
    <w:p w14:paraId="3089A274">
      <w:pPr>
        <w:pStyle w:val="24"/>
        <w:snapToGrid w:val="0"/>
        <w:spacing w:line="360" w:lineRule="auto"/>
        <w:ind w:firstLine="420" w:firstLineChars="200"/>
        <w:rPr>
          <w:rFonts w:hint="eastAsia" w:hAnsi="宋体"/>
          <w:color w:val="auto"/>
          <w:sz w:val="21"/>
          <w:highlight w:val="none"/>
        </w:rPr>
      </w:pPr>
      <w:r>
        <w:rPr>
          <w:rFonts w:hint="eastAsia"/>
          <w:color w:val="auto"/>
          <w:sz w:val="21"/>
          <w:highlight w:val="none"/>
        </w:rPr>
        <w:t>特别说明：如遇广西政府采购云平台电子化开标或评审程序调整的，按调整后执行。</w:t>
      </w:r>
    </w:p>
    <w:p w14:paraId="64B0DB26">
      <w:pPr>
        <w:pStyle w:val="24"/>
        <w:snapToGrid w:val="0"/>
        <w:spacing w:line="360" w:lineRule="auto"/>
        <w:ind w:left="689" w:leftChars="228" w:hanging="210" w:hangingChars="100"/>
        <w:rPr>
          <w:rFonts w:hint="eastAsia" w:hAnsi="宋体"/>
          <w:color w:val="auto"/>
          <w:sz w:val="21"/>
          <w:highlight w:val="none"/>
        </w:rPr>
      </w:pPr>
    </w:p>
    <w:p w14:paraId="21F3E5C3">
      <w:pPr>
        <w:pStyle w:val="3"/>
        <w:keepNext w:val="0"/>
        <w:keepLines w:val="0"/>
        <w:jc w:val="center"/>
        <w:rPr>
          <w:rFonts w:hint="eastAsia" w:ascii="Times New Roman" w:hAnsi="Times New Roman" w:eastAsia="宋体"/>
          <w:color w:val="auto"/>
          <w:highlight w:val="none"/>
        </w:rPr>
      </w:pPr>
      <w:bookmarkStart w:id="162" w:name="_Toc24710"/>
      <w:r>
        <w:rPr>
          <w:rFonts w:hint="eastAsia" w:ascii="Times New Roman" w:hAnsi="Times New Roman" w:eastAsia="宋体"/>
          <w:color w:val="auto"/>
          <w:highlight w:val="none"/>
        </w:rPr>
        <w:t>五、资格审查</w:t>
      </w:r>
      <w:bookmarkEnd w:id="162"/>
    </w:p>
    <w:p w14:paraId="4BD57EAC">
      <w:pPr>
        <w:pStyle w:val="4"/>
        <w:keepNext w:val="0"/>
        <w:keepLines w:val="0"/>
        <w:spacing w:before="0" w:after="0" w:line="360" w:lineRule="auto"/>
        <w:ind w:left="420" w:leftChars="200"/>
        <w:rPr>
          <w:rFonts w:hint="eastAsia" w:ascii="黑体" w:hAnsi="黑体" w:eastAsia="黑体"/>
          <w:color w:val="auto"/>
          <w:sz w:val="24"/>
          <w:highlight w:val="none"/>
        </w:rPr>
      </w:pPr>
      <w:bookmarkStart w:id="163" w:name="_Toc10699"/>
      <w:r>
        <w:rPr>
          <w:rFonts w:hint="eastAsia" w:ascii="黑体" w:hAnsi="黑体" w:eastAsia="黑体"/>
          <w:color w:val="auto"/>
          <w:sz w:val="24"/>
          <w:highlight w:val="none"/>
        </w:rPr>
        <w:t>25.资格审查</w:t>
      </w:r>
      <w:bookmarkEnd w:id="163"/>
    </w:p>
    <w:p w14:paraId="0888C35D">
      <w:pPr>
        <w:pStyle w:val="6"/>
        <w:keepNext w:val="0"/>
        <w:keepLines w:val="0"/>
        <w:spacing w:before="0" w:after="0" w:line="400" w:lineRule="exact"/>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采购人或者采购代理机构通过电子开评标系统依据招标文件对电子投标文件进行线上资格审查</w:t>
      </w:r>
      <w:r>
        <w:rPr>
          <w:rFonts w:ascii="宋体" w:hAnsi="宋体"/>
          <w:b w:val="0"/>
          <w:color w:val="auto"/>
          <w:sz w:val="21"/>
          <w:szCs w:val="21"/>
          <w:highlight w:val="none"/>
        </w:rPr>
        <w:t>。</w:t>
      </w:r>
    </w:p>
    <w:p w14:paraId="2E654016">
      <w:pPr>
        <w:pStyle w:val="6"/>
        <w:keepNext w:val="0"/>
        <w:keepLines w:val="0"/>
        <w:spacing w:before="0" w:after="0" w:line="400" w:lineRule="exact"/>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0D833616">
      <w:pPr>
        <w:pStyle w:val="6"/>
        <w:keepNext w:val="0"/>
        <w:keepLines w:val="0"/>
        <w:numPr>
          <w:ilvl w:val="0"/>
          <w:numId w:val="0"/>
        </w:numPr>
        <w:spacing w:before="0" w:after="0" w:line="400" w:lineRule="exact"/>
        <w:ind w:firstLine="422" w:firstLineChars="200"/>
        <w:rPr>
          <w:rFonts w:hint="eastAsia" w:ascii="宋体" w:hAnsi="宋体"/>
          <w:color w:val="auto"/>
          <w:sz w:val="21"/>
          <w:szCs w:val="21"/>
          <w:highlight w:val="none"/>
        </w:rPr>
      </w:pPr>
      <w:bookmarkStart w:id="164" w:name="_25.3_投标人有下列情形之一的，资格审查不通过而导致其投标无效："/>
      <w:bookmarkEnd w:id="164"/>
      <w:r>
        <w:rPr>
          <w:rFonts w:hint="eastAsia" w:ascii="宋体" w:hAnsi="宋体"/>
          <w:color w:val="auto"/>
          <w:sz w:val="21"/>
          <w:szCs w:val="21"/>
          <w:highlight w:val="none"/>
        </w:rPr>
        <w:t>25.3 投标人有下列情形之一的，资格审查不通过，作无效投标处理：</w:t>
      </w:r>
    </w:p>
    <w:p w14:paraId="1FC79571">
      <w:pPr>
        <w:pStyle w:val="24"/>
        <w:snapToGrid w:val="0"/>
        <w:spacing w:line="400" w:lineRule="exact"/>
        <w:ind w:firstLine="422" w:firstLineChars="200"/>
        <w:rPr>
          <w:rFonts w:hAnsi="宋体"/>
          <w:b/>
          <w:color w:val="auto"/>
          <w:sz w:val="21"/>
          <w:highlight w:val="none"/>
        </w:rPr>
      </w:pPr>
      <w:r>
        <w:rPr>
          <w:rFonts w:hint="eastAsia" w:hAnsi="宋体"/>
          <w:b/>
          <w:color w:val="auto"/>
          <w:sz w:val="21"/>
          <w:highlight w:val="none"/>
        </w:rPr>
        <w:t>（1）不具备招标文件中规定的资格要求的；</w:t>
      </w:r>
    </w:p>
    <w:p w14:paraId="69546AF6">
      <w:pPr>
        <w:pStyle w:val="24"/>
        <w:snapToGrid w:val="0"/>
        <w:spacing w:line="400" w:lineRule="exact"/>
        <w:ind w:firstLine="422" w:firstLineChars="200"/>
        <w:rPr>
          <w:rFonts w:hAnsi="宋体"/>
          <w:b/>
          <w:color w:val="auto"/>
          <w:sz w:val="21"/>
          <w:highlight w:val="none"/>
        </w:rPr>
      </w:pPr>
      <w:r>
        <w:rPr>
          <w:rFonts w:hint="eastAsia" w:hAnsi="宋体"/>
          <w:b/>
          <w:color w:val="auto"/>
          <w:sz w:val="21"/>
          <w:highlight w:val="none"/>
        </w:rPr>
        <w:t>（2）</w:t>
      </w:r>
      <w:r>
        <w:rPr>
          <w:rFonts w:hint="eastAsia" w:hAnsi="宋体"/>
          <w:b/>
          <w:color w:val="auto"/>
          <w:sz w:val="21"/>
          <w:highlight w:val="none"/>
          <w:lang w:val="en-US" w:eastAsia="zh-CN"/>
        </w:rPr>
        <w:t>信用查询不符合《中华人民共和国政府采购法》第二十二条规定条件</w:t>
      </w:r>
      <w:r>
        <w:rPr>
          <w:rFonts w:hint="eastAsia" w:hAnsi="宋体"/>
          <w:b/>
          <w:color w:val="auto"/>
          <w:sz w:val="21"/>
          <w:highlight w:val="none"/>
        </w:rPr>
        <w:t>的；（注：信用查询规则见“投标人须知前附表”）</w:t>
      </w:r>
    </w:p>
    <w:p w14:paraId="382661C8">
      <w:pPr>
        <w:pStyle w:val="24"/>
        <w:snapToGrid w:val="0"/>
        <w:spacing w:line="400" w:lineRule="exact"/>
        <w:ind w:firstLine="422" w:firstLineChars="200"/>
        <w:rPr>
          <w:rFonts w:hint="eastAsia" w:hAnsi="宋体"/>
          <w:b/>
          <w:color w:val="auto"/>
          <w:sz w:val="21"/>
          <w:highlight w:val="none"/>
        </w:rPr>
      </w:pPr>
      <w:r>
        <w:rPr>
          <w:rFonts w:hint="eastAsia" w:hAnsi="宋体"/>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6AFFFB85">
      <w:pPr>
        <w:pStyle w:val="24"/>
        <w:snapToGrid w:val="0"/>
        <w:spacing w:line="400" w:lineRule="exact"/>
        <w:ind w:firstLine="422" w:firstLineChars="200"/>
        <w:rPr>
          <w:rFonts w:hint="eastAsia" w:hAnsi="宋体"/>
          <w:b/>
          <w:color w:val="auto"/>
          <w:sz w:val="21"/>
          <w:highlight w:val="none"/>
        </w:rPr>
      </w:pPr>
      <w:r>
        <w:rPr>
          <w:rFonts w:hint="eastAsia" w:hAnsi="宋体"/>
          <w:b/>
          <w:color w:val="auto"/>
          <w:sz w:val="21"/>
          <w:highlight w:val="none"/>
        </w:rPr>
        <w:t>（4）投标文件中的资格证明文件缺少任一项“投标人须知前附表”资格证明文件规定“必须提供”的文件资料的；</w:t>
      </w:r>
    </w:p>
    <w:p w14:paraId="0956E48F">
      <w:pPr>
        <w:pStyle w:val="24"/>
        <w:snapToGrid w:val="0"/>
        <w:spacing w:line="400" w:lineRule="exact"/>
        <w:ind w:firstLine="422" w:firstLineChars="200"/>
        <w:rPr>
          <w:rFonts w:hint="eastAsia" w:hAnsi="宋体"/>
          <w:b/>
          <w:color w:val="auto"/>
          <w:sz w:val="21"/>
          <w:highlight w:val="none"/>
        </w:rPr>
      </w:pPr>
      <w:r>
        <w:rPr>
          <w:rFonts w:hint="eastAsia" w:hAnsi="宋体"/>
          <w:b/>
          <w:color w:val="auto"/>
          <w:sz w:val="21"/>
          <w:highlight w:val="none"/>
        </w:rPr>
        <w:t>（5）投标文件中的资格证明文件出现任一项不符合“投标人须知前附表”资格证明文件规定“必须提供”的文件资料要求或者无效的。</w:t>
      </w:r>
    </w:p>
    <w:p w14:paraId="2E4700ED">
      <w:pPr>
        <w:pStyle w:val="6"/>
        <w:keepNext w:val="0"/>
        <w:keepLines w:val="0"/>
        <w:snapToGrid w:val="0"/>
        <w:spacing w:before="0" w:after="0" w:line="400" w:lineRule="exact"/>
        <w:ind w:left="690" w:leftChars="228" w:hanging="211" w:hangingChars="100"/>
        <w:rPr>
          <w:rFonts w:hint="eastAsia" w:hAnsi="宋体"/>
          <w:color w:val="auto"/>
          <w:sz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18D2FC9E">
      <w:pPr>
        <w:pStyle w:val="3"/>
        <w:keepNext w:val="0"/>
        <w:keepLines w:val="0"/>
        <w:jc w:val="center"/>
        <w:rPr>
          <w:rFonts w:hint="eastAsia" w:ascii="Times New Roman" w:hAnsi="Times New Roman" w:eastAsia="宋体"/>
          <w:color w:val="auto"/>
          <w:highlight w:val="none"/>
        </w:rPr>
      </w:pPr>
      <w:bookmarkStart w:id="165" w:name="_Toc4078"/>
      <w:r>
        <w:rPr>
          <w:rFonts w:hint="eastAsia" w:ascii="Times New Roman" w:hAnsi="Times New Roman" w:eastAsia="宋体"/>
          <w:color w:val="auto"/>
          <w:highlight w:val="none"/>
        </w:rPr>
        <w:t>六、评   标</w:t>
      </w:r>
      <w:bookmarkEnd w:id="165"/>
    </w:p>
    <w:p w14:paraId="64CD4978">
      <w:pPr>
        <w:pStyle w:val="4"/>
        <w:keepNext w:val="0"/>
        <w:keepLines w:val="0"/>
        <w:spacing w:before="0" w:after="0" w:line="360" w:lineRule="auto"/>
        <w:ind w:left="420" w:leftChars="200"/>
        <w:rPr>
          <w:rFonts w:hint="eastAsia" w:ascii="黑体" w:hAnsi="黑体" w:eastAsia="黑体"/>
          <w:color w:val="auto"/>
          <w:sz w:val="24"/>
          <w:highlight w:val="none"/>
        </w:rPr>
      </w:pPr>
      <w:bookmarkStart w:id="166" w:name="_26.组建评标委员会"/>
      <w:bookmarkEnd w:id="166"/>
      <w:bookmarkStart w:id="167" w:name="_Toc16478"/>
      <w:r>
        <w:rPr>
          <w:rFonts w:hint="eastAsia" w:ascii="黑体" w:hAnsi="黑体" w:eastAsia="黑体"/>
          <w:color w:val="auto"/>
          <w:sz w:val="24"/>
          <w:highlight w:val="none"/>
        </w:rPr>
        <w:t>26.组建评标委员会</w:t>
      </w:r>
      <w:bookmarkEnd w:id="167"/>
    </w:p>
    <w:p w14:paraId="7870A080">
      <w:pPr>
        <w:pStyle w:val="24"/>
        <w:snapToGrid w:val="0"/>
        <w:spacing w:line="400" w:lineRule="exact"/>
        <w:ind w:firstLine="420" w:firstLineChars="200"/>
        <w:rPr>
          <w:rFonts w:hint="eastAsia" w:hAnsi="宋体"/>
          <w:color w:val="auto"/>
          <w:sz w:val="21"/>
          <w:highlight w:val="none"/>
        </w:rPr>
      </w:pPr>
      <w:r>
        <w:rPr>
          <w:rFonts w:hint="eastAsia" w:hAnsi="宋体"/>
          <w:color w:val="auto"/>
          <w:sz w:val="21"/>
          <w:highlight w:val="none"/>
        </w:rPr>
        <w:t>26.1评标委员会由采购人代表和评审专家组成，具体人数详见“投标人须知前附表”，其中评审专家不得少于成员总数的三分之二。</w:t>
      </w:r>
    </w:p>
    <w:p w14:paraId="42507A0E">
      <w:pPr>
        <w:pStyle w:val="24"/>
        <w:snapToGrid w:val="0"/>
        <w:spacing w:line="400" w:lineRule="exact"/>
        <w:ind w:left="2" w:leftChars="1" w:firstLine="420" w:firstLineChars="200"/>
        <w:rPr>
          <w:rFonts w:hint="eastAsia" w:hAnsi="宋体"/>
          <w:color w:val="auto"/>
          <w:sz w:val="21"/>
          <w:highlight w:val="none"/>
        </w:rPr>
      </w:pPr>
      <w:r>
        <w:rPr>
          <w:rFonts w:hint="eastAsia" w:hAnsi="宋体"/>
          <w:color w:val="auto"/>
          <w:sz w:val="21"/>
          <w:highlight w:val="none"/>
        </w:rPr>
        <w:t>26.2参加过采购项目前期咨询论证的专家，不得参加该采购项目的评审活动。</w:t>
      </w:r>
    </w:p>
    <w:p w14:paraId="6757A0EE">
      <w:pPr>
        <w:pStyle w:val="24"/>
        <w:snapToGrid w:val="0"/>
        <w:spacing w:line="400" w:lineRule="exact"/>
        <w:ind w:left="2" w:leftChars="1" w:firstLine="420" w:firstLineChars="200"/>
        <w:rPr>
          <w:rFonts w:hint="eastAsia" w:hAnsi="宋体"/>
          <w:color w:val="auto"/>
          <w:sz w:val="21"/>
          <w:highlight w:val="none"/>
        </w:rPr>
      </w:pPr>
      <w:r>
        <w:rPr>
          <w:rFonts w:hint="eastAsia" w:hAnsi="宋体"/>
          <w:color w:val="auto"/>
          <w:sz w:val="21"/>
          <w:highlight w:val="none"/>
        </w:rPr>
        <w:t>26.3</w:t>
      </w:r>
      <w:r>
        <w:rPr>
          <w:rFonts w:hint="eastAsia" w:hAnsi="宋体"/>
          <w:bCs/>
          <w:color w:val="auto"/>
          <w:sz w:val="21"/>
          <w:highlight w:val="none"/>
        </w:rPr>
        <w:t>采购代理机构应当基于广西政府采购云平台抽（选）取评审专家。</w:t>
      </w:r>
    </w:p>
    <w:p w14:paraId="279C7ADC">
      <w:pPr>
        <w:pStyle w:val="4"/>
        <w:keepNext w:val="0"/>
        <w:keepLines w:val="0"/>
        <w:spacing w:before="0" w:after="0" w:line="360" w:lineRule="auto"/>
        <w:ind w:left="420" w:leftChars="200"/>
        <w:rPr>
          <w:rFonts w:hint="eastAsia" w:ascii="黑体" w:hAnsi="黑体" w:eastAsia="黑体"/>
          <w:color w:val="auto"/>
          <w:sz w:val="24"/>
          <w:highlight w:val="none"/>
        </w:rPr>
      </w:pPr>
      <w:bookmarkStart w:id="168" w:name="_Toc19573"/>
      <w:r>
        <w:rPr>
          <w:rFonts w:hint="eastAsia" w:ascii="黑体" w:hAnsi="黑体" w:eastAsia="黑体"/>
          <w:color w:val="auto"/>
          <w:sz w:val="24"/>
          <w:highlight w:val="none"/>
        </w:rPr>
        <w:t>27.评标的依据</w:t>
      </w:r>
      <w:bookmarkEnd w:id="168"/>
    </w:p>
    <w:p w14:paraId="2278522A">
      <w:pPr>
        <w:pStyle w:val="24"/>
        <w:snapToGrid w:val="0"/>
        <w:spacing w:line="400" w:lineRule="exact"/>
        <w:ind w:firstLine="420" w:firstLineChars="200"/>
        <w:rPr>
          <w:rFonts w:hint="eastAsia"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544D06C4">
      <w:pPr>
        <w:pStyle w:val="4"/>
        <w:keepNext w:val="0"/>
        <w:keepLines w:val="0"/>
        <w:spacing w:before="0" w:after="0" w:line="360" w:lineRule="auto"/>
        <w:ind w:left="420" w:leftChars="200"/>
        <w:rPr>
          <w:rFonts w:hint="eastAsia" w:ascii="黑体" w:hAnsi="黑体" w:eastAsia="黑体"/>
          <w:color w:val="auto"/>
          <w:sz w:val="24"/>
          <w:highlight w:val="none"/>
        </w:rPr>
      </w:pPr>
      <w:bookmarkStart w:id="169" w:name="_Toc15919"/>
      <w:r>
        <w:rPr>
          <w:rFonts w:hint="eastAsia" w:ascii="黑体" w:hAnsi="黑体" w:eastAsia="黑体"/>
          <w:color w:val="auto"/>
          <w:sz w:val="24"/>
          <w:highlight w:val="none"/>
        </w:rPr>
        <w:t>28.评标原则</w:t>
      </w:r>
      <w:bookmarkEnd w:id="169"/>
    </w:p>
    <w:p w14:paraId="448FC24A">
      <w:pPr>
        <w:pStyle w:val="24"/>
        <w:snapToGrid w:val="0"/>
        <w:spacing w:line="400" w:lineRule="exact"/>
        <w:ind w:firstLine="420" w:firstLineChars="200"/>
        <w:rPr>
          <w:rFonts w:hint="eastAsia"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6B8E136">
      <w:pPr>
        <w:pStyle w:val="24"/>
        <w:snapToGrid w:val="0"/>
        <w:spacing w:line="400" w:lineRule="exact"/>
        <w:ind w:firstLine="420" w:firstLineChars="200"/>
        <w:rPr>
          <w:rFonts w:hint="eastAsia" w:hAnsi="宋体"/>
          <w:color w:val="auto"/>
          <w:sz w:val="21"/>
          <w:highlight w:val="none"/>
        </w:rPr>
      </w:pPr>
      <w:r>
        <w:rPr>
          <w:rFonts w:hint="eastAsia" w:hAnsi="宋体"/>
          <w:color w:val="auto"/>
          <w:sz w:val="21"/>
          <w:highlight w:val="none"/>
        </w:rPr>
        <w:t>28.2</w:t>
      </w:r>
      <w:bookmarkStart w:id="170" w:name="_28.3评标方法。本项目将按须知前附表规定的评标办法进行评标，具体评标"/>
      <w:bookmarkEnd w:id="170"/>
      <w:r>
        <w:rPr>
          <w:rFonts w:hint="eastAsia" w:hAnsi="宋体"/>
          <w:color w:val="auto"/>
          <w:sz w:val="21"/>
          <w:highlight w:val="none"/>
        </w:rPr>
        <w:t>评委表决。评标委员会成员对需要共同认定的事项存在争议的，应当按照少数服从多数的原则作出结论。</w:t>
      </w:r>
    </w:p>
    <w:p w14:paraId="4E2616F5">
      <w:pPr>
        <w:pStyle w:val="24"/>
        <w:snapToGrid w:val="0"/>
        <w:spacing w:line="400" w:lineRule="exact"/>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D0BD517">
      <w:pPr>
        <w:pStyle w:val="24"/>
        <w:snapToGrid w:val="0"/>
        <w:spacing w:line="400" w:lineRule="exact"/>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评标过程的监控。本项目电子评标过程实行网上留痕、全程录音、录像监控，</w:t>
      </w:r>
      <w:r>
        <w:rPr>
          <w:rFonts w:hint="eastAsia" w:hAnsi="宋体"/>
          <w:b/>
          <w:color w:val="auto"/>
          <w:sz w:val="21"/>
          <w:highlight w:val="none"/>
        </w:rPr>
        <w:t>投标人在评标过程中所进行的试图影响评标结果的不公正活动，可能导致其投标按无效处理。</w:t>
      </w:r>
    </w:p>
    <w:p w14:paraId="52E0385A">
      <w:pPr>
        <w:pStyle w:val="4"/>
        <w:keepNext w:val="0"/>
        <w:keepLines w:val="0"/>
        <w:spacing w:before="0" w:after="0" w:line="360" w:lineRule="auto"/>
        <w:ind w:left="420" w:leftChars="200"/>
        <w:rPr>
          <w:rFonts w:hint="eastAsia" w:ascii="黑体" w:hAnsi="黑体" w:eastAsia="黑体"/>
          <w:color w:val="auto"/>
          <w:sz w:val="24"/>
          <w:highlight w:val="none"/>
        </w:rPr>
      </w:pPr>
      <w:bookmarkStart w:id="171" w:name="_Toc7285"/>
      <w:r>
        <w:rPr>
          <w:rFonts w:hint="eastAsia" w:ascii="黑体" w:hAnsi="黑体" w:eastAsia="黑体"/>
          <w:color w:val="auto"/>
          <w:sz w:val="24"/>
          <w:highlight w:val="none"/>
        </w:rPr>
        <w:t>29.评标方法及中标候选人推荐</w:t>
      </w:r>
      <w:bookmarkEnd w:id="171"/>
    </w:p>
    <w:p w14:paraId="33AE2DBA">
      <w:pPr>
        <w:pStyle w:val="24"/>
        <w:snapToGrid w:val="0"/>
        <w:spacing w:line="400" w:lineRule="exact"/>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7DD71639">
      <w:pPr>
        <w:pStyle w:val="24"/>
        <w:snapToGrid w:val="0"/>
        <w:spacing w:line="400" w:lineRule="exact"/>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int="eastAsia" w:hAnsi="宋体" w:cs="宋体"/>
          <w:color w:val="auto"/>
          <w:sz w:val="21"/>
          <w:highlight w:val="none"/>
        </w:rPr>
        <w:t>商务/技术要求</w:t>
      </w:r>
      <w:r>
        <w:rPr>
          <w:rFonts w:hint="eastAsia" w:hAnsi="宋体"/>
          <w:color w:val="auto"/>
          <w:sz w:val="21"/>
          <w:highlight w:val="none"/>
        </w:rPr>
        <w:t>允许负偏离的条款数</w:t>
      </w:r>
      <w:r>
        <w:rPr>
          <w:rFonts w:hAnsi="宋体"/>
          <w:color w:val="auto"/>
          <w:sz w:val="21"/>
          <w:highlight w:val="none"/>
        </w:rPr>
        <w:t>详见</w:t>
      </w:r>
      <w:r>
        <w:rPr>
          <w:rFonts w:hint="eastAsia" w:hAnsi="宋体"/>
          <w:color w:val="auto"/>
          <w:sz w:val="21"/>
          <w:highlight w:val="none"/>
        </w:rPr>
        <w:t>“投标人须知前附表”。</w:t>
      </w:r>
    </w:p>
    <w:p w14:paraId="54DBEE18">
      <w:pPr>
        <w:pStyle w:val="24"/>
        <w:snapToGrid w:val="0"/>
        <w:spacing w:line="400" w:lineRule="exact"/>
        <w:ind w:firstLine="420" w:firstLineChars="200"/>
        <w:rPr>
          <w:rFonts w:hint="eastAsia" w:hAnsi="宋体" w:cs="宋体"/>
          <w:color w:val="auto"/>
          <w:sz w:val="21"/>
          <w:highlight w:val="none"/>
        </w:rPr>
      </w:pPr>
      <w:r>
        <w:rPr>
          <w:rFonts w:hint="eastAsia" w:hAnsi="宋体"/>
          <w:color w:val="auto"/>
          <w:sz w:val="21"/>
          <w:highlight w:val="none"/>
        </w:rPr>
        <w:t>2</w:t>
      </w:r>
      <w:r>
        <w:rPr>
          <w:rFonts w:hAnsi="宋体"/>
          <w:color w:val="auto"/>
          <w:sz w:val="21"/>
          <w:highlight w:val="none"/>
        </w:rPr>
        <w:t>9.3</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400FF15B">
      <w:pPr>
        <w:spacing w:line="400" w:lineRule="exact"/>
        <w:ind w:firstLine="420" w:firstLineChars="200"/>
        <w:rPr>
          <w:rFonts w:hint="eastAsia" w:hAnsi="宋体"/>
          <w:color w:val="auto"/>
          <w:szCs w:val="21"/>
          <w:highlight w:val="none"/>
        </w:rPr>
      </w:pPr>
      <w:r>
        <w:rPr>
          <w:rFonts w:hint="eastAsia" w:hAnsi="宋体"/>
          <w:color w:val="auto"/>
          <w:szCs w:val="21"/>
          <w:highlight w:val="none"/>
        </w:rPr>
        <w:t>29.</w:t>
      </w:r>
      <w:r>
        <w:rPr>
          <w:rFonts w:hAnsi="宋体"/>
          <w:color w:val="auto"/>
          <w:szCs w:val="21"/>
          <w:highlight w:val="none"/>
        </w:rPr>
        <w:t>4</w:t>
      </w:r>
      <w:r>
        <w:rPr>
          <w:rFonts w:hint="eastAsia" w:hAnsi="宋体"/>
          <w:color w:val="auto"/>
          <w:szCs w:val="21"/>
          <w:highlight w:val="none"/>
        </w:rPr>
        <w:t xml:space="preserve"> 电子交易活动的中止。采购过程中出现以下情形，导致电子交易平台无法正常运行，或者无法保证电子交易的公平、公正和安全时，采购代理机构可以中止电子交易活动：</w:t>
      </w:r>
    </w:p>
    <w:p w14:paraId="2048CD3E">
      <w:pPr>
        <w:spacing w:line="400" w:lineRule="exact"/>
        <w:ind w:firstLine="420" w:firstLineChars="200"/>
        <w:rPr>
          <w:rFonts w:hint="eastAsia" w:hAnsi="宋体"/>
          <w:color w:val="auto"/>
          <w:szCs w:val="21"/>
          <w:highlight w:val="none"/>
        </w:rPr>
      </w:pPr>
      <w:r>
        <w:rPr>
          <w:rFonts w:hint="eastAsia" w:hAnsi="宋体"/>
          <w:color w:val="auto"/>
          <w:szCs w:val="21"/>
          <w:highlight w:val="none"/>
        </w:rPr>
        <w:t xml:space="preserve">（1）电子交易平台发生故障而无法登录访问的； </w:t>
      </w:r>
    </w:p>
    <w:p w14:paraId="4BB1808D">
      <w:pPr>
        <w:spacing w:line="400" w:lineRule="exact"/>
        <w:ind w:firstLine="420" w:firstLineChars="200"/>
        <w:rPr>
          <w:rFonts w:hint="eastAsia" w:hAnsi="宋体"/>
          <w:color w:val="auto"/>
          <w:szCs w:val="21"/>
          <w:highlight w:val="none"/>
        </w:rPr>
      </w:pPr>
      <w:r>
        <w:rPr>
          <w:rFonts w:hint="eastAsia" w:hAnsi="宋体"/>
          <w:color w:val="auto"/>
          <w:szCs w:val="21"/>
          <w:highlight w:val="none"/>
        </w:rPr>
        <w:t>（2）电子交易平台应用或数据库出现错误，不能进行正常操作的；</w:t>
      </w:r>
    </w:p>
    <w:p w14:paraId="2E8ECD3F">
      <w:pPr>
        <w:spacing w:line="400" w:lineRule="exact"/>
        <w:ind w:firstLine="420" w:firstLineChars="200"/>
        <w:rPr>
          <w:rFonts w:hint="eastAsia" w:hAnsi="宋体"/>
          <w:color w:val="auto"/>
          <w:szCs w:val="21"/>
          <w:highlight w:val="none"/>
        </w:rPr>
      </w:pPr>
      <w:r>
        <w:rPr>
          <w:rFonts w:hint="eastAsia" w:hAnsi="宋体"/>
          <w:color w:val="auto"/>
          <w:szCs w:val="21"/>
          <w:highlight w:val="none"/>
        </w:rPr>
        <w:t>（3）电子交易平台发现严重安全漏洞，有潜在泄密危险的；</w:t>
      </w:r>
    </w:p>
    <w:p w14:paraId="5A0102D2">
      <w:pPr>
        <w:spacing w:line="400" w:lineRule="exact"/>
        <w:ind w:firstLine="420" w:firstLineChars="200"/>
        <w:rPr>
          <w:rFonts w:hint="eastAsia" w:hAnsi="宋体"/>
          <w:color w:val="auto"/>
          <w:szCs w:val="21"/>
          <w:highlight w:val="none"/>
        </w:rPr>
      </w:pPr>
      <w:r>
        <w:rPr>
          <w:rFonts w:hint="eastAsia" w:hAnsi="宋体"/>
          <w:color w:val="auto"/>
          <w:szCs w:val="21"/>
          <w:highlight w:val="none"/>
        </w:rPr>
        <w:t xml:space="preserve">（4）病毒发作导致不能进行正常操作的； </w:t>
      </w:r>
    </w:p>
    <w:p w14:paraId="67CBF142">
      <w:pPr>
        <w:spacing w:line="400" w:lineRule="exact"/>
        <w:ind w:firstLine="420" w:firstLineChars="200"/>
        <w:rPr>
          <w:rFonts w:hint="eastAsia" w:hAnsi="宋体"/>
          <w:color w:val="auto"/>
          <w:szCs w:val="21"/>
          <w:highlight w:val="none"/>
        </w:rPr>
      </w:pPr>
      <w:r>
        <w:rPr>
          <w:rFonts w:hint="eastAsia" w:hAnsi="宋体"/>
          <w:color w:val="auto"/>
          <w:szCs w:val="21"/>
          <w:highlight w:val="none"/>
        </w:rPr>
        <w:t>（5）其他无法保证电子交易的公平、公正和安全的情况。</w:t>
      </w:r>
    </w:p>
    <w:p w14:paraId="3545893C">
      <w:pPr>
        <w:spacing w:line="400" w:lineRule="exact"/>
        <w:ind w:firstLine="420" w:firstLineChars="200"/>
        <w:rPr>
          <w:rFonts w:hAnsi="宋体"/>
          <w:color w:val="auto"/>
          <w:szCs w:val="21"/>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4192E013">
      <w:pPr>
        <w:spacing w:line="400" w:lineRule="exact"/>
        <w:ind w:firstLine="420" w:firstLineChars="200"/>
        <w:rPr>
          <w:rFonts w:hint="eastAsia" w:hAnsi="宋体"/>
          <w:color w:val="auto"/>
          <w:highlight w:val="none"/>
        </w:rPr>
      </w:pPr>
      <w:r>
        <w:rPr>
          <w:rFonts w:hint="eastAsia" w:hAnsi="宋体"/>
          <w:color w:val="auto"/>
          <w:highlight w:val="none"/>
        </w:rPr>
        <w:t>29.5出现下列情形之一的，应予废标：</w:t>
      </w:r>
    </w:p>
    <w:p w14:paraId="33B31F48">
      <w:pPr>
        <w:spacing w:line="400" w:lineRule="exact"/>
        <w:ind w:firstLine="420" w:firstLineChars="200"/>
        <w:rPr>
          <w:rFonts w:hint="eastAsia" w:hAnsi="宋体"/>
          <w:color w:val="auto"/>
          <w:highlight w:val="none"/>
        </w:rPr>
      </w:pPr>
      <w:r>
        <w:rPr>
          <w:rFonts w:hint="eastAsia" w:hAnsi="宋体"/>
          <w:color w:val="auto"/>
          <w:highlight w:val="none"/>
        </w:rPr>
        <w:t>（1）符合专业条件的供应商或者对招标文件作实质响应的供应商不足三家的；</w:t>
      </w:r>
    </w:p>
    <w:p w14:paraId="112D64A0">
      <w:pPr>
        <w:spacing w:line="400" w:lineRule="exact"/>
        <w:ind w:firstLine="420" w:firstLineChars="200"/>
        <w:rPr>
          <w:rFonts w:hint="eastAsia" w:hAnsi="宋体"/>
          <w:color w:val="auto"/>
          <w:highlight w:val="none"/>
        </w:rPr>
      </w:pPr>
      <w:r>
        <w:rPr>
          <w:rFonts w:hint="eastAsia" w:hAnsi="宋体"/>
          <w:color w:val="auto"/>
          <w:highlight w:val="none"/>
        </w:rPr>
        <w:t>（2）出现影响采购公正的违法、违规行为的；</w:t>
      </w:r>
    </w:p>
    <w:p w14:paraId="18F735F1">
      <w:pPr>
        <w:spacing w:line="400" w:lineRule="exact"/>
        <w:ind w:firstLine="420" w:firstLineChars="200"/>
        <w:rPr>
          <w:rFonts w:hint="eastAsia" w:hAnsi="宋体"/>
          <w:color w:val="auto"/>
          <w:highlight w:val="none"/>
        </w:rPr>
      </w:pPr>
      <w:r>
        <w:rPr>
          <w:rFonts w:hint="eastAsia" w:hAnsi="宋体"/>
          <w:color w:val="auto"/>
          <w:highlight w:val="none"/>
        </w:rPr>
        <w:t>（3）投标人的报价均超过了采购预算，采购人不能支付的；</w:t>
      </w:r>
    </w:p>
    <w:p w14:paraId="64D4AF9A">
      <w:pPr>
        <w:spacing w:line="400" w:lineRule="exact"/>
        <w:ind w:firstLine="420" w:firstLineChars="200"/>
        <w:rPr>
          <w:rFonts w:hint="eastAsia" w:hAnsi="宋体"/>
          <w:color w:val="auto"/>
          <w:highlight w:val="none"/>
        </w:rPr>
      </w:pPr>
      <w:r>
        <w:rPr>
          <w:rFonts w:hint="eastAsia" w:hAnsi="宋体"/>
          <w:color w:val="auto"/>
          <w:highlight w:val="none"/>
        </w:rPr>
        <w:t>（4）因重大变故，采购任务取消的。</w:t>
      </w:r>
    </w:p>
    <w:p w14:paraId="48B75846">
      <w:pPr>
        <w:spacing w:line="400" w:lineRule="exact"/>
        <w:ind w:firstLine="420" w:firstLineChars="200"/>
        <w:rPr>
          <w:color w:val="auto"/>
          <w:highlight w:val="none"/>
        </w:rPr>
      </w:pPr>
      <w:r>
        <w:rPr>
          <w:rFonts w:hint="eastAsia" w:hAnsi="宋体"/>
          <w:color w:val="auto"/>
          <w:highlight w:val="none"/>
        </w:rPr>
        <w:t>废标后，采购人应当将废标理由通知所有投标人。</w:t>
      </w:r>
      <w:bookmarkStart w:id="172" w:name="_Toc254970546"/>
      <w:bookmarkStart w:id="173" w:name="_Toc254970687"/>
    </w:p>
    <w:p w14:paraId="40F9BE30">
      <w:pPr>
        <w:pStyle w:val="3"/>
        <w:keepNext w:val="0"/>
        <w:keepLines w:val="0"/>
        <w:jc w:val="center"/>
        <w:rPr>
          <w:rFonts w:hint="eastAsia" w:ascii="Times New Roman" w:hAnsi="Times New Roman" w:eastAsia="宋体"/>
          <w:color w:val="auto"/>
          <w:highlight w:val="none"/>
        </w:rPr>
      </w:pPr>
      <w:bookmarkStart w:id="174" w:name="_Toc18166"/>
      <w:r>
        <w:rPr>
          <w:rFonts w:hint="eastAsia" w:ascii="Times New Roman" w:hAnsi="Times New Roman" w:eastAsia="宋体"/>
          <w:color w:val="auto"/>
          <w:highlight w:val="none"/>
        </w:rPr>
        <w:t>七、</w:t>
      </w:r>
      <w:bookmarkEnd w:id="172"/>
      <w:bookmarkEnd w:id="173"/>
      <w:r>
        <w:rPr>
          <w:rFonts w:hint="eastAsia" w:ascii="Times New Roman" w:hAnsi="Times New Roman" w:eastAsia="宋体"/>
          <w:color w:val="auto"/>
          <w:highlight w:val="none"/>
        </w:rPr>
        <w:t>中标和合同</w:t>
      </w:r>
      <w:bookmarkEnd w:id="174"/>
    </w:p>
    <w:p w14:paraId="49A9EF6E">
      <w:pPr>
        <w:pStyle w:val="4"/>
        <w:keepNext w:val="0"/>
        <w:keepLines w:val="0"/>
        <w:spacing w:before="0" w:after="0" w:line="360" w:lineRule="auto"/>
        <w:ind w:left="420" w:leftChars="200"/>
        <w:rPr>
          <w:rFonts w:hint="eastAsia" w:ascii="黑体" w:hAnsi="黑体" w:eastAsia="黑体"/>
          <w:color w:val="auto"/>
          <w:sz w:val="24"/>
          <w:highlight w:val="none"/>
        </w:rPr>
      </w:pPr>
      <w:bookmarkStart w:id="175" w:name="_Toc6247"/>
      <w:r>
        <w:rPr>
          <w:rFonts w:hint="eastAsia" w:ascii="黑体" w:hAnsi="黑体" w:eastAsia="黑体"/>
          <w:color w:val="auto"/>
          <w:sz w:val="24"/>
          <w:highlight w:val="none"/>
        </w:rPr>
        <w:t>30. 确定中标人</w:t>
      </w:r>
      <w:bookmarkEnd w:id="175"/>
    </w:p>
    <w:p w14:paraId="391ABA67">
      <w:pPr>
        <w:pStyle w:val="6"/>
        <w:keepNext w:val="0"/>
        <w:keepLines w:val="0"/>
        <w:spacing w:before="0" w:after="0" w:line="400" w:lineRule="exact"/>
        <w:ind w:firstLine="420" w:firstLineChars="200"/>
        <w:rPr>
          <w:rFonts w:hint="eastAsia"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D409206">
      <w:pPr>
        <w:snapToGrid w:val="0"/>
        <w:spacing w:line="400" w:lineRule="exact"/>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28728C64">
      <w:pPr>
        <w:pStyle w:val="4"/>
        <w:keepNext w:val="0"/>
        <w:keepLines w:val="0"/>
        <w:spacing w:before="0" w:after="0" w:line="360" w:lineRule="auto"/>
        <w:ind w:left="420" w:leftChars="200"/>
        <w:rPr>
          <w:rFonts w:hint="eastAsia" w:ascii="黑体" w:hAnsi="黑体" w:eastAsia="黑体"/>
          <w:color w:val="auto"/>
          <w:sz w:val="24"/>
          <w:highlight w:val="none"/>
        </w:rPr>
      </w:pPr>
      <w:bookmarkStart w:id="176" w:name="_Toc3685"/>
      <w:r>
        <w:rPr>
          <w:rFonts w:hint="eastAsia" w:ascii="黑体" w:hAnsi="黑体" w:eastAsia="黑体"/>
          <w:color w:val="auto"/>
          <w:sz w:val="24"/>
          <w:highlight w:val="none"/>
        </w:rPr>
        <w:t>31. 结果公告</w:t>
      </w:r>
      <w:bookmarkEnd w:id="176"/>
    </w:p>
    <w:p w14:paraId="42BBD0E1">
      <w:pPr>
        <w:pStyle w:val="6"/>
        <w:keepNext w:val="0"/>
        <w:keepLines w:val="0"/>
        <w:spacing w:before="0" w:after="0" w:line="400" w:lineRule="exact"/>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767D1C05">
      <w:pPr>
        <w:snapToGrid w:val="0"/>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以上信息查询记录及相关证据与招标文件一并保存。</w:t>
      </w:r>
    </w:p>
    <w:p w14:paraId="2F3D5E7E">
      <w:pPr>
        <w:pStyle w:val="6"/>
        <w:keepNext w:val="0"/>
        <w:keepLines w:val="0"/>
        <w:spacing w:before="0" w:after="0" w:line="400" w:lineRule="exact"/>
        <w:ind w:firstLine="420" w:firstLineChars="200"/>
        <w:rPr>
          <w:rFonts w:ascii="黑体" w:hAnsi="黑体" w:eastAsia="黑体"/>
          <w:color w:val="auto"/>
          <w:sz w:val="24"/>
          <w:highlight w:val="none"/>
        </w:rPr>
      </w:pPr>
      <w:r>
        <w:rPr>
          <w:rFonts w:hint="eastAsia" w:ascii="宋体" w:hAnsi="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7CA7827D">
      <w:pPr>
        <w:pStyle w:val="6"/>
        <w:keepNext w:val="0"/>
        <w:keepLines w:val="0"/>
        <w:spacing w:before="0" w:after="0" w:line="360" w:lineRule="exact"/>
        <w:ind w:firstLine="420" w:firstLineChars="200"/>
        <w:rPr>
          <w:color w:val="auto"/>
          <w:highlight w:val="none"/>
        </w:rPr>
      </w:pPr>
      <w:r>
        <w:rPr>
          <w:rFonts w:hint="eastAsia" w:ascii="宋体" w:hAnsi="宋体"/>
          <w:b w:val="0"/>
          <w:color w:val="auto"/>
          <w:sz w:val="21"/>
          <w:szCs w:val="21"/>
          <w:highlight w:val="none"/>
        </w:rPr>
        <w:t>31.3 采购人、采购代理机构应当随中标结果公开中标供应商的《关于符合本国产品标准的声明函》或有关证明文件。</w:t>
      </w:r>
    </w:p>
    <w:p w14:paraId="0F0DF919">
      <w:pPr>
        <w:pStyle w:val="4"/>
        <w:keepNext w:val="0"/>
        <w:keepLines w:val="0"/>
        <w:spacing w:before="0" w:after="0" w:line="360" w:lineRule="auto"/>
        <w:ind w:left="420" w:leftChars="200"/>
        <w:rPr>
          <w:rFonts w:hint="eastAsia" w:ascii="黑体" w:hAnsi="黑体" w:eastAsia="黑体"/>
          <w:color w:val="auto"/>
          <w:sz w:val="24"/>
          <w:highlight w:val="none"/>
        </w:rPr>
      </w:pPr>
      <w:bookmarkStart w:id="177" w:name="_Toc5611"/>
      <w:r>
        <w:rPr>
          <w:rFonts w:hint="eastAsia" w:ascii="黑体" w:hAnsi="黑体" w:eastAsia="黑体"/>
          <w:color w:val="auto"/>
          <w:sz w:val="24"/>
          <w:highlight w:val="none"/>
        </w:rPr>
        <w:t>32.发出中标通知书</w:t>
      </w:r>
      <w:bookmarkEnd w:id="177"/>
    </w:p>
    <w:p w14:paraId="1A67322F">
      <w:pPr>
        <w:pStyle w:val="6"/>
        <w:keepNext w:val="0"/>
        <w:keepLines w:val="0"/>
        <w:spacing w:before="0" w:after="0" w:line="400" w:lineRule="exact"/>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 xml:space="preserve">   </w:t>
      </w:r>
      <w:r>
        <w:rPr>
          <w:rFonts w:hint="eastAsia" w:ascii="宋体" w:hAnsi="宋体"/>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30BBC979">
      <w:pPr>
        <w:pStyle w:val="4"/>
        <w:keepNext w:val="0"/>
        <w:keepLines w:val="0"/>
        <w:spacing w:before="0" w:after="0" w:line="360" w:lineRule="auto"/>
        <w:ind w:left="420" w:leftChars="200"/>
        <w:rPr>
          <w:rFonts w:hint="eastAsia" w:ascii="黑体" w:hAnsi="黑体" w:eastAsia="黑体"/>
          <w:color w:val="auto"/>
          <w:sz w:val="24"/>
          <w:highlight w:val="none"/>
        </w:rPr>
      </w:pPr>
      <w:bookmarkStart w:id="178" w:name="_Toc2436"/>
      <w:r>
        <w:rPr>
          <w:rFonts w:hint="eastAsia" w:ascii="黑体" w:hAnsi="黑体" w:eastAsia="黑体"/>
          <w:color w:val="auto"/>
          <w:sz w:val="24"/>
          <w:highlight w:val="none"/>
        </w:rPr>
        <w:t>33. 无义务解释未中标原因</w:t>
      </w:r>
      <w:bookmarkEnd w:id="178"/>
    </w:p>
    <w:p w14:paraId="2B87027F">
      <w:pPr>
        <w:pStyle w:val="6"/>
        <w:keepNext w:val="0"/>
        <w:keepLines w:val="0"/>
        <w:spacing w:before="0" w:after="0" w:line="400" w:lineRule="exact"/>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w:t>
      </w:r>
    </w:p>
    <w:p w14:paraId="391DB74E">
      <w:pPr>
        <w:pStyle w:val="4"/>
        <w:keepNext w:val="0"/>
        <w:keepLines w:val="0"/>
        <w:spacing w:before="0" w:after="0" w:line="360" w:lineRule="auto"/>
        <w:ind w:left="420" w:leftChars="200"/>
        <w:rPr>
          <w:rFonts w:hint="eastAsia" w:ascii="黑体" w:hAnsi="黑体" w:eastAsia="黑体"/>
          <w:color w:val="auto"/>
          <w:sz w:val="24"/>
          <w:highlight w:val="none"/>
        </w:rPr>
      </w:pPr>
      <w:bookmarkStart w:id="179" w:name="_Toc31786"/>
      <w:r>
        <w:rPr>
          <w:rFonts w:hint="eastAsia" w:ascii="黑体" w:hAnsi="黑体" w:eastAsia="黑体"/>
          <w:color w:val="auto"/>
          <w:sz w:val="24"/>
          <w:highlight w:val="none"/>
        </w:rPr>
        <w:t>34.合同授予标准</w:t>
      </w:r>
      <w:bookmarkEnd w:id="179"/>
    </w:p>
    <w:p w14:paraId="624B803A">
      <w:pPr>
        <w:snapToGrid w:val="0"/>
        <w:spacing w:line="400" w:lineRule="exact"/>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w:t>
      </w:r>
    </w:p>
    <w:p w14:paraId="20601199">
      <w:pPr>
        <w:pStyle w:val="4"/>
        <w:keepNext w:val="0"/>
        <w:keepLines w:val="0"/>
        <w:spacing w:before="0" w:after="0" w:line="360" w:lineRule="auto"/>
        <w:ind w:left="420" w:leftChars="200"/>
        <w:rPr>
          <w:rFonts w:hint="eastAsia" w:ascii="黑体" w:hAnsi="黑体" w:eastAsia="黑体"/>
          <w:color w:val="auto"/>
          <w:sz w:val="24"/>
          <w:highlight w:val="none"/>
        </w:rPr>
      </w:pPr>
      <w:bookmarkStart w:id="180" w:name="_Toc14357"/>
      <w:r>
        <w:rPr>
          <w:rFonts w:hint="eastAsia" w:ascii="黑体" w:hAnsi="黑体" w:eastAsia="黑体"/>
          <w:color w:val="auto"/>
          <w:sz w:val="24"/>
          <w:highlight w:val="none"/>
        </w:rPr>
        <w:t>35.履约保证金</w:t>
      </w:r>
      <w:bookmarkEnd w:id="180"/>
    </w:p>
    <w:p w14:paraId="41B22939">
      <w:pPr>
        <w:pStyle w:val="6"/>
        <w:keepNext w:val="0"/>
        <w:keepLines w:val="0"/>
        <w:spacing w:before="0" w:after="0" w:line="400" w:lineRule="exact"/>
        <w:ind w:firstLine="315" w:firstLineChars="150"/>
        <w:rPr>
          <w:rFonts w:hint="eastAsia" w:ascii="宋体" w:hAnsi="宋体"/>
          <w:b w:val="0"/>
          <w:color w:val="auto"/>
          <w:sz w:val="21"/>
          <w:szCs w:val="21"/>
          <w:highlight w:val="none"/>
        </w:rPr>
      </w:pPr>
      <w:bookmarkStart w:id="181" w:name="_39.1中标人须于签订合同前按本须知前附表规定的金额转账或电汇到指定账"/>
      <w:bookmarkEnd w:id="181"/>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履约保证金的金额、提交方式、缴纳期限、退付的时间和条件详见 “投标人须知前附表”。中标人未按规定提交履约保证金的，视为拒绝与采购人签订合同。</w:t>
      </w:r>
    </w:p>
    <w:p w14:paraId="39B85B77">
      <w:pPr>
        <w:pStyle w:val="6"/>
        <w:keepNext w:val="0"/>
        <w:keepLines w:val="0"/>
        <w:spacing w:before="0" w:after="0" w:line="400" w:lineRule="exact"/>
        <w:ind w:firstLine="316" w:firstLineChars="15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35.2在履约保证金退还日期前，若中标人的开户名称、开户银行、账号有变动的，请以书面形式通知履约保证金收取单位，否则由此产生的后果由中标人自行承担。</w:t>
      </w:r>
    </w:p>
    <w:p w14:paraId="2995460F">
      <w:pPr>
        <w:pStyle w:val="4"/>
        <w:keepNext w:val="0"/>
        <w:keepLines w:val="0"/>
        <w:spacing w:before="0" w:after="0" w:line="360" w:lineRule="auto"/>
        <w:ind w:left="420" w:leftChars="200"/>
        <w:rPr>
          <w:rFonts w:hint="eastAsia" w:ascii="黑体" w:hAnsi="黑体" w:eastAsia="黑体"/>
          <w:color w:val="auto"/>
          <w:sz w:val="24"/>
          <w:highlight w:val="none"/>
        </w:rPr>
      </w:pPr>
      <w:bookmarkStart w:id="182" w:name="_Toc5168"/>
      <w:r>
        <w:rPr>
          <w:rFonts w:hint="eastAsia" w:ascii="黑体" w:hAnsi="黑体" w:eastAsia="黑体"/>
          <w:color w:val="auto"/>
          <w:sz w:val="24"/>
          <w:highlight w:val="none"/>
        </w:rPr>
        <w:t>36.签订合同</w:t>
      </w:r>
      <w:bookmarkEnd w:id="182"/>
    </w:p>
    <w:p w14:paraId="0B421FBF">
      <w:pPr>
        <w:pStyle w:val="6"/>
        <w:keepNext w:val="0"/>
        <w:keepLines w:val="0"/>
        <w:spacing w:before="0" w:after="0" w:line="400" w:lineRule="exact"/>
        <w:ind w:firstLine="315" w:firstLineChars="150"/>
        <w:rPr>
          <w:rFonts w:hint="eastAsia" w:ascii="宋体" w:hAnsi="宋体"/>
          <w:b w:val="0"/>
          <w:color w:val="auto"/>
          <w:sz w:val="21"/>
          <w:szCs w:val="21"/>
          <w:highlight w:val="none"/>
        </w:rPr>
      </w:pPr>
      <w:bookmarkStart w:id="183" w:name="_40.1投标人接到中标通知书后，按须知前附表规定向采购人出示相关资格证"/>
      <w:bookmarkEnd w:id="183"/>
      <w:r>
        <w:rPr>
          <w:rFonts w:hint="eastAsia" w:ascii="宋体" w:hAnsi="宋体"/>
          <w:b w:val="0"/>
          <w:color w:val="auto"/>
          <w:sz w:val="21"/>
          <w:szCs w:val="21"/>
          <w:highlight w:val="none"/>
        </w:rPr>
        <w:t xml:space="preserve"> </w:t>
      </w:r>
      <w:r>
        <w:rPr>
          <w:rFonts w:hint="eastAsia" w:ascii="宋体" w:hAnsi="宋体"/>
          <w:color w:val="auto"/>
          <w:sz w:val="21"/>
          <w:szCs w:val="21"/>
          <w:highlight w:val="none"/>
        </w:rPr>
        <w:t>36.1签订电子采购合同：中标人领取电子中标通知书后，</w:t>
      </w:r>
      <w:r>
        <w:rPr>
          <w:rFonts w:hint="eastAsia" w:ascii="宋体" w:hAnsi="宋体"/>
          <w:color w:val="auto"/>
          <w:kern w:val="0"/>
          <w:sz w:val="21"/>
          <w:szCs w:val="21"/>
          <w:highlight w:val="none"/>
        </w:rPr>
        <w:t>在</w:t>
      </w:r>
      <w:r>
        <w:rPr>
          <w:rFonts w:hint="eastAsia" w:ascii="宋体" w:hAnsi="宋体"/>
          <w:color w:val="auto"/>
          <w:kern w:val="0"/>
          <w:sz w:val="21"/>
          <w:szCs w:val="21"/>
          <w:highlight w:val="none"/>
          <w:lang w:val="zh-CN"/>
        </w:rPr>
        <w:t>规定的日期、时间、地点，由法定代表人或其授权代表与采购人代表签订电子采购合同。如中标人为联合体的，由联合体成员各方法定代表人或其授权代表与采购人代表签订合同。</w:t>
      </w:r>
    </w:p>
    <w:p w14:paraId="3A2C9373">
      <w:pPr>
        <w:pStyle w:val="6"/>
        <w:keepNext w:val="0"/>
        <w:keepLines w:val="0"/>
        <w:spacing w:before="0" w:after="0" w:line="400" w:lineRule="exact"/>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线下签订纸质合同：投标人领取中标通知书后，按“投标人须知前附表”规定向采购人出示相关证明材料，经采购人核验合格后方可签订合同。</w:t>
      </w:r>
    </w:p>
    <w:p w14:paraId="2EE812BC">
      <w:pPr>
        <w:pStyle w:val="6"/>
        <w:keepNext w:val="0"/>
        <w:keepLines w:val="0"/>
        <w:numPr>
          <w:ilvl w:val="0"/>
          <w:numId w:val="0"/>
        </w:numPr>
        <w:spacing w:before="0" w:after="0" w:line="400" w:lineRule="exact"/>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w:t>
      </w:r>
    </w:p>
    <w:p w14:paraId="4E912A5D">
      <w:pPr>
        <w:pStyle w:val="6"/>
        <w:keepNext w:val="0"/>
        <w:keepLines w:val="0"/>
        <w:spacing w:before="0" w:after="0" w:line="400" w:lineRule="exact"/>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2019F88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E737D0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0D6191E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36.6</w:t>
      </w:r>
      <w:r>
        <w:rPr>
          <w:rFonts w:hint="eastAsia" w:ascii="宋体" w:hAnsi="宋体" w:cs="仿宋_GB2312"/>
          <w:color w:val="auto"/>
          <w:szCs w:val="21"/>
          <w:highlight w:val="none"/>
        </w:rPr>
        <w:t>如签订合同并生效后，供应商无故拒绝或延期，除按照合同条款处理外，将承担相应的法律责任。</w:t>
      </w:r>
    </w:p>
    <w:p w14:paraId="7580678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36.7</w:t>
      </w:r>
      <w:r>
        <w:rPr>
          <w:rFonts w:hint="eastAsia" w:ascii="宋体" w:hAnsi="宋体" w:cs="宋体"/>
          <w:color w:val="auto"/>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122E640">
      <w:pPr>
        <w:pStyle w:val="4"/>
        <w:keepNext w:val="0"/>
        <w:keepLines w:val="0"/>
        <w:spacing w:before="0" w:after="0" w:line="360" w:lineRule="auto"/>
        <w:ind w:left="420" w:leftChars="200"/>
        <w:rPr>
          <w:rFonts w:hint="eastAsia" w:ascii="黑体" w:hAnsi="黑体" w:eastAsia="黑体"/>
          <w:color w:val="auto"/>
          <w:sz w:val="24"/>
          <w:highlight w:val="none"/>
        </w:rPr>
      </w:pPr>
      <w:bookmarkStart w:id="184" w:name="_41.政府采购合同公告"/>
      <w:bookmarkEnd w:id="184"/>
      <w:bookmarkStart w:id="185" w:name="_Toc11773"/>
      <w:r>
        <w:rPr>
          <w:rFonts w:hint="eastAsia" w:ascii="黑体" w:hAnsi="黑体" w:eastAsia="黑体"/>
          <w:color w:val="auto"/>
          <w:sz w:val="24"/>
          <w:highlight w:val="none"/>
        </w:rPr>
        <w:t>37.政府采购合同公告</w:t>
      </w:r>
      <w:bookmarkEnd w:id="185"/>
    </w:p>
    <w:p w14:paraId="45C3E0BF">
      <w:pPr>
        <w:pStyle w:val="24"/>
        <w:snapToGrid w:val="0"/>
        <w:spacing w:line="400" w:lineRule="exact"/>
        <w:ind w:firstLine="420" w:firstLineChars="200"/>
        <w:rPr>
          <w:rFonts w:hint="eastAsia"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048F316E">
      <w:pPr>
        <w:pStyle w:val="4"/>
        <w:keepNext w:val="0"/>
        <w:keepLines w:val="0"/>
        <w:spacing w:before="0" w:after="0" w:line="360" w:lineRule="auto"/>
        <w:ind w:left="420" w:leftChars="200"/>
        <w:rPr>
          <w:rFonts w:hint="eastAsia" w:ascii="黑体" w:hAnsi="黑体" w:eastAsia="黑体"/>
          <w:color w:val="auto"/>
          <w:sz w:val="24"/>
          <w:highlight w:val="none"/>
        </w:rPr>
      </w:pPr>
      <w:bookmarkStart w:id="186" w:name="_Toc32046"/>
      <w:r>
        <w:rPr>
          <w:rFonts w:hint="eastAsia" w:ascii="黑体" w:hAnsi="黑体" w:eastAsia="黑体"/>
          <w:color w:val="auto"/>
          <w:sz w:val="24"/>
          <w:highlight w:val="none"/>
        </w:rPr>
        <w:t>38. 询问、质疑和投诉</w:t>
      </w:r>
      <w:bookmarkEnd w:id="186"/>
    </w:p>
    <w:p w14:paraId="5C99EA28">
      <w:pPr>
        <w:pStyle w:val="7"/>
        <w:spacing w:line="400" w:lineRule="exact"/>
        <w:rPr>
          <w:rFonts w:hint="eastAsia"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201EC293">
      <w:pPr>
        <w:pStyle w:val="6"/>
        <w:keepNext w:val="0"/>
        <w:keepLines w:val="0"/>
        <w:spacing w:before="0" w:after="0" w:line="400" w:lineRule="exact"/>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203AB3E5">
      <w:pPr>
        <w:pStyle w:val="24"/>
        <w:snapToGrid w:val="0"/>
        <w:spacing w:line="400" w:lineRule="exact"/>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160990A9">
      <w:pPr>
        <w:pStyle w:val="24"/>
        <w:snapToGrid w:val="0"/>
        <w:spacing w:line="400" w:lineRule="exact"/>
        <w:ind w:firstLine="420" w:firstLineChars="200"/>
        <w:rPr>
          <w:rFonts w:hint="eastAsia"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193EE641">
      <w:pPr>
        <w:pStyle w:val="24"/>
        <w:snapToGrid w:val="0"/>
        <w:spacing w:line="400" w:lineRule="exact"/>
        <w:ind w:firstLine="420" w:firstLineChars="200"/>
        <w:rPr>
          <w:rFonts w:hint="eastAsia"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219F2F96">
      <w:pPr>
        <w:pStyle w:val="6"/>
        <w:keepNext w:val="0"/>
        <w:keepLines w:val="0"/>
        <w:spacing w:before="0" w:after="0" w:line="400" w:lineRule="exact"/>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Ansi="宋体"/>
          <w:b w:val="0"/>
          <w:bCs/>
          <w:color w:val="auto"/>
          <w:sz w:val="21"/>
          <w:highlight w:val="none"/>
        </w:rPr>
        <w:t>供应商提出质疑应当提交质疑函和必要的证明材料</w:t>
      </w:r>
      <w:r>
        <w:rPr>
          <w:rFonts w:hint="eastAsia" w:hAnsi="宋体"/>
          <w:b w:val="0"/>
          <w:bCs/>
          <w:color w:val="auto"/>
          <w:sz w:val="21"/>
          <w:highlight w:val="none"/>
        </w:rPr>
        <w:t>，</w:t>
      </w:r>
      <w:r>
        <w:rPr>
          <w:rFonts w:hAnsi="宋体"/>
          <w:b w:val="0"/>
          <w:bCs/>
          <w:color w:val="auto"/>
          <w:sz w:val="21"/>
          <w:highlight w:val="none"/>
        </w:rPr>
        <w:t>针对同一采购程序环节的质疑</w:t>
      </w:r>
      <w:r>
        <w:rPr>
          <w:rFonts w:hint="eastAsia" w:hAnsi="宋体"/>
          <w:b w:val="0"/>
          <w:bCs/>
          <w:color w:val="auto"/>
          <w:sz w:val="21"/>
          <w:highlight w:val="none"/>
        </w:rPr>
        <w:t>必须</w:t>
      </w:r>
      <w:r>
        <w:rPr>
          <w:rFonts w:hAnsi="宋体"/>
          <w:b w:val="0"/>
          <w:bCs/>
          <w:color w:val="auto"/>
          <w:sz w:val="21"/>
          <w:highlight w:val="none"/>
        </w:rPr>
        <w:t>在法定质疑期内一次性提出。质疑函应当包括下列内容</w:t>
      </w:r>
      <w:r>
        <w:rPr>
          <w:rFonts w:hint="eastAsia" w:hAnsi="宋体"/>
          <w:b w:val="0"/>
          <w:bCs/>
          <w:color w:val="auto"/>
          <w:sz w:val="21"/>
          <w:highlight w:val="none"/>
        </w:rPr>
        <w:t>（质疑函格式见第六章）</w:t>
      </w:r>
      <w:r>
        <w:rPr>
          <w:rFonts w:hAnsi="宋体"/>
          <w:b w:val="0"/>
          <w:bCs/>
          <w:color w:val="auto"/>
          <w:sz w:val="21"/>
          <w:highlight w:val="none"/>
        </w:rPr>
        <w:t>：</w:t>
      </w:r>
    </w:p>
    <w:p w14:paraId="7362A456">
      <w:pPr>
        <w:pStyle w:val="24"/>
        <w:snapToGrid w:val="0"/>
        <w:spacing w:line="400" w:lineRule="exact"/>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）供应商的姓名或者名称、地址、邮编、联系人及联系电话；</w:t>
      </w:r>
    </w:p>
    <w:p w14:paraId="5AB0A47C">
      <w:pPr>
        <w:pStyle w:val="24"/>
        <w:snapToGrid w:val="0"/>
        <w:spacing w:line="400" w:lineRule="exact"/>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547EB1C9">
      <w:pPr>
        <w:pStyle w:val="24"/>
        <w:snapToGrid w:val="0"/>
        <w:spacing w:line="400" w:lineRule="exact"/>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6BDD4CC1">
      <w:pPr>
        <w:pStyle w:val="24"/>
        <w:snapToGrid w:val="0"/>
        <w:spacing w:line="400" w:lineRule="exact"/>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3BCAB0AD">
      <w:pPr>
        <w:pStyle w:val="24"/>
        <w:snapToGrid w:val="0"/>
        <w:spacing w:line="400" w:lineRule="exact"/>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48991D8E">
      <w:pPr>
        <w:pStyle w:val="24"/>
        <w:snapToGrid w:val="0"/>
        <w:spacing w:line="400" w:lineRule="exact"/>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286794EC">
      <w:pPr>
        <w:pStyle w:val="24"/>
        <w:snapToGrid w:val="0"/>
        <w:spacing w:line="400" w:lineRule="exact"/>
        <w:ind w:firstLine="420" w:firstLineChars="200"/>
        <w:rPr>
          <w:rFonts w:hint="eastAsia" w:hAnsi="宋体"/>
          <w:bCs/>
          <w:color w:val="auto"/>
          <w:sz w:val="21"/>
          <w:highlight w:val="none"/>
        </w:rPr>
      </w:pPr>
      <w:r>
        <w:rPr>
          <w:rFonts w:hAnsi="宋体"/>
          <w:bCs/>
          <w:color w:val="auto"/>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rPr>
        <w:t>。</w:t>
      </w:r>
    </w:p>
    <w:p w14:paraId="4BDCCB34">
      <w:pPr>
        <w:pStyle w:val="6"/>
        <w:keepNext w:val="0"/>
        <w:keepLines w:val="0"/>
        <w:snapToGrid w:val="0"/>
        <w:spacing w:before="0" w:after="0" w:line="400" w:lineRule="exact"/>
        <w:ind w:firstLine="420" w:firstLineChars="200"/>
        <w:rPr>
          <w:rFonts w:hint="eastAsia"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1C2C4CE9">
      <w:pPr>
        <w:pStyle w:val="24"/>
        <w:snapToGrid w:val="0"/>
        <w:spacing w:line="400" w:lineRule="exact"/>
        <w:rPr>
          <w:rFonts w:hint="eastAsia" w:hAnsi="宋体"/>
          <w:bCs/>
          <w:color w:val="auto"/>
          <w:sz w:val="21"/>
          <w:highlight w:val="none"/>
        </w:rPr>
      </w:pPr>
      <w:r>
        <w:rPr>
          <w:rFonts w:hint="eastAsia" w:hAnsi="宋体"/>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4AEFE5FE">
      <w:pPr>
        <w:pStyle w:val="24"/>
        <w:snapToGrid w:val="0"/>
        <w:spacing w:line="400" w:lineRule="exact"/>
        <w:rPr>
          <w:rFonts w:hint="eastAsia" w:hAnsi="宋体"/>
          <w:bCs/>
          <w:color w:val="auto"/>
          <w:sz w:val="21"/>
          <w:highlight w:val="none"/>
        </w:rPr>
      </w:pPr>
      <w:r>
        <w:rPr>
          <w:rFonts w:hint="eastAsia" w:hAnsi="宋体"/>
          <w:bCs/>
          <w:color w:val="auto"/>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4371C198">
      <w:pPr>
        <w:pStyle w:val="24"/>
        <w:snapToGrid w:val="0"/>
        <w:spacing w:line="400" w:lineRule="exact"/>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1508913D">
      <w:pPr>
        <w:pStyle w:val="24"/>
        <w:snapToGrid w:val="0"/>
        <w:spacing w:line="400" w:lineRule="exact"/>
        <w:ind w:firstLine="420" w:firstLineChars="200"/>
        <w:rPr>
          <w:rFonts w:hint="eastAsia" w:hAnsi="宋体"/>
          <w:color w:val="auto"/>
          <w:sz w:val="21"/>
          <w:highlight w:val="none"/>
        </w:rPr>
      </w:pPr>
      <w:r>
        <w:rPr>
          <w:rFonts w:hAnsi="宋体"/>
          <w:color w:val="auto"/>
          <w:sz w:val="21"/>
          <w:highlight w:val="none"/>
        </w:rPr>
        <w:t>38</w:t>
      </w:r>
      <w:r>
        <w:rPr>
          <w:rFonts w:hint="eastAsia" w:hAnsi="宋体"/>
          <w:color w:val="auto"/>
          <w:sz w:val="21"/>
          <w:highlight w:val="none"/>
        </w:rPr>
        <w:t>.</w:t>
      </w:r>
      <w:r>
        <w:rPr>
          <w:rFonts w:hAnsi="宋体"/>
          <w:color w:val="auto"/>
          <w:sz w:val="21"/>
          <w:highlight w:val="none"/>
        </w:rPr>
        <w:t>5</w:t>
      </w:r>
      <w:r>
        <w:rPr>
          <w:rFonts w:hint="eastAsia" w:hAnsi="宋体"/>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见第六章）。</w:t>
      </w:r>
    </w:p>
    <w:p w14:paraId="6AD33256">
      <w:pPr>
        <w:pStyle w:val="3"/>
        <w:keepNext w:val="0"/>
        <w:keepLines w:val="0"/>
        <w:jc w:val="center"/>
        <w:rPr>
          <w:rFonts w:hint="eastAsia" w:ascii="Times New Roman" w:hAnsi="Times New Roman" w:eastAsia="宋体"/>
          <w:color w:val="auto"/>
          <w:highlight w:val="none"/>
        </w:rPr>
      </w:pPr>
      <w:bookmarkStart w:id="187" w:name="_Toc1280"/>
      <w:r>
        <w:rPr>
          <w:rFonts w:hint="eastAsia" w:ascii="Times New Roman" w:hAnsi="Times New Roman" w:eastAsia="宋体"/>
          <w:color w:val="auto"/>
          <w:highlight w:val="none"/>
        </w:rPr>
        <w:t>八、其他事项</w:t>
      </w:r>
      <w:bookmarkEnd w:id="187"/>
    </w:p>
    <w:p w14:paraId="098491D3">
      <w:pPr>
        <w:pStyle w:val="4"/>
        <w:keepNext w:val="0"/>
        <w:keepLines w:val="0"/>
        <w:spacing w:before="0" w:after="0" w:line="360" w:lineRule="auto"/>
        <w:ind w:left="420" w:leftChars="200"/>
        <w:rPr>
          <w:rFonts w:hint="eastAsia" w:ascii="黑体" w:hAnsi="黑体" w:eastAsia="黑体"/>
          <w:color w:val="auto"/>
          <w:sz w:val="24"/>
          <w:highlight w:val="none"/>
        </w:rPr>
      </w:pPr>
      <w:bookmarkStart w:id="188" w:name="_42.代理服务费"/>
      <w:bookmarkEnd w:id="188"/>
      <w:bookmarkStart w:id="189" w:name="_Toc27595"/>
      <w:r>
        <w:rPr>
          <w:rFonts w:hint="eastAsia" w:ascii="黑体" w:hAnsi="黑体" w:eastAsia="黑体"/>
          <w:color w:val="auto"/>
          <w:sz w:val="24"/>
          <w:highlight w:val="none"/>
        </w:rPr>
        <w:t>39.代理服务费</w:t>
      </w:r>
      <w:bookmarkEnd w:id="189"/>
    </w:p>
    <w:p w14:paraId="37AA3806">
      <w:pPr>
        <w:pStyle w:val="6"/>
        <w:keepNext w:val="0"/>
        <w:keepLines w:val="0"/>
        <w:spacing w:before="0" w:after="0" w:line="400" w:lineRule="exact"/>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9</w:t>
      </w:r>
      <w:r>
        <w:rPr>
          <w:rFonts w:hint="eastAsia" w:ascii="宋体" w:hAnsi="宋体"/>
          <w:b w:val="0"/>
          <w:color w:val="auto"/>
          <w:sz w:val="21"/>
          <w:szCs w:val="21"/>
          <w:highlight w:val="none"/>
        </w:rPr>
        <w:t>.1代理服务收取标准及缴费账户详见“投标人须知前附表”，投标人为联合体的，可以由联合体中的一方或者多方共同交纳代理服务费。</w:t>
      </w:r>
    </w:p>
    <w:p w14:paraId="3B8EDEA2">
      <w:pPr>
        <w:pStyle w:val="6"/>
        <w:keepNext w:val="0"/>
        <w:keepLines w:val="0"/>
        <w:spacing w:before="0" w:after="0" w:line="400" w:lineRule="exact"/>
        <w:ind w:left="420" w:leftChars="200"/>
        <w:rPr>
          <w:rFonts w:hint="eastAsia" w:ascii="宋体" w:hAnsi="宋体"/>
          <w:color w:val="auto"/>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9</w:t>
      </w:r>
      <w:r>
        <w:rPr>
          <w:rFonts w:hint="eastAsia" w:ascii="宋体" w:hAnsi="宋体"/>
          <w:color w:val="auto"/>
          <w:sz w:val="21"/>
          <w:szCs w:val="21"/>
          <w:highlight w:val="none"/>
        </w:rPr>
        <w:t>.2代理服务收费标准：</w:t>
      </w:r>
    </w:p>
    <w:tbl>
      <w:tblPr>
        <w:tblStyle w:val="49"/>
        <w:tblW w:w="45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8"/>
        <w:gridCol w:w="1627"/>
        <w:gridCol w:w="1705"/>
        <w:gridCol w:w="1725"/>
      </w:tblGrid>
      <w:tr w14:paraId="2E56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tcBorders>
              <w:tl2br w:val="single" w:color="auto" w:sz="4" w:space="0"/>
            </w:tcBorders>
            <w:noWrap w:val="0"/>
            <w:vAlign w:val="top"/>
          </w:tcPr>
          <w:p w14:paraId="264AE462">
            <w:pPr>
              <w:spacing w:line="400" w:lineRule="exact"/>
              <w:rPr>
                <w:rFonts w:hint="eastAsia" w:ascii="宋体" w:hAnsi="宋体"/>
                <w:color w:val="auto"/>
                <w:szCs w:val="21"/>
                <w:highlight w:val="none"/>
              </w:rPr>
            </w:pPr>
            <w:r>
              <w:rPr>
                <w:rFonts w:hint="eastAsia" w:ascii="宋体" w:hAnsi="宋体"/>
                <w:color w:val="auto"/>
                <w:szCs w:val="21"/>
                <w:highlight w:val="none"/>
              </w:rPr>
              <w:t xml:space="preserve">               费率</w:t>
            </w:r>
          </w:p>
          <w:p w14:paraId="7EEDB7A2">
            <w:pPr>
              <w:spacing w:line="400" w:lineRule="exact"/>
              <w:rPr>
                <w:rFonts w:hint="eastAsia" w:ascii="宋体" w:hAnsi="宋体"/>
                <w:color w:val="auto"/>
                <w:szCs w:val="21"/>
                <w:highlight w:val="none"/>
              </w:rPr>
            </w:pPr>
            <w:r>
              <w:rPr>
                <w:rFonts w:hint="eastAsia" w:ascii="宋体" w:hAnsi="宋体"/>
                <w:color w:val="auto"/>
                <w:szCs w:val="21"/>
                <w:highlight w:val="none"/>
              </w:rPr>
              <w:t>金额</w:t>
            </w:r>
          </w:p>
        </w:tc>
        <w:tc>
          <w:tcPr>
            <w:tcW w:w="933" w:type="pct"/>
            <w:noWrap w:val="0"/>
            <w:vAlign w:val="center"/>
          </w:tcPr>
          <w:p w14:paraId="2221EE6B">
            <w:pPr>
              <w:spacing w:line="400" w:lineRule="exact"/>
              <w:ind w:firstLine="105" w:firstLineChars="50"/>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978" w:type="pct"/>
            <w:noWrap w:val="0"/>
            <w:vAlign w:val="center"/>
          </w:tcPr>
          <w:p w14:paraId="326F9262">
            <w:pPr>
              <w:spacing w:line="400" w:lineRule="exact"/>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989" w:type="pct"/>
            <w:noWrap w:val="0"/>
            <w:vAlign w:val="center"/>
          </w:tcPr>
          <w:p w14:paraId="7D1455B3">
            <w:pPr>
              <w:spacing w:line="400" w:lineRule="exact"/>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3615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24AEDFF9">
            <w:pPr>
              <w:spacing w:line="360" w:lineRule="auto"/>
              <w:rPr>
                <w:rFonts w:ascii="宋体" w:hAnsi="宋体"/>
                <w:color w:val="auto"/>
                <w:szCs w:val="21"/>
                <w:highlight w:val="none"/>
              </w:rPr>
            </w:pPr>
            <w:r>
              <w:rPr>
                <w:rFonts w:hint="eastAsia" w:ascii="宋体" w:hAnsi="宋体"/>
                <w:color w:val="auto"/>
                <w:szCs w:val="21"/>
                <w:highlight w:val="none"/>
              </w:rPr>
              <w:t>100万元以下</w:t>
            </w:r>
          </w:p>
        </w:tc>
        <w:tc>
          <w:tcPr>
            <w:tcW w:w="933" w:type="pct"/>
            <w:noWrap w:val="0"/>
            <w:vAlign w:val="top"/>
          </w:tcPr>
          <w:p w14:paraId="7CC7F332">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1.5%                </w:t>
            </w:r>
          </w:p>
        </w:tc>
        <w:tc>
          <w:tcPr>
            <w:tcW w:w="978" w:type="pct"/>
            <w:noWrap w:val="0"/>
            <w:vAlign w:val="top"/>
          </w:tcPr>
          <w:p w14:paraId="23CCC0EB">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1.5%</w:t>
            </w:r>
          </w:p>
        </w:tc>
        <w:tc>
          <w:tcPr>
            <w:tcW w:w="989" w:type="pct"/>
            <w:noWrap w:val="0"/>
            <w:vAlign w:val="top"/>
          </w:tcPr>
          <w:p w14:paraId="2C83588F">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 xml:space="preserve">1.0% </w:t>
            </w:r>
          </w:p>
        </w:tc>
      </w:tr>
      <w:tr w14:paraId="03D3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4B3146A9">
            <w:pPr>
              <w:spacing w:line="360" w:lineRule="auto"/>
              <w:rPr>
                <w:rFonts w:ascii="宋体" w:hAnsi="宋体"/>
                <w:color w:val="auto"/>
                <w:szCs w:val="21"/>
                <w:highlight w:val="none"/>
              </w:rPr>
            </w:pPr>
            <w:r>
              <w:rPr>
                <w:rFonts w:hint="eastAsia" w:ascii="宋体" w:hAnsi="宋体"/>
                <w:color w:val="auto"/>
                <w:szCs w:val="21"/>
                <w:highlight w:val="none"/>
              </w:rPr>
              <w:t>100万元～500万元</w:t>
            </w:r>
          </w:p>
        </w:tc>
        <w:tc>
          <w:tcPr>
            <w:tcW w:w="933" w:type="pct"/>
            <w:noWrap w:val="0"/>
            <w:vAlign w:val="top"/>
          </w:tcPr>
          <w:p w14:paraId="61009594">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 xml:space="preserve">1.1%                 </w:t>
            </w:r>
          </w:p>
        </w:tc>
        <w:tc>
          <w:tcPr>
            <w:tcW w:w="978" w:type="pct"/>
            <w:noWrap w:val="0"/>
            <w:vAlign w:val="top"/>
          </w:tcPr>
          <w:p w14:paraId="3DDFE243">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0.8%</w:t>
            </w:r>
          </w:p>
        </w:tc>
        <w:tc>
          <w:tcPr>
            <w:tcW w:w="989" w:type="pct"/>
            <w:noWrap w:val="0"/>
            <w:vAlign w:val="top"/>
          </w:tcPr>
          <w:p w14:paraId="16A7E165">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 xml:space="preserve">0.7% </w:t>
            </w:r>
          </w:p>
        </w:tc>
      </w:tr>
      <w:tr w14:paraId="7EB1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1DF36033">
            <w:pPr>
              <w:spacing w:line="360" w:lineRule="auto"/>
              <w:rPr>
                <w:rFonts w:ascii="宋体" w:hAnsi="宋体"/>
                <w:color w:val="auto"/>
                <w:szCs w:val="21"/>
                <w:highlight w:val="none"/>
              </w:rPr>
            </w:pPr>
            <w:r>
              <w:rPr>
                <w:rFonts w:hint="eastAsia" w:ascii="宋体" w:hAnsi="宋体"/>
                <w:color w:val="auto"/>
                <w:szCs w:val="21"/>
                <w:highlight w:val="none"/>
              </w:rPr>
              <w:t>500万元～1000万元</w:t>
            </w:r>
          </w:p>
        </w:tc>
        <w:tc>
          <w:tcPr>
            <w:tcW w:w="933" w:type="pct"/>
            <w:noWrap w:val="0"/>
            <w:vAlign w:val="top"/>
          </w:tcPr>
          <w:p w14:paraId="3EF10182">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0.8%                </w:t>
            </w:r>
          </w:p>
        </w:tc>
        <w:tc>
          <w:tcPr>
            <w:tcW w:w="978" w:type="pct"/>
            <w:noWrap w:val="0"/>
            <w:vAlign w:val="top"/>
          </w:tcPr>
          <w:p w14:paraId="257806CE">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0.45%</w:t>
            </w:r>
          </w:p>
        </w:tc>
        <w:tc>
          <w:tcPr>
            <w:tcW w:w="989" w:type="pct"/>
            <w:noWrap w:val="0"/>
            <w:vAlign w:val="top"/>
          </w:tcPr>
          <w:p w14:paraId="3FF3329E">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0.55%</w:t>
            </w:r>
          </w:p>
        </w:tc>
      </w:tr>
      <w:tr w14:paraId="2D18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318AAAEB">
            <w:pPr>
              <w:spacing w:line="360" w:lineRule="auto"/>
              <w:rPr>
                <w:rFonts w:ascii="宋体" w:hAnsi="宋体"/>
                <w:color w:val="auto"/>
                <w:szCs w:val="21"/>
                <w:highlight w:val="none"/>
              </w:rPr>
            </w:pPr>
            <w:r>
              <w:rPr>
                <w:rFonts w:hint="eastAsia" w:ascii="宋体" w:hAnsi="宋体"/>
                <w:color w:val="auto"/>
                <w:szCs w:val="21"/>
                <w:highlight w:val="none"/>
              </w:rPr>
              <w:t>1000万元～5000万元</w:t>
            </w:r>
          </w:p>
        </w:tc>
        <w:tc>
          <w:tcPr>
            <w:tcW w:w="933" w:type="pct"/>
            <w:noWrap w:val="0"/>
            <w:vAlign w:val="top"/>
          </w:tcPr>
          <w:p w14:paraId="2A755C72">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 xml:space="preserve">0.5%                </w:t>
            </w:r>
          </w:p>
        </w:tc>
        <w:tc>
          <w:tcPr>
            <w:tcW w:w="978" w:type="pct"/>
            <w:noWrap w:val="0"/>
            <w:vAlign w:val="top"/>
          </w:tcPr>
          <w:p w14:paraId="65B01C70">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0.25%</w:t>
            </w:r>
          </w:p>
        </w:tc>
        <w:tc>
          <w:tcPr>
            <w:tcW w:w="989" w:type="pct"/>
            <w:noWrap w:val="0"/>
            <w:vAlign w:val="top"/>
          </w:tcPr>
          <w:p w14:paraId="3973B592">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 xml:space="preserve">0.35% </w:t>
            </w:r>
          </w:p>
        </w:tc>
      </w:tr>
      <w:tr w14:paraId="699F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2C93CDE1">
            <w:pPr>
              <w:spacing w:line="360" w:lineRule="auto"/>
              <w:rPr>
                <w:rFonts w:ascii="宋体" w:hAnsi="宋体"/>
                <w:color w:val="auto"/>
                <w:szCs w:val="21"/>
                <w:highlight w:val="none"/>
              </w:rPr>
            </w:pPr>
            <w:r>
              <w:rPr>
                <w:rFonts w:hint="eastAsia" w:ascii="宋体" w:hAnsi="宋体"/>
                <w:color w:val="auto"/>
                <w:szCs w:val="21"/>
                <w:highlight w:val="none"/>
              </w:rPr>
              <w:t>5000万元～1亿元</w:t>
            </w:r>
          </w:p>
        </w:tc>
        <w:tc>
          <w:tcPr>
            <w:tcW w:w="933" w:type="pct"/>
            <w:noWrap w:val="0"/>
            <w:vAlign w:val="top"/>
          </w:tcPr>
          <w:p w14:paraId="5701E7C8">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 xml:space="preserve">0.25%                 </w:t>
            </w:r>
          </w:p>
        </w:tc>
        <w:tc>
          <w:tcPr>
            <w:tcW w:w="978" w:type="pct"/>
            <w:noWrap w:val="0"/>
            <w:vAlign w:val="top"/>
          </w:tcPr>
          <w:p w14:paraId="683945E3">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0.1%</w:t>
            </w:r>
          </w:p>
        </w:tc>
        <w:tc>
          <w:tcPr>
            <w:tcW w:w="989" w:type="pct"/>
            <w:noWrap w:val="0"/>
            <w:vAlign w:val="top"/>
          </w:tcPr>
          <w:p w14:paraId="59B7079C">
            <w:pPr>
              <w:spacing w:line="360" w:lineRule="auto"/>
              <w:ind w:firstLine="210" w:firstLineChars="100"/>
              <w:rPr>
                <w:rFonts w:ascii="宋体" w:hAnsi="宋体"/>
                <w:color w:val="auto"/>
                <w:szCs w:val="21"/>
                <w:highlight w:val="none"/>
              </w:rPr>
            </w:pPr>
            <w:r>
              <w:rPr>
                <w:rFonts w:hint="eastAsia" w:ascii="宋体" w:hAnsi="宋体" w:cs="宋体"/>
                <w:color w:val="auto"/>
                <w:kern w:val="0"/>
                <w:szCs w:val="21"/>
                <w:highlight w:val="none"/>
              </w:rPr>
              <w:t>0.2%</w:t>
            </w:r>
          </w:p>
        </w:tc>
      </w:tr>
      <w:tr w14:paraId="6A6A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5E7B06FB">
            <w:pPr>
              <w:spacing w:line="360" w:lineRule="auto"/>
              <w:rPr>
                <w:rFonts w:ascii="宋体" w:hAnsi="宋体"/>
                <w:color w:val="auto"/>
                <w:szCs w:val="21"/>
                <w:highlight w:val="none"/>
              </w:rPr>
            </w:pPr>
            <w:r>
              <w:rPr>
                <w:rFonts w:hint="eastAsia" w:ascii="宋体" w:hAnsi="宋体"/>
                <w:color w:val="auto"/>
                <w:szCs w:val="21"/>
                <w:highlight w:val="none"/>
              </w:rPr>
              <w:t>1亿元～5亿元</w:t>
            </w:r>
          </w:p>
        </w:tc>
        <w:tc>
          <w:tcPr>
            <w:tcW w:w="933" w:type="pct"/>
            <w:noWrap w:val="0"/>
            <w:vAlign w:val="top"/>
          </w:tcPr>
          <w:p w14:paraId="63E1E491">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0.05%</w:t>
            </w:r>
          </w:p>
        </w:tc>
        <w:tc>
          <w:tcPr>
            <w:tcW w:w="978" w:type="pct"/>
            <w:noWrap w:val="0"/>
            <w:vAlign w:val="top"/>
          </w:tcPr>
          <w:p w14:paraId="2FD41082">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c>
          <w:tcPr>
            <w:tcW w:w="989" w:type="pct"/>
            <w:noWrap w:val="0"/>
            <w:vAlign w:val="top"/>
          </w:tcPr>
          <w:p w14:paraId="605D6D46">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r>
      <w:tr w14:paraId="1A95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3C41BF02">
            <w:pPr>
              <w:spacing w:line="360" w:lineRule="auto"/>
              <w:rPr>
                <w:rFonts w:ascii="宋体" w:hAnsi="宋体"/>
                <w:color w:val="auto"/>
                <w:szCs w:val="21"/>
                <w:highlight w:val="none"/>
              </w:rPr>
            </w:pPr>
            <w:r>
              <w:rPr>
                <w:rFonts w:hint="eastAsia" w:ascii="宋体" w:hAnsi="宋体"/>
                <w:color w:val="auto"/>
                <w:szCs w:val="21"/>
                <w:highlight w:val="none"/>
              </w:rPr>
              <w:t>5亿元～10亿元</w:t>
            </w:r>
          </w:p>
        </w:tc>
        <w:tc>
          <w:tcPr>
            <w:tcW w:w="933" w:type="pct"/>
            <w:noWrap w:val="0"/>
            <w:vAlign w:val="top"/>
          </w:tcPr>
          <w:p w14:paraId="46AAEBD9">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c>
          <w:tcPr>
            <w:tcW w:w="978" w:type="pct"/>
            <w:noWrap w:val="0"/>
            <w:vAlign w:val="top"/>
          </w:tcPr>
          <w:p w14:paraId="4706697F">
            <w:pPr>
              <w:spacing w:line="360" w:lineRule="auto"/>
              <w:rPr>
                <w:rFonts w:ascii="宋体" w:hAnsi="宋体"/>
                <w:color w:val="auto"/>
                <w:szCs w:val="21"/>
                <w:highlight w:val="none"/>
              </w:rPr>
            </w:pPr>
            <w:r>
              <w:rPr>
                <w:rFonts w:hint="eastAsia" w:ascii="宋体" w:hAnsi="宋体"/>
                <w:color w:val="auto"/>
                <w:szCs w:val="21"/>
                <w:highlight w:val="none"/>
              </w:rPr>
              <w:t xml:space="preserve">  0.035%</w:t>
            </w:r>
          </w:p>
        </w:tc>
        <w:tc>
          <w:tcPr>
            <w:tcW w:w="989" w:type="pct"/>
            <w:noWrap w:val="0"/>
            <w:vAlign w:val="top"/>
          </w:tcPr>
          <w:p w14:paraId="23825782">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37BC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1CBA4A2F">
            <w:pPr>
              <w:spacing w:line="360" w:lineRule="auto"/>
              <w:rPr>
                <w:rFonts w:ascii="宋体" w:hAnsi="宋体"/>
                <w:color w:val="auto"/>
                <w:szCs w:val="21"/>
                <w:highlight w:val="none"/>
              </w:rPr>
            </w:pPr>
            <w:r>
              <w:rPr>
                <w:rFonts w:hint="eastAsia" w:ascii="宋体" w:hAnsi="宋体"/>
                <w:color w:val="auto"/>
                <w:szCs w:val="21"/>
                <w:highlight w:val="none"/>
              </w:rPr>
              <w:t>10亿元～50亿元</w:t>
            </w:r>
          </w:p>
        </w:tc>
        <w:tc>
          <w:tcPr>
            <w:tcW w:w="933" w:type="pct"/>
            <w:noWrap w:val="0"/>
            <w:vAlign w:val="top"/>
          </w:tcPr>
          <w:p w14:paraId="7D98E6EC">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c>
          <w:tcPr>
            <w:tcW w:w="978" w:type="pct"/>
            <w:noWrap w:val="0"/>
            <w:vAlign w:val="top"/>
          </w:tcPr>
          <w:p w14:paraId="14509AD9">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989" w:type="pct"/>
            <w:noWrap w:val="0"/>
            <w:vAlign w:val="top"/>
          </w:tcPr>
          <w:p w14:paraId="54C4F9DB">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4BE8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7BAE142B">
            <w:pPr>
              <w:spacing w:line="360" w:lineRule="auto"/>
              <w:rPr>
                <w:rFonts w:ascii="宋体" w:hAnsi="宋体"/>
                <w:color w:val="auto"/>
                <w:szCs w:val="21"/>
                <w:highlight w:val="none"/>
              </w:rPr>
            </w:pPr>
            <w:r>
              <w:rPr>
                <w:rFonts w:hint="eastAsia" w:ascii="宋体" w:hAnsi="宋体"/>
                <w:color w:val="auto"/>
                <w:szCs w:val="21"/>
                <w:highlight w:val="none"/>
              </w:rPr>
              <w:t>50亿元～100亿元</w:t>
            </w:r>
          </w:p>
        </w:tc>
        <w:tc>
          <w:tcPr>
            <w:tcW w:w="933" w:type="pct"/>
            <w:noWrap w:val="0"/>
            <w:vAlign w:val="top"/>
          </w:tcPr>
          <w:p w14:paraId="13DABCA4">
            <w:pPr>
              <w:spacing w:line="360" w:lineRule="auto"/>
              <w:rPr>
                <w:rFonts w:ascii="宋体" w:hAnsi="宋体"/>
                <w:color w:val="auto"/>
                <w:szCs w:val="21"/>
                <w:highlight w:val="none"/>
              </w:rPr>
            </w:pPr>
            <w:r>
              <w:rPr>
                <w:rFonts w:hint="eastAsia" w:ascii="宋体" w:hAnsi="宋体"/>
                <w:color w:val="auto"/>
                <w:szCs w:val="21"/>
                <w:highlight w:val="none"/>
              </w:rPr>
              <w:t xml:space="preserve"> 0.006%</w:t>
            </w:r>
          </w:p>
        </w:tc>
        <w:tc>
          <w:tcPr>
            <w:tcW w:w="978" w:type="pct"/>
            <w:noWrap w:val="0"/>
            <w:vAlign w:val="top"/>
          </w:tcPr>
          <w:p w14:paraId="7C17D1F1">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989" w:type="pct"/>
            <w:noWrap w:val="0"/>
            <w:vAlign w:val="top"/>
          </w:tcPr>
          <w:p w14:paraId="49C58C33">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721E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pct"/>
            <w:noWrap w:val="0"/>
            <w:vAlign w:val="top"/>
          </w:tcPr>
          <w:p w14:paraId="65E299D9">
            <w:pPr>
              <w:spacing w:line="360" w:lineRule="auto"/>
              <w:rPr>
                <w:rFonts w:ascii="宋体" w:hAnsi="宋体"/>
                <w:color w:val="auto"/>
                <w:szCs w:val="21"/>
                <w:highlight w:val="none"/>
              </w:rPr>
            </w:pPr>
            <w:r>
              <w:rPr>
                <w:rFonts w:hint="eastAsia" w:ascii="宋体" w:hAnsi="宋体"/>
                <w:color w:val="auto"/>
                <w:szCs w:val="21"/>
                <w:highlight w:val="none"/>
              </w:rPr>
              <w:t>100亿以上</w:t>
            </w:r>
          </w:p>
        </w:tc>
        <w:tc>
          <w:tcPr>
            <w:tcW w:w="933" w:type="pct"/>
            <w:noWrap w:val="0"/>
            <w:vAlign w:val="top"/>
          </w:tcPr>
          <w:p w14:paraId="0E565B5F">
            <w:pPr>
              <w:spacing w:line="360" w:lineRule="auto"/>
              <w:rPr>
                <w:rFonts w:ascii="宋体" w:hAnsi="宋体"/>
                <w:color w:val="auto"/>
                <w:szCs w:val="21"/>
                <w:highlight w:val="none"/>
              </w:rPr>
            </w:pPr>
            <w:r>
              <w:rPr>
                <w:rFonts w:hint="eastAsia" w:ascii="宋体" w:hAnsi="宋体"/>
                <w:color w:val="auto"/>
                <w:szCs w:val="21"/>
                <w:highlight w:val="none"/>
              </w:rPr>
              <w:t xml:space="preserve"> 0.004%</w:t>
            </w:r>
          </w:p>
        </w:tc>
        <w:tc>
          <w:tcPr>
            <w:tcW w:w="978" w:type="pct"/>
            <w:noWrap w:val="0"/>
            <w:vAlign w:val="top"/>
          </w:tcPr>
          <w:p w14:paraId="70F4A6FD">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989" w:type="pct"/>
            <w:noWrap w:val="0"/>
            <w:vAlign w:val="top"/>
          </w:tcPr>
          <w:p w14:paraId="3AE4609B">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53B06B56">
      <w:pPr>
        <w:pStyle w:val="24"/>
        <w:spacing w:before="120" w:after="120" w:line="400" w:lineRule="exact"/>
        <w:ind w:firstLine="420" w:firstLineChars="200"/>
        <w:contextualSpacing/>
        <w:rPr>
          <w:rFonts w:hAnsi="宋体" w:cs="宋体"/>
          <w:color w:val="auto"/>
          <w:sz w:val="21"/>
          <w:highlight w:val="none"/>
        </w:rPr>
      </w:pPr>
      <w:r>
        <w:rPr>
          <w:rFonts w:hint="eastAsia" w:hAnsi="宋体" w:cs="宋体"/>
          <w:color w:val="auto"/>
          <w:sz w:val="21"/>
          <w:highlight w:val="none"/>
        </w:rPr>
        <w:t>注：</w:t>
      </w:r>
      <w:r>
        <w:rPr>
          <w:rFonts w:hAnsi="宋体" w:cs="宋体"/>
          <w:color w:val="auto"/>
          <w:sz w:val="21"/>
          <w:highlight w:val="none"/>
        </w:rPr>
        <w:t xml:space="preserve"> </w:t>
      </w:r>
    </w:p>
    <w:p w14:paraId="2876E04F">
      <w:pPr>
        <w:pStyle w:val="24"/>
        <w:spacing w:before="120" w:after="120" w:line="400" w:lineRule="exact"/>
        <w:ind w:firstLine="420" w:firstLineChars="200"/>
        <w:contextualSpacing/>
        <w:rPr>
          <w:rFonts w:hAnsi="宋体" w:cs="宋体"/>
          <w:color w:val="auto"/>
          <w:sz w:val="21"/>
          <w:highlight w:val="none"/>
        </w:rPr>
      </w:pPr>
      <w:r>
        <w:rPr>
          <w:rFonts w:hint="eastAsia" w:hAnsi="宋体" w:cs="宋体"/>
          <w:color w:val="auto"/>
          <w:sz w:val="21"/>
          <w:highlight w:val="none"/>
        </w:rPr>
        <w:t>（1）</w:t>
      </w:r>
      <w:r>
        <w:rPr>
          <w:rFonts w:hAnsi="宋体" w:cs="宋体"/>
          <w:color w:val="auto"/>
          <w:sz w:val="21"/>
          <w:highlight w:val="none"/>
        </w:rPr>
        <w:t>按本表费率计算的收费为</w:t>
      </w:r>
      <w:r>
        <w:rPr>
          <w:rFonts w:hint="eastAsia" w:hAnsi="宋体" w:cs="宋体"/>
          <w:color w:val="auto"/>
          <w:sz w:val="21"/>
          <w:highlight w:val="none"/>
        </w:rPr>
        <w:t>采购</w:t>
      </w:r>
      <w:r>
        <w:rPr>
          <w:rFonts w:hAnsi="宋体" w:cs="宋体"/>
          <w:color w:val="auto"/>
          <w:sz w:val="21"/>
          <w:highlight w:val="none"/>
        </w:rPr>
        <w:t>代理的收费基准价格</w:t>
      </w:r>
      <w:r>
        <w:rPr>
          <w:rFonts w:hint="eastAsia" w:hAnsi="宋体" w:cs="宋体"/>
          <w:color w:val="auto"/>
          <w:sz w:val="21"/>
          <w:highlight w:val="none"/>
        </w:rPr>
        <w:t>；</w:t>
      </w:r>
    </w:p>
    <w:p w14:paraId="440BA14C">
      <w:pPr>
        <w:pStyle w:val="24"/>
        <w:spacing w:before="120" w:after="120" w:line="400" w:lineRule="exact"/>
        <w:ind w:firstLine="420" w:firstLineChars="200"/>
        <w:contextualSpacing/>
        <w:rPr>
          <w:rFonts w:hAnsi="宋体" w:cs="宋体"/>
          <w:color w:val="auto"/>
          <w:sz w:val="21"/>
          <w:highlight w:val="none"/>
        </w:rPr>
      </w:pPr>
      <w:r>
        <w:rPr>
          <w:rFonts w:hint="eastAsia" w:hAnsi="宋体" w:cs="宋体"/>
          <w:color w:val="auto"/>
          <w:sz w:val="21"/>
          <w:highlight w:val="none"/>
        </w:rPr>
        <w:t>（2）采购</w:t>
      </w:r>
      <w:r>
        <w:rPr>
          <w:rFonts w:hAnsi="宋体" w:cs="宋体"/>
          <w:color w:val="auto"/>
          <w:sz w:val="21"/>
          <w:highlight w:val="none"/>
        </w:rPr>
        <w:t>代理收费按差额定率累进法计算。</w:t>
      </w:r>
    </w:p>
    <w:p w14:paraId="3681D9C9">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例如：某服务采购代理业务中标金额或者暂定价为200万元，计算采购代理收费额如下：</w:t>
      </w:r>
    </w:p>
    <w:p w14:paraId="4D3BE6C9">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100 万元×l.5 %＝ 1.5 万元</w:t>
      </w:r>
    </w:p>
    <w:p w14:paraId="792CBF90">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 200 － 100 ）万元 ×0.8%＝0.8万元</w:t>
      </w:r>
    </w:p>
    <w:p w14:paraId="1F8C9AAF">
      <w:pPr>
        <w:pStyle w:val="24"/>
        <w:spacing w:before="120" w:after="120" w:line="400" w:lineRule="exact"/>
        <w:ind w:firstLine="420" w:firstLineChars="200"/>
        <w:contextualSpacing/>
        <w:rPr>
          <w:rFonts w:hAnsi="宋体" w:cs="宋体"/>
          <w:color w:val="auto"/>
          <w:sz w:val="21"/>
          <w:highlight w:val="none"/>
        </w:rPr>
      </w:pPr>
      <w:r>
        <w:rPr>
          <w:rFonts w:hint="eastAsia" w:hAnsi="宋体" w:cs="宋体"/>
          <w:color w:val="auto"/>
          <w:sz w:val="21"/>
          <w:highlight w:val="none"/>
        </w:rPr>
        <w:t>合计收费＝ 1.5+0.8＝ 2.3（万元）</w:t>
      </w:r>
    </w:p>
    <w:p w14:paraId="471558E3">
      <w:pPr>
        <w:pStyle w:val="4"/>
        <w:keepNext w:val="0"/>
        <w:keepLines w:val="0"/>
        <w:spacing w:before="0" w:after="0" w:line="360" w:lineRule="auto"/>
        <w:ind w:left="420" w:leftChars="200"/>
        <w:rPr>
          <w:rFonts w:hint="eastAsia" w:ascii="黑体" w:hAnsi="黑体" w:eastAsia="黑体"/>
          <w:color w:val="auto"/>
          <w:sz w:val="24"/>
          <w:highlight w:val="none"/>
        </w:rPr>
      </w:pPr>
      <w:bookmarkStart w:id="190" w:name="_Toc24916"/>
      <w:r>
        <w:rPr>
          <w:rFonts w:hint="eastAsia" w:ascii="黑体" w:hAnsi="黑体" w:eastAsia="黑体"/>
          <w:color w:val="auto"/>
          <w:sz w:val="24"/>
          <w:highlight w:val="none"/>
        </w:rPr>
        <w:t>40. 需要补充的其他内容</w:t>
      </w:r>
      <w:bookmarkEnd w:id="190"/>
    </w:p>
    <w:p w14:paraId="40457123">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10A5A87D">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40.2 其他事项详见“投标人须知前附表”。</w:t>
      </w:r>
    </w:p>
    <w:p w14:paraId="26BF0DDE">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40.3</w:t>
      </w:r>
      <w:bookmarkStart w:id="191"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57ECE64">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7516E606">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0670F265">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0928496">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2053AEE5">
      <w:pPr>
        <w:pStyle w:val="24"/>
        <w:spacing w:before="120" w:after="120"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91"/>
    </w:p>
    <w:p w14:paraId="7BA9B62A">
      <w:pPr>
        <w:pStyle w:val="24"/>
        <w:spacing w:line="360" w:lineRule="auto"/>
        <w:ind w:firstLine="420" w:firstLineChars="200"/>
        <w:rPr>
          <w:rFonts w:hAnsi="宋体"/>
          <w:color w:val="auto"/>
          <w:sz w:val="21"/>
          <w:highlight w:val="none"/>
        </w:rPr>
      </w:pPr>
    </w:p>
    <w:p w14:paraId="36A076C9">
      <w:pPr>
        <w:pStyle w:val="24"/>
        <w:spacing w:line="360" w:lineRule="auto"/>
        <w:ind w:firstLine="420" w:firstLineChars="200"/>
        <w:rPr>
          <w:rFonts w:hAnsi="宋体"/>
          <w:color w:val="auto"/>
          <w:sz w:val="21"/>
          <w:highlight w:val="none"/>
        </w:rPr>
      </w:pPr>
    </w:p>
    <w:p w14:paraId="4706175F">
      <w:pPr>
        <w:pStyle w:val="24"/>
        <w:spacing w:line="360" w:lineRule="auto"/>
        <w:rPr>
          <w:rFonts w:hint="eastAsia" w:hAnsi="宋体"/>
          <w:color w:val="auto"/>
          <w:highlight w:val="none"/>
        </w:rPr>
      </w:pPr>
    </w:p>
    <w:p w14:paraId="57278173">
      <w:pPr>
        <w:pStyle w:val="2"/>
        <w:jc w:val="center"/>
        <w:rPr>
          <w:rFonts w:hint="eastAsia"/>
          <w:color w:val="auto"/>
          <w:highlight w:val="none"/>
        </w:rPr>
      </w:pPr>
      <w:bookmarkStart w:id="192" w:name="_Toc330456896"/>
      <w:bookmarkStart w:id="193" w:name="_Toc9805"/>
      <w:bookmarkStart w:id="194" w:name="_Toc254970689"/>
      <w:bookmarkStart w:id="195" w:name="_Toc254970548"/>
      <w:r>
        <w:rPr>
          <w:rFonts w:hint="eastAsia"/>
          <w:color w:val="auto"/>
          <w:highlight w:val="none"/>
        </w:rPr>
        <w:br w:type="page"/>
      </w:r>
      <w:bookmarkStart w:id="196" w:name="_Toc21735"/>
      <w:r>
        <w:rPr>
          <w:rFonts w:hint="eastAsia"/>
          <w:color w:val="auto"/>
          <w:highlight w:val="none"/>
        </w:rPr>
        <w:t>第四章 评标方法及评标标准</w:t>
      </w:r>
      <w:bookmarkEnd w:id="192"/>
      <w:bookmarkEnd w:id="193"/>
      <w:bookmarkEnd w:id="194"/>
      <w:bookmarkEnd w:id="195"/>
      <w:bookmarkEnd w:id="196"/>
    </w:p>
    <w:p w14:paraId="2647C8D8">
      <w:pPr>
        <w:rPr>
          <w:rFonts w:hint="eastAsia"/>
          <w:color w:val="auto"/>
          <w:highlight w:val="none"/>
        </w:rPr>
      </w:pPr>
    </w:p>
    <w:p w14:paraId="77845630">
      <w:pPr>
        <w:pStyle w:val="3"/>
        <w:keepNext w:val="0"/>
        <w:keepLines w:val="0"/>
        <w:jc w:val="center"/>
        <w:rPr>
          <w:rFonts w:hint="eastAsia"/>
          <w:color w:val="auto"/>
          <w:sz w:val="30"/>
          <w:szCs w:val="30"/>
          <w:highlight w:val="none"/>
        </w:rPr>
      </w:pPr>
      <w:bookmarkStart w:id="197" w:name="_Toc4574"/>
      <w:bookmarkStart w:id="198" w:name="_Toc18392"/>
      <w:r>
        <w:rPr>
          <w:rFonts w:hint="eastAsia"/>
          <w:color w:val="auto"/>
          <w:sz w:val="30"/>
          <w:szCs w:val="30"/>
          <w:highlight w:val="none"/>
        </w:rPr>
        <w:t>一、评标方法</w:t>
      </w:r>
      <w:bookmarkEnd w:id="197"/>
      <w:bookmarkEnd w:id="198"/>
    </w:p>
    <w:p w14:paraId="4A0A6D60">
      <w:pPr>
        <w:pStyle w:val="24"/>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1369E991">
      <w:pPr>
        <w:pStyle w:val="24"/>
        <w:spacing w:line="360" w:lineRule="auto"/>
        <w:ind w:firstLine="420"/>
        <w:rPr>
          <w:rFonts w:hAnsi="宋体"/>
          <w:color w:val="auto"/>
          <w:sz w:val="21"/>
          <w:highlight w:val="none"/>
        </w:rPr>
      </w:pPr>
      <w:r>
        <w:rPr>
          <w:rFonts w:hint="eastAsia" w:hAnsi="宋体"/>
          <w:color w:val="auto"/>
          <w:sz w:val="21"/>
          <w:highlight w:val="none"/>
        </w:rPr>
        <w:t>最低评标价法，是指投标文件满足招标文件全部实质性要求，且投标报价最低的投标人为中标候选人的评标方法。</w:t>
      </w:r>
    </w:p>
    <w:p w14:paraId="63BB2548">
      <w:pPr>
        <w:pStyle w:val="3"/>
        <w:keepNext w:val="0"/>
        <w:keepLines w:val="0"/>
        <w:jc w:val="center"/>
        <w:rPr>
          <w:rFonts w:hint="eastAsia"/>
          <w:color w:val="auto"/>
          <w:sz w:val="30"/>
          <w:szCs w:val="30"/>
          <w:highlight w:val="none"/>
        </w:rPr>
      </w:pPr>
      <w:bookmarkStart w:id="199" w:name="_Toc12653"/>
      <w:bookmarkStart w:id="200" w:name="_Toc26488"/>
      <w:r>
        <w:rPr>
          <w:rFonts w:hint="eastAsia"/>
          <w:color w:val="auto"/>
          <w:sz w:val="30"/>
          <w:szCs w:val="30"/>
          <w:highlight w:val="none"/>
        </w:rPr>
        <w:t>二、评标程序</w:t>
      </w:r>
      <w:bookmarkEnd w:id="199"/>
      <w:bookmarkEnd w:id="200"/>
    </w:p>
    <w:p w14:paraId="0E9D23D1">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1.符合性审查</w:t>
      </w:r>
    </w:p>
    <w:p w14:paraId="0216F10C">
      <w:pPr>
        <w:pStyle w:val="24"/>
        <w:snapToGrid w:val="0"/>
        <w:spacing w:line="360" w:lineRule="auto"/>
        <w:ind w:left="1" w:firstLine="420"/>
        <w:rPr>
          <w:rFonts w:hint="eastAsia"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36707830">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4358787E">
      <w:p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4EC649C3">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3ADC6EF1">
      <w:pPr>
        <w:pStyle w:val="7"/>
        <w:numPr>
          <w:ilvl w:val="0"/>
          <w:numId w:val="12"/>
        </w:numPr>
        <w:spacing w:line="360" w:lineRule="auto"/>
        <w:ind w:left="-2" w:firstLine="422"/>
        <w:rPr>
          <w:rFonts w:hint="eastAsia" w:ascii="宋体" w:hAnsi="宋体"/>
          <w:b w:val="0"/>
          <w:bCs/>
          <w:color w:val="auto"/>
          <w:szCs w:val="21"/>
          <w:highlight w:val="none"/>
        </w:rPr>
      </w:pPr>
      <w:r>
        <w:rPr>
          <w:rFonts w:hint="eastAsia" w:ascii="宋体" w:hAnsi="宋体"/>
          <w:b w:val="0"/>
          <w:bCs/>
          <w:color w:val="auto"/>
          <w:spacing w:val="-6"/>
          <w:szCs w:val="21"/>
          <w:highlight w:val="none"/>
        </w:rPr>
        <w:t>报价文件未提供“投标人须知前附表”第13条“报价文件”规定中“必须提供”的文件资料的</w:t>
      </w:r>
      <w:r>
        <w:rPr>
          <w:rFonts w:hint="eastAsia" w:ascii="宋体" w:hAnsi="宋体"/>
          <w:b w:val="0"/>
          <w:bCs/>
          <w:color w:val="auto"/>
          <w:szCs w:val="21"/>
          <w:highlight w:val="none"/>
        </w:rPr>
        <w:t>；</w:t>
      </w:r>
    </w:p>
    <w:p w14:paraId="0B806EB4">
      <w:pPr>
        <w:pStyle w:val="7"/>
        <w:numPr>
          <w:ilvl w:val="0"/>
          <w:numId w:val="12"/>
        </w:numPr>
        <w:spacing w:line="360" w:lineRule="auto"/>
        <w:ind w:left="-2" w:firstLine="422"/>
        <w:rPr>
          <w:rFonts w:hint="eastAsia" w:ascii="宋体" w:hAnsi="宋体"/>
          <w:b w:val="0"/>
          <w:bCs/>
          <w:color w:val="auto"/>
          <w:szCs w:val="21"/>
          <w:highlight w:val="none"/>
        </w:rPr>
      </w:pPr>
      <w:r>
        <w:rPr>
          <w:rFonts w:hint="eastAsia" w:ascii="宋体" w:hAnsi="宋体"/>
          <w:b w:val="0"/>
          <w:bCs/>
          <w:color w:val="auto"/>
          <w:szCs w:val="21"/>
          <w:highlight w:val="none"/>
        </w:rPr>
        <w:t>未采用人民币报价或者未按照招标文件标明的币种报价的；</w:t>
      </w:r>
    </w:p>
    <w:p w14:paraId="1C9B6463">
      <w:pPr>
        <w:pStyle w:val="7"/>
        <w:numPr>
          <w:ilvl w:val="0"/>
          <w:numId w:val="12"/>
        </w:numPr>
        <w:spacing w:line="360" w:lineRule="auto"/>
        <w:ind w:left="-2" w:firstLine="422"/>
        <w:rPr>
          <w:rFonts w:hint="eastAsia" w:ascii="宋体" w:hAnsi="宋体"/>
          <w:b w:val="0"/>
          <w:bCs/>
          <w:color w:val="auto"/>
          <w:szCs w:val="21"/>
          <w:highlight w:val="none"/>
        </w:rPr>
      </w:pPr>
      <w:r>
        <w:rPr>
          <w:rFonts w:hint="eastAsia" w:ascii="宋体" w:hAnsi="宋体"/>
          <w:b w:val="0"/>
          <w:bCs/>
          <w:color w:val="auto"/>
          <w:szCs w:val="21"/>
          <w:highlight w:val="none"/>
        </w:rPr>
        <w:t>各分标报价超出招标文件相应分标规定最高限价，或者超出相应分标采购预算金额的；</w:t>
      </w:r>
    </w:p>
    <w:p w14:paraId="666955B4">
      <w:pPr>
        <w:pStyle w:val="7"/>
        <w:numPr>
          <w:ilvl w:val="0"/>
          <w:numId w:val="12"/>
        </w:numPr>
        <w:spacing w:line="360" w:lineRule="auto"/>
        <w:ind w:left="-2" w:firstLine="422"/>
        <w:rPr>
          <w:rFonts w:hint="eastAsia" w:ascii="宋体" w:hAnsi="宋体"/>
          <w:b w:val="0"/>
          <w:bCs/>
          <w:color w:val="auto"/>
          <w:szCs w:val="21"/>
          <w:highlight w:val="none"/>
        </w:rPr>
      </w:pPr>
      <w:r>
        <w:rPr>
          <w:rFonts w:hint="eastAsia" w:ascii="宋体" w:hAnsi="宋体"/>
          <w:b w:val="0"/>
          <w:bCs/>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BFE19A2">
      <w:pPr>
        <w:pStyle w:val="7"/>
        <w:numPr>
          <w:ilvl w:val="0"/>
          <w:numId w:val="12"/>
        </w:numPr>
        <w:spacing w:line="360" w:lineRule="auto"/>
        <w:ind w:left="-2" w:firstLine="422"/>
        <w:rPr>
          <w:rFonts w:hint="eastAsia" w:ascii="宋体" w:hAnsi="宋体"/>
          <w:b w:val="0"/>
          <w:bCs/>
          <w:color w:val="auto"/>
          <w:szCs w:val="21"/>
          <w:highlight w:val="none"/>
        </w:rPr>
      </w:pPr>
      <w:r>
        <w:rPr>
          <w:rFonts w:hint="eastAsia" w:ascii="宋体" w:hAnsi="宋体"/>
          <w:b w:val="0"/>
          <w:bCs/>
          <w:color w:val="auto"/>
          <w:szCs w:val="21"/>
          <w:highlight w:val="none"/>
        </w:rPr>
        <w:t>修正后的报价，投标人不确认的；</w:t>
      </w:r>
    </w:p>
    <w:p w14:paraId="0046D743">
      <w:pPr>
        <w:pStyle w:val="7"/>
        <w:numPr>
          <w:ilvl w:val="0"/>
          <w:numId w:val="12"/>
        </w:numPr>
        <w:spacing w:line="360" w:lineRule="auto"/>
        <w:ind w:left="-2" w:firstLine="422"/>
        <w:rPr>
          <w:rFonts w:hint="eastAsia" w:ascii="宋体" w:hAnsi="宋体"/>
          <w:b w:val="0"/>
          <w:bCs/>
          <w:color w:val="auto"/>
          <w:szCs w:val="21"/>
          <w:highlight w:val="none"/>
        </w:rPr>
      </w:pPr>
      <w:r>
        <w:rPr>
          <w:rFonts w:hint="eastAsia" w:ascii="宋体" w:hAnsi="宋体"/>
          <w:b w:val="0"/>
          <w:bCs/>
          <w:color w:val="auto"/>
          <w:szCs w:val="21"/>
          <w:highlight w:val="none"/>
        </w:rPr>
        <w:t>投标人属于本章第</w:t>
      </w:r>
      <w:r>
        <w:rPr>
          <w:rFonts w:ascii="宋体" w:hAnsi="宋体"/>
          <w:b w:val="0"/>
          <w:bCs/>
          <w:color w:val="auto"/>
          <w:szCs w:val="21"/>
          <w:highlight w:val="none"/>
        </w:rPr>
        <w:t>5.1</w:t>
      </w:r>
      <w:r>
        <w:rPr>
          <w:rFonts w:hint="eastAsia" w:ascii="宋体" w:hAnsi="宋体"/>
          <w:b w:val="0"/>
          <w:bCs/>
          <w:color w:val="auto"/>
          <w:szCs w:val="21"/>
          <w:highlight w:val="none"/>
        </w:rPr>
        <w:t>条（2）或者第5</w:t>
      </w:r>
      <w:r>
        <w:rPr>
          <w:rFonts w:ascii="宋体" w:hAnsi="宋体"/>
          <w:b w:val="0"/>
          <w:bCs/>
          <w:color w:val="auto"/>
          <w:szCs w:val="21"/>
          <w:highlight w:val="none"/>
        </w:rPr>
        <w:t>.2条</w:t>
      </w:r>
      <w:r>
        <w:rPr>
          <w:rFonts w:hint="eastAsia" w:ascii="宋体" w:hAnsi="宋体"/>
          <w:b w:val="0"/>
          <w:bCs/>
          <w:color w:val="auto"/>
          <w:szCs w:val="21"/>
          <w:highlight w:val="none"/>
        </w:rPr>
        <w:t>（2）项情形的；</w:t>
      </w:r>
    </w:p>
    <w:p w14:paraId="53488B1A">
      <w:pPr>
        <w:pStyle w:val="7"/>
        <w:numPr>
          <w:ilvl w:val="0"/>
          <w:numId w:val="12"/>
        </w:numPr>
        <w:spacing w:line="360" w:lineRule="auto"/>
        <w:ind w:left="-2" w:firstLine="422"/>
        <w:rPr>
          <w:rFonts w:hint="eastAsia" w:ascii="宋体" w:hAnsi="宋体"/>
          <w:b w:val="0"/>
          <w:bCs/>
          <w:color w:val="auto"/>
          <w:szCs w:val="21"/>
          <w:highlight w:val="none"/>
        </w:rPr>
      </w:pPr>
      <w:r>
        <w:rPr>
          <w:rFonts w:hint="eastAsia" w:ascii="宋体" w:hAnsi="宋体"/>
          <w:b w:val="0"/>
          <w:bCs/>
          <w:color w:val="auto"/>
          <w:spacing w:val="-6"/>
          <w:szCs w:val="21"/>
          <w:highlight w:val="none"/>
        </w:rPr>
        <w:t>报价文件</w:t>
      </w:r>
      <w:r>
        <w:rPr>
          <w:rFonts w:hint="eastAsia" w:ascii="宋体" w:hAnsi="宋体"/>
          <w:b w:val="0"/>
          <w:bCs/>
          <w:color w:val="auto"/>
          <w:szCs w:val="21"/>
          <w:highlight w:val="none"/>
        </w:rPr>
        <w:t>响应的标的数量及单位与招标文件要求实质性不一致的。</w:t>
      </w:r>
    </w:p>
    <w:p w14:paraId="003F5DD0">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2.2在</w:t>
      </w:r>
      <w:r>
        <w:rPr>
          <w:rFonts w:hint="eastAsia" w:ascii="宋体" w:hAnsi="宋体"/>
          <w:color w:val="auto"/>
          <w:sz w:val="21"/>
          <w:szCs w:val="21"/>
          <w:highlight w:val="none"/>
        </w:rPr>
        <w:t>商务</w:t>
      </w:r>
      <w:r>
        <w:rPr>
          <w:rFonts w:hint="eastAsia" w:ascii="宋体" w:hAnsi="宋体"/>
          <w:color w:val="auto"/>
          <w:sz w:val="21"/>
          <w:szCs w:val="21"/>
          <w:highlight w:val="none"/>
        </w:rPr>
        <w:t>评审时，如发现下列情形之一的，将被视为投标无效：</w:t>
      </w:r>
    </w:p>
    <w:p w14:paraId="05D81E1E">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投标文件未按招标文件要求签署、盖章的；</w:t>
      </w:r>
    </w:p>
    <w:p w14:paraId="78E65433">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委托代理人未能出具有效身份证或者出具的身份证与授权委托书中的信息不符的；</w:t>
      </w:r>
    </w:p>
    <w:p w14:paraId="59E80B61">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为无效投标保证金的或者未按照招标文件的规定提交投标保证金的；</w:t>
      </w:r>
    </w:p>
    <w:p w14:paraId="1DC6B112">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投标文件未提供“投标人须知前附表”第13条“商务及技术文件”规定中“必须提供”或者“委托时必须提供”的文件资料的；</w:t>
      </w:r>
    </w:p>
    <w:p w14:paraId="2F9C9689">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允许负偏离的条款数超过“投标人须知前附表”规定项数的；</w:t>
      </w:r>
    </w:p>
    <w:p w14:paraId="6DE1725F">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投标文件的实质性内容未使用中文表述、使用计量单位不符合招标文件要求的；</w:t>
      </w:r>
    </w:p>
    <w:p w14:paraId="1A4B9C54">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投标文件中的文件资料因填写不齐全或者内容虚假或者出现其他情形而导致被评标委员会认定无效的；</w:t>
      </w:r>
    </w:p>
    <w:p w14:paraId="24635602">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投标文件含有采购人不能接受的附加条件的；</w:t>
      </w:r>
    </w:p>
    <w:p w14:paraId="20921C8F">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属于投标人须知正文第</w:t>
      </w:r>
      <w:r>
        <w:rPr>
          <w:rFonts w:ascii="宋体" w:hAnsi="宋体"/>
          <w:b w:val="0"/>
          <w:bCs/>
          <w:color w:val="auto"/>
          <w:szCs w:val="21"/>
          <w:highlight w:val="none"/>
        </w:rPr>
        <w:t>9.2</w:t>
      </w:r>
      <w:r>
        <w:rPr>
          <w:rFonts w:hint="eastAsia" w:ascii="宋体" w:hAnsi="宋体"/>
          <w:b w:val="0"/>
          <w:bCs/>
          <w:color w:val="auto"/>
          <w:szCs w:val="21"/>
          <w:highlight w:val="none"/>
        </w:rPr>
        <w:t>条情形的；</w:t>
      </w:r>
    </w:p>
    <w:p w14:paraId="59C35DDF">
      <w:pPr>
        <w:numPr>
          <w:ilvl w:val="0"/>
          <w:numId w:val="13"/>
        </w:numPr>
        <w:snapToGrid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投标文件标注的项目名称或者项目编号与招标文件标注的项目名称或者项目编号不一致的；</w:t>
      </w:r>
    </w:p>
    <w:p w14:paraId="6CEF4631">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投标文件中承诺的投标有效期低于招标文件要求的期限的；</w:t>
      </w:r>
    </w:p>
    <w:p w14:paraId="6900BD56">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招标文件明确不允许分包，投标文件拟分包的；</w:t>
      </w:r>
    </w:p>
    <w:p w14:paraId="4A8C1380">
      <w:pPr>
        <w:pStyle w:val="19"/>
        <w:numPr>
          <w:ilvl w:val="0"/>
          <w:numId w:val="13"/>
        </w:numPr>
        <w:snapToGrid w:val="0"/>
        <w:spacing w:line="360" w:lineRule="auto"/>
        <w:ind w:firstLine="413" w:firstLineChars="0"/>
        <w:rPr>
          <w:rFonts w:hint="eastAsia" w:ascii="宋体" w:hAnsi="宋体" w:eastAsia="宋体"/>
          <w:b w:val="0"/>
          <w:bCs/>
          <w:color w:val="auto"/>
          <w:kern w:val="2"/>
          <w:sz w:val="21"/>
          <w:szCs w:val="21"/>
          <w:highlight w:val="none"/>
        </w:rPr>
      </w:pPr>
      <w:r>
        <w:rPr>
          <w:rFonts w:hint="eastAsia" w:ascii="宋体" w:hAnsi="宋体" w:eastAsia="宋体"/>
          <w:b w:val="0"/>
          <w:bCs/>
          <w:color w:val="auto"/>
          <w:kern w:val="2"/>
          <w:sz w:val="21"/>
          <w:szCs w:val="21"/>
          <w:highlight w:val="none"/>
        </w:rPr>
        <w:t>虚假投标，或者出现其他情形而导致被评标委员会认定无效的；</w:t>
      </w:r>
    </w:p>
    <w:p w14:paraId="49E836CE">
      <w:pPr>
        <w:pStyle w:val="19"/>
        <w:numPr>
          <w:ilvl w:val="0"/>
          <w:numId w:val="13"/>
        </w:numPr>
        <w:snapToGrid w:val="0"/>
        <w:spacing w:line="360" w:lineRule="auto"/>
        <w:ind w:firstLine="413" w:firstLineChars="0"/>
        <w:rPr>
          <w:rFonts w:ascii="宋体" w:hAnsi="宋体" w:eastAsia="宋体"/>
          <w:b w:val="0"/>
          <w:bCs/>
          <w:color w:val="auto"/>
          <w:kern w:val="2"/>
          <w:sz w:val="21"/>
          <w:szCs w:val="21"/>
          <w:highlight w:val="none"/>
        </w:rPr>
      </w:pPr>
      <w:r>
        <w:rPr>
          <w:rFonts w:hint="eastAsia" w:ascii="宋体" w:hAnsi="宋体" w:eastAsia="宋体"/>
          <w:b w:val="0"/>
          <w:bCs/>
          <w:color w:val="auto"/>
          <w:kern w:val="2"/>
          <w:sz w:val="21"/>
          <w:szCs w:val="21"/>
          <w:highlight w:val="none"/>
        </w:rPr>
        <w:t>招标文件未载明允许提供备选（替代）投标方案或明确不允许提供备选（替代）投标方案时，投标人提供了备选（替代）投标方案的；</w:t>
      </w:r>
    </w:p>
    <w:p w14:paraId="7EDC311F">
      <w:pPr>
        <w:pStyle w:val="19"/>
        <w:numPr>
          <w:ilvl w:val="0"/>
          <w:numId w:val="13"/>
        </w:numPr>
        <w:snapToGrid w:val="0"/>
        <w:spacing w:line="360" w:lineRule="auto"/>
        <w:ind w:firstLine="413" w:firstLineChars="0"/>
        <w:rPr>
          <w:rFonts w:hint="eastAsia" w:ascii="宋体" w:hAnsi="宋体" w:eastAsia="宋体"/>
          <w:b w:val="0"/>
          <w:bCs/>
          <w:color w:val="auto"/>
          <w:kern w:val="2"/>
          <w:sz w:val="21"/>
          <w:szCs w:val="21"/>
          <w:highlight w:val="none"/>
        </w:rPr>
      </w:pPr>
      <w:r>
        <w:rPr>
          <w:rFonts w:hint="eastAsia" w:ascii="宋体" w:hAnsi="宋体" w:eastAsia="宋体"/>
          <w:b w:val="0"/>
          <w:bCs/>
          <w:color w:val="auto"/>
          <w:kern w:val="2"/>
          <w:sz w:val="21"/>
          <w:szCs w:val="21"/>
          <w:highlight w:val="none"/>
        </w:rPr>
        <w:t>未响应招标文件实质性要求的。</w:t>
      </w:r>
    </w:p>
    <w:p w14:paraId="2DCDF795">
      <w:pPr>
        <w:numPr>
          <w:ilvl w:val="0"/>
          <w:numId w:val="13"/>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法律、法规和招标文件规定的其他无效情形。</w:t>
      </w:r>
    </w:p>
    <w:p w14:paraId="5144DAF8">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1393AFFD">
      <w:pPr>
        <w:numPr>
          <w:ilvl w:val="0"/>
          <w:numId w:val="0"/>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1</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投标文件未按招标文件要求签署、盖章的；</w:t>
      </w:r>
    </w:p>
    <w:p w14:paraId="60A6620D">
      <w:pPr>
        <w:numPr>
          <w:ilvl w:val="0"/>
          <w:numId w:val="0"/>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2</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投标文件未提供“投标人须知前附表”第13条“商务及技术文件”规定中“必须提供”或者“委托时必须提供”的文件资料的；</w:t>
      </w:r>
    </w:p>
    <w:p w14:paraId="52D02705">
      <w:pPr>
        <w:numPr>
          <w:ilvl w:val="0"/>
          <w:numId w:val="0"/>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3</w:t>
      </w:r>
      <w:r>
        <w:rPr>
          <w:rFonts w:hint="eastAsia" w:ascii="宋体" w:hAnsi="宋体"/>
          <w:b w:val="0"/>
          <w:bCs/>
          <w:color w:val="auto"/>
          <w:szCs w:val="21"/>
          <w:highlight w:val="none"/>
          <w:lang w:eastAsia="zh-CN"/>
        </w:rPr>
        <w:t>）允许负偏离的条款数超过“投标人须知前附表”规定项数的；</w:t>
      </w:r>
    </w:p>
    <w:p w14:paraId="27FA7E5F">
      <w:pPr>
        <w:numPr>
          <w:ilvl w:val="0"/>
          <w:numId w:val="0"/>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4</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投标文件的实质性内容未使用中文表述、使用计量单位不符合招标文件要求的；</w:t>
      </w:r>
    </w:p>
    <w:p w14:paraId="04D0F404">
      <w:pPr>
        <w:numPr>
          <w:ilvl w:val="0"/>
          <w:numId w:val="0"/>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5</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投标文件中的文件资料因填写不齐全或者内容虚假或者出现其他情形而导致被评标委员会认定无效的；</w:t>
      </w:r>
    </w:p>
    <w:p w14:paraId="31711080">
      <w:pPr>
        <w:numPr>
          <w:ilvl w:val="0"/>
          <w:numId w:val="0"/>
        </w:numPr>
        <w:snapToGrid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6</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投标文件含有采购人不能接受的附加条件的；</w:t>
      </w:r>
    </w:p>
    <w:p w14:paraId="45C802CC">
      <w:pPr>
        <w:numPr>
          <w:ilvl w:val="0"/>
          <w:numId w:val="0"/>
        </w:numPr>
        <w:snapToGrid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7</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投标文件标注的项目名称或者项目编号与招标文件标注的项目名称或者项目编号不一致的；</w:t>
      </w:r>
    </w:p>
    <w:p w14:paraId="25D0A787">
      <w:pPr>
        <w:pStyle w:val="19"/>
        <w:numPr>
          <w:ilvl w:val="0"/>
          <w:numId w:val="0"/>
        </w:numPr>
        <w:snapToGrid w:val="0"/>
        <w:spacing w:line="360" w:lineRule="auto"/>
        <w:ind w:firstLine="420" w:firstLineChars="200"/>
        <w:rPr>
          <w:rFonts w:hint="eastAsia" w:ascii="宋体" w:hAnsi="宋体" w:eastAsia="宋体"/>
          <w:b w:val="0"/>
          <w:bCs/>
          <w:color w:val="auto"/>
          <w:kern w:val="2"/>
          <w:sz w:val="21"/>
          <w:szCs w:val="21"/>
          <w:highlight w:val="none"/>
        </w:rPr>
      </w:pPr>
      <w:r>
        <w:rPr>
          <w:rFonts w:hint="eastAsia" w:ascii="宋体" w:hAnsi="宋体" w:eastAsia="宋体"/>
          <w:b w:val="0"/>
          <w:bCs/>
          <w:color w:val="auto"/>
          <w:kern w:val="2"/>
          <w:sz w:val="21"/>
          <w:szCs w:val="21"/>
          <w:highlight w:val="none"/>
          <w:lang w:eastAsia="zh-CN"/>
        </w:rPr>
        <w:t>（</w:t>
      </w:r>
      <w:r>
        <w:rPr>
          <w:rFonts w:hint="eastAsia" w:ascii="宋体" w:hAnsi="宋体" w:eastAsia="宋体"/>
          <w:b w:val="0"/>
          <w:bCs/>
          <w:color w:val="auto"/>
          <w:kern w:val="2"/>
          <w:sz w:val="21"/>
          <w:szCs w:val="21"/>
          <w:highlight w:val="none"/>
          <w:lang w:val="en-US" w:eastAsia="zh-CN"/>
        </w:rPr>
        <w:t>8</w:t>
      </w:r>
      <w:r>
        <w:rPr>
          <w:rFonts w:hint="eastAsia" w:ascii="宋体" w:hAnsi="宋体" w:eastAsia="宋体"/>
          <w:b w:val="0"/>
          <w:bCs/>
          <w:color w:val="auto"/>
          <w:kern w:val="2"/>
          <w:sz w:val="21"/>
          <w:szCs w:val="21"/>
          <w:highlight w:val="none"/>
          <w:lang w:eastAsia="zh-CN"/>
        </w:rPr>
        <w:t>）</w:t>
      </w:r>
      <w:r>
        <w:rPr>
          <w:rFonts w:hint="eastAsia" w:ascii="宋体" w:hAnsi="宋体" w:eastAsia="宋体"/>
          <w:b w:val="0"/>
          <w:bCs/>
          <w:color w:val="auto"/>
          <w:kern w:val="2"/>
          <w:sz w:val="21"/>
          <w:szCs w:val="21"/>
          <w:highlight w:val="none"/>
        </w:rPr>
        <w:t>虚假投标，或者出现其他情形而导致被评标委员会认定无效的；</w:t>
      </w:r>
    </w:p>
    <w:p w14:paraId="00F38A64">
      <w:pPr>
        <w:pStyle w:val="19"/>
        <w:snapToGrid w:val="0"/>
        <w:spacing w:line="360" w:lineRule="auto"/>
        <w:ind w:firstLine="411" w:firstLineChars="196"/>
        <w:rPr>
          <w:rFonts w:ascii="宋体" w:hAnsi="宋体" w:eastAsia="宋体"/>
          <w:b w:val="0"/>
          <w:bCs/>
          <w:color w:val="auto"/>
          <w:kern w:val="2"/>
          <w:sz w:val="21"/>
          <w:szCs w:val="21"/>
          <w:highlight w:val="none"/>
        </w:rPr>
      </w:pPr>
      <w:bookmarkStart w:id="201" w:name="_Hlk71706244"/>
      <w:r>
        <w:rPr>
          <w:rFonts w:hint="eastAsia" w:ascii="宋体" w:hAnsi="宋体" w:eastAsia="宋体"/>
          <w:b w:val="0"/>
          <w:bCs/>
          <w:color w:val="auto"/>
          <w:kern w:val="2"/>
          <w:sz w:val="21"/>
          <w:szCs w:val="21"/>
          <w:highlight w:val="none"/>
          <w:lang w:eastAsia="zh-CN"/>
        </w:rPr>
        <w:t>（</w:t>
      </w:r>
      <w:r>
        <w:rPr>
          <w:rFonts w:hint="eastAsia" w:ascii="宋体" w:hAnsi="宋体" w:eastAsia="宋体"/>
          <w:b w:val="0"/>
          <w:bCs/>
          <w:color w:val="auto"/>
          <w:kern w:val="2"/>
          <w:sz w:val="21"/>
          <w:szCs w:val="21"/>
          <w:highlight w:val="none"/>
          <w:lang w:val="en-US" w:eastAsia="zh-CN"/>
        </w:rPr>
        <w:t>9</w:t>
      </w:r>
      <w:r>
        <w:rPr>
          <w:rFonts w:hint="eastAsia" w:ascii="宋体" w:hAnsi="宋体" w:eastAsia="宋体"/>
          <w:b w:val="0"/>
          <w:bCs/>
          <w:color w:val="auto"/>
          <w:kern w:val="2"/>
          <w:sz w:val="21"/>
          <w:szCs w:val="21"/>
          <w:highlight w:val="none"/>
          <w:lang w:eastAsia="zh-CN"/>
        </w:rPr>
        <w:t>）</w:t>
      </w:r>
      <w:r>
        <w:rPr>
          <w:rFonts w:hint="eastAsia" w:ascii="宋体" w:hAnsi="宋体" w:eastAsia="宋体"/>
          <w:b w:val="0"/>
          <w:bCs/>
          <w:color w:val="auto"/>
          <w:kern w:val="2"/>
          <w:sz w:val="21"/>
          <w:szCs w:val="21"/>
          <w:highlight w:val="none"/>
        </w:rPr>
        <w:t>招标文件未载明允许提供备选（替代）投标方案或明确不允许提供备选（替代）投标方案时，投标人提供了备选（替代）投标方案的；</w:t>
      </w:r>
      <w:bookmarkEnd w:id="201"/>
    </w:p>
    <w:p w14:paraId="1F23CC55">
      <w:pPr>
        <w:pStyle w:val="19"/>
        <w:snapToGrid w:val="0"/>
        <w:spacing w:line="360" w:lineRule="auto"/>
        <w:ind w:firstLine="411" w:firstLineChars="196"/>
        <w:rPr>
          <w:rFonts w:hint="eastAsia" w:ascii="宋体" w:hAnsi="宋体" w:eastAsia="宋体"/>
          <w:b w:val="0"/>
          <w:bCs/>
          <w:color w:val="auto"/>
          <w:kern w:val="2"/>
          <w:sz w:val="21"/>
          <w:szCs w:val="21"/>
          <w:highlight w:val="none"/>
        </w:rPr>
      </w:pPr>
      <w:r>
        <w:rPr>
          <w:rFonts w:hint="eastAsia" w:ascii="宋体" w:hAnsi="宋体" w:eastAsia="宋体"/>
          <w:b w:val="0"/>
          <w:bCs/>
          <w:color w:val="auto"/>
          <w:kern w:val="2"/>
          <w:sz w:val="21"/>
          <w:szCs w:val="21"/>
          <w:highlight w:val="none"/>
        </w:rPr>
        <w:t>（</w:t>
      </w:r>
      <w:r>
        <w:rPr>
          <w:rFonts w:hint="eastAsia" w:ascii="宋体" w:hAnsi="宋体" w:eastAsia="宋体"/>
          <w:b w:val="0"/>
          <w:bCs/>
          <w:color w:val="auto"/>
          <w:kern w:val="2"/>
          <w:sz w:val="21"/>
          <w:szCs w:val="21"/>
          <w:highlight w:val="none"/>
          <w:lang w:val="en-US" w:eastAsia="zh-CN"/>
        </w:rPr>
        <w:t>10）</w:t>
      </w:r>
      <w:r>
        <w:rPr>
          <w:rFonts w:hint="eastAsia" w:ascii="宋体" w:hAnsi="宋体" w:eastAsia="宋体"/>
          <w:b w:val="0"/>
          <w:bCs/>
          <w:color w:val="auto"/>
          <w:kern w:val="2"/>
          <w:sz w:val="21"/>
          <w:szCs w:val="21"/>
          <w:highlight w:val="none"/>
        </w:rPr>
        <w:t>未响应招标文件实质性要求的。</w:t>
      </w:r>
    </w:p>
    <w:p w14:paraId="019D3F47">
      <w:pPr>
        <w:numPr>
          <w:ilvl w:val="0"/>
          <w:numId w:val="0"/>
        </w:numPr>
        <w:snapToGrid w:val="0"/>
        <w:spacing w:line="360" w:lineRule="auto"/>
        <w:ind w:firstLine="420" w:firstLineChars="200"/>
        <w:rPr>
          <w:rFonts w:hint="eastAsia" w:ascii="宋体" w:hAnsi="宋体" w:eastAsia="宋体"/>
          <w:b w:val="0"/>
          <w:bCs/>
          <w:color w:val="auto"/>
          <w:kern w:val="2"/>
          <w:sz w:val="21"/>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11</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法律、法规和招标文件规定的其他无效情形。</w:t>
      </w:r>
    </w:p>
    <w:p w14:paraId="65BF827A">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318BE254">
      <w:pPr>
        <w:spacing w:line="360" w:lineRule="auto"/>
        <w:ind w:firstLine="420" w:firstLineChars="200"/>
        <w:rPr>
          <w:rFonts w:hint="eastAsia" w:ascii="宋体" w:hAnsi="宋体" w:cs="Courier New"/>
          <w:b/>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262831D9">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63AF066">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未按评标委员会的要求作出明确澄清、说明或者更正的投标人的投标文件将按照有利于采购人的原则由评标委员会进行判定。</w:t>
      </w:r>
    </w:p>
    <w:p w14:paraId="5FDF378B">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6288A355">
      <w:pPr>
        <w:pStyle w:val="6"/>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3D02614B">
      <w:pPr>
        <w:pStyle w:val="24"/>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53FB71C6">
      <w:pPr>
        <w:pStyle w:val="24"/>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1BAE8029">
      <w:pPr>
        <w:pStyle w:val="24"/>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0DE6C9C8">
      <w:pPr>
        <w:pStyle w:val="24"/>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3D3813FD">
      <w:pPr>
        <w:pStyle w:val="24"/>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63F0A4A0">
      <w:pPr>
        <w:pStyle w:val="6"/>
        <w:keepNext w:val="0"/>
        <w:keepLines w:val="0"/>
        <w:spacing w:before="0" w:after="0" w:line="360" w:lineRule="auto"/>
        <w:rPr>
          <w:rFonts w:hint="eastAsia"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6197B826">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04EC3A63">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4C957788">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5.1采用综合评分法的</w:t>
      </w:r>
    </w:p>
    <w:p w14:paraId="17AC3E22">
      <w:pPr>
        <w:keepNext w:val="0"/>
        <w:keepLines w:val="0"/>
        <w:pageBreakBefore w:val="0"/>
        <w:widowControl w:val="0"/>
        <w:numPr>
          <w:ilvl w:val="0"/>
          <w:numId w:val="14"/>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rPr>
        <w:t>评标委员会按照招标文件中规定的评标方法及评标标准，对符合性审查合格的投标文件进行商务和技术评估，综合比较与评价。</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（2）评标委员会独立对每个投标人的投标文件进行评价，并汇总每个投标人的得分。</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（3）根据财政部《关于推动解决政府采购异常低价问题的通知》（财库〔2026〕2号），政府采购评审中出现下列情形之一的，评审委员会应当启动异常低价投标审查程序：</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①投标报价低于全部通过符合性审查供应商投标报价平均值</w:t>
      </w:r>
      <w:r>
        <w:rPr>
          <w:rFonts w:hint="eastAsia" w:ascii="宋体" w:hAnsi="宋体"/>
          <w:color w:val="auto"/>
          <w:szCs w:val="21"/>
          <w:highlight w:val="none"/>
          <w:lang w:val="en-US" w:eastAsia="zh-CN"/>
        </w:rPr>
        <w:t>6</w:t>
      </w:r>
      <w:r>
        <w:rPr>
          <w:rFonts w:hint="eastAsia" w:ascii="宋体" w:hAnsi="宋体"/>
          <w:color w:val="auto"/>
          <w:szCs w:val="21"/>
          <w:highlight w:val="none"/>
        </w:rPr>
        <w:t>5%的，即投标报价&lt;全部通过符合性审查供应商投标报价平均值×</w:t>
      </w:r>
      <w:r>
        <w:rPr>
          <w:rFonts w:hint="eastAsia" w:ascii="宋体" w:hAnsi="宋体"/>
          <w:color w:val="auto"/>
          <w:szCs w:val="21"/>
          <w:highlight w:val="none"/>
          <w:lang w:val="en-US" w:eastAsia="zh-CN"/>
        </w:rPr>
        <w:t>6</w:t>
      </w:r>
      <w:r>
        <w:rPr>
          <w:rFonts w:hint="eastAsia" w:ascii="宋体" w:hAnsi="宋体"/>
          <w:color w:val="auto"/>
          <w:szCs w:val="21"/>
          <w:highlight w:val="none"/>
        </w:rPr>
        <w:t>5%；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②投标报价低于通过符合性审查的次低报价供应商投标报价</w:t>
      </w:r>
      <w:r>
        <w:rPr>
          <w:rFonts w:hint="eastAsia" w:ascii="宋体" w:hAnsi="宋体"/>
          <w:color w:val="auto"/>
          <w:szCs w:val="21"/>
          <w:highlight w:val="none"/>
          <w:lang w:val="en-US" w:eastAsia="zh-CN"/>
        </w:rPr>
        <w:t>6</w:t>
      </w:r>
      <w:r>
        <w:rPr>
          <w:rFonts w:hint="eastAsia" w:ascii="宋体" w:hAnsi="宋体"/>
          <w:color w:val="auto"/>
          <w:szCs w:val="21"/>
          <w:highlight w:val="none"/>
        </w:rPr>
        <w:t>5%的，即投标报价&lt;通过符合性审查的次低报价供应商投标报价×</w:t>
      </w:r>
      <w:r>
        <w:rPr>
          <w:rFonts w:hint="eastAsia" w:ascii="宋体" w:hAnsi="宋体"/>
          <w:color w:val="auto"/>
          <w:szCs w:val="21"/>
          <w:highlight w:val="none"/>
          <w:lang w:val="en-US" w:eastAsia="zh-CN"/>
        </w:rPr>
        <w:t>6</w:t>
      </w:r>
      <w:r>
        <w:rPr>
          <w:rFonts w:hint="eastAsia" w:ascii="宋体" w:hAnsi="宋体"/>
          <w:color w:val="auto"/>
          <w:szCs w:val="21"/>
          <w:highlight w:val="none"/>
        </w:rPr>
        <w:t>5%；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③投标报价低于采购项目最高限价</w:t>
      </w:r>
      <w:r>
        <w:rPr>
          <w:rFonts w:hint="eastAsia" w:ascii="宋体" w:hAnsi="宋体"/>
          <w:color w:val="auto"/>
          <w:szCs w:val="21"/>
          <w:highlight w:val="none"/>
          <w:lang w:val="en-US" w:eastAsia="zh-CN"/>
        </w:rPr>
        <w:t>6</w:t>
      </w:r>
      <w:r>
        <w:rPr>
          <w:rFonts w:hint="eastAsia" w:ascii="宋体" w:hAnsi="宋体"/>
          <w:color w:val="auto"/>
          <w:szCs w:val="21"/>
          <w:highlight w:val="none"/>
        </w:rPr>
        <w:t>5%的，即投标报价&lt;采购项目最高限价×</w:t>
      </w:r>
      <w:r>
        <w:rPr>
          <w:rFonts w:hint="eastAsia" w:ascii="宋体" w:hAnsi="宋体"/>
          <w:color w:val="auto"/>
          <w:szCs w:val="21"/>
          <w:highlight w:val="none"/>
          <w:lang w:val="en-US" w:eastAsia="zh-CN"/>
        </w:rPr>
        <w:t>6</w:t>
      </w:r>
      <w:r>
        <w:rPr>
          <w:rFonts w:hint="eastAsia" w:ascii="宋体" w:hAnsi="宋体"/>
          <w:color w:val="auto"/>
          <w:szCs w:val="21"/>
          <w:highlight w:val="none"/>
        </w:rPr>
        <w:t>5%；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④评审委员会基于专业判断，认为供应商报价过低，有可能影响产品质量或者不能诚信履约的其他情形。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相关法律法规对供应商报价有规定的，从其规定。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评审委员会启动异常低价投标审查后，属于前述第①项至第④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在评审现场可不再重复提交。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采购人、采购代理机构应当为评审委员会在评审现场及时获取同类项目中标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异常低价投标审查的启动原因、审查意见和审查结果应当在评审报告中记录，并随供应商提供的相关书面说明及证明材料，以及评审委员会有关互联网浏览、查询历史一并归档。</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（4）评标委员会按照招标文件中规定的评标方法和标准计算各投标人的报价得分。在计算过程中，不得去掉最高报价或者最低报价。</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（5）各投标人的得分为所有评委的有效评分的算术平均数。</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（6）评标委员会按照招标文件中的规定推荐中标候选人。</w:t>
      </w:r>
      <w:r>
        <w:rPr>
          <w:rFonts w:hint="eastAsia" w:ascii="宋体" w:hAnsi="宋体"/>
          <w:color w:val="auto"/>
          <w:szCs w:val="21"/>
          <w:highlight w:val="none"/>
        </w:rPr>
        <w:cr/>
      </w:r>
      <w:r>
        <w:rPr>
          <w:rFonts w:ascii="宋体" w:hAnsi="宋体"/>
          <w:color w:val="auto"/>
          <w:szCs w:val="21"/>
          <w:highlight w:val="none"/>
        </w:rPr>
        <w:t xml:space="preserve">    </w:t>
      </w:r>
      <w:r>
        <w:rPr>
          <w:rFonts w:hint="eastAsia" w:ascii="宋体" w:hAnsi="宋体"/>
          <w:color w:val="auto"/>
          <w:szCs w:val="21"/>
          <w:highlight w:val="none"/>
        </w:rPr>
        <w:t>（7）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r>
        <w:rPr>
          <w:rFonts w:hint="eastAsia" w:ascii="宋体" w:hAnsi="宋体"/>
          <w:color w:val="auto"/>
          <w:szCs w:val="21"/>
          <w:highlight w:val="none"/>
        </w:rPr>
        <w:cr/>
      </w:r>
      <w:r>
        <w:rPr>
          <w:rFonts w:hint="eastAsia" w:ascii="宋体" w:hAnsi="宋体"/>
          <w:color w:val="auto"/>
          <w:szCs w:val="21"/>
          <w:highlight w:val="none"/>
          <w:lang w:val="en-US" w:eastAsia="zh-CN"/>
        </w:rPr>
        <w:t xml:space="preserve">    </w:t>
      </w:r>
    </w:p>
    <w:p w14:paraId="66AB79E8">
      <w:pPr>
        <w:pStyle w:val="24"/>
        <w:spacing w:line="380" w:lineRule="exact"/>
        <w:ind w:firstLine="420"/>
        <w:rPr>
          <w:rFonts w:hAnsi="宋体"/>
          <w:bCs/>
          <w:color w:val="auto"/>
          <w:sz w:val="21"/>
          <w:highlight w:val="none"/>
        </w:rPr>
      </w:pPr>
      <w:r>
        <w:rPr>
          <w:rFonts w:hint="eastAsia" w:hAnsi="宋体"/>
          <w:bCs/>
          <w:color w:val="auto"/>
          <w:sz w:val="21"/>
          <w:highlight w:val="none"/>
        </w:rPr>
        <w:t>注：计分方法按四舍五入取至百分位。</w:t>
      </w:r>
    </w:p>
    <w:p w14:paraId="6707670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ascii="宋体" w:hAnsi="宋体"/>
          <w:color w:val="auto"/>
          <w:szCs w:val="21"/>
          <w:highlight w:val="none"/>
          <w:lang w:val="en-US" w:eastAsia="zh-CN"/>
        </w:rPr>
      </w:pPr>
    </w:p>
    <w:p w14:paraId="061EDBF3">
      <w:pPr>
        <w:snapToGrid w:val="0"/>
        <w:spacing w:line="360" w:lineRule="auto"/>
        <w:ind w:firstLine="420" w:firstLineChars="200"/>
        <w:jc w:val="center"/>
        <w:rPr>
          <w:rFonts w:hint="eastAsia"/>
          <w:color w:val="auto"/>
          <w:highlight w:val="none"/>
        </w:rPr>
      </w:pPr>
      <w:r>
        <w:rPr>
          <w:color w:val="auto"/>
          <w:highlight w:val="none"/>
        </w:rPr>
        <w:br w:type="page"/>
      </w:r>
      <w:bookmarkStart w:id="202" w:name="_Toc31985"/>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bookmarkEnd w:id="202"/>
    </w:p>
    <w:p w14:paraId="2F6C1E3B">
      <w:pPr>
        <w:pStyle w:val="4"/>
        <w:keepNext w:val="0"/>
        <w:keepLines w:val="0"/>
        <w:jc w:val="center"/>
        <w:rPr>
          <w:color w:val="auto"/>
          <w:sz w:val="44"/>
          <w:szCs w:val="44"/>
          <w:highlight w:val="none"/>
        </w:rPr>
      </w:pPr>
      <w:bookmarkStart w:id="203" w:name="_Toc15088"/>
      <w:r>
        <w:rPr>
          <w:rFonts w:hint="eastAsia"/>
          <w:color w:val="auto"/>
          <w:sz w:val="44"/>
          <w:szCs w:val="44"/>
          <w:highlight w:val="none"/>
        </w:rPr>
        <w:t>综合评分法</w:t>
      </w:r>
      <w:bookmarkEnd w:id="203"/>
    </w:p>
    <w:p w14:paraId="78D407BF">
      <w:pPr>
        <w:spacing w:before="156" w:beforeLines="50" w:after="156" w:afterLines="50"/>
        <w:ind w:firstLine="413" w:firstLineChars="147"/>
        <w:jc w:val="left"/>
        <w:rPr>
          <w:rFonts w:hint="eastAsia"/>
          <w:b/>
          <w:bCs/>
          <w:color w:val="auto"/>
          <w:highlight w:val="none"/>
        </w:rPr>
      </w:pPr>
      <w:r>
        <w:rPr>
          <w:rFonts w:hint="eastAsia" w:ascii="宋体" w:hAnsi="宋体"/>
          <w:b/>
          <w:bCs/>
          <w:color w:val="auto"/>
          <w:sz w:val="28"/>
          <w:szCs w:val="28"/>
          <w:highlight w:val="none"/>
        </w:rPr>
        <w:t>适用</w:t>
      </w:r>
      <w:r>
        <w:rPr>
          <w:rFonts w:hint="eastAsia" w:ascii="宋体" w:hAnsi="宋体"/>
          <w:b/>
          <w:bCs/>
          <w:color w:val="auto"/>
          <w:sz w:val="28"/>
          <w:szCs w:val="28"/>
          <w:highlight w:val="none"/>
          <w:u w:val="single"/>
        </w:rPr>
        <w:t xml:space="preserve">A1 - A4  </w:t>
      </w:r>
      <w:r>
        <w:rPr>
          <w:rFonts w:hint="eastAsia" w:ascii="宋体" w:hAnsi="宋体"/>
          <w:b/>
          <w:bCs/>
          <w:color w:val="auto"/>
          <w:sz w:val="28"/>
          <w:szCs w:val="28"/>
          <w:highlight w:val="none"/>
        </w:rPr>
        <w:t xml:space="preserve">分标     </w:t>
      </w:r>
      <w:r>
        <w:rPr>
          <w:rFonts w:hint="eastAsia" w:ascii="宋体" w:hAnsi="宋体" w:cs="宋体"/>
          <w:b/>
          <w:color w:val="auto"/>
          <w:sz w:val="28"/>
          <w:szCs w:val="28"/>
          <w:highlight w:val="none"/>
        </w:rPr>
        <w:t>标的名称：</w:t>
      </w:r>
      <w:r>
        <w:rPr>
          <w:rFonts w:hint="eastAsia" w:ascii="宋体" w:hAnsi="宋体"/>
          <w:b/>
          <w:bCs/>
          <w:color w:val="auto"/>
          <w:sz w:val="28"/>
          <w:szCs w:val="28"/>
          <w:highlight w:val="none"/>
        </w:rPr>
        <w:t xml:space="preserve">猪口蹄疫O型灭活疫苗 </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207"/>
        <w:gridCol w:w="1186"/>
        <w:gridCol w:w="6669"/>
      </w:tblGrid>
      <w:tr w14:paraId="741A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21" w:type="pct"/>
            <w:gridSpan w:val="2"/>
            <w:noWrap w:val="0"/>
            <w:vAlign w:val="center"/>
          </w:tcPr>
          <w:p w14:paraId="05750E00">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序号</w:t>
            </w:r>
          </w:p>
        </w:tc>
        <w:tc>
          <w:tcPr>
            <w:tcW w:w="616" w:type="pct"/>
            <w:noWrap w:val="0"/>
            <w:vAlign w:val="center"/>
          </w:tcPr>
          <w:p w14:paraId="0AECAC42">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评审因素</w:t>
            </w:r>
          </w:p>
        </w:tc>
        <w:tc>
          <w:tcPr>
            <w:tcW w:w="3462" w:type="pct"/>
            <w:noWrap w:val="0"/>
            <w:vAlign w:val="center"/>
          </w:tcPr>
          <w:p w14:paraId="4D4EEC02">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评标标准</w:t>
            </w:r>
          </w:p>
        </w:tc>
      </w:tr>
      <w:tr w14:paraId="32E6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noWrap w:val="0"/>
            <w:vAlign w:val="center"/>
          </w:tcPr>
          <w:p w14:paraId="168856EB">
            <w:pPr>
              <w:adjustRightInd w:val="0"/>
              <w:spacing w:line="360" w:lineRule="exact"/>
              <w:jc w:val="center"/>
              <w:textAlignment w:val="baseline"/>
              <w:rPr>
                <w:rFonts w:ascii="宋体" w:hAnsi="宋体"/>
                <w:color w:val="auto"/>
                <w:szCs w:val="21"/>
                <w:highlight w:val="none"/>
              </w:rPr>
            </w:pPr>
            <w:r>
              <w:rPr>
                <w:rFonts w:hint="eastAsia" w:ascii="宋体" w:hAnsi="宋体"/>
                <w:color w:val="auto"/>
                <w:szCs w:val="21"/>
                <w:highlight w:val="none"/>
              </w:rPr>
              <w:t>1</w:t>
            </w:r>
          </w:p>
        </w:tc>
        <w:tc>
          <w:tcPr>
            <w:tcW w:w="627" w:type="pct"/>
            <w:noWrap w:val="0"/>
            <w:vAlign w:val="center"/>
          </w:tcPr>
          <w:p w14:paraId="7B89E997">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价格分</w:t>
            </w:r>
          </w:p>
          <w:p w14:paraId="72A80E9B">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（满分</w:t>
            </w:r>
            <w:r>
              <w:rPr>
                <w:rFonts w:ascii="宋体" w:hAnsi="宋体"/>
                <w:b/>
                <w:bCs/>
                <w:color w:val="auto"/>
                <w:szCs w:val="21"/>
                <w:highlight w:val="none"/>
                <w:u w:val="single"/>
              </w:rPr>
              <w:t>30</w:t>
            </w:r>
            <w:r>
              <w:rPr>
                <w:rFonts w:hint="eastAsia" w:ascii="宋体" w:hAnsi="宋体"/>
                <w:b/>
                <w:bCs/>
                <w:color w:val="auto"/>
                <w:szCs w:val="21"/>
                <w:highlight w:val="none"/>
              </w:rPr>
              <w:t>分）</w:t>
            </w:r>
          </w:p>
        </w:tc>
        <w:tc>
          <w:tcPr>
            <w:tcW w:w="616" w:type="pct"/>
            <w:noWrap w:val="0"/>
            <w:vAlign w:val="center"/>
          </w:tcPr>
          <w:p w14:paraId="264E0172">
            <w:pPr>
              <w:adjustRightInd w:val="0"/>
              <w:spacing w:line="360" w:lineRule="exact"/>
              <w:jc w:val="center"/>
              <w:textAlignment w:val="baseline"/>
              <w:rPr>
                <w:rFonts w:ascii="宋体" w:hAnsi="宋体"/>
                <w:bCs/>
                <w:color w:val="auto"/>
                <w:szCs w:val="21"/>
                <w:highlight w:val="none"/>
              </w:rPr>
            </w:pPr>
            <w:r>
              <w:rPr>
                <w:rFonts w:hint="eastAsia" w:ascii="宋体" w:hAnsi="宋体"/>
                <w:bCs/>
                <w:color w:val="auto"/>
                <w:szCs w:val="21"/>
                <w:highlight w:val="none"/>
              </w:rPr>
              <w:t>投标报价（满分</w:t>
            </w:r>
            <w:r>
              <w:rPr>
                <w:rFonts w:ascii="宋体" w:hAnsi="宋体"/>
                <w:bCs/>
                <w:color w:val="auto"/>
                <w:szCs w:val="21"/>
                <w:highlight w:val="none"/>
              </w:rPr>
              <w:t>30</w:t>
            </w:r>
            <w:r>
              <w:rPr>
                <w:rFonts w:hint="eastAsia" w:ascii="宋体" w:hAnsi="宋体"/>
                <w:bCs/>
                <w:color w:val="auto"/>
                <w:szCs w:val="21"/>
                <w:highlight w:val="none"/>
              </w:rPr>
              <w:t>分）</w:t>
            </w:r>
          </w:p>
        </w:tc>
        <w:tc>
          <w:tcPr>
            <w:tcW w:w="3462" w:type="pct"/>
            <w:noWrap w:val="0"/>
            <w:vAlign w:val="center"/>
          </w:tcPr>
          <w:p w14:paraId="63A9242B">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7C8E1245">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（2）政策性扣除计算方法。</w:t>
            </w:r>
          </w:p>
          <w:p w14:paraId="0E914BE1">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76798460">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F3D42ED">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CEE4071">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（5）本国产品政策性扣除计算方法。</w:t>
            </w:r>
          </w:p>
          <w:p w14:paraId="0FFBE457">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6EE78DB9">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469BC448">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7731E885">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如果所有参与竞争的供应商均可享受本国产品价格评审优惠，则统一不进行价格扣除。</w:t>
            </w:r>
          </w:p>
          <w:p w14:paraId="7C916854">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（6）中小企业折扣与本国产品折扣进行叠加计算，用扣除后的价格参加评审。即评</w:t>
            </w:r>
            <w:r>
              <w:rPr>
                <w:rFonts w:hint="eastAsia" w:ascii="宋体" w:hAnsi="宋体"/>
                <w:bCs/>
                <w:color w:val="auto"/>
                <w:szCs w:val="21"/>
                <w:highlight w:val="none"/>
                <w:lang w:val="en-US" w:eastAsia="zh-CN"/>
              </w:rPr>
              <w:t>标</w:t>
            </w:r>
            <w:r>
              <w:rPr>
                <w:rFonts w:hint="eastAsia" w:ascii="宋体" w:hAnsi="宋体"/>
                <w:bCs/>
                <w:color w:val="auto"/>
                <w:szCs w:val="21"/>
                <w:highlight w:val="none"/>
              </w:rPr>
              <w:t>价=投标报价-中小企业折扣</w:t>
            </w:r>
            <w:r>
              <w:rPr>
                <w:rFonts w:hint="eastAsia" w:ascii="宋体" w:hAnsi="宋体"/>
                <w:bCs/>
                <w:color w:val="auto"/>
                <w:szCs w:val="21"/>
                <w:highlight w:val="none"/>
                <w:lang w:val="en-US" w:eastAsia="zh-CN"/>
              </w:rPr>
              <w:t>价</w:t>
            </w:r>
            <w:r>
              <w:rPr>
                <w:rFonts w:hint="eastAsia" w:ascii="宋体" w:hAnsi="宋体"/>
                <w:bCs/>
                <w:color w:val="auto"/>
                <w:szCs w:val="21"/>
                <w:highlight w:val="none"/>
              </w:rPr>
              <w:t>-本国产品折扣</w:t>
            </w:r>
            <w:r>
              <w:rPr>
                <w:rFonts w:hint="eastAsia" w:ascii="宋体" w:hAnsi="宋体"/>
                <w:bCs/>
                <w:color w:val="auto"/>
                <w:szCs w:val="21"/>
                <w:highlight w:val="none"/>
                <w:lang w:val="en-US" w:eastAsia="zh-CN"/>
              </w:rPr>
              <w:t>价</w:t>
            </w:r>
            <w:r>
              <w:rPr>
                <w:rFonts w:hint="eastAsia" w:ascii="宋体" w:hAnsi="宋体"/>
                <w:bCs/>
                <w:color w:val="auto"/>
                <w:szCs w:val="21"/>
                <w:highlight w:val="none"/>
              </w:rPr>
              <w:t>，除上述情况外，评标价=投标报价。</w:t>
            </w:r>
          </w:p>
          <w:p w14:paraId="70F0B3DD">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（7）满足招标文件要求且评标价最低的评标价为评标基准价，其价格分为满分。</w:t>
            </w:r>
          </w:p>
          <w:p w14:paraId="73CE0429">
            <w:pPr>
              <w:snapToGrid w:val="0"/>
              <w:spacing w:line="360" w:lineRule="exact"/>
              <w:ind w:firstLine="233" w:firstLineChars="111"/>
              <w:rPr>
                <w:rFonts w:hint="eastAsia" w:ascii="宋体" w:hAnsi="宋体" w:cs="Courier New"/>
                <w:bCs/>
                <w:color w:val="auto"/>
                <w:szCs w:val="21"/>
                <w:highlight w:val="none"/>
              </w:rPr>
            </w:pPr>
            <w:r>
              <w:rPr>
                <w:rFonts w:hint="eastAsia" w:ascii="宋体" w:hAnsi="宋体"/>
                <w:bCs/>
                <w:color w:val="auto"/>
                <w:szCs w:val="21"/>
                <w:highlight w:val="none"/>
              </w:rPr>
              <w:t>（8）价格分计算公式：价格分=（评标基准价/评标价）×30分</w:t>
            </w:r>
          </w:p>
        </w:tc>
      </w:tr>
      <w:tr w14:paraId="4E1A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Merge w:val="restart"/>
            <w:noWrap w:val="0"/>
            <w:vAlign w:val="center"/>
          </w:tcPr>
          <w:p w14:paraId="37B5C1D6">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2</w:t>
            </w:r>
          </w:p>
        </w:tc>
        <w:tc>
          <w:tcPr>
            <w:tcW w:w="627" w:type="pct"/>
            <w:vMerge w:val="restart"/>
            <w:noWrap w:val="0"/>
            <w:vAlign w:val="center"/>
          </w:tcPr>
          <w:p w14:paraId="28A025F0">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技术分（满分37分）</w:t>
            </w:r>
          </w:p>
        </w:tc>
        <w:tc>
          <w:tcPr>
            <w:tcW w:w="616" w:type="pct"/>
            <w:noWrap w:val="0"/>
            <w:vAlign w:val="center"/>
          </w:tcPr>
          <w:p w14:paraId="04ACD5D2">
            <w:pPr>
              <w:adjustRightInd w:val="0"/>
              <w:spacing w:line="360" w:lineRule="exact"/>
              <w:jc w:val="left"/>
              <w:textAlignment w:val="baseline"/>
              <w:rPr>
                <w:rFonts w:ascii="宋体" w:hAnsi="宋体"/>
                <w:color w:val="auto"/>
                <w:szCs w:val="21"/>
                <w:highlight w:val="none"/>
                <w:u w:val="single"/>
              </w:rPr>
            </w:pPr>
            <w:r>
              <w:rPr>
                <w:rFonts w:hint="eastAsia" w:ascii="宋体" w:hAnsi="宋体"/>
                <w:color w:val="auto"/>
                <w:szCs w:val="21"/>
                <w:highlight w:val="none"/>
              </w:rPr>
              <w:t>产品主要技术参数、性能及原料分（满分22分）</w:t>
            </w:r>
          </w:p>
        </w:tc>
        <w:tc>
          <w:tcPr>
            <w:tcW w:w="3462" w:type="pct"/>
            <w:noWrap w:val="0"/>
            <w:vAlign w:val="center"/>
          </w:tcPr>
          <w:p w14:paraId="45393679">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评审时提供2025年以来连续5批次疫苗批签发报告原件扫描件，批签发报告中的指标参数必须清晰，否则本项第①、②、③、④项不得分。</w:t>
            </w:r>
          </w:p>
          <w:p w14:paraId="5F20CD25">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①PD50或146S平均值（满分10分）：农业农村部（农医药便函</w:t>
            </w:r>
            <w:r>
              <w:rPr>
                <w:rFonts w:hint="eastAsia" w:hAnsi="宋体" w:cs="Courier New"/>
                <w:bCs/>
                <w:color w:val="auto"/>
                <w:kern w:val="2"/>
                <w:sz w:val="21"/>
                <w:highlight w:val="none"/>
                <w:lang w:eastAsia="zh-CN"/>
              </w:rPr>
              <w:t>（</w:t>
            </w:r>
            <w:r>
              <w:rPr>
                <w:rFonts w:hint="eastAsia" w:hAnsi="宋体" w:cs="Courier New"/>
                <w:bCs/>
                <w:color w:val="auto"/>
                <w:kern w:val="2"/>
                <w:sz w:val="21"/>
                <w:highlight w:val="none"/>
              </w:rPr>
              <w:t>2015</w:t>
            </w:r>
            <w:r>
              <w:rPr>
                <w:rFonts w:hint="eastAsia" w:hAnsi="宋体" w:cs="Courier New"/>
                <w:bCs/>
                <w:color w:val="auto"/>
                <w:kern w:val="2"/>
                <w:sz w:val="21"/>
                <w:highlight w:val="none"/>
                <w:lang w:eastAsia="zh-CN"/>
              </w:rPr>
              <w:t>）</w:t>
            </w:r>
            <w:r>
              <w:rPr>
                <w:rFonts w:hint="eastAsia" w:hAnsi="宋体" w:cs="Courier New"/>
                <w:bCs/>
                <w:color w:val="auto"/>
                <w:kern w:val="2"/>
                <w:sz w:val="21"/>
                <w:highlight w:val="none"/>
              </w:rPr>
              <w:t>17号）要求开展146S检测并公告发布了质量标准，效力检验可PD50值和146S等方法择其一。批签发报告效力检验项目中PD50和146S值均有的以PD50值为准。</w:t>
            </w:r>
          </w:p>
          <w:p w14:paraId="57597FBF">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PD50：计算2025年以来连续5批次的批签发报告中疫苗的PD50平均值（有两个或三个疫苗毒株的，应计算出所有毒株的平均值）。6.00≤PD50平均值＜8.00得6分，8.00≤PD50平均值＜10.00得8分，≥10.00得10分。上述疫苗批签发报告有一个批次及以上PD50值小于6.00，此项不得分。</w:t>
            </w:r>
          </w:p>
          <w:p w14:paraId="2A53E289">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146S：计算2025年以来连续5批次的批签发报告中146S平均值（采用紫外蔗糖密度梯度检测方法），每头份146s值≥1.2ug得6分，≥1.7ug得8分，≥2.2ug得10分。</w:t>
            </w:r>
          </w:p>
          <w:p w14:paraId="3C600A15">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②总蛋白（满分3分）：计算上述连续5批次的批签发报告中疫苗总蛋白的平均值。总蛋白平均值（单位：μg/ml）300≤总蛋白平均值＜500得1分，100≤总蛋白平均值＜300得2分，总蛋白平均值＜100得3分。上述疫苗批签发报告有一个批次及以上总蛋白大于500μg/ml，此项不得分。</w:t>
            </w:r>
          </w:p>
          <w:p w14:paraId="7A819FC2">
            <w:pPr>
              <w:pStyle w:val="24"/>
              <w:spacing w:line="360" w:lineRule="exact"/>
              <w:ind w:firstLine="420" w:firstLineChars="200"/>
              <w:rPr>
                <w:rFonts w:hint="eastAsia" w:hAnsi="宋体" w:eastAsia="宋体" w:cs="Courier New"/>
                <w:bCs/>
                <w:color w:val="auto"/>
                <w:kern w:val="2"/>
                <w:sz w:val="21"/>
                <w:highlight w:val="none"/>
                <w:lang w:eastAsia="zh-CN"/>
              </w:rPr>
            </w:pPr>
            <w:r>
              <w:rPr>
                <w:rFonts w:hint="eastAsia" w:hAnsi="宋体" w:cs="Courier New"/>
                <w:bCs/>
                <w:color w:val="auto"/>
                <w:kern w:val="2"/>
                <w:sz w:val="21"/>
                <w:highlight w:val="none"/>
              </w:rPr>
              <w:t>③内毒素（满分3分）：计算上述连续5批次的批签发报告中内毒素平均值。内毒素平均值（单位：EU/头份）＜5得3分，5≤内毒素平均值＜10得2分，10≤内毒素平均值＜20得 1分</w:t>
            </w:r>
            <w:r>
              <w:rPr>
                <w:rFonts w:hint="eastAsia" w:hAnsi="宋体" w:cs="Courier New"/>
                <w:bCs/>
                <w:color w:val="auto"/>
                <w:kern w:val="2"/>
                <w:sz w:val="21"/>
                <w:highlight w:val="none"/>
                <w:lang w:eastAsia="zh-CN"/>
              </w:rPr>
              <w:t>。</w:t>
            </w:r>
          </w:p>
          <w:p w14:paraId="6AC97285">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④粘度（满分3分）：计算上述连续5批次的批签发报告粘度的平均值。粘度平均值（单位：cp）＜20得3分，20≤粘度平均值＜30得2.5分，30≤粘度平均值＜100得2分。</w:t>
            </w:r>
          </w:p>
          <w:p w14:paraId="59B87DE4">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⑤佐剂（满分2分）：投标人提供2025年度以来相应疫苗佐剂的购买合同和发票原件的彩色扫描件等证明材料，且采购数量不少于最小投标标的所需佐剂量的50%（按如下方式推算：若投标标的为1000万毫升，按佐剂用量约为66%，佐剂比重是0.83计算，则所需佐剂量的50%=1000×66%×0.83×50%约为2.8吨）得2分；合同和发票均未提供，或者只提供其中一项的，均不得分。</w:t>
            </w:r>
          </w:p>
          <w:p w14:paraId="7CC283E0">
            <w:pPr>
              <w:widowControl/>
              <w:shd w:val="clear" w:color="auto" w:fill="FFFFFF"/>
              <w:spacing w:line="360" w:lineRule="exact"/>
              <w:ind w:firstLine="420" w:firstLineChars="200"/>
              <w:rPr>
                <w:rFonts w:hint="eastAsia" w:hAnsi="宋体" w:cs="Courier New"/>
                <w:color w:val="auto"/>
                <w:highlight w:val="none"/>
              </w:rPr>
            </w:pPr>
            <w:r>
              <w:rPr>
                <w:rFonts w:hint="eastAsia" w:hAnsi="宋体" w:cs="Courier New"/>
                <w:bCs/>
                <w:color w:val="auto"/>
                <w:highlight w:val="none"/>
              </w:rPr>
              <w:t>⑥产品规格（满分1分）：承诺提供比例不低于30%的最小规格（详见第二章招标项目采购需求表）产品得1分。</w:t>
            </w:r>
          </w:p>
        </w:tc>
      </w:tr>
      <w:tr w14:paraId="0434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Merge w:val="continue"/>
            <w:noWrap w:val="0"/>
            <w:vAlign w:val="center"/>
          </w:tcPr>
          <w:p w14:paraId="0FC78618">
            <w:pPr>
              <w:adjustRightInd w:val="0"/>
              <w:spacing w:line="360" w:lineRule="exact"/>
              <w:jc w:val="center"/>
              <w:textAlignment w:val="baseline"/>
              <w:rPr>
                <w:rFonts w:hint="eastAsia" w:ascii="宋体" w:hAnsi="宋体"/>
                <w:color w:val="auto"/>
                <w:szCs w:val="21"/>
                <w:highlight w:val="none"/>
              </w:rPr>
            </w:pPr>
          </w:p>
        </w:tc>
        <w:tc>
          <w:tcPr>
            <w:tcW w:w="627" w:type="pct"/>
            <w:vMerge w:val="continue"/>
            <w:noWrap w:val="0"/>
            <w:vAlign w:val="center"/>
          </w:tcPr>
          <w:p w14:paraId="6C8BFF9F">
            <w:pPr>
              <w:adjustRightInd w:val="0"/>
              <w:spacing w:line="360" w:lineRule="exact"/>
              <w:jc w:val="center"/>
              <w:textAlignment w:val="baseline"/>
              <w:rPr>
                <w:rFonts w:hint="eastAsia" w:ascii="宋体" w:hAnsi="宋体"/>
                <w:b/>
                <w:bCs/>
                <w:color w:val="auto"/>
                <w:szCs w:val="21"/>
                <w:highlight w:val="none"/>
              </w:rPr>
            </w:pPr>
          </w:p>
        </w:tc>
        <w:tc>
          <w:tcPr>
            <w:tcW w:w="616" w:type="pct"/>
            <w:noWrap w:val="0"/>
            <w:vAlign w:val="center"/>
          </w:tcPr>
          <w:p w14:paraId="5A1BFC95">
            <w:pPr>
              <w:adjustRightInd w:val="0"/>
              <w:spacing w:line="360" w:lineRule="exact"/>
              <w:jc w:val="left"/>
              <w:textAlignment w:val="baseline"/>
              <w:rPr>
                <w:rFonts w:hint="eastAsia" w:ascii="宋体" w:hAnsi="宋体"/>
                <w:color w:val="auto"/>
                <w:szCs w:val="21"/>
                <w:highlight w:val="none"/>
              </w:rPr>
            </w:pPr>
            <w:r>
              <w:rPr>
                <w:rFonts w:hint="eastAsia" w:ascii="宋体" w:hAnsi="宋体"/>
                <w:bCs/>
                <w:color w:val="auto"/>
                <w:szCs w:val="21"/>
                <w:highlight w:val="none"/>
              </w:rPr>
              <w:t>综合实力</w:t>
            </w:r>
            <w:r>
              <w:rPr>
                <w:rFonts w:hint="eastAsia" w:ascii="宋体" w:hAnsi="宋体"/>
                <w:color w:val="auto"/>
                <w:szCs w:val="21"/>
                <w:highlight w:val="none"/>
              </w:rPr>
              <w:t>（满分</w:t>
            </w:r>
            <w:r>
              <w:rPr>
                <w:rFonts w:hint="eastAsia" w:ascii="宋体" w:hAnsi="宋体"/>
                <w:color w:val="auto"/>
                <w:szCs w:val="21"/>
                <w:highlight w:val="none"/>
                <w:u w:val="single"/>
              </w:rPr>
              <w:t>15</w:t>
            </w:r>
            <w:r>
              <w:rPr>
                <w:rFonts w:hint="eastAsia" w:ascii="宋体" w:hAnsi="宋体"/>
                <w:color w:val="auto"/>
                <w:szCs w:val="21"/>
                <w:highlight w:val="none"/>
              </w:rPr>
              <w:t>分）</w:t>
            </w:r>
          </w:p>
        </w:tc>
        <w:tc>
          <w:tcPr>
            <w:tcW w:w="3462" w:type="pct"/>
            <w:noWrap w:val="0"/>
            <w:vAlign w:val="center"/>
          </w:tcPr>
          <w:p w14:paraId="7D2FC82F">
            <w:pPr>
              <w:pStyle w:val="18"/>
              <w:spacing w:line="360" w:lineRule="exact"/>
              <w:ind w:left="420"/>
              <w:rPr>
                <w:rFonts w:hint="eastAsia" w:ascii="宋体" w:hAnsi="宋体"/>
                <w:color w:val="auto"/>
                <w:sz w:val="21"/>
                <w:szCs w:val="21"/>
                <w:highlight w:val="none"/>
              </w:rPr>
            </w:pPr>
            <w:r>
              <w:rPr>
                <w:rFonts w:hint="eastAsia" w:ascii="宋体" w:hAnsi="宋体"/>
                <w:b/>
                <w:bCs/>
                <w:color w:val="auto"/>
                <w:sz w:val="21"/>
                <w:szCs w:val="21"/>
                <w:highlight w:val="none"/>
              </w:rPr>
              <w:fldChar w:fldCharType="begin"/>
            </w:r>
            <w:r>
              <w:rPr>
                <w:rFonts w:hint="eastAsia" w:ascii="宋体" w:hAnsi="宋体"/>
                <w:b/>
                <w:bCs/>
                <w:color w:val="auto"/>
                <w:sz w:val="21"/>
                <w:szCs w:val="21"/>
                <w:highlight w:val="none"/>
              </w:rPr>
              <w:instrText xml:space="preserve"> = 1 \* GB3 </w:instrText>
            </w:r>
            <w:r>
              <w:rPr>
                <w:rFonts w:hint="eastAsia" w:ascii="宋体" w:hAnsi="宋体"/>
                <w:b/>
                <w:bCs/>
                <w:color w:val="auto"/>
                <w:sz w:val="21"/>
                <w:szCs w:val="21"/>
                <w:highlight w:val="none"/>
              </w:rPr>
              <w:fldChar w:fldCharType="separate"/>
            </w:r>
            <w:r>
              <w:rPr>
                <w:rFonts w:hint="eastAsia" w:ascii="宋体" w:hAnsi="宋体"/>
                <w:b/>
                <w:bCs/>
                <w:color w:val="auto"/>
                <w:sz w:val="21"/>
                <w:szCs w:val="21"/>
                <w:highlight w:val="none"/>
              </w:rPr>
              <w:t>①</w:t>
            </w:r>
            <w:r>
              <w:rPr>
                <w:rFonts w:hint="eastAsia" w:ascii="宋体" w:hAnsi="宋体"/>
                <w:b/>
                <w:bCs/>
                <w:color w:val="auto"/>
                <w:sz w:val="21"/>
                <w:szCs w:val="21"/>
                <w:highlight w:val="none"/>
              </w:rPr>
              <w:fldChar w:fldCharType="end"/>
            </w:r>
            <w:r>
              <w:rPr>
                <w:rFonts w:hint="eastAsia" w:ascii="宋体" w:hAnsi="宋体"/>
                <w:b/>
                <w:bCs/>
                <w:color w:val="auto"/>
                <w:sz w:val="21"/>
                <w:szCs w:val="21"/>
                <w:highlight w:val="none"/>
              </w:rPr>
              <w:t>生产工艺分（满分</w:t>
            </w:r>
            <w:r>
              <w:rPr>
                <w:rFonts w:hint="eastAsia" w:ascii="宋体" w:hAnsi="宋体"/>
                <w:b/>
                <w:bCs/>
                <w:color w:val="auto"/>
                <w:sz w:val="21"/>
                <w:szCs w:val="21"/>
                <w:highlight w:val="none"/>
                <w:lang w:val="en-US" w:eastAsia="zh-CN"/>
              </w:rPr>
              <w:t>2</w:t>
            </w:r>
            <w:r>
              <w:rPr>
                <w:rFonts w:hint="eastAsia" w:ascii="宋体" w:hAnsi="宋体"/>
                <w:b/>
                <w:bCs/>
                <w:color w:val="auto"/>
                <w:sz w:val="21"/>
                <w:szCs w:val="21"/>
                <w:highlight w:val="none"/>
              </w:rPr>
              <w:t>分）</w:t>
            </w:r>
          </w:p>
          <w:p w14:paraId="0567D4BF">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3DB57460">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在生产过程中采用细胞悬浮培养或细胞工厂培养技术，和低血清或无血清培养技术的得</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分，否则不得分。</w:t>
            </w:r>
          </w:p>
          <w:p w14:paraId="7780FBE7">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②生产能力及设备分（满分5分）</w:t>
            </w:r>
          </w:p>
          <w:p w14:paraId="508E6EC9">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6A3EF211">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一档</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分：投标人提供证明生产能力的资料简单，未罗列或简单罗列生产设备清单，生产设备与生产能力不匹配。</w:t>
            </w:r>
          </w:p>
          <w:p w14:paraId="5CB92C64">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二档5分：投标人提供证明生产能力的资料详细，罗列有详细的生产设备清单（设备包含悬浮设备、超滤浓缩系统、层析设备、检验设备以及用于自动化生产的相关设备等），生产设备与生产能力相匹配。</w:t>
            </w:r>
          </w:p>
          <w:p w14:paraId="224994DE">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③研发能力分（满分</w:t>
            </w:r>
            <w:r>
              <w:rPr>
                <w:rFonts w:hint="eastAsia" w:ascii="宋体" w:hAnsi="宋体"/>
                <w:b/>
                <w:bCs/>
                <w:color w:val="auto"/>
                <w:sz w:val="21"/>
                <w:szCs w:val="21"/>
                <w:highlight w:val="none"/>
                <w:lang w:val="en-US" w:eastAsia="zh-CN"/>
              </w:rPr>
              <w:t>7</w:t>
            </w:r>
            <w:r>
              <w:rPr>
                <w:rFonts w:hint="eastAsia" w:ascii="宋体" w:hAnsi="宋体"/>
                <w:b/>
                <w:bCs/>
                <w:color w:val="auto"/>
                <w:sz w:val="21"/>
                <w:szCs w:val="21"/>
                <w:highlight w:val="none"/>
              </w:rPr>
              <w:t>分）</w:t>
            </w:r>
          </w:p>
          <w:p w14:paraId="0542845F">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a.2020年以来所投产品或类似产品获得国家级（含中央人民政府、国家科技部）科技成果奖励的每项得</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分，或省部级科技成果奖励的每项得0.5分，否则不得分；满分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4867E6E8">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b.所投产品或类似产品（指同类口蹄疫疫苗）获农业农村部门颁发的一类新兽药证书每项得2分，二类新兽药证书每项得1.5分，三类新兽药证书每项得1分；否则不得分；满分</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w:t>
            </w:r>
          </w:p>
          <w:p w14:paraId="2308CCD9">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c.被国家科技部等列为国家企业技术中心或国家工程中心得2分，被列为省级企业技术中心或工程中心得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68DB7E11">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④质量管理体系分（满分</w:t>
            </w:r>
            <w:r>
              <w:rPr>
                <w:rFonts w:hint="eastAsia" w:ascii="宋体" w:hAnsi="宋体"/>
                <w:b/>
                <w:bCs/>
                <w:color w:val="auto"/>
                <w:sz w:val="21"/>
                <w:szCs w:val="21"/>
                <w:highlight w:val="none"/>
                <w:lang w:val="en-US" w:eastAsia="zh-CN"/>
              </w:rPr>
              <w:t>1</w:t>
            </w:r>
            <w:r>
              <w:rPr>
                <w:rFonts w:hint="eastAsia" w:ascii="宋体" w:hAnsi="宋体"/>
                <w:b/>
                <w:bCs/>
                <w:color w:val="auto"/>
                <w:sz w:val="21"/>
                <w:szCs w:val="21"/>
                <w:highlight w:val="none"/>
              </w:rPr>
              <w:t>分）</w:t>
            </w:r>
          </w:p>
          <w:p w14:paraId="3083794C">
            <w:pPr>
              <w:widowControl/>
              <w:shd w:val="clear" w:color="auto" w:fill="FFFFFF"/>
              <w:spacing w:line="360" w:lineRule="exact"/>
              <w:ind w:firstLine="420" w:firstLineChars="200"/>
              <w:rPr>
                <w:rFonts w:hAnsi="宋体" w:cs="Courier New"/>
                <w:color w:val="auto"/>
                <w:highlight w:val="none"/>
              </w:rPr>
            </w:pPr>
            <w:r>
              <w:rPr>
                <w:rFonts w:hint="eastAsia" w:ascii="宋体" w:hAnsi="宋体"/>
                <w:color w:val="auto"/>
                <w:szCs w:val="21"/>
                <w:highlight w:val="none"/>
              </w:rPr>
              <w:t>投标人建立有质量管理体系并能满足本项目履行需要的（需提供相关证明材料扫描件），得</w:t>
            </w:r>
            <w:r>
              <w:rPr>
                <w:rFonts w:hint="eastAsia" w:ascii="宋体" w:hAnsi="宋体"/>
                <w:color w:val="auto"/>
                <w:szCs w:val="21"/>
                <w:highlight w:val="none"/>
                <w:lang w:val="en-US" w:eastAsia="zh-CN"/>
              </w:rPr>
              <w:t>1</w:t>
            </w:r>
            <w:r>
              <w:rPr>
                <w:rFonts w:hint="eastAsia" w:ascii="宋体" w:hAnsi="宋体"/>
                <w:color w:val="auto"/>
                <w:szCs w:val="21"/>
                <w:highlight w:val="none"/>
              </w:rPr>
              <w:t>分，否则不得分。</w:t>
            </w:r>
          </w:p>
        </w:tc>
      </w:tr>
      <w:tr w14:paraId="2369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Merge w:val="restart"/>
            <w:noWrap w:val="0"/>
            <w:vAlign w:val="center"/>
          </w:tcPr>
          <w:p w14:paraId="7B7F2FF2">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3</w:t>
            </w:r>
          </w:p>
        </w:tc>
        <w:tc>
          <w:tcPr>
            <w:tcW w:w="627" w:type="pct"/>
            <w:vMerge w:val="restart"/>
            <w:noWrap w:val="0"/>
            <w:vAlign w:val="center"/>
          </w:tcPr>
          <w:p w14:paraId="0CF03367">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商务分（满分31分）</w:t>
            </w:r>
          </w:p>
        </w:tc>
        <w:tc>
          <w:tcPr>
            <w:tcW w:w="616" w:type="pct"/>
            <w:noWrap w:val="0"/>
            <w:vAlign w:val="center"/>
          </w:tcPr>
          <w:p w14:paraId="053E1354">
            <w:pPr>
              <w:spacing w:line="360" w:lineRule="exact"/>
              <w:jc w:val="center"/>
              <w:rPr>
                <w:rFonts w:ascii="宋体" w:hAnsi="宋体"/>
                <w:bCs/>
                <w:color w:val="auto"/>
                <w:szCs w:val="21"/>
                <w:highlight w:val="none"/>
              </w:rPr>
            </w:pPr>
            <w:r>
              <w:rPr>
                <w:rFonts w:hint="eastAsia" w:ascii="宋体" w:hAnsi="宋体"/>
                <w:bCs/>
                <w:color w:val="auto"/>
                <w:szCs w:val="21"/>
                <w:highlight w:val="none"/>
              </w:rPr>
              <w:t>售前、售中和售后服务方案（满分</w:t>
            </w:r>
            <w:r>
              <w:rPr>
                <w:rFonts w:ascii="宋体" w:hAnsi="宋体"/>
                <w:bCs/>
                <w:color w:val="auto"/>
                <w:szCs w:val="21"/>
                <w:highlight w:val="none"/>
              </w:rPr>
              <w:t>15</w:t>
            </w:r>
            <w:r>
              <w:rPr>
                <w:rFonts w:hint="eastAsia" w:ascii="宋体" w:hAnsi="宋体"/>
                <w:bCs/>
                <w:color w:val="auto"/>
                <w:szCs w:val="21"/>
                <w:highlight w:val="none"/>
              </w:rPr>
              <w:t>分）</w:t>
            </w:r>
          </w:p>
        </w:tc>
        <w:tc>
          <w:tcPr>
            <w:tcW w:w="3462" w:type="pct"/>
            <w:noWrap w:val="0"/>
            <w:vAlign w:val="top"/>
          </w:tcPr>
          <w:p w14:paraId="6911CB51">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由评委根据各投标人提供的售前及对采购人：①对接方案、②疫苗运输质量保障方案、③培训、④监测、⑤应激反应处置、⑥疫苗质量问题及免疫失败应急处置、⑦确保疫苗运输、贮藏、使用各环节的质量和使用效果的其他相关服务方案进行评审。（满分15分）</w:t>
            </w:r>
          </w:p>
          <w:p w14:paraId="597A821D">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一档（5分）：投标人售前、售中和售后服务方案中以上7个方面中，能提供至少②④⑤⑥四个方面的服务方案，每个方面服务方案具体，且内容明确，能够有效保障后期售后服务的落地。</w:t>
            </w:r>
          </w:p>
          <w:p w14:paraId="55FB150F">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二档（10分）：满足一档要求，且投标人售前、售中和售后服务方案中以上7个方面均能提供服务方案，各方面内容独立且明确，且提供有服务保障体系，提供有合理的技术服务队伍组织配置，能够有效保障后期广西动物疫病预防控制中心、广西14个市及所属的各县（市、区）动物疫病预防控制机构的售后服务执行。</w:t>
            </w:r>
          </w:p>
          <w:p w14:paraId="0F889671">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三档（15分）： 满足二档要求，能够根据以往项目经验，结合本项目采购单位特点提供合理化建议，并有对应的解决方案及措施，评标时被评委所接受的。</w:t>
            </w:r>
          </w:p>
        </w:tc>
      </w:tr>
      <w:tr w14:paraId="4081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Merge w:val="continue"/>
            <w:noWrap w:val="0"/>
            <w:vAlign w:val="center"/>
          </w:tcPr>
          <w:p w14:paraId="477E4528">
            <w:pPr>
              <w:adjustRightInd w:val="0"/>
              <w:spacing w:line="360" w:lineRule="exact"/>
              <w:jc w:val="center"/>
              <w:textAlignment w:val="baseline"/>
              <w:rPr>
                <w:rFonts w:hint="eastAsia" w:ascii="宋体" w:hAnsi="宋体"/>
                <w:color w:val="auto"/>
                <w:szCs w:val="21"/>
                <w:highlight w:val="none"/>
              </w:rPr>
            </w:pPr>
          </w:p>
        </w:tc>
        <w:tc>
          <w:tcPr>
            <w:tcW w:w="627" w:type="pct"/>
            <w:vMerge w:val="continue"/>
            <w:noWrap w:val="0"/>
            <w:vAlign w:val="center"/>
          </w:tcPr>
          <w:p w14:paraId="4100AEA6">
            <w:pPr>
              <w:adjustRightInd w:val="0"/>
              <w:spacing w:line="360" w:lineRule="exact"/>
              <w:jc w:val="center"/>
              <w:textAlignment w:val="baseline"/>
              <w:rPr>
                <w:rFonts w:hint="eastAsia" w:ascii="宋体" w:hAnsi="宋体"/>
                <w:b/>
                <w:bCs/>
                <w:color w:val="auto"/>
                <w:szCs w:val="21"/>
                <w:highlight w:val="none"/>
              </w:rPr>
            </w:pPr>
          </w:p>
        </w:tc>
        <w:tc>
          <w:tcPr>
            <w:tcW w:w="616" w:type="pct"/>
            <w:noWrap w:val="0"/>
            <w:vAlign w:val="center"/>
          </w:tcPr>
          <w:p w14:paraId="441C57EB">
            <w:pPr>
              <w:adjustRightInd w:val="0"/>
              <w:spacing w:line="360" w:lineRule="exact"/>
              <w:jc w:val="center"/>
              <w:textAlignment w:val="baseline"/>
              <w:rPr>
                <w:rFonts w:hint="eastAsia" w:ascii="宋体" w:hAnsi="宋体"/>
                <w:bCs/>
                <w:color w:val="auto"/>
                <w:szCs w:val="21"/>
                <w:highlight w:val="none"/>
              </w:rPr>
            </w:pPr>
            <w:r>
              <w:rPr>
                <w:rFonts w:hint="eastAsia" w:ascii="宋体" w:hAnsi="宋体"/>
                <w:bCs/>
                <w:color w:val="auto"/>
                <w:szCs w:val="21"/>
                <w:highlight w:val="none"/>
              </w:rPr>
              <w:t>信誉业绩（满分16分）</w:t>
            </w:r>
          </w:p>
        </w:tc>
        <w:tc>
          <w:tcPr>
            <w:tcW w:w="3462" w:type="pct"/>
            <w:noWrap w:val="0"/>
            <w:vAlign w:val="center"/>
          </w:tcPr>
          <w:p w14:paraId="6C24B821">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（1）供货业绩：根据202</w:t>
            </w:r>
            <w:r>
              <w:rPr>
                <w:rFonts w:hint="eastAsia" w:ascii="宋体" w:hAnsi="宋体"/>
                <w:bCs/>
                <w:color w:val="auto"/>
                <w:szCs w:val="21"/>
                <w:highlight w:val="none"/>
                <w:lang w:val="en-US" w:eastAsia="zh-CN"/>
              </w:rPr>
              <w:t>5</w:t>
            </w:r>
            <w:r>
              <w:rPr>
                <w:rFonts w:hint="eastAsia" w:ascii="宋体" w:hAnsi="宋体"/>
                <w:bCs/>
                <w:color w:val="auto"/>
                <w:szCs w:val="21"/>
                <w:highlight w:val="none"/>
              </w:rPr>
              <w:t>年以来，截至本采购文件正式发布之日前一日为止，</w:t>
            </w:r>
            <w:r>
              <w:rPr>
                <w:rFonts w:hint="eastAsia" w:ascii="宋体" w:hAnsi="宋体"/>
                <w:bCs/>
                <w:color w:val="auto"/>
                <w:szCs w:val="21"/>
                <w:highlight w:val="none"/>
                <w:lang w:val="en-US" w:eastAsia="zh-CN"/>
              </w:rPr>
              <w:t>投标</w:t>
            </w:r>
            <w:r>
              <w:rPr>
                <w:rFonts w:hint="eastAsia" w:ascii="宋体" w:hAnsi="宋体"/>
                <w:bCs/>
                <w:color w:val="auto"/>
                <w:szCs w:val="21"/>
                <w:highlight w:val="none"/>
              </w:rPr>
              <w:t>产品</w:t>
            </w:r>
            <w:r>
              <w:rPr>
                <w:rFonts w:hint="eastAsia" w:ascii="宋体" w:hAnsi="宋体"/>
                <w:bCs/>
                <w:color w:val="auto"/>
                <w:szCs w:val="21"/>
                <w:highlight w:val="none"/>
                <w:lang w:val="en-US" w:eastAsia="zh-CN"/>
              </w:rPr>
              <w:t>或同类产品（仅限口蹄疫灭活疫苗）</w:t>
            </w:r>
            <w:r>
              <w:rPr>
                <w:rFonts w:hint="eastAsia" w:ascii="宋体" w:hAnsi="宋体"/>
                <w:bCs/>
                <w:color w:val="auto"/>
                <w:szCs w:val="21"/>
                <w:highlight w:val="none"/>
              </w:rPr>
              <w:t>业绩情况进行评分，提供一个采购合同得</w:t>
            </w:r>
            <w:r>
              <w:rPr>
                <w:rFonts w:hint="eastAsia" w:ascii="宋体" w:hAnsi="宋体"/>
                <w:bCs/>
                <w:color w:val="auto"/>
                <w:szCs w:val="21"/>
                <w:highlight w:val="none"/>
                <w:lang w:val="en-US" w:eastAsia="zh-CN"/>
              </w:rPr>
              <w:t>1</w:t>
            </w:r>
            <w:r>
              <w:rPr>
                <w:rFonts w:hint="eastAsia" w:ascii="宋体" w:hAnsi="宋体"/>
                <w:bCs/>
                <w:color w:val="auto"/>
                <w:szCs w:val="21"/>
                <w:highlight w:val="none"/>
              </w:rPr>
              <w:t>分，同一采购人的多份合同只算一份业绩分（</w:t>
            </w:r>
            <w:r>
              <w:rPr>
                <w:rFonts w:hint="eastAsia" w:ascii="宋体" w:hAnsi="宋体"/>
                <w:bCs/>
                <w:color w:val="auto"/>
                <w:szCs w:val="21"/>
                <w:highlight w:val="none"/>
                <w:lang w:val="en-US" w:eastAsia="zh-CN"/>
              </w:rPr>
              <w:t>1</w:t>
            </w:r>
            <w:r>
              <w:rPr>
                <w:rFonts w:hint="eastAsia" w:ascii="宋体" w:hAnsi="宋体"/>
                <w:bCs/>
                <w:color w:val="auto"/>
                <w:szCs w:val="21"/>
                <w:highlight w:val="none"/>
              </w:rPr>
              <w:t>分），满分8分。投标文件中提供签订的合同扫描件（要求清晰反映合同主要内容）。</w:t>
            </w:r>
          </w:p>
          <w:p w14:paraId="29611B02">
            <w:pPr>
              <w:pStyle w:val="18"/>
              <w:spacing w:line="360" w:lineRule="exact"/>
              <w:ind w:firstLine="420" w:firstLineChars="200"/>
              <w:jc w:val="left"/>
              <w:rPr>
                <w:rFonts w:hint="eastAsia" w:ascii="宋体" w:hAnsi="宋体"/>
                <w:bCs/>
                <w:color w:val="auto"/>
                <w:kern w:val="2"/>
                <w:sz w:val="21"/>
                <w:szCs w:val="21"/>
                <w:highlight w:val="none"/>
              </w:rPr>
            </w:pPr>
            <w:r>
              <w:rPr>
                <w:rFonts w:hint="eastAsia" w:ascii="宋体" w:hAnsi="宋体"/>
                <w:bCs/>
                <w:color w:val="auto"/>
                <w:kern w:val="2"/>
                <w:sz w:val="21"/>
                <w:szCs w:val="21"/>
                <w:highlight w:val="none"/>
              </w:rPr>
              <w:t>（2）合同履行用户评价意见：根据202</w:t>
            </w:r>
            <w:r>
              <w:rPr>
                <w:rFonts w:hint="eastAsia" w:ascii="宋体" w:hAnsi="宋体"/>
                <w:bCs/>
                <w:color w:val="auto"/>
                <w:kern w:val="2"/>
                <w:sz w:val="21"/>
                <w:szCs w:val="21"/>
                <w:highlight w:val="none"/>
                <w:lang w:val="en-US" w:eastAsia="zh-CN"/>
              </w:rPr>
              <w:t>5</w:t>
            </w:r>
            <w:r>
              <w:rPr>
                <w:rFonts w:hint="eastAsia" w:ascii="宋体" w:hAnsi="宋体"/>
                <w:bCs/>
                <w:color w:val="auto"/>
                <w:kern w:val="2"/>
                <w:sz w:val="21"/>
                <w:szCs w:val="21"/>
                <w:highlight w:val="none"/>
              </w:rPr>
              <w:t>年以来，上述供货业绩的用户对投标人相关产品质量、服务、信誉等方面的反馈意见进行综合评价，每有1份合同履行用户评价意见且没有负面评价的，得</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分（同一采购人出具的用户合同评价意见只计</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分），满分8分。合同履行用户评价意见以用户出具并加盖公章的扫描件为准。</w:t>
            </w:r>
          </w:p>
        </w:tc>
      </w:tr>
      <w:tr w14:paraId="0363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94" w:type="pct"/>
            <w:noWrap w:val="0"/>
            <w:vAlign w:val="center"/>
          </w:tcPr>
          <w:p w14:paraId="3BC11726">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4</w:t>
            </w:r>
          </w:p>
        </w:tc>
        <w:tc>
          <w:tcPr>
            <w:tcW w:w="1196" w:type="dxa"/>
            <w:noWrap w:val="0"/>
            <w:vAlign w:val="center"/>
          </w:tcPr>
          <w:p w14:paraId="206B90C1">
            <w:pPr>
              <w:adjustRightInd w:val="0"/>
              <w:snapToGrid w:val="0"/>
              <w:spacing w:line="360" w:lineRule="exact"/>
              <w:jc w:val="center"/>
              <w:textAlignment w:val="baseline"/>
              <w:rPr>
                <w:rFonts w:hint="eastAsia" w:ascii="宋体" w:hAnsi="宋体"/>
                <w:b/>
                <w:color w:val="auto"/>
                <w:szCs w:val="21"/>
                <w:highlight w:val="none"/>
              </w:rPr>
            </w:pPr>
            <w:r>
              <w:rPr>
                <w:rFonts w:hint="eastAsia" w:ascii="宋体" w:hAnsi="宋体"/>
                <w:b/>
                <w:bCs/>
                <w:color w:val="auto"/>
                <w:szCs w:val="21"/>
                <w:highlight w:val="none"/>
              </w:rPr>
              <w:t>政策分（</w:t>
            </w:r>
            <w:r>
              <w:rPr>
                <w:rFonts w:hint="eastAsia" w:ascii="宋体" w:hAnsi="宋体"/>
                <w:b/>
                <w:color w:val="auto"/>
                <w:szCs w:val="21"/>
                <w:highlight w:val="none"/>
              </w:rPr>
              <w:t>满分2</w:t>
            </w:r>
            <w:r>
              <w:rPr>
                <w:rFonts w:hint="eastAsia" w:ascii="宋体" w:hAnsi="宋体"/>
                <w:b/>
                <w:bCs/>
                <w:color w:val="auto"/>
                <w:szCs w:val="21"/>
                <w:highlight w:val="none"/>
              </w:rPr>
              <w:t>分）</w:t>
            </w:r>
          </w:p>
        </w:tc>
        <w:tc>
          <w:tcPr>
            <w:tcW w:w="1175" w:type="dxa"/>
            <w:noWrap w:val="0"/>
            <w:vAlign w:val="center"/>
          </w:tcPr>
          <w:p w14:paraId="323BE1FA">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节能、环保产品（满分2分）</w:t>
            </w:r>
          </w:p>
        </w:tc>
        <w:tc>
          <w:tcPr>
            <w:tcW w:w="6605" w:type="dxa"/>
            <w:noWrap w:val="0"/>
            <w:vAlign w:val="center"/>
          </w:tcPr>
          <w:p w14:paraId="3611B9EF">
            <w:pPr>
              <w:spacing w:line="360" w:lineRule="exact"/>
              <w:ind w:firstLine="42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（1）属于财政部《节能产品政府采购品目清单》内优先采购（清单内未标注“★”的品目）的产品[投标文件中提供有效的认证证书复印件及品目清单（标注出投标产品在品目清单中所属的品目）]的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p w14:paraId="2E324C4D">
            <w:pPr>
              <w:adjustRightInd w:val="0"/>
              <w:snapToGrid w:val="0"/>
              <w:spacing w:line="360" w:lineRule="exact"/>
              <w:ind w:firstLine="435"/>
              <w:textAlignment w:val="baseline"/>
              <w:rPr>
                <w:rFonts w:hint="eastAsia" w:ascii="宋体" w:hAnsi="宋体"/>
                <w:b/>
                <w:color w:val="auto"/>
                <w:szCs w:val="21"/>
                <w:highlight w:val="none"/>
              </w:rPr>
            </w:pPr>
            <w:r>
              <w:rPr>
                <w:rFonts w:hint="eastAsia" w:ascii="宋体" w:hAnsi="宋体" w:cs="Courier New"/>
                <w:bCs/>
                <w:color w:val="auto"/>
                <w:kern w:val="0"/>
                <w:szCs w:val="21"/>
                <w:highlight w:val="none"/>
              </w:rPr>
              <w:t>（2）属于财政部《环境标志产品政府采购品目清单》内的产品[投标文件中提供有效的认证证书复印件及品目清单（标注出投标产品在品目清单中所属的品目）]的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tc>
      </w:tr>
      <w:tr w14:paraId="2EA1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4"/>
            <w:noWrap w:val="0"/>
            <w:vAlign w:val="center"/>
          </w:tcPr>
          <w:p w14:paraId="6C2F6F90">
            <w:pPr>
              <w:pStyle w:val="24"/>
              <w:snapToGrid w:val="0"/>
              <w:spacing w:line="360" w:lineRule="exact"/>
              <w:rPr>
                <w:rFonts w:hAnsi="宋体"/>
                <w:b/>
                <w:bCs/>
                <w:color w:val="auto"/>
                <w:sz w:val="21"/>
                <w:highlight w:val="none"/>
              </w:rPr>
            </w:pPr>
            <w:r>
              <w:rPr>
                <w:rFonts w:hint="eastAsia" w:hAnsi="宋体"/>
                <w:b/>
                <w:bCs/>
                <w:color w:val="auto"/>
                <w:sz w:val="21"/>
                <w:highlight w:val="none"/>
              </w:rPr>
              <w:t>总得分=1+2+3+4</w:t>
            </w:r>
          </w:p>
        </w:tc>
      </w:tr>
    </w:tbl>
    <w:p w14:paraId="0F0176D1">
      <w:pPr>
        <w:pStyle w:val="24"/>
        <w:spacing w:line="380" w:lineRule="exact"/>
        <w:ind w:firstLine="420"/>
        <w:rPr>
          <w:rFonts w:hAnsi="宋体"/>
          <w:bCs/>
          <w:color w:val="auto"/>
          <w:sz w:val="21"/>
          <w:highlight w:val="none"/>
        </w:rPr>
      </w:pPr>
    </w:p>
    <w:p w14:paraId="7E9E1A2E">
      <w:pPr>
        <w:rPr>
          <w:rFonts w:hint="eastAsia"/>
          <w:b/>
          <w:bCs/>
          <w:color w:val="auto"/>
          <w:sz w:val="24"/>
          <w:highlight w:val="none"/>
        </w:rPr>
      </w:pPr>
      <w:r>
        <w:rPr>
          <w:rFonts w:hint="eastAsia"/>
          <w:b/>
          <w:bCs/>
          <w:color w:val="auto"/>
          <w:sz w:val="24"/>
          <w:highlight w:val="none"/>
        </w:rPr>
        <w:br w:type="page"/>
      </w:r>
      <w:r>
        <w:rPr>
          <w:rFonts w:hint="eastAsia"/>
          <w:b/>
          <w:bCs/>
          <w:color w:val="auto"/>
          <w:sz w:val="24"/>
          <w:highlight w:val="none"/>
        </w:rPr>
        <w:t>适用</w:t>
      </w:r>
      <w:r>
        <w:rPr>
          <w:rFonts w:hint="eastAsia"/>
          <w:b/>
          <w:bCs/>
          <w:color w:val="auto"/>
          <w:sz w:val="24"/>
          <w:highlight w:val="none"/>
          <w:u w:val="single"/>
        </w:rPr>
        <w:t xml:space="preserve"> </w:t>
      </w:r>
      <w:r>
        <w:rPr>
          <w:rFonts w:hint="eastAsia" w:ascii="宋体" w:hAnsi="宋体"/>
          <w:b/>
          <w:bCs/>
          <w:color w:val="auto"/>
          <w:sz w:val="24"/>
          <w:highlight w:val="none"/>
          <w:u w:val="single"/>
        </w:rPr>
        <w:t xml:space="preserve">B </w:t>
      </w:r>
      <w:r>
        <w:rPr>
          <w:rFonts w:hint="eastAsia" w:ascii="宋体" w:hAnsi="宋体"/>
          <w:b/>
          <w:bCs/>
          <w:color w:val="auto"/>
          <w:sz w:val="24"/>
          <w:highlight w:val="none"/>
        </w:rPr>
        <w:t>分标    标的名称：猪口蹄疫O型合成肽疫苗</w:t>
      </w:r>
    </w:p>
    <w:tbl>
      <w:tblPr>
        <w:tblStyle w:val="49"/>
        <w:tblW w:w="51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143"/>
        <w:gridCol w:w="1229"/>
        <w:gridCol w:w="6974"/>
      </w:tblGrid>
      <w:tr w14:paraId="6474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61" w:type="pct"/>
            <w:gridSpan w:val="2"/>
            <w:noWrap w:val="0"/>
            <w:vAlign w:val="center"/>
          </w:tcPr>
          <w:p w14:paraId="296C17B5">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序号</w:t>
            </w:r>
          </w:p>
        </w:tc>
        <w:tc>
          <w:tcPr>
            <w:tcW w:w="620" w:type="pct"/>
            <w:noWrap w:val="0"/>
            <w:vAlign w:val="center"/>
          </w:tcPr>
          <w:p w14:paraId="3AB52FA7">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评审因素</w:t>
            </w:r>
          </w:p>
        </w:tc>
        <w:tc>
          <w:tcPr>
            <w:tcW w:w="3517" w:type="pct"/>
            <w:noWrap w:val="0"/>
            <w:vAlign w:val="center"/>
          </w:tcPr>
          <w:p w14:paraId="23E04634">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评标标准</w:t>
            </w:r>
          </w:p>
        </w:tc>
      </w:tr>
      <w:tr w14:paraId="5F12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5CC4FB2F">
            <w:pPr>
              <w:adjustRightInd w:val="0"/>
              <w:spacing w:line="360" w:lineRule="exact"/>
              <w:jc w:val="center"/>
              <w:textAlignment w:val="baseline"/>
              <w:rPr>
                <w:rFonts w:ascii="宋体" w:hAnsi="宋体"/>
                <w:color w:val="auto"/>
                <w:szCs w:val="21"/>
                <w:highlight w:val="none"/>
              </w:rPr>
            </w:pPr>
            <w:r>
              <w:rPr>
                <w:rFonts w:hint="eastAsia" w:ascii="宋体" w:hAnsi="宋体"/>
                <w:color w:val="auto"/>
                <w:szCs w:val="21"/>
                <w:highlight w:val="none"/>
              </w:rPr>
              <w:t>1</w:t>
            </w:r>
          </w:p>
        </w:tc>
        <w:tc>
          <w:tcPr>
            <w:tcW w:w="577" w:type="pct"/>
            <w:noWrap w:val="0"/>
            <w:vAlign w:val="center"/>
          </w:tcPr>
          <w:p w14:paraId="6DD79C5A">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价格分</w:t>
            </w:r>
          </w:p>
          <w:p w14:paraId="52185823">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（满分</w:t>
            </w:r>
            <w:r>
              <w:rPr>
                <w:rFonts w:ascii="宋体" w:hAnsi="宋体"/>
                <w:b/>
                <w:bCs/>
                <w:color w:val="auto"/>
                <w:szCs w:val="21"/>
                <w:highlight w:val="none"/>
                <w:u w:val="single"/>
              </w:rPr>
              <w:t>30</w:t>
            </w:r>
            <w:r>
              <w:rPr>
                <w:rFonts w:hint="eastAsia" w:ascii="宋体" w:hAnsi="宋体"/>
                <w:b/>
                <w:bCs/>
                <w:color w:val="auto"/>
                <w:szCs w:val="21"/>
                <w:highlight w:val="none"/>
              </w:rPr>
              <w:t>分）</w:t>
            </w:r>
          </w:p>
        </w:tc>
        <w:tc>
          <w:tcPr>
            <w:tcW w:w="620" w:type="pct"/>
            <w:noWrap w:val="0"/>
            <w:vAlign w:val="center"/>
          </w:tcPr>
          <w:p w14:paraId="7C1FE32C">
            <w:pPr>
              <w:adjustRightInd w:val="0"/>
              <w:spacing w:line="360" w:lineRule="exact"/>
              <w:jc w:val="center"/>
              <w:textAlignment w:val="baseline"/>
              <w:rPr>
                <w:rFonts w:ascii="宋体" w:hAnsi="宋体"/>
                <w:bCs/>
                <w:color w:val="auto"/>
                <w:szCs w:val="21"/>
                <w:highlight w:val="none"/>
              </w:rPr>
            </w:pPr>
            <w:r>
              <w:rPr>
                <w:rFonts w:hint="eastAsia" w:ascii="宋体" w:hAnsi="宋体"/>
                <w:bCs/>
                <w:color w:val="auto"/>
                <w:szCs w:val="21"/>
                <w:highlight w:val="none"/>
              </w:rPr>
              <w:t>投标报价（满分</w:t>
            </w:r>
            <w:r>
              <w:rPr>
                <w:rFonts w:ascii="宋体" w:hAnsi="宋体"/>
                <w:bCs/>
                <w:color w:val="auto"/>
                <w:szCs w:val="21"/>
                <w:highlight w:val="none"/>
              </w:rPr>
              <w:t>30</w:t>
            </w:r>
            <w:r>
              <w:rPr>
                <w:rFonts w:hint="eastAsia" w:ascii="宋体" w:hAnsi="宋体"/>
                <w:bCs/>
                <w:color w:val="auto"/>
                <w:szCs w:val="21"/>
                <w:highlight w:val="none"/>
              </w:rPr>
              <w:t>分）</w:t>
            </w:r>
          </w:p>
        </w:tc>
        <w:tc>
          <w:tcPr>
            <w:tcW w:w="3517" w:type="pct"/>
            <w:noWrap w:val="0"/>
            <w:vAlign w:val="center"/>
          </w:tcPr>
          <w:p w14:paraId="12A626B5">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3CD39980">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（2）政策性扣除计算方法。</w:t>
            </w:r>
          </w:p>
          <w:p w14:paraId="4FA0E258">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77C40433">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7C0286A8">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08ABB916">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（5）本国产品政策性扣除计算方法。</w:t>
            </w:r>
          </w:p>
          <w:p w14:paraId="0CC2F30D">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910B173">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478A1FB8">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1EFA6CF6">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如果所有参与竞争的供应商均可享受本国产品价格评审优惠，则统一不进行价格扣除。</w:t>
            </w:r>
          </w:p>
          <w:p w14:paraId="30FF93FF">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（6）中小企业折扣与本国产品折扣进行叠加计算，用扣除后的价格参加评审。即评</w:t>
            </w:r>
            <w:r>
              <w:rPr>
                <w:rFonts w:hint="eastAsia" w:ascii="宋体" w:hAnsi="宋体"/>
                <w:bCs/>
                <w:color w:val="auto"/>
                <w:szCs w:val="21"/>
                <w:highlight w:val="none"/>
                <w:lang w:val="en-US" w:eastAsia="zh-CN"/>
              </w:rPr>
              <w:t>标</w:t>
            </w:r>
            <w:r>
              <w:rPr>
                <w:rFonts w:hint="eastAsia" w:ascii="宋体" w:hAnsi="宋体"/>
                <w:bCs/>
                <w:color w:val="auto"/>
                <w:szCs w:val="21"/>
                <w:highlight w:val="none"/>
              </w:rPr>
              <w:t>价=投标报价-中小企业折扣</w:t>
            </w:r>
            <w:r>
              <w:rPr>
                <w:rFonts w:hint="eastAsia" w:ascii="宋体" w:hAnsi="宋体"/>
                <w:bCs/>
                <w:color w:val="auto"/>
                <w:szCs w:val="21"/>
                <w:highlight w:val="none"/>
                <w:shd w:val="clear" w:color="auto" w:fill="auto"/>
                <w:lang w:val="en-US" w:eastAsia="zh-CN"/>
              </w:rPr>
              <w:t>价</w:t>
            </w:r>
            <w:r>
              <w:rPr>
                <w:rFonts w:hint="eastAsia" w:ascii="宋体" w:hAnsi="宋体"/>
                <w:bCs/>
                <w:color w:val="auto"/>
                <w:szCs w:val="21"/>
                <w:highlight w:val="none"/>
                <w:shd w:val="clear" w:color="auto" w:fill="auto"/>
              </w:rPr>
              <w:t>-本国产品折扣</w:t>
            </w:r>
            <w:r>
              <w:rPr>
                <w:rFonts w:hint="eastAsia" w:ascii="宋体" w:hAnsi="宋体"/>
                <w:bCs/>
                <w:color w:val="auto"/>
                <w:szCs w:val="21"/>
                <w:highlight w:val="none"/>
                <w:shd w:val="clear" w:color="auto" w:fill="auto"/>
                <w:lang w:val="en-US" w:eastAsia="zh-CN"/>
              </w:rPr>
              <w:t>价</w:t>
            </w:r>
            <w:r>
              <w:rPr>
                <w:rFonts w:hint="eastAsia" w:ascii="宋体" w:hAnsi="宋体"/>
                <w:bCs/>
                <w:color w:val="auto"/>
                <w:szCs w:val="21"/>
                <w:highlight w:val="none"/>
                <w:shd w:val="clear" w:color="auto" w:fill="auto"/>
              </w:rPr>
              <w:t>，</w:t>
            </w:r>
            <w:r>
              <w:rPr>
                <w:rFonts w:hint="eastAsia" w:ascii="宋体" w:hAnsi="宋体"/>
                <w:bCs/>
                <w:color w:val="auto"/>
                <w:szCs w:val="21"/>
                <w:highlight w:val="none"/>
              </w:rPr>
              <w:t>除上述情况外，评标价=投标报价。</w:t>
            </w:r>
          </w:p>
          <w:p w14:paraId="442EF16A">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（7）满足招标文件要求且评标价最低的评标价为评标基准价，其价格分为满分。</w:t>
            </w:r>
          </w:p>
          <w:p w14:paraId="76E5E584">
            <w:pPr>
              <w:snapToGrid w:val="0"/>
              <w:spacing w:line="360" w:lineRule="exact"/>
              <w:ind w:firstLine="233" w:firstLineChars="111"/>
              <w:rPr>
                <w:rFonts w:hint="eastAsia" w:ascii="宋体" w:hAnsi="宋体" w:cs="Courier New"/>
                <w:bCs/>
                <w:color w:val="auto"/>
                <w:szCs w:val="21"/>
                <w:highlight w:val="none"/>
              </w:rPr>
            </w:pPr>
            <w:r>
              <w:rPr>
                <w:rFonts w:hint="eastAsia" w:ascii="宋体" w:hAnsi="宋体"/>
                <w:bCs/>
                <w:color w:val="auto"/>
                <w:szCs w:val="21"/>
                <w:highlight w:val="none"/>
              </w:rPr>
              <w:t>（8）价格分计算公式：价格分=（评标基准价/评标价）×30分</w:t>
            </w:r>
          </w:p>
        </w:tc>
      </w:tr>
      <w:tr w14:paraId="65C0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restart"/>
            <w:noWrap w:val="0"/>
            <w:vAlign w:val="center"/>
          </w:tcPr>
          <w:p w14:paraId="73E0A38C">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2</w:t>
            </w:r>
          </w:p>
        </w:tc>
        <w:tc>
          <w:tcPr>
            <w:tcW w:w="577" w:type="pct"/>
            <w:vMerge w:val="restart"/>
            <w:noWrap w:val="0"/>
            <w:vAlign w:val="center"/>
          </w:tcPr>
          <w:p w14:paraId="45DDE9EC">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技术分（满分37分）</w:t>
            </w:r>
          </w:p>
        </w:tc>
        <w:tc>
          <w:tcPr>
            <w:tcW w:w="620" w:type="pct"/>
            <w:noWrap w:val="0"/>
            <w:vAlign w:val="center"/>
          </w:tcPr>
          <w:p w14:paraId="5C42CD12">
            <w:pPr>
              <w:adjustRightInd w:val="0"/>
              <w:spacing w:line="360" w:lineRule="exact"/>
              <w:jc w:val="left"/>
              <w:textAlignment w:val="baseline"/>
              <w:rPr>
                <w:rFonts w:ascii="宋体" w:hAnsi="宋体"/>
                <w:color w:val="auto"/>
                <w:szCs w:val="21"/>
                <w:highlight w:val="none"/>
                <w:u w:val="single"/>
              </w:rPr>
            </w:pPr>
            <w:r>
              <w:rPr>
                <w:rFonts w:hint="eastAsia" w:ascii="宋体" w:hAnsi="宋体"/>
                <w:color w:val="auto"/>
                <w:szCs w:val="21"/>
                <w:highlight w:val="none"/>
              </w:rPr>
              <w:t>产品主要技术参数、性能及原料分（满分22分）</w:t>
            </w:r>
          </w:p>
        </w:tc>
        <w:tc>
          <w:tcPr>
            <w:tcW w:w="3517" w:type="pct"/>
            <w:noWrap w:val="0"/>
            <w:vAlign w:val="center"/>
          </w:tcPr>
          <w:p w14:paraId="0D23B618">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评审时提供2025年以来连续5批次疫苗批签发报告原件扫描件，批签发报告中的指标参数必须清晰，否则本项第①、②项不得分。</w:t>
            </w:r>
          </w:p>
          <w:p w14:paraId="538A126C">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①PD50平均值（满分16分）：计算上述连续5批次的批签发报告中疫苗的PD50平均值（双组份或三组份疫苗以PD50较低的毒株为准）。6.00≤PD50平均值＜8.00得12分，8.00≤PD50平均值＜10.00得14分，PD50平均值≥10.00得16分。上述疫苗批签发报告有一个批次及以上PD50值小于6.00，此项不得分。</w:t>
            </w:r>
          </w:p>
          <w:p w14:paraId="1859C065">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②粘度（满分3分）：计算上述连续5批次的批签发报告粘度的平均值。粘度平均值（单位：cp）＜20得3分，20≤粘度平均值＜30得2.5分，30≤粘度平均值＜100得2分。</w:t>
            </w:r>
          </w:p>
          <w:p w14:paraId="6F9DF937">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③佐剂（满分2分）：投标人提供2025年度以来相应疫苗佐剂的购买合同和发票原件的彩色扫描件等证明材料，且采购数量不少于最小投标标的所需佐剂量的50%（按如下方式推算：若投标标的为1000万毫升，按佐剂用量约为66%，佐剂比重是0.83计算，则所需佐剂量50%=1000×66%×0.83×50%约为2.8吨），得2分；合同和发票均未提供，或者只提供其中一项的，均不得分。</w:t>
            </w:r>
          </w:p>
          <w:p w14:paraId="0AB695D8">
            <w:pPr>
              <w:widowControl/>
              <w:shd w:val="clear" w:color="auto" w:fill="FFFFFF"/>
              <w:spacing w:line="360" w:lineRule="exact"/>
              <w:ind w:firstLine="420" w:firstLineChars="200"/>
              <w:rPr>
                <w:rFonts w:hint="eastAsia" w:hAnsi="宋体" w:cs="Courier New"/>
                <w:color w:val="auto"/>
                <w:highlight w:val="none"/>
              </w:rPr>
            </w:pPr>
            <w:r>
              <w:rPr>
                <w:rFonts w:hint="eastAsia" w:hAnsi="宋体" w:cs="Courier New"/>
                <w:bCs/>
                <w:color w:val="auto"/>
                <w:highlight w:val="none"/>
              </w:rPr>
              <w:t>④产品规格（满分1分）：承诺提供比例不低于30%的最小规格（详见第二章招标项目采购需求表）产品得1分。</w:t>
            </w:r>
          </w:p>
        </w:tc>
      </w:tr>
      <w:tr w14:paraId="4FF8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continue"/>
            <w:noWrap w:val="0"/>
            <w:vAlign w:val="center"/>
          </w:tcPr>
          <w:p w14:paraId="2D149EDD">
            <w:pPr>
              <w:adjustRightInd w:val="0"/>
              <w:spacing w:line="360" w:lineRule="exact"/>
              <w:jc w:val="center"/>
              <w:textAlignment w:val="baseline"/>
              <w:rPr>
                <w:rFonts w:hint="eastAsia" w:ascii="宋体" w:hAnsi="宋体"/>
                <w:color w:val="auto"/>
                <w:szCs w:val="21"/>
                <w:highlight w:val="none"/>
              </w:rPr>
            </w:pPr>
          </w:p>
        </w:tc>
        <w:tc>
          <w:tcPr>
            <w:tcW w:w="577" w:type="pct"/>
            <w:vMerge w:val="continue"/>
            <w:noWrap w:val="0"/>
            <w:vAlign w:val="center"/>
          </w:tcPr>
          <w:p w14:paraId="692BF9EA">
            <w:pPr>
              <w:adjustRightInd w:val="0"/>
              <w:spacing w:line="360" w:lineRule="exact"/>
              <w:jc w:val="center"/>
              <w:textAlignment w:val="baseline"/>
              <w:rPr>
                <w:rFonts w:hint="eastAsia" w:ascii="宋体" w:hAnsi="宋体"/>
                <w:b/>
                <w:bCs/>
                <w:color w:val="auto"/>
                <w:szCs w:val="21"/>
                <w:highlight w:val="none"/>
              </w:rPr>
            </w:pPr>
          </w:p>
        </w:tc>
        <w:tc>
          <w:tcPr>
            <w:tcW w:w="620" w:type="pct"/>
            <w:noWrap w:val="0"/>
            <w:vAlign w:val="center"/>
          </w:tcPr>
          <w:p w14:paraId="00AD3032">
            <w:pPr>
              <w:adjustRightInd w:val="0"/>
              <w:spacing w:line="360" w:lineRule="exact"/>
              <w:jc w:val="left"/>
              <w:textAlignment w:val="baseline"/>
              <w:rPr>
                <w:rFonts w:hint="eastAsia" w:ascii="宋体" w:hAnsi="宋体"/>
                <w:color w:val="auto"/>
                <w:szCs w:val="21"/>
                <w:highlight w:val="none"/>
              </w:rPr>
            </w:pPr>
            <w:r>
              <w:rPr>
                <w:rFonts w:hint="eastAsia" w:ascii="宋体" w:hAnsi="宋体"/>
                <w:bCs/>
                <w:color w:val="auto"/>
                <w:szCs w:val="21"/>
                <w:highlight w:val="none"/>
              </w:rPr>
              <w:t>综合实力</w:t>
            </w:r>
            <w:r>
              <w:rPr>
                <w:rFonts w:hint="eastAsia" w:ascii="宋体" w:hAnsi="宋体"/>
                <w:color w:val="auto"/>
                <w:szCs w:val="21"/>
                <w:highlight w:val="none"/>
              </w:rPr>
              <w:t>（满分</w:t>
            </w:r>
            <w:r>
              <w:rPr>
                <w:rFonts w:hint="eastAsia" w:ascii="宋体" w:hAnsi="宋体"/>
                <w:color w:val="auto"/>
                <w:szCs w:val="21"/>
                <w:highlight w:val="none"/>
                <w:u w:val="single"/>
              </w:rPr>
              <w:t>15</w:t>
            </w:r>
            <w:r>
              <w:rPr>
                <w:rFonts w:hint="eastAsia" w:ascii="宋体" w:hAnsi="宋体"/>
                <w:color w:val="auto"/>
                <w:szCs w:val="21"/>
                <w:highlight w:val="none"/>
              </w:rPr>
              <w:t>分）</w:t>
            </w:r>
          </w:p>
        </w:tc>
        <w:tc>
          <w:tcPr>
            <w:tcW w:w="3517" w:type="pct"/>
            <w:noWrap w:val="0"/>
            <w:vAlign w:val="center"/>
          </w:tcPr>
          <w:p w14:paraId="1EBA61D2">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fldChar w:fldCharType="begin"/>
            </w:r>
            <w:r>
              <w:rPr>
                <w:rFonts w:hint="eastAsia" w:ascii="宋体" w:hAnsi="宋体"/>
                <w:b/>
                <w:bCs/>
                <w:color w:val="auto"/>
                <w:sz w:val="21"/>
                <w:szCs w:val="21"/>
                <w:highlight w:val="none"/>
              </w:rPr>
              <w:instrText xml:space="preserve"> = 1 \* GB3 </w:instrText>
            </w:r>
            <w:r>
              <w:rPr>
                <w:rFonts w:hint="eastAsia" w:ascii="宋体" w:hAnsi="宋体"/>
                <w:b/>
                <w:bCs/>
                <w:color w:val="auto"/>
                <w:sz w:val="21"/>
                <w:szCs w:val="21"/>
                <w:highlight w:val="none"/>
              </w:rPr>
              <w:fldChar w:fldCharType="separate"/>
            </w:r>
            <w:r>
              <w:rPr>
                <w:rFonts w:hint="eastAsia" w:ascii="宋体" w:hAnsi="宋体"/>
                <w:b/>
                <w:bCs/>
                <w:color w:val="auto"/>
                <w:sz w:val="21"/>
                <w:szCs w:val="21"/>
                <w:highlight w:val="none"/>
              </w:rPr>
              <w:t>①</w:t>
            </w:r>
            <w:r>
              <w:rPr>
                <w:rFonts w:hint="eastAsia" w:ascii="宋体" w:hAnsi="宋体"/>
                <w:b/>
                <w:bCs/>
                <w:color w:val="auto"/>
                <w:sz w:val="21"/>
                <w:szCs w:val="21"/>
                <w:highlight w:val="none"/>
              </w:rPr>
              <w:fldChar w:fldCharType="end"/>
            </w:r>
            <w:r>
              <w:rPr>
                <w:rFonts w:hint="eastAsia" w:ascii="宋体" w:hAnsi="宋体"/>
                <w:b/>
                <w:bCs/>
                <w:color w:val="auto"/>
                <w:sz w:val="21"/>
                <w:szCs w:val="21"/>
                <w:highlight w:val="none"/>
              </w:rPr>
              <w:t>生产工艺分（满分2分）</w:t>
            </w:r>
          </w:p>
          <w:p w14:paraId="00D1D5E8">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713861D6">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在生产过程中不涉及活病毒操作的得2分，否则不得分。</w:t>
            </w:r>
          </w:p>
          <w:p w14:paraId="48AA4519">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②生产能力及设备分（满分5分）</w:t>
            </w:r>
          </w:p>
          <w:p w14:paraId="42149D28">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29C9AC82">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一档</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分：投标人提供证明生产能力的资料简单，未罗列或简单罗列生产设备清单，生产设备与生产能力不匹配。</w:t>
            </w:r>
          </w:p>
          <w:p w14:paraId="20E3E0C1">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二档5分：投标人提供证明生产能力的资料详细，罗列有详细的生产设备清单（设备包含超滤浓缩系统、层析设备、检验设备以及用于自动化生产的相关设备等），生产设备与生产能力相匹配。</w:t>
            </w:r>
          </w:p>
          <w:p w14:paraId="39D5A559">
            <w:pPr>
              <w:pStyle w:val="18"/>
              <w:spacing w:line="360" w:lineRule="exact"/>
              <w:ind w:firstLine="422" w:firstLineChars="200"/>
              <w:rPr>
                <w:rFonts w:hint="eastAsia" w:ascii="宋体" w:hAnsi="宋体"/>
                <w:color w:val="auto"/>
                <w:sz w:val="21"/>
                <w:szCs w:val="21"/>
                <w:highlight w:val="none"/>
              </w:rPr>
            </w:pPr>
            <w:r>
              <w:rPr>
                <w:rFonts w:hint="eastAsia" w:ascii="宋体" w:hAnsi="宋体"/>
                <w:b/>
                <w:bCs/>
                <w:color w:val="auto"/>
                <w:sz w:val="21"/>
                <w:szCs w:val="21"/>
                <w:highlight w:val="none"/>
              </w:rPr>
              <w:t>③研发能力分（满分</w:t>
            </w:r>
            <w:r>
              <w:rPr>
                <w:rFonts w:hint="eastAsia" w:ascii="宋体" w:hAnsi="宋体"/>
                <w:b/>
                <w:bCs/>
                <w:color w:val="auto"/>
                <w:sz w:val="21"/>
                <w:szCs w:val="21"/>
                <w:highlight w:val="none"/>
                <w:lang w:val="en-US" w:eastAsia="zh-CN"/>
              </w:rPr>
              <w:t>7</w:t>
            </w:r>
            <w:r>
              <w:rPr>
                <w:rFonts w:hint="eastAsia" w:ascii="宋体" w:hAnsi="宋体"/>
                <w:b/>
                <w:bCs/>
                <w:color w:val="auto"/>
                <w:sz w:val="21"/>
                <w:szCs w:val="21"/>
                <w:highlight w:val="none"/>
              </w:rPr>
              <w:t>分）</w:t>
            </w:r>
          </w:p>
          <w:p w14:paraId="5EF3CD90">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a.2020年以来所投产品或类似产品获得国家级（含中央人民政府、国家科技部）科技成果奖励的每项得</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分，或省部级科技成果奖励的每项得0.5分，否则不得分；满分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045B3485">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b.所投产品或类似产品（指同类口蹄疫疫苗）获农业农村部门颁发的一类新兽药证书每项得3分，二类新兽药证书每项得1.5分，三类新兽药证书每项得1分；否则不得分；满分3分。</w:t>
            </w:r>
          </w:p>
          <w:p w14:paraId="4BCDD24A">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c.被国家科技部等列为国家企业技术中心或国家工程中心得2分，被列为省级企业技术中心或工程中心得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7619A4ED">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④质量管理体系分（满分</w:t>
            </w:r>
            <w:r>
              <w:rPr>
                <w:rFonts w:hint="eastAsia" w:ascii="宋体" w:hAnsi="宋体"/>
                <w:b/>
                <w:bCs/>
                <w:color w:val="auto"/>
                <w:sz w:val="21"/>
                <w:szCs w:val="21"/>
                <w:highlight w:val="none"/>
                <w:lang w:val="en-US" w:eastAsia="zh-CN"/>
              </w:rPr>
              <w:t>1</w:t>
            </w:r>
            <w:r>
              <w:rPr>
                <w:rFonts w:hint="eastAsia" w:ascii="宋体" w:hAnsi="宋体"/>
                <w:b/>
                <w:bCs/>
                <w:color w:val="auto"/>
                <w:sz w:val="21"/>
                <w:szCs w:val="21"/>
                <w:highlight w:val="none"/>
              </w:rPr>
              <w:t>分）</w:t>
            </w:r>
          </w:p>
          <w:p w14:paraId="0784E20E">
            <w:pPr>
              <w:widowControl/>
              <w:shd w:val="clear" w:color="auto" w:fill="FFFFFF"/>
              <w:spacing w:line="360" w:lineRule="exact"/>
              <w:ind w:firstLine="420" w:firstLineChars="200"/>
              <w:rPr>
                <w:rFonts w:hAnsi="宋体" w:cs="Courier New"/>
                <w:color w:val="auto"/>
                <w:highlight w:val="none"/>
              </w:rPr>
            </w:pPr>
            <w:r>
              <w:rPr>
                <w:rFonts w:hint="eastAsia" w:ascii="宋体" w:hAnsi="宋体"/>
                <w:color w:val="auto"/>
                <w:szCs w:val="21"/>
                <w:highlight w:val="none"/>
              </w:rPr>
              <w:t>投标人建立有质量管理体系并能满足本项目履行需要的（需提供相关证明材料扫描件），</w:t>
            </w:r>
            <w:r>
              <w:rPr>
                <w:rFonts w:hint="eastAsia" w:ascii="宋体" w:hAnsi="宋体"/>
                <w:color w:val="auto"/>
                <w:kern w:val="0"/>
                <w:szCs w:val="21"/>
                <w:highlight w:val="none"/>
              </w:rPr>
              <w:t>得</w:t>
            </w: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分</w:t>
            </w:r>
            <w:r>
              <w:rPr>
                <w:rFonts w:hint="eastAsia" w:ascii="宋体" w:hAnsi="宋体"/>
                <w:color w:val="auto"/>
                <w:szCs w:val="21"/>
                <w:highlight w:val="none"/>
              </w:rPr>
              <w:t>，否则不得分。</w:t>
            </w:r>
          </w:p>
        </w:tc>
      </w:tr>
      <w:tr w14:paraId="107F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restart"/>
            <w:noWrap w:val="0"/>
            <w:vAlign w:val="center"/>
          </w:tcPr>
          <w:p w14:paraId="495AB6FC">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3</w:t>
            </w:r>
          </w:p>
        </w:tc>
        <w:tc>
          <w:tcPr>
            <w:tcW w:w="577" w:type="pct"/>
            <w:vMerge w:val="restart"/>
            <w:noWrap w:val="0"/>
            <w:vAlign w:val="center"/>
          </w:tcPr>
          <w:p w14:paraId="0534E49F">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商务分（满分31分）</w:t>
            </w:r>
          </w:p>
        </w:tc>
        <w:tc>
          <w:tcPr>
            <w:tcW w:w="620" w:type="pct"/>
            <w:noWrap w:val="0"/>
            <w:vAlign w:val="center"/>
          </w:tcPr>
          <w:p w14:paraId="2F7A0BF2">
            <w:pPr>
              <w:spacing w:line="360" w:lineRule="exact"/>
              <w:jc w:val="center"/>
              <w:rPr>
                <w:rFonts w:ascii="宋体" w:hAnsi="宋体"/>
                <w:bCs/>
                <w:color w:val="auto"/>
                <w:szCs w:val="21"/>
                <w:highlight w:val="none"/>
              </w:rPr>
            </w:pPr>
            <w:r>
              <w:rPr>
                <w:rFonts w:hint="eastAsia" w:ascii="宋体" w:hAnsi="宋体"/>
                <w:bCs/>
                <w:color w:val="auto"/>
                <w:szCs w:val="21"/>
                <w:highlight w:val="none"/>
              </w:rPr>
              <w:t>售前、售中和售后服务方案（满分</w:t>
            </w:r>
            <w:r>
              <w:rPr>
                <w:rFonts w:ascii="宋体" w:hAnsi="宋体"/>
                <w:bCs/>
                <w:color w:val="auto"/>
                <w:szCs w:val="21"/>
                <w:highlight w:val="none"/>
              </w:rPr>
              <w:t>15</w:t>
            </w:r>
            <w:r>
              <w:rPr>
                <w:rFonts w:hint="eastAsia" w:ascii="宋体" w:hAnsi="宋体"/>
                <w:bCs/>
                <w:color w:val="auto"/>
                <w:szCs w:val="21"/>
                <w:highlight w:val="none"/>
              </w:rPr>
              <w:t>分）</w:t>
            </w:r>
          </w:p>
        </w:tc>
        <w:tc>
          <w:tcPr>
            <w:tcW w:w="3517" w:type="pct"/>
            <w:noWrap w:val="0"/>
            <w:vAlign w:val="top"/>
          </w:tcPr>
          <w:p w14:paraId="49D093AA">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由评委根据各投标人提供的售前及对采购人：①对接方案、②疫苗运输质量保障方案、③培训、④监测、⑤应激反应处置、⑥疫苗质量问题及免疫失败应急处置、⑦确保疫苗运输、贮藏、使用各环节的质量和使用效果的其他相关服务方案进行评审。（满分15分）</w:t>
            </w:r>
          </w:p>
          <w:p w14:paraId="5F13CA3D">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一档（5分）：投标人售前、售中和售后服务方案中以上7个方面中，能提供至少②④⑤⑥四个方面的服务方案，每个方面服务方案具体，且内容明确，能够有效保障后期售后服务的落地。</w:t>
            </w:r>
          </w:p>
          <w:p w14:paraId="026D0C05">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二档（10分）：满足一档要求，且投标人售前、售中和售后服务方案中以上7个方面均能提供服务方案，各方面内容独立且明确，且提供有服务保障体系，提供有合理的技术服务队伍组织配置，能够有效保障后期广西动物疫病预防控制中心、广西14个市及所属的各县（市、区）动物疫病预防控制机构的售后服务执行。</w:t>
            </w:r>
          </w:p>
          <w:p w14:paraId="1CD5F6BD">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三档（15分）： 满足二档要求，能够根据以往项目经验，结合本项目采购单位特点提供合理化建议，并有对应的解决方案及措施，评标时被评委所接受的。</w:t>
            </w:r>
          </w:p>
        </w:tc>
      </w:tr>
      <w:tr w14:paraId="2AF4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continue"/>
            <w:noWrap w:val="0"/>
            <w:vAlign w:val="center"/>
          </w:tcPr>
          <w:p w14:paraId="3617EEAD">
            <w:pPr>
              <w:adjustRightInd w:val="0"/>
              <w:spacing w:line="360" w:lineRule="exact"/>
              <w:jc w:val="center"/>
              <w:textAlignment w:val="baseline"/>
              <w:rPr>
                <w:rFonts w:hint="eastAsia" w:ascii="宋体" w:hAnsi="宋体"/>
                <w:color w:val="auto"/>
                <w:szCs w:val="21"/>
                <w:highlight w:val="none"/>
              </w:rPr>
            </w:pPr>
          </w:p>
        </w:tc>
        <w:tc>
          <w:tcPr>
            <w:tcW w:w="577" w:type="pct"/>
            <w:vMerge w:val="continue"/>
            <w:noWrap w:val="0"/>
            <w:vAlign w:val="center"/>
          </w:tcPr>
          <w:p w14:paraId="042F6AB0">
            <w:pPr>
              <w:adjustRightInd w:val="0"/>
              <w:spacing w:line="360" w:lineRule="exact"/>
              <w:jc w:val="center"/>
              <w:textAlignment w:val="baseline"/>
              <w:rPr>
                <w:rFonts w:hint="eastAsia" w:ascii="宋体" w:hAnsi="宋体"/>
                <w:b/>
                <w:bCs/>
                <w:color w:val="auto"/>
                <w:szCs w:val="21"/>
                <w:highlight w:val="none"/>
              </w:rPr>
            </w:pPr>
          </w:p>
        </w:tc>
        <w:tc>
          <w:tcPr>
            <w:tcW w:w="620" w:type="pct"/>
            <w:noWrap w:val="0"/>
            <w:vAlign w:val="center"/>
          </w:tcPr>
          <w:p w14:paraId="53127778">
            <w:pPr>
              <w:adjustRightInd w:val="0"/>
              <w:spacing w:line="360" w:lineRule="exact"/>
              <w:jc w:val="center"/>
              <w:textAlignment w:val="baseline"/>
              <w:rPr>
                <w:rFonts w:hint="eastAsia" w:ascii="宋体" w:hAnsi="宋体"/>
                <w:bCs/>
                <w:color w:val="auto"/>
                <w:szCs w:val="21"/>
                <w:highlight w:val="none"/>
              </w:rPr>
            </w:pPr>
            <w:r>
              <w:rPr>
                <w:rFonts w:hint="eastAsia" w:ascii="宋体" w:hAnsi="宋体"/>
                <w:bCs/>
                <w:color w:val="auto"/>
                <w:szCs w:val="21"/>
                <w:highlight w:val="none"/>
              </w:rPr>
              <w:t>信誉业绩（满分16分）</w:t>
            </w:r>
          </w:p>
        </w:tc>
        <w:tc>
          <w:tcPr>
            <w:tcW w:w="3517" w:type="pct"/>
            <w:noWrap w:val="0"/>
            <w:vAlign w:val="center"/>
          </w:tcPr>
          <w:p w14:paraId="65B23F43">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（1）供货业绩：根据202</w:t>
            </w:r>
            <w:r>
              <w:rPr>
                <w:rFonts w:hint="eastAsia" w:ascii="宋体" w:hAnsi="宋体"/>
                <w:bCs/>
                <w:color w:val="auto"/>
                <w:szCs w:val="21"/>
                <w:highlight w:val="none"/>
                <w:lang w:val="en-US" w:eastAsia="zh-CN"/>
              </w:rPr>
              <w:t>5</w:t>
            </w:r>
            <w:r>
              <w:rPr>
                <w:rFonts w:hint="eastAsia" w:ascii="宋体" w:hAnsi="宋体"/>
                <w:bCs/>
                <w:color w:val="auto"/>
                <w:szCs w:val="21"/>
                <w:highlight w:val="none"/>
              </w:rPr>
              <w:t>年以来，截至本采购文件正式发布之日前一日为止，</w:t>
            </w:r>
            <w:r>
              <w:rPr>
                <w:rFonts w:hint="eastAsia" w:ascii="宋体" w:hAnsi="宋体"/>
                <w:bCs/>
                <w:color w:val="auto"/>
                <w:szCs w:val="21"/>
                <w:highlight w:val="none"/>
                <w:lang w:val="en-US" w:eastAsia="zh-CN"/>
              </w:rPr>
              <w:t>投标</w:t>
            </w:r>
            <w:r>
              <w:rPr>
                <w:rFonts w:hint="eastAsia" w:ascii="宋体" w:hAnsi="宋体"/>
                <w:bCs/>
                <w:color w:val="auto"/>
                <w:szCs w:val="21"/>
                <w:highlight w:val="none"/>
              </w:rPr>
              <w:t>产品</w:t>
            </w:r>
            <w:r>
              <w:rPr>
                <w:rFonts w:hint="eastAsia" w:ascii="宋体" w:hAnsi="宋体"/>
                <w:bCs/>
                <w:color w:val="auto"/>
                <w:szCs w:val="21"/>
                <w:highlight w:val="none"/>
                <w:lang w:val="en-US" w:eastAsia="zh-CN"/>
              </w:rPr>
              <w:t>或同类产品（仅限口蹄疫合成肽疫苗）</w:t>
            </w:r>
            <w:r>
              <w:rPr>
                <w:rFonts w:hint="eastAsia" w:ascii="宋体" w:hAnsi="宋体"/>
                <w:bCs/>
                <w:color w:val="auto"/>
                <w:szCs w:val="21"/>
                <w:highlight w:val="none"/>
              </w:rPr>
              <w:t>业绩情况进行评分，提供一个采购合同得</w:t>
            </w:r>
            <w:r>
              <w:rPr>
                <w:rFonts w:hint="eastAsia" w:ascii="宋体" w:hAnsi="宋体"/>
                <w:bCs/>
                <w:color w:val="auto"/>
                <w:szCs w:val="21"/>
                <w:highlight w:val="none"/>
                <w:lang w:val="en-US" w:eastAsia="zh-CN"/>
              </w:rPr>
              <w:t>1</w:t>
            </w:r>
            <w:r>
              <w:rPr>
                <w:rFonts w:hint="eastAsia" w:ascii="宋体" w:hAnsi="宋体"/>
                <w:bCs/>
                <w:color w:val="auto"/>
                <w:szCs w:val="21"/>
                <w:highlight w:val="none"/>
              </w:rPr>
              <w:t>分，同一采购人的多份合同只算一份业绩分（</w:t>
            </w:r>
            <w:r>
              <w:rPr>
                <w:rFonts w:hint="eastAsia" w:ascii="宋体" w:hAnsi="宋体"/>
                <w:bCs/>
                <w:color w:val="auto"/>
                <w:szCs w:val="21"/>
                <w:highlight w:val="none"/>
                <w:lang w:val="en-US" w:eastAsia="zh-CN"/>
              </w:rPr>
              <w:t>1</w:t>
            </w:r>
            <w:r>
              <w:rPr>
                <w:rFonts w:hint="eastAsia" w:ascii="宋体" w:hAnsi="宋体"/>
                <w:bCs/>
                <w:color w:val="auto"/>
                <w:szCs w:val="21"/>
                <w:highlight w:val="none"/>
              </w:rPr>
              <w:t>分），满分8分。投标文件中提供签订的合同扫描件（要求清晰反映合同主要内容）。</w:t>
            </w:r>
          </w:p>
          <w:p w14:paraId="24C966D9">
            <w:pPr>
              <w:pStyle w:val="18"/>
              <w:spacing w:line="360" w:lineRule="exact"/>
              <w:ind w:firstLine="420" w:firstLineChars="200"/>
              <w:jc w:val="left"/>
              <w:rPr>
                <w:rFonts w:hint="eastAsia" w:ascii="宋体" w:hAnsi="宋体"/>
                <w:bCs/>
                <w:color w:val="auto"/>
                <w:kern w:val="2"/>
                <w:sz w:val="21"/>
                <w:szCs w:val="21"/>
                <w:highlight w:val="none"/>
              </w:rPr>
            </w:pPr>
            <w:r>
              <w:rPr>
                <w:rFonts w:hint="eastAsia" w:ascii="宋体" w:hAnsi="宋体"/>
                <w:bCs/>
                <w:color w:val="auto"/>
                <w:kern w:val="2"/>
                <w:sz w:val="21"/>
                <w:szCs w:val="21"/>
                <w:highlight w:val="none"/>
              </w:rPr>
              <w:t>（2）合同履行用户评价意见：根据202</w:t>
            </w:r>
            <w:r>
              <w:rPr>
                <w:rFonts w:hint="eastAsia" w:ascii="宋体" w:hAnsi="宋体"/>
                <w:bCs/>
                <w:color w:val="auto"/>
                <w:kern w:val="2"/>
                <w:sz w:val="21"/>
                <w:szCs w:val="21"/>
                <w:highlight w:val="none"/>
                <w:lang w:val="en-US" w:eastAsia="zh-CN"/>
              </w:rPr>
              <w:t>5</w:t>
            </w:r>
            <w:r>
              <w:rPr>
                <w:rFonts w:hint="eastAsia" w:ascii="宋体" w:hAnsi="宋体"/>
                <w:bCs/>
                <w:color w:val="auto"/>
                <w:kern w:val="2"/>
                <w:sz w:val="21"/>
                <w:szCs w:val="21"/>
                <w:highlight w:val="none"/>
              </w:rPr>
              <w:t>年以来，上述供货业绩的用户对投标人相关产品质量、服务、信誉等方面的反馈意见进行综合评价，每有1份合同履行用户评价意见且没有负面评价的，得</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分（同一采购人出具的用户合同评价意见只计</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分），满分8分。合同履行用户评价意见以用户出具并加盖公章的扫描件为准。</w:t>
            </w:r>
          </w:p>
        </w:tc>
      </w:tr>
      <w:tr w14:paraId="1604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84" w:type="pct"/>
            <w:noWrap w:val="0"/>
            <w:vAlign w:val="center"/>
          </w:tcPr>
          <w:p w14:paraId="606EC990">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4</w:t>
            </w:r>
          </w:p>
        </w:tc>
        <w:tc>
          <w:tcPr>
            <w:tcW w:w="577" w:type="pct"/>
            <w:noWrap w:val="0"/>
            <w:vAlign w:val="center"/>
          </w:tcPr>
          <w:p w14:paraId="6318D746">
            <w:pPr>
              <w:adjustRightInd w:val="0"/>
              <w:snapToGrid w:val="0"/>
              <w:spacing w:line="360" w:lineRule="exact"/>
              <w:jc w:val="center"/>
              <w:textAlignment w:val="baseline"/>
              <w:rPr>
                <w:rFonts w:hint="eastAsia" w:ascii="宋体" w:hAnsi="宋体"/>
                <w:b/>
                <w:color w:val="auto"/>
                <w:szCs w:val="21"/>
                <w:highlight w:val="none"/>
              </w:rPr>
            </w:pPr>
            <w:r>
              <w:rPr>
                <w:rFonts w:hint="eastAsia" w:ascii="宋体" w:hAnsi="宋体"/>
                <w:b/>
                <w:bCs/>
                <w:color w:val="auto"/>
                <w:szCs w:val="21"/>
                <w:highlight w:val="none"/>
              </w:rPr>
              <w:t>政策分（</w:t>
            </w:r>
            <w:r>
              <w:rPr>
                <w:rFonts w:hint="eastAsia" w:ascii="宋体" w:hAnsi="宋体"/>
                <w:b/>
                <w:color w:val="auto"/>
                <w:szCs w:val="21"/>
                <w:highlight w:val="none"/>
              </w:rPr>
              <w:t>满分2</w:t>
            </w:r>
            <w:r>
              <w:rPr>
                <w:rFonts w:hint="eastAsia" w:ascii="宋体" w:hAnsi="宋体"/>
                <w:b/>
                <w:bCs/>
                <w:color w:val="auto"/>
                <w:szCs w:val="21"/>
                <w:highlight w:val="none"/>
              </w:rPr>
              <w:t>分）</w:t>
            </w:r>
          </w:p>
        </w:tc>
        <w:tc>
          <w:tcPr>
            <w:tcW w:w="620" w:type="pct"/>
            <w:noWrap w:val="0"/>
            <w:vAlign w:val="center"/>
          </w:tcPr>
          <w:p w14:paraId="436938A7">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节能、环保产品（满分2分）</w:t>
            </w:r>
          </w:p>
        </w:tc>
        <w:tc>
          <w:tcPr>
            <w:tcW w:w="3517" w:type="pct"/>
            <w:noWrap w:val="0"/>
            <w:vAlign w:val="center"/>
          </w:tcPr>
          <w:p w14:paraId="11C788D5">
            <w:pPr>
              <w:spacing w:line="360" w:lineRule="exact"/>
              <w:ind w:firstLine="42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（1）属于财政部《节能产品政府采购品目清单》内优先采购（清单内未标注“★”的品目）的产品[投标文件中提供有效的认证证书复印件及品目清单（标注出投标产品在品目清单中所属的品目）]的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p w14:paraId="087C4137">
            <w:pPr>
              <w:adjustRightInd w:val="0"/>
              <w:snapToGrid w:val="0"/>
              <w:spacing w:line="360" w:lineRule="exact"/>
              <w:ind w:firstLine="435"/>
              <w:textAlignment w:val="baseline"/>
              <w:rPr>
                <w:rFonts w:hint="eastAsia" w:ascii="宋体" w:hAnsi="宋体"/>
                <w:b/>
                <w:color w:val="auto"/>
                <w:szCs w:val="21"/>
                <w:highlight w:val="none"/>
              </w:rPr>
            </w:pPr>
            <w:r>
              <w:rPr>
                <w:rFonts w:hint="eastAsia" w:ascii="宋体" w:hAnsi="宋体" w:cs="Courier New"/>
                <w:bCs/>
                <w:color w:val="auto"/>
                <w:kern w:val="0"/>
                <w:szCs w:val="21"/>
                <w:highlight w:val="none"/>
              </w:rPr>
              <w:t>（2）属于财政部《环境标志产品政府采购品目清单》内的产品[投标文件中提供有效的认证证书复印件及品目清单（标注出投标产品在品目清单中所属的品目）]的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tc>
      </w:tr>
      <w:tr w14:paraId="26A3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000" w:type="pct"/>
            <w:gridSpan w:val="4"/>
            <w:noWrap w:val="0"/>
            <w:vAlign w:val="center"/>
          </w:tcPr>
          <w:p w14:paraId="2161A320">
            <w:pPr>
              <w:pStyle w:val="24"/>
              <w:snapToGrid w:val="0"/>
              <w:spacing w:line="360" w:lineRule="exact"/>
              <w:rPr>
                <w:rFonts w:hAnsi="宋体"/>
                <w:b/>
                <w:bCs/>
                <w:color w:val="auto"/>
                <w:sz w:val="21"/>
                <w:highlight w:val="none"/>
              </w:rPr>
            </w:pPr>
            <w:r>
              <w:rPr>
                <w:rFonts w:hint="eastAsia" w:hAnsi="宋体"/>
                <w:b/>
                <w:bCs/>
                <w:color w:val="auto"/>
                <w:sz w:val="21"/>
                <w:highlight w:val="none"/>
              </w:rPr>
              <w:t>总得分=1+2+3+4</w:t>
            </w:r>
          </w:p>
        </w:tc>
      </w:tr>
    </w:tbl>
    <w:p w14:paraId="5F613178">
      <w:pPr>
        <w:rPr>
          <w:rFonts w:hint="eastAsia" w:ascii="宋体" w:hAnsi="宋体"/>
          <w:b/>
          <w:bCs/>
          <w:color w:val="auto"/>
          <w:sz w:val="24"/>
          <w:highlight w:val="none"/>
        </w:rPr>
      </w:pPr>
      <w:r>
        <w:rPr>
          <w:rFonts w:hint="eastAsia"/>
          <w:b/>
          <w:bCs/>
          <w:color w:val="auto"/>
          <w:sz w:val="24"/>
          <w:highlight w:val="none"/>
        </w:rPr>
        <w:br w:type="page"/>
      </w:r>
      <w:r>
        <w:rPr>
          <w:rFonts w:hint="eastAsia"/>
          <w:b/>
          <w:bCs/>
          <w:color w:val="auto"/>
          <w:sz w:val="24"/>
          <w:highlight w:val="none"/>
        </w:rPr>
        <w:t>适用</w:t>
      </w:r>
      <w:r>
        <w:rPr>
          <w:rFonts w:hint="eastAsia"/>
          <w:b/>
          <w:bCs/>
          <w:color w:val="auto"/>
          <w:sz w:val="24"/>
          <w:highlight w:val="none"/>
          <w:u w:val="single"/>
        </w:rPr>
        <w:t xml:space="preserve"> C </w:t>
      </w:r>
      <w:r>
        <w:rPr>
          <w:rFonts w:hint="eastAsia"/>
          <w:b/>
          <w:bCs/>
          <w:color w:val="auto"/>
          <w:sz w:val="24"/>
          <w:highlight w:val="none"/>
        </w:rPr>
        <w:t xml:space="preserve">分标      </w:t>
      </w:r>
      <w:r>
        <w:rPr>
          <w:rFonts w:hint="eastAsia" w:ascii="宋体" w:hAnsi="宋体" w:cs="宋体"/>
          <w:b/>
          <w:color w:val="auto"/>
          <w:sz w:val="24"/>
          <w:highlight w:val="none"/>
        </w:rPr>
        <w:t>标的名称：</w:t>
      </w:r>
      <w:r>
        <w:rPr>
          <w:rFonts w:hint="eastAsia" w:ascii="宋体" w:hAnsi="宋体"/>
          <w:b/>
          <w:bCs/>
          <w:color w:val="auto"/>
          <w:sz w:val="24"/>
          <w:highlight w:val="none"/>
          <w:u w:val="single"/>
        </w:rPr>
        <w:t>猪口蹄疫O型合成肽疫苗</w:t>
      </w:r>
      <w:r>
        <w:rPr>
          <w:rFonts w:hint="eastAsia" w:ascii="宋体" w:hAnsi="宋体"/>
          <w:b/>
          <w:bCs/>
          <w:color w:val="auto"/>
          <w:sz w:val="24"/>
          <w:highlight w:val="none"/>
        </w:rPr>
        <w:t>或</w:t>
      </w:r>
      <w:r>
        <w:rPr>
          <w:rFonts w:hint="eastAsia" w:ascii="宋体" w:hAnsi="宋体"/>
          <w:b/>
          <w:bCs/>
          <w:color w:val="auto"/>
          <w:sz w:val="24"/>
          <w:highlight w:val="none"/>
          <w:u w:val="single"/>
        </w:rPr>
        <w:t>猪口蹄疫O型病毒样颗粒疫苗</w:t>
      </w:r>
    </w:p>
    <w:p w14:paraId="0ED10BF2">
      <w:pPr>
        <w:rPr>
          <w:rFonts w:hint="eastAsia" w:ascii="宋体" w:hAnsi="宋体"/>
          <w:b/>
          <w:bCs/>
          <w:color w:val="auto"/>
          <w:sz w:val="24"/>
          <w:highlight w:val="none"/>
        </w:rPr>
      </w:pPr>
    </w:p>
    <w:tbl>
      <w:tblPr>
        <w:tblStyle w:val="49"/>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154"/>
        <w:gridCol w:w="1089"/>
        <w:gridCol w:w="7219"/>
      </w:tblGrid>
      <w:tr w14:paraId="6C47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18" w:type="pct"/>
            <w:gridSpan w:val="2"/>
            <w:noWrap w:val="0"/>
            <w:vAlign w:val="center"/>
          </w:tcPr>
          <w:p w14:paraId="0B3BD380">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序号</w:t>
            </w:r>
          </w:p>
        </w:tc>
        <w:tc>
          <w:tcPr>
            <w:tcW w:w="548" w:type="pct"/>
            <w:noWrap w:val="0"/>
            <w:vAlign w:val="center"/>
          </w:tcPr>
          <w:p w14:paraId="45CCF099">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评审因素</w:t>
            </w:r>
          </w:p>
        </w:tc>
        <w:tc>
          <w:tcPr>
            <w:tcW w:w="3633" w:type="pct"/>
            <w:noWrap w:val="0"/>
            <w:vAlign w:val="center"/>
          </w:tcPr>
          <w:p w14:paraId="4A2719EF">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评标标准</w:t>
            </w:r>
          </w:p>
        </w:tc>
      </w:tr>
      <w:tr w14:paraId="76CE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noWrap w:val="0"/>
            <w:vAlign w:val="center"/>
          </w:tcPr>
          <w:p w14:paraId="3B69E8F5">
            <w:pPr>
              <w:adjustRightInd w:val="0"/>
              <w:spacing w:line="360" w:lineRule="exact"/>
              <w:jc w:val="center"/>
              <w:textAlignment w:val="baseline"/>
              <w:rPr>
                <w:rFonts w:ascii="宋体" w:hAnsi="宋体"/>
                <w:color w:val="auto"/>
                <w:szCs w:val="21"/>
                <w:highlight w:val="none"/>
              </w:rPr>
            </w:pPr>
            <w:r>
              <w:rPr>
                <w:rFonts w:hint="eastAsia" w:ascii="宋体" w:hAnsi="宋体"/>
                <w:color w:val="auto"/>
                <w:szCs w:val="21"/>
                <w:highlight w:val="none"/>
              </w:rPr>
              <w:t>1</w:t>
            </w:r>
          </w:p>
        </w:tc>
        <w:tc>
          <w:tcPr>
            <w:tcW w:w="580" w:type="pct"/>
            <w:noWrap w:val="0"/>
            <w:vAlign w:val="center"/>
          </w:tcPr>
          <w:p w14:paraId="2D285AF5">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价格分</w:t>
            </w:r>
          </w:p>
          <w:p w14:paraId="113D6BAF">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（满分</w:t>
            </w:r>
          </w:p>
          <w:p w14:paraId="38984C1D">
            <w:pPr>
              <w:adjustRightInd w:val="0"/>
              <w:spacing w:line="360" w:lineRule="exact"/>
              <w:jc w:val="center"/>
              <w:textAlignment w:val="baseline"/>
              <w:rPr>
                <w:rFonts w:ascii="宋体" w:hAnsi="宋体"/>
                <w:b/>
                <w:bCs/>
                <w:color w:val="auto"/>
                <w:szCs w:val="21"/>
                <w:highlight w:val="none"/>
              </w:rPr>
            </w:pPr>
            <w:r>
              <w:rPr>
                <w:rFonts w:ascii="宋体" w:hAnsi="宋体"/>
                <w:b/>
                <w:bCs/>
                <w:color w:val="auto"/>
                <w:szCs w:val="21"/>
                <w:highlight w:val="none"/>
                <w:u w:val="single"/>
              </w:rPr>
              <w:t>30</w:t>
            </w:r>
            <w:r>
              <w:rPr>
                <w:rFonts w:hint="eastAsia" w:ascii="宋体" w:hAnsi="宋体"/>
                <w:b/>
                <w:bCs/>
                <w:color w:val="auto"/>
                <w:szCs w:val="21"/>
                <w:highlight w:val="none"/>
              </w:rPr>
              <w:t>分）</w:t>
            </w:r>
          </w:p>
        </w:tc>
        <w:tc>
          <w:tcPr>
            <w:tcW w:w="548" w:type="pct"/>
            <w:noWrap w:val="0"/>
            <w:vAlign w:val="center"/>
          </w:tcPr>
          <w:p w14:paraId="1C2446A1">
            <w:pPr>
              <w:adjustRightInd w:val="0"/>
              <w:spacing w:line="360" w:lineRule="exact"/>
              <w:jc w:val="center"/>
              <w:textAlignment w:val="baseline"/>
              <w:rPr>
                <w:rFonts w:hint="eastAsia" w:ascii="宋体" w:hAnsi="宋体"/>
                <w:bCs/>
                <w:color w:val="auto"/>
                <w:szCs w:val="21"/>
                <w:highlight w:val="none"/>
              </w:rPr>
            </w:pPr>
            <w:r>
              <w:rPr>
                <w:rFonts w:hint="eastAsia" w:ascii="宋体" w:hAnsi="宋体"/>
                <w:bCs/>
                <w:color w:val="auto"/>
                <w:szCs w:val="21"/>
                <w:highlight w:val="none"/>
              </w:rPr>
              <w:t>投标报价（满分</w:t>
            </w:r>
          </w:p>
          <w:p w14:paraId="6D24358E">
            <w:pPr>
              <w:adjustRightInd w:val="0"/>
              <w:spacing w:line="360" w:lineRule="exact"/>
              <w:jc w:val="center"/>
              <w:textAlignment w:val="baseline"/>
              <w:rPr>
                <w:rFonts w:ascii="宋体" w:hAnsi="宋体"/>
                <w:bCs/>
                <w:color w:val="auto"/>
                <w:szCs w:val="21"/>
                <w:highlight w:val="none"/>
              </w:rPr>
            </w:pPr>
            <w:r>
              <w:rPr>
                <w:rFonts w:ascii="宋体" w:hAnsi="宋体"/>
                <w:bCs/>
                <w:color w:val="auto"/>
                <w:szCs w:val="21"/>
                <w:highlight w:val="none"/>
              </w:rPr>
              <w:t>30</w:t>
            </w:r>
            <w:r>
              <w:rPr>
                <w:rFonts w:hint="eastAsia" w:ascii="宋体" w:hAnsi="宋体"/>
                <w:bCs/>
                <w:color w:val="auto"/>
                <w:szCs w:val="21"/>
                <w:highlight w:val="none"/>
              </w:rPr>
              <w:t>分）</w:t>
            </w:r>
          </w:p>
        </w:tc>
        <w:tc>
          <w:tcPr>
            <w:tcW w:w="3633" w:type="pct"/>
            <w:noWrap w:val="0"/>
            <w:vAlign w:val="center"/>
          </w:tcPr>
          <w:p w14:paraId="6568C542">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6D6E2629">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（2）政策性扣除计算方法。</w:t>
            </w:r>
          </w:p>
          <w:p w14:paraId="2A0AB3AC">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4BAF23C2">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7A4C7DE">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DB4C9F6">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（5）本国产品政策性扣除计算方法。</w:t>
            </w:r>
          </w:p>
          <w:p w14:paraId="5CF65273">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728F569A">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4113CC58">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475DCD5B">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如果所有参与竞争的供应商均可享受本国产品价格评审优惠，则统一不进行价格扣除。</w:t>
            </w:r>
          </w:p>
          <w:p w14:paraId="77476617">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（6）中小企业折扣与本国产品折扣进行叠加计算，用扣除后的价格参加评审。即评</w:t>
            </w:r>
            <w:r>
              <w:rPr>
                <w:rFonts w:hint="eastAsia" w:ascii="宋体" w:hAnsi="宋体"/>
                <w:bCs/>
                <w:color w:val="auto"/>
                <w:szCs w:val="21"/>
                <w:highlight w:val="none"/>
                <w:lang w:val="en-US" w:eastAsia="zh-CN"/>
              </w:rPr>
              <w:t>标</w:t>
            </w:r>
            <w:r>
              <w:rPr>
                <w:rFonts w:hint="eastAsia" w:ascii="宋体" w:hAnsi="宋体"/>
                <w:bCs/>
                <w:color w:val="auto"/>
                <w:szCs w:val="21"/>
                <w:highlight w:val="none"/>
              </w:rPr>
              <w:t>价=投标报价-中小企业折扣</w:t>
            </w:r>
            <w:r>
              <w:rPr>
                <w:rFonts w:hint="eastAsia" w:ascii="宋体" w:hAnsi="宋体"/>
                <w:bCs/>
                <w:color w:val="auto"/>
                <w:szCs w:val="21"/>
                <w:highlight w:val="none"/>
                <w:lang w:val="en-US" w:eastAsia="zh-CN"/>
              </w:rPr>
              <w:t>价</w:t>
            </w:r>
            <w:r>
              <w:rPr>
                <w:rFonts w:hint="eastAsia" w:ascii="宋体" w:hAnsi="宋体"/>
                <w:bCs/>
                <w:color w:val="auto"/>
                <w:szCs w:val="21"/>
                <w:highlight w:val="none"/>
              </w:rPr>
              <w:t>-本国产品折扣</w:t>
            </w:r>
            <w:r>
              <w:rPr>
                <w:rFonts w:hint="eastAsia" w:ascii="宋体" w:hAnsi="宋体"/>
                <w:bCs/>
                <w:color w:val="auto"/>
                <w:szCs w:val="21"/>
                <w:highlight w:val="none"/>
                <w:lang w:val="en-US" w:eastAsia="zh-CN"/>
              </w:rPr>
              <w:t>价</w:t>
            </w:r>
            <w:r>
              <w:rPr>
                <w:rFonts w:hint="eastAsia" w:ascii="宋体" w:hAnsi="宋体"/>
                <w:bCs/>
                <w:color w:val="auto"/>
                <w:szCs w:val="21"/>
                <w:highlight w:val="none"/>
              </w:rPr>
              <w:t>，除上述情况外，评标价=投标报价。</w:t>
            </w:r>
          </w:p>
          <w:p w14:paraId="485A18F6">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（7）满足招标文件要求且评标价最低的评标价为评标基准价，其价格分为满分。</w:t>
            </w:r>
          </w:p>
          <w:p w14:paraId="23E2F910">
            <w:pPr>
              <w:snapToGrid w:val="0"/>
              <w:spacing w:line="360" w:lineRule="exact"/>
              <w:ind w:firstLine="233" w:firstLineChars="111"/>
              <w:rPr>
                <w:rFonts w:hint="eastAsia" w:ascii="宋体" w:hAnsi="宋体" w:cs="Courier New"/>
                <w:bCs/>
                <w:color w:val="auto"/>
                <w:szCs w:val="21"/>
                <w:highlight w:val="none"/>
              </w:rPr>
            </w:pPr>
            <w:r>
              <w:rPr>
                <w:rFonts w:hint="eastAsia" w:ascii="宋体" w:hAnsi="宋体"/>
                <w:bCs/>
                <w:color w:val="auto"/>
                <w:szCs w:val="21"/>
                <w:highlight w:val="none"/>
              </w:rPr>
              <w:t>（8）价格分计算公式：价格分=（评标基准价/评标价）×30分</w:t>
            </w:r>
          </w:p>
        </w:tc>
      </w:tr>
      <w:tr w14:paraId="6626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restart"/>
            <w:noWrap w:val="0"/>
            <w:vAlign w:val="center"/>
          </w:tcPr>
          <w:p w14:paraId="149E3E03">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2</w:t>
            </w:r>
          </w:p>
        </w:tc>
        <w:tc>
          <w:tcPr>
            <w:tcW w:w="580" w:type="pct"/>
            <w:vMerge w:val="restart"/>
            <w:noWrap w:val="0"/>
            <w:vAlign w:val="center"/>
          </w:tcPr>
          <w:p w14:paraId="5D20F7EC">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技术分（满分37分）</w:t>
            </w:r>
          </w:p>
        </w:tc>
        <w:tc>
          <w:tcPr>
            <w:tcW w:w="548" w:type="pct"/>
            <w:noWrap w:val="0"/>
            <w:vAlign w:val="center"/>
          </w:tcPr>
          <w:p w14:paraId="3E6553FE">
            <w:pPr>
              <w:adjustRightInd w:val="0"/>
              <w:spacing w:line="360" w:lineRule="exact"/>
              <w:jc w:val="left"/>
              <w:textAlignment w:val="baseline"/>
              <w:rPr>
                <w:rFonts w:ascii="宋体" w:hAnsi="宋体"/>
                <w:color w:val="auto"/>
                <w:szCs w:val="21"/>
                <w:highlight w:val="none"/>
                <w:u w:val="single"/>
              </w:rPr>
            </w:pPr>
            <w:r>
              <w:rPr>
                <w:rFonts w:hint="eastAsia" w:ascii="宋体" w:hAnsi="宋体"/>
                <w:color w:val="auto"/>
                <w:szCs w:val="21"/>
                <w:highlight w:val="none"/>
              </w:rPr>
              <w:t>产品主要技术参数、性能及原料分（满分22分）</w:t>
            </w:r>
          </w:p>
        </w:tc>
        <w:tc>
          <w:tcPr>
            <w:tcW w:w="3633" w:type="pct"/>
            <w:noWrap w:val="0"/>
            <w:vAlign w:val="center"/>
          </w:tcPr>
          <w:p w14:paraId="5092247F">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评审时提供2025年以来连续5批次疫苗批签发报告原件扫描件，批签发报告中的指标参数必须清晰，否则本项第①、②项不得分。</w:t>
            </w:r>
          </w:p>
          <w:p w14:paraId="1E1A2DCF">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①PD50平均值（满分16分）：计算上述连续5批次的批签发报告中疫苗的PD50平均值（双组份或三组份疫苗以PD50较低的毒株为准）。6.00≤PD50平均值＜8.00得12分，8.00≤PD50平均值＜10.00得14分，PD50平均值≥10.00得16分。上述疫苗批签发报告有一个批次及以上PD50值小于6.00，此项不得分。</w:t>
            </w:r>
          </w:p>
          <w:p w14:paraId="0947636F">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②粘度（满分3分）：计算上述连续5批次的批签发报告粘度的平均值。粘度平均值（单位：cp）＜20得3分，20≤粘度平均值＜30得2.5分，30≤粘度平均值＜100得2分。</w:t>
            </w:r>
          </w:p>
          <w:p w14:paraId="34CE68D0">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③佐剂（满分2分）：投标人提供2025年度以来相应疫苗佐剂的购买合同和发票原件的彩色扫描件等证明材料，且采购数量不少于最小投标标的所需佐剂量的50%（按如下方式推算：若投标标的为1000万毫升，按佐剂用量约为66%，佐剂比重是0.83计算，则所需佐剂量50%=1000×66%×0.83×50%约为2.8吨），得2分；合同和发票均未提供，或者只提供其中一项的，均不得分。</w:t>
            </w:r>
          </w:p>
          <w:p w14:paraId="24DD36ED">
            <w:pPr>
              <w:widowControl/>
              <w:shd w:val="clear" w:color="auto" w:fill="FFFFFF"/>
              <w:spacing w:line="360" w:lineRule="exact"/>
              <w:ind w:firstLine="420" w:firstLineChars="200"/>
              <w:rPr>
                <w:rFonts w:hint="eastAsia" w:hAnsi="宋体" w:cs="Courier New"/>
                <w:color w:val="auto"/>
                <w:highlight w:val="none"/>
              </w:rPr>
            </w:pPr>
            <w:r>
              <w:rPr>
                <w:rFonts w:hint="eastAsia" w:hAnsi="宋体" w:cs="Courier New"/>
                <w:bCs/>
                <w:color w:val="auto"/>
                <w:highlight w:val="none"/>
              </w:rPr>
              <w:t>④产品规格（满分1分）：承诺提供比例不低于30%的最小规格（详见第二章招标项目采购需求表）产品得1分。</w:t>
            </w:r>
          </w:p>
        </w:tc>
      </w:tr>
      <w:tr w14:paraId="3FAC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continue"/>
            <w:noWrap w:val="0"/>
            <w:vAlign w:val="center"/>
          </w:tcPr>
          <w:p w14:paraId="59DAE02A">
            <w:pPr>
              <w:adjustRightInd w:val="0"/>
              <w:spacing w:line="360" w:lineRule="exact"/>
              <w:jc w:val="center"/>
              <w:textAlignment w:val="baseline"/>
              <w:rPr>
                <w:rFonts w:hint="eastAsia" w:ascii="宋体" w:hAnsi="宋体"/>
                <w:color w:val="auto"/>
                <w:szCs w:val="21"/>
                <w:highlight w:val="none"/>
              </w:rPr>
            </w:pPr>
          </w:p>
        </w:tc>
        <w:tc>
          <w:tcPr>
            <w:tcW w:w="580" w:type="pct"/>
            <w:vMerge w:val="continue"/>
            <w:noWrap w:val="0"/>
            <w:vAlign w:val="center"/>
          </w:tcPr>
          <w:p w14:paraId="30E885DF">
            <w:pPr>
              <w:adjustRightInd w:val="0"/>
              <w:spacing w:line="360" w:lineRule="exact"/>
              <w:jc w:val="center"/>
              <w:textAlignment w:val="baseline"/>
              <w:rPr>
                <w:rFonts w:hint="eastAsia" w:ascii="宋体" w:hAnsi="宋体"/>
                <w:b/>
                <w:bCs/>
                <w:color w:val="auto"/>
                <w:szCs w:val="21"/>
                <w:highlight w:val="none"/>
              </w:rPr>
            </w:pPr>
          </w:p>
        </w:tc>
        <w:tc>
          <w:tcPr>
            <w:tcW w:w="548" w:type="pct"/>
            <w:noWrap w:val="0"/>
            <w:vAlign w:val="center"/>
          </w:tcPr>
          <w:p w14:paraId="7EF16B7F">
            <w:pPr>
              <w:adjustRightInd w:val="0"/>
              <w:spacing w:line="360" w:lineRule="exact"/>
              <w:jc w:val="left"/>
              <w:textAlignment w:val="baseline"/>
              <w:rPr>
                <w:rFonts w:hint="eastAsia" w:ascii="宋体" w:hAnsi="宋体"/>
                <w:color w:val="auto"/>
                <w:szCs w:val="21"/>
                <w:highlight w:val="none"/>
              </w:rPr>
            </w:pPr>
            <w:r>
              <w:rPr>
                <w:rFonts w:hint="eastAsia" w:ascii="宋体" w:hAnsi="宋体"/>
                <w:bCs/>
                <w:color w:val="auto"/>
                <w:szCs w:val="21"/>
                <w:highlight w:val="none"/>
              </w:rPr>
              <w:t>综合实力</w:t>
            </w:r>
            <w:r>
              <w:rPr>
                <w:rFonts w:hint="eastAsia" w:ascii="宋体" w:hAnsi="宋体"/>
                <w:color w:val="auto"/>
                <w:szCs w:val="21"/>
                <w:highlight w:val="none"/>
              </w:rPr>
              <w:t>（满分</w:t>
            </w:r>
          </w:p>
          <w:p w14:paraId="1D5FC589">
            <w:pPr>
              <w:adjustRightInd w:val="0"/>
              <w:spacing w:line="360" w:lineRule="exact"/>
              <w:jc w:val="left"/>
              <w:textAlignment w:val="baseline"/>
              <w:rPr>
                <w:rFonts w:hint="eastAsia" w:ascii="宋体" w:hAnsi="宋体"/>
                <w:color w:val="auto"/>
                <w:szCs w:val="21"/>
                <w:highlight w:val="none"/>
              </w:rPr>
            </w:pPr>
            <w:r>
              <w:rPr>
                <w:rFonts w:hint="eastAsia" w:ascii="宋体" w:hAnsi="宋体"/>
                <w:color w:val="auto"/>
                <w:szCs w:val="21"/>
                <w:highlight w:val="none"/>
                <w:u w:val="single"/>
              </w:rPr>
              <w:t>15</w:t>
            </w:r>
            <w:r>
              <w:rPr>
                <w:rFonts w:hint="eastAsia" w:ascii="宋体" w:hAnsi="宋体"/>
                <w:color w:val="auto"/>
                <w:szCs w:val="21"/>
                <w:highlight w:val="none"/>
              </w:rPr>
              <w:t>分）</w:t>
            </w:r>
          </w:p>
        </w:tc>
        <w:tc>
          <w:tcPr>
            <w:tcW w:w="3633" w:type="pct"/>
            <w:noWrap w:val="0"/>
            <w:vAlign w:val="center"/>
          </w:tcPr>
          <w:p w14:paraId="407431FB">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fldChar w:fldCharType="begin"/>
            </w:r>
            <w:r>
              <w:rPr>
                <w:rFonts w:hint="eastAsia" w:ascii="宋体" w:hAnsi="宋体"/>
                <w:b/>
                <w:bCs/>
                <w:color w:val="auto"/>
                <w:sz w:val="21"/>
                <w:szCs w:val="21"/>
                <w:highlight w:val="none"/>
              </w:rPr>
              <w:instrText xml:space="preserve"> = 1 \* GB3 </w:instrText>
            </w:r>
            <w:r>
              <w:rPr>
                <w:rFonts w:hint="eastAsia" w:ascii="宋体" w:hAnsi="宋体"/>
                <w:b/>
                <w:bCs/>
                <w:color w:val="auto"/>
                <w:sz w:val="21"/>
                <w:szCs w:val="21"/>
                <w:highlight w:val="none"/>
              </w:rPr>
              <w:fldChar w:fldCharType="separate"/>
            </w:r>
            <w:r>
              <w:rPr>
                <w:rFonts w:hint="eastAsia" w:ascii="宋体" w:hAnsi="宋体"/>
                <w:b/>
                <w:bCs/>
                <w:color w:val="auto"/>
                <w:sz w:val="21"/>
                <w:szCs w:val="21"/>
                <w:highlight w:val="none"/>
              </w:rPr>
              <w:t>①</w:t>
            </w:r>
            <w:r>
              <w:rPr>
                <w:rFonts w:hint="eastAsia" w:ascii="宋体" w:hAnsi="宋体"/>
                <w:b/>
                <w:bCs/>
                <w:color w:val="auto"/>
                <w:sz w:val="21"/>
                <w:szCs w:val="21"/>
                <w:highlight w:val="none"/>
              </w:rPr>
              <w:fldChar w:fldCharType="end"/>
            </w:r>
            <w:r>
              <w:rPr>
                <w:rFonts w:hint="eastAsia" w:ascii="宋体" w:hAnsi="宋体"/>
                <w:b/>
                <w:bCs/>
                <w:color w:val="auto"/>
                <w:sz w:val="21"/>
                <w:szCs w:val="21"/>
                <w:highlight w:val="none"/>
              </w:rPr>
              <w:t>生产工艺分（满分2分）</w:t>
            </w:r>
          </w:p>
          <w:p w14:paraId="39D34A90">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229D7306">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在生产过程中不涉及活病毒操作的得2分，否则不得分。</w:t>
            </w:r>
          </w:p>
          <w:p w14:paraId="437B250A">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②生产能力及设备分（满分5分）</w:t>
            </w:r>
          </w:p>
          <w:p w14:paraId="0FC49034">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2F099783">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一档</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分：投标人提供证明生产能力的资料简单，未罗列或简单罗列生产设备清单，生产设备与生产能力不匹配。</w:t>
            </w:r>
          </w:p>
          <w:p w14:paraId="1246070F">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二档5分：投标人提供证明生产能力的资料详细，罗列有详细的生产设备清单（设备包含超滤浓缩系统、层析设备、检验设备以及用于自动化生产的相关设备等），生产设备与生产能力相匹配。</w:t>
            </w:r>
          </w:p>
          <w:p w14:paraId="6B85A5CA">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③研发能力分（满分</w:t>
            </w:r>
            <w:r>
              <w:rPr>
                <w:rFonts w:hint="eastAsia" w:ascii="宋体" w:hAnsi="宋体"/>
                <w:b/>
                <w:bCs/>
                <w:color w:val="auto"/>
                <w:sz w:val="21"/>
                <w:szCs w:val="21"/>
                <w:highlight w:val="none"/>
                <w:lang w:val="en-US" w:eastAsia="zh-CN"/>
              </w:rPr>
              <w:t>7</w:t>
            </w:r>
            <w:r>
              <w:rPr>
                <w:rFonts w:hint="eastAsia" w:ascii="宋体" w:hAnsi="宋体"/>
                <w:b/>
                <w:bCs/>
                <w:color w:val="auto"/>
                <w:sz w:val="21"/>
                <w:szCs w:val="21"/>
                <w:highlight w:val="none"/>
              </w:rPr>
              <w:t>分）</w:t>
            </w:r>
          </w:p>
          <w:p w14:paraId="6A3DBD71">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a.2020年以来所投产品或类似产品获得国家级（含中央人民政府、国家科技部）科技成果奖励的每项得</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分，或省部级科技成果奖励的每项得0.5分，否则不得分；满分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772D9E6E">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b.所投产品或类似产品（指同类口蹄疫疫苗）获农业农村部门颁发的一类新兽药证书每项得3分，二类新兽药证书每项得1.5分，三类新兽药证书每项得1分；否则不得分；满分3分。</w:t>
            </w:r>
          </w:p>
          <w:p w14:paraId="35822B60">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c.被国家科技部等列为国家企业技术中心或国家工程中心得2分，被列为省级企业技术中心或工程中心得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262076AA">
            <w:pPr>
              <w:widowControl/>
              <w:shd w:val="clear" w:color="auto" w:fill="FFFFFF"/>
              <w:spacing w:line="36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④质量管理体系分（满分</w:t>
            </w:r>
            <w:r>
              <w:rPr>
                <w:rFonts w:hint="eastAsia" w:ascii="宋体" w:hAnsi="宋体"/>
                <w:b/>
                <w:bCs/>
                <w:color w:val="auto"/>
                <w:szCs w:val="21"/>
                <w:highlight w:val="none"/>
                <w:lang w:val="en-US" w:eastAsia="zh-CN"/>
              </w:rPr>
              <w:t>1</w:t>
            </w:r>
            <w:r>
              <w:rPr>
                <w:rFonts w:hint="eastAsia" w:ascii="宋体" w:hAnsi="宋体"/>
                <w:b/>
                <w:bCs/>
                <w:color w:val="auto"/>
                <w:szCs w:val="21"/>
                <w:highlight w:val="none"/>
              </w:rPr>
              <w:t>分）</w:t>
            </w:r>
          </w:p>
          <w:p w14:paraId="5C83F397">
            <w:pPr>
              <w:widowControl/>
              <w:shd w:val="clear" w:color="auto" w:fill="FFFFFF"/>
              <w:spacing w:line="360" w:lineRule="exact"/>
              <w:ind w:firstLine="420" w:firstLineChars="200"/>
              <w:rPr>
                <w:rFonts w:hAnsi="宋体" w:cs="Courier New"/>
                <w:color w:val="auto"/>
                <w:highlight w:val="none"/>
              </w:rPr>
            </w:pPr>
            <w:r>
              <w:rPr>
                <w:rFonts w:hint="eastAsia" w:ascii="宋体" w:hAnsi="宋体"/>
                <w:color w:val="auto"/>
                <w:szCs w:val="21"/>
                <w:highlight w:val="none"/>
              </w:rPr>
              <w:t>投标人建立有质量管理体系并能满足本项目履行需要的（需提供相关证明材料扫描件），得</w:t>
            </w:r>
            <w:r>
              <w:rPr>
                <w:rFonts w:hint="eastAsia" w:ascii="宋体" w:hAnsi="宋体"/>
                <w:color w:val="auto"/>
                <w:szCs w:val="21"/>
                <w:highlight w:val="none"/>
                <w:lang w:val="en-US" w:eastAsia="zh-CN"/>
              </w:rPr>
              <w:t>1</w:t>
            </w:r>
            <w:r>
              <w:rPr>
                <w:rFonts w:hint="eastAsia" w:ascii="宋体" w:hAnsi="宋体"/>
                <w:color w:val="auto"/>
                <w:szCs w:val="21"/>
                <w:highlight w:val="none"/>
              </w:rPr>
              <w:t>分，否则不得分。</w:t>
            </w:r>
          </w:p>
        </w:tc>
      </w:tr>
      <w:tr w14:paraId="6CC4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restart"/>
            <w:noWrap w:val="0"/>
            <w:vAlign w:val="center"/>
          </w:tcPr>
          <w:p w14:paraId="58B19B2B">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3</w:t>
            </w:r>
          </w:p>
        </w:tc>
        <w:tc>
          <w:tcPr>
            <w:tcW w:w="580" w:type="pct"/>
            <w:vMerge w:val="restart"/>
            <w:noWrap w:val="0"/>
            <w:vAlign w:val="center"/>
          </w:tcPr>
          <w:p w14:paraId="2185EEB0">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商务分（满分31分）</w:t>
            </w:r>
          </w:p>
        </w:tc>
        <w:tc>
          <w:tcPr>
            <w:tcW w:w="548" w:type="pct"/>
            <w:noWrap w:val="0"/>
            <w:vAlign w:val="center"/>
          </w:tcPr>
          <w:p w14:paraId="423321DE">
            <w:pPr>
              <w:spacing w:line="360" w:lineRule="exact"/>
              <w:jc w:val="center"/>
              <w:rPr>
                <w:rFonts w:ascii="宋体" w:hAnsi="宋体"/>
                <w:bCs/>
                <w:color w:val="auto"/>
                <w:szCs w:val="21"/>
                <w:highlight w:val="none"/>
              </w:rPr>
            </w:pPr>
            <w:r>
              <w:rPr>
                <w:rFonts w:hint="eastAsia" w:ascii="宋体" w:hAnsi="宋体"/>
                <w:bCs/>
                <w:color w:val="auto"/>
                <w:szCs w:val="21"/>
                <w:highlight w:val="none"/>
              </w:rPr>
              <w:t>售前、售中和售后服务方案（满分</w:t>
            </w:r>
            <w:r>
              <w:rPr>
                <w:rFonts w:ascii="宋体" w:hAnsi="宋体"/>
                <w:bCs/>
                <w:color w:val="auto"/>
                <w:szCs w:val="21"/>
                <w:highlight w:val="none"/>
              </w:rPr>
              <w:t>1</w:t>
            </w:r>
            <w:r>
              <w:rPr>
                <w:rFonts w:hint="eastAsia" w:ascii="宋体" w:hAnsi="宋体"/>
                <w:bCs/>
                <w:color w:val="auto"/>
                <w:szCs w:val="21"/>
                <w:highlight w:val="none"/>
              </w:rPr>
              <w:t>5分）</w:t>
            </w:r>
          </w:p>
        </w:tc>
        <w:tc>
          <w:tcPr>
            <w:tcW w:w="3633" w:type="pct"/>
            <w:noWrap w:val="0"/>
            <w:vAlign w:val="top"/>
          </w:tcPr>
          <w:p w14:paraId="660BFDF0">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由评委根据各投标人提供的售前及对采购人：①对接方案、②疫苗运输质量保障方案、③培训、④监测、⑤应激反应处置、⑥疫苗质量问题及免疫失败应急处置、⑦确保疫苗运输、贮藏、使用各环节的质量和使用效果的其他相关服务方案进行评审。（满分15分）</w:t>
            </w:r>
          </w:p>
          <w:p w14:paraId="5F203792">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一档（5分）：投标人售前、售中和售后服务方案中以上7个方面中，能提供至少②④⑤⑥四个方面的服务方案，每个方面服务方案具体，且内容明确，能够有效保障后期售后服务的落地。</w:t>
            </w:r>
          </w:p>
          <w:p w14:paraId="2F0D199F">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二档（10分）：满足一档要求，且投标人售前、售中和售后服务方案中以上7个方面均能提供服务方案，各方面内容独立且明确，且提供有服务保障体系，提供有合理的技术服务队伍组织配置，能够有效保障后期广西动物疫病预防控制中心、广西14个市及所属的各县（市、区）动物疫病预防控制机构的售后服务执行。</w:t>
            </w:r>
          </w:p>
          <w:p w14:paraId="24C2396A">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三档（15分）： 满足二档要求，能够根据以往项目经验，结合本项目采购单位特点提供合理化建议，并有对应的解决方案及措施，评标时被评委所接受的。</w:t>
            </w:r>
          </w:p>
        </w:tc>
      </w:tr>
      <w:tr w14:paraId="0501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continue"/>
            <w:noWrap w:val="0"/>
            <w:vAlign w:val="center"/>
          </w:tcPr>
          <w:p w14:paraId="0ECFBAB5">
            <w:pPr>
              <w:adjustRightInd w:val="0"/>
              <w:spacing w:line="360" w:lineRule="exact"/>
              <w:jc w:val="center"/>
              <w:textAlignment w:val="baseline"/>
              <w:rPr>
                <w:rFonts w:hint="eastAsia" w:ascii="宋体" w:hAnsi="宋体"/>
                <w:color w:val="auto"/>
                <w:szCs w:val="21"/>
                <w:highlight w:val="none"/>
              </w:rPr>
            </w:pPr>
          </w:p>
        </w:tc>
        <w:tc>
          <w:tcPr>
            <w:tcW w:w="580" w:type="pct"/>
            <w:vMerge w:val="continue"/>
            <w:noWrap w:val="0"/>
            <w:vAlign w:val="center"/>
          </w:tcPr>
          <w:p w14:paraId="098BBCC9">
            <w:pPr>
              <w:adjustRightInd w:val="0"/>
              <w:spacing w:line="360" w:lineRule="exact"/>
              <w:jc w:val="center"/>
              <w:textAlignment w:val="baseline"/>
              <w:rPr>
                <w:rFonts w:hint="eastAsia" w:ascii="宋体" w:hAnsi="宋体"/>
                <w:b/>
                <w:bCs/>
                <w:color w:val="auto"/>
                <w:szCs w:val="21"/>
                <w:highlight w:val="none"/>
              </w:rPr>
            </w:pPr>
          </w:p>
        </w:tc>
        <w:tc>
          <w:tcPr>
            <w:tcW w:w="548" w:type="pct"/>
            <w:noWrap w:val="0"/>
            <w:vAlign w:val="center"/>
          </w:tcPr>
          <w:p w14:paraId="1C7A404B">
            <w:pPr>
              <w:adjustRightInd w:val="0"/>
              <w:spacing w:line="360" w:lineRule="exact"/>
              <w:jc w:val="center"/>
              <w:textAlignment w:val="baseline"/>
              <w:rPr>
                <w:rFonts w:hint="eastAsia" w:ascii="宋体" w:hAnsi="宋体"/>
                <w:bCs/>
                <w:color w:val="auto"/>
                <w:szCs w:val="21"/>
                <w:highlight w:val="none"/>
              </w:rPr>
            </w:pPr>
            <w:r>
              <w:rPr>
                <w:rFonts w:hint="eastAsia" w:ascii="宋体" w:hAnsi="宋体"/>
                <w:bCs/>
                <w:color w:val="auto"/>
                <w:szCs w:val="21"/>
                <w:highlight w:val="none"/>
              </w:rPr>
              <w:t>信誉业绩（满分</w:t>
            </w:r>
          </w:p>
          <w:p w14:paraId="07C54E7D">
            <w:pPr>
              <w:adjustRightInd w:val="0"/>
              <w:spacing w:line="360" w:lineRule="exact"/>
              <w:jc w:val="center"/>
              <w:textAlignment w:val="baseline"/>
              <w:rPr>
                <w:rFonts w:hint="eastAsia" w:ascii="宋体" w:hAnsi="宋体"/>
                <w:bCs/>
                <w:color w:val="auto"/>
                <w:szCs w:val="21"/>
                <w:highlight w:val="none"/>
              </w:rPr>
            </w:pPr>
            <w:r>
              <w:rPr>
                <w:rFonts w:hint="eastAsia" w:ascii="宋体" w:hAnsi="宋体"/>
                <w:bCs/>
                <w:color w:val="auto"/>
                <w:szCs w:val="21"/>
                <w:highlight w:val="none"/>
              </w:rPr>
              <w:t>16分）</w:t>
            </w:r>
          </w:p>
        </w:tc>
        <w:tc>
          <w:tcPr>
            <w:tcW w:w="3633" w:type="pct"/>
            <w:noWrap w:val="0"/>
            <w:vAlign w:val="center"/>
          </w:tcPr>
          <w:p w14:paraId="7E851176">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（1）供货业绩：根据2024年以来，截至本采购文件正式发布之日前一日为止，</w:t>
            </w:r>
            <w:r>
              <w:rPr>
                <w:rFonts w:hint="eastAsia" w:ascii="宋体" w:hAnsi="宋体"/>
                <w:bCs/>
                <w:color w:val="auto"/>
                <w:szCs w:val="21"/>
                <w:highlight w:val="none"/>
                <w:lang w:val="en-US" w:eastAsia="zh-CN"/>
              </w:rPr>
              <w:t>所投产品及</w:t>
            </w:r>
            <w:r>
              <w:rPr>
                <w:rFonts w:hint="eastAsia" w:ascii="宋体" w:hAnsi="宋体"/>
                <w:bCs/>
                <w:color w:val="auto"/>
                <w:szCs w:val="21"/>
                <w:highlight w:val="none"/>
              </w:rPr>
              <w:t>同类产品</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限口蹄疫合成肽疫苗或颗粒化疫苗</w:t>
            </w:r>
            <w:r>
              <w:rPr>
                <w:rFonts w:hint="eastAsia" w:ascii="宋体" w:hAnsi="宋体"/>
                <w:bCs/>
                <w:color w:val="auto"/>
                <w:szCs w:val="21"/>
                <w:highlight w:val="none"/>
                <w:lang w:eastAsia="zh-CN"/>
              </w:rPr>
              <w:t>）</w:t>
            </w:r>
            <w:r>
              <w:rPr>
                <w:rFonts w:hint="eastAsia" w:ascii="宋体" w:hAnsi="宋体"/>
                <w:bCs/>
                <w:color w:val="auto"/>
                <w:szCs w:val="21"/>
                <w:highlight w:val="none"/>
              </w:rPr>
              <w:t>业绩情况进行评分，提供一个采购合同得</w:t>
            </w:r>
            <w:r>
              <w:rPr>
                <w:rFonts w:hint="eastAsia" w:ascii="宋体" w:hAnsi="宋体"/>
                <w:bCs/>
                <w:color w:val="auto"/>
                <w:szCs w:val="21"/>
                <w:highlight w:val="none"/>
                <w:lang w:val="en-US" w:eastAsia="zh-CN"/>
              </w:rPr>
              <w:t>1</w:t>
            </w:r>
            <w:r>
              <w:rPr>
                <w:rFonts w:hint="eastAsia" w:ascii="宋体" w:hAnsi="宋体"/>
                <w:bCs/>
                <w:color w:val="auto"/>
                <w:szCs w:val="21"/>
                <w:highlight w:val="none"/>
              </w:rPr>
              <w:t>分，同一采购人的多份合同只算一份业绩分（</w:t>
            </w:r>
            <w:r>
              <w:rPr>
                <w:rFonts w:hint="eastAsia" w:ascii="宋体" w:hAnsi="宋体"/>
                <w:bCs/>
                <w:color w:val="auto"/>
                <w:szCs w:val="21"/>
                <w:highlight w:val="none"/>
                <w:lang w:val="en-US" w:eastAsia="zh-CN"/>
              </w:rPr>
              <w:t>1</w:t>
            </w:r>
            <w:r>
              <w:rPr>
                <w:rFonts w:hint="eastAsia" w:ascii="宋体" w:hAnsi="宋体"/>
                <w:bCs/>
                <w:color w:val="auto"/>
                <w:szCs w:val="21"/>
                <w:highlight w:val="none"/>
              </w:rPr>
              <w:t>分），满分8分。投标文件中提供签订的合同扫描件（要求清晰反映合同主要内容）。</w:t>
            </w:r>
          </w:p>
          <w:p w14:paraId="1199D8C8">
            <w:pPr>
              <w:pStyle w:val="18"/>
              <w:spacing w:line="360" w:lineRule="exact"/>
              <w:ind w:firstLine="420" w:firstLineChars="200"/>
              <w:jc w:val="left"/>
              <w:rPr>
                <w:rFonts w:hint="eastAsia" w:ascii="宋体" w:hAnsi="宋体"/>
                <w:bCs/>
                <w:color w:val="auto"/>
                <w:kern w:val="2"/>
                <w:sz w:val="21"/>
                <w:szCs w:val="21"/>
                <w:highlight w:val="none"/>
              </w:rPr>
            </w:pPr>
            <w:r>
              <w:rPr>
                <w:rFonts w:hint="eastAsia" w:ascii="宋体" w:hAnsi="宋体"/>
                <w:bCs/>
                <w:color w:val="auto"/>
                <w:kern w:val="2"/>
                <w:sz w:val="21"/>
                <w:szCs w:val="21"/>
                <w:highlight w:val="none"/>
              </w:rPr>
              <w:t>（2）合同履行用户评价意见：根据2024年以来，上述供货业绩的用户对投标人相关产品质量、服务、信誉等方面的反馈意见进行综合评价，每有1份合同履行用户评价意见且没有负面评价的，得</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分（同一采购人出具的用户合同评价意见只计</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分），满分8分。合同履行用户评价意见以用户出具并加盖公章的扫描件为准。</w:t>
            </w:r>
          </w:p>
        </w:tc>
      </w:tr>
      <w:tr w14:paraId="7F24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37" w:type="pct"/>
            <w:noWrap w:val="0"/>
            <w:vAlign w:val="center"/>
          </w:tcPr>
          <w:p w14:paraId="41173DAD">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4</w:t>
            </w:r>
          </w:p>
        </w:tc>
        <w:tc>
          <w:tcPr>
            <w:tcW w:w="580" w:type="pct"/>
            <w:noWrap w:val="0"/>
            <w:vAlign w:val="center"/>
          </w:tcPr>
          <w:p w14:paraId="7155826B">
            <w:pPr>
              <w:adjustRightInd w:val="0"/>
              <w:snapToGrid w:val="0"/>
              <w:spacing w:line="360" w:lineRule="exact"/>
              <w:jc w:val="center"/>
              <w:textAlignment w:val="baseline"/>
              <w:rPr>
                <w:rFonts w:hint="eastAsia" w:ascii="宋体" w:hAnsi="宋体"/>
                <w:b/>
                <w:color w:val="auto"/>
                <w:szCs w:val="21"/>
                <w:highlight w:val="none"/>
              </w:rPr>
            </w:pPr>
            <w:r>
              <w:rPr>
                <w:rFonts w:hint="eastAsia" w:ascii="宋体" w:hAnsi="宋体"/>
                <w:b/>
                <w:bCs/>
                <w:color w:val="auto"/>
                <w:szCs w:val="21"/>
                <w:highlight w:val="none"/>
              </w:rPr>
              <w:t>政策分（</w:t>
            </w:r>
            <w:r>
              <w:rPr>
                <w:rFonts w:hint="eastAsia" w:ascii="宋体" w:hAnsi="宋体"/>
                <w:b/>
                <w:color w:val="auto"/>
                <w:szCs w:val="21"/>
                <w:highlight w:val="none"/>
              </w:rPr>
              <w:t>满分2</w:t>
            </w:r>
            <w:r>
              <w:rPr>
                <w:rFonts w:hint="eastAsia" w:ascii="宋体" w:hAnsi="宋体"/>
                <w:b/>
                <w:bCs/>
                <w:color w:val="auto"/>
                <w:szCs w:val="21"/>
                <w:highlight w:val="none"/>
              </w:rPr>
              <w:t>分）</w:t>
            </w:r>
          </w:p>
        </w:tc>
        <w:tc>
          <w:tcPr>
            <w:tcW w:w="548" w:type="pct"/>
            <w:noWrap w:val="0"/>
            <w:vAlign w:val="center"/>
          </w:tcPr>
          <w:p w14:paraId="0A307BC0">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节能、环保产品（满分2分）</w:t>
            </w:r>
          </w:p>
        </w:tc>
        <w:tc>
          <w:tcPr>
            <w:tcW w:w="3633" w:type="pct"/>
            <w:noWrap w:val="0"/>
            <w:vAlign w:val="center"/>
          </w:tcPr>
          <w:p w14:paraId="2DD3B796">
            <w:pPr>
              <w:spacing w:line="360" w:lineRule="exact"/>
              <w:ind w:firstLine="42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（1）属于财政部《节能产品政府采购品目清单》内优先采购（清单内未标注“★”的品目）的产品[投标文件中提供有效的认证证书复印件及品目清单（标注出投标产品在品目清单中所属的品目）]的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p w14:paraId="0E2AE51F">
            <w:pPr>
              <w:adjustRightInd w:val="0"/>
              <w:snapToGrid w:val="0"/>
              <w:spacing w:line="360" w:lineRule="exact"/>
              <w:ind w:firstLine="435"/>
              <w:textAlignment w:val="baseline"/>
              <w:rPr>
                <w:rFonts w:hint="eastAsia" w:ascii="宋体" w:hAnsi="宋体"/>
                <w:b/>
                <w:color w:val="auto"/>
                <w:szCs w:val="21"/>
                <w:highlight w:val="none"/>
              </w:rPr>
            </w:pPr>
            <w:r>
              <w:rPr>
                <w:rFonts w:hint="eastAsia" w:ascii="宋体" w:hAnsi="宋体" w:cs="Courier New"/>
                <w:bCs/>
                <w:color w:val="auto"/>
                <w:kern w:val="0"/>
                <w:szCs w:val="21"/>
                <w:highlight w:val="none"/>
              </w:rPr>
              <w:t>（2）属于财政部《环境标志产品政府采购品目清单》内的产品[投标文件中提供有效的认证证书复印件及品目清单（标注出投标产品在品目清单中所属的品目）]的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tc>
      </w:tr>
      <w:tr w14:paraId="71CE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000" w:type="pct"/>
            <w:gridSpan w:val="4"/>
            <w:noWrap w:val="0"/>
            <w:vAlign w:val="center"/>
          </w:tcPr>
          <w:p w14:paraId="1A4A6CB2">
            <w:pPr>
              <w:pStyle w:val="24"/>
              <w:snapToGrid w:val="0"/>
              <w:spacing w:line="360" w:lineRule="exact"/>
              <w:rPr>
                <w:rFonts w:hAnsi="宋体"/>
                <w:b/>
                <w:bCs/>
                <w:color w:val="auto"/>
                <w:sz w:val="21"/>
                <w:highlight w:val="none"/>
              </w:rPr>
            </w:pPr>
            <w:r>
              <w:rPr>
                <w:rFonts w:hint="eastAsia" w:hAnsi="宋体"/>
                <w:b/>
                <w:bCs/>
                <w:color w:val="auto"/>
                <w:sz w:val="21"/>
                <w:highlight w:val="none"/>
              </w:rPr>
              <w:t>总得分=1+2+3+4</w:t>
            </w:r>
          </w:p>
        </w:tc>
      </w:tr>
    </w:tbl>
    <w:p w14:paraId="65BD1FFF">
      <w:pPr>
        <w:rPr>
          <w:rFonts w:hint="eastAsia"/>
          <w:b/>
          <w:bCs/>
          <w:color w:val="auto"/>
          <w:sz w:val="24"/>
          <w:highlight w:val="none"/>
        </w:rPr>
      </w:pPr>
      <w:r>
        <w:rPr>
          <w:rFonts w:hint="eastAsia"/>
          <w:b/>
          <w:bCs/>
          <w:color w:val="auto"/>
          <w:sz w:val="24"/>
          <w:highlight w:val="none"/>
        </w:rPr>
        <w:t>适用</w:t>
      </w:r>
      <w:r>
        <w:rPr>
          <w:rFonts w:hint="eastAsia"/>
          <w:b/>
          <w:bCs/>
          <w:color w:val="auto"/>
          <w:sz w:val="24"/>
          <w:highlight w:val="none"/>
          <w:u w:val="single"/>
        </w:rPr>
        <w:t>D1-D2</w:t>
      </w:r>
      <w:r>
        <w:rPr>
          <w:rFonts w:hint="eastAsia"/>
          <w:b/>
          <w:bCs/>
          <w:color w:val="auto"/>
          <w:sz w:val="24"/>
          <w:highlight w:val="none"/>
        </w:rPr>
        <w:t xml:space="preserve">分标     </w:t>
      </w:r>
      <w:r>
        <w:rPr>
          <w:rFonts w:hint="eastAsia" w:ascii="宋体" w:hAnsi="宋体" w:cs="宋体"/>
          <w:b/>
          <w:color w:val="auto"/>
          <w:sz w:val="24"/>
          <w:highlight w:val="none"/>
        </w:rPr>
        <w:t>标的名称</w:t>
      </w:r>
      <w:r>
        <w:rPr>
          <w:rFonts w:hint="eastAsia" w:ascii="宋体" w:hAnsi="宋体"/>
          <w:b/>
          <w:bCs/>
          <w:color w:val="auto"/>
          <w:sz w:val="24"/>
          <w:highlight w:val="none"/>
        </w:rPr>
        <w:t>：</w:t>
      </w:r>
      <w:r>
        <w:rPr>
          <w:rFonts w:hint="eastAsia"/>
          <w:b/>
          <w:bCs/>
          <w:color w:val="auto"/>
          <w:sz w:val="24"/>
          <w:highlight w:val="none"/>
        </w:rPr>
        <w:t>小反刍兽疫活疫苗</w:t>
      </w:r>
    </w:p>
    <w:p w14:paraId="75E174C0">
      <w:pPr>
        <w:rPr>
          <w:rFonts w:hint="eastAsia"/>
          <w:b/>
          <w:bCs/>
          <w:color w:val="auto"/>
          <w:highlight w:val="none"/>
        </w:rPr>
      </w:pPr>
    </w:p>
    <w:tbl>
      <w:tblPr>
        <w:tblStyle w:val="49"/>
        <w:tblW w:w="5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983"/>
        <w:gridCol w:w="1083"/>
        <w:gridCol w:w="7288"/>
      </w:tblGrid>
      <w:tr w14:paraId="4630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9" w:type="pct"/>
            <w:gridSpan w:val="2"/>
            <w:noWrap w:val="0"/>
            <w:vAlign w:val="center"/>
          </w:tcPr>
          <w:p w14:paraId="57078005">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序号</w:t>
            </w:r>
          </w:p>
        </w:tc>
        <w:tc>
          <w:tcPr>
            <w:tcW w:w="554" w:type="pct"/>
            <w:noWrap w:val="0"/>
            <w:vAlign w:val="center"/>
          </w:tcPr>
          <w:p w14:paraId="4507026C">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评审因素</w:t>
            </w:r>
          </w:p>
        </w:tc>
        <w:tc>
          <w:tcPr>
            <w:tcW w:w="3725" w:type="pct"/>
            <w:noWrap w:val="0"/>
            <w:vAlign w:val="center"/>
          </w:tcPr>
          <w:p w14:paraId="2D69218F">
            <w:pPr>
              <w:adjustRightInd w:val="0"/>
              <w:spacing w:line="360" w:lineRule="exact"/>
              <w:jc w:val="center"/>
              <w:textAlignment w:val="baseline"/>
              <w:rPr>
                <w:rFonts w:ascii="宋体" w:hAnsi="宋体"/>
                <w:b/>
                <w:color w:val="auto"/>
                <w:szCs w:val="21"/>
                <w:highlight w:val="none"/>
              </w:rPr>
            </w:pPr>
            <w:r>
              <w:rPr>
                <w:rFonts w:hint="eastAsia" w:ascii="宋体" w:hAnsi="宋体"/>
                <w:b/>
                <w:color w:val="auto"/>
                <w:szCs w:val="21"/>
                <w:highlight w:val="none"/>
              </w:rPr>
              <w:t>评标标准</w:t>
            </w:r>
          </w:p>
        </w:tc>
      </w:tr>
      <w:tr w14:paraId="7BC1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noWrap w:val="0"/>
            <w:vAlign w:val="center"/>
          </w:tcPr>
          <w:p w14:paraId="3DC2B0B0">
            <w:pPr>
              <w:adjustRightInd w:val="0"/>
              <w:spacing w:line="360" w:lineRule="exact"/>
              <w:jc w:val="center"/>
              <w:textAlignment w:val="baseline"/>
              <w:rPr>
                <w:rFonts w:ascii="宋体" w:hAnsi="宋体"/>
                <w:color w:val="auto"/>
                <w:szCs w:val="21"/>
                <w:highlight w:val="none"/>
              </w:rPr>
            </w:pPr>
            <w:r>
              <w:rPr>
                <w:rFonts w:hint="eastAsia" w:ascii="宋体" w:hAnsi="宋体"/>
                <w:color w:val="auto"/>
                <w:szCs w:val="21"/>
                <w:highlight w:val="none"/>
              </w:rPr>
              <w:t>1</w:t>
            </w:r>
          </w:p>
        </w:tc>
        <w:tc>
          <w:tcPr>
            <w:tcW w:w="503" w:type="pct"/>
            <w:noWrap w:val="0"/>
            <w:vAlign w:val="center"/>
          </w:tcPr>
          <w:p w14:paraId="4DBD2CEA">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价格分</w:t>
            </w:r>
          </w:p>
          <w:p w14:paraId="0889C25D">
            <w:pPr>
              <w:adjustRightInd w:val="0"/>
              <w:spacing w:line="360" w:lineRule="exact"/>
              <w:jc w:val="center"/>
              <w:textAlignment w:val="baseline"/>
              <w:rPr>
                <w:rFonts w:ascii="宋体" w:hAnsi="宋体"/>
                <w:b/>
                <w:bCs/>
                <w:color w:val="auto"/>
                <w:szCs w:val="21"/>
                <w:highlight w:val="none"/>
              </w:rPr>
            </w:pPr>
            <w:r>
              <w:rPr>
                <w:rFonts w:hint="eastAsia" w:ascii="宋体" w:hAnsi="宋体"/>
                <w:b/>
                <w:bCs/>
                <w:color w:val="auto"/>
                <w:szCs w:val="21"/>
                <w:highlight w:val="none"/>
              </w:rPr>
              <w:t>（满分</w:t>
            </w:r>
            <w:r>
              <w:rPr>
                <w:rFonts w:ascii="宋体" w:hAnsi="宋体"/>
                <w:b/>
                <w:bCs/>
                <w:color w:val="auto"/>
                <w:szCs w:val="21"/>
                <w:highlight w:val="none"/>
                <w:u w:val="single"/>
              </w:rPr>
              <w:t>30</w:t>
            </w:r>
            <w:r>
              <w:rPr>
                <w:rFonts w:hint="eastAsia" w:ascii="宋体" w:hAnsi="宋体"/>
                <w:b/>
                <w:bCs/>
                <w:color w:val="auto"/>
                <w:szCs w:val="21"/>
                <w:highlight w:val="none"/>
              </w:rPr>
              <w:t>分）</w:t>
            </w:r>
          </w:p>
        </w:tc>
        <w:tc>
          <w:tcPr>
            <w:tcW w:w="554" w:type="pct"/>
            <w:noWrap w:val="0"/>
            <w:vAlign w:val="center"/>
          </w:tcPr>
          <w:p w14:paraId="27C74D75">
            <w:pPr>
              <w:adjustRightInd w:val="0"/>
              <w:spacing w:line="360" w:lineRule="exact"/>
              <w:jc w:val="center"/>
              <w:textAlignment w:val="baseline"/>
              <w:rPr>
                <w:rFonts w:hint="eastAsia" w:ascii="宋体" w:hAnsi="宋体"/>
                <w:bCs/>
                <w:color w:val="auto"/>
                <w:szCs w:val="21"/>
                <w:highlight w:val="none"/>
              </w:rPr>
            </w:pPr>
            <w:r>
              <w:rPr>
                <w:rFonts w:hint="eastAsia" w:ascii="宋体" w:hAnsi="宋体"/>
                <w:bCs/>
                <w:color w:val="auto"/>
                <w:szCs w:val="21"/>
                <w:highlight w:val="none"/>
              </w:rPr>
              <w:t>投标报价（满分</w:t>
            </w:r>
          </w:p>
          <w:p w14:paraId="78D9F14A">
            <w:pPr>
              <w:adjustRightInd w:val="0"/>
              <w:spacing w:line="360" w:lineRule="exact"/>
              <w:jc w:val="center"/>
              <w:textAlignment w:val="baseline"/>
              <w:rPr>
                <w:rFonts w:ascii="宋体" w:hAnsi="宋体"/>
                <w:bCs/>
                <w:color w:val="auto"/>
                <w:szCs w:val="21"/>
                <w:highlight w:val="none"/>
              </w:rPr>
            </w:pPr>
            <w:r>
              <w:rPr>
                <w:rFonts w:ascii="宋体" w:hAnsi="宋体"/>
                <w:bCs/>
                <w:color w:val="auto"/>
                <w:szCs w:val="21"/>
                <w:highlight w:val="none"/>
              </w:rPr>
              <w:t>30</w:t>
            </w:r>
            <w:r>
              <w:rPr>
                <w:rFonts w:hint="eastAsia" w:ascii="宋体" w:hAnsi="宋体"/>
                <w:bCs/>
                <w:color w:val="auto"/>
                <w:szCs w:val="21"/>
                <w:highlight w:val="none"/>
              </w:rPr>
              <w:t>分）</w:t>
            </w:r>
          </w:p>
        </w:tc>
        <w:tc>
          <w:tcPr>
            <w:tcW w:w="3725" w:type="pct"/>
            <w:noWrap w:val="0"/>
            <w:vAlign w:val="center"/>
          </w:tcPr>
          <w:p w14:paraId="5452E9BA">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4FFC1EEA">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（2）政策性扣除计算方法。</w:t>
            </w:r>
          </w:p>
          <w:p w14:paraId="706D1E9F">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3A01E8F1">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7186C28">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324A74A">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（5）本国产品政策性扣除计算方法。</w:t>
            </w:r>
          </w:p>
          <w:p w14:paraId="05E1C187">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7D767963">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7DD33605">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4891A0CF">
            <w:pPr>
              <w:snapToGrid w:val="0"/>
              <w:spacing w:line="360" w:lineRule="exact"/>
              <w:ind w:firstLine="443" w:firstLineChars="211"/>
              <w:rPr>
                <w:rFonts w:hint="eastAsia" w:ascii="宋体" w:hAnsi="宋体"/>
                <w:bCs/>
                <w:color w:val="auto"/>
                <w:szCs w:val="21"/>
                <w:highlight w:val="none"/>
              </w:rPr>
            </w:pPr>
            <w:r>
              <w:rPr>
                <w:rFonts w:hint="eastAsia" w:ascii="宋体" w:hAnsi="宋体"/>
                <w:bCs/>
                <w:color w:val="auto"/>
                <w:szCs w:val="21"/>
                <w:highlight w:val="none"/>
              </w:rPr>
              <w:t>如果所有参与竞争的供应商均可享受本国产品价格评审优惠，则统一不进行价格扣除。</w:t>
            </w:r>
          </w:p>
          <w:p w14:paraId="5589F1DC">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（6）中小企业折扣与本国产品折扣进行叠加计算，用扣除后的价格参加评审。即评</w:t>
            </w:r>
            <w:r>
              <w:rPr>
                <w:rFonts w:hint="eastAsia" w:ascii="宋体" w:hAnsi="宋体"/>
                <w:bCs/>
                <w:color w:val="auto"/>
                <w:szCs w:val="21"/>
                <w:highlight w:val="none"/>
                <w:lang w:val="en-US" w:eastAsia="zh-CN"/>
              </w:rPr>
              <w:t>标</w:t>
            </w:r>
            <w:r>
              <w:rPr>
                <w:rFonts w:hint="eastAsia" w:ascii="宋体" w:hAnsi="宋体"/>
                <w:bCs/>
                <w:color w:val="auto"/>
                <w:szCs w:val="21"/>
                <w:highlight w:val="none"/>
              </w:rPr>
              <w:t>价=投标报价-中小企业折扣</w:t>
            </w:r>
            <w:r>
              <w:rPr>
                <w:rFonts w:hint="eastAsia" w:ascii="宋体" w:hAnsi="宋体"/>
                <w:bCs/>
                <w:color w:val="auto"/>
                <w:szCs w:val="21"/>
                <w:highlight w:val="none"/>
                <w:lang w:val="en-US" w:eastAsia="zh-CN"/>
              </w:rPr>
              <w:t>价</w:t>
            </w:r>
            <w:r>
              <w:rPr>
                <w:rFonts w:hint="eastAsia" w:ascii="宋体" w:hAnsi="宋体"/>
                <w:bCs/>
                <w:color w:val="auto"/>
                <w:szCs w:val="21"/>
                <w:highlight w:val="none"/>
              </w:rPr>
              <w:t>-本国产品折扣</w:t>
            </w:r>
            <w:r>
              <w:rPr>
                <w:rFonts w:hint="eastAsia" w:ascii="宋体" w:hAnsi="宋体"/>
                <w:bCs/>
                <w:color w:val="auto"/>
                <w:szCs w:val="21"/>
                <w:highlight w:val="none"/>
                <w:lang w:val="en-US" w:eastAsia="zh-CN"/>
              </w:rPr>
              <w:t>价</w:t>
            </w:r>
            <w:r>
              <w:rPr>
                <w:rFonts w:hint="eastAsia" w:ascii="宋体" w:hAnsi="宋体"/>
                <w:bCs/>
                <w:color w:val="auto"/>
                <w:szCs w:val="21"/>
                <w:highlight w:val="none"/>
              </w:rPr>
              <w:t>，除上述情况外，评标价=投标报价。</w:t>
            </w:r>
          </w:p>
          <w:p w14:paraId="0598C24A">
            <w:pPr>
              <w:snapToGrid w:val="0"/>
              <w:spacing w:line="360" w:lineRule="exact"/>
              <w:ind w:firstLine="233" w:firstLineChars="111"/>
              <w:rPr>
                <w:rFonts w:hint="eastAsia" w:ascii="宋体" w:hAnsi="宋体"/>
                <w:bCs/>
                <w:color w:val="auto"/>
                <w:szCs w:val="21"/>
                <w:highlight w:val="none"/>
              </w:rPr>
            </w:pPr>
            <w:r>
              <w:rPr>
                <w:rFonts w:hint="eastAsia" w:ascii="宋体" w:hAnsi="宋体"/>
                <w:bCs/>
                <w:color w:val="auto"/>
                <w:szCs w:val="21"/>
                <w:highlight w:val="none"/>
              </w:rPr>
              <w:t>（7）满足招标文件要求且评标价最低的评标价为评标基准价，其价格分为满分。</w:t>
            </w:r>
          </w:p>
          <w:p w14:paraId="3AE3BCBF">
            <w:pPr>
              <w:snapToGrid w:val="0"/>
              <w:spacing w:line="360" w:lineRule="exact"/>
              <w:ind w:firstLine="233" w:firstLineChars="111"/>
              <w:rPr>
                <w:rFonts w:hint="eastAsia" w:ascii="宋体" w:hAnsi="宋体" w:cs="Courier New"/>
                <w:bCs/>
                <w:color w:val="auto"/>
                <w:szCs w:val="21"/>
                <w:highlight w:val="none"/>
              </w:rPr>
            </w:pPr>
            <w:r>
              <w:rPr>
                <w:rFonts w:hint="eastAsia" w:ascii="宋体" w:hAnsi="宋体"/>
                <w:bCs/>
                <w:color w:val="auto"/>
                <w:szCs w:val="21"/>
                <w:highlight w:val="none"/>
              </w:rPr>
              <w:t>（8）价格分计算公式：价格分=（评标基准价/评标价）×30分</w:t>
            </w:r>
          </w:p>
        </w:tc>
      </w:tr>
      <w:tr w14:paraId="598C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restart"/>
            <w:noWrap w:val="0"/>
            <w:vAlign w:val="center"/>
          </w:tcPr>
          <w:p w14:paraId="592D8D72">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2</w:t>
            </w:r>
          </w:p>
        </w:tc>
        <w:tc>
          <w:tcPr>
            <w:tcW w:w="503" w:type="pct"/>
            <w:vMerge w:val="restart"/>
            <w:noWrap w:val="0"/>
            <w:vAlign w:val="center"/>
          </w:tcPr>
          <w:p w14:paraId="5FFA2F3A">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技术分（满分37分）</w:t>
            </w:r>
          </w:p>
        </w:tc>
        <w:tc>
          <w:tcPr>
            <w:tcW w:w="554" w:type="pct"/>
            <w:noWrap w:val="0"/>
            <w:vAlign w:val="center"/>
          </w:tcPr>
          <w:p w14:paraId="341C82C5">
            <w:pPr>
              <w:adjustRightInd w:val="0"/>
              <w:spacing w:line="360" w:lineRule="exact"/>
              <w:jc w:val="left"/>
              <w:textAlignment w:val="baseline"/>
              <w:rPr>
                <w:rFonts w:ascii="宋体" w:hAnsi="宋体"/>
                <w:color w:val="auto"/>
                <w:szCs w:val="21"/>
                <w:highlight w:val="none"/>
                <w:u w:val="single"/>
              </w:rPr>
            </w:pPr>
            <w:r>
              <w:rPr>
                <w:rFonts w:hint="eastAsia" w:ascii="宋体" w:hAnsi="宋体"/>
                <w:color w:val="auto"/>
                <w:szCs w:val="21"/>
                <w:highlight w:val="none"/>
              </w:rPr>
              <w:t>产品主要技术参数、性能及原料分（满分22分）</w:t>
            </w:r>
          </w:p>
        </w:tc>
        <w:tc>
          <w:tcPr>
            <w:tcW w:w="3725" w:type="pct"/>
            <w:noWrap w:val="0"/>
            <w:vAlign w:val="center"/>
          </w:tcPr>
          <w:p w14:paraId="412FF97A">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评审时提供2025年以来连续5批次疫苗批签发报告原件扫描件，批签发报告中的指标参数必须清晰，否则本项第①、②、③、④、⑤项不得分。</w:t>
            </w:r>
          </w:p>
          <w:p w14:paraId="627949CA">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①小反刍兽疫病毒含量（满分6分）：计算上述连续5个批次疫苗批签发报告中小反刍兽疫病毒含量的平均值。总病毒含量10</w:t>
            </w:r>
            <w:r>
              <w:rPr>
                <w:rFonts w:hint="eastAsia" w:hAnsi="宋体" w:cs="Courier New"/>
                <w:bCs/>
                <w:color w:val="auto"/>
                <w:kern w:val="2"/>
                <w:sz w:val="21"/>
                <w:highlight w:val="none"/>
                <w:vertAlign w:val="superscript"/>
              </w:rPr>
              <w:t>3</w:t>
            </w:r>
            <w:r>
              <w:rPr>
                <w:rFonts w:hint="eastAsia" w:hAnsi="宋体" w:cs="Courier New"/>
                <w:bCs/>
                <w:color w:val="auto"/>
                <w:kern w:val="2"/>
                <w:sz w:val="21"/>
                <w:highlight w:val="none"/>
              </w:rPr>
              <w:t>TCID</w:t>
            </w:r>
            <w:r>
              <w:rPr>
                <w:rFonts w:hint="eastAsia" w:hAnsi="宋体" w:cs="Courier New"/>
                <w:bCs/>
                <w:color w:val="auto"/>
                <w:kern w:val="2"/>
                <w:sz w:val="21"/>
                <w:highlight w:val="none"/>
                <w:vertAlign w:val="subscript"/>
              </w:rPr>
              <w:t>50</w:t>
            </w:r>
            <w:r>
              <w:rPr>
                <w:rFonts w:hint="eastAsia" w:hAnsi="宋体" w:cs="Courier New"/>
                <w:bCs/>
                <w:color w:val="auto"/>
                <w:kern w:val="2"/>
                <w:sz w:val="21"/>
                <w:highlight w:val="none"/>
              </w:rPr>
              <w:t>≤病毒含量平均值＜10</w:t>
            </w:r>
            <w:r>
              <w:rPr>
                <w:rFonts w:hint="eastAsia" w:hAnsi="宋体" w:cs="Courier New"/>
                <w:bCs/>
                <w:color w:val="auto"/>
                <w:kern w:val="2"/>
                <w:sz w:val="21"/>
                <w:highlight w:val="none"/>
                <w:vertAlign w:val="superscript"/>
              </w:rPr>
              <w:t>3.5</w:t>
            </w:r>
            <w:r>
              <w:rPr>
                <w:rFonts w:hint="eastAsia" w:hAnsi="宋体" w:cs="Courier New"/>
                <w:bCs/>
                <w:color w:val="auto"/>
                <w:kern w:val="2"/>
                <w:sz w:val="21"/>
                <w:highlight w:val="none"/>
              </w:rPr>
              <w:t>TCID</w:t>
            </w:r>
            <w:r>
              <w:rPr>
                <w:rFonts w:hint="eastAsia" w:hAnsi="宋体" w:cs="Courier New"/>
                <w:bCs/>
                <w:color w:val="auto"/>
                <w:kern w:val="2"/>
                <w:sz w:val="21"/>
                <w:highlight w:val="none"/>
                <w:vertAlign w:val="subscript"/>
              </w:rPr>
              <w:t>50</w:t>
            </w:r>
            <w:r>
              <w:rPr>
                <w:rFonts w:hint="eastAsia" w:hAnsi="宋体" w:cs="Courier New"/>
                <w:bCs/>
                <w:color w:val="auto"/>
                <w:kern w:val="2"/>
                <w:sz w:val="21"/>
                <w:highlight w:val="none"/>
              </w:rPr>
              <w:t>得3分，10</w:t>
            </w:r>
            <w:r>
              <w:rPr>
                <w:rFonts w:hint="eastAsia" w:hAnsi="宋体" w:cs="Courier New"/>
                <w:bCs/>
                <w:color w:val="auto"/>
                <w:kern w:val="2"/>
                <w:sz w:val="21"/>
                <w:highlight w:val="none"/>
                <w:vertAlign w:val="superscript"/>
              </w:rPr>
              <w:t>3.5</w:t>
            </w:r>
            <w:r>
              <w:rPr>
                <w:rFonts w:hint="eastAsia" w:hAnsi="宋体" w:cs="Courier New"/>
                <w:bCs/>
                <w:color w:val="auto"/>
                <w:kern w:val="2"/>
                <w:sz w:val="21"/>
                <w:highlight w:val="none"/>
              </w:rPr>
              <w:t>TCID</w:t>
            </w:r>
            <w:r>
              <w:rPr>
                <w:rFonts w:hint="eastAsia" w:hAnsi="宋体" w:cs="Courier New"/>
                <w:bCs/>
                <w:color w:val="auto"/>
                <w:kern w:val="2"/>
                <w:sz w:val="21"/>
                <w:highlight w:val="none"/>
                <w:vertAlign w:val="subscript"/>
              </w:rPr>
              <w:t>50</w:t>
            </w:r>
            <w:r>
              <w:rPr>
                <w:rFonts w:hint="eastAsia" w:hAnsi="宋体" w:cs="Courier New"/>
                <w:bCs/>
                <w:color w:val="auto"/>
                <w:kern w:val="2"/>
                <w:sz w:val="21"/>
                <w:highlight w:val="none"/>
              </w:rPr>
              <w:t>≤病毒含量平均值＜10</w:t>
            </w:r>
            <w:r>
              <w:rPr>
                <w:rFonts w:hint="eastAsia" w:hAnsi="宋体" w:cs="Courier New"/>
                <w:bCs/>
                <w:color w:val="auto"/>
                <w:kern w:val="2"/>
                <w:sz w:val="21"/>
                <w:highlight w:val="none"/>
                <w:vertAlign w:val="superscript"/>
              </w:rPr>
              <w:t>4</w:t>
            </w:r>
            <w:r>
              <w:rPr>
                <w:rFonts w:hint="eastAsia" w:hAnsi="宋体" w:cs="Courier New"/>
                <w:bCs/>
                <w:color w:val="auto"/>
                <w:kern w:val="2"/>
                <w:sz w:val="21"/>
                <w:highlight w:val="none"/>
              </w:rPr>
              <w:t>TCID</w:t>
            </w:r>
            <w:r>
              <w:rPr>
                <w:rFonts w:hint="eastAsia" w:hAnsi="宋体" w:cs="Courier New"/>
                <w:bCs/>
                <w:color w:val="auto"/>
                <w:kern w:val="2"/>
                <w:sz w:val="21"/>
                <w:highlight w:val="none"/>
                <w:vertAlign w:val="subscript"/>
              </w:rPr>
              <w:t>50</w:t>
            </w:r>
            <w:r>
              <w:rPr>
                <w:rFonts w:hint="eastAsia" w:hAnsi="宋体" w:cs="Courier New"/>
                <w:bCs/>
                <w:color w:val="auto"/>
                <w:kern w:val="2"/>
                <w:sz w:val="21"/>
                <w:highlight w:val="none"/>
              </w:rPr>
              <w:t>得4分，10</w:t>
            </w:r>
            <w:r>
              <w:rPr>
                <w:rFonts w:hint="eastAsia" w:hAnsi="宋体" w:cs="Courier New"/>
                <w:bCs/>
                <w:color w:val="auto"/>
                <w:kern w:val="2"/>
                <w:sz w:val="21"/>
                <w:highlight w:val="none"/>
                <w:vertAlign w:val="superscript"/>
              </w:rPr>
              <w:t>4</w:t>
            </w:r>
            <w:r>
              <w:rPr>
                <w:rFonts w:hint="eastAsia" w:hAnsi="宋体" w:cs="Courier New"/>
                <w:bCs/>
                <w:color w:val="auto"/>
                <w:kern w:val="2"/>
                <w:sz w:val="21"/>
                <w:highlight w:val="none"/>
              </w:rPr>
              <w:t>TCID</w:t>
            </w:r>
            <w:r>
              <w:rPr>
                <w:rFonts w:hint="eastAsia" w:hAnsi="宋体" w:cs="Courier New"/>
                <w:bCs/>
                <w:color w:val="auto"/>
                <w:kern w:val="2"/>
                <w:sz w:val="21"/>
                <w:highlight w:val="none"/>
                <w:vertAlign w:val="subscript"/>
              </w:rPr>
              <w:t>50</w:t>
            </w:r>
            <w:r>
              <w:rPr>
                <w:rFonts w:hint="eastAsia" w:hAnsi="宋体" w:cs="Courier New"/>
                <w:bCs/>
                <w:color w:val="auto"/>
                <w:kern w:val="2"/>
                <w:sz w:val="21"/>
                <w:highlight w:val="none"/>
              </w:rPr>
              <w:t>≤病毒含量平均值＜10</w:t>
            </w:r>
            <w:r>
              <w:rPr>
                <w:rFonts w:hint="eastAsia" w:hAnsi="宋体" w:cs="Courier New"/>
                <w:bCs/>
                <w:color w:val="auto"/>
                <w:kern w:val="2"/>
                <w:sz w:val="21"/>
                <w:highlight w:val="none"/>
                <w:vertAlign w:val="superscript"/>
              </w:rPr>
              <w:t>4.5</w:t>
            </w:r>
            <w:r>
              <w:rPr>
                <w:rFonts w:hint="eastAsia" w:hAnsi="宋体" w:cs="Courier New"/>
                <w:bCs/>
                <w:color w:val="auto"/>
                <w:kern w:val="2"/>
                <w:sz w:val="21"/>
                <w:highlight w:val="none"/>
              </w:rPr>
              <w:t>TCID</w:t>
            </w:r>
            <w:r>
              <w:rPr>
                <w:rFonts w:hint="eastAsia" w:hAnsi="宋体" w:cs="Courier New"/>
                <w:bCs/>
                <w:color w:val="auto"/>
                <w:kern w:val="2"/>
                <w:sz w:val="21"/>
                <w:highlight w:val="none"/>
                <w:vertAlign w:val="subscript"/>
              </w:rPr>
              <w:t>50</w:t>
            </w:r>
            <w:r>
              <w:rPr>
                <w:rFonts w:hint="eastAsia" w:hAnsi="宋体" w:cs="Courier New"/>
                <w:bCs/>
                <w:color w:val="auto"/>
                <w:kern w:val="2"/>
                <w:sz w:val="21"/>
                <w:highlight w:val="none"/>
              </w:rPr>
              <w:t>得5分，≥10</w:t>
            </w:r>
            <w:r>
              <w:rPr>
                <w:rFonts w:hint="eastAsia" w:hAnsi="宋体" w:cs="Courier New"/>
                <w:bCs/>
                <w:color w:val="auto"/>
                <w:kern w:val="2"/>
                <w:sz w:val="21"/>
                <w:highlight w:val="none"/>
                <w:vertAlign w:val="superscript"/>
              </w:rPr>
              <w:t>4.5</w:t>
            </w:r>
            <w:r>
              <w:rPr>
                <w:rFonts w:hint="eastAsia" w:hAnsi="宋体" w:cs="Courier New"/>
                <w:bCs/>
                <w:color w:val="auto"/>
                <w:kern w:val="2"/>
                <w:sz w:val="21"/>
                <w:highlight w:val="none"/>
              </w:rPr>
              <w:t>TCID</w:t>
            </w:r>
            <w:r>
              <w:rPr>
                <w:rFonts w:hint="eastAsia" w:hAnsi="宋体" w:cs="Courier New"/>
                <w:bCs/>
                <w:color w:val="auto"/>
                <w:kern w:val="2"/>
                <w:sz w:val="21"/>
                <w:highlight w:val="none"/>
                <w:vertAlign w:val="subscript"/>
              </w:rPr>
              <w:t>50</w:t>
            </w:r>
            <w:r>
              <w:rPr>
                <w:rFonts w:hint="eastAsia" w:hAnsi="宋体" w:cs="Courier New"/>
                <w:bCs/>
                <w:color w:val="auto"/>
                <w:kern w:val="2"/>
                <w:sz w:val="21"/>
                <w:highlight w:val="none"/>
              </w:rPr>
              <w:t>得6分。</w:t>
            </w:r>
          </w:p>
          <w:p w14:paraId="28D4AB2A">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②小反刍兽疫病毒中和抗体（满分6分）：计算上述连续5个批次疫苗批签发报告中疫苗接种组小反刍兽疫病毒中和抗体的平均值。1:10≤中和抗体平均值＜1:20得2分，1:20≤中和抗体平均值＜1:40得3分，1:40≤中和抗体平均值＜1:80得4分，1:80≤中和抗体平均值＜1:160得5分，≥1:160得6分。</w:t>
            </w:r>
          </w:p>
          <w:p w14:paraId="088B876A">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③外源病毒检测（满分3分）：上述连续5批次批签发报告中均提供有外源病毒检测结果，且结果均为阴性的得满分，否则此项不得分。</w:t>
            </w:r>
          </w:p>
          <w:p w14:paraId="48B7C432">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④支原体检测（满分3分）：上述连续5批次批签发报告中均提供有支原体检测结果，且结果均为阴性的得满分，否则此项不得分。</w:t>
            </w:r>
          </w:p>
          <w:p w14:paraId="176A680A">
            <w:pPr>
              <w:pStyle w:val="24"/>
              <w:spacing w:line="360" w:lineRule="exact"/>
              <w:ind w:firstLine="420" w:firstLineChars="200"/>
              <w:rPr>
                <w:rFonts w:hint="eastAsia" w:hAnsi="宋体" w:cs="Courier New"/>
                <w:bCs/>
                <w:color w:val="auto"/>
                <w:kern w:val="2"/>
                <w:sz w:val="21"/>
                <w:highlight w:val="none"/>
              </w:rPr>
            </w:pPr>
            <w:r>
              <w:rPr>
                <w:rFonts w:hint="eastAsia" w:hAnsi="宋体" w:cs="Courier New"/>
                <w:bCs/>
                <w:color w:val="auto"/>
                <w:kern w:val="2"/>
                <w:sz w:val="21"/>
                <w:highlight w:val="none"/>
              </w:rPr>
              <w:t>⑤安全检验（满分3分）：上述连续5批次批签发报告中均提供有安全检验结果，且结果均为达标的得满分，否则此项不得分。</w:t>
            </w:r>
          </w:p>
          <w:p w14:paraId="2400A50D">
            <w:pPr>
              <w:widowControl/>
              <w:shd w:val="clear" w:color="auto" w:fill="FFFFFF"/>
              <w:spacing w:line="360" w:lineRule="exact"/>
              <w:ind w:firstLine="420" w:firstLineChars="200"/>
              <w:rPr>
                <w:rFonts w:hint="eastAsia" w:hAnsi="宋体" w:cs="Courier New"/>
                <w:color w:val="auto"/>
                <w:highlight w:val="none"/>
              </w:rPr>
            </w:pPr>
            <w:r>
              <w:rPr>
                <w:rFonts w:hint="eastAsia" w:hAnsi="宋体" w:cs="Courier New"/>
                <w:bCs/>
                <w:color w:val="auto"/>
                <w:highlight w:val="none"/>
              </w:rPr>
              <w:t>⑥产品规格（满分1分）：承诺提供比例不低于30%的最小规格（详见第二章招标项目采购需求表）产品得1分。</w:t>
            </w:r>
          </w:p>
        </w:tc>
      </w:tr>
      <w:tr w14:paraId="366B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continue"/>
            <w:noWrap w:val="0"/>
            <w:vAlign w:val="center"/>
          </w:tcPr>
          <w:p w14:paraId="45665CE8">
            <w:pPr>
              <w:adjustRightInd w:val="0"/>
              <w:spacing w:line="360" w:lineRule="exact"/>
              <w:jc w:val="center"/>
              <w:textAlignment w:val="baseline"/>
              <w:rPr>
                <w:rFonts w:hint="eastAsia" w:ascii="宋体" w:hAnsi="宋体"/>
                <w:color w:val="auto"/>
                <w:szCs w:val="21"/>
                <w:highlight w:val="none"/>
              </w:rPr>
            </w:pPr>
          </w:p>
        </w:tc>
        <w:tc>
          <w:tcPr>
            <w:tcW w:w="503" w:type="pct"/>
            <w:vMerge w:val="continue"/>
            <w:noWrap w:val="0"/>
            <w:vAlign w:val="center"/>
          </w:tcPr>
          <w:p w14:paraId="69D11D43">
            <w:pPr>
              <w:adjustRightInd w:val="0"/>
              <w:spacing w:line="360" w:lineRule="exact"/>
              <w:jc w:val="center"/>
              <w:textAlignment w:val="baseline"/>
              <w:rPr>
                <w:rFonts w:hint="eastAsia" w:ascii="宋体" w:hAnsi="宋体"/>
                <w:b/>
                <w:bCs/>
                <w:color w:val="auto"/>
                <w:szCs w:val="21"/>
                <w:highlight w:val="none"/>
              </w:rPr>
            </w:pPr>
          </w:p>
        </w:tc>
        <w:tc>
          <w:tcPr>
            <w:tcW w:w="554" w:type="pct"/>
            <w:noWrap w:val="0"/>
            <w:vAlign w:val="center"/>
          </w:tcPr>
          <w:p w14:paraId="3A754FC3">
            <w:pPr>
              <w:adjustRightInd w:val="0"/>
              <w:spacing w:line="360" w:lineRule="exact"/>
              <w:jc w:val="left"/>
              <w:textAlignment w:val="baseline"/>
              <w:rPr>
                <w:rFonts w:hint="eastAsia" w:ascii="宋体" w:hAnsi="宋体"/>
                <w:color w:val="auto"/>
                <w:szCs w:val="21"/>
                <w:highlight w:val="none"/>
              </w:rPr>
            </w:pPr>
            <w:r>
              <w:rPr>
                <w:rFonts w:hint="eastAsia" w:ascii="宋体" w:hAnsi="宋体"/>
                <w:bCs/>
                <w:color w:val="auto"/>
                <w:szCs w:val="21"/>
                <w:highlight w:val="none"/>
              </w:rPr>
              <w:t>综合实力</w:t>
            </w:r>
            <w:r>
              <w:rPr>
                <w:rFonts w:hint="eastAsia" w:ascii="宋体" w:hAnsi="宋体"/>
                <w:color w:val="auto"/>
                <w:szCs w:val="21"/>
                <w:highlight w:val="none"/>
              </w:rPr>
              <w:t>（满分</w:t>
            </w:r>
          </w:p>
          <w:p w14:paraId="2245CA7D">
            <w:pPr>
              <w:adjustRightInd w:val="0"/>
              <w:spacing w:line="360" w:lineRule="exact"/>
              <w:jc w:val="left"/>
              <w:textAlignment w:val="baseline"/>
              <w:rPr>
                <w:rFonts w:hint="eastAsia" w:ascii="宋体" w:hAnsi="宋体"/>
                <w:color w:val="auto"/>
                <w:szCs w:val="21"/>
                <w:highlight w:val="none"/>
              </w:rPr>
            </w:pPr>
            <w:r>
              <w:rPr>
                <w:rFonts w:hint="eastAsia" w:ascii="宋体" w:hAnsi="宋体"/>
                <w:color w:val="auto"/>
                <w:szCs w:val="21"/>
                <w:highlight w:val="none"/>
                <w:u w:val="single"/>
              </w:rPr>
              <w:t>15</w:t>
            </w:r>
            <w:r>
              <w:rPr>
                <w:rFonts w:hint="eastAsia" w:ascii="宋体" w:hAnsi="宋体"/>
                <w:color w:val="auto"/>
                <w:szCs w:val="21"/>
                <w:highlight w:val="none"/>
              </w:rPr>
              <w:t>分）</w:t>
            </w:r>
          </w:p>
        </w:tc>
        <w:tc>
          <w:tcPr>
            <w:tcW w:w="3725" w:type="pct"/>
            <w:noWrap w:val="0"/>
            <w:vAlign w:val="center"/>
          </w:tcPr>
          <w:p w14:paraId="1C167759">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fldChar w:fldCharType="begin"/>
            </w:r>
            <w:r>
              <w:rPr>
                <w:rFonts w:hint="eastAsia" w:ascii="宋体" w:hAnsi="宋体"/>
                <w:b/>
                <w:bCs/>
                <w:color w:val="auto"/>
                <w:sz w:val="21"/>
                <w:szCs w:val="21"/>
                <w:highlight w:val="none"/>
              </w:rPr>
              <w:instrText xml:space="preserve"> = 1 \* GB3 </w:instrText>
            </w:r>
            <w:r>
              <w:rPr>
                <w:rFonts w:hint="eastAsia" w:ascii="宋体" w:hAnsi="宋体"/>
                <w:b/>
                <w:bCs/>
                <w:color w:val="auto"/>
                <w:sz w:val="21"/>
                <w:szCs w:val="21"/>
                <w:highlight w:val="none"/>
              </w:rPr>
              <w:fldChar w:fldCharType="separate"/>
            </w:r>
            <w:r>
              <w:rPr>
                <w:rFonts w:hint="eastAsia" w:ascii="宋体" w:hAnsi="宋体"/>
                <w:b/>
                <w:bCs/>
                <w:color w:val="auto"/>
                <w:sz w:val="21"/>
                <w:szCs w:val="21"/>
                <w:highlight w:val="none"/>
              </w:rPr>
              <w:t>①</w:t>
            </w:r>
            <w:r>
              <w:rPr>
                <w:rFonts w:hint="eastAsia" w:ascii="宋体" w:hAnsi="宋体"/>
                <w:b/>
                <w:bCs/>
                <w:color w:val="auto"/>
                <w:sz w:val="21"/>
                <w:szCs w:val="21"/>
                <w:highlight w:val="none"/>
              </w:rPr>
              <w:fldChar w:fldCharType="end"/>
            </w:r>
            <w:r>
              <w:rPr>
                <w:rFonts w:hint="eastAsia" w:ascii="宋体" w:hAnsi="宋体"/>
                <w:b/>
                <w:bCs/>
                <w:color w:val="auto"/>
                <w:sz w:val="21"/>
                <w:szCs w:val="21"/>
                <w:highlight w:val="none"/>
              </w:rPr>
              <w:t>生产工艺分（满分</w:t>
            </w:r>
            <w:r>
              <w:rPr>
                <w:rFonts w:hint="eastAsia" w:ascii="宋体" w:hAnsi="宋体"/>
                <w:b/>
                <w:bCs/>
                <w:color w:val="auto"/>
                <w:sz w:val="21"/>
                <w:szCs w:val="21"/>
                <w:highlight w:val="none"/>
                <w:lang w:val="en-US" w:eastAsia="zh-CN"/>
              </w:rPr>
              <w:t>2</w:t>
            </w:r>
            <w:r>
              <w:rPr>
                <w:rFonts w:hint="eastAsia" w:ascii="宋体" w:hAnsi="宋体"/>
                <w:b/>
                <w:bCs/>
                <w:color w:val="auto"/>
                <w:sz w:val="21"/>
                <w:szCs w:val="21"/>
                <w:highlight w:val="none"/>
              </w:rPr>
              <w:t>分）</w:t>
            </w:r>
          </w:p>
          <w:p w14:paraId="06C637C2">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0539D827">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在生产过程中采用细胞悬浮培养或细胞工厂培养技术的得</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分，否则不得分。</w:t>
            </w:r>
          </w:p>
          <w:p w14:paraId="21AF4A42">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②生产能力及设备分（满分5分）</w:t>
            </w:r>
          </w:p>
          <w:p w14:paraId="53D1953E">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评委根据投标人提供的相关证明材料进行综合评分。</w:t>
            </w:r>
          </w:p>
          <w:p w14:paraId="6A6F1452">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一档</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分：投标人提供证明生产能力的资料简单，未罗列或简单罗列生产设备清单，生产设备与生产能力不匹配。</w:t>
            </w:r>
          </w:p>
          <w:p w14:paraId="526EE7CB">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二档5分：投标人提供证明生产能力的资料详细，罗列有详细的生产设备清单（设备包含悬浮设备、超滤浓缩系统、层析设备、检验设备以及用于自动化生产的相关设备等），生产设备与生产能力相匹配。</w:t>
            </w:r>
          </w:p>
          <w:p w14:paraId="474DD706">
            <w:pPr>
              <w:pStyle w:val="18"/>
              <w:spacing w:line="36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③研发能力分（满分</w:t>
            </w:r>
            <w:r>
              <w:rPr>
                <w:rFonts w:hint="eastAsia" w:ascii="宋体" w:hAnsi="宋体"/>
                <w:b/>
                <w:bCs/>
                <w:color w:val="auto"/>
                <w:sz w:val="21"/>
                <w:szCs w:val="21"/>
                <w:highlight w:val="none"/>
                <w:lang w:val="en-US" w:eastAsia="zh-CN"/>
              </w:rPr>
              <w:t>7</w:t>
            </w:r>
            <w:r>
              <w:rPr>
                <w:rFonts w:hint="eastAsia" w:ascii="宋体" w:hAnsi="宋体"/>
                <w:b/>
                <w:bCs/>
                <w:color w:val="auto"/>
                <w:sz w:val="21"/>
                <w:szCs w:val="21"/>
                <w:highlight w:val="none"/>
              </w:rPr>
              <w:t>分）</w:t>
            </w:r>
          </w:p>
          <w:p w14:paraId="781667CA">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a.2020年以来所投产品或类似产品获得国家级（含中央人民政府、国家科技部）科技成果奖励的每项得</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分，或省部级科技成果奖励的每项得0.5分，否则不得分。满分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1D9FB211">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b.所投产品获农业农村部门颁发的一类新兽药证书每项得2分，二类新兽药证书每项得1.5分，三类新兽药证书每项得1分；否则不得分。满分</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w:t>
            </w:r>
          </w:p>
          <w:p w14:paraId="1FD5F2E3">
            <w:pPr>
              <w:pStyle w:val="18"/>
              <w:spacing w:line="36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c.被国家科技部等列为国家企业技术中心或国家工程中心得2分，被列为省级企业技术中心或工程中心得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分。满分</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分。</w:t>
            </w:r>
          </w:p>
          <w:p w14:paraId="2F750066">
            <w:pPr>
              <w:widowControl/>
              <w:shd w:val="clear" w:color="auto" w:fill="FFFFFF"/>
              <w:spacing w:line="360" w:lineRule="exact"/>
              <w:ind w:firstLine="422" w:firstLineChars="200"/>
              <w:rPr>
                <w:rFonts w:hint="eastAsia" w:ascii="宋体" w:hAnsi="宋体"/>
                <w:color w:val="auto"/>
                <w:szCs w:val="21"/>
                <w:highlight w:val="none"/>
              </w:rPr>
            </w:pPr>
            <w:r>
              <w:rPr>
                <w:rFonts w:hint="eastAsia" w:ascii="宋体" w:hAnsi="宋体"/>
                <w:b/>
                <w:bCs/>
                <w:color w:val="auto"/>
                <w:szCs w:val="21"/>
                <w:highlight w:val="none"/>
              </w:rPr>
              <w:t>④质量管理体系分（满分</w:t>
            </w:r>
            <w:r>
              <w:rPr>
                <w:rFonts w:hint="eastAsia" w:ascii="宋体" w:hAnsi="宋体"/>
                <w:b/>
                <w:bCs/>
                <w:color w:val="auto"/>
                <w:szCs w:val="21"/>
                <w:highlight w:val="none"/>
                <w:lang w:val="en-US" w:eastAsia="zh-CN"/>
              </w:rPr>
              <w:t>1</w:t>
            </w:r>
            <w:r>
              <w:rPr>
                <w:rFonts w:hint="eastAsia" w:ascii="宋体" w:hAnsi="宋体"/>
                <w:b/>
                <w:bCs/>
                <w:color w:val="auto"/>
                <w:szCs w:val="21"/>
                <w:highlight w:val="none"/>
              </w:rPr>
              <w:t>分）</w:t>
            </w:r>
          </w:p>
          <w:p w14:paraId="2319C9D5">
            <w:pPr>
              <w:widowControl/>
              <w:shd w:val="clear" w:color="auto" w:fill="FFFFFF"/>
              <w:spacing w:line="360" w:lineRule="exact"/>
              <w:ind w:firstLine="420" w:firstLineChars="200"/>
              <w:rPr>
                <w:rFonts w:hAnsi="宋体" w:cs="Courier New"/>
                <w:color w:val="auto"/>
                <w:highlight w:val="none"/>
              </w:rPr>
            </w:pPr>
            <w:r>
              <w:rPr>
                <w:rFonts w:hint="eastAsia" w:ascii="宋体" w:hAnsi="宋体"/>
                <w:color w:val="auto"/>
                <w:szCs w:val="21"/>
                <w:highlight w:val="none"/>
              </w:rPr>
              <w:t>投标人建立有质量管理体系并能满足本项目履行需要的（需提供相关证明材料扫描件），得</w:t>
            </w:r>
            <w:r>
              <w:rPr>
                <w:rFonts w:hint="eastAsia" w:ascii="宋体" w:hAnsi="宋体"/>
                <w:color w:val="auto"/>
                <w:szCs w:val="21"/>
                <w:highlight w:val="none"/>
                <w:lang w:val="en-US" w:eastAsia="zh-CN"/>
              </w:rPr>
              <w:t>1</w:t>
            </w:r>
            <w:r>
              <w:rPr>
                <w:rFonts w:hint="eastAsia" w:ascii="宋体" w:hAnsi="宋体"/>
                <w:color w:val="auto"/>
                <w:szCs w:val="21"/>
                <w:highlight w:val="none"/>
              </w:rPr>
              <w:t>分，否则不得分。</w:t>
            </w:r>
          </w:p>
        </w:tc>
      </w:tr>
      <w:tr w14:paraId="4BCB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restart"/>
            <w:noWrap w:val="0"/>
            <w:vAlign w:val="center"/>
          </w:tcPr>
          <w:p w14:paraId="23121C3E">
            <w:pPr>
              <w:adjustRightIn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3</w:t>
            </w:r>
          </w:p>
        </w:tc>
        <w:tc>
          <w:tcPr>
            <w:tcW w:w="503" w:type="pct"/>
            <w:vMerge w:val="restart"/>
            <w:noWrap w:val="0"/>
            <w:vAlign w:val="center"/>
          </w:tcPr>
          <w:p w14:paraId="1E9DA8BC">
            <w:pPr>
              <w:adjustRightInd w:val="0"/>
              <w:spacing w:line="360" w:lineRule="exact"/>
              <w:jc w:val="center"/>
              <w:textAlignment w:val="baseline"/>
              <w:rPr>
                <w:rFonts w:hint="eastAsia" w:ascii="宋体" w:hAnsi="宋体"/>
                <w:b/>
                <w:bCs/>
                <w:color w:val="auto"/>
                <w:szCs w:val="21"/>
                <w:highlight w:val="none"/>
              </w:rPr>
            </w:pPr>
            <w:r>
              <w:rPr>
                <w:rFonts w:hint="eastAsia" w:ascii="宋体" w:hAnsi="宋体"/>
                <w:b/>
                <w:bCs/>
                <w:color w:val="auto"/>
                <w:szCs w:val="21"/>
                <w:highlight w:val="none"/>
              </w:rPr>
              <w:t>商务分（满分31分）</w:t>
            </w:r>
          </w:p>
        </w:tc>
        <w:tc>
          <w:tcPr>
            <w:tcW w:w="554" w:type="pct"/>
            <w:noWrap w:val="0"/>
            <w:vAlign w:val="center"/>
          </w:tcPr>
          <w:p w14:paraId="6DF82015">
            <w:pPr>
              <w:spacing w:line="360" w:lineRule="exact"/>
              <w:jc w:val="center"/>
              <w:rPr>
                <w:rFonts w:ascii="宋体" w:hAnsi="宋体"/>
                <w:bCs/>
                <w:color w:val="auto"/>
                <w:szCs w:val="21"/>
                <w:highlight w:val="none"/>
              </w:rPr>
            </w:pPr>
            <w:r>
              <w:rPr>
                <w:rFonts w:hint="eastAsia" w:ascii="宋体" w:hAnsi="宋体"/>
                <w:bCs/>
                <w:color w:val="auto"/>
                <w:szCs w:val="21"/>
                <w:highlight w:val="none"/>
              </w:rPr>
              <w:t>售前、售中和售后服务方案（满分</w:t>
            </w:r>
            <w:r>
              <w:rPr>
                <w:rFonts w:ascii="宋体" w:hAnsi="宋体"/>
                <w:bCs/>
                <w:color w:val="auto"/>
                <w:szCs w:val="21"/>
                <w:highlight w:val="none"/>
              </w:rPr>
              <w:t>15</w:t>
            </w:r>
            <w:r>
              <w:rPr>
                <w:rFonts w:hint="eastAsia" w:ascii="宋体" w:hAnsi="宋体"/>
                <w:bCs/>
                <w:color w:val="auto"/>
                <w:szCs w:val="21"/>
                <w:highlight w:val="none"/>
              </w:rPr>
              <w:t>分）</w:t>
            </w:r>
          </w:p>
        </w:tc>
        <w:tc>
          <w:tcPr>
            <w:tcW w:w="3725" w:type="pct"/>
            <w:noWrap w:val="0"/>
            <w:vAlign w:val="top"/>
          </w:tcPr>
          <w:p w14:paraId="675FC1BF">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由评委根据各投标人提供的售前及对采购人：①对接方案、②疫苗运输质量保障方案、③培训、④监测、⑤应激反应处置、⑥疫苗质量问题及免疫失败应急处置、⑦确保疫苗运输、贮藏、使用各环节的质量和使用效果的其他相关服务方案进行评审。（满分15分）</w:t>
            </w:r>
          </w:p>
          <w:p w14:paraId="6A7841A1">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一档（5分）：投标人售前、售中和售后服务方案中以上7个方面中，能提供至少②④⑤⑥四个方面的服务方案，每个方面服务方案具体，且内容明确，能够有效保障后期售后服务的落地。</w:t>
            </w:r>
          </w:p>
          <w:p w14:paraId="6FA447BF">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二档（10分）：满足一档要求，且投标人售前、售中和售后服务方案中以上7个方面均能提供服务方案，各方面内容独立且明确，且提供有服务保障体系，提供有合理的技术服务队伍组织配置，能够有效保障后期广西动物疫病预防控制中心、广西14个市及所属的各县（市、区）动物疫病预防控制机构的售后服务执行。</w:t>
            </w:r>
          </w:p>
          <w:p w14:paraId="1C478F71">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三档（15分）： 满足二档要求，能够根据以往项目经验，结合本项目采购单位特点提供合理化建议，并有对应的解决方案及措施，评标时被评委所接受的。</w:t>
            </w:r>
          </w:p>
        </w:tc>
      </w:tr>
      <w:tr w14:paraId="2B38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continue"/>
            <w:noWrap w:val="0"/>
            <w:vAlign w:val="center"/>
          </w:tcPr>
          <w:p w14:paraId="61CEA2EC">
            <w:pPr>
              <w:adjustRightInd w:val="0"/>
              <w:spacing w:line="360" w:lineRule="exact"/>
              <w:jc w:val="center"/>
              <w:textAlignment w:val="baseline"/>
              <w:rPr>
                <w:rFonts w:hint="eastAsia" w:ascii="宋体" w:hAnsi="宋体"/>
                <w:color w:val="auto"/>
                <w:szCs w:val="21"/>
                <w:highlight w:val="none"/>
              </w:rPr>
            </w:pPr>
          </w:p>
        </w:tc>
        <w:tc>
          <w:tcPr>
            <w:tcW w:w="503" w:type="pct"/>
            <w:vMerge w:val="continue"/>
            <w:noWrap w:val="0"/>
            <w:vAlign w:val="center"/>
          </w:tcPr>
          <w:p w14:paraId="3DE1F25F">
            <w:pPr>
              <w:adjustRightInd w:val="0"/>
              <w:spacing w:line="360" w:lineRule="exact"/>
              <w:jc w:val="center"/>
              <w:textAlignment w:val="baseline"/>
              <w:rPr>
                <w:rFonts w:hint="eastAsia" w:ascii="宋体" w:hAnsi="宋体"/>
                <w:b/>
                <w:bCs/>
                <w:color w:val="auto"/>
                <w:szCs w:val="21"/>
                <w:highlight w:val="none"/>
              </w:rPr>
            </w:pPr>
          </w:p>
        </w:tc>
        <w:tc>
          <w:tcPr>
            <w:tcW w:w="554" w:type="pct"/>
            <w:noWrap w:val="0"/>
            <w:vAlign w:val="center"/>
          </w:tcPr>
          <w:p w14:paraId="68D68D51">
            <w:pPr>
              <w:adjustRightInd w:val="0"/>
              <w:spacing w:line="360" w:lineRule="exact"/>
              <w:jc w:val="center"/>
              <w:textAlignment w:val="baseline"/>
              <w:rPr>
                <w:rFonts w:hint="eastAsia" w:ascii="宋体" w:hAnsi="宋体"/>
                <w:bCs/>
                <w:color w:val="auto"/>
                <w:szCs w:val="21"/>
                <w:highlight w:val="none"/>
              </w:rPr>
            </w:pPr>
            <w:r>
              <w:rPr>
                <w:rFonts w:hint="eastAsia" w:ascii="宋体" w:hAnsi="宋体"/>
                <w:bCs/>
                <w:color w:val="auto"/>
                <w:szCs w:val="21"/>
                <w:highlight w:val="none"/>
              </w:rPr>
              <w:t>信誉业绩（满分16分）</w:t>
            </w:r>
          </w:p>
        </w:tc>
        <w:tc>
          <w:tcPr>
            <w:tcW w:w="3725" w:type="pct"/>
            <w:noWrap w:val="0"/>
            <w:vAlign w:val="center"/>
          </w:tcPr>
          <w:p w14:paraId="20A16811">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（1）供货业绩：根据202</w:t>
            </w:r>
            <w:r>
              <w:rPr>
                <w:rFonts w:hint="eastAsia" w:ascii="宋体" w:hAnsi="宋体"/>
                <w:bCs/>
                <w:color w:val="auto"/>
                <w:szCs w:val="21"/>
                <w:highlight w:val="none"/>
                <w:lang w:val="en-US" w:eastAsia="zh-CN"/>
              </w:rPr>
              <w:t>5</w:t>
            </w:r>
            <w:r>
              <w:rPr>
                <w:rFonts w:hint="eastAsia" w:ascii="宋体" w:hAnsi="宋体"/>
                <w:bCs/>
                <w:color w:val="auto"/>
                <w:szCs w:val="21"/>
                <w:highlight w:val="none"/>
              </w:rPr>
              <w:t>年以来，截至本采购文件正式发布之日前一日为止，</w:t>
            </w:r>
            <w:r>
              <w:rPr>
                <w:rFonts w:hint="eastAsia" w:ascii="宋体" w:hAnsi="宋体"/>
                <w:bCs/>
                <w:color w:val="auto"/>
                <w:szCs w:val="21"/>
                <w:highlight w:val="none"/>
                <w:lang w:val="en-US" w:eastAsia="zh-CN"/>
              </w:rPr>
              <w:t>所投</w:t>
            </w:r>
            <w:r>
              <w:rPr>
                <w:rFonts w:hint="eastAsia" w:ascii="宋体" w:hAnsi="宋体"/>
                <w:bCs/>
                <w:color w:val="auto"/>
                <w:szCs w:val="21"/>
                <w:highlight w:val="none"/>
              </w:rPr>
              <w:t>产品业绩情况进行评分，提供一个采购合同得</w:t>
            </w:r>
            <w:r>
              <w:rPr>
                <w:rFonts w:hint="eastAsia" w:ascii="宋体" w:hAnsi="宋体"/>
                <w:bCs/>
                <w:color w:val="auto"/>
                <w:szCs w:val="21"/>
                <w:highlight w:val="none"/>
                <w:lang w:val="en-US" w:eastAsia="zh-CN"/>
              </w:rPr>
              <w:t>1</w:t>
            </w:r>
            <w:r>
              <w:rPr>
                <w:rFonts w:hint="eastAsia" w:ascii="宋体" w:hAnsi="宋体"/>
                <w:bCs/>
                <w:color w:val="auto"/>
                <w:szCs w:val="21"/>
                <w:highlight w:val="none"/>
              </w:rPr>
              <w:t>分，同一采购人的多份合同只算一份业绩分（</w:t>
            </w:r>
            <w:r>
              <w:rPr>
                <w:rFonts w:hint="eastAsia" w:ascii="宋体" w:hAnsi="宋体"/>
                <w:bCs/>
                <w:color w:val="auto"/>
                <w:szCs w:val="21"/>
                <w:highlight w:val="none"/>
                <w:lang w:val="en-US" w:eastAsia="zh-CN"/>
              </w:rPr>
              <w:t>1</w:t>
            </w:r>
            <w:r>
              <w:rPr>
                <w:rFonts w:hint="eastAsia" w:ascii="宋体" w:hAnsi="宋体"/>
                <w:bCs/>
                <w:color w:val="auto"/>
                <w:szCs w:val="21"/>
                <w:highlight w:val="none"/>
              </w:rPr>
              <w:t>分），满分8分。投标文件中提供签订的合同扫描件（要求清晰反映合同主要内容）。</w:t>
            </w:r>
          </w:p>
          <w:p w14:paraId="4825D877">
            <w:pPr>
              <w:pStyle w:val="18"/>
              <w:spacing w:line="360" w:lineRule="exact"/>
              <w:ind w:firstLine="420" w:firstLineChars="200"/>
              <w:jc w:val="left"/>
              <w:rPr>
                <w:rFonts w:hint="eastAsia" w:ascii="宋体" w:hAnsi="宋体"/>
                <w:bCs/>
                <w:color w:val="auto"/>
                <w:kern w:val="2"/>
                <w:sz w:val="21"/>
                <w:szCs w:val="21"/>
                <w:highlight w:val="none"/>
              </w:rPr>
            </w:pPr>
            <w:r>
              <w:rPr>
                <w:rFonts w:hint="eastAsia" w:ascii="宋体" w:hAnsi="宋体"/>
                <w:bCs/>
                <w:color w:val="auto"/>
                <w:kern w:val="2"/>
                <w:sz w:val="21"/>
                <w:szCs w:val="21"/>
                <w:highlight w:val="none"/>
              </w:rPr>
              <w:t>（2）合同履行用户评价意见：根据2025年以来，上述供货业绩的用户对投标人相关产品质量、服务、信誉等方面的反馈意见进行综合评价，每有1份合同履行用户评价意见且没有负面评价的，得</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分（同一采购人出具的用户合同评价意见只计</w:t>
            </w:r>
            <w:r>
              <w:rPr>
                <w:rFonts w:hint="eastAsia" w:ascii="宋体" w:hAnsi="宋体"/>
                <w:bCs/>
                <w:color w:val="auto"/>
                <w:kern w:val="2"/>
                <w:sz w:val="21"/>
                <w:szCs w:val="21"/>
                <w:highlight w:val="none"/>
                <w:lang w:val="en-US" w:eastAsia="zh-CN"/>
              </w:rPr>
              <w:t>1</w:t>
            </w:r>
            <w:r>
              <w:rPr>
                <w:rFonts w:hint="eastAsia" w:ascii="宋体" w:hAnsi="宋体"/>
                <w:bCs/>
                <w:color w:val="auto"/>
                <w:kern w:val="2"/>
                <w:sz w:val="21"/>
                <w:szCs w:val="21"/>
                <w:highlight w:val="none"/>
              </w:rPr>
              <w:t>分），满分8分。合同履行用户评价意见以用户出具并加盖公章的扫描件为准。</w:t>
            </w:r>
          </w:p>
        </w:tc>
      </w:tr>
      <w:tr w14:paraId="0315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16" w:type="pct"/>
            <w:noWrap w:val="0"/>
            <w:vAlign w:val="center"/>
          </w:tcPr>
          <w:p w14:paraId="10245455">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4</w:t>
            </w:r>
          </w:p>
        </w:tc>
        <w:tc>
          <w:tcPr>
            <w:tcW w:w="503" w:type="pct"/>
            <w:noWrap w:val="0"/>
            <w:vAlign w:val="center"/>
          </w:tcPr>
          <w:p w14:paraId="73C67DA1">
            <w:pPr>
              <w:adjustRightInd w:val="0"/>
              <w:snapToGrid w:val="0"/>
              <w:spacing w:line="360" w:lineRule="exact"/>
              <w:jc w:val="center"/>
              <w:textAlignment w:val="baseline"/>
              <w:rPr>
                <w:rFonts w:hint="eastAsia" w:ascii="宋体" w:hAnsi="宋体"/>
                <w:b/>
                <w:color w:val="auto"/>
                <w:szCs w:val="21"/>
                <w:highlight w:val="none"/>
              </w:rPr>
            </w:pPr>
            <w:r>
              <w:rPr>
                <w:rFonts w:hint="eastAsia" w:ascii="宋体" w:hAnsi="宋体"/>
                <w:b/>
                <w:bCs/>
                <w:color w:val="auto"/>
                <w:szCs w:val="21"/>
                <w:highlight w:val="none"/>
              </w:rPr>
              <w:t>政策分（</w:t>
            </w:r>
            <w:r>
              <w:rPr>
                <w:rFonts w:hint="eastAsia" w:ascii="宋体" w:hAnsi="宋体"/>
                <w:b/>
                <w:color w:val="auto"/>
                <w:szCs w:val="21"/>
                <w:highlight w:val="none"/>
              </w:rPr>
              <w:t>满分2</w:t>
            </w:r>
            <w:r>
              <w:rPr>
                <w:rFonts w:hint="eastAsia" w:ascii="宋体" w:hAnsi="宋体"/>
                <w:b/>
                <w:bCs/>
                <w:color w:val="auto"/>
                <w:szCs w:val="21"/>
                <w:highlight w:val="none"/>
              </w:rPr>
              <w:t>分）</w:t>
            </w:r>
          </w:p>
        </w:tc>
        <w:tc>
          <w:tcPr>
            <w:tcW w:w="554" w:type="pct"/>
            <w:noWrap w:val="0"/>
            <w:vAlign w:val="center"/>
          </w:tcPr>
          <w:p w14:paraId="570E4998">
            <w:pPr>
              <w:adjustRightInd w:val="0"/>
              <w:snapToGrid w:val="0"/>
              <w:spacing w:line="360" w:lineRule="exact"/>
              <w:jc w:val="center"/>
              <w:textAlignment w:val="baseline"/>
              <w:rPr>
                <w:rFonts w:hint="eastAsia" w:ascii="宋体" w:hAnsi="宋体"/>
                <w:color w:val="auto"/>
                <w:szCs w:val="21"/>
                <w:highlight w:val="none"/>
              </w:rPr>
            </w:pPr>
            <w:r>
              <w:rPr>
                <w:rFonts w:hint="eastAsia" w:ascii="宋体" w:hAnsi="宋体"/>
                <w:color w:val="auto"/>
                <w:szCs w:val="21"/>
                <w:highlight w:val="none"/>
              </w:rPr>
              <w:t>节能、环保产品（满分2分）</w:t>
            </w:r>
          </w:p>
        </w:tc>
        <w:tc>
          <w:tcPr>
            <w:tcW w:w="3725" w:type="pct"/>
            <w:noWrap w:val="0"/>
            <w:vAlign w:val="center"/>
          </w:tcPr>
          <w:p w14:paraId="15CD4226">
            <w:pPr>
              <w:spacing w:line="360" w:lineRule="exact"/>
              <w:ind w:firstLine="42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（1）属于财政部《节能产品政府采购品目清单》内优先采购（清单内未标注“★”的品目）的产品[投标文件中提供有效的认证证书复印件及品目清单（标注出投标产品在品目清单中所属的品目）]的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p w14:paraId="75A3DE8A">
            <w:pPr>
              <w:adjustRightInd w:val="0"/>
              <w:snapToGrid w:val="0"/>
              <w:spacing w:line="360" w:lineRule="exact"/>
              <w:ind w:firstLine="435"/>
              <w:textAlignment w:val="baseline"/>
              <w:rPr>
                <w:rFonts w:hint="eastAsia" w:ascii="宋体" w:hAnsi="宋体"/>
                <w:b/>
                <w:color w:val="auto"/>
                <w:szCs w:val="21"/>
                <w:highlight w:val="none"/>
              </w:rPr>
            </w:pPr>
            <w:r>
              <w:rPr>
                <w:rFonts w:hint="eastAsia" w:ascii="宋体" w:hAnsi="宋体" w:cs="Courier New"/>
                <w:bCs/>
                <w:color w:val="auto"/>
                <w:kern w:val="0"/>
                <w:szCs w:val="21"/>
                <w:highlight w:val="none"/>
              </w:rPr>
              <w:t>（2）属于财政部《环境标志产品政府采购品目清单》内的产品[投标文件中提供有效的认证证书复印件及品目清单（标注出投标产品在品目清单中所属的品目）]的</w:t>
            </w:r>
            <w:r>
              <w:rPr>
                <w:rFonts w:hint="eastAsia" w:ascii="宋体" w:hAnsi="宋体" w:cs="Courier New"/>
                <w:color w:val="auto"/>
                <w:szCs w:val="21"/>
                <w:highlight w:val="none"/>
              </w:rPr>
              <w:t>得1分</w:t>
            </w:r>
            <w:r>
              <w:rPr>
                <w:rFonts w:hint="eastAsia" w:ascii="宋体" w:hAnsi="宋体" w:cs="Courier New"/>
                <w:bCs/>
                <w:color w:val="auto"/>
                <w:kern w:val="0"/>
                <w:szCs w:val="21"/>
                <w:highlight w:val="none"/>
              </w:rPr>
              <w:t>，满分1分。</w:t>
            </w:r>
          </w:p>
        </w:tc>
      </w:tr>
      <w:tr w14:paraId="605D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000" w:type="pct"/>
            <w:gridSpan w:val="4"/>
            <w:noWrap w:val="0"/>
            <w:vAlign w:val="center"/>
          </w:tcPr>
          <w:p w14:paraId="1204168F">
            <w:pPr>
              <w:pStyle w:val="24"/>
              <w:snapToGrid w:val="0"/>
              <w:spacing w:line="360" w:lineRule="exact"/>
              <w:rPr>
                <w:rFonts w:hAnsi="宋体"/>
                <w:b/>
                <w:bCs/>
                <w:color w:val="auto"/>
                <w:sz w:val="21"/>
                <w:highlight w:val="none"/>
              </w:rPr>
            </w:pPr>
            <w:r>
              <w:rPr>
                <w:rFonts w:hint="eastAsia" w:hAnsi="宋体"/>
                <w:b/>
                <w:bCs/>
                <w:color w:val="auto"/>
                <w:sz w:val="21"/>
                <w:highlight w:val="none"/>
              </w:rPr>
              <w:t>总得分=1+2+3+4</w:t>
            </w:r>
          </w:p>
        </w:tc>
      </w:tr>
    </w:tbl>
    <w:p w14:paraId="5E55D2E8">
      <w:pPr>
        <w:snapToGrid w:val="0"/>
        <w:spacing w:line="360" w:lineRule="auto"/>
        <w:jc w:val="both"/>
        <w:outlineLvl w:val="1"/>
        <w:rPr>
          <w:rFonts w:hint="eastAsia" w:ascii="宋体" w:hAnsi="宋体" w:cs="宋体"/>
          <w:b/>
          <w:bCs/>
          <w:color w:val="auto"/>
          <w:sz w:val="32"/>
          <w:szCs w:val="32"/>
          <w:highlight w:val="none"/>
        </w:rPr>
      </w:pPr>
      <w:bookmarkStart w:id="204" w:name="_Toc26878"/>
    </w:p>
    <w:p w14:paraId="74138190">
      <w:pPr>
        <w:snapToGrid w:val="0"/>
        <w:spacing w:line="360" w:lineRule="auto"/>
        <w:jc w:val="both"/>
        <w:outlineLvl w:val="1"/>
        <w:rPr>
          <w:rFonts w:hint="eastAsia" w:ascii="宋体" w:hAnsi="宋体" w:cs="宋体"/>
          <w:b/>
          <w:bCs/>
          <w:color w:val="auto"/>
          <w:sz w:val="32"/>
          <w:szCs w:val="32"/>
          <w:highlight w:val="none"/>
        </w:rPr>
      </w:pPr>
    </w:p>
    <w:p w14:paraId="7832CE4C">
      <w:pPr>
        <w:snapToGrid w:val="0"/>
        <w:spacing w:line="360" w:lineRule="auto"/>
        <w:jc w:val="center"/>
        <w:outlineLvl w:val="1"/>
        <w:rPr>
          <w:rFonts w:ascii="宋体" w:hAnsi="宋体" w:cs="宋体"/>
          <w:b/>
          <w:bCs/>
          <w:color w:val="auto"/>
          <w:sz w:val="32"/>
          <w:szCs w:val="32"/>
          <w:highlight w:val="none"/>
        </w:rPr>
      </w:pPr>
      <w:bookmarkStart w:id="205" w:name="_Toc5747"/>
      <w:r>
        <w:rPr>
          <w:rFonts w:hint="eastAsia" w:ascii="宋体" w:hAnsi="宋体" w:cs="宋体"/>
          <w:b/>
          <w:bCs/>
          <w:color w:val="auto"/>
          <w:sz w:val="32"/>
          <w:szCs w:val="32"/>
          <w:highlight w:val="none"/>
        </w:rPr>
        <w:t>四、中标候选人推荐</w:t>
      </w:r>
      <w:bookmarkEnd w:id="204"/>
      <w:bookmarkEnd w:id="205"/>
    </w:p>
    <w:p w14:paraId="4B616A42">
      <w:pPr>
        <w:pStyle w:val="24"/>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综合评分法</w:t>
      </w:r>
    </w:p>
    <w:p w14:paraId="3925613D">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1</w:t>
      </w:r>
      <w:r>
        <w:rPr>
          <w:rFonts w:hAnsi="宋体"/>
          <w:color w:val="auto"/>
          <w:sz w:val="21"/>
          <w:highlight w:val="none"/>
        </w:rPr>
        <w:t>.</w:t>
      </w:r>
      <w:r>
        <w:rPr>
          <w:rFonts w:hint="eastAsia" w:hAnsi="宋体"/>
          <w:color w:val="auto"/>
          <w:sz w:val="21"/>
          <w:highlight w:val="none"/>
        </w:rPr>
        <w:t>评标委员会根据原始评标记录和评标结果编写评标报告，并通过电子交易平台向采购人、采购代理机构提交。</w:t>
      </w:r>
    </w:p>
    <w:p w14:paraId="3F85982A">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2</w:t>
      </w:r>
      <w:r>
        <w:rPr>
          <w:rFonts w:hAnsi="宋体"/>
          <w:color w:val="auto"/>
          <w:sz w:val="21"/>
          <w:highlight w:val="none"/>
        </w:rPr>
        <w:t>.</w:t>
      </w:r>
      <w:r>
        <w:rPr>
          <w:rFonts w:hint="eastAsia" w:hAnsi="宋体"/>
          <w:color w:val="auto"/>
          <w:sz w:val="21"/>
          <w:highlight w:val="none"/>
        </w:rPr>
        <w:t>除另有约定外，评标委员会将根据总得分由高到低排列次序并推荐中标候选人。得分相同的，按投标报价由低到高顺序排列。得分相同且投标报价相同的并列，或由评标委员会根据本招标文件第三章“投标人须知前附表”</w:t>
      </w:r>
      <w:r>
        <w:rPr>
          <w:rFonts w:hAnsi="宋体"/>
          <w:color w:val="auto"/>
          <w:sz w:val="21"/>
          <w:highlight w:val="none"/>
        </w:rPr>
        <w:t>8.1</w:t>
      </w:r>
      <w:r>
        <w:rPr>
          <w:rFonts w:hint="eastAsia" w:hAnsi="宋体"/>
          <w:color w:val="auto"/>
          <w:sz w:val="21"/>
          <w:highlight w:val="none"/>
        </w:rPr>
        <w:t>款、3</w:t>
      </w:r>
      <w:r>
        <w:rPr>
          <w:rFonts w:hAnsi="宋体"/>
          <w:color w:val="auto"/>
          <w:sz w:val="21"/>
          <w:highlight w:val="none"/>
        </w:rPr>
        <w:t>0.1</w:t>
      </w:r>
      <w:r>
        <w:rPr>
          <w:rFonts w:hint="eastAsia" w:hAnsi="宋体"/>
          <w:color w:val="auto"/>
          <w:sz w:val="21"/>
          <w:highlight w:val="none"/>
        </w:rPr>
        <w:t>款优先顺序推荐候选人排名。投标文件满足招标文件全部实质性要求，且按照评审因素的量化指标评审得分最高的投标人为排名第一的中标候选人。</w:t>
      </w:r>
    </w:p>
    <w:p w14:paraId="56AE2039">
      <w:pPr>
        <w:pStyle w:val="24"/>
        <w:spacing w:line="360" w:lineRule="auto"/>
        <w:ind w:firstLine="402" w:firstLineChars="200"/>
        <w:contextualSpacing/>
        <w:rPr>
          <w:rFonts w:hint="eastAsia" w:hAnsi="宋体"/>
          <w:color w:val="auto"/>
          <w:sz w:val="21"/>
          <w:highlight w:val="none"/>
          <w:u w:val="single"/>
        </w:rPr>
      </w:pPr>
      <w:r>
        <w:rPr>
          <w:rFonts w:hint="eastAsia" w:hAnsi="宋体"/>
          <w:b/>
          <w:color w:val="auto"/>
          <w:highlight w:val="none"/>
          <w:u w:val="single"/>
        </w:rPr>
        <w:t>3.为确保供货的及时性，投标人均可参与各标的、各分标的投标，但对同一标的不同分标的，一个投标人只能中其中一个分标；若某投标人有两个（或两个以上）分标综合评分最高，则优先推荐成为预算金额较大分标的为第一中标候选人；各标的之间则不受此限制。若进入详评的投标人个数少于分标个数时，则按此循环，可累计中标。</w:t>
      </w:r>
    </w:p>
    <w:p w14:paraId="6C35BDA5">
      <w:pPr>
        <w:pStyle w:val="4"/>
        <w:keepNext w:val="0"/>
        <w:keepLines w:val="0"/>
        <w:rPr>
          <w:rFonts w:hint="eastAsia" w:hAnsi="宋体"/>
          <w:color w:val="auto"/>
          <w:sz w:val="21"/>
          <w:highlight w:val="none"/>
        </w:rPr>
      </w:pPr>
    </w:p>
    <w:p w14:paraId="1B7685CB">
      <w:pPr>
        <w:pStyle w:val="2"/>
        <w:jc w:val="center"/>
        <w:rPr>
          <w:rFonts w:hint="eastAsia"/>
          <w:color w:val="auto"/>
          <w:highlight w:val="none"/>
        </w:rPr>
      </w:pPr>
      <w:bookmarkStart w:id="206" w:name="_Toc4470"/>
      <w:r>
        <w:rPr>
          <w:rFonts w:hint="eastAsia"/>
          <w:color w:val="auto"/>
          <w:highlight w:val="none"/>
        </w:rPr>
        <w:br w:type="page"/>
      </w:r>
      <w:bookmarkStart w:id="207" w:name="_Toc31573"/>
      <w:r>
        <w:rPr>
          <w:rFonts w:hint="eastAsia"/>
          <w:color w:val="auto"/>
          <w:highlight w:val="none"/>
        </w:rPr>
        <w:t>第五章 拟签订的合同文本</w:t>
      </w:r>
      <w:bookmarkEnd w:id="206"/>
      <w:bookmarkEnd w:id="207"/>
    </w:p>
    <w:p w14:paraId="0276DF30">
      <w:pPr>
        <w:snapToGrid w:val="0"/>
        <w:jc w:val="center"/>
        <w:rPr>
          <w:rFonts w:hint="eastAsia" w:ascii="宋体" w:hAnsi="宋体"/>
          <w:bCs/>
          <w:color w:val="auto"/>
          <w:sz w:val="32"/>
          <w:szCs w:val="32"/>
          <w:highlight w:val="none"/>
        </w:rPr>
      </w:pPr>
    </w:p>
    <w:p w14:paraId="768B4B2C">
      <w:pPr>
        <w:snapToGrid w:val="0"/>
        <w:spacing w:before="120" w:line="360" w:lineRule="auto"/>
        <w:outlineLvl w:val="1"/>
        <w:rPr>
          <w:rFonts w:hint="eastAsia" w:ascii="宋体" w:hAnsi="宋体" w:cs="宋体"/>
          <w:color w:val="auto"/>
          <w:sz w:val="24"/>
          <w:highlight w:val="none"/>
        </w:rPr>
      </w:pPr>
      <w:bookmarkStart w:id="208" w:name="_Toc15072"/>
      <w:r>
        <w:rPr>
          <w:rFonts w:hint="eastAsia" w:ascii="宋体" w:hAnsi="宋体" w:cs="宋体"/>
          <w:color w:val="auto"/>
          <w:sz w:val="24"/>
          <w:highlight w:val="none"/>
        </w:rPr>
        <w:t>《广西壮族自治区政府采购合同》（格式）</w:t>
      </w:r>
      <w:bookmarkEnd w:id="208"/>
    </w:p>
    <w:p w14:paraId="642840A0">
      <w:pPr>
        <w:snapToGrid w:val="0"/>
        <w:spacing w:before="120" w:line="360" w:lineRule="auto"/>
        <w:jc w:val="center"/>
        <w:rPr>
          <w:rFonts w:hint="eastAsia" w:ascii="宋体" w:hAnsi="宋体" w:cs="宋体"/>
          <w:b/>
          <w:bCs/>
          <w:color w:val="auto"/>
          <w:sz w:val="44"/>
          <w:szCs w:val="44"/>
          <w:highlight w:val="none"/>
        </w:rPr>
      </w:pPr>
    </w:p>
    <w:p w14:paraId="6E778930">
      <w:pPr>
        <w:snapToGrid w:val="0"/>
        <w:spacing w:before="120" w:line="360" w:lineRule="auto"/>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广西壮族自治区政府采购合同</w:t>
      </w:r>
    </w:p>
    <w:p w14:paraId="4059003F">
      <w:pPr>
        <w:tabs>
          <w:tab w:val="center" w:pos="4153"/>
          <w:tab w:val="right" w:pos="8306"/>
        </w:tabs>
        <w:snapToGrid w:val="0"/>
        <w:spacing w:line="360" w:lineRule="auto"/>
        <w:jc w:val="left"/>
        <w:rPr>
          <w:rFonts w:ascii="宋体" w:hAnsi="宋体" w:cs="宋体"/>
          <w:b/>
          <w:bCs/>
          <w:color w:val="auto"/>
          <w:sz w:val="28"/>
          <w:szCs w:val="28"/>
          <w:highlight w:val="none"/>
        </w:rPr>
      </w:pPr>
    </w:p>
    <w:p w14:paraId="1EE4698E">
      <w:pPr>
        <w:tabs>
          <w:tab w:val="center" w:pos="4153"/>
          <w:tab w:val="right" w:pos="8306"/>
        </w:tabs>
        <w:snapToGrid w:val="0"/>
        <w:spacing w:line="360" w:lineRule="auto"/>
        <w:jc w:val="left"/>
        <w:rPr>
          <w:rFonts w:ascii="宋体" w:hAnsi="宋体" w:cs="宋体"/>
          <w:b/>
          <w:bCs/>
          <w:color w:val="auto"/>
          <w:sz w:val="28"/>
          <w:szCs w:val="28"/>
          <w:highlight w:val="none"/>
        </w:rPr>
      </w:pPr>
    </w:p>
    <w:p w14:paraId="52C07BC0">
      <w:pPr>
        <w:tabs>
          <w:tab w:val="center" w:pos="4153"/>
          <w:tab w:val="right" w:pos="8306"/>
        </w:tabs>
        <w:snapToGrid w:val="0"/>
        <w:spacing w:line="360" w:lineRule="auto"/>
        <w:jc w:val="left"/>
        <w:rPr>
          <w:rFonts w:ascii="宋体" w:hAnsi="宋体" w:cs="宋体"/>
          <w:b/>
          <w:bCs/>
          <w:color w:val="auto"/>
          <w:sz w:val="28"/>
          <w:szCs w:val="28"/>
          <w:highlight w:val="none"/>
        </w:rPr>
      </w:pPr>
    </w:p>
    <w:p w14:paraId="68172E8F">
      <w:pPr>
        <w:spacing w:line="720" w:lineRule="auto"/>
        <w:ind w:firstLine="643" w:firstLineChars="200"/>
        <w:rPr>
          <w:rFonts w:ascii="宋体" w:hAnsi="宋体" w:cs="宋体"/>
          <w:b/>
          <w:color w:val="auto"/>
          <w:kern w:val="0"/>
          <w:sz w:val="32"/>
          <w:szCs w:val="32"/>
          <w:highlight w:val="none"/>
          <w:u w:val="single"/>
        </w:rPr>
      </w:pPr>
      <w:r>
        <w:rPr>
          <w:rFonts w:hint="eastAsia" w:ascii="宋体" w:hAnsi="宋体" w:cs="宋体"/>
          <w:b/>
          <w:color w:val="auto"/>
          <w:kern w:val="0"/>
          <w:sz w:val="32"/>
          <w:szCs w:val="32"/>
          <w:highlight w:val="none"/>
        </w:rPr>
        <w:t>合同名称：</w:t>
      </w:r>
      <w:r>
        <w:rPr>
          <w:rFonts w:hint="eastAsia" w:ascii="宋体" w:hAnsi="宋体" w:cs="宋体"/>
          <w:b/>
          <w:color w:val="auto"/>
          <w:kern w:val="0"/>
          <w:sz w:val="32"/>
          <w:szCs w:val="32"/>
          <w:highlight w:val="none"/>
          <w:u w:val="single"/>
        </w:rPr>
        <w:t xml:space="preserve">                                    </w:t>
      </w:r>
    </w:p>
    <w:p w14:paraId="779A314E">
      <w:pPr>
        <w:spacing w:line="720" w:lineRule="auto"/>
        <w:ind w:firstLine="643" w:firstLineChars="200"/>
        <w:rPr>
          <w:rFonts w:ascii="宋体" w:hAnsi="宋体" w:cs="宋体"/>
          <w:b/>
          <w:color w:val="auto"/>
          <w:kern w:val="0"/>
          <w:sz w:val="32"/>
          <w:szCs w:val="32"/>
          <w:highlight w:val="none"/>
          <w:u w:val="single"/>
        </w:rPr>
      </w:pPr>
      <w:r>
        <w:rPr>
          <w:rFonts w:hint="eastAsia" w:ascii="宋体" w:hAnsi="宋体" w:cs="宋体"/>
          <w:b/>
          <w:color w:val="auto"/>
          <w:sz w:val="32"/>
          <w:szCs w:val="32"/>
          <w:highlight w:val="none"/>
        </w:rPr>
        <w:t>合同编</w:t>
      </w:r>
      <w:r>
        <w:rPr>
          <w:rFonts w:hint="eastAsia" w:ascii="宋体" w:hAnsi="宋体" w:cs="宋体"/>
          <w:b/>
          <w:color w:val="auto"/>
          <w:kern w:val="0"/>
          <w:sz w:val="32"/>
          <w:szCs w:val="32"/>
          <w:highlight w:val="none"/>
        </w:rPr>
        <w:t>号：</w:t>
      </w:r>
      <w:r>
        <w:rPr>
          <w:rFonts w:hint="eastAsia" w:ascii="宋体" w:hAnsi="宋体" w:cs="宋体"/>
          <w:b/>
          <w:color w:val="auto"/>
          <w:kern w:val="0"/>
          <w:sz w:val="32"/>
          <w:szCs w:val="32"/>
          <w:highlight w:val="none"/>
          <w:u w:val="single"/>
        </w:rPr>
        <w:t xml:space="preserve">                                    </w:t>
      </w:r>
    </w:p>
    <w:p w14:paraId="42840BCF">
      <w:pPr>
        <w:spacing w:line="720" w:lineRule="auto"/>
        <w:ind w:firstLine="643" w:firstLineChars="200"/>
        <w:rPr>
          <w:rFonts w:ascii="宋体" w:hAnsi="宋体" w:cs="宋体"/>
          <w:b/>
          <w:color w:val="auto"/>
          <w:kern w:val="0"/>
          <w:sz w:val="32"/>
          <w:szCs w:val="32"/>
          <w:highlight w:val="none"/>
          <w:u w:val="single"/>
        </w:rPr>
      </w:pPr>
      <w:r>
        <w:rPr>
          <w:rFonts w:hint="eastAsia" w:ascii="宋体" w:hAnsi="宋体" w:cs="宋体"/>
          <w:b/>
          <w:color w:val="auto"/>
          <w:kern w:val="0"/>
          <w:sz w:val="32"/>
          <w:szCs w:val="32"/>
          <w:highlight w:val="none"/>
        </w:rPr>
        <w:t>采购单位（甲方）：</w:t>
      </w:r>
      <w:r>
        <w:rPr>
          <w:rFonts w:hint="eastAsia" w:ascii="宋体" w:hAnsi="宋体" w:cs="宋体"/>
          <w:b/>
          <w:color w:val="auto"/>
          <w:kern w:val="0"/>
          <w:sz w:val="32"/>
          <w:szCs w:val="32"/>
          <w:highlight w:val="none"/>
          <w:u w:val="single"/>
        </w:rPr>
        <w:t xml:space="preserve">                            </w:t>
      </w:r>
    </w:p>
    <w:p w14:paraId="53D7D78F">
      <w:pPr>
        <w:spacing w:line="720" w:lineRule="auto"/>
        <w:ind w:firstLine="643" w:firstLineChars="200"/>
        <w:rPr>
          <w:rFonts w:ascii="宋体" w:hAnsi="宋体" w:cs="宋体"/>
          <w:b/>
          <w:color w:val="auto"/>
          <w:kern w:val="0"/>
          <w:sz w:val="32"/>
          <w:szCs w:val="32"/>
          <w:highlight w:val="none"/>
          <w:u w:val="single"/>
        </w:rPr>
      </w:pPr>
      <w:r>
        <w:rPr>
          <w:rFonts w:hint="eastAsia" w:ascii="宋体" w:hAnsi="宋体" w:cs="宋体"/>
          <w:b/>
          <w:color w:val="auto"/>
          <w:kern w:val="0"/>
          <w:sz w:val="32"/>
          <w:szCs w:val="32"/>
          <w:highlight w:val="none"/>
        </w:rPr>
        <w:t>供 应 商（乙方）：</w:t>
      </w:r>
      <w:r>
        <w:rPr>
          <w:rFonts w:hint="eastAsia" w:ascii="宋体" w:hAnsi="宋体" w:cs="宋体"/>
          <w:b/>
          <w:color w:val="auto"/>
          <w:kern w:val="0"/>
          <w:sz w:val="32"/>
          <w:szCs w:val="32"/>
          <w:highlight w:val="none"/>
          <w:u w:val="single"/>
        </w:rPr>
        <w:t xml:space="preserve">                            </w:t>
      </w:r>
    </w:p>
    <w:p w14:paraId="4C2A1E80">
      <w:pPr>
        <w:spacing w:line="720" w:lineRule="auto"/>
        <w:ind w:firstLine="643" w:firstLineChars="200"/>
        <w:rPr>
          <w:rFonts w:ascii="宋体" w:hAnsi="宋体" w:cs="宋体"/>
          <w:b/>
          <w:color w:val="auto"/>
          <w:kern w:val="0"/>
          <w:sz w:val="32"/>
          <w:szCs w:val="32"/>
          <w:highlight w:val="none"/>
          <w:u w:val="single"/>
        </w:rPr>
      </w:pPr>
      <w:r>
        <w:rPr>
          <w:rFonts w:hint="eastAsia" w:ascii="宋体" w:hAnsi="宋体" w:cs="宋体"/>
          <w:b/>
          <w:color w:val="auto"/>
          <w:kern w:val="0"/>
          <w:sz w:val="32"/>
          <w:szCs w:val="32"/>
          <w:highlight w:val="none"/>
        </w:rPr>
        <w:t>签订合同地点：</w:t>
      </w:r>
      <w:r>
        <w:rPr>
          <w:rFonts w:hint="eastAsia" w:ascii="宋体" w:hAnsi="宋体" w:cs="宋体"/>
          <w:b/>
          <w:color w:val="auto"/>
          <w:kern w:val="0"/>
          <w:sz w:val="32"/>
          <w:szCs w:val="32"/>
          <w:highlight w:val="none"/>
          <w:u w:val="single"/>
        </w:rPr>
        <w:t xml:space="preserve">                                </w:t>
      </w:r>
    </w:p>
    <w:p w14:paraId="58D59E61">
      <w:pPr>
        <w:spacing w:line="720" w:lineRule="auto"/>
        <w:ind w:firstLine="643" w:firstLineChars="200"/>
        <w:rPr>
          <w:rFonts w:ascii="宋体" w:hAnsi="宋体" w:cs="宋体"/>
          <w:b/>
          <w:color w:val="auto"/>
          <w:kern w:val="0"/>
          <w:sz w:val="32"/>
          <w:szCs w:val="32"/>
          <w:highlight w:val="none"/>
          <w:u w:val="single"/>
        </w:rPr>
      </w:pPr>
      <w:r>
        <w:rPr>
          <w:rFonts w:hint="eastAsia" w:ascii="宋体" w:hAnsi="宋体" w:cs="宋体"/>
          <w:b/>
          <w:color w:val="auto"/>
          <w:kern w:val="0"/>
          <w:sz w:val="32"/>
          <w:szCs w:val="32"/>
          <w:highlight w:val="none"/>
        </w:rPr>
        <w:t>签订合同日期：</w:t>
      </w:r>
      <w:r>
        <w:rPr>
          <w:rFonts w:hint="eastAsia" w:ascii="宋体" w:hAnsi="宋体" w:cs="宋体"/>
          <w:b/>
          <w:color w:val="auto"/>
          <w:kern w:val="0"/>
          <w:sz w:val="32"/>
          <w:szCs w:val="32"/>
          <w:highlight w:val="none"/>
          <w:u w:val="single"/>
        </w:rPr>
        <w:t xml:space="preserve">                                </w:t>
      </w:r>
    </w:p>
    <w:p w14:paraId="5B061827">
      <w:pPr>
        <w:spacing w:line="360" w:lineRule="auto"/>
        <w:ind w:left="2040" w:leftChars="570" w:hanging="843" w:hangingChars="300"/>
        <w:rPr>
          <w:rFonts w:ascii="宋体" w:hAnsi="宋体" w:cs="宋体"/>
          <w:b/>
          <w:color w:val="auto"/>
          <w:kern w:val="0"/>
          <w:sz w:val="28"/>
          <w:szCs w:val="28"/>
          <w:highlight w:val="none"/>
          <w:u w:val="single"/>
        </w:rPr>
        <w:sectPr>
          <w:headerReference r:id="rId9" w:type="default"/>
          <w:pgSz w:w="11906" w:h="16838"/>
          <w:pgMar w:top="1247" w:right="1247" w:bottom="1247" w:left="1247" w:header="567" w:footer="737" w:gutter="0"/>
          <w:cols w:space="720" w:num="1"/>
          <w:docGrid w:type="lines" w:linePitch="312" w:charSpace="0"/>
        </w:sectPr>
      </w:pPr>
    </w:p>
    <w:p w14:paraId="5E86A286">
      <w:pPr>
        <w:snapToGrid w:val="0"/>
        <w:rPr>
          <w:rFonts w:hint="eastAsia"/>
          <w:color w:val="auto"/>
          <w:highlight w:val="none"/>
        </w:rPr>
      </w:pPr>
    </w:p>
    <w:p w14:paraId="5EE3217F">
      <w:pPr>
        <w:snapToGrid w:val="0"/>
        <w:jc w:val="center"/>
        <w:rPr>
          <w:rFonts w:hint="eastAsia" w:ascii="宋体" w:hAnsi="宋体"/>
          <w:b/>
          <w:bCs/>
          <w:color w:val="auto"/>
          <w:sz w:val="32"/>
          <w:szCs w:val="32"/>
          <w:highlight w:val="none"/>
        </w:rPr>
      </w:pPr>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151B7919">
      <w:pPr>
        <w:snapToGrid w:val="0"/>
        <w:spacing w:line="400" w:lineRule="exact"/>
        <w:ind w:right="480" w:firstLine="5250" w:firstLineChars="2500"/>
        <w:rPr>
          <w:rFonts w:hint="eastAsia" w:ascii="宋体" w:hAnsi="宋体"/>
          <w:bCs/>
          <w:color w:val="auto"/>
          <w:szCs w:val="21"/>
          <w:highlight w:val="none"/>
          <w:u w:val="single"/>
        </w:rPr>
      </w:pPr>
      <w:r>
        <w:rPr>
          <w:rFonts w:hint="eastAsia" w:ascii="宋体" w:hAnsi="宋体"/>
          <w:bCs/>
          <w:color w:val="auto"/>
          <w:szCs w:val="21"/>
          <w:highlight w:val="none"/>
        </w:rPr>
        <w:t>合同编号：</w:t>
      </w:r>
    </w:p>
    <w:p w14:paraId="3E6E8147">
      <w:pPr>
        <w:snapToGrid w:val="0"/>
        <w:spacing w:line="360" w:lineRule="exact"/>
        <w:rPr>
          <w:rFonts w:hint="eastAsia" w:ascii="宋体" w:hAnsi="宋体"/>
          <w:color w:val="auto"/>
          <w:szCs w:val="21"/>
          <w:highlight w:val="none"/>
        </w:rPr>
      </w:pPr>
    </w:p>
    <w:p w14:paraId="5B065DB0">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采购人（甲方）：</w:t>
      </w:r>
      <w:r>
        <w:rPr>
          <w:rFonts w:hint="eastAsia" w:ascii="宋体" w:hAnsi="宋体"/>
          <w:color w:val="auto"/>
          <w:szCs w:val="21"/>
          <w:highlight w:val="none"/>
          <w:u w:val="single"/>
        </w:rPr>
        <w:t xml:space="preserve">广西壮族自治区动物疫病预防控制中心 </w:t>
      </w:r>
      <w:r>
        <w:rPr>
          <w:rFonts w:hint="eastAsia" w:ascii="宋体" w:hAnsi="宋体"/>
          <w:color w:val="auto"/>
          <w:szCs w:val="21"/>
          <w:highlight w:val="none"/>
        </w:rPr>
        <w:t xml:space="preserve">  </w:t>
      </w:r>
    </w:p>
    <w:p w14:paraId="4DE04F3D">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供应商（乙方）：</w:t>
      </w:r>
      <w:r>
        <w:rPr>
          <w:rFonts w:hint="eastAsia" w:ascii="宋体" w:hAnsi="宋体"/>
          <w:color w:val="auto"/>
          <w:szCs w:val="21"/>
          <w:highlight w:val="none"/>
          <w:u w:val="single"/>
        </w:rPr>
        <w:t xml:space="preserve">                          </w:t>
      </w:r>
    </w:p>
    <w:p w14:paraId="6537958C">
      <w:pPr>
        <w:snapToGrid w:val="0"/>
        <w:spacing w:line="360" w:lineRule="auto"/>
        <w:rPr>
          <w:rFonts w:ascii="宋体" w:hAnsi="宋体"/>
          <w:color w:val="auto"/>
          <w:szCs w:val="21"/>
          <w:highlight w:val="none"/>
        </w:rPr>
      </w:pPr>
      <w:r>
        <w:rPr>
          <w:rFonts w:hint="eastAsia" w:ascii="宋体" w:hAnsi="宋体"/>
          <w:color w:val="auto"/>
          <w:spacing w:val="-20"/>
          <w:szCs w:val="21"/>
          <w:highlight w:val="none"/>
        </w:rPr>
        <w:t>采 购 计 划 号：</w:t>
      </w:r>
      <w:r>
        <w:rPr>
          <w:rFonts w:hint="eastAsia" w:ascii="宋体" w:hAnsi="宋体"/>
          <w:color w:val="auto"/>
          <w:szCs w:val="21"/>
          <w:highlight w:val="none"/>
          <w:u w:val="single"/>
        </w:rPr>
        <w:t xml:space="preserve">                         </w:t>
      </w:r>
    </w:p>
    <w:p w14:paraId="5075B055">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p>
    <w:p w14:paraId="3BBE2FC5">
      <w:pPr>
        <w:snapToGrid w:val="0"/>
        <w:spacing w:line="360" w:lineRule="auto"/>
        <w:rPr>
          <w:rFonts w:ascii="宋体" w:hAnsi="宋体"/>
          <w:color w:val="auto"/>
          <w:highlight w:val="none"/>
        </w:rPr>
      </w:pPr>
      <w:r>
        <w:rPr>
          <w:rFonts w:hint="eastAsia" w:ascii="宋体" w:hAnsi="宋体"/>
          <w:color w:val="auto"/>
          <w:szCs w:val="21"/>
          <w:highlight w:val="none"/>
        </w:rPr>
        <w:t>合同</w:t>
      </w:r>
      <w:r>
        <w:rPr>
          <w:rFonts w:hint="eastAsia" w:ascii="宋体" w:hAnsi="宋体"/>
          <w:color w:val="auto"/>
          <w:highlight w:val="none"/>
        </w:rPr>
        <w:t>类型：</w:t>
      </w:r>
      <w:r>
        <w:rPr>
          <w:rFonts w:hint="eastAsia" w:ascii="宋体" w:hAnsi="宋体"/>
          <w:color w:val="auto"/>
          <w:highlight w:val="none"/>
          <w:u w:val="single"/>
        </w:rPr>
        <w:t>买卖合同</w:t>
      </w:r>
    </w:p>
    <w:p w14:paraId="70A3AFC8">
      <w:pPr>
        <w:spacing w:line="360" w:lineRule="auto"/>
        <w:rPr>
          <w:rFonts w:ascii="宋体" w:hAnsi="宋体"/>
          <w:color w:val="auto"/>
          <w:szCs w:val="21"/>
          <w:highlight w:val="none"/>
        </w:rPr>
      </w:pPr>
      <w:r>
        <w:rPr>
          <w:rFonts w:hint="eastAsia" w:ascii="宋体" w:hAnsi="宋体"/>
          <w:color w:val="auto"/>
          <w:szCs w:val="21"/>
          <w:highlight w:val="none"/>
        </w:rPr>
        <w:t>本合同为中小企业预留合同：</w:t>
      </w:r>
      <w:r>
        <w:rPr>
          <w:rFonts w:hint="eastAsia" w:ascii="宋体" w:hAnsi="宋体"/>
          <w:color w:val="auto"/>
          <w:szCs w:val="21"/>
          <w:highlight w:val="none"/>
          <w:u w:val="single"/>
        </w:rPr>
        <w:t>否</w:t>
      </w:r>
      <w:r>
        <w:rPr>
          <w:rFonts w:hint="eastAsia" w:ascii="宋体" w:hAnsi="宋体"/>
          <w:color w:val="auto"/>
          <w:szCs w:val="21"/>
          <w:highlight w:val="none"/>
        </w:rPr>
        <w:t>。</w:t>
      </w:r>
    </w:p>
    <w:p w14:paraId="1798C57D">
      <w:pPr>
        <w:pStyle w:val="18"/>
        <w:rPr>
          <w:color w:val="auto"/>
          <w:highlight w:val="none"/>
        </w:rPr>
      </w:pPr>
    </w:p>
    <w:p w14:paraId="571A1E8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根据《中华人民共和国政府采购法》、《中华人民共和国民法典》等法律、法规规定，按照招标文件（或称为“采购文件”）规定条款和乙方投标文件及其承诺，甲乙双方签订本合同。</w:t>
      </w:r>
    </w:p>
    <w:p w14:paraId="6EF5831F">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第一条　合同标的</w:t>
      </w:r>
    </w:p>
    <w:p w14:paraId="1E36073E">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1.供货一览表</w:t>
      </w:r>
    </w:p>
    <w:tbl>
      <w:tblPr>
        <w:tblStyle w:val="49"/>
        <w:tblW w:w="50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530"/>
        <w:gridCol w:w="1378"/>
        <w:gridCol w:w="1379"/>
        <w:gridCol w:w="978"/>
        <w:gridCol w:w="899"/>
        <w:gridCol w:w="1101"/>
        <w:gridCol w:w="1214"/>
      </w:tblGrid>
      <w:tr w14:paraId="0F55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396" w:type="pct"/>
            <w:tcBorders>
              <w:top w:val="single" w:color="auto" w:sz="4" w:space="0"/>
              <w:left w:val="single" w:color="auto" w:sz="4" w:space="0"/>
              <w:bottom w:val="single" w:color="auto" w:sz="4" w:space="0"/>
              <w:right w:val="single" w:color="auto" w:sz="4" w:space="0"/>
            </w:tcBorders>
            <w:noWrap w:val="0"/>
            <w:vAlign w:val="center"/>
          </w:tcPr>
          <w:p w14:paraId="3C962D0B">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序号</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C94E1C5">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产品名称</w:t>
            </w:r>
          </w:p>
        </w:tc>
        <w:tc>
          <w:tcPr>
            <w:tcW w:w="748" w:type="pct"/>
            <w:tcBorders>
              <w:top w:val="single" w:color="auto" w:sz="4" w:space="0"/>
              <w:left w:val="single" w:color="auto" w:sz="4" w:space="0"/>
              <w:bottom w:val="single" w:color="auto" w:sz="4" w:space="0"/>
              <w:right w:val="single" w:color="auto" w:sz="4" w:space="0"/>
            </w:tcBorders>
            <w:noWrap w:val="0"/>
            <w:vAlign w:val="center"/>
          </w:tcPr>
          <w:p w14:paraId="50835997">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生产厂家</w:t>
            </w:r>
          </w:p>
        </w:tc>
        <w:tc>
          <w:tcPr>
            <w:tcW w:w="749" w:type="pct"/>
            <w:tcBorders>
              <w:top w:val="single" w:color="auto" w:sz="4" w:space="0"/>
              <w:left w:val="single" w:color="auto" w:sz="4" w:space="0"/>
              <w:bottom w:val="single" w:color="auto" w:sz="4" w:space="0"/>
              <w:right w:val="single" w:color="auto" w:sz="4" w:space="0"/>
            </w:tcBorders>
            <w:noWrap w:val="0"/>
            <w:vAlign w:val="center"/>
          </w:tcPr>
          <w:p w14:paraId="0B80825B">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规格型号</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4DFC3763">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数量</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5E1195CA">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单位</w:t>
            </w:r>
          </w:p>
        </w:tc>
        <w:tc>
          <w:tcPr>
            <w:tcW w:w="598" w:type="pct"/>
            <w:tcBorders>
              <w:top w:val="single" w:color="auto" w:sz="4" w:space="0"/>
              <w:left w:val="single" w:color="auto" w:sz="4" w:space="0"/>
              <w:bottom w:val="single" w:color="auto" w:sz="4" w:space="0"/>
              <w:right w:val="single" w:color="auto" w:sz="4" w:space="0"/>
            </w:tcBorders>
            <w:noWrap w:val="0"/>
            <w:vAlign w:val="center"/>
          </w:tcPr>
          <w:p w14:paraId="4490A619">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单  价</w:t>
            </w:r>
          </w:p>
          <w:p w14:paraId="4D69DEBE">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（元）</w:t>
            </w:r>
          </w:p>
        </w:tc>
        <w:tc>
          <w:tcPr>
            <w:tcW w:w="659" w:type="pct"/>
            <w:tcBorders>
              <w:top w:val="single" w:color="auto" w:sz="4" w:space="0"/>
              <w:left w:val="single" w:color="auto" w:sz="4" w:space="0"/>
              <w:bottom w:val="single" w:color="auto" w:sz="4" w:space="0"/>
              <w:right w:val="single" w:color="auto" w:sz="4" w:space="0"/>
            </w:tcBorders>
            <w:noWrap w:val="0"/>
            <w:vAlign w:val="center"/>
          </w:tcPr>
          <w:p w14:paraId="3FA410B4">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金  额</w:t>
            </w:r>
          </w:p>
          <w:p w14:paraId="444018CE">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（元）</w:t>
            </w:r>
          </w:p>
        </w:tc>
      </w:tr>
      <w:tr w14:paraId="503B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96" w:type="pct"/>
            <w:tcBorders>
              <w:top w:val="single" w:color="auto" w:sz="4" w:space="0"/>
              <w:left w:val="single" w:color="auto" w:sz="4" w:space="0"/>
              <w:bottom w:val="single" w:color="auto" w:sz="4" w:space="0"/>
              <w:right w:val="single" w:color="auto" w:sz="4" w:space="0"/>
            </w:tcBorders>
            <w:noWrap w:val="0"/>
            <w:vAlign w:val="center"/>
          </w:tcPr>
          <w:p w14:paraId="3E142DA0">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1</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F2DA0C5">
            <w:pPr>
              <w:snapToGrid w:val="0"/>
              <w:spacing w:line="300" w:lineRule="exact"/>
              <w:jc w:val="center"/>
              <w:rPr>
                <w:rFonts w:ascii="宋体" w:hAnsi="宋体" w:cs="Arial"/>
                <w:color w:val="auto"/>
                <w:szCs w:val="21"/>
                <w:highlight w:val="none"/>
              </w:rPr>
            </w:pPr>
          </w:p>
        </w:tc>
        <w:tc>
          <w:tcPr>
            <w:tcW w:w="748" w:type="pct"/>
            <w:tcBorders>
              <w:top w:val="single" w:color="auto" w:sz="4" w:space="0"/>
              <w:left w:val="single" w:color="auto" w:sz="4" w:space="0"/>
              <w:bottom w:val="single" w:color="auto" w:sz="4" w:space="0"/>
              <w:right w:val="single" w:color="auto" w:sz="4" w:space="0"/>
            </w:tcBorders>
            <w:noWrap w:val="0"/>
            <w:vAlign w:val="center"/>
          </w:tcPr>
          <w:p w14:paraId="3468EC82">
            <w:pPr>
              <w:snapToGrid w:val="0"/>
              <w:spacing w:line="300" w:lineRule="exact"/>
              <w:jc w:val="center"/>
              <w:rPr>
                <w:rFonts w:ascii="宋体" w:hAnsi="宋体" w:cs="Arial"/>
                <w:color w:val="auto"/>
                <w:szCs w:val="21"/>
                <w:highlight w:val="none"/>
              </w:rPr>
            </w:pPr>
          </w:p>
        </w:tc>
        <w:tc>
          <w:tcPr>
            <w:tcW w:w="749" w:type="pct"/>
            <w:tcBorders>
              <w:top w:val="single" w:color="auto" w:sz="4" w:space="0"/>
              <w:left w:val="single" w:color="auto" w:sz="4" w:space="0"/>
              <w:bottom w:val="single" w:color="auto" w:sz="4" w:space="0"/>
              <w:right w:val="single" w:color="auto" w:sz="4" w:space="0"/>
            </w:tcBorders>
            <w:noWrap w:val="0"/>
            <w:vAlign w:val="center"/>
          </w:tcPr>
          <w:p w14:paraId="7572258B">
            <w:pPr>
              <w:snapToGrid w:val="0"/>
              <w:spacing w:line="300" w:lineRule="exact"/>
              <w:jc w:val="center"/>
              <w:rPr>
                <w:rFonts w:ascii="宋体" w:hAnsi="宋体" w:cs="Arial"/>
                <w:color w:val="auto"/>
                <w:szCs w:val="21"/>
                <w:highlight w:val="none"/>
              </w:rPr>
            </w:pPr>
          </w:p>
        </w:tc>
        <w:tc>
          <w:tcPr>
            <w:tcW w:w="531" w:type="pct"/>
            <w:tcBorders>
              <w:top w:val="single" w:color="auto" w:sz="4" w:space="0"/>
              <w:left w:val="single" w:color="auto" w:sz="4" w:space="0"/>
              <w:bottom w:val="single" w:color="auto" w:sz="4" w:space="0"/>
              <w:right w:val="single" w:color="auto" w:sz="4" w:space="0"/>
            </w:tcBorders>
            <w:noWrap w:val="0"/>
            <w:vAlign w:val="top"/>
          </w:tcPr>
          <w:p w14:paraId="6B01F944">
            <w:pPr>
              <w:snapToGrid w:val="0"/>
              <w:spacing w:line="300" w:lineRule="exact"/>
              <w:jc w:val="center"/>
              <w:rPr>
                <w:rFonts w:ascii="宋体" w:hAnsi="宋体" w:cs="Arial"/>
                <w:color w:val="auto"/>
                <w:szCs w:val="21"/>
                <w:highlight w:val="none"/>
              </w:rPr>
            </w:pPr>
          </w:p>
        </w:tc>
        <w:tc>
          <w:tcPr>
            <w:tcW w:w="488" w:type="pct"/>
            <w:tcBorders>
              <w:top w:val="single" w:color="auto" w:sz="4" w:space="0"/>
              <w:left w:val="single" w:color="auto" w:sz="4" w:space="0"/>
              <w:bottom w:val="single" w:color="auto" w:sz="4" w:space="0"/>
              <w:right w:val="single" w:color="auto" w:sz="4" w:space="0"/>
            </w:tcBorders>
            <w:noWrap w:val="0"/>
            <w:vAlign w:val="top"/>
          </w:tcPr>
          <w:p w14:paraId="1DDF45EA">
            <w:pPr>
              <w:snapToGrid w:val="0"/>
              <w:spacing w:line="300" w:lineRule="exact"/>
              <w:jc w:val="center"/>
              <w:rPr>
                <w:rFonts w:ascii="宋体" w:hAnsi="宋体" w:cs="Arial"/>
                <w:color w:val="auto"/>
                <w:szCs w:val="21"/>
                <w:highlight w:val="none"/>
              </w:rPr>
            </w:pPr>
          </w:p>
        </w:tc>
        <w:tc>
          <w:tcPr>
            <w:tcW w:w="598" w:type="pct"/>
            <w:tcBorders>
              <w:top w:val="single" w:color="auto" w:sz="4" w:space="0"/>
              <w:left w:val="single" w:color="auto" w:sz="4" w:space="0"/>
              <w:bottom w:val="single" w:color="auto" w:sz="4" w:space="0"/>
              <w:right w:val="single" w:color="auto" w:sz="4" w:space="0"/>
            </w:tcBorders>
            <w:noWrap w:val="0"/>
            <w:vAlign w:val="center"/>
          </w:tcPr>
          <w:p w14:paraId="2A84D3E3">
            <w:pPr>
              <w:snapToGrid w:val="0"/>
              <w:spacing w:line="300" w:lineRule="exact"/>
              <w:jc w:val="center"/>
              <w:rPr>
                <w:rFonts w:ascii="宋体" w:hAnsi="宋体" w:cs="Arial"/>
                <w:color w:val="auto"/>
                <w:szCs w:val="21"/>
                <w:highlight w:val="none"/>
              </w:rPr>
            </w:pPr>
          </w:p>
        </w:tc>
        <w:tc>
          <w:tcPr>
            <w:tcW w:w="659" w:type="pct"/>
            <w:tcBorders>
              <w:top w:val="single" w:color="auto" w:sz="4" w:space="0"/>
              <w:left w:val="single" w:color="auto" w:sz="4" w:space="0"/>
              <w:bottom w:val="single" w:color="auto" w:sz="4" w:space="0"/>
              <w:right w:val="single" w:color="auto" w:sz="4" w:space="0"/>
            </w:tcBorders>
            <w:noWrap w:val="0"/>
            <w:vAlign w:val="center"/>
          </w:tcPr>
          <w:p w14:paraId="6C33B25F">
            <w:pPr>
              <w:snapToGrid w:val="0"/>
              <w:spacing w:line="300" w:lineRule="exact"/>
              <w:jc w:val="center"/>
              <w:rPr>
                <w:rFonts w:ascii="宋体" w:hAnsi="宋体" w:cs="Arial"/>
                <w:color w:val="auto"/>
                <w:szCs w:val="21"/>
                <w:highlight w:val="none"/>
              </w:rPr>
            </w:pPr>
          </w:p>
        </w:tc>
      </w:tr>
      <w:tr w14:paraId="0A91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396" w:type="pct"/>
            <w:tcBorders>
              <w:top w:val="single" w:color="auto" w:sz="4" w:space="0"/>
              <w:left w:val="single" w:color="auto" w:sz="4" w:space="0"/>
              <w:bottom w:val="single" w:color="auto" w:sz="4" w:space="0"/>
              <w:right w:val="single" w:color="auto" w:sz="4" w:space="0"/>
            </w:tcBorders>
            <w:noWrap w:val="0"/>
            <w:vAlign w:val="center"/>
          </w:tcPr>
          <w:p w14:paraId="224CB0DD">
            <w:pPr>
              <w:snapToGrid w:val="0"/>
              <w:spacing w:line="300" w:lineRule="exact"/>
              <w:jc w:val="center"/>
              <w:rPr>
                <w:rFonts w:ascii="宋体" w:hAnsi="宋体" w:cs="Arial"/>
                <w:color w:val="auto"/>
                <w:szCs w:val="21"/>
                <w:highlight w:val="none"/>
              </w:rPr>
            </w:pPr>
            <w:r>
              <w:rPr>
                <w:rFonts w:hint="eastAsia" w:ascii="宋体" w:hAnsi="宋体" w:cs="Arial"/>
                <w:color w:val="auto"/>
                <w:szCs w:val="21"/>
                <w:highlight w:val="none"/>
              </w:rPr>
              <w:t>2</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F86F0F9">
            <w:pPr>
              <w:snapToGrid w:val="0"/>
              <w:spacing w:line="300" w:lineRule="exact"/>
              <w:jc w:val="center"/>
              <w:rPr>
                <w:rFonts w:ascii="宋体" w:hAnsi="宋体" w:cs="Arial"/>
                <w:color w:val="auto"/>
                <w:szCs w:val="21"/>
                <w:highlight w:val="none"/>
              </w:rPr>
            </w:pPr>
          </w:p>
        </w:tc>
        <w:tc>
          <w:tcPr>
            <w:tcW w:w="748" w:type="pct"/>
            <w:tcBorders>
              <w:top w:val="single" w:color="auto" w:sz="4" w:space="0"/>
              <w:left w:val="single" w:color="auto" w:sz="4" w:space="0"/>
              <w:bottom w:val="single" w:color="auto" w:sz="4" w:space="0"/>
              <w:right w:val="single" w:color="auto" w:sz="4" w:space="0"/>
            </w:tcBorders>
            <w:noWrap w:val="0"/>
            <w:vAlign w:val="center"/>
          </w:tcPr>
          <w:p w14:paraId="37BB62B4">
            <w:pPr>
              <w:snapToGrid w:val="0"/>
              <w:spacing w:line="300" w:lineRule="exact"/>
              <w:jc w:val="center"/>
              <w:rPr>
                <w:rFonts w:ascii="宋体" w:hAnsi="宋体" w:cs="Arial"/>
                <w:color w:val="auto"/>
                <w:szCs w:val="21"/>
                <w:highlight w:val="none"/>
              </w:rPr>
            </w:pPr>
          </w:p>
        </w:tc>
        <w:tc>
          <w:tcPr>
            <w:tcW w:w="749" w:type="pct"/>
            <w:tcBorders>
              <w:top w:val="single" w:color="auto" w:sz="4" w:space="0"/>
              <w:left w:val="single" w:color="auto" w:sz="4" w:space="0"/>
              <w:bottom w:val="single" w:color="auto" w:sz="4" w:space="0"/>
              <w:right w:val="single" w:color="auto" w:sz="4" w:space="0"/>
            </w:tcBorders>
            <w:noWrap w:val="0"/>
            <w:vAlign w:val="center"/>
          </w:tcPr>
          <w:p w14:paraId="30EB1C21">
            <w:pPr>
              <w:snapToGrid w:val="0"/>
              <w:spacing w:line="300" w:lineRule="exact"/>
              <w:jc w:val="center"/>
              <w:rPr>
                <w:rFonts w:ascii="宋体" w:hAnsi="宋体" w:cs="Arial"/>
                <w:color w:val="auto"/>
                <w:szCs w:val="21"/>
                <w:highlight w:val="none"/>
              </w:rPr>
            </w:pPr>
          </w:p>
        </w:tc>
        <w:tc>
          <w:tcPr>
            <w:tcW w:w="531" w:type="pct"/>
            <w:tcBorders>
              <w:top w:val="single" w:color="auto" w:sz="4" w:space="0"/>
              <w:left w:val="single" w:color="auto" w:sz="4" w:space="0"/>
              <w:bottom w:val="single" w:color="auto" w:sz="4" w:space="0"/>
              <w:right w:val="single" w:color="auto" w:sz="4" w:space="0"/>
            </w:tcBorders>
            <w:noWrap w:val="0"/>
            <w:vAlign w:val="top"/>
          </w:tcPr>
          <w:p w14:paraId="3B443F6D">
            <w:pPr>
              <w:snapToGrid w:val="0"/>
              <w:spacing w:line="300" w:lineRule="exact"/>
              <w:jc w:val="center"/>
              <w:rPr>
                <w:rFonts w:ascii="宋体" w:hAnsi="宋体" w:cs="Arial"/>
                <w:color w:val="auto"/>
                <w:szCs w:val="21"/>
                <w:highlight w:val="none"/>
              </w:rPr>
            </w:pPr>
          </w:p>
        </w:tc>
        <w:tc>
          <w:tcPr>
            <w:tcW w:w="488" w:type="pct"/>
            <w:tcBorders>
              <w:top w:val="single" w:color="auto" w:sz="4" w:space="0"/>
              <w:left w:val="single" w:color="auto" w:sz="4" w:space="0"/>
              <w:bottom w:val="single" w:color="auto" w:sz="4" w:space="0"/>
              <w:right w:val="single" w:color="auto" w:sz="4" w:space="0"/>
            </w:tcBorders>
            <w:noWrap w:val="0"/>
            <w:vAlign w:val="top"/>
          </w:tcPr>
          <w:p w14:paraId="5052EFE3">
            <w:pPr>
              <w:snapToGrid w:val="0"/>
              <w:spacing w:line="300" w:lineRule="exact"/>
              <w:jc w:val="center"/>
              <w:rPr>
                <w:rFonts w:ascii="宋体" w:hAnsi="宋体" w:cs="Arial"/>
                <w:color w:val="auto"/>
                <w:szCs w:val="21"/>
                <w:highlight w:val="none"/>
              </w:rPr>
            </w:pPr>
          </w:p>
        </w:tc>
        <w:tc>
          <w:tcPr>
            <w:tcW w:w="598" w:type="pct"/>
            <w:tcBorders>
              <w:top w:val="single" w:color="auto" w:sz="4" w:space="0"/>
              <w:left w:val="single" w:color="auto" w:sz="4" w:space="0"/>
              <w:bottom w:val="single" w:color="auto" w:sz="4" w:space="0"/>
              <w:right w:val="single" w:color="auto" w:sz="4" w:space="0"/>
            </w:tcBorders>
            <w:noWrap w:val="0"/>
            <w:vAlign w:val="center"/>
          </w:tcPr>
          <w:p w14:paraId="5EEC766E">
            <w:pPr>
              <w:snapToGrid w:val="0"/>
              <w:spacing w:line="300" w:lineRule="exact"/>
              <w:jc w:val="center"/>
              <w:rPr>
                <w:rFonts w:ascii="宋体" w:hAnsi="宋体" w:cs="Arial"/>
                <w:color w:val="auto"/>
                <w:szCs w:val="21"/>
                <w:highlight w:val="none"/>
              </w:rPr>
            </w:pPr>
          </w:p>
        </w:tc>
        <w:tc>
          <w:tcPr>
            <w:tcW w:w="659" w:type="pct"/>
            <w:tcBorders>
              <w:top w:val="single" w:color="auto" w:sz="4" w:space="0"/>
              <w:left w:val="single" w:color="auto" w:sz="4" w:space="0"/>
              <w:bottom w:val="single" w:color="auto" w:sz="4" w:space="0"/>
              <w:right w:val="single" w:color="auto" w:sz="4" w:space="0"/>
            </w:tcBorders>
            <w:noWrap w:val="0"/>
            <w:vAlign w:val="center"/>
          </w:tcPr>
          <w:p w14:paraId="6DFCCB12">
            <w:pPr>
              <w:snapToGrid w:val="0"/>
              <w:spacing w:line="300" w:lineRule="exact"/>
              <w:jc w:val="center"/>
              <w:rPr>
                <w:rFonts w:ascii="宋体" w:hAnsi="宋体" w:cs="Arial"/>
                <w:color w:val="auto"/>
                <w:szCs w:val="21"/>
                <w:highlight w:val="none"/>
              </w:rPr>
            </w:pPr>
          </w:p>
        </w:tc>
      </w:tr>
      <w:tr w14:paraId="0285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396" w:type="pct"/>
            <w:tcBorders>
              <w:top w:val="single" w:color="auto" w:sz="4" w:space="0"/>
              <w:left w:val="single" w:color="auto" w:sz="4" w:space="0"/>
              <w:bottom w:val="single" w:color="auto" w:sz="4" w:space="0"/>
              <w:right w:val="single" w:color="auto" w:sz="4" w:space="0"/>
            </w:tcBorders>
            <w:noWrap w:val="0"/>
            <w:vAlign w:val="center"/>
          </w:tcPr>
          <w:p w14:paraId="4D72F231">
            <w:pPr>
              <w:snapToGrid w:val="0"/>
              <w:spacing w:line="300" w:lineRule="exact"/>
              <w:jc w:val="center"/>
              <w:rPr>
                <w:rFonts w:ascii="宋体" w:hAnsi="宋体" w:cs="Arial"/>
                <w:color w:val="auto"/>
                <w:szCs w:val="21"/>
                <w:highlight w:val="none"/>
              </w:rPr>
            </w:pPr>
            <w:r>
              <w:rPr>
                <w:rFonts w:ascii="宋体" w:hAnsi="宋体" w:cs="Arial"/>
                <w:color w:val="auto"/>
                <w:szCs w:val="21"/>
                <w:highlight w:val="none"/>
              </w:rPr>
              <w:t>……</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8B32687">
            <w:pPr>
              <w:snapToGrid w:val="0"/>
              <w:spacing w:line="300" w:lineRule="exact"/>
              <w:jc w:val="center"/>
              <w:rPr>
                <w:rFonts w:ascii="宋体" w:hAnsi="宋体" w:cs="Arial"/>
                <w:color w:val="auto"/>
                <w:szCs w:val="21"/>
                <w:highlight w:val="none"/>
              </w:rPr>
            </w:pPr>
          </w:p>
        </w:tc>
        <w:tc>
          <w:tcPr>
            <w:tcW w:w="748" w:type="pct"/>
            <w:tcBorders>
              <w:top w:val="single" w:color="auto" w:sz="4" w:space="0"/>
              <w:left w:val="single" w:color="auto" w:sz="4" w:space="0"/>
              <w:bottom w:val="single" w:color="auto" w:sz="4" w:space="0"/>
              <w:right w:val="single" w:color="auto" w:sz="4" w:space="0"/>
            </w:tcBorders>
            <w:noWrap w:val="0"/>
            <w:vAlign w:val="center"/>
          </w:tcPr>
          <w:p w14:paraId="4EC3C79E">
            <w:pPr>
              <w:snapToGrid w:val="0"/>
              <w:spacing w:line="300" w:lineRule="exact"/>
              <w:jc w:val="center"/>
              <w:rPr>
                <w:rFonts w:ascii="宋体" w:hAnsi="宋体" w:cs="Arial"/>
                <w:color w:val="auto"/>
                <w:szCs w:val="21"/>
                <w:highlight w:val="none"/>
              </w:rPr>
            </w:pPr>
          </w:p>
        </w:tc>
        <w:tc>
          <w:tcPr>
            <w:tcW w:w="749" w:type="pct"/>
            <w:tcBorders>
              <w:top w:val="single" w:color="auto" w:sz="4" w:space="0"/>
              <w:left w:val="single" w:color="auto" w:sz="4" w:space="0"/>
              <w:bottom w:val="single" w:color="auto" w:sz="4" w:space="0"/>
              <w:right w:val="single" w:color="auto" w:sz="4" w:space="0"/>
            </w:tcBorders>
            <w:noWrap w:val="0"/>
            <w:vAlign w:val="center"/>
          </w:tcPr>
          <w:p w14:paraId="1C6AAB98">
            <w:pPr>
              <w:snapToGrid w:val="0"/>
              <w:spacing w:line="300" w:lineRule="exact"/>
              <w:jc w:val="center"/>
              <w:rPr>
                <w:rFonts w:ascii="宋体" w:hAnsi="宋体" w:cs="Arial"/>
                <w:color w:val="auto"/>
                <w:szCs w:val="21"/>
                <w:highlight w:val="none"/>
              </w:rPr>
            </w:pPr>
          </w:p>
        </w:tc>
        <w:tc>
          <w:tcPr>
            <w:tcW w:w="531" w:type="pct"/>
            <w:tcBorders>
              <w:top w:val="single" w:color="auto" w:sz="4" w:space="0"/>
              <w:left w:val="single" w:color="auto" w:sz="4" w:space="0"/>
              <w:bottom w:val="single" w:color="auto" w:sz="4" w:space="0"/>
              <w:right w:val="single" w:color="auto" w:sz="4" w:space="0"/>
            </w:tcBorders>
            <w:noWrap w:val="0"/>
            <w:vAlign w:val="top"/>
          </w:tcPr>
          <w:p w14:paraId="675B8913">
            <w:pPr>
              <w:snapToGrid w:val="0"/>
              <w:spacing w:line="300" w:lineRule="exact"/>
              <w:jc w:val="center"/>
              <w:rPr>
                <w:rFonts w:ascii="宋体" w:hAnsi="宋体" w:cs="Arial"/>
                <w:color w:val="auto"/>
                <w:szCs w:val="21"/>
                <w:highlight w:val="none"/>
              </w:rPr>
            </w:pPr>
          </w:p>
        </w:tc>
        <w:tc>
          <w:tcPr>
            <w:tcW w:w="488" w:type="pct"/>
            <w:tcBorders>
              <w:top w:val="single" w:color="auto" w:sz="4" w:space="0"/>
              <w:left w:val="single" w:color="auto" w:sz="4" w:space="0"/>
              <w:bottom w:val="single" w:color="auto" w:sz="4" w:space="0"/>
              <w:right w:val="single" w:color="auto" w:sz="4" w:space="0"/>
            </w:tcBorders>
            <w:noWrap w:val="0"/>
            <w:vAlign w:val="top"/>
          </w:tcPr>
          <w:p w14:paraId="232825F8">
            <w:pPr>
              <w:snapToGrid w:val="0"/>
              <w:spacing w:line="300" w:lineRule="exact"/>
              <w:jc w:val="center"/>
              <w:rPr>
                <w:rFonts w:ascii="宋体" w:hAnsi="宋体" w:cs="Arial"/>
                <w:color w:val="auto"/>
                <w:szCs w:val="21"/>
                <w:highlight w:val="none"/>
              </w:rPr>
            </w:pPr>
          </w:p>
        </w:tc>
        <w:tc>
          <w:tcPr>
            <w:tcW w:w="598" w:type="pct"/>
            <w:tcBorders>
              <w:top w:val="single" w:color="auto" w:sz="4" w:space="0"/>
              <w:left w:val="single" w:color="auto" w:sz="4" w:space="0"/>
              <w:bottom w:val="single" w:color="auto" w:sz="4" w:space="0"/>
              <w:right w:val="single" w:color="auto" w:sz="4" w:space="0"/>
            </w:tcBorders>
            <w:noWrap w:val="0"/>
            <w:vAlign w:val="center"/>
          </w:tcPr>
          <w:p w14:paraId="7E73BD29">
            <w:pPr>
              <w:snapToGrid w:val="0"/>
              <w:spacing w:line="300" w:lineRule="exact"/>
              <w:jc w:val="center"/>
              <w:rPr>
                <w:rFonts w:ascii="宋体" w:hAnsi="宋体" w:cs="Arial"/>
                <w:color w:val="auto"/>
                <w:szCs w:val="21"/>
                <w:highlight w:val="none"/>
              </w:rPr>
            </w:pPr>
          </w:p>
        </w:tc>
        <w:tc>
          <w:tcPr>
            <w:tcW w:w="659" w:type="pct"/>
            <w:tcBorders>
              <w:top w:val="single" w:color="auto" w:sz="4" w:space="0"/>
              <w:left w:val="single" w:color="auto" w:sz="4" w:space="0"/>
              <w:bottom w:val="single" w:color="auto" w:sz="4" w:space="0"/>
              <w:right w:val="single" w:color="auto" w:sz="4" w:space="0"/>
            </w:tcBorders>
            <w:noWrap w:val="0"/>
            <w:vAlign w:val="center"/>
          </w:tcPr>
          <w:p w14:paraId="0D5EBA5F">
            <w:pPr>
              <w:snapToGrid w:val="0"/>
              <w:spacing w:line="300" w:lineRule="exact"/>
              <w:jc w:val="center"/>
              <w:rPr>
                <w:rFonts w:ascii="宋体" w:hAnsi="宋体" w:cs="Arial"/>
                <w:color w:val="auto"/>
                <w:szCs w:val="21"/>
                <w:highlight w:val="none"/>
              </w:rPr>
            </w:pPr>
          </w:p>
        </w:tc>
      </w:tr>
      <w:tr w14:paraId="7CAE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29876EA3">
            <w:pPr>
              <w:snapToGrid w:val="0"/>
              <w:spacing w:line="300" w:lineRule="exact"/>
              <w:rPr>
                <w:rFonts w:ascii="宋体" w:hAnsi="宋体" w:cs="Arial"/>
                <w:color w:val="auto"/>
                <w:szCs w:val="21"/>
                <w:highlight w:val="none"/>
                <w:u w:val="single"/>
              </w:rPr>
            </w:pPr>
            <w:r>
              <w:rPr>
                <w:rFonts w:hint="eastAsia" w:ascii="宋体" w:hAnsi="宋体" w:cs="Arial"/>
                <w:color w:val="auto"/>
                <w:szCs w:val="21"/>
                <w:highlight w:val="none"/>
              </w:rPr>
              <w:t>合同总金额（人民币）：</w:t>
            </w:r>
            <w:r>
              <w:rPr>
                <w:rFonts w:hint="eastAsia" w:ascii="宋体" w:hAnsi="宋体" w:cs="Arial"/>
                <w:color w:val="auto"/>
                <w:szCs w:val="21"/>
                <w:highlight w:val="none"/>
                <w:u w:val="single"/>
              </w:rPr>
              <w:t xml:space="preserve">       （大写）    （¥      ）</w:t>
            </w:r>
          </w:p>
        </w:tc>
      </w:tr>
    </w:tbl>
    <w:p w14:paraId="5448565E">
      <w:pPr>
        <w:snapToGrid w:val="0"/>
        <w:spacing w:line="36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2.合同金额为人民币含税价（元），完整报价包括货物税收、疫苗稀释液、运至最终目的地运输、储存、搬运、保险以及伴随货物服务的有关一切费用（包括差旅、培训、疫苗使用效果监测、免疫应激反应处理、死亡畜禽补偿、免疫失败引发疫情时应急处置及确保疫苗质量及使用效果的其它相关服务等所有费用）。</w:t>
      </w:r>
    </w:p>
    <w:p w14:paraId="50AEBEB3">
      <w:pPr>
        <w:snapToGrid w:val="0"/>
        <w:spacing w:line="36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3.政府采购合同履行中，甲方需追加与合同标的相同的货物的，在不改变合同其他条款的前提下，可以与乙方协商签订补充合同，但所有补充合同的采购金额不得超过原合同采购金额的10%。</w:t>
      </w:r>
    </w:p>
    <w:p w14:paraId="74782354">
      <w:pPr>
        <w:snapToGrid w:val="0"/>
        <w:spacing w:line="36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第二条　质量保证</w:t>
      </w:r>
    </w:p>
    <w:p w14:paraId="1D7B6F86">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1.乙方所提供的货物种类、技术规格、技术参数等质量必须与招标文件和承诺相一致。</w:t>
      </w:r>
    </w:p>
    <w:p w14:paraId="7877E9E5">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2.若质量标准有不一致的，以最高标准为准。如双方对于质量存在争议，则应委托第三方权威质量检测机构进行鉴定，由乙方承担鉴定费。</w:t>
      </w:r>
    </w:p>
    <w:p w14:paraId="2343E4D1">
      <w:pPr>
        <w:snapToGrid w:val="0"/>
        <w:spacing w:line="36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第三条　权利保证</w:t>
      </w:r>
    </w:p>
    <w:p w14:paraId="0503AB75">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应保证所提供货物在使用时不会侵犯任何第三方的专利权、商标权、工业设计权或其他权利。若导致甲方被第三方索赔的，赔偿责任由乙方承担，且需一并承担甲方维权而支出律师费、诉讼费、保全费、差旅费等。甲方先行对外承担赔偿责任的，有权向乙方追偿，乙方拒不赔偿的，甲方可以扣除相应的合同款项。</w:t>
      </w:r>
    </w:p>
    <w:p w14:paraId="7D31EDB4">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2.乙方应按招标文件规定的时间向甲方提供使用货物的有关技术资料。</w:t>
      </w:r>
    </w:p>
    <w:p w14:paraId="7A5738EC">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因泄密造成甲方损失的，赔偿甲方损失的同时还应当支付合同价款20%的违约金。</w:t>
      </w:r>
    </w:p>
    <w:p w14:paraId="705BC359">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4.乙方保证所交付的货物的所有权完全属于乙方且无任何抵押、质押、查封等产权瑕疵。</w:t>
      </w:r>
    </w:p>
    <w:p w14:paraId="305B2C1A">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5.未经甲方同意，乙方不得转让本合同义务。否则应当由乙方与第三方共同向甲方承担违约责任，乙方因擅自转让给甲方造成损失的，由乙方承担赔偿责任。</w:t>
      </w:r>
    </w:p>
    <w:p w14:paraId="4A84ABAF">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第四条　包装和运输</w:t>
      </w:r>
    </w:p>
    <w:p w14:paraId="23E349C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1.乙方提供的货物均应按招、投标文件要求的包装材料、包装标准、包装方式进行包装。</w:t>
      </w:r>
    </w:p>
    <w:p w14:paraId="4290DF3C">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2.货物的运输方式：</w:t>
      </w:r>
      <w:r>
        <w:rPr>
          <w:rFonts w:hint="eastAsia" w:ascii="宋体" w:hAnsi="宋体"/>
          <w:color w:val="auto"/>
          <w:szCs w:val="21"/>
          <w:highlight w:val="none"/>
          <w:u w:val="single"/>
        </w:rPr>
        <w:t>乙方自定，但必须符合动物疫苗运输环节质量保障及管理要求</w:t>
      </w:r>
      <w:r>
        <w:rPr>
          <w:rFonts w:hint="eastAsia" w:ascii="宋体" w:hAnsi="宋体"/>
          <w:color w:val="auto"/>
          <w:szCs w:val="21"/>
          <w:highlight w:val="none"/>
        </w:rPr>
        <w:t>。</w:t>
      </w:r>
    </w:p>
    <w:p w14:paraId="56274CA5">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3.乙方负责货物运输，货物运输合理损耗及计算方法：</w:t>
      </w:r>
      <w:r>
        <w:rPr>
          <w:rFonts w:hint="eastAsia" w:ascii="宋体" w:hAnsi="宋体"/>
          <w:color w:val="auto"/>
          <w:szCs w:val="21"/>
          <w:highlight w:val="none"/>
          <w:u w:val="single"/>
        </w:rPr>
        <w:t>本项目合同不接受损耗</w:t>
      </w:r>
      <w:r>
        <w:rPr>
          <w:rFonts w:hint="eastAsia" w:ascii="宋体" w:hAnsi="宋体"/>
          <w:color w:val="auto"/>
          <w:szCs w:val="21"/>
          <w:highlight w:val="none"/>
        </w:rPr>
        <w:t>。</w:t>
      </w:r>
    </w:p>
    <w:p w14:paraId="78E78625">
      <w:pPr>
        <w:snapToGrid w:val="0"/>
        <w:spacing w:line="36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第五条　交付和验收</w:t>
      </w:r>
    </w:p>
    <w:p w14:paraId="66C1968A">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1.交货时间：</w:t>
      </w:r>
      <w:r>
        <w:rPr>
          <w:rFonts w:hint="eastAsia" w:ascii="宋体" w:hAnsi="宋体"/>
          <w:color w:val="auto"/>
          <w:szCs w:val="21"/>
          <w:highlight w:val="none"/>
          <w:u w:val="single"/>
        </w:rPr>
        <w:t>按乙方投标文件中所承诺的时间</w:t>
      </w:r>
      <w:r>
        <w:rPr>
          <w:rFonts w:hint="eastAsia" w:ascii="宋体" w:hAnsi="宋体"/>
          <w:color w:val="auto"/>
          <w:szCs w:val="21"/>
          <w:highlight w:val="none"/>
        </w:rPr>
        <w:t>；交付地点：</w:t>
      </w:r>
      <w:r>
        <w:rPr>
          <w:rFonts w:hint="eastAsia" w:ascii="宋体" w:hAnsi="宋体"/>
          <w:color w:val="auto"/>
          <w:szCs w:val="21"/>
          <w:highlight w:val="none"/>
          <w:u w:val="single"/>
        </w:rPr>
        <w:t>甲方指定地点</w:t>
      </w:r>
      <w:r>
        <w:rPr>
          <w:rFonts w:hint="eastAsia" w:ascii="宋体" w:hAnsi="宋体"/>
          <w:color w:val="auto"/>
          <w:szCs w:val="21"/>
          <w:highlight w:val="none"/>
        </w:rPr>
        <w:t>。</w:t>
      </w:r>
    </w:p>
    <w:p w14:paraId="62BA466D">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2.乙方提供不符合招、投标文件和本合同规定的货物，甲方有权拒绝接受。</w:t>
      </w:r>
    </w:p>
    <w:p w14:paraId="3CB319D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3.乙方应将所提供货物的装箱清单、用户手册、工具和备品、备件等交付给甲方，如有缺失应在合同履行期限内及时补齐，否则视为逾期交货，需承担逾期交货的违约责任。</w:t>
      </w:r>
    </w:p>
    <w:p w14:paraId="468F9558">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4.甲方应当在到货后五个工作日内进行最终验收</w:t>
      </w:r>
      <w:r>
        <w:rPr>
          <w:rFonts w:hint="eastAsia" w:ascii="Arial" w:hAnsi="Arial" w:cs="Arial"/>
          <w:color w:val="auto"/>
          <w:szCs w:val="21"/>
          <w:highlight w:val="none"/>
        </w:rPr>
        <w:t>，</w:t>
      </w:r>
      <w:r>
        <w:rPr>
          <w:rFonts w:hint="eastAsia" w:ascii="宋体" w:hAnsi="宋体"/>
          <w:color w:val="auto"/>
          <w:szCs w:val="21"/>
          <w:highlight w:val="none"/>
        </w:rPr>
        <w:t>验收合格后由甲乙双方签署货物验收单并加盖采购单位公章，甲乙双方各执一份。</w:t>
      </w:r>
    </w:p>
    <w:p w14:paraId="2BEA9AFE">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14:paraId="01197FD9">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第六条　培训</w:t>
      </w:r>
    </w:p>
    <w:p w14:paraId="3CAF2886">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乙方负责甲方有关人员的培训。培训时间、地点：</w:t>
      </w:r>
      <w:r>
        <w:rPr>
          <w:rFonts w:hint="eastAsia" w:ascii="宋体" w:hAnsi="宋体"/>
          <w:color w:val="auto"/>
          <w:szCs w:val="21"/>
          <w:highlight w:val="none"/>
          <w:u w:val="single"/>
        </w:rPr>
        <w:t>由甲方决定。</w:t>
      </w:r>
    </w:p>
    <w:p w14:paraId="70DC558A">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第七条  售后服务、质保期</w:t>
      </w:r>
    </w:p>
    <w:p w14:paraId="5207D402">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1.乙方应按照国家有关法律法规和“三包”规定以及招、投标文件和本合同附件，为甲方提供售后服务。</w:t>
      </w:r>
    </w:p>
    <w:p w14:paraId="45180E11">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2.货物质保期（即有效期）：</w:t>
      </w:r>
      <w:r>
        <w:rPr>
          <w:rFonts w:hint="eastAsia" w:ascii="宋体" w:hAnsi="宋体"/>
          <w:color w:val="auto"/>
          <w:szCs w:val="21"/>
          <w:highlight w:val="none"/>
          <w:u w:val="single"/>
        </w:rPr>
        <w:t>按乙方承诺，但是不得低于国家相关标准。</w:t>
      </w:r>
    </w:p>
    <w:p w14:paraId="3C4B59DB">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3.乙方提供的服务承诺和售后服务及质保期责任等其它具体约定事项。（如有，见合同附件）</w:t>
      </w:r>
    </w:p>
    <w:p w14:paraId="64090D96">
      <w:pPr>
        <w:snapToGrid w:val="0"/>
        <w:spacing w:line="36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第八条　付款方式</w:t>
      </w:r>
    </w:p>
    <w:p w14:paraId="43A31650">
      <w:pPr>
        <w:snapToGrid w:val="0"/>
        <w:spacing w:line="360" w:lineRule="exact"/>
        <w:ind w:firstLine="420" w:firstLineChars="200"/>
        <w:rPr>
          <w:rFonts w:hint="eastAsia" w:ascii="宋体" w:hAnsi="宋体"/>
          <w:bCs/>
          <w:color w:val="auto"/>
          <w:kern w:val="0"/>
          <w:szCs w:val="21"/>
          <w:highlight w:val="none"/>
        </w:rPr>
      </w:pPr>
      <w:r>
        <w:rPr>
          <w:rFonts w:hint="eastAsia" w:ascii="宋体" w:hAnsi="宋体"/>
          <w:bCs/>
          <w:color w:val="auto"/>
          <w:kern w:val="0"/>
          <w:szCs w:val="21"/>
          <w:highlight w:val="none"/>
        </w:rPr>
        <w:t>1.当采购数量与实际供货数量不一致时，乙方应根据实际供货量供货，合同的最终结算金额按实际供货量乘以中标单价进行计算。</w:t>
      </w:r>
    </w:p>
    <w:p w14:paraId="20E5EBCB">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2.付款方式：</w:t>
      </w:r>
    </w:p>
    <w:p w14:paraId="70577FD4">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（1）签订合同后十个工作日内，甲方向乙方支付合同价款的30%作为预付款；</w:t>
      </w:r>
    </w:p>
    <w:p w14:paraId="2DBDAD07">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（2）每批次交货完成并验收合格后，乙方向甲方开具相应批次金额发票，甲方自收到发票后十个工作日内，按批次支付乙方余下70%合同货款；</w:t>
      </w:r>
    </w:p>
    <w:p w14:paraId="238CF2D4">
      <w:pPr>
        <w:snapToGrid w:val="0"/>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（3）乙方在每次请款前，应将相关材料提交甲方。</w:t>
      </w:r>
    </w:p>
    <w:p w14:paraId="13E7D007">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3.本合同使用货币为人民币。账户的真实性及合法性由乙方负责，如因乙方提供的账户信息错误导致无法付款、迟延付款等情形的不视为甲方违约。</w:t>
      </w:r>
    </w:p>
    <w:p w14:paraId="51B6D468">
      <w:pPr>
        <w:snapToGrid w:val="0"/>
        <w:spacing w:line="360" w:lineRule="exact"/>
        <w:ind w:left="-61" w:leftChars="-29" w:firstLine="517" w:firstLineChars="245"/>
        <w:rPr>
          <w:rFonts w:hint="eastAsia" w:ascii="宋体" w:hAnsi="宋体"/>
          <w:b/>
          <w:color w:val="auto"/>
          <w:szCs w:val="21"/>
          <w:highlight w:val="none"/>
        </w:rPr>
      </w:pPr>
      <w:r>
        <w:rPr>
          <w:rFonts w:hint="eastAsia" w:ascii="宋体" w:hAnsi="宋体"/>
          <w:b/>
          <w:color w:val="auto"/>
          <w:szCs w:val="21"/>
          <w:highlight w:val="none"/>
        </w:rPr>
        <w:t>第九条　履约保证金</w:t>
      </w:r>
    </w:p>
    <w:p w14:paraId="75335E89">
      <w:pPr>
        <w:spacing w:line="36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1.履约保证金金额：按中标金额（即合同总金额）的 2 %收取。</w:t>
      </w:r>
    </w:p>
    <w:p w14:paraId="1A61AA39">
      <w:pPr>
        <w:spacing w:line="36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2.履约保证金递交方式：以银行转账、支票、汇票、本票或者银行、保险机构出具的保函等非现金形式提交。</w:t>
      </w:r>
    </w:p>
    <w:p w14:paraId="27B2A1BB">
      <w:pPr>
        <w:spacing w:line="36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3.履约保证金退付方式、时间及条件：售后服务验收合格后五个工作日内退还（无息）。</w:t>
      </w:r>
    </w:p>
    <w:p w14:paraId="7D668CA5">
      <w:pPr>
        <w:spacing w:line="36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4.履约保证金指定账户：</w:t>
      </w:r>
    </w:p>
    <w:p w14:paraId="4354C254">
      <w:pPr>
        <w:spacing w:line="36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开户名称：广西壮族自治区动物疫病预防控制中心</w:t>
      </w:r>
    </w:p>
    <w:p w14:paraId="6757CB67">
      <w:pPr>
        <w:spacing w:line="36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开户银行：农行南宁科技支行</w:t>
      </w:r>
    </w:p>
    <w:p w14:paraId="52193926">
      <w:pPr>
        <w:spacing w:line="360" w:lineRule="atLeast"/>
        <w:ind w:firstLine="420" w:firstLineChars="200"/>
        <w:rPr>
          <w:rFonts w:ascii="宋体" w:hAnsi="宋体"/>
          <w:color w:val="auto"/>
          <w:szCs w:val="21"/>
          <w:highlight w:val="none"/>
        </w:rPr>
      </w:pPr>
      <w:r>
        <w:rPr>
          <w:rFonts w:hint="eastAsia" w:ascii="宋体" w:hAnsi="宋体"/>
          <w:color w:val="auto"/>
          <w:szCs w:val="21"/>
          <w:highlight w:val="none"/>
        </w:rPr>
        <w:t>银行账号：20015701040000032</w:t>
      </w:r>
    </w:p>
    <w:p w14:paraId="77A3F62E">
      <w:pPr>
        <w:spacing w:line="36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合同金额100万元或以上的，乙方可以按照《广西壮族自治区财政厅关于在政府采购活动中推广使用电子保函的通知》（桂财采〔2023〕92号）文件要求采用保函方式提交履约保证金；若乙方采用保函以外的方式提交履约保证金的，应选用对公开户行为中国农业银行股份有限公司的，以便甲方后期快捷办理退付手续。</w:t>
      </w:r>
    </w:p>
    <w:p w14:paraId="135EBCE9">
      <w:pPr>
        <w:snapToGrid w:val="0"/>
        <w:spacing w:line="360" w:lineRule="exact"/>
        <w:ind w:left="-61" w:firstLine="514"/>
        <w:rPr>
          <w:rFonts w:hint="eastAsia" w:ascii="宋体" w:hAnsi="宋体"/>
          <w:b/>
          <w:color w:val="auto"/>
          <w:szCs w:val="21"/>
          <w:highlight w:val="none"/>
        </w:rPr>
      </w:pPr>
      <w:r>
        <w:rPr>
          <w:rFonts w:hint="eastAsia" w:ascii="宋体" w:hAnsi="宋体"/>
          <w:b/>
          <w:color w:val="auto"/>
          <w:szCs w:val="21"/>
          <w:highlight w:val="none"/>
        </w:rPr>
        <w:t>第十条  税费</w:t>
      </w:r>
    </w:p>
    <w:p w14:paraId="5443F6B9">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本合同执行中相关的一切税费均由乙方负担。</w:t>
      </w:r>
    </w:p>
    <w:p w14:paraId="3171A6F6">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第十一条  质量保证及售后服务</w:t>
      </w:r>
    </w:p>
    <w:p w14:paraId="6F64E3BB">
      <w:pPr>
        <w:snapToGrid w:val="0"/>
        <w:spacing w:line="360" w:lineRule="exact"/>
        <w:ind w:firstLine="480"/>
        <w:rPr>
          <w:rFonts w:hint="eastAsia" w:ascii="宋体" w:hAnsi="宋体"/>
          <w:color w:val="auto"/>
          <w:szCs w:val="21"/>
          <w:highlight w:val="none"/>
        </w:rPr>
      </w:pPr>
      <w:r>
        <w:rPr>
          <w:rFonts w:hint="eastAsia" w:ascii="宋体" w:hAnsi="宋体"/>
          <w:color w:val="auto"/>
          <w:szCs w:val="21"/>
          <w:highlight w:val="none"/>
        </w:rPr>
        <w:t>1.乙方应按招标文件规定的货物、技术要求、质量标准向甲方提供产品。乙方提供货物的有效期按交货最终验收合格之日起计（期限按乙方承诺，但是不得低于国家相关标准）。在有效期内因货物本身的质量问题发生应激反应的，乙方应及时处理免疫应激死亡补偿事宜，建立动物注射疫苗后出现大面积应激反应的应急处置及补偿机制。除招标文件及乙方投标文件承诺事宜外，根据实际情况，经双方协商，可按以下办法处理：</w:t>
      </w:r>
    </w:p>
    <w:p w14:paraId="0B7A79EB">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（1）更换：由乙方承担所发生的全部费用；</w:t>
      </w:r>
    </w:p>
    <w:p w14:paraId="203F94C3">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（2）贬值处理：由甲乙双方合议定价；</w:t>
      </w:r>
    </w:p>
    <w:p w14:paraId="5C94A9BE">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（3）退货处理：乙方应退还甲方支付的合同款，同时应承担该货物的直接费用（运输、保险、检验、货款利息及银行手续费等）。</w:t>
      </w:r>
    </w:p>
    <w:p w14:paraId="42C1A8B2">
      <w:pPr>
        <w:snapToGrid w:val="0"/>
        <w:spacing w:line="360" w:lineRule="exact"/>
        <w:ind w:firstLine="480"/>
        <w:rPr>
          <w:rFonts w:hint="eastAsia" w:ascii="宋体" w:hAnsi="宋体"/>
          <w:color w:val="auto"/>
          <w:szCs w:val="21"/>
          <w:highlight w:val="none"/>
        </w:rPr>
      </w:pPr>
      <w:r>
        <w:rPr>
          <w:rFonts w:hint="eastAsia" w:ascii="宋体" w:hAnsi="宋体"/>
          <w:color w:val="auto"/>
          <w:szCs w:val="21"/>
          <w:highlight w:val="none"/>
        </w:rPr>
        <w:t>2.如在使用过程中发生质量问题，乙方在接到甲方通知后</w:t>
      </w:r>
      <w:r>
        <w:rPr>
          <w:rFonts w:hint="eastAsia" w:ascii="Arial" w:hAnsi="Arial" w:cs="Arial"/>
          <w:color w:val="auto"/>
          <w:highlight w:val="none"/>
        </w:rPr>
        <w:t>在</w:t>
      </w:r>
      <w:r>
        <w:rPr>
          <w:rFonts w:ascii="Arial" w:hAnsi="Arial" w:cs="Arial"/>
          <w:color w:val="auto"/>
          <w:highlight w:val="none"/>
          <w:u w:val="single"/>
        </w:rPr>
        <w:t xml:space="preserve">  </w:t>
      </w:r>
      <w:r>
        <w:rPr>
          <w:rFonts w:hint="eastAsia" w:ascii="Arial" w:hAnsi="Arial" w:cs="Arial"/>
          <w:color w:val="auto"/>
          <w:highlight w:val="none"/>
          <w:u w:val="single"/>
        </w:rPr>
        <w:t>按乙方投标文件承诺</w:t>
      </w:r>
      <w:r>
        <w:rPr>
          <w:rFonts w:ascii="Arial" w:hAnsi="Arial" w:cs="Arial"/>
          <w:color w:val="auto"/>
          <w:highlight w:val="none"/>
          <w:u w:val="single"/>
        </w:rPr>
        <w:t xml:space="preserve">  </w:t>
      </w:r>
      <w:r>
        <w:rPr>
          <w:rFonts w:hint="eastAsia" w:ascii="Arial" w:hAnsi="Arial" w:cs="Arial"/>
          <w:color w:val="auto"/>
          <w:highlight w:val="none"/>
        </w:rPr>
        <w:t>小时响应</w:t>
      </w:r>
      <w:r>
        <w:rPr>
          <w:rFonts w:hint="eastAsia" w:ascii="宋体" w:hAnsi="宋体"/>
          <w:color w:val="auto"/>
          <w:szCs w:val="21"/>
          <w:highlight w:val="none"/>
        </w:rPr>
        <w:t>。</w:t>
      </w:r>
    </w:p>
    <w:p w14:paraId="380C5FB7">
      <w:pPr>
        <w:snapToGrid w:val="0"/>
        <w:spacing w:line="360" w:lineRule="exact"/>
        <w:ind w:firstLine="480"/>
        <w:rPr>
          <w:rFonts w:hint="eastAsia" w:ascii="宋体" w:hAnsi="宋体"/>
          <w:color w:val="auto"/>
          <w:szCs w:val="21"/>
          <w:highlight w:val="none"/>
        </w:rPr>
      </w:pPr>
      <w:r>
        <w:rPr>
          <w:rFonts w:hint="eastAsia" w:ascii="宋体" w:hAnsi="宋体"/>
          <w:color w:val="auto"/>
          <w:szCs w:val="21"/>
          <w:highlight w:val="none"/>
        </w:rPr>
        <w:t>3.乙方应对货物出现的质量及安全问题负责处理解决并承担一切费用。</w:t>
      </w:r>
    </w:p>
    <w:p w14:paraId="08AD9566">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第十二条  货物包装、发运及运输</w:t>
      </w:r>
    </w:p>
    <w:p w14:paraId="21F0D597">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1.乙方应在货物发运前对其进行满足运输距离、防潮、防震、防破损装卸等要求包装，以保证货物安全运达甲方指定地点。</w:t>
      </w:r>
    </w:p>
    <w:p w14:paraId="73A10C1B">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 使用说明书、质量检验证明书、随配附件和工具以及清单一并附于货物内。</w:t>
      </w:r>
    </w:p>
    <w:p w14:paraId="1D771196">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3.乙方在货物发运手续办理完毕后二十四小时内或货到甲方四十八小时前通知甲方，以准备接货（招标文件及乙方投标文件承诺另有约定的按约定执行）。</w:t>
      </w:r>
    </w:p>
    <w:p w14:paraId="5EA573CB">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4.货物在交付甲方前发生的风险均由乙方负责。</w:t>
      </w:r>
    </w:p>
    <w:p w14:paraId="75BD463A">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5.货物在规定的交付期限内由乙方送达甲方指定的地点并初步验收合格后视为交付，乙方同时需通知甲方货物已送达。</w:t>
      </w:r>
    </w:p>
    <w:p w14:paraId="26A14CDF">
      <w:pPr>
        <w:snapToGrid w:val="0"/>
        <w:spacing w:before="120" w:after="120"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第十三条 履约验收</w:t>
      </w:r>
    </w:p>
    <w:p w14:paraId="6E30CD82">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到货后七个工作日内进行验收。甲方对乙方提交的货物依据招标文件上的技术规格要求和国家有关质量标准进行现场初步验收，外观、说明书符合招标文件技术要求的，给予签收，初步验收不合格的不予签收。甲方无故不进行最终验收工作并已使用货物的，视同最终验收合格。</w:t>
      </w:r>
    </w:p>
    <w:p w14:paraId="3B074A02">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乙方交货前应对产品作出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14:paraId="7F4DD177">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3.乙方需负责安装（如有）并培训甲方的使用人员。</w:t>
      </w:r>
    </w:p>
    <w:p w14:paraId="1E449D1D">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4.对技术复杂的货物，甲方应请国家认可的专业检测机构参与初步验收及最终验收，并由其出具质量检测报告。</w:t>
      </w:r>
    </w:p>
    <w:p w14:paraId="750A6723">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5. 最终验收时乙方必须在现场，验收完毕后作出验收结果报告（验收书）。 </w:t>
      </w:r>
    </w:p>
    <w:p w14:paraId="1031A38B">
      <w:pPr>
        <w:snapToGrid w:val="0"/>
        <w:spacing w:before="120" w:after="12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其他未尽事宜应严格按照《关于印发广西壮族自治区政府采购项目履约验收管理办法的通知》[桂财采〔2015〕22号]以及《财政部关于进一步加强政府采购需求和履约验收管理的指导意见》[财库〔2016〕205号]规定执行。</w:t>
      </w:r>
    </w:p>
    <w:p w14:paraId="2FBB057C">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第十四条　违约责任</w:t>
      </w:r>
    </w:p>
    <w:p w14:paraId="14155465">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乙方所提供的货物规格（含商标品牌、生产厂家）、技术标准、材料等质量不合格的，应及时更换，更换不及时的按逾期交货处罚；因质量问题甲方不同意接收的或特殊情况甲方同意接收的，乙方应向甲方支付违约货款额5%违约金并赔偿甲方经济损失。                                       </w:t>
      </w:r>
    </w:p>
    <w:p w14:paraId="775CF0C4">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乙方提供的货物如侵犯了第三方合法权益而引发的任何纠纷或诉讼，均由乙方负责交涉并承担全部责任，包括甲方使用该产品或技术服务所需的授权费以及解决争议发生的一切费用（包括但不限于律师费、诉讼费、鉴定费等）均由乙方承担。如果不能取得使用许可需要另行购买产品或技术服务的，所需费用由乙方承担，并赔偿甲方因此受到的损失。如甲方为解决纠纷先行垫支了费用，乙方须在接到甲方通知之日起5个工作日内向甲方偿还完毕，逾期未偿还的甲方有权追缴并按照同期银行贷款利率的四倍向乙方主张资金占用费，并赔偿甲方全部经济损失。</w:t>
      </w:r>
    </w:p>
    <w:p w14:paraId="754EA433">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3.因包装、运输引起的货物损坏，按质量不合格处罚。</w:t>
      </w:r>
    </w:p>
    <w:p w14:paraId="2B3405F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4.甲方无故延期接收货物、乙方逾期交货的，每天向对方偿付违约货款额3‰违约金，超过</w:t>
      </w:r>
      <w:r>
        <w:rPr>
          <w:rFonts w:hint="eastAsia" w:ascii="宋体" w:hAnsi="宋体"/>
          <w:color w:val="auto"/>
          <w:szCs w:val="21"/>
          <w:highlight w:val="none"/>
          <w:u w:val="single"/>
        </w:rPr>
        <w:t xml:space="preserve"> 15 </w:t>
      </w:r>
      <w:r>
        <w:rPr>
          <w:rFonts w:hint="eastAsia" w:ascii="宋体" w:hAnsi="宋体"/>
          <w:color w:val="auto"/>
          <w:szCs w:val="21"/>
          <w:highlight w:val="none"/>
        </w:rPr>
        <w:t>天对方有权解除合同，违约方承担因此给对方造成经济损失；甲方延期付货款的，每天向乙方偿付延期货款额3‰违约金。甲方支付的违约金总额不超过延期货款额的10%。</w:t>
      </w:r>
    </w:p>
    <w:p w14:paraId="3538D004">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5.乙方未按本合同和投标文件中规定的服务承诺提供售后服务的，乙方应按本合同合计金额5%向甲方支付违约金。</w:t>
      </w:r>
    </w:p>
    <w:p w14:paraId="418F11BD">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乙方提供的货物在质保期内，因设计、工艺或材料的缺陷和其它质量原因造成的问题，由乙方负责修复，如无法修复的乙方负责更换全新货物，或者按合同价向甲方赔偿经济损失，修复及更换全新货物的费用由乙方自行承担，甲方不再支付任何费用。</w:t>
      </w:r>
    </w:p>
    <w:p w14:paraId="76A59CE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7.其它违约行为按违约货款额5%收取违约金并赔偿经济损失。</w:t>
      </w:r>
    </w:p>
    <w:p w14:paraId="0B270232">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8.上述违约金支付合计不应超过合同金额的20%。</w:t>
      </w:r>
    </w:p>
    <w:p w14:paraId="23F386D1">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第十五条  不可抗力事件处理</w:t>
      </w:r>
    </w:p>
    <w:p w14:paraId="45B7D02F">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1.在合同有效期内，任何一方因不可抗力事件导致不能履行合同，双方经协商可以延长合同履行期，其延长期与不可抗力影响期相同。</w:t>
      </w:r>
    </w:p>
    <w:p w14:paraId="41766114">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2.不可抗力事件发生后，应立即通知对方，并寄送有关权威机构出具的证明。</w:t>
      </w:r>
    </w:p>
    <w:p w14:paraId="42CB25C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3.不可抗力事件延续120天以上，双方应通过友好协商，确定是否继续履行合同。</w:t>
      </w:r>
    </w:p>
    <w:p w14:paraId="302B2F16">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若国家调整重大动物疫病强制免疫政策，某个病种不再实施强制免疫，免疫该病的疫苗品种不再纳入政府采购范围，则相应分标招标采购的疫苗不再签订采购合同，已签订合同的，终止合同的执行，停止该疫苗的供货。</w:t>
      </w:r>
    </w:p>
    <w:p w14:paraId="4D92ADE7">
      <w:pPr>
        <w:snapToGrid w:val="0"/>
        <w:spacing w:line="36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第十六条  合同争议解决</w:t>
      </w:r>
    </w:p>
    <w:p w14:paraId="710869F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1.因货物质量问题发生争议的，应邀请国家认可的质量检测机构按照国家标准对货物质量进行鉴定。鉴定费由乙方承担。</w:t>
      </w:r>
    </w:p>
    <w:p w14:paraId="16CC7035">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2.因履行本合同引起的或与本合同有关的争议，甲乙双方应首先通过友好协商解决，如果协商不能解决，可向甲方所在地人民法院提起诉讼。</w:t>
      </w:r>
    </w:p>
    <w:p w14:paraId="4ABC1339">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3.诉讼期间，本合同继续履行。</w:t>
      </w:r>
    </w:p>
    <w:p w14:paraId="607C5150">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第十七条  合同生效及其它</w:t>
      </w:r>
    </w:p>
    <w:p w14:paraId="47EEBFD5">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ascii="Arial" w:hAnsi="Arial" w:cs="Arial"/>
          <w:color w:val="auto"/>
          <w:szCs w:val="21"/>
          <w:highlight w:val="none"/>
        </w:rPr>
        <w:t>本合同履行期限为：</w:t>
      </w:r>
      <w:r>
        <w:rPr>
          <w:rFonts w:ascii="Arial" w:hAnsi="Arial" w:cs="Arial"/>
          <w:color w:val="auto"/>
          <w:szCs w:val="21"/>
          <w:highlight w:val="none"/>
          <w:u w:val="single"/>
        </w:rPr>
        <w:t>按照本合同约定</w:t>
      </w:r>
      <w:r>
        <w:rPr>
          <w:rFonts w:ascii="Arial" w:hAnsi="Arial" w:cs="Arial"/>
          <w:color w:val="auto"/>
          <w:szCs w:val="21"/>
          <w:highlight w:val="none"/>
        </w:rPr>
        <w:t>；</w:t>
      </w:r>
      <w:r>
        <w:rPr>
          <w:rFonts w:hint="eastAsia" w:ascii="宋体" w:hAnsi="宋体"/>
          <w:color w:val="auto"/>
          <w:szCs w:val="21"/>
          <w:highlight w:val="none"/>
        </w:rPr>
        <w:t>合同履行地点为：</w:t>
      </w:r>
      <w:r>
        <w:rPr>
          <w:rFonts w:hint="eastAsia" w:ascii="宋体" w:hAnsi="宋体"/>
          <w:color w:val="auto"/>
          <w:szCs w:val="21"/>
          <w:highlight w:val="none"/>
          <w:u w:val="single"/>
        </w:rPr>
        <w:t>广西南宁市</w:t>
      </w:r>
      <w:r>
        <w:rPr>
          <w:rFonts w:hint="eastAsia" w:ascii="宋体" w:hAnsi="宋体"/>
          <w:color w:val="auto"/>
          <w:szCs w:val="21"/>
          <w:highlight w:val="none"/>
        </w:rPr>
        <w:t>；合同履行的方式：</w:t>
      </w:r>
      <w:r>
        <w:rPr>
          <w:rFonts w:hint="eastAsia" w:ascii="宋体" w:hAnsi="宋体"/>
          <w:color w:val="auto"/>
          <w:szCs w:val="21"/>
          <w:highlight w:val="none"/>
          <w:u w:val="single"/>
        </w:rPr>
        <w:t>按照本合同约定</w:t>
      </w:r>
      <w:r>
        <w:rPr>
          <w:rFonts w:hint="eastAsia" w:ascii="宋体" w:hAnsi="宋体"/>
          <w:color w:val="auto"/>
          <w:szCs w:val="21"/>
          <w:highlight w:val="none"/>
        </w:rPr>
        <w:t>。</w:t>
      </w:r>
    </w:p>
    <w:p w14:paraId="69C8838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2.合同经双方法定代表人或委托代理人签字并加盖单位公章后生效。</w:t>
      </w:r>
    </w:p>
    <w:p w14:paraId="30810DA9">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3.合同执行中涉及采购资金和采购内容修改或补充的，</w:t>
      </w:r>
      <w:r>
        <w:rPr>
          <w:rFonts w:ascii="Arial" w:hAnsi="Arial" w:cs="Arial"/>
          <w:color w:val="auto"/>
          <w:szCs w:val="21"/>
          <w:highlight w:val="none"/>
        </w:rPr>
        <w:t>须经财政部门审批，并签书面补充协议报财政部门备案，方可作为主合同不可分割的一部分。</w:t>
      </w:r>
    </w:p>
    <w:p w14:paraId="580514D3">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4.本合同未尽事宜，遵照《中华人民共和国民法典》有关条文执行。</w:t>
      </w:r>
    </w:p>
    <w:p w14:paraId="260E1382">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第十八条　合同的变更、终止与转让</w:t>
      </w:r>
    </w:p>
    <w:p w14:paraId="2F0D8F2B">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 除《中华人民共和国政府采购法》第五十条规定的情形外，本合同一经签订，甲乙双方不得擅自变更、中止或终止。</w:t>
      </w:r>
    </w:p>
    <w:p w14:paraId="5F326169">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2.未经甲方书面同意</w:t>
      </w:r>
      <w:r>
        <w:rPr>
          <w:rFonts w:ascii="Arial" w:hAnsi="Arial" w:cs="Arial"/>
          <w:color w:val="auto"/>
          <w:szCs w:val="21"/>
          <w:highlight w:val="none"/>
        </w:rPr>
        <w:t>，乙方不得擅自转让其应履行的合同义务</w:t>
      </w:r>
      <w:r>
        <w:rPr>
          <w:rFonts w:hint="eastAsia" w:ascii="宋体" w:hAnsi="宋体"/>
          <w:color w:val="auto"/>
          <w:szCs w:val="21"/>
          <w:highlight w:val="none"/>
        </w:rPr>
        <w:t>。</w:t>
      </w:r>
    </w:p>
    <w:p w14:paraId="454A1D67">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第十九条　签订本合同依据</w:t>
      </w:r>
    </w:p>
    <w:p w14:paraId="4BC3BCB7">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1.政府采购招标文件；</w:t>
      </w:r>
    </w:p>
    <w:p w14:paraId="2A75EA6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2.乙方提供的投标文件；</w:t>
      </w:r>
    </w:p>
    <w:p w14:paraId="64379369">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3.投标承诺书；</w:t>
      </w:r>
    </w:p>
    <w:p w14:paraId="42714856">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4.中标通知书。</w:t>
      </w:r>
    </w:p>
    <w:p w14:paraId="35BFDFA5">
      <w:pPr>
        <w:snapToGrid w:val="0"/>
        <w:spacing w:line="360" w:lineRule="atLeast"/>
        <w:ind w:firstLine="422" w:firstLineChars="200"/>
        <w:rPr>
          <w:rFonts w:hint="eastAsia" w:ascii="宋体" w:hAnsi="宋体"/>
          <w:color w:val="auto"/>
          <w:szCs w:val="21"/>
          <w:highlight w:val="none"/>
        </w:rPr>
      </w:pPr>
      <w:r>
        <w:rPr>
          <w:rFonts w:hint="eastAsia" w:ascii="宋体" w:hAnsi="宋体"/>
          <w:b/>
          <w:color w:val="auto"/>
          <w:szCs w:val="21"/>
          <w:highlight w:val="none"/>
        </w:rPr>
        <w:t>第二十条　</w:t>
      </w:r>
      <w:r>
        <w:rPr>
          <w:rFonts w:hint="eastAsia" w:ascii="宋体" w:hAnsi="宋体"/>
          <w:color w:val="auto"/>
          <w:szCs w:val="21"/>
          <w:highlight w:val="none"/>
        </w:rPr>
        <w:t>本合同一式六份，具有同等法律效力，甲方四份，乙方、</w:t>
      </w:r>
      <w:r>
        <w:rPr>
          <w:rFonts w:hint="eastAsia" w:ascii="Arial" w:hAnsi="Arial" w:cs="Arial"/>
          <w:color w:val="auto"/>
          <w:szCs w:val="21"/>
          <w:highlight w:val="none"/>
        </w:rPr>
        <w:t>采购代理机构各一份</w:t>
      </w:r>
      <w:r>
        <w:rPr>
          <w:rFonts w:hint="eastAsia" w:ascii="宋体" w:hAnsi="宋体"/>
          <w:color w:val="auto"/>
          <w:szCs w:val="21"/>
          <w:highlight w:val="none"/>
        </w:rPr>
        <w:t>。（说明：本合同自签订之日起2个工作日内，甲方应当将采购合同在广西壮族自治区财政厅指定的媒体上公告）</w:t>
      </w:r>
    </w:p>
    <w:tbl>
      <w:tblPr>
        <w:tblStyle w:val="49"/>
        <w:tblW w:w="50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4"/>
        <w:gridCol w:w="4604"/>
      </w:tblGrid>
      <w:tr w14:paraId="139C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noWrap w:val="0"/>
            <w:vAlign w:val="center"/>
          </w:tcPr>
          <w:p w14:paraId="15C8EB78">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 xml:space="preserve">甲方（公章）：           </w:t>
            </w:r>
          </w:p>
          <w:p w14:paraId="35E811EA">
            <w:pPr>
              <w:snapToGrid w:val="0"/>
              <w:spacing w:line="360" w:lineRule="atLeast"/>
              <w:rPr>
                <w:rFonts w:hint="eastAsia" w:ascii="宋体" w:hAnsi="宋体"/>
                <w:color w:val="auto"/>
                <w:szCs w:val="21"/>
                <w:highlight w:val="none"/>
              </w:rPr>
            </w:pPr>
          </w:p>
          <w:p w14:paraId="35E9D4DB">
            <w:pPr>
              <w:snapToGrid w:val="0"/>
              <w:spacing w:line="360" w:lineRule="atLeast"/>
              <w:ind w:firstLine="945" w:firstLineChars="450"/>
              <w:jc w:val="right"/>
              <w:rPr>
                <w:rFonts w:hint="eastAsia" w:ascii="宋体" w:hAnsi="宋体"/>
                <w:color w:val="auto"/>
                <w:szCs w:val="21"/>
                <w:highlight w:val="none"/>
              </w:rPr>
            </w:pPr>
            <w:r>
              <w:rPr>
                <w:rFonts w:hint="eastAsia" w:ascii="宋体" w:hAnsi="宋体"/>
                <w:color w:val="auto"/>
                <w:szCs w:val="21"/>
                <w:highlight w:val="none"/>
              </w:rPr>
              <w:t>年   月   日</w:t>
            </w:r>
          </w:p>
        </w:tc>
        <w:tc>
          <w:tcPr>
            <w:tcW w:w="2500" w:type="pct"/>
            <w:noWrap w:val="0"/>
            <w:vAlign w:val="center"/>
          </w:tcPr>
          <w:p w14:paraId="2B2084C4">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 xml:space="preserve">乙方（公章）：              </w:t>
            </w:r>
          </w:p>
          <w:p w14:paraId="641430CD">
            <w:pPr>
              <w:snapToGrid w:val="0"/>
              <w:spacing w:line="360" w:lineRule="atLeast"/>
              <w:rPr>
                <w:rFonts w:hint="eastAsia" w:ascii="宋体" w:hAnsi="宋体"/>
                <w:color w:val="auto"/>
                <w:szCs w:val="21"/>
                <w:highlight w:val="none"/>
              </w:rPr>
            </w:pPr>
          </w:p>
          <w:p w14:paraId="627B50B9">
            <w:pPr>
              <w:snapToGrid w:val="0"/>
              <w:spacing w:line="360" w:lineRule="atLeast"/>
              <w:jc w:val="right"/>
              <w:rPr>
                <w:rFonts w:hint="eastAsia" w:ascii="宋体" w:hAnsi="宋体"/>
                <w:color w:val="auto"/>
                <w:szCs w:val="21"/>
                <w:highlight w:val="none"/>
              </w:rPr>
            </w:pPr>
            <w:r>
              <w:rPr>
                <w:rFonts w:hint="eastAsia" w:ascii="宋体" w:hAnsi="宋体"/>
                <w:color w:val="auto"/>
                <w:szCs w:val="21"/>
                <w:highlight w:val="none"/>
              </w:rPr>
              <w:t xml:space="preserve"> 年   月   日</w:t>
            </w:r>
          </w:p>
        </w:tc>
      </w:tr>
      <w:tr w14:paraId="4984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728824DC">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单位地址：</w:t>
            </w:r>
          </w:p>
        </w:tc>
        <w:tc>
          <w:tcPr>
            <w:tcW w:w="2500" w:type="pct"/>
            <w:noWrap w:val="0"/>
            <w:vAlign w:val="center"/>
          </w:tcPr>
          <w:p w14:paraId="00B19E76">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单位地址：</w:t>
            </w:r>
          </w:p>
        </w:tc>
      </w:tr>
      <w:tr w14:paraId="0BD8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2500" w:type="pct"/>
            <w:noWrap w:val="0"/>
            <w:vAlign w:val="center"/>
          </w:tcPr>
          <w:p w14:paraId="447046D2">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法定代表人：</w:t>
            </w:r>
          </w:p>
        </w:tc>
        <w:tc>
          <w:tcPr>
            <w:tcW w:w="2500" w:type="pct"/>
            <w:noWrap w:val="0"/>
            <w:vAlign w:val="center"/>
          </w:tcPr>
          <w:p w14:paraId="55D38AF8">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法定代表人：</w:t>
            </w:r>
          </w:p>
        </w:tc>
      </w:tr>
      <w:tr w14:paraId="1EAE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2500" w:type="pct"/>
            <w:noWrap w:val="0"/>
            <w:vAlign w:val="center"/>
          </w:tcPr>
          <w:p w14:paraId="7FD8604F">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委托代理人：</w:t>
            </w:r>
          </w:p>
        </w:tc>
        <w:tc>
          <w:tcPr>
            <w:tcW w:w="2500" w:type="pct"/>
            <w:noWrap w:val="0"/>
            <w:vAlign w:val="center"/>
          </w:tcPr>
          <w:p w14:paraId="1176D434">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委托代理人：</w:t>
            </w:r>
          </w:p>
        </w:tc>
      </w:tr>
      <w:tr w14:paraId="314B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15E50B6F">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电话：</w:t>
            </w:r>
          </w:p>
        </w:tc>
        <w:tc>
          <w:tcPr>
            <w:tcW w:w="2500" w:type="pct"/>
            <w:noWrap w:val="0"/>
            <w:vAlign w:val="center"/>
          </w:tcPr>
          <w:p w14:paraId="2849C1E6">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电话：</w:t>
            </w:r>
          </w:p>
        </w:tc>
      </w:tr>
      <w:tr w14:paraId="6194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675A1E4F">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电子邮箱：</w:t>
            </w:r>
          </w:p>
        </w:tc>
        <w:tc>
          <w:tcPr>
            <w:tcW w:w="2500" w:type="pct"/>
            <w:noWrap w:val="0"/>
            <w:vAlign w:val="center"/>
          </w:tcPr>
          <w:p w14:paraId="5143E7B7">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电子邮箱：</w:t>
            </w:r>
          </w:p>
        </w:tc>
      </w:tr>
      <w:tr w14:paraId="2A91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4E9054A6">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开户银行：</w:t>
            </w:r>
          </w:p>
        </w:tc>
        <w:tc>
          <w:tcPr>
            <w:tcW w:w="2500" w:type="pct"/>
            <w:noWrap w:val="0"/>
            <w:vAlign w:val="center"/>
          </w:tcPr>
          <w:p w14:paraId="5078352B">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开户银行：</w:t>
            </w:r>
          </w:p>
        </w:tc>
      </w:tr>
      <w:tr w14:paraId="58D8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4DCE2571">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账号：</w:t>
            </w:r>
          </w:p>
        </w:tc>
        <w:tc>
          <w:tcPr>
            <w:tcW w:w="2500" w:type="pct"/>
            <w:noWrap w:val="0"/>
            <w:vAlign w:val="center"/>
          </w:tcPr>
          <w:p w14:paraId="0DE2A413">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账号：</w:t>
            </w:r>
          </w:p>
        </w:tc>
      </w:tr>
      <w:tr w14:paraId="7FE6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627C85F5">
            <w:pPr>
              <w:snapToGrid w:val="0"/>
              <w:spacing w:line="360" w:lineRule="atLeast"/>
              <w:rPr>
                <w:rFonts w:ascii="宋体" w:hAnsi="宋体"/>
                <w:color w:val="auto"/>
                <w:szCs w:val="21"/>
                <w:highlight w:val="none"/>
              </w:rPr>
            </w:pPr>
            <w:r>
              <w:rPr>
                <w:rFonts w:hint="eastAsia" w:ascii="宋体" w:hAnsi="宋体"/>
                <w:color w:val="auto"/>
                <w:szCs w:val="21"/>
                <w:highlight w:val="none"/>
              </w:rPr>
              <w:t>纳税人识别号或统一社会信用代码：</w:t>
            </w:r>
          </w:p>
        </w:tc>
        <w:tc>
          <w:tcPr>
            <w:tcW w:w="2500" w:type="pct"/>
            <w:noWrap w:val="0"/>
            <w:vAlign w:val="center"/>
          </w:tcPr>
          <w:p w14:paraId="0B4D255D">
            <w:pPr>
              <w:snapToGrid w:val="0"/>
              <w:spacing w:line="360" w:lineRule="atLeast"/>
              <w:rPr>
                <w:rFonts w:ascii="宋体" w:hAnsi="宋体"/>
                <w:color w:val="auto"/>
                <w:szCs w:val="21"/>
                <w:highlight w:val="none"/>
              </w:rPr>
            </w:pPr>
            <w:r>
              <w:rPr>
                <w:rFonts w:hint="eastAsia" w:ascii="宋体" w:hAnsi="宋体"/>
                <w:color w:val="auto"/>
                <w:szCs w:val="21"/>
                <w:highlight w:val="none"/>
              </w:rPr>
              <w:t>纳税人识别号或统一社会信用代码：</w:t>
            </w:r>
          </w:p>
        </w:tc>
      </w:tr>
      <w:tr w14:paraId="3575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4FE14DC0">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邮政编码：</w:t>
            </w:r>
          </w:p>
        </w:tc>
        <w:tc>
          <w:tcPr>
            <w:tcW w:w="2500" w:type="pct"/>
            <w:noWrap w:val="0"/>
            <w:vAlign w:val="center"/>
          </w:tcPr>
          <w:p w14:paraId="66DA425C">
            <w:pPr>
              <w:snapToGrid w:val="0"/>
              <w:spacing w:line="360" w:lineRule="atLeast"/>
              <w:rPr>
                <w:rFonts w:hint="eastAsia" w:ascii="宋体" w:hAnsi="宋体"/>
                <w:color w:val="auto"/>
                <w:szCs w:val="21"/>
                <w:highlight w:val="none"/>
              </w:rPr>
            </w:pPr>
            <w:r>
              <w:rPr>
                <w:rFonts w:hint="eastAsia" w:ascii="宋体" w:hAnsi="宋体"/>
                <w:color w:val="auto"/>
                <w:szCs w:val="21"/>
                <w:highlight w:val="none"/>
              </w:rPr>
              <w:t>邮政编码：</w:t>
            </w:r>
          </w:p>
        </w:tc>
      </w:tr>
    </w:tbl>
    <w:p w14:paraId="3538D4B2">
      <w:pPr>
        <w:snapToGrid w:val="0"/>
        <w:spacing w:line="360" w:lineRule="exact"/>
        <w:ind w:firstLine="420" w:firstLineChars="200"/>
        <w:rPr>
          <w:rFonts w:ascii="宋体" w:hAnsi="宋体"/>
          <w:color w:val="auto"/>
          <w:szCs w:val="21"/>
          <w:highlight w:val="none"/>
        </w:rPr>
      </w:pPr>
    </w:p>
    <w:p w14:paraId="57B65B61">
      <w:pPr>
        <w:pStyle w:val="24"/>
        <w:snapToGrid w:val="0"/>
        <w:spacing w:line="360" w:lineRule="auto"/>
        <w:outlineLvl w:val="2"/>
        <w:rPr>
          <w:rFonts w:hint="eastAsia" w:hAnsi="宋体" w:cs="宋体"/>
          <w:bCs/>
          <w:color w:val="auto"/>
          <w:sz w:val="24"/>
          <w:szCs w:val="24"/>
          <w:highlight w:val="none"/>
        </w:rPr>
      </w:pPr>
      <w:r>
        <w:rPr>
          <w:rFonts w:hAnsi="宋体"/>
          <w:color w:val="auto"/>
          <w:highlight w:val="none"/>
        </w:rPr>
        <w:br w:type="page"/>
      </w:r>
      <w:bookmarkStart w:id="209" w:name="_Toc29789"/>
      <w:r>
        <w:rPr>
          <w:rFonts w:hint="eastAsia" w:hAnsi="宋体" w:cs="宋体"/>
          <w:bCs/>
          <w:color w:val="auto"/>
          <w:sz w:val="24"/>
          <w:szCs w:val="24"/>
          <w:highlight w:val="none"/>
        </w:rPr>
        <w:t>附件1：广西壮族自治区政府采购项目合同验收书（格式）</w:t>
      </w:r>
      <w:bookmarkEnd w:id="209"/>
    </w:p>
    <w:p w14:paraId="42DFD1F1">
      <w:pPr>
        <w:widowControl/>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4B39C735">
      <w:pPr>
        <w:widowControl/>
        <w:shd w:val="clear" w:color="auto" w:fill="FFFFFF"/>
        <w:spacing w:line="480" w:lineRule="atLeast"/>
        <w:jc w:val="center"/>
        <w:rPr>
          <w:rFonts w:hint="eastAsia" w:ascii="仿宋" w:hAnsi="仿宋" w:eastAsia="仿宋" w:cs="宋体"/>
          <w:color w:val="auto"/>
          <w:kern w:val="0"/>
          <w:sz w:val="32"/>
          <w:szCs w:val="32"/>
          <w:highlight w:val="none"/>
        </w:rPr>
      </w:pPr>
    </w:p>
    <w:p w14:paraId="193E76E5">
      <w:pPr>
        <w:widowControl/>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政府采购项目中标（或成交）供应商</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）提供的货物（或者工程、服务）进行了验收，验收情况如下：</w:t>
      </w:r>
    </w:p>
    <w:tbl>
      <w:tblPr>
        <w:tblStyle w:val="49"/>
        <w:tblW w:w="5000" w:type="pct"/>
        <w:jc w:val="center"/>
        <w:tblLayout w:type="autofit"/>
        <w:tblCellMar>
          <w:top w:w="0" w:type="dxa"/>
          <w:left w:w="0" w:type="dxa"/>
          <w:bottom w:w="0" w:type="dxa"/>
          <w:right w:w="0" w:type="dxa"/>
        </w:tblCellMar>
      </w:tblPr>
      <w:tblGrid>
        <w:gridCol w:w="857"/>
        <w:gridCol w:w="880"/>
        <w:gridCol w:w="1732"/>
        <w:gridCol w:w="851"/>
        <w:gridCol w:w="110"/>
        <w:gridCol w:w="2138"/>
        <w:gridCol w:w="187"/>
        <w:gridCol w:w="734"/>
        <w:gridCol w:w="1523"/>
      </w:tblGrid>
      <w:tr w14:paraId="22714A9A">
        <w:tblPrEx>
          <w:tblCellMar>
            <w:top w:w="0" w:type="dxa"/>
            <w:left w:w="0" w:type="dxa"/>
            <w:bottom w:w="0" w:type="dxa"/>
            <w:right w:w="0" w:type="dxa"/>
          </w:tblCellMar>
        </w:tblPrEx>
        <w:trPr>
          <w:trHeight w:val="497" w:hRule="atLeast"/>
          <w:jc w:val="center"/>
        </w:trPr>
        <w:tc>
          <w:tcPr>
            <w:tcW w:w="1925" w:type="pct"/>
            <w:gridSpan w:val="3"/>
            <w:tcBorders>
              <w:top w:val="single" w:color="auto" w:sz="8" w:space="0"/>
              <w:left w:val="single" w:color="auto" w:sz="8" w:space="0"/>
              <w:bottom w:val="single" w:color="auto" w:sz="8" w:space="0"/>
              <w:right w:val="single" w:color="auto" w:sz="8" w:space="0"/>
            </w:tcBorders>
            <w:noWrap w:val="0"/>
            <w:vAlign w:val="center"/>
          </w:tcPr>
          <w:p w14:paraId="3E7803C6">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ascii="宋体" w:hAnsi="宋体" w:cs="宋体"/>
                <w:color w:val="auto"/>
                <w:kern w:val="0"/>
                <w:szCs w:val="21"/>
                <w:highlight w:val="none"/>
              </w:rPr>
              <w:t>验收方式：</w:t>
            </w:r>
          </w:p>
        </w:tc>
        <w:tc>
          <w:tcPr>
            <w:tcW w:w="3075" w:type="pct"/>
            <w:gridSpan w:val="6"/>
            <w:tcBorders>
              <w:top w:val="single" w:color="auto" w:sz="8" w:space="0"/>
              <w:left w:val="nil"/>
              <w:bottom w:val="single" w:color="auto" w:sz="8" w:space="0"/>
              <w:right w:val="single" w:color="auto" w:sz="8" w:space="0"/>
            </w:tcBorders>
            <w:noWrap w:val="0"/>
            <w:vAlign w:val="center"/>
          </w:tcPr>
          <w:p w14:paraId="7FFFCD46">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ascii="宋体" w:hAnsi="宋体" w:cs="宋体"/>
                <w:color w:val="auto"/>
                <w:kern w:val="0"/>
                <w:szCs w:val="21"/>
                <w:highlight w:val="none"/>
              </w:rPr>
              <w:t>□自行验收     □委托验收</w:t>
            </w:r>
          </w:p>
        </w:tc>
      </w:tr>
      <w:tr w14:paraId="2FDA455B">
        <w:tblPrEx>
          <w:tblCellMar>
            <w:top w:w="0" w:type="dxa"/>
            <w:left w:w="0" w:type="dxa"/>
            <w:bottom w:w="0" w:type="dxa"/>
            <w:right w:w="0" w:type="dxa"/>
          </w:tblCellMar>
        </w:tblPrEx>
        <w:trPr>
          <w:trHeight w:val="622" w:hRule="atLeast"/>
          <w:jc w:val="center"/>
        </w:trPr>
        <w:tc>
          <w:tcPr>
            <w:tcW w:w="476" w:type="pct"/>
            <w:tcBorders>
              <w:top w:val="nil"/>
              <w:left w:val="single" w:color="auto" w:sz="8" w:space="0"/>
              <w:bottom w:val="single" w:color="auto" w:sz="8" w:space="0"/>
              <w:right w:val="single" w:color="auto" w:sz="8" w:space="0"/>
            </w:tcBorders>
            <w:noWrap w:val="0"/>
            <w:vAlign w:val="center"/>
          </w:tcPr>
          <w:p w14:paraId="0C02AAAA">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ascii="宋体" w:hAnsi="宋体" w:cs="宋体"/>
                <w:color w:val="auto"/>
                <w:kern w:val="0"/>
                <w:szCs w:val="21"/>
                <w:highlight w:val="none"/>
              </w:rPr>
              <w:t>序号</w:t>
            </w:r>
          </w:p>
        </w:tc>
        <w:tc>
          <w:tcPr>
            <w:tcW w:w="1449" w:type="pct"/>
            <w:gridSpan w:val="2"/>
            <w:tcBorders>
              <w:top w:val="nil"/>
              <w:left w:val="nil"/>
              <w:bottom w:val="single" w:color="auto" w:sz="8" w:space="0"/>
              <w:right w:val="single" w:color="auto" w:sz="8" w:space="0"/>
            </w:tcBorders>
            <w:noWrap w:val="0"/>
            <w:vAlign w:val="center"/>
          </w:tcPr>
          <w:p w14:paraId="1090A86B">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ascii="宋体" w:hAnsi="宋体" w:cs="宋体"/>
                <w:color w:val="auto"/>
                <w:kern w:val="0"/>
                <w:szCs w:val="21"/>
                <w:highlight w:val="none"/>
              </w:rPr>
              <w:t>名称</w:t>
            </w:r>
          </w:p>
        </w:tc>
        <w:tc>
          <w:tcPr>
            <w:tcW w:w="1718" w:type="pct"/>
            <w:gridSpan w:val="3"/>
            <w:tcBorders>
              <w:top w:val="nil"/>
              <w:left w:val="nil"/>
              <w:bottom w:val="single" w:color="auto" w:sz="8" w:space="0"/>
              <w:right w:val="single" w:color="auto" w:sz="8" w:space="0"/>
            </w:tcBorders>
            <w:noWrap w:val="0"/>
            <w:vAlign w:val="center"/>
          </w:tcPr>
          <w:p w14:paraId="668FBE1C">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ascii="宋体" w:hAnsi="宋体" w:cs="宋体"/>
                <w:color w:val="auto"/>
                <w:kern w:val="0"/>
                <w:szCs w:val="21"/>
                <w:highlight w:val="none"/>
              </w:rPr>
              <w:t>货物型号规格、标准及配置等（或者服务内容、标准）</w:t>
            </w:r>
          </w:p>
        </w:tc>
        <w:tc>
          <w:tcPr>
            <w:tcW w:w="511" w:type="pct"/>
            <w:gridSpan w:val="2"/>
            <w:tcBorders>
              <w:top w:val="nil"/>
              <w:left w:val="nil"/>
              <w:bottom w:val="single" w:color="auto" w:sz="8" w:space="0"/>
              <w:right w:val="single" w:color="auto" w:sz="8" w:space="0"/>
            </w:tcBorders>
            <w:noWrap w:val="0"/>
            <w:vAlign w:val="center"/>
          </w:tcPr>
          <w:p w14:paraId="763B40DC">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ascii="宋体" w:hAnsi="宋体" w:cs="宋体"/>
                <w:color w:val="auto"/>
                <w:kern w:val="0"/>
                <w:szCs w:val="21"/>
                <w:highlight w:val="none"/>
              </w:rPr>
              <w:t>数量</w:t>
            </w:r>
          </w:p>
        </w:tc>
        <w:tc>
          <w:tcPr>
            <w:tcW w:w="845" w:type="pct"/>
            <w:tcBorders>
              <w:top w:val="nil"/>
              <w:left w:val="nil"/>
              <w:bottom w:val="single" w:color="auto" w:sz="8" w:space="0"/>
              <w:right w:val="single" w:color="auto" w:sz="8" w:space="0"/>
            </w:tcBorders>
            <w:noWrap w:val="0"/>
            <w:vAlign w:val="center"/>
          </w:tcPr>
          <w:p w14:paraId="2186A44F">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ascii="宋体" w:hAnsi="宋体" w:cs="宋体"/>
                <w:color w:val="auto"/>
                <w:kern w:val="0"/>
                <w:szCs w:val="21"/>
                <w:highlight w:val="none"/>
              </w:rPr>
              <w:t>金额</w:t>
            </w:r>
          </w:p>
        </w:tc>
      </w:tr>
      <w:tr w14:paraId="29511A58">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noWrap w:val="0"/>
            <w:vAlign w:val="center"/>
          </w:tcPr>
          <w:p w14:paraId="74AC3233">
            <w:pPr>
              <w:widowControl/>
              <w:spacing w:before="100" w:beforeAutospacing="1" w:after="100" w:afterAutospacing="1" w:line="240" w:lineRule="atLeast"/>
              <w:jc w:val="center"/>
              <w:rPr>
                <w:rFonts w:ascii="宋体" w:hAnsi="宋体" w:cs="宋体"/>
                <w:color w:val="auto"/>
                <w:kern w:val="0"/>
                <w:szCs w:val="21"/>
                <w:highlight w:val="none"/>
              </w:rPr>
            </w:pPr>
          </w:p>
        </w:tc>
        <w:tc>
          <w:tcPr>
            <w:tcW w:w="1449" w:type="pct"/>
            <w:gridSpan w:val="2"/>
            <w:tcBorders>
              <w:top w:val="nil"/>
              <w:left w:val="nil"/>
              <w:bottom w:val="single" w:color="auto" w:sz="8" w:space="0"/>
              <w:right w:val="single" w:color="auto" w:sz="8" w:space="0"/>
            </w:tcBorders>
            <w:noWrap w:val="0"/>
            <w:vAlign w:val="center"/>
          </w:tcPr>
          <w:p w14:paraId="38ECA020">
            <w:pPr>
              <w:widowControl/>
              <w:spacing w:before="100" w:beforeAutospacing="1" w:after="100" w:afterAutospacing="1" w:line="240" w:lineRule="atLeast"/>
              <w:jc w:val="center"/>
              <w:rPr>
                <w:rFonts w:ascii="宋体" w:hAnsi="宋体" w:cs="宋体"/>
                <w:color w:val="auto"/>
                <w:kern w:val="0"/>
                <w:szCs w:val="21"/>
                <w:highlight w:val="none"/>
              </w:rPr>
            </w:pPr>
          </w:p>
        </w:tc>
        <w:tc>
          <w:tcPr>
            <w:tcW w:w="1718" w:type="pct"/>
            <w:gridSpan w:val="3"/>
            <w:tcBorders>
              <w:top w:val="nil"/>
              <w:left w:val="nil"/>
              <w:bottom w:val="single" w:color="auto" w:sz="8" w:space="0"/>
              <w:right w:val="single" w:color="auto" w:sz="8" w:space="0"/>
            </w:tcBorders>
            <w:noWrap w:val="0"/>
            <w:vAlign w:val="center"/>
          </w:tcPr>
          <w:p w14:paraId="659B660B">
            <w:pPr>
              <w:widowControl/>
              <w:spacing w:before="100" w:beforeAutospacing="1" w:after="100" w:afterAutospacing="1" w:line="240" w:lineRule="atLeast"/>
              <w:jc w:val="center"/>
              <w:rPr>
                <w:rFonts w:ascii="宋体" w:hAnsi="宋体" w:cs="宋体"/>
                <w:color w:val="auto"/>
                <w:kern w:val="0"/>
                <w:szCs w:val="21"/>
                <w:highlight w:val="none"/>
              </w:rPr>
            </w:pPr>
          </w:p>
        </w:tc>
        <w:tc>
          <w:tcPr>
            <w:tcW w:w="511" w:type="pct"/>
            <w:gridSpan w:val="2"/>
            <w:tcBorders>
              <w:top w:val="nil"/>
              <w:left w:val="nil"/>
              <w:bottom w:val="single" w:color="auto" w:sz="8" w:space="0"/>
              <w:right w:val="single" w:color="auto" w:sz="8" w:space="0"/>
            </w:tcBorders>
            <w:noWrap w:val="0"/>
            <w:vAlign w:val="center"/>
          </w:tcPr>
          <w:p w14:paraId="27639D92">
            <w:pPr>
              <w:widowControl/>
              <w:spacing w:before="100" w:beforeAutospacing="1" w:after="100" w:afterAutospacing="1" w:line="240" w:lineRule="atLeast"/>
              <w:jc w:val="center"/>
              <w:rPr>
                <w:rFonts w:ascii="宋体" w:hAnsi="宋体" w:cs="宋体"/>
                <w:color w:val="auto"/>
                <w:kern w:val="0"/>
                <w:szCs w:val="21"/>
                <w:highlight w:val="none"/>
              </w:rPr>
            </w:pPr>
          </w:p>
        </w:tc>
        <w:tc>
          <w:tcPr>
            <w:tcW w:w="845" w:type="pct"/>
            <w:tcBorders>
              <w:top w:val="nil"/>
              <w:left w:val="nil"/>
              <w:bottom w:val="single" w:color="auto" w:sz="8" w:space="0"/>
              <w:right w:val="single" w:color="auto" w:sz="8" w:space="0"/>
            </w:tcBorders>
            <w:noWrap w:val="0"/>
            <w:vAlign w:val="center"/>
          </w:tcPr>
          <w:p w14:paraId="04BDC0A9">
            <w:pPr>
              <w:widowControl/>
              <w:spacing w:before="100" w:beforeAutospacing="1" w:after="100" w:afterAutospacing="1" w:line="240" w:lineRule="atLeast"/>
              <w:jc w:val="center"/>
              <w:rPr>
                <w:rFonts w:ascii="宋体" w:hAnsi="宋体" w:cs="宋体"/>
                <w:color w:val="auto"/>
                <w:kern w:val="0"/>
                <w:szCs w:val="21"/>
                <w:highlight w:val="none"/>
              </w:rPr>
            </w:pPr>
          </w:p>
        </w:tc>
      </w:tr>
      <w:tr w14:paraId="5C01B628">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noWrap w:val="0"/>
            <w:vAlign w:val="center"/>
          </w:tcPr>
          <w:p w14:paraId="1BA72323">
            <w:pPr>
              <w:widowControl/>
              <w:spacing w:before="100" w:beforeAutospacing="1" w:after="100" w:afterAutospacing="1" w:line="240" w:lineRule="atLeast"/>
              <w:jc w:val="center"/>
              <w:rPr>
                <w:rFonts w:ascii="宋体" w:hAnsi="宋体" w:cs="宋体"/>
                <w:color w:val="auto"/>
                <w:kern w:val="0"/>
                <w:szCs w:val="21"/>
                <w:highlight w:val="none"/>
              </w:rPr>
            </w:pPr>
          </w:p>
        </w:tc>
        <w:tc>
          <w:tcPr>
            <w:tcW w:w="1449" w:type="pct"/>
            <w:gridSpan w:val="2"/>
            <w:tcBorders>
              <w:top w:val="nil"/>
              <w:left w:val="nil"/>
              <w:bottom w:val="single" w:color="auto" w:sz="8" w:space="0"/>
              <w:right w:val="single" w:color="auto" w:sz="8" w:space="0"/>
            </w:tcBorders>
            <w:noWrap w:val="0"/>
            <w:vAlign w:val="center"/>
          </w:tcPr>
          <w:p w14:paraId="1CA1A777">
            <w:pPr>
              <w:widowControl/>
              <w:spacing w:before="100" w:beforeAutospacing="1" w:after="100" w:afterAutospacing="1" w:line="240" w:lineRule="atLeast"/>
              <w:jc w:val="center"/>
              <w:rPr>
                <w:rFonts w:ascii="宋体" w:hAnsi="宋体" w:cs="宋体"/>
                <w:color w:val="auto"/>
                <w:kern w:val="0"/>
                <w:szCs w:val="21"/>
                <w:highlight w:val="none"/>
              </w:rPr>
            </w:pPr>
          </w:p>
        </w:tc>
        <w:tc>
          <w:tcPr>
            <w:tcW w:w="1718" w:type="pct"/>
            <w:gridSpan w:val="3"/>
            <w:tcBorders>
              <w:top w:val="nil"/>
              <w:left w:val="nil"/>
              <w:bottom w:val="single" w:color="auto" w:sz="8" w:space="0"/>
              <w:right w:val="single" w:color="auto" w:sz="8" w:space="0"/>
            </w:tcBorders>
            <w:noWrap w:val="0"/>
            <w:vAlign w:val="center"/>
          </w:tcPr>
          <w:p w14:paraId="28ADBDE7">
            <w:pPr>
              <w:widowControl/>
              <w:spacing w:before="100" w:beforeAutospacing="1" w:after="100" w:afterAutospacing="1" w:line="240" w:lineRule="atLeast"/>
              <w:jc w:val="center"/>
              <w:rPr>
                <w:rFonts w:ascii="宋体" w:hAnsi="宋体" w:cs="宋体"/>
                <w:color w:val="auto"/>
                <w:kern w:val="0"/>
                <w:szCs w:val="21"/>
                <w:highlight w:val="none"/>
              </w:rPr>
            </w:pPr>
          </w:p>
        </w:tc>
        <w:tc>
          <w:tcPr>
            <w:tcW w:w="511" w:type="pct"/>
            <w:gridSpan w:val="2"/>
            <w:tcBorders>
              <w:top w:val="nil"/>
              <w:left w:val="nil"/>
              <w:bottom w:val="single" w:color="auto" w:sz="8" w:space="0"/>
              <w:right w:val="single" w:color="auto" w:sz="8" w:space="0"/>
            </w:tcBorders>
            <w:noWrap w:val="0"/>
            <w:vAlign w:val="center"/>
          </w:tcPr>
          <w:p w14:paraId="63A49FF5">
            <w:pPr>
              <w:widowControl/>
              <w:spacing w:before="100" w:beforeAutospacing="1" w:after="100" w:afterAutospacing="1" w:line="240" w:lineRule="atLeast"/>
              <w:jc w:val="center"/>
              <w:rPr>
                <w:rFonts w:ascii="宋体" w:hAnsi="宋体" w:cs="宋体"/>
                <w:color w:val="auto"/>
                <w:kern w:val="0"/>
                <w:szCs w:val="21"/>
                <w:highlight w:val="none"/>
              </w:rPr>
            </w:pPr>
          </w:p>
        </w:tc>
        <w:tc>
          <w:tcPr>
            <w:tcW w:w="845" w:type="pct"/>
            <w:tcBorders>
              <w:top w:val="nil"/>
              <w:left w:val="nil"/>
              <w:bottom w:val="single" w:color="auto" w:sz="8" w:space="0"/>
              <w:right w:val="single" w:color="auto" w:sz="8" w:space="0"/>
            </w:tcBorders>
            <w:noWrap w:val="0"/>
            <w:vAlign w:val="center"/>
          </w:tcPr>
          <w:p w14:paraId="45140933">
            <w:pPr>
              <w:widowControl/>
              <w:spacing w:before="100" w:beforeAutospacing="1" w:after="100" w:afterAutospacing="1" w:line="240" w:lineRule="atLeast"/>
              <w:jc w:val="center"/>
              <w:rPr>
                <w:rFonts w:ascii="宋体" w:hAnsi="宋体" w:cs="宋体"/>
                <w:color w:val="auto"/>
                <w:kern w:val="0"/>
                <w:szCs w:val="21"/>
                <w:highlight w:val="none"/>
              </w:rPr>
            </w:pPr>
          </w:p>
        </w:tc>
      </w:tr>
      <w:tr w14:paraId="75F2ECB5">
        <w:tblPrEx>
          <w:tblCellMar>
            <w:top w:w="0" w:type="dxa"/>
            <w:left w:w="0" w:type="dxa"/>
            <w:bottom w:w="0" w:type="dxa"/>
            <w:right w:w="0" w:type="dxa"/>
          </w:tblCellMar>
        </w:tblPrEx>
        <w:trPr>
          <w:trHeight w:val="487" w:hRule="atLeast"/>
          <w:jc w:val="center"/>
        </w:trPr>
        <w:tc>
          <w:tcPr>
            <w:tcW w:w="476" w:type="pct"/>
            <w:tcBorders>
              <w:top w:val="nil"/>
              <w:left w:val="single" w:color="auto" w:sz="8" w:space="0"/>
              <w:bottom w:val="single" w:color="auto" w:sz="8" w:space="0"/>
              <w:right w:val="single" w:color="auto" w:sz="8" w:space="0"/>
            </w:tcBorders>
            <w:noWrap w:val="0"/>
            <w:vAlign w:val="center"/>
          </w:tcPr>
          <w:p w14:paraId="5FD0B2EB">
            <w:pPr>
              <w:widowControl/>
              <w:spacing w:before="100" w:beforeAutospacing="1" w:after="100" w:afterAutospacing="1" w:line="240" w:lineRule="atLeast"/>
              <w:jc w:val="center"/>
              <w:rPr>
                <w:rFonts w:ascii="宋体" w:hAnsi="宋体" w:cs="宋体"/>
                <w:color w:val="auto"/>
                <w:kern w:val="0"/>
                <w:szCs w:val="21"/>
                <w:highlight w:val="none"/>
              </w:rPr>
            </w:pPr>
          </w:p>
        </w:tc>
        <w:tc>
          <w:tcPr>
            <w:tcW w:w="1449" w:type="pct"/>
            <w:gridSpan w:val="2"/>
            <w:tcBorders>
              <w:top w:val="nil"/>
              <w:left w:val="nil"/>
              <w:bottom w:val="single" w:color="auto" w:sz="8" w:space="0"/>
              <w:right w:val="single" w:color="auto" w:sz="8" w:space="0"/>
            </w:tcBorders>
            <w:noWrap w:val="0"/>
            <w:vAlign w:val="center"/>
          </w:tcPr>
          <w:p w14:paraId="3F214E08">
            <w:pPr>
              <w:widowControl/>
              <w:spacing w:before="100" w:beforeAutospacing="1" w:after="100" w:afterAutospacing="1" w:line="240" w:lineRule="atLeast"/>
              <w:jc w:val="center"/>
              <w:rPr>
                <w:rFonts w:ascii="宋体" w:hAnsi="宋体" w:cs="宋体"/>
                <w:color w:val="auto"/>
                <w:kern w:val="0"/>
                <w:szCs w:val="21"/>
                <w:highlight w:val="none"/>
              </w:rPr>
            </w:pPr>
          </w:p>
        </w:tc>
        <w:tc>
          <w:tcPr>
            <w:tcW w:w="1718" w:type="pct"/>
            <w:gridSpan w:val="3"/>
            <w:tcBorders>
              <w:top w:val="nil"/>
              <w:left w:val="nil"/>
              <w:bottom w:val="single" w:color="auto" w:sz="8" w:space="0"/>
              <w:right w:val="single" w:color="auto" w:sz="8" w:space="0"/>
            </w:tcBorders>
            <w:noWrap w:val="0"/>
            <w:vAlign w:val="center"/>
          </w:tcPr>
          <w:p w14:paraId="2D935574">
            <w:pPr>
              <w:widowControl/>
              <w:spacing w:before="100" w:beforeAutospacing="1" w:after="100" w:afterAutospacing="1" w:line="240" w:lineRule="atLeast"/>
              <w:jc w:val="center"/>
              <w:rPr>
                <w:rFonts w:ascii="宋体" w:hAnsi="宋体" w:cs="宋体"/>
                <w:color w:val="auto"/>
                <w:kern w:val="0"/>
                <w:szCs w:val="21"/>
                <w:highlight w:val="none"/>
              </w:rPr>
            </w:pPr>
          </w:p>
        </w:tc>
        <w:tc>
          <w:tcPr>
            <w:tcW w:w="511" w:type="pct"/>
            <w:gridSpan w:val="2"/>
            <w:tcBorders>
              <w:top w:val="nil"/>
              <w:left w:val="nil"/>
              <w:bottom w:val="single" w:color="auto" w:sz="8" w:space="0"/>
              <w:right w:val="single" w:color="auto" w:sz="8" w:space="0"/>
            </w:tcBorders>
            <w:noWrap w:val="0"/>
            <w:vAlign w:val="center"/>
          </w:tcPr>
          <w:p w14:paraId="65DEA158">
            <w:pPr>
              <w:widowControl/>
              <w:spacing w:before="100" w:beforeAutospacing="1" w:after="100" w:afterAutospacing="1" w:line="240" w:lineRule="atLeast"/>
              <w:jc w:val="center"/>
              <w:rPr>
                <w:rFonts w:ascii="宋体" w:hAnsi="宋体" w:cs="宋体"/>
                <w:color w:val="auto"/>
                <w:kern w:val="0"/>
                <w:szCs w:val="21"/>
                <w:highlight w:val="none"/>
              </w:rPr>
            </w:pPr>
          </w:p>
        </w:tc>
        <w:tc>
          <w:tcPr>
            <w:tcW w:w="845" w:type="pct"/>
            <w:tcBorders>
              <w:top w:val="nil"/>
              <w:left w:val="nil"/>
              <w:bottom w:val="single" w:color="auto" w:sz="8" w:space="0"/>
              <w:right w:val="single" w:color="auto" w:sz="8" w:space="0"/>
            </w:tcBorders>
            <w:noWrap w:val="0"/>
            <w:vAlign w:val="center"/>
          </w:tcPr>
          <w:p w14:paraId="4EB71534">
            <w:pPr>
              <w:widowControl/>
              <w:spacing w:before="100" w:beforeAutospacing="1" w:after="100" w:afterAutospacing="1" w:line="240" w:lineRule="atLeast"/>
              <w:jc w:val="center"/>
              <w:rPr>
                <w:rFonts w:ascii="宋体" w:hAnsi="宋体" w:cs="宋体"/>
                <w:color w:val="auto"/>
                <w:kern w:val="0"/>
                <w:szCs w:val="21"/>
                <w:highlight w:val="none"/>
              </w:rPr>
            </w:pPr>
          </w:p>
        </w:tc>
      </w:tr>
      <w:tr w14:paraId="4AD7C6C5">
        <w:tblPrEx>
          <w:tblCellMar>
            <w:top w:w="0" w:type="dxa"/>
            <w:left w:w="0" w:type="dxa"/>
            <w:bottom w:w="0" w:type="dxa"/>
            <w:right w:w="0" w:type="dxa"/>
          </w:tblCellMar>
        </w:tblPrEx>
        <w:trPr>
          <w:trHeight w:val="487" w:hRule="atLeast"/>
          <w:jc w:val="center"/>
        </w:trPr>
        <w:tc>
          <w:tcPr>
            <w:tcW w:w="3644" w:type="pct"/>
            <w:gridSpan w:val="6"/>
            <w:tcBorders>
              <w:top w:val="nil"/>
              <w:left w:val="single" w:color="auto" w:sz="8" w:space="0"/>
              <w:bottom w:val="single" w:color="auto" w:sz="8" w:space="0"/>
              <w:right w:val="single" w:color="auto" w:sz="8" w:space="0"/>
            </w:tcBorders>
            <w:noWrap w:val="0"/>
            <w:vAlign w:val="center"/>
          </w:tcPr>
          <w:p w14:paraId="4C3B9272">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ascii="宋体" w:hAnsi="宋体" w:cs="宋体"/>
                <w:color w:val="auto"/>
                <w:kern w:val="0"/>
                <w:szCs w:val="21"/>
                <w:highlight w:val="none"/>
              </w:rPr>
              <w:t>合 计</w:t>
            </w:r>
          </w:p>
        </w:tc>
        <w:tc>
          <w:tcPr>
            <w:tcW w:w="511" w:type="pct"/>
            <w:gridSpan w:val="2"/>
            <w:tcBorders>
              <w:top w:val="nil"/>
              <w:left w:val="nil"/>
              <w:bottom w:val="single" w:color="auto" w:sz="8" w:space="0"/>
              <w:right w:val="single" w:color="auto" w:sz="8" w:space="0"/>
            </w:tcBorders>
            <w:noWrap w:val="0"/>
            <w:vAlign w:val="center"/>
          </w:tcPr>
          <w:p w14:paraId="0FDE8D78">
            <w:pPr>
              <w:widowControl/>
              <w:spacing w:before="100" w:beforeAutospacing="1" w:after="100" w:afterAutospacing="1" w:line="240" w:lineRule="atLeast"/>
              <w:jc w:val="center"/>
              <w:rPr>
                <w:rFonts w:ascii="宋体" w:hAnsi="宋体" w:cs="宋体"/>
                <w:color w:val="auto"/>
                <w:kern w:val="0"/>
                <w:szCs w:val="21"/>
                <w:highlight w:val="none"/>
              </w:rPr>
            </w:pPr>
          </w:p>
        </w:tc>
        <w:tc>
          <w:tcPr>
            <w:tcW w:w="845" w:type="pct"/>
            <w:tcBorders>
              <w:top w:val="nil"/>
              <w:left w:val="nil"/>
              <w:bottom w:val="single" w:color="auto" w:sz="8" w:space="0"/>
              <w:right w:val="single" w:color="auto" w:sz="8" w:space="0"/>
            </w:tcBorders>
            <w:noWrap w:val="0"/>
            <w:vAlign w:val="center"/>
          </w:tcPr>
          <w:p w14:paraId="2671D5E2">
            <w:pPr>
              <w:widowControl/>
              <w:spacing w:before="100" w:beforeAutospacing="1" w:after="100" w:afterAutospacing="1" w:line="240" w:lineRule="atLeast"/>
              <w:jc w:val="center"/>
              <w:rPr>
                <w:rFonts w:ascii="宋体" w:hAnsi="宋体" w:cs="宋体"/>
                <w:color w:val="auto"/>
                <w:kern w:val="0"/>
                <w:szCs w:val="21"/>
                <w:highlight w:val="none"/>
              </w:rPr>
            </w:pPr>
          </w:p>
        </w:tc>
      </w:tr>
      <w:tr w14:paraId="24F2694C">
        <w:tblPrEx>
          <w:tblCellMar>
            <w:top w:w="0" w:type="dxa"/>
            <w:left w:w="0" w:type="dxa"/>
            <w:bottom w:w="0" w:type="dxa"/>
            <w:right w:w="0" w:type="dxa"/>
          </w:tblCellMar>
        </w:tblPrEx>
        <w:trPr>
          <w:trHeight w:val="641" w:hRule="atLeast"/>
          <w:jc w:val="center"/>
        </w:trPr>
        <w:tc>
          <w:tcPr>
            <w:tcW w:w="5000" w:type="pct"/>
            <w:gridSpan w:val="9"/>
            <w:tcBorders>
              <w:top w:val="nil"/>
              <w:left w:val="single" w:color="auto" w:sz="8" w:space="0"/>
              <w:bottom w:val="single" w:color="auto" w:sz="8" w:space="0"/>
              <w:right w:val="single" w:color="auto" w:sz="8" w:space="0"/>
            </w:tcBorders>
            <w:noWrap w:val="0"/>
            <w:vAlign w:val="center"/>
          </w:tcPr>
          <w:p w14:paraId="3D68CB96">
            <w:pPr>
              <w:widowControl/>
              <w:snapToGrid w:val="0"/>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ascii="宋体" w:hAnsi="宋体" w:cs="宋体"/>
                <w:color w:val="auto"/>
                <w:kern w:val="0"/>
                <w:szCs w:val="21"/>
                <w:highlight w:val="none"/>
              </w:rPr>
              <w:t xml:space="preserve">合计大写金额：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仟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佰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拾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万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仟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佰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拾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元</w:t>
            </w:r>
          </w:p>
        </w:tc>
      </w:tr>
      <w:tr w14:paraId="712B0B61">
        <w:tblPrEx>
          <w:tblCellMar>
            <w:top w:w="0" w:type="dxa"/>
            <w:left w:w="0" w:type="dxa"/>
            <w:bottom w:w="0" w:type="dxa"/>
            <w:right w:w="0" w:type="dxa"/>
          </w:tblCellMar>
        </w:tblPrEx>
        <w:trPr>
          <w:trHeight w:val="641" w:hRule="atLeast"/>
          <w:jc w:val="center"/>
        </w:trPr>
        <w:tc>
          <w:tcPr>
            <w:tcW w:w="964" w:type="pct"/>
            <w:gridSpan w:val="2"/>
            <w:tcBorders>
              <w:top w:val="nil"/>
              <w:left w:val="single" w:color="auto" w:sz="8" w:space="0"/>
              <w:bottom w:val="single" w:color="auto" w:sz="8" w:space="0"/>
              <w:right w:val="single" w:color="auto" w:sz="8" w:space="0"/>
            </w:tcBorders>
            <w:noWrap w:val="0"/>
            <w:vAlign w:val="center"/>
          </w:tcPr>
          <w:p w14:paraId="2DC8A923">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ascii="宋体" w:hAnsi="宋体" w:cs="宋体"/>
                <w:color w:val="auto"/>
                <w:kern w:val="0"/>
                <w:szCs w:val="21"/>
                <w:highlight w:val="none"/>
              </w:rPr>
              <w:t>实际供货日期</w:t>
            </w:r>
          </w:p>
        </w:tc>
        <w:tc>
          <w:tcPr>
            <w:tcW w:w="1433" w:type="pct"/>
            <w:gridSpan w:val="2"/>
            <w:tcBorders>
              <w:top w:val="nil"/>
              <w:left w:val="nil"/>
              <w:bottom w:val="single" w:color="auto" w:sz="8" w:space="0"/>
              <w:right w:val="single" w:color="auto" w:sz="8" w:space="0"/>
            </w:tcBorders>
            <w:noWrap w:val="0"/>
            <w:vAlign w:val="center"/>
          </w:tcPr>
          <w:p w14:paraId="34C86B11">
            <w:pPr>
              <w:widowControl/>
              <w:spacing w:before="100" w:beforeAutospacing="1" w:after="100" w:afterAutospacing="1" w:line="240" w:lineRule="atLeast"/>
              <w:jc w:val="center"/>
              <w:rPr>
                <w:rFonts w:ascii="宋体" w:hAnsi="宋体" w:cs="宋体"/>
                <w:color w:val="auto"/>
                <w:kern w:val="0"/>
                <w:szCs w:val="21"/>
                <w:highlight w:val="none"/>
              </w:rPr>
            </w:pPr>
          </w:p>
        </w:tc>
        <w:tc>
          <w:tcPr>
            <w:tcW w:w="1351" w:type="pct"/>
            <w:gridSpan w:val="3"/>
            <w:tcBorders>
              <w:top w:val="nil"/>
              <w:left w:val="nil"/>
              <w:bottom w:val="single" w:color="auto" w:sz="8" w:space="0"/>
              <w:right w:val="single" w:color="auto" w:sz="8" w:space="0"/>
            </w:tcBorders>
            <w:noWrap w:val="0"/>
            <w:vAlign w:val="center"/>
          </w:tcPr>
          <w:p w14:paraId="5AECCBF8">
            <w:pPr>
              <w:widowControl/>
              <w:snapToGrid w:val="0"/>
              <w:spacing w:before="100" w:beforeAutospacing="1" w:after="100" w:afterAutospacing="1" w:line="320" w:lineRule="atLeast"/>
              <w:ind w:firstLine="46"/>
              <w:jc w:val="center"/>
              <w:rPr>
                <w:rFonts w:ascii="宋体" w:hAnsi="宋体" w:cs="宋体"/>
                <w:color w:val="auto"/>
                <w:kern w:val="0"/>
                <w:szCs w:val="21"/>
                <w:highlight w:val="none"/>
              </w:rPr>
            </w:pPr>
            <w:r>
              <w:rPr>
                <w:rFonts w:ascii="宋体" w:hAnsi="宋体" w:cs="宋体"/>
                <w:color w:val="auto"/>
                <w:kern w:val="0"/>
                <w:szCs w:val="21"/>
                <w:highlight w:val="none"/>
              </w:rPr>
              <w:t>合同交货验收日期</w:t>
            </w:r>
          </w:p>
        </w:tc>
        <w:tc>
          <w:tcPr>
            <w:tcW w:w="1251" w:type="pct"/>
            <w:gridSpan w:val="2"/>
            <w:tcBorders>
              <w:top w:val="nil"/>
              <w:left w:val="nil"/>
              <w:bottom w:val="single" w:color="auto" w:sz="8" w:space="0"/>
              <w:right w:val="single" w:color="auto" w:sz="8" w:space="0"/>
            </w:tcBorders>
            <w:noWrap w:val="0"/>
            <w:vAlign w:val="center"/>
          </w:tcPr>
          <w:p w14:paraId="4B095921">
            <w:pPr>
              <w:widowControl/>
              <w:spacing w:before="100" w:beforeAutospacing="1" w:after="100" w:afterAutospacing="1" w:line="240" w:lineRule="atLeast"/>
              <w:jc w:val="center"/>
              <w:rPr>
                <w:rFonts w:ascii="宋体" w:hAnsi="宋体" w:cs="宋体"/>
                <w:color w:val="auto"/>
                <w:kern w:val="0"/>
                <w:szCs w:val="21"/>
                <w:highlight w:val="none"/>
              </w:rPr>
            </w:pPr>
          </w:p>
        </w:tc>
      </w:tr>
      <w:tr w14:paraId="1C6A5261">
        <w:tblPrEx>
          <w:tblCellMar>
            <w:top w:w="0" w:type="dxa"/>
            <w:left w:w="0" w:type="dxa"/>
            <w:bottom w:w="0" w:type="dxa"/>
            <w:right w:w="0" w:type="dxa"/>
          </w:tblCellMar>
        </w:tblPrEx>
        <w:trPr>
          <w:trHeight w:val="394" w:hRule="atLeast"/>
          <w:jc w:val="center"/>
        </w:trPr>
        <w:tc>
          <w:tcPr>
            <w:tcW w:w="964" w:type="pct"/>
            <w:gridSpan w:val="2"/>
            <w:tcBorders>
              <w:top w:val="nil"/>
              <w:left w:val="single" w:color="auto" w:sz="8" w:space="0"/>
              <w:bottom w:val="single" w:color="auto" w:sz="8" w:space="0"/>
              <w:right w:val="single" w:color="auto" w:sz="8" w:space="0"/>
            </w:tcBorders>
            <w:noWrap w:val="0"/>
            <w:vAlign w:val="center"/>
          </w:tcPr>
          <w:p w14:paraId="63B2B5C6">
            <w:pPr>
              <w:widowControl/>
              <w:spacing w:before="100" w:beforeAutospacing="1" w:after="100" w:afterAutospacing="1" w:line="240" w:lineRule="atLeast"/>
              <w:jc w:val="center"/>
              <w:rPr>
                <w:rFonts w:ascii="宋体" w:hAnsi="宋体" w:cs="宋体"/>
                <w:color w:val="auto"/>
                <w:kern w:val="0"/>
                <w:szCs w:val="21"/>
                <w:highlight w:val="none"/>
              </w:rPr>
            </w:pPr>
          </w:p>
        </w:tc>
        <w:tc>
          <w:tcPr>
            <w:tcW w:w="1433" w:type="pct"/>
            <w:gridSpan w:val="2"/>
            <w:tcBorders>
              <w:top w:val="nil"/>
              <w:left w:val="nil"/>
              <w:bottom w:val="single" w:color="auto" w:sz="8" w:space="0"/>
              <w:right w:val="single" w:color="auto" w:sz="8" w:space="0"/>
            </w:tcBorders>
            <w:noWrap w:val="0"/>
            <w:vAlign w:val="center"/>
          </w:tcPr>
          <w:p w14:paraId="1D28A525">
            <w:pPr>
              <w:widowControl/>
              <w:spacing w:before="100" w:beforeAutospacing="1" w:after="100" w:afterAutospacing="1" w:line="240" w:lineRule="atLeast"/>
              <w:jc w:val="center"/>
              <w:rPr>
                <w:rFonts w:ascii="宋体" w:hAnsi="宋体" w:cs="宋体"/>
                <w:color w:val="auto"/>
                <w:kern w:val="0"/>
                <w:szCs w:val="21"/>
                <w:highlight w:val="none"/>
              </w:rPr>
            </w:pPr>
          </w:p>
        </w:tc>
        <w:tc>
          <w:tcPr>
            <w:tcW w:w="1351" w:type="pct"/>
            <w:gridSpan w:val="3"/>
            <w:tcBorders>
              <w:top w:val="nil"/>
              <w:left w:val="nil"/>
              <w:bottom w:val="single" w:color="auto" w:sz="8" w:space="0"/>
              <w:right w:val="single" w:color="auto" w:sz="8" w:space="0"/>
            </w:tcBorders>
            <w:noWrap w:val="0"/>
            <w:vAlign w:val="center"/>
          </w:tcPr>
          <w:p w14:paraId="3A1F5EB2">
            <w:pPr>
              <w:widowControl/>
              <w:spacing w:before="100" w:beforeAutospacing="1" w:after="100" w:afterAutospacing="1" w:line="240" w:lineRule="atLeast"/>
              <w:jc w:val="center"/>
              <w:rPr>
                <w:rFonts w:ascii="宋体" w:hAnsi="宋体" w:cs="宋体"/>
                <w:color w:val="auto"/>
                <w:kern w:val="0"/>
                <w:szCs w:val="21"/>
                <w:highlight w:val="none"/>
              </w:rPr>
            </w:pPr>
          </w:p>
        </w:tc>
        <w:tc>
          <w:tcPr>
            <w:tcW w:w="1251" w:type="pct"/>
            <w:gridSpan w:val="2"/>
            <w:tcBorders>
              <w:top w:val="nil"/>
              <w:left w:val="nil"/>
              <w:bottom w:val="single" w:color="auto" w:sz="8" w:space="0"/>
              <w:right w:val="single" w:color="auto" w:sz="8" w:space="0"/>
            </w:tcBorders>
            <w:noWrap w:val="0"/>
            <w:vAlign w:val="center"/>
          </w:tcPr>
          <w:p w14:paraId="0EC127BB">
            <w:pPr>
              <w:widowControl/>
              <w:spacing w:before="100" w:beforeAutospacing="1" w:after="100" w:afterAutospacing="1" w:line="240" w:lineRule="atLeast"/>
              <w:jc w:val="center"/>
              <w:rPr>
                <w:rFonts w:ascii="宋体" w:hAnsi="宋体" w:cs="宋体"/>
                <w:color w:val="auto"/>
                <w:kern w:val="0"/>
                <w:szCs w:val="21"/>
                <w:highlight w:val="none"/>
              </w:rPr>
            </w:pPr>
          </w:p>
        </w:tc>
      </w:tr>
      <w:tr w14:paraId="4ABF3992">
        <w:tblPrEx>
          <w:tblCellMar>
            <w:top w:w="0" w:type="dxa"/>
            <w:left w:w="0" w:type="dxa"/>
            <w:bottom w:w="0" w:type="dxa"/>
            <w:right w:w="0" w:type="dxa"/>
          </w:tblCellMar>
        </w:tblPrEx>
        <w:trPr>
          <w:trHeight w:val="693" w:hRule="atLeast"/>
          <w:jc w:val="center"/>
        </w:trPr>
        <w:tc>
          <w:tcPr>
            <w:tcW w:w="964" w:type="pct"/>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A1B2A20">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ascii="宋体" w:hAnsi="宋体" w:cs="宋体"/>
                <w:color w:val="auto"/>
                <w:kern w:val="0"/>
                <w:szCs w:val="21"/>
                <w:highlight w:val="none"/>
              </w:rPr>
              <w:t>验收具体内容</w:t>
            </w:r>
          </w:p>
        </w:tc>
        <w:tc>
          <w:tcPr>
            <w:tcW w:w="4036" w:type="pct"/>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B091645">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ascii="宋体" w:hAnsi="宋体" w:cs="宋体"/>
                <w:color w:val="auto"/>
                <w:kern w:val="0"/>
                <w:szCs w:val="21"/>
                <w:highlight w:val="none"/>
              </w:rPr>
              <w:t>（应按采购合同、</w:t>
            </w:r>
            <w:r>
              <w:rPr>
                <w:rFonts w:hint="eastAsia" w:ascii="宋体" w:hAnsi="宋体" w:cs="宋体"/>
                <w:color w:val="auto"/>
                <w:kern w:val="0"/>
                <w:szCs w:val="21"/>
                <w:highlight w:val="none"/>
              </w:rPr>
              <w:t>采购文件、投标</w:t>
            </w:r>
            <w:r>
              <w:rPr>
                <w:rFonts w:ascii="宋体" w:hAnsi="宋体" w:cs="宋体"/>
                <w:color w:val="auto"/>
                <w:kern w:val="0"/>
                <w:szCs w:val="21"/>
                <w:highlight w:val="none"/>
              </w:rPr>
              <w:t>响应文件及验收方案等进行验收；并核对中标</w:t>
            </w:r>
            <w:r>
              <w:rPr>
                <w:rFonts w:hint="eastAsia" w:ascii="宋体" w:hAnsi="宋体" w:cs="宋体"/>
                <w:color w:val="auto"/>
                <w:kern w:val="0"/>
                <w:szCs w:val="21"/>
                <w:highlight w:val="none"/>
              </w:rPr>
              <w:t>或者成交供应商</w:t>
            </w:r>
            <w:r>
              <w:rPr>
                <w:rFonts w:ascii="宋体" w:hAnsi="宋体" w:cs="宋体"/>
                <w:color w:val="auto"/>
                <w:kern w:val="0"/>
                <w:szCs w:val="21"/>
                <w:highlight w:val="none"/>
              </w:rPr>
              <w:t>在安装调试等方面是否违反合同约定或者服务规范要求、提供的质量保证证明材料是否齐全、应有的配件及附件是否达到合同约定等。可附件)</w:t>
            </w:r>
          </w:p>
        </w:tc>
      </w:tr>
      <w:tr w14:paraId="055DF08E">
        <w:tblPrEx>
          <w:tblCellMar>
            <w:top w:w="0" w:type="dxa"/>
            <w:left w:w="0" w:type="dxa"/>
            <w:bottom w:w="0" w:type="dxa"/>
            <w:right w:w="0" w:type="dxa"/>
          </w:tblCellMar>
        </w:tblPrEx>
        <w:trPr>
          <w:trHeight w:val="870" w:hRule="atLeast"/>
          <w:jc w:val="center"/>
        </w:trPr>
        <w:tc>
          <w:tcPr>
            <w:tcW w:w="964" w:type="pct"/>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D521BA9">
            <w:pPr>
              <w:widowControl/>
              <w:spacing w:before="100" w:beforeAutospacing="1" w:after="100" w:afterAutospacing="1" w:line="320" w:lineRule="atLeast"/>
              <w:jc w:val="left"/>
              <w:rPr>
                <w:rFonts w:ascii="宋体" w:hAnsi="宋体" w:cs="宋体"/>
                <w:color w:val="auto"/>
                <w:kern w:val="0"/>
                <w:szCs w:val="21"/>
                <w:highlight w:val="none"/>
              </w:rPr>
            </w:pPr>
            <w:r>
              <w:rPr>
                <w:rFonts w:ascii="宋体" w:hAnsi="宋体" w:cs="宋体"/>
                <w:color w:val="auto"/>
                <w:kern w:val="0"/>
                <w:szCs w:val="21"/>
                <w:highlight w:val="none"/>
              </w:rPr>
              <w:t>验收小组意见</w:t>
            </w:r>
          </w:p>
        </w:tc>
        <w:tc>
          <w:tcPr>
            <w:tcW w:w="4036" w:type="pct"/>
            <w:gridSpan w:val="7"/>
            <w:tcBorders>
              <w:top w:val="nil"/>
              <w:left w:val="nil"/>
              <w:bottom w:val="single" w:color="auto" w:sz="8" w:space="0"/>
              <w:right w:val="single" w:color="auto" w:sz="8" w:space="0"/>
            </w:tcBorders>
            <w:noWrap w:val="0"/>
            <w:vAlign w:val="center"/>
          </w:tcPr>
          <w:p w14:paraId="27324CCC">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ascii="宋体" w:hAnsi="宋体" w:cs="宋体"/>
                <w:color w:val="auto"/>
                <w:kern w:val="0"/>
                <w:szCs w:val="21"/>
                <w:highlight w:val="none"/>
              </w:rPr>
              <w:t>验收结论性意见：</w:t>
            </w:r>
          </w:p>
        </w:tc>
      </w:tr>
      <w:tr w14:paraId="2BEA8F04">
        <w:tblPrEx>
          <w:tblCellMar>
            <w:top w:w="0" w:type="dxa"/>
            <w:left w:w="0" w:type="dxa"/>
            <w:bottom w:w="0" w:type="dxa"/>
            <w:right w:w="0" w:type="dxa"/>
          </w:tblCellMar>
        </w:tblPrEx>
        <w:trPr>
          <w:trHeight w:val="607" w:hRule="atLeast"/>
          <w:jc w:val="center"/>
        </w:trPr>
        <w:tc>
          <w:tcPr>
            <w:tcW w:w="964" w:type="pct"/>
            <w:gridSpan w:val="2"/>
            <w:vMerge w:val="continue"/>
            <w:tcBorders>
              <w:top w:val="nil"/>
              <w:left w:val="single" w:color="auto" w:sz="8" w:space="0"/>
              <w:bottom w:val="single" w:color="auto" w:sz="8" w:space="0"/>
              <w:right w:val="single" w:color="auto" w:sz="8" w:space="0"/>
            </w:tcBorders>
            <w:noWrap w:val="0"/>
            <w:vAlign w:val="center"/>
          </w:tcPr>
          <w:p w14:paraId="22FE9848">
            <w:pPr>
              <w:widowControl/>
              <w:jc w:val="left"/>
              <w:rPr>
                <w:rFonts w:ascii="宋体" w:hAnsi="宋体" w:cs="宋体"/>
                <w:color w:val="auto"/>
                <w:kern w:val="0"/>
                <w:szCs w:val="21"/>
                <w:highlight w:val="none"/>
              </w:rPr>
            </w:pPr>
          </w:p>
        </w:tc>
        <w:tc>
          <w:tcPr>
            <w:tcW w:w="4036" w:type="pct"/>
            <w:gridSpan w:val="7"/>
            <w:tcBorders>
              <w:top w:val="nil"/>
              <w:left w:val="nil"/>
              <w:bottom w:val="single" w:color="auto" w:sz="8" w:space="0"/>
              <w:right w:val="single" w:color="auto" w:sz="8" w:space="0"/>
            </w:tcBorders>
            <w:noWrap w:val="0"/>
            <w:vAlign w:val="center"/>
          </w:tcPr>
          <w:p w14:paraId="3C38746B">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ascii="宋体" w:hAnsi="宋体" w:cs="宋体"/>
                <w:color w:val="auto"/>
                <w:kern w:val="0"/>
                <w:szCs w:val="21"/>
                <w:highlight w:val="none"/>
              </w:rPr>
              <w:t>有异议的意见和说明理由：</w:t>
            </w:r>
          </w:p>
          <w:p w14:paraId="2895EDA3">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ascii="宋体" w:hAnsi="宋体" w:cs="宋体"/>
                <w:color w:val="auto"/>
                <w:kern w:val="0"/>
                <w:szCs w:val="21"/>
                <w:highlight w:val="none"/>
              </w:rPr>
              <w:t>签字：</w:t>
            </w:r>
          </w:p>
        </w:tc>
      </w:tr>
      <w:tr w14:paraId="1EBF5845">
        <w:tblPrEx>
          <w:tblCellMar>
            <w:top w:w="0" w:type="dxa"/>
            <w:left w:w="0" w:type="dxa"/>
            <w:bottom w:w="0" w:type="dxa"/>
            <w:right w:w="0" w:type="dxa"/>
          </w:tblCellMar>
        </w:tblPrEx>
        <w:trPr>
          <w:trHeight w:val="507" w:hRule="atLeast"/>
          <w:jc w:val="center"/>
        </w:trPr>
        <w:tc>
          <w:tcPr>
            <w:tcW w:w="5000" w:type="pct"/>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AE79677">
            <w:pPr>
              <w:widowControl/>
              <w:spacing w:before="100" w:beforeAutospacing="1" w:after="100" w:afterAutospacing="1" w:line="320" w:lineRule="atLeast"/>
              <w:jc w:val="left"/>
              <w:rPr>
                <w:rFonts w:ascii="宋体" w:hAnsi="宋体" w:cs="宋体"/>
                <w:color w:val="auto"/>
                <w:kern w:val="0"/>
                <w:szCs w:val="21"/>
                <w:highlight w:val="none"/>
              </w:rPr>
            </w:pPr>
            <w:r>
              <w:rPr>
                <w:rFonts w:ascii="宋体" w:hAnsi="宋体" w:cs="宋体"/>
                <w:color w:val="auto"/>
                <w:kern w:val="0"/>
                <w:szCs w:val="21"/>
                <w:highlight w:val="none"/>
              </w:rPr>
              <w:t>验收小组成员签字：</w:t>
            </w:r>
          </w:p>
        </w:tc>
      </w:tr>
      <w:tr w14:paraId="62B77CD5">
        <w:tblPrEx>
          <w:tblCellMar>
            <w:top w:w="0" w:type="dxa"/>
            <w:left w:w="0" w:type="dxa"/>
            <w:bottom w:w="0" w:type="dxa"/>
            <w:right w:w="0" w:type="dxa"/>
          </w:tblCellMar>
        </w:tblPrEx>
        <w:trPr>
          <w:trHeight w:val="736" w:hRule="atLeast"/>
          <w:jc w:val="center"/>
        </w:trPr>
        <w:tc>
          <w:tcPr>
            <w:tcW w:w="5000" w:type="pct"/>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1C1631B">
            <w:pPr>
              <w:widowControl/>
              <w:spacing w:before="100" w:beforeAutospacing="1" w:after="100" w:afterAutospacing="1" w:line="320" w:lineRule="atLeast"/>
              <w:jc w:val="left"/>
              <w:rPr>
                <w:rFonts w:ascii="宋体" w:hAnsi="宋体" w:cs="宋体"/>
                <w:color w:val="auto"/>
                <w:kern w:val="0"/>
                <w:szCs w:val="21"/>
                <w:highlight w:val="none"/>
              </w:rPr>
            </w:pPr>
            <w:r>
              <w:rPr>
                <w:rFonts w:ascii="宋体" w:hAnsi="宋体" w:cs="宋体"/>
                <w:color w:val="auto"/>
                <w:kern w:val="0"/>
                <w:szCs w:val="21"/>
                <w:highlight w:val="none"/>
              </w:rPr>
              <w:t>监督人员或者其他相关人员签字：</w:t>
            </w:r>
          </w:p>
          <w:p w14:paraId="3342148A">
            <w:pPr>
              <w:widowControl/>
              <w:spacing w:before="100" w:beforeAutospacing="1" w:after="100" w:afterAutospacing="1" w:line="320" w:lineRule="atLeast"/>
              <w:ind w:firstLine="74"/>
              <w:jc w:val="left"/>
              <w:rPr>
                <w:rFonts w:ascii="宋体" w:hAnsi="宋体" w:cs="宋体"/>
                <w:color w:val="auto"/>
                <w:kern w:val="0"/>
                <w:szCs w:val="21"/>
                <w:highlight w:val="none"/>
              </w:rPr>
            </w:pPr>
            <w:r>
              <w:rPr>
                <w:rFonts w:ascii="宋体" w:hAnsi="宋体" w:cs="宋体"/>
                <w:color w:val="auto"/>
                <w:kern w:val="0"/>
                <w:szCs w:val="21"/>
                <w:highlight w:val="none"/>
              </w:rPr>
              <w:t>或者受邀机构的意见（盖章）：</w:t>
            </w:r>
          </w:p>
        </w:tc>
      </w:tr>
      <w:tr w14:paraId="7AE1144F">
        <w:tblPrEx>
          <w:tblCellMar>
            <w:top w:w="0" w:type="dxa"/>
            <w:left w:w="0" w:type="dxa"/>
            <w:bottom w:w="0" w:type="dxa"/>
            <w:right w:w="0" w:type="dxa"/>
          </w:tblCellMar>
        </w:tblPrEx>
        <w:trPr>
          <w:trHeight w:val="264" w:hRule="atLeast"/>
          <w:jc w:val="center"/>
        </w:trPr>
        <w:tc>
          <w:tcPr>
            <w:tcW w:w="2458" w:type="pct"/>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56E89552">
            <w:pPr>
              <w:widowControl/>
              <w:spacing w:before="100" w:beforeAutospacing="1" w:after="100" w:afterAutospacing="1" w:line="320" w:lineRule="atLeast"/>
              <w:jc w:val="left"/>
              <w:rPr>
                <w:rFonts w:ascii="宋体" w:hAnsi="宋体" w:cs="宋体"/>
                <w:color w:val="auto"/>
                <w:kern w:val="0"/>
                <w:szCs w:val="21"/>
                <w:highlight w:val="none"/>
              </w:rPr>
            </w:pPr>
            <w:r>
              <w:rPr>
                <w:rFonts w:ascii="宋体" w:hAnsi="宋体" w:cs="宋体"/>
                <w:color w:val="auto"/>
                <w:kern w:val="0"/>
                <w:szCs w:val="21"/>
                <w:highlight w:val="none"/>
              </w:rPr>
              <w:t>中标</w:t>
            </w:r>
            <w:r>
              <w:rPr>
                <w:rFonts w:hint="eastAsia" w:ascii="宋体" w:hAnsi="宋体" w:cs="宋体"/>
                <w:color w:val="auto"/>
                <w:kern w:val="0"/>
                <w:szCs w:val="21"/>
                <w:highlight w:val="none"/>
              </w:rPr>
              <w:t>或者成交供应商</w:t>
            </w:r>
            <w:r>
              <w:rPr>
                <w:rFonts w:ascii="宋体" w:hAnsi="宋体" w:cs="宋体"/>
                <w:color w:val="auto"/>
                <w:kern w:val="0"/>
                <w:szCs w:val="21"/>
                <w:highlight w:val="none"/>
              </w:rPr>
              <w:t>负责人签字或盖章：</w:t>
            </w:r>
          </w:p>
          <w:p w14:paraId="5875AFC9">
            <w:pPr>
              <w:widowControl/>
              <w:spacing w:before="100" w:beforeAutospacing="1" w:after="100" w:afterAutospacing="1" w:line="320" w:lineRule="atLeast"/>
              <w:jc w:val="left"/>
              <w:rPr>
                <w:rFonts w:ascii="宋体" w:hAnsi="宋体" w:cs="宋体"/>
                <w:color w:val="auto"/>
                <w:kern w:val="0"/>
                <w:szCs w:val="21"/>
                <w:highlight w:val="none"/>
              </w:rPr>
            </w:pPr>
          </w:p>
          <w:p w14:paraId="3F046BB3">
            <w:pPr>
              <w:widowControl/>
              <w:spacing w:before="100" w:beforeAutospacing="1" w:after="100" w:afterAutospacing="1" w:line="320" w:lineRule="atLeast"/>
              <w:jc w:val="left"/>
              <w:rPr>
                <w:rFonts w:ascii="宋体" w:hAnsi="宋体" w:cs="宋体"/>
                <w:color w:val="auto"/>
                <w:kern w:val="0"/>
                <w:szCs w:val="21"/>
                <w:highlight w:val="none"/>
              </w:rPr>
            </w:pPr>
            <w:r>
              <w:rPr>
                <w:rFonts w:ascii="宋体" w:hAnsi="宋体" w:cs="宋体"/>
                <w:color w:val="auto"/>
                <w:kern w:val="0"/>
                <w:szCs w:val="21"/>
                <w:highlight w:val="none"/>
              </w:rPr>
              <w:t>联系电话：</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年</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月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日</w:t>
            </w:r>
          </w:p>
        </w:tc>
        <w:tc>
          <w:tcPr>
            <w:tcW w:w="2542" w:type="pct"/>
            <w:gridSpan w:val="4"/>
            <w:tcBorders>
              <w:top w:val="nil"/>
              <w:left w:val="nil"/>
              <w:bottom w:val="single" w:color="auto" w:sz="8" w:space="0"/>
              <w:right w:val="single" w:color="auto" w:sz="8" w:space="0"/>
            </w:tcBorders>
            <w:noWrap w:val="0"/>
            <w:vAlign w:val="center"/>
          </w:tcPr>
          <w:p w14:paraId="74B74A87">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ascii="宋体" w:hAnsi="宋体" w:cs="宋体"/>
                <w:color w:val="auto"/>
                <w:kern w:val="0"/>
                <w:szCs w:val="21"/>
                <w:highlight w:val="none"/>
              </w:rPr>
              <w:t>采购人或受托机构的意见（盖章）：</w:t>
            </w:r>
          </w:p>
          <w:p w14:paraId="430DA423">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p>
          <w:p w14:paraId="3E1D0505">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ascii="宋体" w:hAnsi="宋体" w:cs="宋体"/>
                <w:color w:val="auto"/>
                <w:kern w:val="0"/>
                <w:szCs w:val="21"/>
                <w:highlight w:val="none"/>
              </w:rPr>
              <w:t>联系电话：</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年</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月</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日</w:t>
            </w:r>
          </w:p>
        </w:tc>
      </w:tr>
    </w:tbl>
    <w:p w14:paraId="1BE7F59F">
      <w:pPr>
        <w:pStyle w:val="24"/>
        <w:snapToGrid w:val="0"/>
        <w:ind w:left="3360" w:hanging="420"/>
        <w:rPr>
          <w:rFonts w:hint="eastAsia" w:hAnsi="宋体"/>
          <w:color w:val="auto"/>
          <w:highlight w:val="none"/>
        </w:rPr>
      </w:pPr>
      <w:r>
        <w:rPr>
          <w:rFonts w:hAnsi="宋体"/>
          <w:color w:val="auto"/>
          <w:highlight w:val="none"/>
        </w:rPr>
        <w:br w:type="page"/>
      </w:r>
    </w:p>
    <w:p w14:paraId="24FFD56E">
      <w:pPr>
        <w:outlineLvl w:val="2"/>
        <w:rPr>
          <w:rFonts w:hint="eastAsia" w:ascii="宋体" w:hAnsi="宋体" w:cs="宋体"/>
          <w:color w:val="auto"/>
          <w:sz w:val="24"/>
          <w:highlight w:val="none"/>
        </w:rPr>
      </w:pPr>
      <w:bookmarkStart w:id="210" w:name="_Toc22397"/>
      <w:r>
        <w:rPr>
          <w:rFonts w:hint="eastAsia" w:ascii="宋体" w:hAnsi="宋体" w:cs="宋体"/>
          <w:color w:val="auto"/>
          <w:sz w:val="24"/>
          <w:highlight w:val="none"/>
        </w:rPr>
        <w:t>附件2：政府采购项目履约保证金退付意见书</w:t>
      </w:r>
      <w:bookmarkEnd w:id="210"/>
    </w:p>
    <w:p w14:paraId="03B28E1E">
      <w:pPr>
        <w:pStyle w:val="24"/>
        <w:snapToGrid w:val="0"/>
        <w:rPr>
          <w:rFonts w:hint="eastAsia" w:ascii="黑体" w:hAnsi="黑体" w:eastAsia="黑体" w:cs="黑体"/>
          <w:color w:val="auto"/>
          <w:sz w:val="32"/>
          <w:szCs w:val="32"/>
          <w:highlight w:val="none"/>
        </w:rPr>
      </w:pPr>
    </w:p>
    <w:p w14:paraId="683A4BC7">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w:t>
      </w:r>
    </w:p>
    <w:p w14:paraId="663B27FF">
      <w:pPr>
        <w:jc w:val="center"/>
        <w:rPr>
          <w:rFonts w:hint="eastAsia" w:ascii="黑体" w:hAnsi="黑体" w:eastAsia="黑体"/>
          <w:color w:val="auto"/>
          <w:sz w:val="18"/>
          <w:szCs w:val="18"/>
          <w:highlight w:val="none"/>
        </w:rPr>
      </w:pPr>
      <w:r>
        <w:rPr>
          <w:rFonts w:hint="eastAsia" w:ascii="黑体" w:hAnsi="黑体" w:eastAsia="黑体"/>
          <w:color w:val="auto"/>
          <w:sz w:val="18"/>
          <w:szCs w:val="18"/>
          <w:highlight w:val="none"/>
        </w:rPr>
        <w:t>（本项目如有，可以参考使用）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3FC6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noWrap w:val="0"/>
            <w:vAlign w:val="center"/>
          </w:tcPr>
          <w:p w14:paraId="33A25978">
            <w:pPr>
              <w:jc w:val="center"/>
              <w:rPr>
                <w:rFonts w:hint="eastAsia"/>
                <w:color w:val="auto"/>
                <w:sz w:val="24"/>
                <w:highlight w:val="none"/>
              </w:rPr>
            </w:pPr>
            <w:r>
              <w:rPr>
                <w:rFonts w:hint="eastAsia"/>
                <w:color w:val="auto"/>
                <w:sz w:val="24"/>
                <w:highlight w:val="none"/>
              </w:rPr>
              <w:t>供</w:t>
            </w:r>
          </w:p>
          <w:p w14:paraId="25A6A05B">
            <w:pPr>
              <w:jc w:val="center"/>
              <w:rPr>
                <w:rFonts w:hint="eastAsia"/>
                <w:color w:val="auto"/>
                <w:sz w:val="24"/>
                <w:highlight w:val="none"/>
              </w:rPr>
            </w:pPr>
            <w:r>
              <w:rPr>
                <w:rFonts w:hint="eastAsia"/>
                <w:color w:val="auto"/>
                <w:sz w:val="24"/>
                <w:highlight w:val="none"/>
              </w:rPr>
              <w:t>应</w:t>
            </w:r>
          </w:p>
          <w:p w14:paraId="57EA50B4">
            <w:pPr>
              <w:jc w:val="center"/>
              <w:rPr>
                <w:rFonts w:hint="eastAsia"/>
                <w:color w:val="auto"/>
                <w:sz w:val="24"/>
                <w:highlight w:val="none"/>
              </w:rPr>
            </w:pPr>
            <w:r>
              <w:rPr>
                <w:rFonts w:hint="eastAsia"/>
                <w:color w:val="auto"/>
                <w:sz w:val="24"/>
                <w:highlight w:val="none"/>
              </w:rPr>
              <w:t>商</w:t>
            </w:r>
          </w:p>
          <w:p w14:paraId="12B46EC9">
            <w:pPr>
              <w:jc w:val="center"/>
              <w:rPr>
                <w:rFonts w:hint="eastAsia"/>
                <w:color w:val="auto"/>
                <w:sz w:val="24"/>
                <w:highlight w:val="none"/>
              </w:rPr>
            </w:pPr>
            <w:r>
              <w:rPr>
                <w:rFonts w:hint="eastAsia"/>
                <w:color w:val="auto"/>
                <w:sz w:val="24"/>
                <w:highlight w:val="none"/>
              </w:rPr>
              <w:t>申</w:t>
            </w:r>
          </w:p>
          <w:p w14:paraId="3D41CA00">
            <w:pPr>
              <w:jc w:val="center"/>
              <w:rPr>
                <w:rFonts w:hint="eastAsia"/>
                <w:color w:val="auto"/>
                <w:sz w:val="24"/>
                <w:highlight w:val="none"/>
              </w:rPr>
            </w:pPr>
            <w:r>
              <w:rPr>
                <w:rFonts w:hint="eastAsia"/>
                <w:color w:val="auto"/>
                <w:sz w:val="24"/>
                <w:highlight w:val="none"/>
              </w:rPr>
              <w:t>请</w:t>
            </w:r>
          </w:p>
        </w:tc>
        <w:tc>
          <w:tcPr>
            <w:tcW w:w="8009" w:type="dxa"/>
            <w:noWrap w:val="0"/>
            <w:vAlign w:val="center"/>
          </w:tcPr>
          <w:p w14:paraId="7E875FDD">
            <w:pPr>
              <w:rPr>
                <w:rFonts w:hint="eastAsia"/>
                <w:color w:val="auto"/>
                <w:sz w:val="24"/>
                <w:highlight w:val="none"/>
              </w:rPr>
            </w:pPr>
            <w:r>
              <w:rPr>
                <w:rFonts w:hint="eastAsia"/>
                <w:color w:val="auto"/>
                <w:sz w:val="24"/>
                <w:highlight w:val="none"/>
              </w:rPr>
              <w:t>项目编号：</w:t>
            </w:r>
          </w:p>
        </w:tc>
      </w:tr>
      <w:tr w14:paraId="1F8B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noWrap w:val="0"/>
            <w:vAlign w:val="center"/>
          </w:tcPr>
          <w:p w14:paraId="661C9C3C">
            <w:pPr>
              <w:rPr>
                <w:rFonts w:hint="eastAsia"/>
                <w:color w:val="auto"/>
                <w:sz w:val="24"/>
                <w:highlight w:val="none"/>
              </w:rPr>
            </w:pPr>
          </w:p>
        </w:tc>
        <w:tc>
          <w:tcPr>
            <w:tcW w:w="8009" w:type="dxa"/>
            <w:noWrap w:val="0"/>
            <w:vAlign w:val="center"/>
          </w:tcPr>
          <w:p w14:paraId="7D029397">
            <w:pPr>
              <w:rPr>
                <w:rFonts w:hint="eastAsia"/>
                <w:color w:val="auto"/>
                <w:sz w:val="24"/>
                <w:highlight w:val="none"/>
              </w:rPr>
            </w:pPr>
            <w:r>
              <w:rPr>
                <w:rFonts w:hint="eastAsia"/>
                <w:color w:val="auto"/>
                <w:sz w:val="24"/>
                <w:highlight w:val="none"/>
              </w:rPr>
              <w:t>项目名称：</w:t>
            </w:r>
          </w:p>
        </w:tc>
      </w:tr>
      <w:tr w14:paraId="5D47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noWrap w:val="0"/>
            <w:vAlign w:val="top"/>
          </w:tcPr>
          <w:p w14:paraId="60156B89">
            <w:pPr>
              <w:rPr>
                <w:rFonts w:hint="eastAsia"/>
                <w:color w:val="auto"/>
                <w:sz w:val="24"/>
                <w:highlight w:val="none"/>
              </w:rPr>
            </w:pPr>
          </w:p>
        </w:tc>
        <w:tc>
          <w:tcPr>
            <w:tcW w:w="8009" w:type="dxa"/>
            <w:noWrap w:val="0"/>
            <w:vAlign w:val="top"/>
          </w:tcPr>
          <w:p w14:paraId="21CD3C0C">
            <w:pPr>
              <w:rPr>
                <w:rFonts w:hint="eastAsia"/>
                <w:color w:val="auto"/>
                <w:sz w:val="24"/>
                <w:highlight w:val="none"/>
              </w:rPr>
            </w:pPr>
            <w:r>
              <w:rPr>
                <w:rFonts w:hint="eastAsia"/>
                <w:color w:val="auto"/>
                <w:sz w:val="24"/>
                <w:highlight w:val="none"/>
              </w:rPr>
              <w:t xml:space="preserve">  </w:t>
            </w:r>
          </w:p>
          <w:p w14:paraId="7FD519EB">
            <w:pPr>
              <w:ind w:firstLine="480" w:firstLineChars="200"/>
              <w:rPr>
                <w:rFonts w:hint="eastAsia"/>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2C134791">
            <w:pPr>
              <w:rPr>
                <w:rFonts w:hint="eastAsia"/>
                <w:color w:val="auto"/>
                <w:sz w:val="24"/>
                <w:highlight w:val="none"/>
              </w:rPr>
            </w:pP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（小写）退付到达以下账户。</w:t>
            </w:r>
          </w:p>
          <w:p w14:paraId="437B7D2C">
            <w:pPr>
              <w:rPr>
                <w:rFonts w:hint="eastAsia"/>
                <w:color w:val="auto"/>
                <w:sz w:val="24"/>
                <w:highlight w:val="none"/>
              </w:rPr>
            </w:pPr>
            <w:r>
              <w:rPr>
                <w:rFonts w:hint="eastAsia"/>
                <w:color w:val="auto"/>
                <w:sz w:val="24"/>
                <w:highlight w:val="none"/>
              </w:rPr>
              <w:t>单位名称：</w:t>
            </w:r>
          </w:p>
          <w:p w14:paraId="483E6268">
            <w:pPr>
              <w:rPr>
                <w:rFonts w:hint="eastAsia"/>
                <w:color w:val="auto"/>
                <w:sz w:val="24"/>
                <w:highlight w:val="none"/>
              </w:rPr>
            </w:pPr>
            <w:r>
              <w:rPr>
                <w:rFonts w:hint="eastAsia"/>
                <w:color w:val="auto"/>
                <w:sz w:val="24"/>
                <w:highlight w:val="none"/>
              </w:rPr>
              <w:t>开户银行：</w:t>
            </w:r>
          </w:p>
          <w:p w14:paraId="514AFA73">
            <w:pPr>
              <w:rPr>
                <w:rFonts w:hint="eastAsia"/>
                <w:color w:val="auto"/>
                <w:sz w:val="24"/>
                <w:highlight w:val="none"/>
              </w:rPr>
            </w:pPr>
            <w:r>
              <w:rPr>
                <w:rFonts w:hint="eastAsia"/>
                <w:color w:val="auto"/>
                <w:sz w:val="24"/>
                <w:highlight w:val="none"/>
              </w:rPr>
              <w:t>账    号：</w:t>
            </w:r>
          </w:p>
          <w:p w14:paraId="4BE6F602">
            <w:pPr>
              <w:rPr>
                <w:rFonts w:hint="eastAsia"/>
                <w:color w:val="auto"/>
                <w:sz w:val="24"/>
                <w:highlight w:val="none"/>
              </w:rPr>
            </w:pPr>
            <w:r>
              <w:rPr>
                <w:rFonts w:hint="eastAsia"/>
                <w:color w:val="auto"/>
                <w:sz w:val="24"/>
                <w:highlight w:val="none"/>
              </w:rPr>
              <w:t>联系人及电话：</w:t>
            </w:r>
          </w:p>
          <w:p w14:paraId="6CDB1E78">
            <w:pPr>
              <w:rPr>
                <w:rFonts w:hint="eastAsia"/>
                <w:color w:val="auto"/>
                <w:sz w:val="24"/>
                <w:highlight w:val="none"/>
              </w:rPr>
            </w:pPr>
          </w:p>
          <w:p w14:paraId="148F1581">
            <w:pPr>
              <w:jc w:val="center"/>
              <w:rPr>
                <w:rFonts w:hint="eastAsia"/>
                <w:color w:val="auto"/>
                <w:sz w:val="24"/>
                <w:highlight w:val="none"/>
              </w:rPr>
            </w:pPr>
            <w:r>
              <w:rPr>
                <w:rFonts w:hint="eastAsia"/>
                <w:color w:val="auto"/>
                <w:sz w:val="24"/>
                <w:highlight w:val="none"/>
              </w:rPr>
              <w:t xml:space="preserve">                           供应商公章：</w:t>
            </w:r>
          </w:p>
          <w:p w14:paraId="79543C2B">
            <w:pPr>
              <w:jc w:val="center"/>
              <w:rPr>
                <w:rFonts w:hint="eastAsia"/>
                <w:color w:val="auto"/>
                <w:sz w:val="24"/>
                <w:highlight w:val="none"/>
              </w:rPr>
            </w:pPr>
            <w:r>
              <w:rPr>
                <w:rFonts w:hint="eastAsia"/>
                <w:color w:val="auto"/>
                <w:sz w:val="24"/>
                <w:highlight w:val="none"/>
              </w:rPr>
              <w:t xml:space="preserve">                                                年    月    日</w:t>
            </w:r>
          </w:p>
        </w:tc>
      </w:tr>
      <w:tr w14:paraId="465F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noWrap w:val="0"/>
            <w:vAlign w:val="center"/>
          </w:tcPr>
          <w:p w14:paraId="79B66697">
            <w:pPr>
              <w:jc w:val="center"/>
              <w:rPr>
                <w:rFonts w:hint="eastAsia"/>
                <w:color w:val="auto"/>
                <w:sz w:val="24"/>
                <w:highlight w:val="none"/>
              </w:rPr>
            </w:pPr>
            <w:r>
              <w:rPr>
                <w:rFonts w:hint="eastAsia"/>
                <w:color w:val="auto"/>
                <w:sz w:val="24"/>
                <w:highlight w:val="none"/>
              </w:rPr>
              <w:t>采</w:t>
            </w:r>
          </w:p>
          <w:p w14:paraId="1208D34E">
            <w:pPr>
              <w:jc w:val="center"/>
              <w:rPr>
                <w:rFonts w:hint="eastAsia"/>
                <w:color w:val="auto"/>
                <w:sz w:val="24"/>
                <w:highlight w:val="none"/>
              </w:rPr>
            </w:pPr>
            <w:r>
              <w:rPr>
                <w:rFonts w:hint="eastAsia"/>
                <w:color w:val="auto"/>
                <w:sz w:val="24"/>
                <w:highlight w:val="none"/>
              </w:rPr>
              <w:t>购</w:t>
            </w:r>
          </w:p>
          <w:p w14:paraId="173D5E58">
            <w:pPr>
              <w:jc w:val="center"/>
              <w:rPr>
                <w:rFonts w:hint="eastAsia"/>
                <w:color w:val="auto"/>
                <w:sz w:val="24"/>
                <w:highlight w:val="none"/>
              </w:rPr>
            </w:pPr>
            <w:r>
              <w:rPr>
                <w:rFonts w:hint="eastAsia"/>
                <w:color w:val="auto"/>
                <w:sz w:val="24"/>
                <w:highlight w:val="none"/>
              </w:rPr>
              <w:t>单</w:t>
            </w:r>
          </w:p>
          <w:p w14:paraId="1761CA7F">
            <w:pPr>
              <w:jc w:val="center"/>
              <w:rPr>
                <w:rFonts w:hint="eastAsia"/>
                <w:color w:val="auto"/>
                <w:sz w:val="24"/>
                <w:highlight w:val="none"/>
              </w:rPr>
            </w:pPr>
            <w:r>
              <w:rPr>
                <w:rFonts w:hint="eastAsia"/>
                <w:color w:val="auto"/>
                <w:sz w:val="24"/>
                <w:highlight w:val="none"/>
              </w:rPr>
              <w:t>位</w:t>
            </w:r>
          </w:p>
          <w:p w14:paraId="14472781">
            <w:pPr>
              <w:jc w:val="center"/>
              <w:rPr>
                <w:rFonts w:hint="eastAsia"/>
                <w:color w:val="auto"/>
                <w:sz w:val="24"/>
                <w:highlight w:val="none"/>
              </w:rPr>
            </w:pPr>
            <w:r>
              <w:rPr>
                <w:rFonts w:hint="eastAsia"/>
                <w:color w:val="auto"/>
                <w:sz w:val="24"/>
                <w:highlight w:val="none"/>
              </w:rPr>
              <w:t>意</w:t>
            </w:r>
          </w:p>
          <w:p w14:paraId="2C48CB53">
            <w:pPr>
              <w:jc w:val="center"/>
              <w:rPr>
                <w:rFonts w:hint="eastAsia"/>
                <w:color w:val="auto"/>
                <w:sz w:val="24"/>
                <w:highlight w:val="none"/>
              </w:rPr>
            </w:pPr>
            <w:r>
              <w:rPr>
                <w:rFonts w:hint="eastAsia"/>
                <w:color w:val="auto"/>
                <w:sz w:val="24"/>
                <w:highlight w:val="none"/>
              </w:rPr>
              <w:t>见</w:t>
            </w:r>
          </w:p>
        </w:tc>
        <w:tc>
          <w:tcPr>
            <w:tcW w:w="8009" w:type="dxa"/>
            <w:noWrap w:val="0"/>
            <w:vAlign w:val="top"/>
          </w:tcPr>
          <w:p w14:paraId="229C54E1">
            <w:pPr>
              <w:rPr>
                <w:rFonts w:hint="eastAsia"/>
                <w:color w:val="auto"/>
                <w:sz w:val="24"/>
                <w:highlight w:val="none"/>
              </w:rPr>
            </w:pPr>
          </w:p>
          <w:p w14:paraId="0EB6B409">
            <w:pPr>
              <w:rPr>
                <w:rFonts w:hint="eastAsia"/>
                <w:color w:val="auto"/>
                <w:sz w:val="24"/>
                <w:highlight w:val="none"/>
              </w:rPr>
            </w:pPr>
            <w:r>
              <w:rPr>
                <w:rFonts w:hint="eastAsia"/>
                <w:color w:val="auto"/>
                <w:sz w:val="24"/>
                <w:highlight w:val="none"/>
              </w:rPr>
              <w:t>退付意见：是否同意退付履约保证金及退付金额：</w:t>
            </w:r>
          </w:p>
          <w:p w14:paraId="5160AC36">
            <w:pPr>
              <w:rPr>
                <w:rFonts w:hint="eastAsia"/>
                <w:color w:val="auto"/>
                <w:sz w:val="24"/>
                <w:highlight w:val="none"/>
              </w:rPr>
            </w:pPr>
          </w:p>
          <w:p w14:paraId="400A5E62">
            <w:pPr>
              <w:rPr>
                <w:rFonts w:hint="eastAsia"/>
                <w:color w:val="auto"/>
                <w:sz w:val="24"/>
                <w:highlight w:val="none"/>
              </w:rPr>
            </w:pPr>
          </w:p>
          <w:p w14:paraId="177AFFC6">
            <w:pPr>
              <w:rPr>
                <w:rFonts w:hint="eastAsia"/>
                <w:color w:val="auto"/>
                <w:sz w:val="24"/>
                <w:highlight w:val="none"/>
              </w:rPr>
            </w:pPr>
            <w:r>
              <w:rPr>
                <w:rFonts w:hint="eastAsia"/>
                <w:color w:val="auto"/>
                <w:sz w:val="24"/>
                <w:highlight w:val="none"/>
              </w:rPr>
              <w:t xml:space="preserve">联系人及电话：                                </w:t>
            </w:r>
          </w:p>
          <w:p w14:paraId="26E99441">
            <w:pPr>
              <w:rPr>
                <w:rFonts w:hint="eastAsia"/>
                <w:color w:val="auto"/>
                <w:sz w:val="24"/>
                <w:highlight w:val="none"/>
              </w:rPr>
            </w:pPr>
          </w:p>
          <w:p w14:paraId="4FD520D4">
            <w:pPr>
              <w:ind w:firstLine="4560" w:firstLineChars="1900"/>
              <w:rPr>
                <w:rFonts w:hint="eastAsia"/>
                <w:color w:val="auto"/>
                <w:sz w:val="24"/>
                <w:highlight w:val="none"/>
              </w:rPr>
            </w:pPr>
            <w:r>
              <w:rPr>
                <w:rFonts w:hint="eastAsia"/>
                <w:color w:val="auto"/>
                <w:sz w:val="24"/>
                <w:highlight w:val="none"/>
              </w:rPr>
              <w:t xml:space="preserve"> 采购单位公章：</w:t>
            </w:r>
          </w:p>
          <w:p w14:paraId="3D68661C">
            <w:pPr>
              <w:jc w:val="center"/>
              <w:rPr>
                <w:rFonts w:hint="eastAsia"/>
                <w:color w:val="auto"/>
                <w:sz w:val="24"/>
                <w:highlight w:val="none"/>
              </w:rPr>
            </w:pPr>
            <w:r>
              <w:rPr>
                <w:rFonts w:hint="eastAsia"/>
                <w:color w:val="auto"/>
                <w:sz w:val="24"/>
                <w:highlight w:val="none"/>
              </w:rPr>
              <w:t xml:space="preserve">                                                年    月    日</w:t>
            </w:r>
          </w:p>
        </w:tc>
      </w:tr>
      <w:tr w14:paraId="0E0B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noWrap w:val="0"/>
            <w:vAlign w:val="center"/>
          </w:tcPr>
          <w:p w14:paraId="2CB519BA">
            <w:pPr>
              <w:jc w:val="center"/>
              <w:rPr>
                <w:rFonts w:hint="eastAsia"/>
                <w:color w:val="auto"/>
                <w:sz w:val="24"/>
                <w:highlight w:val="none"/>
              </w:rPr>
            </w:pPr>
            <w:r>
              <w:rPr>
                <w:rFonts w:hint="eastAsia"/>
                <w:color w:val="auto"/>
                <w:sz w:val="24"/>
                <w:highlight w:val="none"/>
              </w:rPr>
              <w:t>财</w:t>
            </w:r>
          </w:p>
          <w:p w14:paraId="3E07A04B">
            <w:pPr>
              <w:jc w:val="center"/>
              <w:rPr>
                <w:rFonts w:hint="eastAsia"/>
                <w:color w:val="auto"/>
                <w:sz w:val="24"/>
                <w:highlight w:val="none"/>
              </w:rPr>
            </w:pPr>
            <w:r>
              <w:rPr>
                <w:rFonts w:hint="eastAsia"/>
                <w:color w:val="auto"/>
                <w:sz w:val="24"/>
                <w:highlight w:val="none"/>
              </w:rPr>
              <w:t>务</w:t>
            </w:r>
          </w:p>
          <w:p w14:paraId="2946532D">
            <w:pPr>
              <w:jc w:val="center"/>
              <w:rPr>
                <w:rFonts w:hint="eastAsia"/>
                <w:color w:val="auto"/>
                <w:sz w:val="24"/>
                <w:highlight w:val="none"/>
              </w:rPr>
            </w:pPr>
            <w:r>
              <w:rPr>
                <w:rFonts w:hint="eastAsia"/>
                <w:color w:val="auto"/>
                <w:sz w:val="24"/>
                <w:highlight w:val="none"/>
              </w:rPr>
              <w:t>部</w:t>
            </w:r>
          </w:p>
          <w:p w14:paraId="3C45A6B3">
            <w:pPr>
              <w:jc w:val="center"/>
              <w:rPr>
                <w:rFonts w:hint="eastAsia"/>
                <w:color w:val="auto"/>
                <w:sz w:val="24"/>
                <w:highlight w:val="none"/>
              </w:rPr>
            </w:pPr>
            <w:r>
              <w:rPr>
                <w:rFonts w:hint="eastAsia"/>
                <w:color w:val="auto"/>
                <w:sz w:val="24"/>
                <w:highlight w:val="none"/>
              </w:rPr>
              <w:t>门</w:t>
            </w:r>
          </w:p>
          <w:p w14:paraId="76FED52B">
            <w:pPr>
              <w:jc w:val="center"/>
              <w:rPr>
                <w:rFonts w:hint="eastAsia"/>
                <w:color w:val="auto"/>
                <w:sz w:val="24"/>
                <w:highlight w:val="none"/>
              </w:rPr>
            </w:pPr>
            <w:r>
              <w:rPr>
                <w:rFonts w:hint="eastAsia"/>
                <w:color w:val="auto"/>
                <w:sz w:val="24"/>
                <w:highlight w:val="none"/>
              </w:rPr>
              <w:t>意</w:t>
            </w:r>
          </w:p>
          <w:p w14:paraId="2FCEEA49">
            <w:pPr>
              <w:jc w:val="center"/>
              <w:rPr>
                <w:rFonts w:hint="eastAsia"/>
                <w:color w:val="auto"/>
                <w:sz w:val="24"/>
                <w:highlight w:val="none"/>
              </w:rPr>
            </w:pPr>
            <w:r>
              <w:rPr>
                <w:rFonts w:hint="eastAsia"/>
                <w:color w:val="auto"/>
                <w:sz w:val="24"/>
                <w:highlight w:val="none"/>
              </w:rPr>
              <w:t>见</w:t>
            </w:r>
          </w:p>
        </w:tc>
        <w:tc>
          <w:tcPr>
            <w:tcW w:w="8009" w:type="dxa"/>
            <w:noWrap w:val="0"/>
            <w:vAlign w:val="top"/>
          </w:tcPr>
          <w:p w14:paraId="3C66DAE1">
            <w:pPr>
              <w:rPr>
                <w:rFonts w:hint="eastAsia"/>
                <w:color w:val="auto"/>
                <w:sz w:val="24"/>
                <w:highlight w:val="none"/>
              </w:rPr>
            </w:pPr>
            <w:r>
              <w:rPr>
                <w:rFonts w:hint="eastAsia"/>
                <w:color w:val="auto"/>
                <w:sz w:val="24"/>
                <w:highlight w:val="none"/>
              </w:rPr>
              <w:t>此表于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日收到。</w:t>
            </w:r>
          </w:p>
          <w:p w14:paraId="04D060CD">
            <w:pPr>
              <w:rPr>
                <w:rFonts w:hint="eastAsia"/>
                <w:color w:val="auto"/>
                <w:sz w:val="24"/>
                <w:highlight w:val="none"/>
              </w:rPr>
            </w:pPr>
          </w:p>
          <w:p w14:paraId="7AF4CCE3">
            <w:pPr>
              <w:rPr>
                <w:rFonts w:hint="eastAsia"/>
                <w:color w:val="auto"/>
                <w:sz w:val="24"/>
                <w:highlight w:val="none"/>
              </w:rPr>
            </w:pPr>
            <w:r>
              <w:rPr>
                <w:rFonts w:hint="eastAsia"/>
                <w:color w:val="auto"/>
                <w:sz w:val="24"/>
                <w:highlight w:val="none"/>
              </w:rPr>
              <w:t>会计审核：</w:t>
            </w:r>
          </w:p>
          <w:p w14:paraId="254CC70E">
            <w:pPr>
              <w:rPr>
                <w:rFonts w:hint="eastAsia"/>
                <w:color w:val="auto"/>
                <w:sz w:val="24"/>
                <w:highlight w:val="none"/>
              </w:rPr>
            </w:pPr>
          </w:p>
          <w:p w14:paraId="43B33224">
            <w:pPr>
              <w:rPr>
                <w:rFonts w:hint="eastAsia"/>
                <w:color w:val="auto"/>
                <w:sz w:val="24"/>
                <w:highlight w:val="none"/>
              </w:rPr>
            </w:pPr>
            <w:r>
              <w:rPr>
                <w:rFonts w:hint="eastAsia"/>
                <w:color w:val="auto"/>
                <w:sz w:val="24"/>
                <w:highlight w:val="none"/>
              </w:rPr>
              <w:t>财务负责人审核：</w:t>
            </w:r>
          </w:p>
          <w:p w14:paraId="45AB2C72">
            <w:pPr>
              <w:rPr>
                <w:rFonts w:hint="eastAsia"/>
                <w:color w:val="auto"/>
                <w:sz w:val="24"/>
                <w:highlight w:val="none"/>
              </w:rPr>
            </w:pPr>
          </w:p>
          <w:p w14:paraId="5A83CD44">
            <w:pPr>
              <w:rPr>
                <w:rFonts w:hint="eastAsia"/>
                <w:color w:val="auto"/>
                <w:sz w:val="24"/>
                <w:highlight w:val="none"/>
              </w:rPr>
            </w:pPr>
            <w:r>
              <w:rPr>
                <w:rFonts w:hint="eastAsia"/>
                <w:color w:val="auto"/>
                <w:sz w:val="24"/>
                <w:highlight w:val="none"/>
              </w:rPr>
              <w:t>单位负责人签字：</w:t>
            </w:r>
          </w:p>
          <w:p w14:paraId="0C866EB1">
            <w:pPr>
              <w:rPr>
                <w:rFonts w:hint="eastAsia"/>
                <w:color w:val="auto"/>
                <w:sz w:val="24"/>
                <w:highlight w:val="none"/>
              </w:rPr>
            </w:pPr>
          </w:p>
          <w:p w14:paraId="064821E4">
            <w:pPr>
              <w:rPr>
                <w:rFonts w:hint="eastAsia"/>
                <w:color w:val="auto"/>
                <w:sz w:val="24"/>
                <w:highlight w:val="none"/>
              </w:rPr>
            </w:pPr>
            <w:r>
              <w:rPr>
                <w:rFonts w:hint="eastAsia"/>
                <w:color w:val="auto"/>
                <w:sz w:val="24"/>
                <w:highlight w:val="none"/>
              </w:rPr>
              <w:t>出纳办理转账日期：</w:t>
            </w:r>
          </w:p>
        </w:tc>
      </w:tr>
    </w:tbl>
    <w:p w14:paraId="4BDE7B1A">
      <w:pPr>
        <w:pStyle w:val="18"/>
        <w:ind w:left="420" w:leftChars="114" w:hanging="181" w:hangingChars="100"/>
        <w:rPr>
          <w:rFonts w:hint="eastAsia" w:hAnsi="宋体"/>
          <w:color w:val="auto"/>
          <w:highlight w:val="none"/>
        </w:rPr>
      </w:pPr>
      <w:r>
        <w:rPr>
          <w:rFonts w:hint="eastAsia" w:ascii="宋体"/>
          <w:b/>
          <w:bCs/>
          <w:color w:val="auto"/>
          <w:sz w:val="18"/>
          <w:szCs w:val="18"/>
          <w:highlight w:val="none"/>
        </w:rPr>
        <w:t>注：供应商凭经采购单位审批的退付意见书到履约保证金收取单位财务部门办理履约保证金退付事宜。</w:t>
      </w:r>
    </w:p>
    <w:p w14:paraId="693ED9D5">
      <w:pPr>
        <w:spacing w:line="520" w:lineRule="exact"/>
        <w:rPr>
          <w:rFonts w:ascii="宋体" w:hAnsi="宋体"/>
          <w:bCs/>
          <w:color w:val="auto"/>
          <w:sz w:val="32"/>
          <w:szCs w:val="32"/>
          <w:highlight w:val="none"/>
        </w:rPr>
      </w:pPr>
      <w:r>
        <w:rPr>
          <w:rFonts w:hAnsi="宋体"/>
          <w:color w:val="auto"/>
          <w:highlight w:val="none"/>
        </w:rPr>
        <w:br w:type="page"/>
      </w:r>
    </w:p>
    <w:p w14:paraId="12861180">
      <w:pPr>
        <w:pStyle w:val="2"/>
        <w:jc w:val="center"/>
        <w:rPr>
          <w:rFonts w:hint="eastAsia"/>
          <w:color w:val="auto"/>
          <w:highlight w:val="none"/>
        </w:rPr>
      </w:pPr>
      <w:bookmarkStart w:id="211" w:name="_Toc2278"/>
      <w:bookmarkStart w:id="212" w:name="_Toc22405"/>
      <w:r>
        <w:rPr>
          <w:rFonts w:hint="eastAsia"/>
          <w:color w:val="auto"/>
          <w:highlight w:val="none"/>
        </w:rPr>
        <w:t>第六章　投标文件格式</w:t>
      </w:r>
      <w:bookmarkEnd w:id="211"/>
      <w:bookmarkEnd w:id="212"/>
    </w:p>
    <w:p w14:paraId="320777F1">
      <w:pPr>
        <w:snapToGrid w:val="0"/>
        <w:spacing w:before="50" w:after="50"/>
        <w:outlineLvl w:val="1"/>
        <w:rPr>
          <w:rFonts w:hint="eastAsia"/>
          <w:b/>
          <w:color w:val="auto"/>
          <w:sz w:val="28"/>
          <w:szCs w:val="28"/>
          <w:highlight w:val="none"/>
        </w:rPr>
      </w:pPr>
      <w:bookmarkStart w:id="213" w:name="_Toc4775"/>
      <w:bookmarkStart w:id="214" w:name="_Toc27651"/>
      <w:bookmarkStart w:id="215" w:name="_Toc19686836"/>
      <w:bookmarkStart w:id="216" w:name="_Toc254970698"/>
      <w:bookmarkStart w:id="217" w:name="_Toc254970557"/>
      <w:r>
        <w:rPr>
          <w:rFonts w:hint="eastAsia"/>
          <w:b/>
          <w:color w:val="auto"/>
          <w:sz w:val="28"/>
          <w:szCs w:val="28"/>
          <w:highlight w:val="none"/>
        </w:rPr>
        <w:t>一、报价文件格式</w:t>
      </w:r>
      <w:bookmarkEnd w:id="213"/>
      <w:bookmarkEnd w:id="214"/>
      <w:bookmarkEnd w:id="215"/>
    </w:p>
    <w:p w14:paraId="33337727">
      <w:pPr>
        <w:snapToGrid w:val="0"/>
        <w:spacing w:before="120" w:beforeLines="50" w:after="50" w:line="360" w:lineRule="auto"/>
        <w:ind w:left="142"/>
        <w:jc w:val="left"/>
        <w:outlineLvl w:val="2"/>
        <w:rPr>
          <w:rFonts w:hint="eastAsia" w:ascii="宋体" w:hAnsi="宋体"/>
          <w:b/>
          <w:color w:val="auto"/>
          <w:sz w:val="24"/>
          <w:highlight w:val="none"/>
        </w:rPr>
      </w:pPr>
      <w:bookmarkStart w:id="218" w:name="_Toc18754"/>
      <w:r>
        <w:rPr>
          <w:rFonts w:hint="eastAsia" w:ascii="宋体" w:hAnsi="宋体"/>
          <w:b/>
          <w:color w:val="auto"/>
          <w:sz w:val="24"/>
          <w:highlight w:val="none"/>
        </w:rPr>
        <w:t>报价文件封面格式</w:t>
      </w:r>
      <w:bookmarkEnd w:id="218"/>
      <w:r>
        <w:rPr>
          <w:rFonts w:hint="eastAsia" w:ascii="宋体" w:hAnsi="宋体"/>
          <w:b/>
          <w:color w:val="auto"/>
          <w:sz w:val="24"/>
          <w:highlight w:val="none"/>
        </w:rPr>
        <w:t xml:space="preserve"> </w:t>
      </w:r>
    </w:p>
    <w:p w14:paraId="7E79494C">
      <w:pPr>
        <w:snapToGrid w:val="0"/>
        <w:spacing w:before="120" w:beforeLines="50" w:after="50" w:line="360" w:lineRule="auto"/>
        <w:ind w:left="142"/>
        <w:jc w:val="center"/>
        <w:rPr>
          <w:rFonts w:hint="eastAsia" w:ascii="黑体" w:hAnsi="黑体" w:eastAsia="黑体" w:cs="黑体"/>
          <w:bCs/>
          <w:color w:val="auto"/>
          <w:sz w:val="48"/>
          <w:szCs w:val="48"/>
          <w:highlight w:val="none"/>
        </w:rPr>
      </w:pPr>
    </w:p>
    <w:p w14:paraId="687D4FFE">
      <w:pPr>
        <w:snapToGrid w:val="0"/>
        <w:spacing w:before="120" w:beforeLines="50" w:after="50" w:line="360" w:lineRule="auto"/>
        <w:ind w:left="142"/>
        <w:jc w:val="center"/>
        <w:rPr>
          <w:rFonts w:hint="eastAsia" w:ascii="黑体" w:hAnsi="黑体" w:eastAsia="黑体" w:cs="黑体"/>
          <w:bCs/>
          <w:color w:val="auto"/>
          <w:sz w:val="48"/>
          <w:szCs w:val="48"/>
          <w:highlight w:val="none"/>
        </w:rPr>
      </w:pPr>
    </w:p>
    <w:p w14:paraId="42DF1076">
      <w:pPr>
        <w:snapToGrid w:val="0"/>
        <w:spacing w:before="120" w:beforeLines="50" w:after="50" w:line="360" w:lineRule="auto"/>
        <w:ind w:left="142"/>
        <w:jc w:val="center"/>
        <w:rPr>
          <w:rFonts w:hint="eastAsia" w:ascii="黑体" w:hAnsi="黑体" w:eastAsia="黑体" w:cs="黑体"/>
          <w:bCs/>
          <w:color w:val="auto"/>
          <w:sz w:val="48"/>
          <w:szCs w:val="48"/>
          <w:highlight w:val="none"/>
        </w:rPr>
      </w:pPr>
      <w:r>
        <w:rPr>
          <w:rFonts w:hint="eastAsia" w:ascii="黑体" w:hAnsi="黑体" w:eastAsia="黑体" w:cs="黑体"/>
          <w:bCs/>
          <w:color w:val="auto"/>
          <w:sz w:val="48"/>
          <w:szCs w:val="48"/>
          <w:highlight w:val="none"/>
        </w:rPr>
        <w:t>电子投标文件</w:t>
      </w:r>
    </w:p>
    <w:p w14:paraId="6B35E8D6">
      <w:pPr>
        <w:snapToGrid w:val="0"/>
        <w:spacing w:before="120" w:beforeLines="50" w:after="50" w:line="400" w:lineRule="exact"/>
        <w:jc w:val="left"/>
        <w:rPr>
          <w:rFonts w:hint="eastAsia" w:ascii="黑体" w:hAnsi="黑体" w:eastAsia="黑体" w:cs="黑体"/>
          <w:bCs/>
          <w:color w:val="auto"/>
          <w:sz w:val="48"/>
          <w:szCs w:val="48"/>
          <w:highlight w:val="none"/>
        </w:rPr>
      </w:pPr>
    </w:p>
    <w:p w14:paraId="602CBEE1">
      <w:pPr>
        <w:snapToGrid w:val="0"/>
        <w:spacing w:before="120" w:beforeLines="50" w:after="50" w:line="400" w:lineRule="exact"/>
        <w:jc w:val="center"/>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报  价  文  件</w:t>
      </w:r>
    </w:p>
    <w:p w14:paraId="708726EB">
      <w:pPr>
        <w:snapToGrid w:val="0"/>
        <w:spacing w:before="120" w:beforeLines="50" w:after="50" w:line="400" w:lineRule="exact"/>
        <w:rPr>
          <w:rFonts w:hint="eastAsia" w:ascii="宋体" w:hAnsi="宋体"/>
          <w:bCs/>
          <w:color w:val="auto"/>
          <w:sz w:val="24"/>
          <w:szCs w:val="20"/>
          <w:highlight w:val="none"/>
        </w:rPr>
      </w:pPr>
    </w:p>
    <w:p w14:paraId="065BBC8F">
      <w:pPr>
        <w:snapToGrid w:val="0"/>
        <w:spacing w:before="120" w:beforeLines="50" w:after="50" w:line="400" w:lineRule="exact"/>
        <w:rPr>
          <w:rFonts w:hint="eastAsia" w:ascii="宋体" w:hAnsi="宋体"/>
          <w:bCs/>
          <w:color w:val="auto"/>
          <w:sz w:val="24"/>
          <w:szCs w:val="20"/>
          <w:highlight w:val="none"/>
        </w:rPr>
      </w:pPr>
    </w:p>
    <w:p w14:paraId="70282A13">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0A871896">
      <w:pPr>
        <w:snapToGrid w:val="0"/>
        <w:spacing w:before="120" w:beforeLines="50" w:after="50" w:line="400" w:lineRule="exact"/>
        <w:ind w:firstLine="360" w:firstLineChars="150"/>
        <w:rPr>
          <w:rFonts w:hint="eastAsia" w:ascii="宋体" w:hAnsi="宋体"/>
          <w:bCs/>
          <w:color w:val="auto"/>
          <w:sz w:val="24"/>
          <w:highlight w:val="none"/>
        </w:rPr>
      </w:pPr>
    </w:p>
    <w:p w14:paraId="1278E788">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674E35F2">
      <w:pPr>
        <w:snapToGrid w:val="0"/>
        <w:spacing w:before="120" w:beforeLines="50" w:after="50" w:line="400" w:lineRule="exact"/>
        <w:ind w:firstLine="360" w:firstLineChars="150"/>
        <w:rPr>
          <w:rFonts w:hint="eastAsia" w:ascii="宋体" w:hAnsi="宋体"/>
          <w:bCs/>
          <w:color w:val="auto"/>
          <w:sz w:val="24"/>
          <w:highlight w:val="none"/>
        </w:rPr>
      </w:pPr>
    </w:p>
    <w:p w14:paraId="2770123C">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464AF8B2">
      <w:pPr>
        <w:snapToGrid w:val="0"/>
        <w:spacing w:before="120" w:beforeLines="50" w:after="50" w:line="400" w:lineRule="exact"/>
        <w:ind w:firstLine="360" w:firstLineChars="150"/>
        <w:rPr>
          <w:rFonts w:hint="eastAsia" w:ascii="宋体" w:hAnsi="宋体"/>
          <w:bCs/>
          <w:color w:val="auto"/>
          <w:sz w:val="24"/>
          <w:highlight w:val="none"/>
        </w:rPr>
      </w:pPr>
    </w:p>
    <w:p w14:paraId="2B281D29">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71A9CC9D">
      <w:pPr>
        <w:snapToGrid w:val="0"/>
        <w:spacing w:before="120" w:beforeLines="50" w:after="50" w:line="400" w:lineRule="exact"/>
        <w:ind w:firstLine="360" w:firstLineChars="150"/>
        <w:rPr>
          <w:rFonts w:hint="eastAsia" w:ascii="宋体" w:hAnsi="宋体"/>
          <w:bCs/>
          <w:color w:val="auto"/>
          <w:sz w:val="24"/>
          <w:highlight w:val="none"/>
        </w:rPr>
      </w:pPr>
    </w:p>
    <w:p w14:paraId="7841621D">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7A186305">
      <w:pPr>
        <w:pStyle w:val="7"/>
        <w:snapToGrid w:val="0"/>
        <w:spacing w:before="50" w:after="50" w:line="400" w:lineRule="exact"/>
        <w:ind w:firstLine="960" w:firstLineChars="400"/>
        <w:rPr>
          <w:rFonts w:hint="eastAsia" w:ascii="宋体" w:hAnsi="宋体"/>
          <w:bCs/>
          <w:color w:val="auto"/>
          <w:sz w:val="24"/>
          <w:szCs w:val="24"/>
          <w:highlight w:val="none"/>
        </w:rPr>
      </w:pPr>
    </w:p>
    <w:p w14:paraId="679FD4B0">
      <w:pPr>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14:paraId="5F668822">
      <w:pPr>
        <w:snapToGrid w:val="0"/>
        <w:spacing w:before="120" w:beforeLines="50" w:after="50" w:line="360" w:lineRule="auto"/>
        <w:jc w:val="left"/>
        <w:outlineLvl w:val="2"/>
        <w:rPr>
          <w:rFonts w:hint="eastAsia" w:ascii="宋体" w:hAnsi="宋体"/>
          <w:color w:val="auto"/>
          <w:sz w:val="24"/>
          <w:szCs w:val="20"/>
          <w:highlight w:val="none"/>
        </w:rPr>
      </w:pPr>
      <w:r>
        <w:rPr>
          <w:rFonts w:ascii="宋体" w:hAnsi="宋体"/>
          <w:b/>
          <w:color w:val="auto"/>
          <w:sz w:val="24"/>
          <w:highlight w:val="none"/>
        </w:rPr>
        <w:br w:type="page"/>
      </w:r>
      <w:bookmarkStart w:id="219" w:name="_Toc24673"/>
      <w:r>
        <w:rPr>
          <w:rFonts w:hint="eastAsia" w:ascii="宋体" w:hAnsi="宋体"/>
          <w:b/>
          <w:bCs/>
          <w:color w:val="auto"/>
          <w:sz w:val="24"/>
          <w:highlight w:val="none"/>
        </w:rPr>
        <w:t>报价文件目录</w:t>
      </w:r>
      <w:bookmarkEnd w:id="219"/>
    </w:p>
    <w:p w14:paraId="5E360955">
      <w:pPr>
        <w:snapToGrid w:val="0"/>
        <w:spacing w:before="50" w:after="120" w:afterLines="50" w:line="360" w:lineRule="auto"/>
        <w:jc w:val="left"/>
        <w:rPr>
          <w:rFonts w:hint="eastAsia" w:ascii="宋体" w:hAnsi="宋体"/>
          <w:b/>
          <w:bCs/>
          <w:color w:val="auto"/>
          <w:sz w:val="24"/>
          <w:szCs w:val="24"/>
          <w:highlight w:val="none"/>
        </w:rPr>
      </w:pPr>
      <w:r>
        <w:rPr>
          <w:rFonts w:hint="eastAsia" w:ascii="宋体" w:hAnsi="宋体"/>
          <w:b/>
          <w:bCs/>
          <w:color w:val="auto"/>
          <w:sz w:val="24"/>
          <w:szCs w:val="24"/>
          <w:highlight w:val="none"/>
        </w:rPr>
        <w:t>（根据招标文件第三章“投标人须知前附表”第13条</w:t>
      </w:r>
      <w:r>
        <w:rPr>
          <w:rFonts w:hint="eastAsia" w:ascii="宋体" w:hAnsi="宋体"/>
          <w:b/>
          <w:bCs/>
          <w:color w:val="auto"/>
          <w:sz w:val="24"/>
          <w:szCs w:val="24"/>
          <w:highlight w:val="none"/>
          <w:u w:val="single"/>
          <w:lang w:val="en-US" w:eastAsia="zh-CN"/>
        </w:rPr>
        <w:t>“投标文件的组成</w:t>
      </w:r>
      <w:r>
        <w:rPr>
          <w:rFonts w:hint="default" w:ascii="宋体" w:hAnsi="宋体"/>
          <w:b/>
          <w:bCs/>
          <w:color w:val="auto"/>
          <w:sz w:val="24"/>
          <w:szCs w:val="24"/>
          <w:highlight w:val="none"/>
          <w:u w:val="single"/>
          <w:lang w:val="en-US" w:eastAsia="zh-CN"/>
        </w:rPr>
        <w:t>”</w:t>
      </w:r>
      <w:r>
        <w:rPr>
          <w:rFonts w:hint="eastAsia" w:ascii="宋体" w:hAnsi="宋体"/>
          <w:b/>
          <w:bCs/>
          <w:color w:val="auto"/>
          <w:sz w:val="24"/>
          <w:szCs w:val="24"/>
          <w:highlight w:val="none"/>
        </w:rPr>
        <w:t>规定及投标人提供的材料自行编写目录</w:t>
      </w:r>
      <w:r>
        <w:rPr>
          <w:rFonts w:hint="eastAsia" w:ascii="宋体" w:hAnsi="宋体"/>
          <w:b/>
          <w:bCs/>
          <w:color w:val="auto"/>
          <w:sz w:val="24"/>
          <w:szCs w:val="24"/>
          <w:highlight w:val="none"/>
          <w:u w:val="single"/>
          <w:lang w:val="en-US" w:eastAsia="zh-CN"/>
        </w:rPr>
        <w:t>及页码</w:t>
      </w:r>
      <w:r>
        <w:rPr>
          <w:rFonts w:hint="eastAsia" w:ascii="宋体" w:hAnsi="宋体"/>
          <w:b/>
          <w:bCs/>
          <w:color w:val="auto"/>
          <w:sz w:val="24"/>
          <w:szCs w:val="24"/>
          <w:highlight w:val="none"/>
        </w:rPr>
        <w:t>）</w:t>
      </w:r>
    </w:p>
    <w:p w14:paraId="1B4A5C79">
      <w:pPr>
        <w:tabs>
          <w:tab w:val="left" w:pos="459"/>
        </w:tabs>
        <w:snapToGrid w:val="0"/>
        <w:spacing w:line="400" w:lineRule="exact"/>
        <w:ind w:left="420"/>
        <w:jc w:val="left"/>
        <w:rPr>
          <w:rFonts w:hint="eastAsia" w:ascii="宋体" w:hAnsi="宋体"/>
          <w:color w:val="auto"/>
          <w:sz w:val="24"/>
          <w:szCs w:val="24"/>
          <w:highlight w:val="none"/>
        </w:rPr>
      </w:pPr>
      <w:r>
        <w:rPr>
          <w:rFonts w:hint="eastAsia" w:ascii="宋体" w:hAnsi="宋体"/>
          <w:color w:val="auto"/>
          <w:sz w:val="24"/>
          <w:szCs w:val="24"/>
          <w:highlight w:val="none"/>
        </w:rPr>
        <w:t>1.投标函</w:t>
      </w:r>
    </w:p>
    <w:p w14:paraId="7A8D83A8">
      <w:pPr>
        <w:tabs>
          <w:tab w:val="left" w:pos="0"/>
        </w:tabs>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2.开标一览表</w:t>
      </w:r>
    </w:p>
    <w:p w14:paraId="2C2448E0">
      <w:pPr>
        <w:tabs>
          <w:tab w:val="left" w:pos="0"/>
        </w:tabs>
        <w:snapToGrid w:val="0"/>
        <w:spacing w:line="36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3.供应商享受中小企业扶持政策的材料</w:t>
      </w:r>
    </w:p>
    <w:p w14:paraId="2E896CBD">
      <w:pPr>
        <w:tabs>
          <w:tab w:val="left" w:pos="0"/>
        </w:tabs>
        <w:snapToGrid w:val="0"/>
        <w:spacing w:line="36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（1）《中小企业声明函》</w:t>
      </w:r>
    </w:p>
    <w:p w14:paraId="0C35D9FD">
      <w:pPr>
        <w:tabs>
          <w:tab w:val="left" w:pos="0"/>
        </w:tabs>
        <w:snapToGrid w:val="0"/>
        <w:spacing w:line="36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（2）《残疾人福利性单位声明函》</w:t>
      </w:r>
    </w:p>
    <w:p w14:paraId="38A3D053">
      <w:pPr>
        <w:tabs>
          <w:tab w:val="left" w:pos="0"/>
        </w:tabs>
        <w:snapToGrid w:val="0"/>
        <w:spacing w:line="36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 xml:space="preserve">（3）省级以上监狱管理局、戒毒管理局(含新疆生产建设兵团)出具的属于监狱企业的证明文件； </w:t>
      </w:r>
    </w:p>
    <w:p w14:paraId="6EEF4905">
      <w:pPr>
        <w:tabs>
          <w:tab w:val="left" w:pos="0"/>
        </w:tabs>
        <w:snapToGrid w:val="0"/>
        <w:spacing w:line="36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4.《关于符合本国产品标准的声明函》或者财政部会同有关部门规定的有关证明文件</w:t>
      </w:r>
    </w:p>
    <w:p w14:paraId="3D165193">
      <w:pPr>
        <w:tabs>
          <w:tab w:val="left" w:pos="0"/>
        </w:tabs>
        <w:snapToGrid w:val="0"/>
        <w:spacing w:line="36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5.投标人针对报价需要说明的其他文件和说明</w:t>
      </w:r>
    </w:p>
    <w:p w14:paraId="48A0A6CF">
      <w:pPr>
        <w:snapToGrid w:val="0"/>
        <w:spacing w:before="50" w:after="120" w:afterLines="50" w:line="360" w:lineRule="auto"/>
        <w:jc w:val="left"/>
        <w:rPr>
          <w:rFonts w:hint="eastAsia" w:ascii="宋体" w:hAnsi="宋体"/>
          <w:color w:val="auto"/>
          <w:sz w:val="24"/>
          <w:szCs w:val="24"/>
          <w:highlight w:val="none"/>
        </w:rPr>
      </w:pPr>
    </w:p>
    <w:p w14:paraId="00AE9475">
      <w:pPr>
        <w:snapToGrid w:val="0"/>
        <w:spacing w:before="120" w:beforeLines="50" w:after="50"/>
        <w:rPr>
          <w:rFonts w:hint="eastAsia" w:ascii="宋体" w:hAnsi="宋体"/>
          <w:b/>
          <w:color w:val="auto"/>
          <w:sz w:val="24"/>
          <w:szCs w:val="24"/>
          <w:highlight w:val="none"/>
        </w:rPr>
      </w:pPr>
    </w:p>
    <w:p w14:paraId="757B283D">
      <w:pPr>
        <w:snapToGrid w:val="0"/>
        <w:spacing w:before="120" w:beforeLines="50" w:after="50"/>
        <w:rPr>
          <w:rFonts w:hint="eastAsia" w:ascii="宋体" w:hAnsi="宋体"/>
          <w:b/>
          <w:color w:val="auto"/>
          <w:sz w:val="24"/>
          <w:highlight w:val="none"/>
        </w:rPr>
      </w:pPr>
    </w:p>
    <w:p w14:paraId="0595F06A">
      <w:pPr>
        <w:snapToGrid w:val="0"/>
        <w:spacing w:before="120" w:beforeLines="50" w:after="50"/>
        <w:rPr>
          <w:rFonts w:hint="eastAsia" w:ascii="宋体" w:hAnsi="宋体"/>
          <w:b/>
          <w:color w:val="auto"/>
          <w:sz w:val="24"/>
          <w:highlight w:val="none"/>
        </w:rPr>
      </w:pPr>
    </w:p>
    <w:p w14:paraId="096228FC">
      <w:pPr>
        <w:snapToGrid w:val="0"/>
        <w:spacing w:before="120" w:beforeLines="50" w:after="50"/>
        <w:ind w:left="142"/>
        <w:jc w:val="left"/>
        <w:outlineLvl w:val="2"/>
        <w:rPr>
          <w:rFonts w:hint="eastAsia" w:ascii="宋体" w:hAnsi="宋体"/>
          <w:b/>
          <w:color w:val="auto"/>
          <w:sz w:val="24"/>
          <w:highlight w:val="none"/>
        </w:rPr>
      </w:pPr>
      <w:r>
        <w:rPr>
          <w:rFonts w:ascii="宋体" w:hAnsi="宋体"/>
          <w:b/>
          <w:color w:val="auto"/>
          <w:sz w:val="24"/>
          <w:highlight w:val="none"/>
        </w:rPr>
        <w:br w:type="page"/>
      </w:r>
      <w:bookmarkStart w:id="220" w:name="_Toc20836"/>
      <w:r>
        <w:rPr>
          <w:rFonts w:hint="eastAsia" w:ascii="宋体" w:hAnsi="宋体"/>
          <w:b/>
          <w:color w:val="auto"/>
          <w:sz w:val="24"/>
          <w:highlight w:val="none"/>
        </w:rPr>
        <w:t>1.投标函格式</w:t>
      </w:r>
      <w:bookmarkEnd w:id="220"/>
    </w:p>
    <w:p w14:paraId="30B57F9B">
      <w:pPr>
        <w:snapToGrid w:val="0"/>
        <w:spacing w:before="120" w:beforeLines="50" w:after="50" w:line="360" w:lineRule="auto"/>
        <w:jc w:val="center"/>
        <w:rPr>
          <w:rFonts w:hint="eastAsia" w:ascii="宋体" w:hAnsi="宋体"/>
          <w:b/>
          <w:color w:val="auto"/>
          <w:sz w:val="32"/>
          <w:szCs w:val="32"/>
          <w:highlight w:val="none"/>
        </w:rPr>
      </w:pPr>
      <w:r>
        <w:rPr>
          <w:rFonts w:hint="eastAsia" w:ascii="黑体" w:hAnsi="黑体" w:eastAsia="黑体" w:cs="黑体"/>
          <w:bCs/>
          <w:color w:val="auto"/>
          <w:sz w:val="44"/>
          <w:szCs w:val="44"/>
          <w:highlight w:val="none"/>
        </w:rPr>
        <w:t>投 标 函</w:t>
      </w:r>
    </w:p>
    <w:p w14:paraId="71C5B53C">
      <w:pPr>
        <w:spacing w:before="120" w:beforeLines="50" w:after="120" w:afterLines="50" w:line="288" w:lineRule="auto"/>
        <w:contextualSpacing/>
        <w:rPr>
          <w:rFonts w:hint="eastAsia"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0909F49B">
      <w:pPr>
        <w:spacing w:before="120" w:beforeLines="50" w:after="120" w:afterLines="50" w:line="288" w:lineRule="auto"/>
        <w:ind w:firstLine="480"/>
        <w:contextualSpacing/>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）的招标文件，签字代表______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0D34A49E">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据此函，我方宣布同意如下：</w:t>
      </w:r>
    </w:p>
    <w:p w14:paraId="243045D6">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70B75B53">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6D80912A">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p>
    <w:p w14:paraId="15D4822D">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14:paraId="48D0CE60">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65B81847">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7A4B31ED">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244319EF">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14:paraId="6BE3A37A">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0400B857">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0D483F7">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9.与本项目有关的一切正式往来信函请寄：</w:t>
      </w:r>
    </w:p>
    <w:p w14:paraId="7244EAF4">
      <w:pPr>
        <w:spacing w:before="120" w:beforeLines="50" w:after="120" w:afterLines="50" w:line="288" w:lineRule="auto"/>
        <w:ind w:firstLine="480" w:firstLineChars="200"/>
        <w:contextualSpacing/>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3384219A">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联系人：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电子邮箱：</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2499497A">
      <w:pPr>
        <w:spacing w:before="120" w:beforeLines="50" w:after="120" w:afterLines="50" w:line="288"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14:paraId="6A3FD86A">
      <w:pPr>
        <w:spacing w:before="120" w:beforeLines="50" w:after="120" w:afterLines="50" w:line="288"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银行账号：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0BB068EF">
      <w:pPr>
        <w:pStyle w:val="18"/>
        <w:spacing w:before="120" w:beforeLines="50" w:after="120" w:afterLines="50" w:line="288" w:lineRule="auto"/>
        <w:rPr>
          <w:rFonts w:hint="eastAsia"/>
          <w:color w:val="auto"/>
          <w:highlight w:val="none"/>
        </w:rPr>
      </w:pPr>
    </w:p>
    <w:p w14:paraId="28EFDD3A">
      <w:pPr>
        <w:spacing w:before="120" w:beforeLines="50" w:after="120" w:afterLines="50" w:line="288"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 xml:space="preserve">            </w:t>
      </w:r>
    </w:p>
    <w:p w14:paraId="01DE5662">
      <w:pPr>
        <w:pStyle w:val="24"/>
        <w:spacing w:before="120" w:beforeLines="50" w:after="120" w:afterLines="50" w:line="288" w:lineRule="auto"/>
        <w:contextualSpacing/>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投标人名称（电子签章）：</w:t>
      </w:r>
    </w:p>
    <w:p w14:paraId="2DD27D43">
      <w:pPr>
        <w:pStyle w:val="24"/>
        <w:spacing w:before="120" w:beforeLines="50" w:after="120" w:afterLines="50" w:line="288" w:lineRule="auto"/>
        <w:contextualSpacing/>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2E841494">
      <w:pPr>
        <w:snapToGrid w:val="0"/>
        <w:spacing w:before="120" w:beforeLines="50" w:after="120" w:afterLines="50" w:line="288" w:lineRule="auto"/>
        <w:jc w:val="left"/>
        <w:outlineLvl w:val="2"/>
        <w:rPr>
          <w:rFonts w:ascii="宋体" w:hAnsi="宋体"/>
          <w:b/>
          <w:color w:val="auto"/>
          <w:sz w:val="24"/>
          <w:highlight w:val="none"/>
        </w:rPr>
      </w:pPr>
      <w:r>
        <w:rPr>
          <w:rFonts w:hAnsi="宋体"/>
          <w:color w:val="auto"/>
          <w:highlight w:val="none"/>
          <w:u w:val="single"/>
        </w:rPr>
        <w:br w:type="page"/>
      </w:r>
      <w:bookmarkStart w:id="221" w:name="_Toc26027"/>
      <w:r>
        <w:rPr>
          <w:rFonts w:hint="eastAsia" w:ascii="宋体" w:hAnsi="宋体"/>
          <w:b/>
          <w:color w:val="auto"/>
          <w:sz w:val="24"/>
          <w:highlight w:val="none"/>
        </w:rPr>
        <w:t>2.开标一览表</w:t>
      </w:r>
      <w:bookmarkEnd w:id="221"/>
    </w:p>
    <w:p w14:paraId="597481EB">
      <w:pPr>
        <w:pStyle w:val="18"/>
        <w:rPr>
          <w:rFonts w:hint="eastAsia"/>
          <w:color w:val="auto"/>
          <w:highlight w:val="none"/>
        </w:rPr>
      </w:pPr>
    </w:p>
    <w:p w14:paraId="439AFC0A">
      <w:pPr>
        <w:snapToGrid w:val="0"/>
        <w:spacing w:before="50" w:after="50"/>
        <w:jc w:val="center"/>
        <w:rPr>
          <w:rFonts w:hint="eastAsia" w:ascii="宋体" w:hAnsi="宋体"/>
          <w:b/>
          <w:color w:val="auto"/>
          <w:sz w:val="30"/>
          <w:highlight w:val="none"/>
        </w:rPr>
      </w:pPr>
      <w:r>
        <w:rPr>
          <w:rFonts w:hint="eastAsia" w:ascii="宋体" w:hAnsi="宋体"/>
          <w:b/>
          <w:color w:val="auto"/>
          <w:sz w:val="30"/>
          <w:highlight w:val="none"/>
        </w:rPr>
        <w:t>开标一览表</w:t>
      </w:r>
    </w:p>
    <w:p w14:paraId="049B6D17">
      <w:pPr>
        <w:snapToGrid w:val="0"/>
        <w:spacing w:before="50" w:after="50"/>
        <w:jc w:val="center"/>
        <w:rPr>
          <w:rFonts w:hint="eastAsia" w:ascii="宋体" w:hAnsi="宋体"/>
          <w:b/>
          <w:color w:val="auto"/>
          <w:sz w:val="30"/>
          <w:szCs w:val="20"/>
          <w:highlight w:val="none"/>
        </w:rPr>
      </w:pPr>
    </w:p>
    <w:p w14:paraId="1322A391">
      <w:pP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5B9D2572">
      <w:pPr>
        <w:snapToGrid w:val="0"/>
        <w:spacing w:before="50" w:after="50" w:line="360" w:lineRule="auto"/>
        <w:rPr>
          <w:rFonts w:hint="eastAsia"/>
          <w:color w:val="auto"/>
          <w:highlight w:val="none"/>
        </w:rPr>
      </w:pPr>
      <w:r>
        <w:rPr>
          <w:rFonts w:hint="eastAsia" w:ascii="宋体" w:hAnsi="宋体"/>
          <w:color w:val="auto"/>
          <w:highlight w:val="none"/>
        </w:rPr>
        <w:t>分标：</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sz w:val="24"/>
          <w:highlight w:val="none"/>
        </w:rPr>
        <w:t>单位：元</w:t>
      </w:r>
    </w:p>
    <w:tbl>
      <w:tblPr>
        <w:tblStyle w:val="4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47"/>
        <w:gridCol w:w="1322"/>
        <w:gridCol w:w="794"/>
        <w:gridCol w:w="1158"/>
        <w:gridCol w:w="978"/>
        <w:gridCol w:w="958"/>
        <w:gridCol w:w="829"/>
        <w:gridCol w:w="829"/>
        <w:gridCol w:w="1593"/>
      </w:tblGrid>
      <w:tr w14:paraId="5CFF50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406" w:type="pct"/>
            <w:tcBorders>
              <w:top w:val="single" w:color="auto" w:sz="4" w:space="0"/>
              <w:left w:val="single" w:color="auto" w:sz="4" w:space="0"/>
              <w:bottom w:val="single" w:color="auto" w:sz="4" w:space="0"/>
              <w:right w:val="single" w:color="auto" w:sz="4" w:space="0"/>
            </w:tcBorders>
            <w:noWrap w:val="0"/>
            <w:vAlign w:val="center"/>
          </w:tcPr>
          <w:p w14:paraId="11F95C9D">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序号</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09CA1F59">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标的名称</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60AAB24">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品牌</w:t>
            </w:r>
          </w:p>
        </w:tc>
        <w:tc>
          <w:tcPr>
            <w:tcW w:w="629" w:type="pct"/>
            <w:tcBorders>
              <w:top w:val="single" w:color="auto" w:sz="4" w:space="0"/>
              <w:left w:val="single" w:color="auto" w:sz="4" w:space="0"/>
              <w:bottom w:val="single" w:color="auto" w:sz="4" w:space="0"/>
              <w:right w:val="single" w:color="auto" w:sz="4" w:space="0"/>
            </w:tcBorders>
            <w:noWrap w:val="0"/>
            <w:vAlign w:val="center"/>
          </w:tcPr>
          <w:p w14:paraId="2A865BFE">
            <w:pPr>
              <w:snapToGrid w:val="0"/>
              <w:spacing w:before="50" w:after="50" w:line="360" w:lineRule="auto"/>
              <w:jc w:val="center"/>
              <w:rPr>
                <w:rFonts w:ascii="宋体" w:hAnsi="宋体"/>
                <w:b/>
                <w:color w:val="auto"/>
                <w:sz w:val="24"/>
                <w:highlight w:val="none"/>
              </w:rPr>
            </w:pPr>
            <w:r>
              <w:rPr>
                <w:rFonts w:ascii="宋体" w:hAnsi="宋体"/>
                <w:b/>
                <w:color w:val="auto"/>
                <w:sz w:val="24"/>
                <w:highlight w:val="none"/>
              </w:rPr>
              <w:t>规格或型号</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30DB894E">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制造商</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DC3778C">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原产地</w:t>
            </w:r>
          </w:p>
        </w:tc>
        <w:tc>
          <w:tcPr>
            <w:tcW w:w="450" w:type="pct"/>
            <w:tcBorders>
              <w:top w:val="single" w:color="auto" w:sz="4" w:space="0"/>
              <w:left w:val="single" w:color="auto" w:sz="4" w:space="0"/>
              <w:bottom w:val="single" w:color="auto" w:sz="4" w:space="0"/>
              <w:right w:val="single" w:color="auto" w:sz="4" w:space="0"/>
            </w:tcBorders>
            <w:noWrap w:val="0"/>
            <w:vAlign w:val="top"/>
          </w:tcPr>
          <w:p w14:paraId="240B78C0">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数量及单位①</w:t>
            </w:r>
          </w:p>
        </w:tc>
        <w:tc>
          <w:tcPr>
            <w:tcW w:w="450" w:type="pct"/>
            <w:tcBorders>
              <w:top w:val="single" w:color="auto" w:sz="4" w:space="0"/>
              <w:left w:val="single" w:color="auto" w:sz="4" w:space="0"/>
              <w:bottom w:val="single" w:color="auto" w:sz="4" w:space="0"/>
              <w:right w:val="single" w:color="auto" w:sz="4" w:space="0"/>
            </w:tcBorders>
            <w:noWrap w:val="0"/>
            <w:vAlign w:val="center"/>
          </w:tcPr>
          <w:p w14:paraId="00F896B2">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单价</w:t>
            </w:r>
          </w:p>
          <w:p w14:paraId="4DF28BD5">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②</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18044762">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投标报价</w:t>
            </w:r>
          </w:p>
          <w:p w14:paraId="3A56BCCA">
            <w:pPr>
              <w:snapToGrid w:val="0"/>
              <w:spacing w:before="50" w:after="50" w:line="360" w:lineRule="auto"/>
              <w:jc w:val="center"/>
              <w:rPr>
                <w:rFonts w:hint="eastAsia" w:ascii="宋体" w:hAnsi="宋体"/>
                <w:b/>
                <w:color w:val="auto"/>
                <w:sz w:val="24"/>
                <w:highlight w:val="none"/>
              </w:rPr>
            </w:pPr>
            <w:r>
              <w:rPr>
                <w:rFonts w:ascii="宋体" w:hAnsi="宋体"/>
                <w:b/>
                <w:color w:val="auto"/>
                <w:sz w:val="24"/>
                <w:highlight w:val="none"/>
              </w:rPr>
              <w:t>③</w:t>
            </w:r>
            <w:r>
              <w:rPr>
                <w:rFonts w:hint="eastAsia" w:ascii="宋体" w:hAnsi="宋体"/>
                <w:b/>
                <w:color w:val="auto"/>
                <w:sz w:val="24"/>
                <w:highlight w:val="none"/>
              </w:rPr>
              <w:t>=①×②</w:t>
            </w:r>
          </w:p>
        </w:tc>
      </w:tr>
      <w:tr w14:paraId="754E9D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06" w:type="pct"/>
            <w:tcBorders>
              <w:top w:val="single" w:color="auto" w:sz="4" w:space="0"/>
              <w:left w:val="single" w:color="auto" w:sz="4" w:space="0"/>
              <w:bottom w:val="single" w:color="auto" w:sz="4" w:space="0"/>
              <w:right w:val="single" w:color="auto" w:sz="4" w:space="0"/>
            </w:tcBorders>
            <w:noWrap w:val="0"/>
            <w:vAlign w:val="center"/>
          </w:tcPr>
          <w:p w14:paraId="48D714EC">
            <w:pPr>
              <w:snapToGrid w:val="0"/>
              <w:spacing w:before="50" w:after="50" w:line="360" w:lineRule="auto"/>
              <w:jc w:val="center"/>
              <w:rPr>
                <w:rFonts w:hint="eastAsia" w:ascii="宋体" w:hAnsi="宋体"/>
                <w:color w:val="auto"/>
                <w:sz w:val="24"/>
                <w:highlight w:val="none"/>
              </w:rPr>
            </w:pPr>
            <w:r>
              <w:rPr>
                <w:rFonts w:hint="eastAsia" w:ascii="宋体" w:hAnsi="宋体"/>
                <w:color w:val="auto"/>
                <w:sz w:val="24"/>
                <w:highlight w:val="none"/>
              </w:rPr>
              <w:t>1</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44143FC8">
            <w:pPr>
              <w:snapToGrid w:val="0"/>
              <w:spacing w:before="50" w:after="50" w:line="360" w:lineRule="auto"/>
              <w:jc w:val="center"/>
              <w:rPr>
                <w:rFonts w:hint="eastAsia" w:ascii="宋体" w:hAnsi="宋体"/>
                <w:color w:val="auto"/>
                <w:sz w:val="24"/>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00942BA2">
            <w:pPr>
              <w:snapToGrid w:val="0"/>
              <w:spacing w:before="50" w:after="50" w:line="360" w:lineRule="auto"/>
              <w:jc w:val="center"/>
              <w:rPr>
                <w:rFonts w:hint="eastAsia" w:ascii="宋体" w:hAnsi="宋体"/>
                <w:color w:val="auto"/>
                <w:sz w:val="24"/>
                <w:highlight w:val="none"/>
              </w:rPr>
            </w:pPr>
          </w:p>
        </w:tc>
        <w:tc>
          <w:tcPr>
            <w:tcW w:w="629" w:type="pct"/>
            <w:tcBorders>
              <w:top w:val="single" w:color="auto" w:sz="4" w:space="0"/>
              <w:left w:val="single" w:color="auto" w:sz="4" w:space="0"/>
              <w:bottom w:val="single" w:color="auto" w:sz="4" w:space="0"/>
              <w:right w:val="single" w:color="auto" w:sz="4" w:space="0"/>
            </w:tcBorders>
            <w:noWrap w:val="0"/>
            <w:vAlign w:val="center"/>
          </w:tcPr>
          <w:p w14:paraId="61361415">
            <w:pPr>
              <w:snapToGrid w:val="0"/>
              <w:spacing w:before="50" w:after="50" w:line="360" w:lineRule="auto"/>
              <w:jc w:val="center"/>
              <w:rPr>
                <w:rFonts w:hint="eastAsia" w:ascii="宋体" w:hAnsi="宋体"/>
                <w:color w:val="auto"/>
                <w:sz w:val="24"/>
                <w:highlight w:val="none"/>
              </w:rPr>
            </w:pPr>
          </w:p>
        </w:tc>
        <w:tc>
          <w:tcPr>
            <w:tcW w:w="531" w:type="pct"/>
            <w:tcBorders>
              <w:top w:val="single" w:color="auto" w:sz="4" w:space="0"/>
              <w:left w:val="single" w:color="auto" w:sz="4" w:space="0"/>
              <w:bottom w:val="single" w:color="auto" w:sz="4" w:space="0"/>
              <w:right w:val="single" w:color="auto" w:sz="4" w:space="0"/>
            </w:tcBorders>
            <w:noWrap w:val="0"/>
            <w:vAlign w:val="center"/>
          </w:tcPr>
          <w:p w14:paraId="56F792F7">
            <w:pPr>
              <w:snapToGrid w:val="0"/>
              <w:spacing w:before="50" w:after="50" w:line="360" w:lineRule="auto"/>
              <w:jc w:val="center"/>
              <w:rPr>
                <w:rFonts w:hint="eastAsia" w:ascii="宋体" w:hAnsi="宋体"/>
                <w:color w:val="auto"/>
                <w:sz w:val="24"/>
                <w:highlight w:val="none"/>
              </w:rPr>
            </w:pPr>
          </w:p>
        </w:tc>
        <w:tc>
          <w:tcPr>
            <w:tcW w:w="520" w:type="pct"/>
            <w:tcBorders>
              <w:top w:val="single" w:color="auto" w:sz="4" w:space="0"/>
              <w:left w:val="single" w:color="auto" w:sz="4" w:space="0"/>
              <w:bottom w:val="single" w:color="auto" w:sz="4" w:space="0"/>
              <w:right w:val="single" w:color="auto" w:sz="4" w:space="0"/>
            </w:tcBorders>
            <w:noWrap w:val="0"/>
            <w:vAlign w:val="top"/>
          </w:tcPr>
          <w:p w14:paraId="78819A4F">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1566E0C0">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394D33C6">
            <w:pPr>
              <w:snapToGrid w:val="0"/>
              <w:spacing w:before="50" w:after="50" w:line="360" w:lineRule="auto"/>
              <w:jc w:val="center"/>
              <w:rPr>
                <w:rFonts w:hint="eastAsia" w:ascii="宋体" w:hAnsi="宋体"/>
                <w:color w:val="auto"/>
                <w:sz w:val="24"/>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14:paraId="59A326AA">
            <w:pPr>
              <w:snapToGrid w:val="0"/>
              <w:spacing w:before="50" w:after="50" w:line="360" w:lineRule="auto"/>
              <w:jc w:val="center"/>
              <w:rPr>
                <w:rFonts w:hint="eastAsia" w:ascii="宋体" w:hAnsi="宋体"/>
                <w:color w:val="auto"/>
                <w:sz w:val="24"/>
                <w:highlight w:val="none"/>
              </w:rPr>
            </w:pPr>
          </w:p>
        </w:tc>
      </w:tr>
      <w:tr w14:paraId="2A465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06" w:type="pct"/>
            <w:tcBorders>
              <w:top w:val="single" w:color="auto" w:sz="4" w:space="0"/>
              <w:left w:val="single" w:color="auto" w:sz="4" w:space="0"/>
              <w:bottom w:val="single" w:color="auto" w:sz="4" w:space="0"/>
              <w:right w:val="single" w:color="auto" w:sz="4" w:space="0"/>
            </w:tcBorders>
            <w:noWrap w:val="0"/>
            <w:vAlign w:val="center"/>
          </w:tcPr>
          <w:p w14:paraId="59655A09">
            <w:pPr>
              <w:snapToGrid w:val="0"/>
              <w:spacing w:before="50" w:after="50" w:line="360" w:lineRule="auto"/>
              <w:jc w:val="center"/>
              <w:rPr>
                <w:rFonts w:hint="eastAsia" w:ascii="宋体" w:hAnsi="宋体"/>
                <w:color w:val="auto"/>
                <w:sz w:val="24"/>
                <w:highlight w:val="none"/>
              </w:rPr>
            </w:pPr>
          </w:p>
        </w:tc>
        <w:tc>
          <w:tcPr>
            <w:tcW w:w="718" w:type="pct"/>
            <w:tcBorders>
              <w:top w:val="single" w:color="auto" w:sz="4" w:space="0"/>
              <w:left w:val="single" w:color="auto" w:sz="4" w:space="0"/>
              <w:bottom w:val="single" w:color="auto" w:sz="4" w:space="0"/>
              <w:right w:val="single" w:color="auto" w:sz="4" w:space="0"/>
            </w:tcBorders>
            <w:noWrap w:val="0"/>
            <w:vAlign w:val="center"/>
          </w:tcPr>
          <w:p w14:paraId="0D447FB5">
            <w:pPr>
              <w:snapToGrid w:val="0"/>
              <w:spacing w:before="50" w:after="50" w:line="360" w:lineRule="auto"/>
              <w:jc w:val="center"/>
              <w:rPr>
                <w:rFonts w:hint="eastAsia" w:ascii="宋体" w:hAnsi="宋体"/>
                <w:color w:val="auto"/>
                <w:sz w:val="24"/>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5A20A3A1">
            <w:pPr>
              <w:snapToGrid w:val="0"/>
              <w:spacing w:before="50" w:after="50" w:line="360" w:lineRule="auto"/>
              <w:jc w:val="center"/>
              <w:rPr>
                <w:rFonts w:hint="eastAsia" w:ascii="宋体" w:hAnsi="宋体"/>
                <w:color w:val="auto"/>
                <w:sz w:val="24"/>
                <w:highlight w:val="none"/>
              </w:rPr>
            </w:pPr>
          </w:p>
        </w:tc>
        <w:tc>
          <w:tcPr>
            <w:tcW w:w="629" w:type="pct"/>
            <w:tcBorders>
              <w:top w:val="single" w:color="auto" w:sz="4" w:space="0"/>
              <w:left w:val="single" w:color="auto" w:sz="4" w:space="0"/>
              <w:bottom w:val="single" w:color="auto" w:sz="4" w:space="0"/>
              <w:right w:val="single" w:color="auto" w:sz="4" w:space="0"/>
            </w:tcBorders>
            <w:noWrap w:val="0"/>
            <w:vAlign w:val="center"/>
          </w:tcPr>
          <w:p w14:paraId="38EA826A">
            <w:pPr>
              <w:snapToGrid w:val="0"/>
              <w:spacing w:before="50" w:after="50" w:line="360" w:lineRule="auto"/>
              <w:jc w:val="center"/>
              <w:rPr>
                <w:rFonts w:hint="eastAsia" w:ascii="宋体" w:hAnsi="宋体"/>
                <w:color w:val="auto"/>
                <w:sz w:val="24"/>
                <w:highlight w:val="none"/>
              </w:rPr>
            </w:pPr>
          </w:p>
        </w:tc>
        <w:tc>
          <w:tcPr>
            <w:tcW w:w="531" w:type="pct"/>
            <w:tcBorders>
              <w:top w:val="single" w:color="auto" w:sz="4" w:space="0"/>
              <w:left w:val="single" w:color="auto" w:sz="4" w:space="0"/>
              <w:bottom w:val="single" w:color="auto" w:sz="4" w:space="0"/>
              <w:right w:val="single" w:color="auto" w:sz="4" w:space="0"/>
            </w:tcBorders>
            <w:noWrap w:val="0"/>
            <w:vAlign w:val="center"/>
          </w:tcPr>
          <w:p w14:paraId="1105115B">
            <w:pPr>
              <w:snapToGrid w:val="0"/>
              <w:spacing w:before="50" w:after="50" w:line="360" w:lineRule="auto"/>
              <w:jc w:val="center"/>
              <w:rPr>
                <w:rFonts w:hint="eastAsia" w:ascii="宋体" w:hAnsi="宋体"/>
                <w:color w:val="auto"/>
                <w:sz w:val="24"/>
                <w:highlight w:val="none"/>
              </w:rPr>
            </w:pPr>
          </w:p>
        </w:tc>
        <w:tc>
          <w:tcPr>
            <w:tcW w:w="520" w:type="pct"/>
            <w:tcBorders>
              <w:top w:val="single" w:color="auto" w:sz="4" w:space="0"/>
              <w:left w:val="single" w:color="auto" w:sz="4" w:space="0"/>
              <w:bottom w:val="single" w:color="auto" w:sz="4" w:space="0"/>
              <w:right w:val="single" w:color="auto" w:sz="4" w:space="0"/>
            </w:tcBorders>
            <w:noWrap w:val="0"/>
            <w:vAlign w:val="top"/>
          </w:tcPr>
          <w:p w14:paraId="6A8413FF">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0F123050">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1E79A464">
            <w:pPr>
              <w:snapToGrid w:val="0"/>
              <w:spacing w:before="50" w:after="50" w:line="360" w:lineRule="auto"/>
              <w:jc w:val="center"/>
              <w:rPr>
                <w:rFonts w:hint="eastAsia" w:ascii="宋体" w:hAnsi="宋体"/>
                <w:color w:val="auto"/>
                <w:sz w:val="24"/>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14:paraId="1B3A67CD">
            <w:pPr>
              <w:snapToGrid w:val="0"/>
              <w:spacing w:before="50" w:after="50" w:line="360" w:lineRule="auto"/>
              <w:jc w:val="center"/>
              <w:rPr>
                <w:rFonts w:hint="eastAsia" w:ascii="宋体" w:hAnsi="宋体"/>
                <w:color w:val="auto"/>
                <w:sz w:val="24"/>
                <w:highlight w:val="none"/>
              </w:rPr>
            </w:pPr>
          </w:p>
        </w:tc>
      </w:tr>
      <w:tr w14:paraId="2FD86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06" w:type="pct"/>
            <w:tcBorders>
              <w:top w:val="single" w:color="auto" w:sz="4" w:space="0"/>
              <w:left w:val="single" w:color="auto" w:sz="4" w:space="0"/>
              <w:bottom w:val="single" w:color="auto" w:sz="4" w:space="0"/>
              <w:right w:val="single" w:color="auto" w:sz="4" w:space="0"/>
            </w:tcBorders>
            <w:noWrap w:val="0"/>
            <w:vAlign w:val="center"/>
          </w:tcPr>
          <w:p w14:paraId="0B123676">
            <w:pPr>
              <w:snapToGrid w:val="0"/>
              <w:spacing w:before="50" w:after="50" w:line="360" w:lineRule="auto"/>
              <w:jc w:val="center"/>
              <w:rPr>
                <w:rFonts w:hint="eastAsia" w:ascii="宋体" w:hAnsi="宋体"/>
                <w:color w:val="auto"/>
                <w:sz w:val="24"/>
                <w:highlight w:val="none"/>
              </w:rPr>
            </w:pPr>
          </w:p>
        </w:tc>
        <w:tc>
          <w:tcPr>
            <w:tcW w:w="718" w:type="pct"/>
            <w:tcBorders>
              <w:top w:val="single" w:color="auto" w:sz="4" w:space="0"/>
              <w:left w:val="single" w:color="auto" w:sz="4" w:space="0"/>
              <w:bottom w:val="single" w:color="auto" w:sz="4" w:space="0"/>
              <w:right w:val="single" w:color="auto" w:sz="4" w:space="0"/>
            </w:tcBorders>
            <w:noWrap w:val="0"/>
            <w:vAlign w:val="center"/>
          </w:tcPr>
          <w:p w14:paraId="09470098">
            <w:pPr>
              <w:snapToGrid w:val="0"/>
              <w:spacing w:before="50" w:after="50" w:line="360" w:lineRule="auto"/>
              <w:jc w:val="center"/>
              <w:rPr>
                <w:rFonts w:hint="eastAsia" w:ascii="宋体" w:hAnsi="宋体"/>
                <w:color w:val="auto"/>
                <w:sz w:val="24"/>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5FCA6F23">
            <w:pPr>
              <w:snapToGrid w:val="0"/>
              <w:spacing w:before="50" w:after="50" w:line="360" w:lineRule="auto"/>
              <w:jc w:val="center"/>
              <w:rPr>
                <w:rFonts w:hint="eastAsia" w:ascii="宋体" w:hAnsi="宋体"/>
                <w:color w:val="auto"/>
                <w:sz w:val="24"/>
                <w:highlight w:val="none"/>
              </w:rPr>
            </w:pPr>
          </w:p>
        </w:tc>
        <w:tc>
          <w:tcPr>
            <w:tcW w:w="629" w:type="pct"/>
            <w:tcBorders>
              <w:top w:val="single" w:color="auto" w:sz="4" w:space="0"/>
              <w:left w:val="single" w:color="auto" w:sz="4" w:space="0"/>
              <w:bottom w:val="single" w:color="auto" w:sz="4" w:space="0"/>
              <w:right w:val="single" w:color="auto" w:sz="4" w:space="0"/>
            </w:tcBorders>
            <w:noWrap w:val="0"/>
            <w:vAlign w:val="center"/>
          </w:tcPr>
          <w:p w14:paraId="710ACB61">
            <w:pPr>
              <w:snapToGrid w:val="0"/>
              <w:spacing w:before="50" w:after="50" w:line="360" w:lineRule="auto"/>
              <w:jc w:val="center"/>
              <w:rPr>
                <w:rFonts w:hint="eastAsia" w:ascii="宋体" w:hAnsi="宋体"/>
                <w:color w:val="auto"/>
                <w:sz w:val="24"/>
                <w:highlight w:val="none"/>
              </w:rPr>
            </w:pPr>
          </w:p>
        </w:tc>
        <w:tc>
          <w:tcPr>
            <w:tcW w:w="531" w:type="pct"/>
            <w:tcBorders>
              <w:top w:val="single" w:color="auto" w:sz="4" w:space="0"/>
              <w:left w:val="single" w:color="auto" w:sz="4" w:space="0"/>
              <w:bottom w:val="single" w:color="auto" w:sz="4" w:space="0"/>
              <w:right w:val="single" w:color="auto" w:sz="4" w:space="0"/>
            </w:tcBorders>
            <w:noWrap w:val="0"/>
            <w:vAlign w:val="center"/>
          </w:tcPr>
          <w:p w14:paraId="3A2749FF">
            <w:pPr>
              <w:snapToGrid w:val="0"/>
              <w:spacing w:before="50" w:after="50" w:line="360" w:lineRule="auto"/>
              <w:jc w:val="center"/>
              <w:rPr>
                <w:rFonts w:hint="eastAsia" w:ascii="宋体" w:hAnsi="宋体"/>
                <w:color w:val="auto"/>
                <w:sz w:val="24"/>
                <w:highlight w:val="none"/>
              </w:rPr>
            </w:pPr>
          </w:p>
        </w:tc>
        <w:tc>
          <w:tcPr>
            <w:tcW w:w="520" w:type="pct"/>
            <w:tcBorders>
              <w:top w:val="single" w:color="auto" w:sz="4" w:space="0"/>
              <w:left w:val="single" w:color="auto" w:sz="4" w:space="0"/>
              <w:bottom w:val="single" w:color="auto" w:sz="4" w:space="0"/>
              <w:right w:val="single" w:color="auto" w:sz="4" w:space="0"/>
            </w:tcBorders>
            <w:noWrap w:val="0"/>
            <w:vAlign w:val="top"/>
          </w:tcPr>
          <w:p w14:paraId="5093BFB3">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5D832763">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51E362BC">
            <w:pPr>
              <w:snapToGrid w:val="0"/>
              <w:spacing w:before="50" w:after="50" w:line="360" w:lineRule="auto"/>
              <w:jc w:val="center"/>
              <w:rPr>
                <w:rFonts w:hint="eastAsia" w:ascii="宋体" w:hAnsi="宋体"/>
                <w:color w:val="auto"/>
                <w:sz w:val="24"/>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14:paraId="4E653D52">
            <w:pPr>
              <w:snapToGrid w:val="0"/>
              <w:spacing w:before="50" w:after="50" w:line="360" w:lineRule="auto"/>
              <w:jc w:val="center"/>
              <w:rPr>
                <w:rFonts w:hint="eastAsia" w:ascii="宋体" w:hAnsi="宋体"/>
                <w:color w:val="auto"/>
                <w:sz w:val="24"/>
                <w:highlight w:val="none"/>
              </w:rPr>
            </w:pPr>
          </w:p>
        </w:tc>
      </w:tr>
      <w:tr w14:paraId="115F78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06" w:type="pct"/>
            <w:tcBorders>
              <w:top w:val="single" w:color="auto" w:sz="4" w:space="0"/>
              <w:left w:val="single" w:color="auto" w:sz="4" w:space="0"/>
              <w:bottom w:val="single" w:color="auto" w:sz="4" w:space="0"/>
              <w:right w:val="single" w:color="auto" w:sz="4" w:space="0"/>
            </w:tcBorders>
            <w:noWrap w:val="0"/>
            <w:vAlign w:val="center"/>
          </w:tcPr>
          <w:p w14:paraId="0B36A173">
            <w:pPr>
              <w:snapToGrid w:val="0"/>
              <w:spacing w:before="50" w:after="50" w:line="360" w:lineRule="auto"/>
              <w:jc w:val="center"/>
              <w:rPr>
                <w:rFonts w:hint="eastAsia" w:ascii="宋体" w:hAnsi="宋体"/>
                <w:color w:val="auto"/>
                <w:sz w:val="24"/>
                <w:highlight w:val="none"/>
              </w:rPr>
            </w:pPr>
            <w:r>
              <w:rPr>
                <w:rFonts w:ascii="宋体" w:hAnsi="宋体"/>
                <w:color w:val="auto"/>
                <w:sz w:val="24"/>
                <w:highlight w:val="none"/>
              </w:rPr>
              <w:t>……</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30ED8C14">
            <w:pPr>
              <w:snapToGrid w:val="0"/>
              <w:spacing w:before="50" w:after="50" w:line="360" w:lineRule="auto"/>
              <w:jc w:val="center"/>
              <w:rPr>
                <w:rFonts w:hint="eastAsia" w:ascii="宋体" w:hAnsi="宋体"/>
                <w:color w:val="auto"/>
                <w:sz w:val="24"/>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01B8DE64">
            <w:pPr>
              <w:snapToGrid w:val="0"/>
              <w:spacing w:before="50" w:after="50" w:line="360" w:lineRule="auto"/>
              <w:jc w:val="center"/>
              <w:rPr>
                <w:rFonts w:hint="eastAsia" w:ascii="宋体" w:hAnsi="宋体"/>
                <w:color w:val="auto"/>
                <w:sz w:val="24"/>
                <w:highlight w:val="none"/>
              </w:rPr>
            </w:pPr>
          </w:p>
        </w:tc>
        <w:tc>
          <w:tcPr>
            <w:tcW w:w="629" w:type="pct"/>
            <w:tcBorders>
              <w:top w:val="single" w:color="auto" w:sz="4" w:space="0"/>
              <w:left w:val="single" w:color="auto" w:sz="4" w:space="0"/>
              <w:bottom w:val="single" w:color="auto" w:sz="4" w:space="0"/>
              <w:right w:val="single" w:color="auto" w:sz="4" w:space="0"/>
            </w:tcBorders>
            <w:noWrap w:val="0"/>
            <w:vAlign w:val="center"/>
          </w:tcPr>
          <w:p w14:paraId="3398F9EF">
            <w:pPr>
              <w:snapToGrid w:val="0"/>
              <w:spacing w:before="50" w:after="50" w:line="360" w:lineRule="auto"/>
              <w:jc w:val="center"/>
              <w:rPr>
                <w:rFonts w:hint="eastAsia" w:ascii="宋体" w:hAnsi="宋体"/>
                <w:color w:val="auto"/>
                <w:sz w:val="24"/>
                <w:highlight w:val="none"/>
              </w:rPr>
            </w:pPr>
          </w:p>
        </w:tc>
        <w:tc>
          <w:tcPr>
            <w:tcW w:w="531" w:type="pct"/>
            <w:tcBorders>
              <w:top w:val="single" w:color="auto" w:sz="4" w:space="0"/>
              <w:left w:val="single" w:color="auto" w:sz="4" w:space="0"/>
              <w:bottom w:val="single" w:color="auto" w:sz="4" w:space="0"/>
              <w:right w:val="single" w:color="auto" w:sz="4" w:space="0"/>
            </w:tcBorders>
            <w:noWrap w:val="0"/>
            <w:vAlign w:val="center"/>
          </w:tcPr>
          <w:p w14:paraId="3707084F">
            <w:pPr>
              <w:snapToGrid w:val="0"/>
              <w:spacing w:before="50" w:after="50" w:line="360" w:lineRule="auto"/>
              <w:jc w:val="center"/>
              <w:rPr>
                <w:rFonts w:hint="eastAsia" w:ascii="宋体" w:hAnsi="宋体"/>
                <w:color w:val="auto"/>
                <w:sz w:val="24"/>
                <w:highlight w:val="none"/>
              </w:rPr>
            </w:pPr>
          </w:p>
        </w:tc>
        <w:tc>
          <w:tcPr>
            <w:tcW w:w="520" w:type="pct"/>
            <w:tcBorders>
              <w:top w:val="single" w:color="auto" w:sz="4" w:space="0"/>
              <w:left w:val="single" w:color="auto" w:sz="4" w:space="0"/>
              <w:bottom w:val="single" w:color="auto" w:sz="4" w:space="0"/>
              <w:right w:val="single" w:color="auto" w:sz="4" w:space="0"/>
            </w:tcBorders>
            <w:noWrap w:val="0"/>
            <w:vAlign w:val="top"/>
          </w:tcPr>
          <w:p w14:paraId="75F14D01">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3E7DED0A">
            <w:pPr>
              <w:snapToGrid w:val="0"/>
              <w:spacing w:before="50" w:after="50" w:line="360" w:lineRule="auto"/>
              <w:jc w:val="center"/>
              <w:rPr>
                <w:rFonts w:hint="eastAsia" w:ascii="宋体" w:hAnsi="宋体"/>
                <w:color w:val="auto"/>
                <w:sz w:val="24"/>
                <w:highlight w:val="none"/>
              </w:rPr>
            </w:pPr>
          </w:p>
        </w:tc>
        <w:tc>
          <w:tcPr>
            <w:tcW w:w="450" w:type="pct"/>
            <w:tcBorders>
              <w:top w:val="single" w:color="auto" w:sz="4" w:space="0"/>
              <w:left w:val="single" w:color="auto" w:sz="4" w:space="0"/>
              <w:bottom w:val="single" w:color="auto" w:sz="4" w:space="0"/>
              <w:right w:val="single" w:color="auto" w:sz="4" w:space="0"/>
            </w:tcBorders>
            <w:noWrap w:val="0"/>
            <w:vAlign w:val="center"/>
          </w:tcPr>
          <w:p w14:paraId="348C96F5">
            <w:pPr>
              <w:snapToGrid w:val="0"/>
              <w:spacing w:before="50" w:after="50" w:line="360" w:lineRule="auto"/>
              <w:jc w:val="center"/>
              <w:rPr>
                <w:rFonts w:hint="eastAsia" w:ascii="宋体" w:hAnsi="宋体"/>
                <w:color w:val="auto"/>
                <w:sz w:val="24"/>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14:paraId="04D2E1EA">
            <w:pPr>
              <w:snapToGrid w:val="0"/>
              <w:spacing w:before="50" w:after="50" w:line="360" w:lineRule="auto"/>
              <w:jc w:val="center"/>
              <w:rPr>
                <w:rFonts w:hint="eastAsia" w:ascii="宋体" w:hAnsi="宋体"/>
                <w:color w:val="auto"/>
                <w:sz w:val="24"/>
                <w:highlight w:val="none"/>
              </w:rPr>
            </w:pPr>
          </w:p>
        </w:tc>
      </w:tr>
      <w:tr w14:paraId="644865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top"/>
          </w:tcPr>
          <w:p w14:paraId="0E918D80">
            <w:pPr>
              <w:snapToGrid w:val="0"/>
              <w:spacing w:before="50" w:after="50" w:line="360" w:lineRule="auto"/>
              <w:rPr>
                <w:rFonts w:hint="eastAsia" w:ascii="宋体" w:hAnsi="宋体"/>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宋体"/>
                <w:color w:val="auto"/>
                <w:szCs w:val="22"/>
                <w:highlight w:val="none"/>
              </w:rPr>
              <w:t>（包含税费等所有费用）</w:t>
            </w:r>
          </w:p>
        </w:tc>
      </w:tr>
      <w:tr w14:paraId="1B8E4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top"/>
          </w:tcPr>
          <w:p w14:paraId="6E1AED33">
            <w:pPr>
              <w:pStyle w:val="16"/>
              <w:rPr>
                <w:rFonts w:hint="eastAsia" w:ascii="宋体" w:hAnsi="宋体" w:cs="仿宋_GB2312"/>
                <w:color w:val="auto"/>
                <w:sz w:val="24"/>
                <w:highlight w:val="none"/>
              </w:rPr>
            </w:pPr>
            <w:r>
              <w:rPr>
                <w:rFonts w:hint="eastAsia" w:ascii="宋体" w:hAnsi="宋体" w:cs="仿宋_GB2312"/>
                <w:color w:val="auto"/>
                <w:sz w:val="24"/>
                <w:highlight w:val="none"/>
                <w:u w:val="none"/>
              </w:rPr>
              <w:t>说明：</w:t>
            </w:r>
            <w:r>
              <w:rPr>
                <w:rFonts w:ascii="宋体" w:hAnsi="宋体" w:eastAsia="宋体" w:cs="宋体"/>
                <w:color w:val="auto"/>
                <w:sz w:val="24"/>
                <w:szCs w:val="24"/>
                <w:highlight w:val="none"/>
              </w:rPr>
              <w:t>根据《国务院办公厅关于在政府采购中实施本国产品标准及相关政策的通知》国办发〔2025〕34号的规定，我方为本政府采购项目中伴随的货物提供的符合本国产品标准的产品成本之和占全部竞标产品成本之和的比例达到</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w:t>
            </w:r>
            <w:r>
              <w:rPr>
                <w:rFonts w:hint="eastAsia" w:ascii="宋体" w:hAnsi="宋体" w:cs="仿宋_GB2312"/>
                <w:color w:val="auto"/>
                <w:sz w:val="24"/>
                <w:highlight w:val="none"/>
                <w:u w:val="none"/>
              </w:rPr>
              <w:t>（具体</w:t>
            </w:r>
            <w:r>
              <w:rPr>
                <w:rFonts w:hint="eastAsia" w:ascii="宋体" w:hAnsi="宋体" w:cs="仿宋_GB2312"/>
                <w:color w:val="auto"/>
                <w:sz w:val="24"/>
                <w:highlight w:val="none"/>
                <w:u w:val="none"/>
                <w:lang w:val="en-US" w:eastAsia="zh-CN"/>
              </w:rPr>
              <w:t>计算</w:t>
            </w:r>
            <w:r>
              <w:rPr>
                <w:rFonts w:hint="eastAsia" w:ascii="宋体" w:hAnsi="宋体" w:cs="仿宋_GB2312"/>
                <w:color w:val="auto"/>
                <w:sz w:val="24"/>
                <w:highlight w:val="none"/>
                <w:u w:val="none"/>
              </w:rPr>
              <w:t>明细详见附表，附表格式自拟）</w:t>
            </w:r>
          </w:p>
        </w:tc>
      </w:tr>
      <w:tr w14:paraId="03AC3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top"/>
          </w:tcPr>
          <w:p w14:paraId="557E91BD">
            <w:pPr>
              <w:snapToGrid w:val="0"/>
              <w:spacing w:before="50" w:after="50" w:line="360" w:lineRule="auto"/>
              <w:rPr>
                <w:rFonts w:hint="eastAsia" w:ascii="宋体" w:hAnsi="宋体" w:cs="仿宋_GB2312"/>
                <w:color w:val="auto"/>
                <w:sz w:val="24"/>
                <w:highlight w:val="none"/>
                <w:u w:val="single"/>
              </w:rPr>
            </w:pPr>
            <w:r>
              <w:rPr>
                <w:rFonts w:hint="eastAsia" w:ascii="宋体" w:hAnsi="宋体" w:cs="宋体"/>
                <w:color w:val="auto"/>
                <w:szCs w:val="21"/>
                <w:highlight w:val="none"/>
              </w:rPr>
              <w:t>交货期</w:t>
            </w:r>
            <w:r>
              <w:rPr>
                <w:rFonts w:hint="eastAsia" w:ascii="宋体" w:hAnsi="宋体" w:cs="宋体"/>
                <w:color w:val="auto"/>
                <w:szCs w:val="22"/>
                <w:highlight w:val="none"/>
              </w:rPr>
              <w:t>：</w:t>
            </w:r>
          </w:p>
        </w:tc>
      </w:tr>
    </w:tbl>
    <w:p w14:paraId="73D7CEC0">
      <w:pPr>
        <w:snapToGrid w:val="0"/>
        <w:spacing w:line="380" w:lineRule="exact"/>
        <w:jc w:val="left"/>
        <w:rPr>
          <w:rFonts w:hint="eastAsia" w:ascii="宋体" w:hAnsi="宋体"/>
          <w:color w:val="auto"/>
          <w:sz w:val="24"/>
          <w:highlight w:val="none"/>
        </w:rPr>
      </w:pPr>
      <w:r>
        <w:rPr>
          <w:rFonts w:hint="eastAsia" w:ascii="宋体" w:hAnsi="宋体"/>
          <w:color w:val="auto"/>
          <w:sz w:val="24"/>
          <w:highlight w:val="none"/>
        </w:rPr>
        <w:t xml:space="preserve">注： </w:t>
      </w:r>
    </w:p>
    <w:p w14:paraId="522DC9CF">
      <w:pPr>
        <w:snapToGrid w:val="0"/>
        <w:spacing w:line="360" w:lineRule="auto"/>
        <w:ind w:firstLine="480" w:firstLineChars="200"/>
        <w:jc w:val="left"/>
        <w:rPr>
          <w:rFonts w:hint="eastAsia" w:ascii="宋体" w:hAnsi="宋体"/>
          <w:b/>
          <w:color w:val="auto"/>
          <w:sz w:val="24"/>
          <w:highlight w:val="none"/>
        </w:rPr>
      </w:pPr>
      <w:r>
        <w:rPr>
          <w:rFonts w:hint="eastAsia" w:ascii="宋体" w:hAnsi="宋体"/>
          <w:bCs/>
          <w:color w:val="auto"/>
          <w:sz w:val="24"/>
          <w:highlight w:val="none"/>
        </w:rPr>
        <w:t>1.</w:t>
      </w:r>
      <w:r>
        <w:rPr>
          <w:rFonts w:hint="eastAsia" w:ascii="宋体" w:hAnsi="宋体"/>
          <w:color w:val="auto"/>
          <w:sz w:val="24"/>
          <w:highlight w:val="none"/>
        </w:rPr>
        <w:t>报价一经涂改，应在涂改处加盖投标人公章</w:t>
      </w:r>
      <w:r>
        <w:rPr>
          <w:rFonts w:hint="eastAsia" w:ascii="宋体" w:hAnsi="宋体" w:cs="仿宋_GB2312"/>
          <w:color w:val="auto"/>
          <w:sz w:val="24"/>
          <w:highlight w:val="none"/>
        </w:rPr>
        <w:t>或者加盖电子签章</w:t>
      </w:r>
      <w:r>
        <w:rPr>
          <w:rFonts w:hint="eastAsia" w:ascii="宋体" w:hAnsi="宋体"/>
          <w:color w:val="auto"/>
          <w:sz w:val="24"/>
          <w:highlight w:val="none"/>
        </w:rPr>
        <w:t>或者由法定代表人或者委托代理人签字（或者电子签名）</w:t>
      </w:r>
      <w:r>
        <w:rPr>
          <w:rFonts w:hint="eastAsia" w:ascii="宋体" w:hAnsi="宋体"/>
          <w:b/>
          <w:color w:val="auto"/>
          <w:sz w:val="24"/>
          <w:highlight w:val="none"/>
        </w:rPr>
        <w:t>，否则其投标作无效标处理。</w:t>
      </w:r>
    </w:p>
    <w:p w14:paraId="7E8FF9FB">
      <w:pPr>
        <w:snapToGrid w:val="0"/>
        <w:spacing w:line="360" w:lineRule="auto"/>
        <w:ind w:firstLine="456" w:firstLineChars="200"/>
        <w:jc w:val="left"/>
        <w:rPr>
          <w:rFonts w:hint="eastAsia" w:ascii="宋体" w:hAnsi="宋体"/>
          <w:color w:val="auto"/>
          <w:spacing w:val="-6"/>
          <w:sz w:val="24"/>
          <w:highlight w:val="none"/>
        </w:rPr>
      </w:pPr>
      <w:r>
        <w:rPr>
          <w:rFonts w:hint="eastAsia" w:ascii="宋体" w:hAnsi="宋体"/>
          <w:color w:val="auto"/>
          <w:spacing w:val="-6"/>
          <w:sz w:val="24"/>
          <w:highlight w:val="none"/>
        </w:rPr>
        <w:t>2.</w:t>
      </w:r>
      <w:r>
        <w:rPr>
          <w:rFonts w:hint="eastAsia" w:ascii="宋体" w:hAnsi="宋体"/>
          <w:color w:val="auto"/>
          <w:sz w:val="24"/>
          <w:highlight w:val="none"/>
        </w:rPr>
        <w:t>如为联合体投标，“投标人名称”处必须列明联合体各方名称，并标注联合体牵头人名称，</w:t>
      </w:r>
      <w:r>
        <w:rPr>
          <w:rFonts w:hint="eastAsia" w:ascii="宋体" w:hAnsi="宋体"/>
          <w:color w:val="auto"/>
          <w:spacing w:val="-6"/>
          <w:sz w:val="24"/>
          <w:highlight w:val="none"/>
        </w:rPr>
        <w:t>盖章处须加盖联合体牵头人电子签章，</w:t>
      </w:r>
      <w:r>
        <w:rPr>
          <w:rFonts w:hint="eastAsia" w:ascii="宋体" w:hAnsi="宋体"/>
          <w:b/>
          <w:color w:val="auto"/>
          <w:spacing w:val="-6"/>
          <w:sz w:val="24"/>
          <w:highlight w:val="none"/>
        </w:rPr>
        <w:t>否则其投标作无效标处理。</w:t>
      </w:r>
    </w:p>
    <w:p w14:paraId="44C4AC5D">
      <w:pPr>
        <w:snapToGrid w:val="0"/>
        <w:spacing w:line="380" w:lineRule="exact"/>
        <w:ind w:firstLine="480" w:firstLineChars="200"/>
        <w:rPr>
          <w:rFonts w:ascii="宋体" w:hAnsi="宋体"/>
          <w:b/>
          <w:color w:val="auto"/>
          <w:sz w:val="24"/>
          <w:highlight w:val="none"/>
        </w:rPr>
      </w:pPr>
      <w:r>
        <w:rPr>
          <w:rFonts w:hint="eastAsia" w:ascii="宋体" w:hAnsi="宋体"/>
          <w:color w:val="auto"/>
          <w:sz w:val="24"/>
          <w:highlight w:val="none"/>
        </w:rPr>
        <w:t>3.如有多分标，按分标分别提供开标一览表</w:t>
      </w:r>
      <w:r>
        <w:rPr>
          <w:rFonts w:hint="eastAsia" w:ascii="宋体" w:hAnsi="宋体"/>
          <w:b/>
          <w:color w:val="auto"/>
          <w:sz w:val="24"/>
          <w:highlight w:val="none"/>
        </w:rPr>
        <w:t>。</w:t>
      </w:r>
    </w:p>
    <w:p w14:paraId="60927F03">
      <w:pPr>
        <w:pStyle w:val="18"/>
        <w:rPr>
          <w:rFonts w:hint="eastAsia"/>
          <w:color w:val="auto"/>
          <w:highlight w:val="none"/>
        </w:rPr>
      </w:pPr>
    </w:p>
    <w:p w14:paraId="6811A8DF">
      <w:pPr>
        <w:snapToGrid w:val="0"/>
        <w:spacing w:line="380" w:lineRule="exact"/>
        <w:ind w:left="-2" w:leftChars="-1" w:right="-817" w:rightChars="-389"/>
        <w:rPr>
          <w:rFonts w:hint="eastAsia" w:ascii="宋体" w:hAnsi="宋体"/>
          <w:color w:val="auto"/>
          <w:sz w:val="24"/>
          <w:highlight w:val="none"/>
        </w:rPr>
      </w:pPr>
      <w:r>
        <w:rPr>
          <w:rFonts w:hint="eastAsia" w:ascii="宋体" w:hAnsi="宋体"/>
          <w:color w:val="auto"/>
          <w:sz w:val="24"/>
          <w:highlight w:val="none"/>
        </w:rPr>
        <w:t xml:space="preserve">                  </w:t>
      </w:r>
    </w:p>
    <w:p w14:paraId="0DC364BD">
      <w:pPr>
        <w:snapToGrid w:val="0"/>
        <w:spacing w:line="380" w:lineRule="exact"/>
        <w:ind w:left="-3" w:leftChars="-15" w:right="-817" w:rightChars="-389" w:hanging="28" w:hangingChars="12"/>
        <w:rPr>
          <w:rFonts w:hint="eastAsia" w:ascii="宋体" w:hAnsi="宋体"/>
          <w:color w:val="auto"/>
          <w:sz w:val="24"/>
          <w:highlight w:val="none"/>
        </w:rPr>
      </w:pPr>
      <w:r>
        <w:rPr>
          <w:rFonts w:hint="eastAsia" w:ascii="宋体" w:hAnsi="宋体"/>
          <w:color w:val="auto"/>
          <w:sz w:val="24"/>
          <w:highlight w:val="none"/>
        </w:rPr>
        <w:t xml:space="preserve">                                  投标人名称（电子签章）：</w:t>
      </w:r>
    </w:p>
    <w:p w14:paraId="28F1EDE1">
      <w:pPr>
        <w:snapToGrid w:val="0"/>
        <w:spacing w:line="380" w:lineRule="exact"/>
        <w:ind w:left="-3" w:leftChars="-15" w:right="-817" w:rightChars="-389" w:hanging="28" w:hangingChars="12"/>
        <w:rPr>
          <w:rFonts w:hint="eastAsia" w:ascii="宋体" w:hAnsi="宋体"/>
          <w:color w:val="auto"/>
          <w:szCs w:val="21"/>
          <w:highlight w:val="none"/>
        </w:rPr>
      </w:pPr>
      <w:r>
        <w:rPr>
          <w:rFonts w:hint="eastAsia" w:ascii="宋体" w:hAnsi="宋体"/>
          <w:color w:val="auto"/>
          <w:sz w:val="24"/>
          <w:highlight w:val="none"/>
        </w:rPr>
        <w:t xml:space="preserve">                                  日期：    年   月   日</w:t>
      </w:r>
    </w:p>
    <w:p w14:paraId="5F36F48D">
      <w:pPr>
        <w:snapToGrid w:val="0"/>
        <w:spacing w:before="120" w:beforeLines="50" w:after="50"/>
        <w:jc w:val="left"/>
        <w:outlineLvl w:val="2"/>
        <w:rPr>
          <w:rFonts w:hint="eastAsia" w:ascii="宋体" w:hAnsi="宋体"/>
          <w:b/>
          <w:color w:val="auto"/>
          <w:sz w:val="24"/>
          <w:highlight w:val="none"/>
        </w:rPr>
      </w:pPr>
      <w:r>
        <w:rPr>
          <w:rFonts w:ascii="宋体" w:hAnsi="宋体"/>
          <w:b/>
          <w:bCs/>
          <w:color w:val="auto"/>
          <w:sz w:val="24"/>
          <w:highlight w:val="none"/>
        </w:rPr>
        <w:br w:type="page"/>
      </w:r>
      <w:bookmarkStart w:id="222" w:name="_Toc5011"/>
      <w:bookmarkStart w:id="223" w:name="_Toc19686837"/>
      <w:r>
        <w:rPr>
          <w:rFonts w:hint="eastAsia" w:ascii="宋体" w:hAnsi="宋体"/>
          <w:b/>
          <w:bCs/>
          <w:color w:val="auto"/>
          <w:sz w:val="24"/>
          <w:highlight w:val="none"/>
        </w:rPr>
        <w:t>3.</w:t>
      </w:r>
      <w:r>
        <w:rPr>
          <w:rFonts w:hint="eastAsia" w:ascii="宋体" w:hAnsi="宋体"/>
          <w:b/>
          <w:color w:val="auto"/>
          <w:sz w:val="24"/>
          <w:highlight w:val="none"/>
        </w:rPr>
        <w:t>供应商享受中小企业扶持政策的材料</w:t>
      </w:r>
      <w:bookmarkEnd w:id="222"/>
    </w:p>
    <w:p w14:paraId="2BA0C893">
      <w:pPr>
        <w:snapToGrid w:val="0"/>
        <w:spacing w:before="120" w:beforeLines="50" w:after="50"/>
        <w:jc w:val="left"/>
        <w:rPr>
          <w:rFonts w:hint="eastAsia" w:ascii="宋体" w:hAnsi="宋体"/>
          <w:b/>
          <w:color w:val="auto"/>
          <w:sz w:val="24"/>
          <w:highlight w:val="none"/>
        </w:rPr>
      </w:pPr>
      <w:r>
        <w:rPr>
          <w:rFonts w:hint="eastAsia" w:ascii="宋体" w:hAnsi="宋体"/>
          <w:bCs/>
          <w:color w:val="auto"/>
          <w:sz w:val="24"/>
          <w:highlight w:val="none"/>
        </w:rPr>
        <w:t>（供应商根据自身响应情况，提供以下任意一项材料以证明自身可享受中小企业扶持政策）</w:t>
      </w:r>
    </w:p>
    <w:p w14:paraId="40AFD01B">
      <w:pPr>
        <w:snapToGrid w:val="0"/>
        <w:spacing w:before="120" w:beforeLines="50" w:after="50"/>
        <w:jc w:val="left"/>
        <w:outlineLvl w:val="2"/>
        <w:rPr>
          <w:rFonts w:ascii="宋体" w:hAnsi="宋体"/>
          <w:b/>
          <w:color w:val="auto"/>
          <w:sz w:val="24"/>
          <w:highlight w:val="none"/>
        </w:rPr>
      </w:pPr>
      <w:bookmarkStart w:id="224" w:name="_Toc10128"/>
      <w:r>
        <w:rPr>
          <w:rFonts w:hint="eastAsia" w:ascii="宋体" w:hAnsi="宋体"/>
          <w:b/>
          <w:color w:val="auto"/>
          <w:sz w:val="24"/>
          <w:highlight w:val="none"/>
        </w:rPr>
        <w:t>（1）中小企业声明函格式</w:t>
      </w:r>
      <w:bookmarkEnd w:id="224"/>
    </w:p>
    <w:p w14:paraId="1D084653">
      <w:pPr>
        <w:snapToGrid w:val="0"/>
        <w:spacing w:before="120" w:beforeLines="50" w:after="50"/>
        <w:jc w:val="left"/>
        <w:rPr>
          <w:rFonts w:ascii="宋体" w:hAnsi="宋体"/>
          <w:b/>
          <w:color w:val="auto"/>
          <w:sz w:val="24"/>
          <w:highlight w:val="none"/>
        </w:rPr>
      </w:pPr>
    </w:p>
    <w:p w14:paraId="03AD03EF">
      <w:pPr>
        <w:rPr>
          <w:rFonts w:hint="eastAsia"/>
          <w:color w:val="auto"/>
          <w:highlight w:val="none"/>
        </w:rPr>
      </w:pPr>
    </w:p>
    <w:p w14:paraId="14DE6398">
      <w:pPr>
        <w:jc w:val="center"/>
        <w:rPr>
          <w:rFonts w:hint="eastAsia" w:ascii="方正小标宋简体" w:hAnsi="方正小标宋简体" w:eastAsia="方正小标宋简体" w:cs="方正小标宋简体"/>
          <w:color w:val="auto"/>
          <w:sz w:val="44"/>
          <w:szCs w:val="44"/>
          <w:highlight w:val="none"/>
        </w:rPr>
      </w:pPr>
      <w:r>
        <w:rPr>
          <w:rFonts w:hint="eastAsia" w:ascii="黑体" w:hAnsi="黑体" w:eastAsia="黑体" w:cs="黑体"/>
          <w:color w:val="auto"/>
          <w:sz w:val="44"/>
          <w:szCs w:val="44"/>
          <w:highlight w:val="none"/>
        </w:rPr>
        <w:t>中小企业声明函（货物）</w:t>
      </w:r>
    </w:p>
    <w:p w14:paraId="64D46ECB">
      <w:pPr>
        <w:spacing w:before="2" w:line="500" w:lineRule="exact"/>
        <w:rPr>
          <w:rFonts w:ascii="宋体" w:hAnsi="宋体" w:cs="宋体"/>
          <w:b/>
          <w:bCs/>
          <w:color w:val="auto"/>
          <w:sz w:val="27"/>
          <w:szCs w:val="27"/>
          <w:highlight w:val="none"/>
        </w:rPr>
      </w:pPr>
    </w:p>
    <w:p w14:paraId="1E8927AA">
      <w:pPr>
        <w:pStyle w:val="18"/>
        <w:spacing w:before="120" w:beforeLines="50" w:after="120" w:afterLines="50" w:line="240" w:lineRule="auto"/>
        <w:ind w:left="-426" w:leftChars="-203" w:right="142" w:firstLine="480" w:firstLineChars="200"/>
        <w:contextualSpacing/>
        <w:rPr>
          <w:rFonts w:ascii="宋体" w:hAnsi="宋体"/>
          <w:color w:val="auto"/>
          <w:kern w:val="24"/>
          <w:highlight w:val="none"/>
        </w:rPr>
      </w:pPr>
      <w:r>
        <w:rPr>
          <w:rFonts w:ascii="宋体" w:hAnsi="宋体"/>
          <w:color w:val="auto"/>
          <w:kern w:val="24"/>
          <w:highlight w:val="none"/>
        </w:rPr>
        <w:t>本公司郑重声明，根据《政府采购促进中小企业发展管理办法》（财库﹝2020﹞46号）的规定，本公司参加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采购活动，提供的货物全部由符合政策要求的中小企业制造。相关企业的具体情况如下：</w:t>
      </w:r>
    </w:p>
    <w:p w14:paraId="49986BD6">
      <w:pPr>
        <w:tabs>
          <w:tab w:val="left" w:pos="1384"/>
          <w:tab w:val="left" w:pos="4562"/>
          <w:tab w:val="left" w:pos="6803"/>
        </w:tabs>
        <w:spacing w:before="120" w:beforeLines="50" w:after="120" w:afterLines="50"/>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hint="eastAsia" w:ascii="宋体" w:hAnsi="宋体"/>
          <w:color w:val="auto"/>
          <w:szCs w:val="21"/>
          <w:highlight w:val="none"/>
        </w:rPr>
        <w:t xml:space="preserve"> </w:t>
      </w:r>
      <w:r>
        <w:rPr>
          <w:rFonts w:hint="eastAsia" w:ascii="宋体" w:hAnsi="宋体"/>
          <w:color w:val="auto"/>
          <w:kern w:val="24"/>
          <w:sz w:val="24"/>
          <w:highlight w:val="none"/>
          <w:u w:val="single"/>
        </w:rPr>
        <w:t xml:space="preserve">猪口蹄疫O型灭活疫苗 </w:t>
      </w:r>
      <w:r>
        <w:rPr>
          <w:rFonts w:ascii="宋体" w:hAnsi="宋体"/>
          <w:color w:val="auto"/>
          <w:kern w:val="24"/>
          <w:sz w:val="24"/>
          <w:highlight w:val="none"/>
        </w:rPr>
        <w:t>，属于</w:t>
      </w:r>
      <w:r>
        <w:rPr>
          <w:rFonts w:hint="eastAsia" w:ascii="宋体" w:hAnsi="宋体"/>
          <w:color w:val="auto"/>
          <w:kern w:val="24"/>
          <w:sz w:val="24"/>
          <w:highlight w:val="none"/>
          <w:u w:val="single"/>
        </w:rPr>
        <w:t xml:space="preserve"> 工业 </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0E2D11E3">
      <w:pPr>
        <w:tabs>
          <w:tab w:val="left" w:pos="1065"/>
          <w:tab w:val="left" w:pos="6477"/>
        </w:tabs>
        <w:spacing w:before="120" w:beforeLines="50" w:after="120" w:afterLines="50"/>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hint="eastAsia" w:ascii="宋体" w:hAnsi="宋体"/>
          <w:color w:val="auto"/>
          <w:szCs w:val="21"/>
          <w:highlight w:val="none"/>
        </w:rPr>
        <w:t xml:space="preserve"> </w:t>
      </w:r>
      <w:r>
        <w:rPr>
          <w:rFonts w:hint="eastAsia" w:ascii="宋体" w:hAnsi="宋体"/>
          <w:color w:val="auto"/>
          <w:kern w:val="24"/>
          <w:sz w:val="24"/>
          <w:highlight w:val="none"/>
          <w:u w:val="single"/>
        </w:rPr>
        <w:t>猪口蹄疫O型合成肽疫苗</w:t>
      </w:r>
      <w:r>
        <w:rPr>
          <w:rFonts w:ascii="宋体" w:hAnsi="宋体"/>
          <w:color w:val="auto"/>
          <w:kern w:val="24"/>
          <w:sz w:val="24"/>
          <w:highlight w:val="none"/>
        </w:rPr>
        <w:t>，属于</w:t>
      </w:r>
      <w:r>
        <w:rPr>
          <w:rFonts w:hint="eastAsia" w:ascii="宋体" w:hAnsi="宋体"/>
          <w:color w:val="auto"/>
          <w:kern w:val="24"/>
          <w:sz w:val="24"/>
          <w:highlight w:val="none"/>
          <w:u w:val="single"/>
        </w:rPr>
        <w:t xml:space="preserve"> 工业 </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60898618">
      <w:pPr>
        <w:tabs>
          <w:tab w:val="left" w:pos="1065"/>
          <w:tab w:val="left" w:pos="6477"/>
        </w:tabs>
        <w:spacing w:before="120" w:beforeLines="50" w:after="120" w:afterLines="50"/>
        <w:ind w:left="-426" w:right="-58" w:firstLine="655"/>
        <w:contextualSpacing/>
        <w:rPr>
          <w:rFonts w:hint="eastAsia" w:ascii="宋体" w:hAnsi="宋体"/>
          <w:color w:val="auto"/>
          <w:kern w:val="24"/>
          <w:sz w:val="24"/>
          <w:highlight w:val="none"/>
        </w:rPr>
      </w:pPr>
      <w:r>
        <w:rPr>
          <w:rFonts w:hint="eastAsia" w:ascii="宋体" w:hAnsi="宋体"/>
          <w:color w:val="auto"/>
          <w:kern w:val="24"/>
          <w:sz w:val="24"/>
          <w:highlight w:val="none"/>
        </w:rPr>
        <w:t>3</w:t>
      </w:r>
      <w:r>
        <w:rPr>
          <w:rFonts w:ascii="宋体" w:hAnsi="宋体"/>
          <w:color w:val="auto"/>
          <w:kern w:val="24"/>
          <w:sz w:val="24"/>
          <w:highlight w:val="none"/>
        </w:rPr>
        <w:t>.</w:t>
      </w:r>
      <w:r>
        <w:rPr>
          <w:rFonts w:hint="eastAsia" w:ascii="宋体" w:hAnsi="宋体"/>
          <w:color w:val="auto"/>
          <w:szCs w:val="21"/>
          <w:highlight w:val="none"/>
        </w:rPr>
        <w:t xml:space="preserve"> </w:t>
      </w:r>
      <w:r>
        <w:rPr>
          <w:rFonts w:hint="eastAsia" w:ascii="宋体" w:hAnsi="宋体"/>
          <w:color w:val="auto"/>
          <w:kern w:val="24"/>
          <w:sz w:val="24"/>
          <w:highlight w:val="none"/>
          <w:u w:val="single"/>
        </w:rPr>
        <w:t>猪口蹄疫O型病毒样颗粒疫苗</w:t>
      </w:r>
      <w:r>
        <w:rPr>
          <w:rFonts w:ascii="宋体" w:hAnsi="宋体"/>
          <w:color w:val="auto"/>
          <w:kern w:val="24"/>
          <w:sz w:val="24"/>
          <w:highlight w:val="none"/>
        </w:rPr>
        <w:t>，属于</w:t>
      </w:r>
      <w:r>
        <w:rPr>
          <w:rFonts w:hint="eastAsia" w:ascii="宋体" w:hAnsi="宋体"/>
          <w:color w:val="auto"/>
          <w:kern w:val="24"/>
          <w:sz w:val="24"/>
          <w:highlight w:val="none"/>
          <w:u w:val="single"/>
        </w:rPr>
        <w:t xml:space="preserve"> 工业 </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hint="eastAsia" w:ascii="宋体" w:hAnsi="宋体"/>
          <w:color w:val="auto"/>
          <w:kern w:val="24"/>
          <w:sz w:val="24"/>
          <w:highlight w:val="none"/>
        </w:rPr>
        <w:t>。</w:t>
      </w:r>
    </w:p>
    <w:p w14:paraId="6FB7A425">
      <w:pPr>
        <w:tabs>
          <w:tab w:val="left" w:pos="1065"/>
          <w:tab w:val="left" w:pos="6477"/>
        </w:tabs>
        <w:spacing w:before="120" w:beforeLines="50" w:after="120" w:afterLines="50"/>
        <w:ind w:left="-426" w:right="-58" w:firstLine="655"/>
        <w:contextualSpacing/>
        <w:rPr>
          <w:rFonts w:ascii="宋体" w:hAnsi="宋体"/>
          <w:color w:val="auto"/>
          <w:kern w:val="24"/>
          <w:sz w:val="24"/>
          <w:highlight w:val="none"/>
        </w:rPr>
      </w:pPr>
      <w:r>
        <w:rPr>
          <w:rFonts w:hint="eastAsia" w:ascii="宋体" w:hAnsi="宋体"/>
          <w:color w:val="auto"/>
          <w:kern w:val="24"/>
          <w:sz w:val="24"/>
          <w:highlight w:val="none"/>
        </w:rPr>
        <w:t>4</w:t>
      </w:r>
      <w:r>
        <w:rPr>
          <w:rFonts w:ascii="宋体" w:hAnsi="宋体"/>
          <w:color w:val="auto"/>
          <w:kern w:val="24"/>
          <w:sz w:val="24"/>
          <w:highlight w:val="none"/>
        </w:rPr>
        <w:t>.</w:t>
      </w:r>
      <w:r>
        <w:rPr>
          <w:rFonts w:hint="eastAsia" w:ascii="宋体" w:hAnsi="宋体"/>
          <w:color w:val="auto"/>
          <w:szCs w:val="21"/>
          <w:highlight w:val="none"/>
        </w:rPr>
        <w:t xml:space="preserve"> </w:t>
      </w:r>
      <w:r>
        <w:rPr>
          <w:rFonts w:hint="eastAsia" w:ascii="宋体" w:hAnsi="宋体"/>
          <w:color w:val="auto"/>
          <w:kern w:val="24"/>
          <w:sz w:val="24"/>
          <w:highlight w:val="none"/>
          <w:u w:val="single"/>
        </w:rPr>
        <w:t>小反刍兽疫弱毒活疫苗</w:t>
      </w:r>
      <w:r>
        <w:rPr>
          <w:rFonts w:ascii="宋体" w:hAnsi="宋体"/>
          <w:color w:val="auto"/>
          <w:kern w:val="24"/>
          <w:sz w:val="24"/>
          <w:highlight w:val="none"/>
        </w:rPr>
        <w:t>，属于</w:t>
      </w:r>
      <w:r>
        <w:rPr>
          <w:rFonts w:hint="eastAsia" w:ascii="宋体" w:hAnsi="宋体"/>
          <w:color w:val="auto"/>
          <w:kern w:val="24"/>
          <w:sz w:val="24"/>
          <w:highlight w:val="none"/>
          <w:u w:val="single"/>
        </w:rPr>
        <w:t xml:space="preserve"> 工业 </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614898F8">
      <w:pPr>
        <w:pStyle w:val="18"/>
        <w:spacing w:before="120" w:beforeLines="50" w:after="120" w:afterLines="50" w:line="240" w:lineRule="auto"/>
        <w:ind w:left="-405" w:leftChars="-193" w:right="142" w:firstLine="453"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14:paraId="082D56EF">
      <w:pPr>
        <w:pStyle w:val="18"/>
        <w:spacing w:before="120" w:beforeLines="50" w:after="120" w:afterLines="50" w:line="24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14:paraId="312E2C8E">
      <w:pPr>
        <w:pStyle w:val="18"/>
        <w:spacing w:before="120" w:beforeLines="50" w:after="120" w:afterLines="50" w:line="240" w:lineRule="auto"/>
        <w:ind w:left="3960" w:right="1808"/>
        <w:contextualSpacing/>
        <w:rPr>
          <w:rFonts w:hint="eastAsia" w:ascii="宋体" w:hAnsi="宋体"/>
          <w:color w:val="auto"/>
          <w:kern w:val="24"/>
          <w:highlight w:val="none"/>
        </w:rPr>
      </w:pPr>
    </w:p>
    <w:p w14:paraId="3D9D5F97">
      <w:pPr>
        <w:pStyle w:val="18"/>
        <w:spacing w:before="120" w:beforeLines="50" w:after="120" w:afterLines="50" w:line="240" w:lineRule="auto"/>
        <w:ind w:left="3960" w:right="1808"/>
        <w:contextualSpacing/>
        <w:rPr>
          <w:rFonts w:ascii="宋体" w:hAnsi="宋体"/>
          <w:color w:val="auto"/>
          <w:kern w:val="24"/>
          <w:highlight w:val="none"/>
        </w:rPr>
      </w:pPr>
    </w:p>
    <w:p w14:paraId="20A83A7D">
      <w:pPr>
        <w:pStyle w:val="18"/>
        <w:spacing w:before="120" w:beforeLines="50" w:after="120" w:afterLines="50" w:line="240" w:lineRule="auto"/>
        <w:ind w:left="3960" w:right="1808"/>
        <w:contextualSpacing/>
        <w:rPr>
          <w:rFonts w:ascii="宋体" w:hAnsi="宋体"/>
          <w:color w:val="auto"/>
          <w:kern w:val="24"/>
          <w:highlight w:val="none"/>
        </w:rPr>
      </w:pPr>
    </w:p>
    <w:p w14:paraId="69F3B51B">
      <w:pPr>
        <w:pStyle w:val="18"/>
        <w:spacing w:before="120" w:beforeLines="50" w:after="120" w:afterLines="50" w:line="240" w:lineRule="auto"/>
        <w:ind w:left="3960" w:right="1808"/>
        <w:contextualSpacing/>
        <w:rPr>
          <w:rFonts w:ascii="宋体" w:hAnsi="宋体"/>
          <w:color w:val="auto"/>
          <w:kern w:val="24"/>
          <w:highlight w:val="none"/>
        </w:rPr>
      </w:pPr>
      <w:r>
        <w:rPr>
          <w:rFonts w:ascii="宋体" w:hAnsi="宋体"/>
          <w:color w:val="auto"/>
          <w:kern w:val="24"/>
          <w:highlight w:val="none"/>
        </w:rPr>
        <w:t>企业名称（</w:t>
      </w:r>
      <w:r>
        <w:rPr>
          <w:rFonts w:hint="eastAsia" w:ascii="宋体" w:hAnsi="宋体"/>
          <w:color w:val="auto"/>
          <w:kern w:val="24"/>
          <w:highlight w:val="none"/>
        </w:rPr>
        <w:t>电子签章</w:t>
      </w:r>
      <w:r>
        <w:rPr>
          <w:rFonts w:ascii="宋体" w:hAnsi="宋体"/>
          <w:color w:val="auto"/>
          <w:kern w:val="24"/>
          <w:highlight w:val="none"/>
        </w:rPr>
        <w:t xml:space="preserve">）： </w:t>
      </w:r>
    </w:p>
    <w:p w14:paraId="4B0659FC">
      <w:pPr>
        <w:pStyle w:val="18"/>
        <w:spacing w:before="120" w:beforeLines="50" w:after="120" w:afterLines="50" w:line="240" w:lineRule="auto"/>
        <w:ind w:left="3960" w:right="1808"/>
        <w:contextualSpacing/>
        <w:rPr>
          <w:rFonts w:ascii="宋体" w:hAnsi="宋体"/>
          <w:color w:val="auto"/>
          <w:kern w:val="24"/>
          <w:highlight w:val="none"/>
        </w:rPr>
      </w:pPr>
    </w:p>
    <w:p w14:paraId="7C30DA6B">
      <w:pPr>
        <w:pStyle w:val="18"/>
        <w:spacing w:before="120" w:beforeLines="50" w:after="120" w:afterLines="50" w:line="240" w:lineRule="auto"/>
        <w:ind w:left="3960" w:right="1808"/>
        <w:contextualSpacing/>
        <w:rPr>
          <w:rFonts w:ascii="宋体" w:hAnsi="宋体"/>
          <w:color w:val="auto"/>
          <w:kern w:val="24"/>
          <w:highlight w:val="none"/>
        </w:rPr>
      </w:pPr>
      <w:r>
        <w:rPr>
          <w:rFonts w:ascii="宋体" w:hAnsi="宋体"/>
          <w:color w:val="auto"/>
          <w:kern w:val="24"/>
          <w:highlight w:val="none"/>
        </w:rPr>
        <w:t>日</w:t>
      </w:r>
      <w:r>
        <w:rPr>
          <w:rFonts w:hint="eastAsia" w:ascii="宋体" w:hAnsi="宋体"/>
          <w:color w:val="auto"/>
          <w:kern w:val="24"/>
          <w:highlight w:val="none"/>
        </w:rPr>
        <w:t xml:space="preserve"> </w:t>
      </w:r>
      <w:r>
        <w:rPr>
          <w:rFonts w:ascii="宋体" w:hAnsi="宋体"/>
          <w:color w:val="auto"/>
          <w:kern w:val="24"/>
          <w:highlight w:val="none"/>
        </w:rPr>
        <w:t>期：</w:t>
      </w:r>
    </w:p>
    <w:p w14:paraId="36706E80">
      <w:pPr>
        <w:pStyle w:val="18"/>
        <w:spacing w:before="120" w:beforeLines="50" w:after="120" w:afterLines="50" w:line="240" w:lineRule="auto"/>
        <w:ind w:left="3960" w:right="1808"/>
        <w:contextualSpacing/>
        <w:rPr>
          <w:rFonts w:ascii="宋体" w:hAnsi="宋体"/>
          <w:color w:val="auto"/>
          <w:kern w:val="24"/>
          <w:highlight w:val="none"/>
        </w:rPr>
      </w:pPr>
    </w:p>
    <w:p w14:paraId="06E4E365">
      <w:pPr>
        <w:pStyle w:val="18"/>
        <w:spacing w:before="120" w:beforeLines="50" w:after="120" w:afterLines="50" w:line="240" w:lineRule="auto"/>
        <w:ind w:left="-426" w:right="142" w:firstLine="567"/>
        <w:contextualSpacing/>
        <w:rPr>
          <w:rFonts w:ascii="宋体" w:hAnsi="宋体"/>
          <w:color w:val="auto"/>
          <w:kern w:val="24"/>
          <w:highlight w:val="none"/>
        </w:rPr>
      </w:pPr>
      <w:r>
        <w:rPr>
          <w:rFonts w:hint="eastAsia" w:ascii="宋体" w:hAnsi="宋体"/>
          <w:color w:val="auto"/>
          <w:kern w:val="24"/>
          <w:highlight w:val="none"/>
        </w:rPr>
        <w:t>注：</w:t>
      </w:r>
    </w:p>
    <w:p w14:paraId="0B0C03D0">
      <w:pPr>
        <w:pStyle w:val="18"/>
        <w:spacing w:before="120" w:beforeLines="50" w:after="120" w:afterLines="50" w:line="240" w:lineRule="auto"/>
        <w:ind w:left="-426" w:right="142" w:firstLine="567"/>
        <w:contextualSpacing/>
        <w:rPr>
          <w:rFonts w:ascii="宋体" w:hAnsi="宋体"/>
          <w:color w:val="auto"/>
          <w:kern w:val="24"/>
          <w:highlight w:val="none"/>
        </w:rPr>
      </w:pPr>
      <w:r>
        <w:rPr>
          <w:rFonts w:hint="eastAsia" w:ascii="宋体" w:hAnsi="宋体"/>
          <w:color w:val="auto"/>
          <w:kern w:val="24"/>
          <w:highlight w:val="none"/>
        </w:rPr>
        <w:t>1.若投标人符合《政府采购促进中小企业发展管理办法》（财库〔2020〕46号）规定的，自行根据所投分标对应填写，未投分标相应删除。</w:t>
      </w:r>
    </w:p>
    <w:p w14:paraId="3DB69927">
      <w:pPr>
        <w:pStyle w:val="18"/>
        <w:spacing w:before="120" w:beforeLines="50" w:after="120" w:afterLines="50" w:line="240" w:lineRule="auto"/>
        <w:ind w:left="-426" w:right="142" w:firstLine="567"/>
        <w:contextualSpacing/>
        <w:rPr>
          <w:rFonts w:ascii="宋体" w:hAnsi="宋体"/>
          <w:color w:val="auto"/>
          <w:kern w:val="24"/>
          <w:highlight w:val="none"/>
        </w:rPr>
      </w:pPr>
      <w:r>
        <w:rPr>
          <w:rFonts w:hint="eastAsia" w:ascii="宋体" w:hAnsi="宋体"/>
          <w:color w:val="auto"/>
          <w:kern w:val="24"/>
          <w:highlight w:val="none"/>
        </w:rPr>
        <w:t>2.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767AB0C1">
      <w:pPr>
        <w:rPr>
          <w:rFonts w:ascii="宋体" w:hAnsi="宋体"/>
          <w:b/>
          <w:color w:val="auto"/>
          <w:sz w:val="24"/>
          <w:highlight w:val="none"/>
        </w:rPr>
      </w:pPr>
      <w:r>
        <w:rPr>
          <w:rFonts w:ascii="宋体" w:hAnsi="宋体"/>
          <w:color w:val="auto"/>
          <w:kern w:val="24"/>
          <w:highlight w:val="none"/>
        </w:rPr>
        <w:br w:type="page"/>
      </w:r>
    </w:p>
    <w:p w14:paraId="711C2500">
      <w:pPr>
        <w:snapToGrid w:val="0"/>
        <w:spacing w:before="120" w:beforeLines="50" w:after="50"/>
        <w:ind w:left="142"/>
        <w:jc w:val="left"/>
        <w:outlineLvl w:val="2"/>
        <w:rPr>
          <w:rFonts w:hint="eastAsia" w:ascii="宋体" w:hAnsi="宋体"/>
          <w:b/>
          <w:color w:val="auto"/>
          <w:sz w:val="24"/>
          <w:highlight w:val="none"/>
        </w:rPr>
      </w:pPr>
      <w:bookmarkStart w:id="225" w:name="_Toc14508"/>
      <w:r>
        <w:rPr>
          <w:rFonts w:hint="eastAsia" w:ascii="宋体" w:hAnsi="宋体"/>
          <w:b/>
          <w:color w:val="auto"/>
          <w:sz w:val="24"/>
          <w:highlight w:val="none"/>
        </w:rPr>
        <w:t>（2）残疾人福利性单位声明函格式</w:t>
      </w:r>
      <w:bookmarkEnd w:id="225"/>
    </w:p>
    <w:p w14:paraId="3C1C36C3">
      <w:pPr>
        <w:spacing w:line="588" w:lineRule="exact"/>
        <w:jc w:val="center"/>
        <w:rPr>
          <w:rFonts w:hint="eastAsia" w:ascii="仿宋_GB2312" w:eastAsia="仿宋_GB2312"/>
          <w:b/>
          <w:color w:val="auto"/>
          <w:spacing w:val="6"/>
          <w:sz w:val="32"/>
          <w:szCs w:val="32"/>
          <w:highlight w:val="none"/>
        </w:rPr>
      </w:pPr>
    </w:p>
    <w:p w14:paraId="00A07C48">
      <w:pPr>
        <w:spacing w:line="588" w:lineRule="exact"/>
        <w:jc w:val="center"/>
        <w:rPr>
          <w:rFonts w:hint="eastAsia" w:ascii="黑体" w:hAnsi="黑体" w:eastAsia="黑体" w:cs="黑体"/>
          <w:bCs/>
          <w:color w:val="auto"/>
          <w:spacing w:val="6"/>
          <w:sz w:val="44"/>
          <w:szCs w:val="44"/>
          <w:highlight w:val="none"/>
        </w:rPr>
      </w:pPr>
      <w:r>
        <w:rPr>
          <w:rFonts w:hint="eastAsia" w:ascii="黑体" w:hAnsi="黑体" w:eastAsia="黑体" w:cs="黑体"/>
          <w:bCs/>
          <w:color w:val="auto"/>
          <w:spacing w:val="6"/>
          <w:sz w:val="44"/>
          <w:szCs w:val="44"/>
          <w:highlight w:val="none"/>
        </w:rPr>
        <w:t>残疾人福利性单位声明函</w:t>
      </w:r>
    </w:p>
    <w:p w14:paraId="3D1E3CDF">
      <w:pPr>
        <w:spacing w:line="360" w:lineRule="auto"/>
        <w:contextualSpacing/>
        <w:rPr>
          <w:rFonts w:ascii="仿宋_GB2312" w:eastAsia="仿宋_GB2312"/>
          <w:bCs/>
          <w:color w:val="auto"/>
          <w:spacing w:val="6"/>
          <w:sz w:val="30"/>
          <w:szCs w:val="30"/>
          <w:highlight w:val="none"/>
        </w:rPr>
      </w:pPr>
    </w:p>
    <w:p w14:paraId="711AB7B7">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1375282C">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4A8EC21C">
      <w:pPr>
        <w:spacing w:line="360" w:lineRule="auto"/>
        <w:ind w:firstLine="504" w:firstLineChars="200"/>
        <w:contextualSpacing/>
        <w:rPr>
          <w:rFonts w:ascii="宋体" w:hAnsi="宋体"/>
          <w:color w:val="auto"/>
          <w:spacing w:val="6"/>
          <w:sz w:val="24"/>
          <w:highlight w:val="none"/>
        </w:rPr>
      </w:pPr>
    </w:p>
    <w:p w14:paraId="1F3B9DC8">
      <w:pPr>
        <w:spacing w:line="360" w:lineRule="auto"/>
        <w:ind w:firstLine="504" w:firstLineChars="200"/>
        <w:contextualSpacing/>
        <w:rPr>
          <w:rFonts w:ascii="宋体" w:hAnsi="宋体"/>
          <w:color w:val="auto"/>
          <w:spacing w:val="6"/>
          <w:sz w:val="24"/>
          <w:highlight w:val="none"/>
        </w:rPr>
      </w:pPr>
    </w:p>
    <w:p w14:paraId="273748FD">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单位名称（电子签章）：</w:t>
      </w:r>
    </w:p>
    <w:p w14:paraId="7C21E262">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4053664E">
      <w:pPr>
        <w:spacing w:line="360" w:lineRule="auto"/>
        <w:contextualSpacing/>
        <w:rPr>
          <w:rFonts w:ascii="宋体" w:hAnsi="宋体"/>
          <w:color w:val="auto"/>
          <w:sz w:val="24"/>
          <w:highlight w:val="none"/>
        </w:rPr>
      </w:pPr>
    </w:p>
    <w:p w14:paraId="042EFD92">
      <w:pPr>
        <w:spacing w:line="360" w:lineRule="auto"/>
        <w:contextualSpacing/>
        <w:rPr>
          <w:rFonts w:hint="eastAsia" w:ascii="宋体" w:hAnsi="宋体"/>
          <w:color w:val="auto"/>
          <w:sz w:val="24"/>
          <w:highlight w:val="none"/>
        </w:rPr>
      </w:pPr>
    </w:p>
    <w:p w14:paraId="7E2B4B23">
      <w:pPr>
        <w:spacing w:line="360" w:lineRule="auto"/>
        <w:contextualSpacing/>
        <w:rPr>
          <w:rFonts w:ascii="宋体" w:hAnsi="宋体"/>
          <w:color w:val="auto"/>
          <w:sz w:val="24"/>
          <w:highlight w:val="none"/>
        </w:rPr>
      </w:pPr>
    </w:p>
    <w:p w14:paraId="4EB0FC67">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438ED39C">
      <w:pPr>
        <w:pStyle w:val="18"/>
        <w:outlineLvl w:val="2"/>
        <w:rPr>
          <w:rFonts w:ascii="宋体" w:hAnsi="宋体"/>
          <w:b/>
          <w:color w:val="auto"/>
          <w:highlight w:val="none"/>
        </w:rPr>
      </w:pPr>
      <w:r>
        <w:rPr>
          <w:rFonts w:ascii="宋体" w:hAnsi="宋体"/>
          <w:color w:val="auto"/>
          <w:highlight w:val="none"/>
        </w:rPr>
        <w:br w:type="page"/>
      </w:r>
      <w:bookmarkStart w:id="226" w:name="_Toc27531"/>
      <w:r>
        <w:rPr>
          <w:rFonts w:hint="eastAsia" w:ascii="宋体" w:hAnsi="宋体"/>
          <w:b/>
          <w:color w:val="auto"/>
          <w:highlight w:val="none"/>
        </w:rPr>
        <w:t>4.关于符合本国产品标准的声明函格式</w:t>
      </w:r>
      <w:bookmarkEnd w:id="226"/>
    </w:p>
    <w:p w14:paraId="27EFA8A3">
      <w:pPr>
        <w:pStyle w:val="18"/>
        <w:rPr>
          <w:color w:val="auto"/>
          <w:highlight w:val="none"/>
        </w:rPr>
      </w:pPr>
    </w:p>
    <w:p w14:paraId="37C28AC3">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w:t>
      </w:r>
    </w:p>
    <w:p w14:paraId="127D70FC">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w:t>
      </w:r>
    </w:p>
    <w:p w14:paraId="52BA511F">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2BF21CF2">
      <w:pPr>
        <w:widowControl/>
        <w:shd w:val="clear" w:color="auto" w:fill="FFFFFF"/>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Cs/>
          <w:color w:val="auto"/>
          <w:kern w:val="0"/>
          <w:sz w:val="24"/>
          <w:highlight w:val="none"/>
          <w:u w:val="single"/>
        </w:rPr>
        <w:t>（产品名称1）</w:t>
      </w:r>
      <w:r>
        <w:rPr>
          <w:rFonts w:hint="eastAsia" w:ascii="宋体" w:hAnsi="宋体" w:cs="宋体"/>
          <w:iCs/>
          <w:color w:val="auto"/>
          <w:kern w:val="0"/>
          <w:sz w:val="18"/>
          <w:szCs w:val="18"/>
          <w:highlight w:val="none"/>
          <w:vertAlign w:val="superscript"/>
        </w:rPr>
        <w:t>1</w:t>
      </w:r>
      <w:r>
        <w:rPr>
          <w:rFonts w:hint="eastAsia" w:ascii="宋体" w:hAnsi="宋体" w:cs="宋体"/>
          <w:color w:val="auto"/>
          <w:kern w:val="0"/>
          <w:sz w:val="24"/>
          <w:highlight w:val="none"/>
        </w:rPr>
        <w:t>，生产厂为</w:t>
      </w:r>
      <w:r>
        <w:rPr>
          <w:rFonts w:hint="eastAsia" w:ascii="宋体" w:hAnsi="宋体" w:cs="宋体"/>
          <w:iCs/>
          <w:color w:val="auto"/>
          <w:kern w:val="0"/>
          <w:sz w:val="24"/>
          <w:highlight w:val="none"/>
          <w:u w:val="single"/>
        </w:rPr>
        <w:t>（厂名）</w:t>
      </w:r>
      <w:r>
        <w:rPr>
          <w:rFonts w:hint="eastAsia" w:ascii="宋体" w:hAnsi="宋体" w:cs="宋体"/>
          <w:iCs/>
          <w:color w:val="auto"/>
          <w:kern w:val="0"/>
          <w:sz w:val="18"/>
          <w:szCs w:val="18"/>
          <w:highlight w:val="none"/>
          <w:u w:val="single"/>
          <w:vertAlign w:val="superscript"/>
        </w:rPr>
        <w:t>2</w:t>
      </w:r>
      <w:r>
        <w:rPr>
          <w:rFonts w:hint="eastAsia" w:ascii="宋体" w:hAnsi="宋体" w:cs="宋体"/>
          <w:color w:val="auto"/>
          <w:kern w:val="0"/>
          <w:sz w:val="24"/>
          <w:highlight w:val="none"/>
        </w:rPr>
        <w:t>，厂址为</w:t>
      </w:r>
      <w:r>
        <w:rPr>
          <w:rFonts w:hint="eastAsia" w:ascii="宋体" w:hAnsi="宋体" w:cs="宋体"/>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Cs/>
          <w:color w:val="auto"/>
          <w:kern w:val="0"/>
          <w:sz w:val="24"/>
          <w:highlight w:val="none"/>
          <w:u w:val="single"/>
        </w:rPr>
        <w:t>（产品名称1）</w:t>
      </w:r>
      <w:r>
        <w:rPr>
          <w:rFonts w:hint="eastAsia" w:ascii="宋体" w:hAnsi="宋体" w:cs="宋体"/>
          <w:color w:val="auto"/>
          <w:kern w:val="0"/>
          <w:sz w:val="24"/>
          <w:highlight w:val="none"/>
        </w:rPr>
        <w:t>的中国境内生产的组件成本占比≥</w:t>
      </w:r>
      <w:r>
        <w:rPr>
          <w:rFonts w:hint="eastAsia" w:ascii="宋体" w:hAnsi="宋体" w:cs="宋体"/>
          <w:iCs/>
          <w:color w:val="auto"/>
          <w:kern w:val="0"/>
          <w:sz w:val="24"/>
          <w:highlight w:val="none"/>
          <w:u w:val="single"/>
        </w:rPr>
        <w:t>（规定比例）</w:t>
      </w:r>
      <w:r>
        <w:rPr>
          <w:rFonts w:hint="eastAsia" w:ascii="宋体" w:hAnsi="宋体" w:cs="宋体"/>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Cs/>
          <w:color w:val="auto"/>
          <w:kern w:val="0"/>
          <w:sz w:val="24"/>
          <w:highlight w:val="none"/>
          <w:u w:val="single"/>
        </w:rPr>
        <w:t>（关键组件）</w:t>
      </w:r>
      <w:r>
        <w:rPr>
          <w:rFonts w:hint="eastAsia" w:ascii="宋体" w:hAnsi="宋体" w:cs="宋体"/>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Cs/>
          <w:color w:val="auto"/>
          <w:kern w:val="0"/>
          <w:sz w:val="24"/>
          <w:highlight w:val="none"/>
          <w:u w:val="single"/>
        </w:rPr>
        <w:t>（关键工序）</w:t>
      </w:r>
      <w:r>
        <w:rPr>
          <w:rFonts w:hint="eastAsia" w:ascii="宋体" w:hAnsi="宋体" w:cs="宋体"/>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564A2B41">
      <w:pPr>
        <w:widowControl/>
        <w:shd w:val="clear" w:color="auto" w:fill="FFFFFF"/>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Cs/>
          <w:color w:val="auto"/>
          <w:kern w:val="0"/>
          <w:sz w:val="24"/>
          <w:highlight w:val="none"/>
          <w:u w:val="single"/>
        </w:rPr>
        <w:t>（产品名称2）</w:t>
      </w:r>
      <w:r>
        <w:rPr>
          <w:rFonts w:hint="eastAsia" w:ascii="宋体" w:hAnsi="宋体" w:cs="宋体"/>
          <w:color w:val="auto"/>
          <w:kern w:val="0"/>
          <w:sz w:val="24"/>
          <w:highlight w:val="none"/>
        </w:rPr>
        <w:t>，生产厂为</w:t>
      </w:r>
      <w:r>
        <w:rPr>
          <w:rFonts w:hint="eastAsia" w:ascii="宋体" w:hAnsi="宋体" w:cs="宋体"/>
          <w:iCs/>
          <w:color w:val="auto"/>
          <w:kern w:val="0"/>
          <w:sz w:val="24"/>
          <w:highlight w:val="none"/>
          <w:u w:val="single"/>
        </w:rPr>
        <w:t>（厂名）</w:t>
      </w:r>
      <w:r>
        <w:rPr>
          <w:rFonts w:hint="eastAsia" w:ascii="宋体" w:hAnsi="宋体" w:cs="宋体"/>
          <w:color w:val="auto"/>
          <w:kern w:val="0"/>
          <w:sz w:val="24"/>
          <w:highlight w:val="none"/>
        </w:rPr>
        <w:t>，厂址为</w:t>
      </w:r>
      <w:r>
        <w:rPr>
          <w:rFonts w:hint="eastAsia" w:ascii="宋体" w:hAnsi="宋体" w:cs="宋体"/>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Cs/>
          <w:color w:val="auto"/>
          <w:kern w:val="0"/>
          <w:sz w:val="24"/>
          <w:highlight w:val="none"/>
          <w:u w:val="single"/>
        </w:rPr>
        <w:t>（产品名称2）</w:t>
      </w:r>
      <w:r>
        <w:rPr>
          <w:rFonts w:hint="eastAsia" w:ascii="宋体" w:hAnsi="宋体" w:cs="宋体"/>
          <w:color w:val="auto"/>
          <w:kern w:val="0"/>
          <w:sz w:val="24"/>
          <w:highlight w:val="none"/>
        </w:rPr>
        <w:t>的中国境内生产的组件成本占比≥</w:t>
      </w:r>
      <w:r>
        <w:rPr>
          <w:rFonts w:hint="eastAsia" w:ascii="宋体" w:hAnsi="宋体" w:cs="宋体"/>
          <w:iCs/>
          <w:color w:val="auto"/>
          <w:kern w:val="0"/>
          <w:sz w:val="24"/>
          <w:highlight w:val="none"/>
          <w:u w:val="single"/>
        </w:rPr>
        <w:t>（规定比例）</w:t>
      </w:r>
      <w:r>
        <w:rPr>
          <w:rFonts w:hint="eastAsia" w:ascii="宋体" w:hAnsi="宋体" w:cs="宋体"/>
          <w:color w:val="auto"/>
          <w:kern w:val="0"/>
          <w:sz w:val="24"/>
          <w:highlight w:val="none"/>
        </w:rPr>
        <w:t>。</w:t>
      </w:r>
      <w:r>
        <w:rPr>
          <w:rFonts w:hint="eastAsia" w:ascii="宋体" w:hAnsi="宋体" w:cs="宋体"/>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Cs/>
          <w:color w:val="auto"/>
          <w:kern w:val="0"/>
          <w:sz w:val="24"/>
          <w:highlight w:val="none"/>
          <w:u w:val="single"/>
        </w:rPr>
        <w:t>（关键组件）</w:t>
      </w:r>
      <w:r>
        <w:rPr>
          <w:rFonts w:hint="eastAsia" w:ascii="宋体" w:hAnsi="宋体" w:cs="宋体"/>
          <w:color w:val="auto"/>
          <w:kern w:val="0"/>
          <w:sz w:val="24"/>
          <w:highlight w:val="none"/>
        </w:rPr>
        <w:t>在中国境内生产。</w:t>
      </w:r>
      <w:r>
        <w:rPr>
          <w:rFonts w:hint="eastAsia" w:ascii="宋体" w:hAnsi="宋体" w:cs="宋体"/>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Cs/>
          <w:color w:val="auto"/>
          <w:kern w:val="0"/>
          <w:sz w:val="24"/>
          <w:highlight w:val="none"/>
          <w:u w:val="single"/>
        </w:rPr>
        <w:t>（关键工序）</w:t>
      </w:r>
      <w:r>
        <w:rPr>
          <w:rFonts w:hint="eastAsia" w:ascii="宋体" w:hAnsi="宋体" w:cs="宋体"/>
          <w:color w:val="auto"/>
          <w:kern w:val="0"/>
          <w:sz w:val="24"/>
          <w:highlight w:val="none"/>
        </w:rPr>
        <w:t>在中国境内完成。</w:t>
      </w:r>
    </w:p>
    <w:p w14:paraId="3B6613FE">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p>
    <w:p w14:paraId="1DE10A2A">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7CB7C8CB">
      <w:pPr>
        <w:widowControl/>
        <w:shd w:val="clear" w:color="auto" w:fill="FFFFFF"/>
        <w:spacing w:before="30" w:after="3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w:t>
      </w:r>
    </w:p>
    <w:p w14:paraId="5F52FDF6">
      <w:pPr>
        <w:widowControl/>
        <w:shd w:val="clear" w:color="auto" w:fill="FFFFFF"/>
        <w:spacing w:before="30" w:after="30"/>
        <w:jc w:val="right"/>
        <w:rPr>
          <w:rFonts w:hint="eastAsia"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2C518195">
      <w:pPr>
        <w:widowControl/>
        <w:shd w:val="clear" w:color="auto" w:fill="FFFFFF"/>
        <w:jc w:val="right"/>
        <w:rPr>
          <w:rFonts w:hint="eastAsia" w:ascii="宋体" w:hAnsi="宋体" w:cs="宋体"/>
          <w:color w:val="auto"/>
          <w:kern w:val="0"/>
          <w:sz w:val="24"/>
          <w:highlight w:val="none"/>
        </w:rPr>
      </w:pPr>
      <w:r>
        <w:rPr>
          <w:rFonts w:hint="eastAsia" w:ascii="宋体" w:hAnsi="宋体" w:cs="宋体"/>
          <w:color w:val="auto"/>
          <w:kern w:val="0"/>
          <w:sz w:val="24"/>
          <w:highlight w:val="none"/>
        </w:rPr>
        <w:t>日期：　     年　  月　  日         </w:t>
      </w:r>
    </w:p>
    <w:p w14:paraId="6FCFE143">
      <w:pPr>
        <w:widowControl/>
        <w:shd w:val="clear" w:color="auto" w:fill="FFFFFF"/>
        <w:spacing w:before="30" w:after="30"/>
        <w:jc w:val="left"/>
        <w:rPr>
          <w:rFonts w:hint="eastAsia" w:ascii="宋体" w:hAnsi="宋体" w:cs="宋体"/>
          <w:color w:val="auto"/>
          <w:kern w:val="0"/>
          <w:sz w:val="24"/>
          <w:highlight w:val="none"/>
        </w:rPr>
      </w:pPr>
      <w:r>
        <w:rPr>
          <w:rFonts w:hint="eastAsia" w:ascii="宋体" w:hAnsi="宋体" w:cs="宋体"/>
          <w:color w:val="auto"/>
          <w:kern w:val="0"/>
          <w:sz w:val="24"/>
          <w:highlight w:val="none"/>
        </w:rPr>
        <w:t>__________________</w:t>
      </w:r>
    </w:p>
    <w:p w14:paraId="50813EA6">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12A554A3">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14EE35A3">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06E6DCEC">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48EA88A3">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1FB1C950">
      <w:pPr>
        <w:widowControl/>
        <w:shd w:val="clear" w:color="auto" w:fill="FFFFFF"/>
        <w:ind w:firstLine="480"/>
        <w:jc w:val="left"/>
        <w:rPr>
          <w:rFonts w:hint="eastAsia" w:ascii="宋体" w:hAnsi="宋体" w:cs="宋体"/>
          <w:color w:val="auto"/>
          <w:kern w:val="0"/>
          <w:szCs w:val="21"/>
          <w:highlight w:val="none"/>
        </w:rPr>
      </w:pPr>
    </w:p>
    <w:p w14:paraId="16F739B2">
      <w:pPr>
        <w:widowControl/>
        <w:shd w:val="clear" w:color="auto" w:fill="FFFFFF"/>
        <w:ind w:firstLine="480"/>
        <w:jc w:val="left"/>
        <w:rPr>
          <w:rFonts w:hint="eastAsia" w:ascii="宋体" w:hAnsi="宋体" w:cs="宋体"/>
          <w:color w:val="auto"/>
          <w:kern w:val="0"/>
          <w:szCs w:val="21"/>
          <w:highlight w:val="none"/>
        </w:rPr>
      </w:pPr>
    </w:p>
    <w:p w14:paraId="1CC183B0">
      <w:pPr>
        <w:widowControl/>
        <w:shd w:val="clear" w:color="auto" w:fill="FFFFFF"/>
        <w:ind w:firstLine="480"/>
        <w:jc w:val="left"/>
        <w:rPr>
          <w:rFonts w:hint="eastAsia" w:ascii="宋体" w:hAnsi="宋体" w:cs="宋体"/>
          <w:color w:val="auto"/>
          <w:kern w:val="0"/>
          <w:szCs w:val="21"/>
          <w:highlight w:val="none"/>
        </w:rPr>
      </w:pPr>
    </w:p>
    <w:p w14:paraId="4205175F">
      <w:pPr>
        <w:widowControl/>
        <w:shd w:val="clear" w:color="auto" w:fill="FFFFFF"/>
        <w:ind w:firstLine="480"/>
        <w:jc w:val="left"/>
        <w:rPr>
          <w:rFonts w:hint="eastAsia" w:ascii="宋体" w:hAnsi="宋体" w:cs="宋体"/>
          <w:color w:val="auto"/>
          <w:kern w:val="0"/>
          <w:szCs w:val="21"/>
          <w:highlight w:val="none"/>
        </w:rPr>
      </w:pPr>
    </w:p>
    <w:p w14:paraId="0B58C83D">
      <w:pPr>
        <w:pStyle w:val="18"/>
        <w:outlineLvl w:val="2"/>
        <w:rPr>
          <w:rFonts w:hint="eastAsia" w:ascii="宋体" w:hAnsi="宋体"/>
          <w:b/>
          <w:color w:val="auto"/>
          <w:highlight w:val="none"/>
        </w:rPr>
      </w:pPr>
      <w:bookmarkStart w:id="227" w:name="_Toc30727"/>
      <w:r>
        <w:rPr>
          <w:rFonts w:hint="eastAsia" w:ascii="宋体" w:hAnsi="宋体"/>
          <w:b/>
          <w:color w:val="auto"/>
          <w:highlight w:val="none"/>
        </w:rPr>
        <w:t>5.投标人针对报价需要说明的其他文件和说明（格式自拟）</w:t>
      </w:r>
      <w:bookmarkEnd w:id="227"/>
    </w:p>
    <w:p w14:paraId="632D91CF">
      <w:pPr>
        <w:pStyle w:val="18"/>
        <w:rPr>
          <w:color w:val="auto"/>
          <w:highlight w:val="none"/>
        </w:rPr>
      </w:pPr>
    </w:p>
    <w:p w14:paraId="00771B6E">
      <w:pPr>
        <w:spacing w:line="360" w:lineRule="auto"/>
        <w:contextualSpacing/>
        <w:rPr>
          <w:rFonts w:ascii="宋体" w:hAnsi="宋体"/>
          <w:color w:val="auto"/>
          <w:sz w:val="24"/>
          <w:highlight w:val="none"/>
        </w:rPr>
      </w:pPr>
    </w:p>
    <w:p w14:paraId="6F4784D0">
      <w:pPr>
        <w:outlineLvl w:val="1"/>
        <w:rPr>
          <w:rFonts w:hint="eastAsia"/>
          <w:b/>
          <w:color w:val="auto"/>
          <w:sz w:val="28"/>
          <w:szCs w:val="28"/>
          <w:highlight w:val="none"/>
        </w:rPr>
      </w:pPr>
      <w:r>
        <w:rPr>
          <w:rFonts w:ascii="宋体" w:hAnsi="宋体"/>
          <w:color w:val="auto"/>
          <w:sz w:val="24"/>
          <w:highlight w:val="none"/>
        </w:rPr>
        <w:br w:type="page"/>
      </w:r>
      <w:bookmarkStart w:id="228" w:name="_Toc21139"/>
      <w:bookmarkStart w:id="229" w:name="_Toc7223"/>
      <w:r>
        <w:rPr>
          <w:rFonts w:hint="eastAsia"/>
          <w:b/>
          <w:color w:val="auto"/>
          <w:sz w:val="28"/>
          <w:szCs w:val="28"/>
          <w:highlight w:val="none"/>
        </w:rPr>
        <w:t>二、资格证明文件格式</w:t>
      </w:r>
      <w:bookmarkEnd w:id="216"/>
      <w:bookmarkEnd w:id="217"/>
      <w:bookmarkEnd w:id="223"/>
      <w:bookmarkEnd w:id="228"/>
      <w:bookmarkEnd w:id="229"/>
    </w:p>
    <w:p w14:paraId="3A992AD3">
      <w:pPr>
        <w:snapToGrid w:val="0"/>
        <w:spacing w:before="120" w:beforeLines="50" w:after="50" w:line="360" w:lineRule="auto"/>
        <w:jc w:val="left"/>
        <w:outlineLvl w:val="2"/>
        <w:rPr>
          <w:rFonts w:hint="eastAsia" w:ascii="宋体" w:hAnsi="宋体"/>
          <w:b/>
          <w:color w:val="auto"/>
          <w:sz w:val="24"/>
          <w:highlight w:val="none"/>
        </w:rPr>
      </w:pPr>
      <w:bookmarkStart w:id="230" w:name="_Toc26606"/>
      <w:r>
        <w:rPr>
          <w:rFonts w:hint="eastAsia" w:ascii="宋体" w:hAnsi="宋体"/>
          <w:b/>
          <w:color w:val="auto"/>
          <w:sz w:val="24"/>
          <w:highlight w:val="none"/>
        </w:rPr>
        <w:t>资格证明文件封面格式</w:t>
      </w:r>
      <w:bookmarkEnd w:id="230"/>
      <w:r>
        <w:rPr>
          <w:rFonts w:hint="eastAsia" w:ascii="宋体" w:hAnsi="宋体"/>
          <w:b/>
          <w:color w:val="auto"/>
          <w:sz w:val="24"/>
          <w:highlight w:val="none"/>
        </w:rPr>
        <w:t xml:space="preserve"> </w:t>
      </w:r>
    </w:p>
    <w:p w14:paraId="2996F76E">
      <w:pPr>
        <w:snapToGrid w:val="0"/>
        <w:spacing w:before="120" w:beforeLines="50" w:after="50"/>
        <w:jc w:val="center"/>
        <w:rPr>
          <w:rFonts w:hint="eastAsia" w:ascii="黑体" w:hAnsi="黑体" w:eastAsia="黑体" w:cs="黑体"/>
          <w:bCs/>
          <w:color w:val="auto"/>
          <w:sz w:val="48"/>
          <w:szCs w:val="48"/>
          <w:highlight w:val="none"/>
        </w:rPr>
      </w:pPr>
    </w:p>
    <w:p w14:paraId="523E8ED4">
      <w:pPr>
        <w:snapToGrid w:val="0"/>
        <w:spacing w:before="120" w:beforeLines="50" w:after="50"/>
        <w:jc w:val="center"/>
        <w:rPr>
          <w:rFonts w:hint="eastAsia" w:ascii="黑体" w:hAnsi="黑体" w:eastAsia="黑体" w:cs="黑体"/>
          <w:bCs/>
          <w:color w:val="auto"/>
          <w:sz w:val="48"/>
          <w:szCs w:val="48"/>
          <w:highlight w:val="none"/>
        </w:rPr>
      </w:pPr>
    </w:p>
    <w:p w14:paraId="5794BE1E">
      <w:pPr>
        <w:snapToGrid w:val="0"/>
        <w:spacing w:before="120" w:beforeLines="50" w:after="50"/>
        <w:jc w:val="center"/>
        <w:rPr>
          <w:rFonts w:hint="eastAsia" w:ascii="黑体" w:hAnsi="黑体" w:eastAsia="黑体" w:cs="黑体"/>
          <w:bCs/>
          <w:color w:val="auto"/>
          <w:sz w:val="48"/>
          <w:szCs w:val="48"/>
          <w:highlight w:val="none"/>
        </w:rPr>
      </w:pPr>
      <w:r>
        <w:rPr>
          <w:rFonts w:hint="eastAsia" w:ascii="黑体" w:hAnsi="黑体" w:eastAsia="黑体" w:cs="黑体"/>
          <w:bCs/>
          <w:color w:val="auto"/>
          <w:sz w:val="48"/>
          <w:szCs w:val="48"/>
          <w:highlight w:val="none"/>
        </w:rPr>
        <w:t>电子投标文件</w:t>
      </w:r>
    </w:p>
    <w:p w14:paraId="2C48179C">
      <w:pPr>
        <w:snapToGrid w:val="0"/>
        <w:spacing w:before="120" w:beforeLines="50" w:after="50"/>
        <w:jc w:val="center"/>
        <w:rPr>
          <w:rFonts w:hint="eastAsia" w:ascii="宋体" w:hAnsi="宋体"/>
          <w:b/>
          <w:color w:val="auto"/>
          <w:sz w:val="32"/>
          <w:szCs w:val="32"/>
          <w:highlight w:val="none"/>
        </w:rPr>
      </w:pPr>
    </w:p>
    <w:p w14:paraId="440A6C6D">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资格证明文件</w:t>
      </w:r>
    </w:p>
    <w:p w14:paraId="2EC6F7CA">
      <w:pPr>
        <w:snapToGrid w:val="0"/>
        <w:spacing w:before="120" w:beforeLines="50" w:after="50"/>
        <w:rPr>
          <w:rFonts w:ascii="宋体" w:hAnsi="宋体"/>
          <w:bCs/>
          <w:color w:val="auto"/>
          <w:sz w:val="24"/>
          <w:szCs w:val="20"/>
          <w:highlight w:val="none"/>
        </w:rPr>
      </w:pPr>
    </w:p>
    <w:p w14:paraId="17E8B207">
      <w:pPr>
        <w:snapToGrid w:val="0"/>
        <w:spacing w:before="120" w:beforeLines="50" w:after="50"/>
        <w:rPr>
          <w:rFonts w:ascii="宋体" w:hAnsi="宋体"/>
          <w:bCs/>
          <w:color w:val="auto"/>
          <w:sz w:val="24"/>
          <w:szCs w:val="20"/>
          <w:highlight w:val="none"/>
        </w:rPr>
      </w:pPr>
    </w:p>
    <w:p w14:paraId="2707F786">
      <w:pPr>
        <w:snapToGrid w:val="0"/>
        <w:spacing w:before="120" w:beforeLines="50" w:after="50"/>
        <w:rPr>
          <w:rFonts w:ascii="宋体" w:hAnsi="宋体"/>
          <w:bCs/>
          <w:color w:val="auto"/>
          <w:sz w:val="24"/>
          <w:szCs w:val="20"/>
          <w:highlight w:val="none"/>
        </w:rPr>
      </w:pPr>
    </w:p>
    <w:p w14:paraId="58CCE775">
      <w:pPr>
        <w:snapToGrid w:val="0"/>
        <w:spacing w:before="120" w:beforeLines="50" w:after="50"/>
        <w:rPr>
          <w:rFonts w:ascii="宋体" w:hAnsi="宋体"/>
          <w:bCs/>
          <w:color w:val="auto"/>
          <w:sz w:val="24"/>
          <w:szCs w:val="20"/>
          <w:highlight w:val="none"/>
        </w:rPr>
      </w:pPr>
    </w:p>
    <w:p w14:paraId="0CAA2C79">
      <w:pPr>
        <w:snapToGrid w:val="0"/>
        <w:spacing w:before="120" w:beforeLines="50" w:after="50"/>
        <w:rPr>
          <w:rFonts w:ascii="宋体" w:hAnsi="宋体"/>
          <w:bCs/>
          <w:color w:val="auto"/>
          <w:sz w:val="24"/>
          <w:szCs w:val="20"/>
          <w:highlight w:val="none"/>
        </w:rPr>
      </w:pPr>
    </w:p>
    <w:p w14:paraId="7EC85DBB">
      <w:pPr>
        <w:snapToGrid w:val="0"/>
        <w:spacing w:before="120" w:beforeLines="50" w:after="50"/>
        <w:rPr>
          <w:rFonts w:ascii="宋体" w:hAnsi="宋体"/>
          <w:bCs/>
          <w:color w:val="auto"/>
          <w:sz w:val="24"/>
          <w:szCs w:val="20"/>
          <w:highlight w:val="none"/>
        </w:rPr>
      </w:pPr>
    </w:p>
    <w:p w14:paraId="1E8CCDE0">
      <w:pPr>
        <w:snapToGrid w:val="0"/>
        <w:spacing w:before="120" w:beforeLines="50" w:after="50"/>
        <w:rPr>
          <w:rFonts w:hint="eastAsia" w:ascii="宋体" w:hAnsi="宋体"/>
          <w:bCs/>
          <w:color w:val="auto"/>
          <w:sz w:val="24"/>
          <w:szCs w:val="20"/>
          <w:highlight w:val="none"/>
        </w:rPr>
      </w:pPr>
    </w:p>
    <w:p w14:paraId="569D6A4D">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6176EA92">
      <w:pPr>
        <w:snapToGrid w:val="0"/>
        <w:spacing w:before="120" w:beforeLines="50" w:after="50"/>
        <w:ind w:firstLine="540" w:firstLineChars="225"/>
        <w:rPr>
          <w:rFonts w:hint="eastAsia" w:ascii="宋体" w:hAnsi="宋体"/>
          <w:bCs/>
          <w:color w:val="auto"/>
          <w:sz w:val="24"/>
          <w:szCs w:val="20"/>
          <w:highlight w:val="none"/>
        </w:rPr>
      </w:pPr>
    </w:p>
    <w:p w14:paraId="255B03D2">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53D8C7D5">
      <w:pPr>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243D0EF7">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39BA44FD">
      <w:pPr>
        <w:pStyle w:val="7"/>
        <w:snapToGrid w:val="0"/>
        <w:spacing w:before="50" w:after="50"/>
        <w:ind w:firstLine="540" w:firstLineChars="225"/>
        <w:rPr>
          <w:rFonts w:hint="eastAsia" w:ascii="宋体" w:hAnsi="宋体"/>
          <w:bCs/>
          <w:color w:val="auto"/>
          <w:sz w:val="24"/>
          <w:szCs w:val="24"/>
          <w:highlight w:val="none"/>
        </w:rPr>
      </w:pPr>
    </w:p>
    <w:p w14:paraId="5F50B3D0">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0439152C">
      <w:pPr>
        <w:pStyle w:val="7"/>
        <w:snapToGrid w:val="0"/>
        <w:spacing w:before="50" w:after="50"/>
        <w:ind w:firstLine="540" w:firstLineChars="225"/>
        <w:rPr>
          <w:rFonts w:hint="eastAsia" w:ascii="宋体" w:hAnsi="宋体"/>
          <w:bCs/>
          <w:color w:val="auto"/>
          <w:sz w:val="24"/>
          <w:szCs w:val="24"/>
          <w:highlight w:val="none"/>
        </w:rPr>
      </w:pPr>
    </w:p>
    <w:p w14:paraId="27F08D28">
      <w:pPr>
        <w:pStyle w:val="7"/>
        <w:snapToGrid w:val="0"/>
        <w:spacing w:before="50" w:after="50"/>
        <w:ind w:firstLine="960" w:firstLineChars="400"/>
        <w:rPr>
          <w:rFonts w:hint="eastAsia" w:ascii="宋体" w:hAnsi="宋体"/>
          <w:bCs/>
          <w:color w:val="auto"/>
          <w:sz w:val="24"/>
          <w:szCs w:val="24"/>
          <w:highlight w:val="none"/>
        </w:rPr>
      </w:pPr>
    </w:p>
    <w:p w14:paraId="44F0F5B1">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73ECD2A1">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01DF1A6E">
      <w:pPr>
        <w:snapToGrid w:val="0"/>
        <w:spacing w:before="120" w:beforeLines="50" w:after="50"/>
        <w:rPr>
          <w:rFonts w:hint="eastAsia" w:ascii="宋体" w:hAnsi="宋体"/>
          <w:color w:val="auto"/>
          <w:sz w:val="24"/>
          <w:szCs w:val="20"/>
          <w:highlight w:val="none"/>
        </w:rPr>
      </w:pPr>
    </w:p>
    <w:p w14:paraId="0663487F">
      <w:pPr>
        <w:snapToGrid w:val="0"/>
        <w:spacing w:before="120" w:beforeLines="50" w:after="50" w:line="360" w:lineRule="auto"/>
        <w:jc w:val="left"/>
        <w:outlineLvl w:val="2"/>
        <w:rPr>
          <w:rFonts w:hint="eastAsia" w:ascii="宋体" w:hAnsi="宋体"/>
          <w:color w:val="auto"/>
          <w:sz w:val="24"/>
          <w:szCs w:val="20"/>
          <w:highlight w:val="none"/>
        </w:rPr>
      </w:pPr>
      <w:r>
        <w:rPr>
          <w:rFonts w:ascii="宋体" w:hAnsi="宋体"/>
          <w:b/>
          <w:bCs/>
          <w:color w:val="auto"/>
          <w:sz w:val="24"/>
          <w:highlight w:val="none"/>
        </w:rPr>
        <w:br w:type="page"/>
      </w:r>
      <w:bookmarkStart w:id="231" w:name="_Toc23655"/>
      <w:r>
        <w:rPr>
          <w:rFonts w:hint="eastAsia" w:ascii="宋体" w:hAnsi="宋体"/>
          <w:b/>
          <w:bCs/>
          <w:color w:val="auto"/>
          <w:sz w:val="24"/>
          <w:highlight w:val="none"/>
        </w:rPr>
        <w:t>资格证明文件目录</w:t>
      </w:r>
      <w:bookmarkEnd w:id="231"/>
    </w:p>
    <w:p w14:paraId="25621988">
      <w:pPr>
        <w:snapToGrid w:val="0"/>
        <w:spacing w:before="50" w:after="120" w:afterLines="50" w:line="360" w:lineRule="auto"/>
        <w:jc w:val="left"/>
        <w:rPr>
          <w:rFonts w:hint="eastAsia" w:ascii="宋体" w:hAnsi="宋体"/>
          <w:color w:val="auto"/>
          <w:sz w:val="24"/>
          <w:szCs w:val="24"/>
          <w:highlight w:val="none"/>
        </w:rPr>
      </w:pPr>
      <w:r>
        <w:rPr>
          <w:rFonts w:hint="eastAsia" w:ascii="宋体" w:hAnsi="宋体"/>
          <w:b/>
          <w:bCs/>
          <w:color w:val="auto"/>
          <w:sz w:val="24"/>
          <w:szCs w:val="24"/>
          <w:highlight w:val="none"/>
          <w:u w:val="single"/>
        </w:rPr>
        <w:t>（根据招标文件第三章“投标人须知前附表”第13条款</w:t>
      </w:r>
      <w:r>
        <w:rPr>
          <w:rFonts w:hint="eastAsia" w:ascii="宋体" w:hAnsi="宋体"/>
          <w:b/>
          <w:bCs/>
          <w:color w:val="auto"/>
          <w:sz w:val="24"/>
          <w:szCs w:val="24"/>
          <w:highlight w:val="none"/>
          <w:u w:val="single"/>
          <w:lang w:val="en-US" w:eastAsia="zh-CN"/>
        </w:rPr>
        <w:t>“投标文件的组成</w:t>
      </w:r>
      <w:r>
        <w:rPr>
          <w:rFonts w:hint="default" w:ascii="宋体" w:hAnsi="宋体"/>
          <w:b/>
          <w:bCs/>
          <w:color w:val="auto"/>
          <w:sz w:val="24"/>
          <w:szCs w:val="24"/>
          <w:highlight w:val="none"/>
          <w:u w:val="single"/>
          <w:lang w:val="en-US" w:eastAsia="zh-CN"/>
        </w:rPr>
        <w:t>”</w:t>
      </w:r>
      <w:r>
        <w:rPr>
          <w:rFonts w:hint="eastAsia" w:ascii="宋体" w:hAnsi="宋体"/>
          <w:b/>
          <w:bCs/>
          <w:color w:val="auto"/>
          <w:sz w:val="24"/>
          <w:szCs w:val="24"/>
          <w:highlight w:val="none"/>
          <w:u w:val="single"/>
        </w:rPr>
        <w:t>规定及投标人提供的材料自行编写目录</w:t>
      </w:r>
      <w:r>
        <w:rPr>
          <w:rFonts w:hint="eastAsia" w:ascii="宋体" w:hAnsi="宋体"/>
          <w:b/>
          <w:bCs/>
          <w:color w:val="auto"/>
          <w:sz w:val="24"/>
          <w:szCs w:val="24"/>
          <w:highlight w:val="none"/>
          <w:u w:val="single"/>
          <w:lang w:val="en-US" w:eastAsia="zh-CN"/>
        </w:rPr>
        <w:t>及页码</w:t>
      </w:r>
      <w:r>
        <w:rPr>
          <w:rFonts w:hint="eastAsia" w:ascii="宋体" w:hAnsi="宋体"/>
          <w:b/>
          <w:bCs/>
          <w:color w:val="auto"/>
          <w:sz w:val="24"/>
          <w:szCs w:val="24"/>
          <w:highlight w:val="none"/>
          <w:u w:val="single"/>
        </w:rPr>
        <w:t>）</w:t>
      </w:r>
    </w:p>
    <w:p w14:paraId="51073ED5">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1.投标人为法人或者其他组织的，提供营业执照等证明文件复印件</w:t>
      </w:r>
    </w:p>
    <w:p w14:paraId="180C84E7">
      <w:pPr>
        <w:snapToGrid w:val="0"/>
        <w:spacing w:line="400" w:lineRule="exact"/>
        <w:ind w:firstLine="480" w:firstLineChars="200"/>
        <w:jc w:val="left"/>
        <w:rPr>
          <w:rFonts w:hint="eastAsia" w:ascii="宋体" w:hAnsi="宋体" w:cs="Courier New"/>
          <w:b/>
          <w:color w:val="auto"/>
          <w:sz w:val="24"/>
          <w:szCs w:val="24"/>
          <w:highlight w:val="none"/>
        </w:rPr>
      </w:pPr>
      <w:r>
        <w:rPr>
          <w:rFonts w:hint="eastAsia" w:ascii="宋体" w:hAnsi="宋体" w:cs="宋体"/>
          <w:color w:val="auto"/>
          <w:sz w:val="24"/>
          <w:szCs w:val="24"/>
          <w:highlight w:val="none"/>
        </w:rPr>
        <w:t>2.投标人依法缴纳税收的相关材料</w:t>
      </w:r>
    </w:p>
    <w:p w14:paraId="7AEC0774">
      <w:pPr>
        <w:snapToGrid w:val="0"/>
        <w:spacing w:line="400" w:lineRule="exact"/>
        <w:ind w:firstLine="480" w:firstLineChars="200"/>
        <w:jc w:val="left"/>
        <w:rPr>
          <w:rFonts w:hint="eastAsia" w:ascii="宋体" w:hAnsi="宋体" w:cs="Courier New"/>
          <w:b/>
          <w:color w:val="auto"/>
          <w:sz w:val="24"/>
          <w:szCs w:val="24"/>
          <w:highlight w:val="none"/>
        </w:rPr>
      </w:pPr>
      <w:r>
        <w:rPr>
          <w:rFonts w:hint="eastAsia" w:ascii="宋体" w:hAnsi="宋体" w:cs="宋体"/>
          <w:color w:val="auto"/>
          <w:sz w:val="24"/>
          <w:szCs w:val="24"/>
          <w:highlight w:val="none"/>
        </w:rPr>
        <w:t>3.投标人依法缴纳社会保障资金的相关材料</w:t>
      </w:r>
    </w:p>
    <w:p w14:paraId="25E2D872">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s="宋体"/>
          <w:color w:val="auto"/>
          <w:sz w:val="24"/>
          <w:szCs w:val="24"/>
          <w:highlight w:val="none"/>
        </w:rPr>
        <w:t>4.投标人</w:t>
      </w:r>
      <w:r>
        <w:rPr>
          <w:rFonts w:hint="eastAsia" w:ascii="宋体" w:hAnsi="宋体"/>
          <w:color w:val="auto"/>
          <w:sz w:val="24"/>
          <w:szCs w:val="24"/>
          <w:highlight w:val="none"/>
        </w:rPr>
        <w:t>财务状况报告</w:t>
      </w:r>
    </w:p>
    <w:p w14:paraId="05D411B9">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5.投标人直接控股股东信息表</w:t>
      </w:r>
    </w:p>
    <w:p w14:paraId="5C1466B5">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6.投标人直接管理关系信息表</w:t>
      </w:r>
    </w:p>
    <w:p w14:paraId="31BF10B1">
      <w:pPr>
        <w:snapToGrid w:val="0"/>
        <w:spacing w:line="400" w:lineRule="exact"/>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7</w:t>
      </w:r>
      <w:r>
        <w:rPr>
          <w:rFonts w:hint="eastAsia" w:ascii="宋体" w:hAnsi="宋体"/>
          <w:color w:val="auto"/>
          <w:sz w:val="24"/>
          <w:szCs w:val="24"/>
          <w:highlight w:val="none"/>
        </w:rPr>
        <w:t>.投标声明</w:t>
      </w:r>
    </w:p>
    <w:p w14:paraId="5A1267DE">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8.联合体协议书</w:t>
      </w:r>
    </w:p>
    <w:p w14:paraId="4AB89D9D">
      <w:pPr>
        <w:snapToGrid w:val="0"/>
        <w:spacing w:line="400" w:lineRule="exact"/>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9.</w:t>
      </w:r>
      <w:r>
        <w:rPr>
          <w:rFonts w:hint="eastAsia" w:ascii="宋体" w:hAnsi="宋体"/>
          <w:color w:val="auto"/>
          <w:sz w:val="24"/>
          <w:szCs w:val="24"/>
          <w:highlight w:val="none"/>
        </w:rPr>
        <w:t>本项目落实政府采购政策需满足的资格要求</w:t>
      </w:r>
    </w:p>
    <w:p w14:paraId="0730DACE">
      <w:pPr>
        <w:snapToGrid w:val="0"/>
        <w:spacing w:line="40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10.</w:t>
      </w:r>
      <w:r>
        <w:rPr>
          <w:rFonts w:hint="eastAsia" w:ascii="宋体" w:hAnsi="宋体"/>
          <w:color w:val="auto"/>
          <w:sz w:val="24"/>
          <w:szCs w:val="24"/>
          <w:highlight w:val="none"/>
        </w:rPr>
        <w:t>本项目的特定资格要求</w:t>
      </w:r>
    </w:p>
    <w:p w14:paraId="47E7DE93">
      <w:pPr>
        <w:snapToGrid w:val="0"/>
        <w:spacing w:line="400" w:lineRule="exact"/>
        <w:ind w:firstLine="480" w:firstLineChars="200"/>
        <w:jc w:val="left"/>
        <w:rPr>
          <w:rFonts w:hint="eastAsia" w:ascii="宋体" w:hAnsi="宋体" w:cs="Courier New"/>
          <w:bCs/>
          <w:color w:val="auto"/>
          <w:sz w:val="24"/>
          <w:szCs w:val="24"/>
          <w:highlight w:val="none"/>
        </w:rPr>
      </w:pPr>
      <w:r>
        <w:rPr>
          <w:rFonts w:hint="eastAsia" w:ascii="宋体" w:hAnsi="宋体" w:cs="Courier New"/>
          <w:bCs/>
          <w:color w:val="auto"/>
          <w:sz w:val="24"/>
          <w:szCs w:val="24"/>
          <w:highlight w:val="none"/>
        </w:rPr>
        <w:t>（1）投标人必须具有农业农村部门核发的有效的兽药生产许可证及兽药GMP证书，复印件或扫描件；</w:t>
      </w:r>
    </w:p>
    <w:p w14:paraId="7C1CE0BE">
      <w:pPr>
        <w:snapToGrid w:val="0"/>
        <w:spacing w:line="400" w:lineRule="exact"/>
        <w:ind w:firstLine="480" w:firstLineChars="200"/>
        <w:jc w:val="left"/>
        <w:rPr>
          <w:rFonts w:hint="eastAsia" w:ascii="宋体" w:hAnsi="宋体" w:cs="Courier New"/>
          <w:bCs/>
          <w:color w:val="auto"/>
          <w:sz w:val="24"/>
          <w:szCs w:val="24"/>
          <w:highlight w:val="none"/>
        </w:rPr>
      </w:pPr>
      <w:r>
        <w:rPr>
          <w:rFonts w:hint="eastAsia" w:ascii="宋体" w:hAnsi="宋体" w:cs="Courier New"/>
          <w:bCs/>
          <w:color w:val="auto"/>
          <w:sz w:val="24"/>
          <w:szCs w:val="24"/>
          <w:highlight w:val="none"/>
        </w:rPr>
        <w:t>（2）投标人必须具有投标相应种类疫苗的兽药产品批准文号（如农业农村部兽药产品批准文号正在换发办理中，则需提供相关证明材料），复印件或扫描件。</w:t>
      </w:r>
    </w:p>
    <w:p w14:paraId="6D7B14D7">
      <w:pPr>
        <w:snapToGrid w:val="0"/>
        <w:spacing w:line="400" w:lineRule="exact"/>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11</w:t>
      </w:r>
      <w:r>
        <w:rPr>
          <w:rFonts w:hint="eastAsia" w:ascii="宋体" w:hAnsi="宋体"/>
          <w:color w:val="auto"/>
          <w:sz w:val="24"/>
          <w:szCs w:val="24"/>
          <w:highlight w:val="none"/>
        </w:rPr>
        <w:t>.除招标文件规定必须提供以外，投标人认为需要提供的其他证明材料</w:t>
      </w:r>
    </w:p>
    <w:p w14:paraId="6E81EA23">
      <w:pPr>
        <w:snapToGrid w:val="0"/>
        <w:spacing w:line="360" w:lineRule="auto"/>
        <w:ind w:firstLine="480" w:firstLineChars="200"/>
        <w:jc w:val="left"/>
        <w:rPr>
          <w:rFonts w:hint="eastAsia" w:ascii="宋体" w:hAnsi="宋体"/>
          <w:color w:val="auto"/>
          <w:sz w:val="24"/>
          <w:szCs w:val="24"/>
          <w:highlight w:val="none"/>
        </w:rPr>
      </w:pPr>
    </w:p>
    <w:p w14:paraId="5A29C52C">
      <w:pPr>
        <w:snapToGrid w:val="0"/>
        <w:spacing w:before="50" w:after="120" w:afterLines="50"/>
        <w:jc w:val="left"/>
        <w:rPr>
          <w:rFonts w:hint="eastAsia" w:ascii="宋体" w:hAnsi="宋体" w:eastAsia="宋体"/>
          <w:color w:val="auto"/>
          <w:sz w:val="24"/>
          <w:highlight w:val="none"/>
          <w:lang w:eastAsia="zh-CN"/>
        </w:rPr>
      </w:pPr>
    </w:p>
    <w:p w14:paraId="0E39D7BD">
      <w:pPr>
        <w:snapToGrid w:val="0"/>
        <w:spacing w:before="50" w:after="120" w:afterLines="50"/>
        <w:jc w:val="left"/>
        <w:rPr>
          <w:rFonts w:hint="eastAsia" w:ascii="宋体" w:hAnsi="宋体"/>
          <w:color w:val="auto"/>
          <w:sz w:val="24"/>
          <w:highlight w:val="none"/>
        </w:rPr>
      </w:pPr>
    </w:p>
    <w:p w14:paraId="74F3AC99">
      <w:pPr>
        <w:snapToGrid w:val="0"/>
        <w:spacing w:before="120" w:beforeLines="50" w:after="50"/>
        <w:jc w:val="left"/>
        <w:outlineLvl w:val="2"/>
        <w:rPr>
          <w:rFonts w:hint="eastAsia" w:ascii="宋体" w:hAnsi="宋体"/>
          <w:color w:val="auto"/>
          <w:sz w:val="24"/>
          <w:highlight w:val="none"/>
          <w:lang w:eastAsia="zh-CN"/>
        </w:rPr>
      </w:pPr>
      <w:r>
        <w:rPr>
          <w:rFonts w:ascii="宋体" w:hAnsi="宋体"/>
          <w:b/>
          <w:color w:val="auto"/>
          <w:sz w:val="24"/>
          <w:highlight w:val="none"/>
        </w:rPr>
        <w:br w:type="page"/>
      </w:r>
      <w:bookmarkStart w:id="232" w:name="_Toc14029"/>
      <w:r>
        <w:rPr>
          <w:rFonts w:hint="eastAsia" w:ascii="宋体" w:hAnsi="宋体"/>
          <w:color w:val="auto"/>
          <w:sz w:val="24"/>
          <w:highlight w:val="none"/>
          <w:lang w:eastAsia="zh-CN"/>
        </w:rPr>
        <w:t>（</w:t>
      </w:r>
      <w:r>
        <w:rPr>
          <w:rFonts w:hint="eastAsia" w:ascii="宋体" w:hAnsi="宋体"/>
          <w:color w:val="auto"/>
          <w:sz w:val="24"/>
          <w:highlight w:val="none"/>
          <w:lang w:val="en-US" w:eastAsia="zh-CN"/>
        </w:rPr>
        <w:t>部分格式提供如下</w:t>
      </w:r>
      <w:r>
        <w:rPr>
          <w:rFonts w:hint="eastAsia" w:ascii="宋体" w:hAnsi="宋体"/>
          <w:color w:val="auto"/>
          <w:sz w:val="24"/>
          <w:highlight w:val="none"/>
          <w:lang w:eastAsia="zh-CN"/>
        </w:rPr>
        <w:t>）</w:t>
      </w:r>
      <w:bookmarkEnd w:id="232"/>
    </w:p>
    <w:p w14:paraId="049F9E9B">
      <w:pPr>
        <w:snapToGrid w:val="0"/>
        <w:spacing w:before="120" w:beforeLines="50" w:after="50"/>
        <w:jc w:val="left"/>
        <w:outlineLvl w:val="2"/>
        <w:rPr>
          <w:rFonts w:hint="eastAsia" w:ascii="宋体" w:hAnsi="宋体"/>
          <w:color w:val="auto"/>
          <w:sz w:val="24"/>
          <w:highlight w:val="none"/>
          <w:lang w:eastAsia="zh-CN"/>
        </w:rPr>
      </w:pPr>
    </w:p>
    <w:p w14:paraId="24FF9AB5">
      <w:pPr>
        <w:snapToGrid w:val="0"/>
        <w:spacing w:before="120" w:beforeLines="50" w:after="50"/>
        <w:jc w:val="left"/>
        <w:outlineLvl w:val="2"/>
        <w:rPr>
          <w:rFonts w:hint="eastAsia" w:ascii="宋体" w:hAnsi="宋体"/>
          <w:color w:val="auto"/>
          <w:sz w:val="24"/>
          <w:highlight w:val="none"/>
          <w:lang w:eastAsia="zh-CN"/>
        </w:rPr>
      </w:pPr>
    </w:p>
    <w:p w14:paraId="4B054017">
      <w:pPr>
        <w:snapToGrid w:val="0"/>
        <w:spacing w:before="120" w:beforeLines="50" w:after="50"/>
        <w:jc w:val="left"/>
        <w:outlineLvl w:val="2"/>
        <w:rPr>
          <w:rFonts w:hint="eastAsia" w:ascii="宋体" w:hAnsi="宋体"/>
          <w:b/>
          <w:color w:val="auto"/>
          <w:sz w:val="24"/>
          <w:highlight w:val="none"/>
        </w:rPr>
      </w:pPr>
      <w:bookmarkStart w:id="233" w:name="_Toc1051"/>
      <w:r>
        <w:rPr>
          <w:rFonts w:hint="eastAsia" w:ascii="宋体" w:hAnsi="宋体"/>
          <w:b/>
          <w:color w:val="auto"/>
          <w:sz w:val="24"/>
          <w:highlight w:val="none"/>
        </w:rPr>
        <w:t>1.</w:t>
      </w:r>
      <w:r>
        <w:rPr>
          <w:rFonts w:hint="eastAsia" w:ascii="宋体" w:hAnsi="宋体"/>
          <w:b/>
          <w:color w:val="auto"/>
          <w:sz w:val="28"/>
          <w:szCs w:val="28"/>
          <w:highlight w:val="none"/>
        </w:rPr>
        <w:t>投标人直接控股股东信息表（格式）</w:t>
      </w:r>
      <w:bookmarkEnd w:id="233"/>
    </w:p>
    <w:p w14:paraId="1A078969">
      <w:pPr>
        <w:snapToGrid w:val="0"/>
        <w:spacing w:before="50" w:after="120" w:afterLines="50"/>
        <w:jc w:val="center"/>
        <w:rPr>
          <w:rFonts w:hint="eastAsia" w:ascii="宋体" w:hAnsi="宋体"/>
          <w:b/>
          <w:color w:val="auto"/>
          <w:sz w:val="28"/>
          <w:szCs w:val="28"/>
          <w:highlight w:val="none"/>
        </w:rPr>
      </w:pPr>
    </w:p>
    <w:p w14:paraId="069A53AC">
      <w:pPr>
        <w:snapToGrid w:val="0"/>
        <w:spacing w:before="50" w:after="120" w:afterLines="50"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49"/>
        <w:tblW w:w="9476" w:type="dxa"/>
        <w:tblInd w:w="-126" w:type="dxa"/>
        <w:shd w:val="clear" w:color="auto" w:fill="FBFBFB"/>
        <w:tblLayout w:type="fixed"/>
        <w:tblCellMar>
          <w:top w:w="0" w:type="dxa"/>
          <w:left w:w="0" w:type="dxa"/>
          <w:bottom w:w="0" w:type="dxa"/>
          <w:right w:w="0" w:type="dxa"/>
        </w:tblCellMar>
      </w:tblPr>
      <w:tblGrid>
        <w:gridCol w:w="828"/>
        <w:gridCol w:w="2269"/>
        <w:gridCol w:w="1239"/>
        <w:gridCol w:w="3978"/>
        <w:gridCol w:w="1162"/>
      </w:tblGrid>
      <w:tr w14:paraId="108AA51A">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FB1955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4D6174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8C83E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97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E39CFE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16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E649DC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AABE20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C9BA7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E050EB">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B7B3B9">
            <w:pPr>
              <w:spacing w:line="360" w:lineRule="auto"/>
              <w:jc w:val="center"/>
              <w:rPr>
                <w:rFonts w:ascii="宋体" w:hAnsi="宋体" w:cs="宋体"/>
                <w:color w:val="auto"/>
                <w:kern w:val="0"/>
                <w:sz w:val="24"/>
                <w:highlight w:val="none"/>
              </w:rPr>
            </w:pPr>
          </w:p>
        </w:tc>
        <w:tc>
          <w:tcPr>
            <w:tcW w:w="397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61D088">
            <w:pPr>
              <w:spacing w:line="360" w:lineRule="auto"/>
              <w:jc w:val="center"/>
              <w:rPr>
                <w:rFonts w:ascii="宋体" w:hAnsi="宋体" w:cs="宋体"/>
                <w:color w:val="auto"/>
                <w:kern w:val="0"/>
                <w:sz w:val="24"/>
                <w:highlight w:val="none"/>
              </w:rPr>
            </w:pPr>
          </w:p>
        </w:tc>
        <w:tc>
          <w:tcPr>
            <w:tcW w:w="116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E5DC8C">
            <w:pPr>
              <w:spacing w:line="360" w:lineRule="auto"/>
              <w:jc w:val="center"/>
              <w:rPr>
                <w:rFonts w:ascii="宋体" w:hAnsi="宋体" w:cs="宋体"/>
                <w:color w:val="auto"/>
                <w:kern w:val="0"/>
                <w:sz w:val="24"/>
                <w:highlight w:val="none"/>
              </w:rPr>
            </w:pPr>
          </w:p>
        </w:tc>
      </w:tr>
      <w:tr w14:paraId="28EB160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43AF46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0639D2">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7C18A0">
            <w:pPr>
              <w:spacing w:line="360" w:lineRule="auto"/>
              <w:jc w:val="center"/>
              <w:rPr>
                <w:rFonts w:ascii="宋体" w:hAnsi="宋体" w:cs="宋体"/>
                <w:color w:val="auto"/>
                <w:kern w:val="0"/>
                <w:sz w:val="24"/>
                <w:highlight w:val="none"/>
              </w:rPr>
            </w:pPr>
          </w:p>
        </w:tc>
        <w:tc>
          <w:tcPr>
            <w:tcW w:w="397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C356AB">
            <w:pPr>
              <w:spacing w:line="360" w:lineRule="auto"/>
              <w:jc w:val="center"/>
              <w:rPr>
                <w:rFonts w:ascii="宋体" w:hAnsi="宋体" w:cs="宋体"/>
                <w:color w:val="auto"/>
                <w:kern w:val="0"/>
                <w:sz w:val="24"/>
                <w:highlight w:val="none"/>
              </w:rPr>
            </w:pPr>
          </w:p>
        </w:tc>
        <w:tc>
          <w:tcPr>
            <w:tcW w:w="116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A3BEAB">
            <w:pPr>
              <w:spacing w:line="360" w:lineRule="auto"/>
              <w:jc w:val="center"/>
              <w:rPr>
                <w:rFonts w:ascii="宋体" w:hAnsi="宋体" w:cs="宋体"/>
                <w:color w:val="auto"/>
                <w:kern w:val="0"/>
                <w:sz w:val="24"/>
                <w:highlight w:val="none"/>
              </w:rPr>
            </w:pPr>
          </w:p>
        </w:tc>
      </w:tr>
      <w:tr w14:paraId="2638030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2CC45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5EB2D92">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05418F">
            <w:pPr>
              <w:spacing w:line="360" w:lineRule="auto"/>
              <w:jc w:val="center"/>
              <w:rPr>
                <w:rFonts w:ascii="宋体" w:hAnsi="宋体" w:cs="宋体"/>
                <w:color w:val="auto"/>
                <w:kern w:val="0"/>
                <w:sz w:val="24"/>
                <w:highlight w:val="none"/>
              </w:rPr>
            </w:pPr>
          </w:p>
        </w:tc>
        <w:tc>
          <w:tcPr>
            <w:tcW w:w="397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E729A2">
            <w:pPr>
              <w:spacing w:line="360" w:lineRule="auto"/>
              <w:jc w:val="center"/>
              <w:rPr>
                <w:rFonts w:ascii="宋体" w:hAnsi="宋体" w:cs="宋体"/>
                <w:color w:val="auto"/>
                <w:kern w:val="0"/>
                <w:sz w:val="24"/>
                <w:highlight w:val="none"/>
              </w:rPr>
            </w:pPr>
          </w:p>
        </w:tc>
        <w:tc>
          <w:tcPr>
            <w:tcW w:w="116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77DD5E">
            <w:pPr>
              <w:spacing w:line="360" w:lineRule="auto"/>
              <w:jc w:val="center"/>
              <w:rPr>
                <w:rFonts w:ascii="宋体" w:hAnsi="宋体" w:cs="宋体"/>
                <w:color w:val="auto"/>
                <w:kern w:val="0"/>
                <w:sz w:val="24"/>
                <w:highlight w:val="none"/>
              </w:rPr>
            </w:pPr>
          </w:p>
        </w:tc>
      </w:tr>
      <w:tr w14:paraId="7EA9791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15D87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E996B18">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359FC7">
            <w:pPr>
              <w:spacing w:line="360" w:lineRule="auto"/>
              <w:jc w:val="center"/>
              <w:rPr>
                <w:rFonts w:ascii="宋体" w:hAnsi="宋体" w:cs="宋体"/>
                <w:color w:val="auto"/>
                <w:kern w:val="0"/>
                <w:sz w:val="24"/>
                <w:highlight w:val="none"/>
              </w:rPr>
            </w:pPr>
          </w:p>
        </w:tc>
        <w:tc>
          <w:tcPr>
            <w:tcW w:w="397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B017A3">
            <w:pPr>
              <w:spacing w:line="360" w:lineRule="auto"/>
              <w:jc w:val="center"/>
              <w:rPr>
                <w:rFonts w:ascii="宋体" w:hAnsi="宋体" w:cs="宋体"/>
                <w:color w:val="auto"/>
                <w:kern w:val="0"/>
                <w:sz w:val="24"/>
                <w:highlight w:val="none"/>
              </w:rPr>
            </w:pPr>
          </w:p>
        </w:tc>
        <w:tc>
          <w:tcPr>
            <w:tcW w:w="116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B60255">
            <w:pPr>
              <w:spacing w:line="360" w:lineRule="auto"/>
              <w:jc w:val="center"/>
              <w:rPr>
                <w:rFonts w:ascii="宋体" w:hAnsi="宋体" w:cs="宋体"/>
                <w:color w:val="auto"/>
                <w:kern w:val="0"/>
                <w:sz w:val="24"/>
                <w:highlight w:val="none"/>
              </w:rPr>
            </w:pPr>
          </w:p>
        </w:tc>
      </w:tr>
    </w:tbl>
    <w:p w14:paraId="4D165CB3">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0CA7F987">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B74D970">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2ACA7968">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olor w:val="auto"/>
          <w:sz w:val="24"/>
          <w:highlight w:val="none"/>
        </w:rPr>
        <w:t>”中填“无”。</w:t>
      </w:r>
    </w:p>
    <w:p w14:paraId="5D5F43FF">
      <w:pPr>
        <w:snapToGrid w:val="0"/>
        <w:spacing w:line="360" w:lineRule="auto"/>
        <w:jc w:val="left"/>
        <w:rPr>
          <w:rFonts w:hint="eastAsia" w:ascii="宋体" w:hAnsi="宋体"/>
          <w:color w:val="auto"/>
          <w:sz w:val="24"/>
          <w:highlight w:val="none"/>
        </w:rPr>
      </w:pPr>
    </w:p>
    <w:p w14:paraId="35D74CCF">
      <w:pPr>
        <w:snapToGrid w:val="0"/>
        <w:spacing w:line="360" w:lineRule="auto"/>
        <w:jc w:val="left"/>
        <w:rPr>
          <w:rFonts w:hint="eastAsia" w:ascii="宋体" w:hAnsi="宋体"/>
          <w:color w:val="auto"/>
          <w:sz w:val="24"/>
          <w:highlight w:val="none"/>
        </w:rPr>
      </w:pPr>
    </w:p>
    <w:p w14:paraId="54F30A26">
      <w:pPr>
        <w:snapToGrid w:val="0"/>
        <w:spacing w:line="360" w:lineRule="auto"/>
        <w:jc w:val="left"/>
        <w:rPr>
          <w:rFonts w:hint="eastAsia" w:ascii="宋体" w:hAnsi="宋体"/>
          <w:color w:val="auto"/>
          <w:sz w:val="24"/>
          <w:highlight w:val="none"/>
        </w:rPr>
      </w:pPr>
    </w:p>
    <w:p w14:paraId="2DCBA7FA">
      <w:pPr>
        <w:snapToGrid w:val="0"/>
        <w:spacing w:line="360" w:lineRule="auto"/>
        <w:ind w:left="-2" w:leftChars="-1" w:right="-817" w:rightChars="-389"/>
        <w:rPr>
          <w:rFonts w:hint="eastAsia" w:ascii="宋体" w:hAnsi="宋体"/>
          <w:color w:val="auto"/>
          <w:sz w:val="24"/>
          <w:highlight w:val="none"/>
        </w:rPr>
      </w:pPr>
      <w:r>
        <w:rPr>
          <w:rFonts w:hint="eastAsia" w:ascii="宋体" w:hAnsi="宋体"/>
          <w:color w:val="auto"/>
          <w:sz w:val="24"/>
          <w:highlight w:val="none"/>
        </w:rPr>
        <w:t xml:space="preserve">            </w:t>
      </w:r>
    </w:p>
    <w:p w14:paraId="2481BC22">
      <w:pPr>
        <w:snapToGrid w:val="0"/>
        <w:spacing w:line="360" w:lineRule="auto"/>
        <w:ind w:left="-3" w:leftChars="-15" w:right="-817" w:rightChars="-389" w:hanging="28" w:hangingChars="12"/>
        <w:rPr>
          <w:rFonts w:hint="eastAsia" w:ascii="宋体" w:hAnsi="宋体"/>
          <w:color w:val="auto"/>
          <w:sz w:val="24"/>
          <w:highlight w:val="none"/>
        </w:rPr>
      </w:pPr>
      <w:r>
        <w:rPr>
          <w:rFonts w:hint="eastAsia" w:ascii="宋体" w:hAnsi="宋体"/>
          <w:color w:val="auto"/>
          <w:sz w:val="24"/>
          <w:highlight w:val="none"/>
        </w:rPr>
        <w:t xml:space="preserve">                                    投标人名称（电子签章）：</w:t>
      </w:r>
    </w:p>
    <w:p w14:paraId="368C1057">
      <w:pPr>
        <w:snapToGrid w:val="0"/>
        <w:spacing w:line="360" w:lineRule="auto"/>
        <w:jc w:val="left"/>
        <w:rPr>
          <w:rFonts w:hint="eastAsia" w:ascii="宋体" w:hAnsi="宋体"/>
          <w:color w:val="auto"/>
          <w:szCs w:val="21"/>
          <w:highlight w:val="none"/>
        </w:rPr>
      </w:pPr>
      <w:r>
        <w:rPr>
          <w:rFonts w:hint="eastAsia" w:ascii="宋体" w:hAnsi="宋体"/>
          <w:color w:val="auto"/>
          <w:sz w:val="24"/>
          <w:highlight w:val="none"/>
        </w:rPr>
        <w:t xml:space="preserve">                                    日期：    年   月   日</w:t>
      </w:r>
    </w:p>
    <w:p w14:paraId="68CD8947">
      <w:pPr>
        <w:snapToGrid w:val="0"/>
        <w:jc w:val="center"/>
        <w:rPr>
          <w:rFonts w:hint="eastAsia" w:ascii="宋体" w:hAnsi="宋体"/>
          <w:b/>
          <w:color w:val="auto"/>
          <w:sz w:val="28"/>
          <w:szCs w:val="28"/>
          <w:highlight w:val="none"/>
        </w:rPr>
      </w:pPr>
    </w:p>
    <w:p w14:paraId="4A3BB2EA">
      <w:pPr>
        <w:snapToGrid w:val="0"/>
        <w:spacing w:line="360" w:lineRule="auto"/>
        <w:jc w:val="left"/>
        <w:outlineLvl w:val="2"/>
        <w:rPr>
          <w:rFonts w:hint="eastAsia" w:ascii="宋体" w:hAnsi="宋体"/>
          <w:b/>
          <w:color w:val="auto"/>
          <w:sz w:val="32"/>
          <w:szCs w:val="32"/>
          <w:highlight w:val="none"/>
        </w:rPr>
      </w:pPr>
      <w:r>
        <w:rPr>
          <w:rFonts w:ascii="宋体" w:hAnsi="宋体"/>
          <w:b/>
          <w:color w:val="auto"/>
          <w:sz w:val="32"/>
          <w:szCs w:val="32"/>
          <w:highlight w:val="none"/>
        </w:rPr>
        <w:br w:type="page"/>
      </w:r>
      <w:bookmarkStart w:id="234" w:name="_Toc15074"/>
      <w:r>
        <w:rPr>
          <w:rFonts w:hint="eastAsia" w:ascii="宋体" w:hAnsi="宋体"/>
          <w:b/>
          <w:color w:val="auto"/>
          <w:sz w:val="24"/>
          <w:highlight w:val="none"/>
        </w:rPr>
        <w:t>2.</w:t>
      </w:r>
      <w:r>
        <w:rPr>
          <w:rFonts w:hint="eastAsia" w:ascii="宋体" w:hAnsi="宋体"/>
          <w:b/>
          <w:color w:val="auto"/>
          <w:sz w:val="28"/>
          <w:szCs w:val="28"/>
          <w:highlight w:val="none"/>
        </w:rPr>
        <w:t>投标人直接管理关系信息表（格式）</w:t>
      </w:r>
      <w:bookmarkEnd w:id="234"/>
    </w:p>
    <w:p w14:paraId="23F5F38F">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投标人直接管理关系信息表</w:t>
      </w:r>
    </w:p>
    <w:tbl>
      <w:tblPr>
        <w:tblStyle w:val="49"/>
        <w:tblW w:w="0" w:type="auto"/>
        <w:tblInd w:w="-126" w:type="dxa"/>
        <w:shd w:val="clear" w:color="auto" w:fill="FBFBFB"/>
        <w:tblLayout w:type="fixed"/>
        <w:tblCellMar>
          <w:top w:w="0" w:type="dxa"/>
          <w:left w:w="0" w:type="dxa"/>
          <w:bottom w:w="0" w:type="dxa"/>
          <w:right w:w="0" w:type="dxa"/>
        </w:tblCellMar>
      </w:tblPr>
      <w:tblGrid>
        <w:gridCol w:w="1005"/>
        <w:gridCol w:w="2659"/>
        <w:gridCol w:w="3924"/>
        <w:gridCol w:w="2064"/>
      </w:tblGrid>
      <w:tr w14:paraId="275DF18F">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602CDE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1C3372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97A7AA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565B8D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3D845B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15845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F07EA3">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EEAAC61">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523988">
            <w:pPr>
              <w:spacing w:line="360" w:lineRule="auto"/>
              <w:jc w:val="center"/>
              <w:rPr>
                <w:rFonts w:ascii="宋体" w:hAnsi="宋体" w:cs="宋体"/>
                <w:color w:val="auto"/>
                <w:kern w:val="0"/>
                <w:sz w:val="24"/>
                <w:highlight w:val="none"/>
              </w:rPr>
            </w:pPr>
          </w:p>
        </w:tc>
      </w:tr>
      <w:tr w14:paraId="3503E4C7">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67114B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A173C3">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B366A1">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E083DA">
            <w:pPr>
              <w:spacing w:line="360" w:lineRule="auto"/>
              <w:jc w:val="center"/>
              <w:rPr>
                <w:rFonts w:ascii="宋体" w:hAnsi="宋体" w:cs="宋体"/>
                <w:color w:val="auto"/>
                <w:kern w:val="0"/>
                <w:sz w:val="24"/>
                <w:highlight w:val="none"/>
              </w:rPr>
            </w:pPr>
          </w:p>
        </w:tc>
      </w:tr>
      <w:tr w14:paraId="5569695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BC711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7C7D3D">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DB701D">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0A402BE">
            <w:pPr>
              <w:spacing w:line="360" w:lineRule="auto"/>
              <w:jc w:val="center"/>
              <w:rPr>
                <w:rFonts w:ascii="宋体" w:hAnsi="宋体" w:cs="宋体"/>
                <w:color w:val="auto"/>
                <w:kern w:val="0"/>
                <w:sz w:val="24"/>
                <w:highlight w:val="none"/>
              </w:rPr>
            </w:pPr>
          </w:p>
        </w:tc>
      </w:tr>
      <w:tr w14:paraId="59E273E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F89510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DED44F">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C0C5892">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4F2FE1">
            <w:pPr>
              <w:spacing w:line="360" w:lineRule="auto"/>
              <w:jc w:val="center"/>
              <w:rPr>
                <w:rFonts w:ascii="宋体" w:hAnsi="宋体" w:cs="宋体"/>
                <w:color w:val="auto"/>
                <w:kern w:val="0"/>
                <w:sz w:val="24"/>
                <w:highlight w:val="none"/>
              </w:rPr>
            </w:pPr>
          </w:p>
        </w:tc>
      </w:tr>
    </w:tbl>
    <w:p w14:paraId="68C2D625">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6D0C53F8">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45CBA038">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1123D895">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olor w:val="auto"/>
          <w:sz w:val="24"/>
          <w:highlight w:val="none"/>
        </w:rPr>
        <w:t>”中填“无”。</w:t>
      </w:r>
    </w:p>
    <w:p w14:paraId="530DB03A">
      <w:pPr>
        <w:snapToGrid w:val="0"/>
        <w:spacing w:line="360" w:lineRule="auto"/>
        <w:jc w:val="left"/>
        <w:rPr>
          <w:rFonts w:hint="eastAsia" w:ascii="宋体" w:hAnsi="宋体"/>
          <w:color w:val="auto"/>
          <w:sz w:val="24"/>
          <w:highlight w:val="none"/>
        </w:rPr>
      </w:pPr>
    </w:p>
    <w:p w14:paraId="3728008E">
      <w:pPr>
        <w:snapToGrid w:val="0"/>
        <w:spacing w:line="360" w:lineRule="auto"/>
        <w:jc w:val="left"/>
        <w:rPr>
          <w:rFonts w:hint="eastAsia" w:ascii="宋体" w:hAnsi="宋体"/>
          <w:color w:val="auto"/>
          <w:sz w:val="24"/>
          <w:highlight w:val="none"/>
        </w:rPr>
      </w:pPr>
    </w:p>
    <w:p w14:paraId="1C73CBCC">
      <w:pPr>
        <w:snapToGrid w:val="0"/>
        <w:spacing w:line="360" w:lineRule="auto"/>
        <w:jc w:val="left"/>
        <w:rPr>
          <w:rFonts w:hint="eastAsia" w:ascii="宋体" w:hAnsi="宋体"/>
          <w:color w:val="auto"/>
          <w:sz w:val="24"/>
          <w:highlight w:val="none"/>
        </w:rPr>
      </w:pPr>
    </w:p>
    <w:p w14:paraId="6C0F6EF9">
      <w:pPr>
        <w:snapToGrid w:val="0"/>
        <w:spacing w:line="360" w:lineRule="auto"/>
        <w:jc w:val="left"/>
        <w:rPr>
          <w:rFonts w:hint="eastAsia"/>
          <w:color w:val="auto"/>
          <w:sz w:val="24"/>
          <w:highlight w:val="none"/>
        </w:rPr>
      </w:pPr>
    </w:p>
    <w:p w14:paraId="24E2EF2B">
      <w:pPr>
        <w:snapToGrid w:val="0"/>
        <w:spacing w:line="360" w:lineRule="auto"/>
        <w:ind w:left="-2" w:leftChars="-1" w:right="-817" w:rightChars="-389"/>
        <w:rPr>
          <w:rFonts w:hint="eastAsia" w:ascii="宋体" w:hAnsi="宋体"/>
          <w:color w:val="auto"/>
          <w:sz w:val="24"/>
          <w:highlight w:val="none"/>
        </w:rPr>
      </w:pPr>
      <w:r>
        <w:rPr>
          <w:rFonts w:hint="eastAsia" w:ascii="宋体" w:hAnsi="宋体"/>
          <w:color w:val="auto"/>
          <w:sz w:val="24"/>
          <w:highlight w:val="none"/>
        </w:rPr>
        <w:t xml:space="preserve">        </w:t>
      </w:r>
    </w:p>
    <w:p w14:paraId="68DFCC9D">
      <w:pPr>
        <w:snapToGrid w:val="0"/>
        <w:spacing w:line="360" w:lineRule="auto"/>
        <w:ind w:left="-3" w:leftChars="-15" w:right="-817" w:rightChars="-389" w:hanging="28" w:hangingChars="12"/>
        <w:rPr>
          <w:rFonts w:hint="eastAsia" w:ascii="宋体" w:hAnsi="宋体"/>
          <w:color w:val="auto"/>
          <w:sz w:val="24"/>
          <w:highlight w:val="none"/>
        </w:rPr>
      </w:pPr>
      <w:r>
        <w:rPr>
          <w:rFonts w:hint="eastAsia" w:ascii="宋体" w:hAnsi="宋体"/>
          <w:color w:val="auto"/>
          <w:sz w:val="24"/>
          <w:highlight w:val="none"/>
        </w:rPr>
        <w:t xml:space="preserve">                                  投标人名称（电子签章）：</w:t>
      </w:r>
    </w:p>
    <w:p w14:paraId="71827AF0">
      <w:pPr>
        <w:snapToGrid w:val="0"/>
        <w:spacing w:line="360" w:lineRule="auto"/>
        <w:ind w:right="480" w:firstLine="240" w:firstLineChars="100"/>
        <w:jc w:val="left"/>
        <w:rPr>
          <w:rFonts w:hint="eastAsia" w:ascii="宋体" w:hAnsi="宋体"/>
          <w:color w:val="auto"/>
          <w:szCs w:val="21"/>
          <w:highlight w:val="none"/>
        </w:rPr>
      </w:pPr>
      <w:r>
        <w:rPr>
          <w:rFonts w:hint="eastAsia" w:ascii="宋体" w:hAnsi="宋体"/>
          <w:color w:val="auto"/>
          <w:sz w:val="24"/>
          <w:highlight w:val="none"/>
        </w:rPr>
        <w:t xml:space="preserve">                                日期：    年   月   日</w:t>
      </w:r>
    </w:p>
    <w:p w14:paraId="54DD44BD">
      <w:pPr>
        <w:snapToGrid w:val="0"/>
        <w:spacing w:before="120" w:beforeLines="50" w:after="50"/>
        <w:jc w:val="left"/>
        <w:outlineLvl w:val="2"/>
        <w:rPr>
          <w:rFonts w:hint="eastAsia" w:ascii="宋体" w:hAnsi="宋体"/>
          <w:b/>
          <w:color w:val="auto"/>
          <w:sz w:val="24"/>
          <w:szCs w:val="20"/>
          <w:highlight w:val="none"/>
        </w:rPr>
      </w:pPr>
      <w:r>
        <w:rPr>
          <w:rFonts w:ascii="宋体" w:hAnsi="宋体"/>
          <w:b/>
          <w:color w:val="auto"/>
          <w:sz w:val="24"/>
          <w:highlight w:val="none"/>
        </w:rPr>
        <w:br w:type="page"/>
      </w:r>
      <w:bookmarkStart w:id="235" w:name="_Toc24039"/>
      <w:r>
        <w:rPr>
          <w:rFonts w:hint="eastAsia" w:ascii="宋体" w:hAnsi="宋体"/>
          <w:b/>
          <w:color w:val="auto"/>
          <w:sz w:val="24"/>
          <w:highlight w:val="none"/>
        </w:rPr>
        <w:t>3</w:t>
      </w:r>
      <w:r>
        <w:rPr>
          <w:rFonts w:ascii="宋体" w:hAnsi="宋体"/>
          <w:b/>
          <w:color w:val="auto"/>
          <w:sz w:val="24"/>
          <w:highlight w:val="none"/>
        </w:rPr>
        <w:t>.</w:t>
      </w:r>
      <w:r>
        <w:rPr>
          <w:rFonts w:hint="eastAsia" w:ascii="宋体" w:hAnsi="宋体"/>
          <w:b/>
          <w:color w:val="auto"/>
          <w:sz w:val="24"/>
          <w:highlight w:val="none"/>
        </w:rPr>
        <w:t>投标声明（格式）</w:t>
      </w:r>
      <w:bookmarkEnd w:id="235"/>
    </w:p>
    <w:p w14:paraId="54E4619E">
      <w:pPr>
        <w:snapToGrid w:val="0"/>
        <w:spacing w:before="50" w:after="120" w:afterLines="50"/>
        <w:jc w:val="left"/>
        <w:rPr>
          <w:rFonts w:hint="eastAsia" w:ascii="宋体" w:hAnsi="宋体"/>
          <w:color w:val="auto"/>
          <w:highlight w:val="none"/>
        </w:rPr>
      </w:pPr>
    </w:p>
    <w:p w14:paraId="659F0570">
      <w:pPr>
        <w:snapToGrid w:val="0"/>
        <w:spacing w:before="50" w:after="120" w:afterLines="50"/>
        <w:jc w:val="center"/>
        <w:rPr>
          <w:rFonts w:hint="eastAsia" w:ascii="黑体" w:hAnsi="黑体" w:eastAsia="黑体" w:cs="黑体"/>
          <w:bCs/>
          <w:color w:val="auto"/>
          <w:sz w:val="44"/>
          <w:szCs w:val="44"/>
          <w:highlight w:val="none"/>
        </w:rPr>
      </w:pPr>
      <w:r>
        <w:rPr>
          <w:rFonts w:hint="eastAsia" w:ascii="黑体" w:hAnsi="黑体" w:eastAsia="黑体" w:cs="黑体"/>
          <w:bCs/>
          <w:color w:val="auto"/>
          <w:sz w:val="44"/>
          <w:szCs w:val="44"/>
          <w:highlight w:val="none"/>
        </w:rPr>
        <w:t>投标声明</w:t>
      </w:r>
    </w:p>
    <w:p w14:paraId="57ECDB53">
      <w:pPr>
        <w:spacing w:line="400" w:lineRule="exact"/>
        <w:contextualSpacing/>
        <w:jc w:val="left"/>
        <w:rPr>
          <w:rFonts w:hint="eastAsia"/>
          <w:color w:val="auto"/>
          <w:sz w:val="24"/>
          <w:highlight w:val="none"/>
        </w:rPr>
      </w:pPr>
      <w:r>
        <w:rPr>
          <w:rFonts w:hint="eastAsia"/>
          <w:color w:val="auto"/>
          <w:sz w:val="24"/>
          <w:highlight w:val="none"/>
        </w:rPr>
        <w:t>（采购人名称）：</w:t>
      </w:r>
    </w:p>
    <w:p w14:paraId="6FA3A2AF">
      <w:pPr>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3278147A">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EE57F8E">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5EA03538">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005DB3B7">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33896595">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5DA224D2">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49610652">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7395B344">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665980CB">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（六）法律、行政法规规定的其他条件。</w:t>
      </w:r>
    </w:p>
    <w:p w14:paraId="42330515">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27F82243">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2837D681">
      <w:pPr>
        <w:snapToGrid w:val="0"/>
        <w:spacing w:before="50" w:after="50"/>
        <w:rPr>
          <w:rFonts w:ascii="宋体" w:hAnsi="宋体"/>
          <w:color w:val="auto"/>
          <w:sz w:val="24"/>
          <w:highlight w:val="none"/>
        </w:rPr>
      </w:pPr>
      <w:r>
        <w:rPr>
          <w:rFonts w:hint="eastAsia" w:ascii="宋体" w:hAnsi="宋体"/>
          <w:b/>
          <w:color w:val="auto"/>
          <w:sz w:val="24"/>
          <w:highlight w:val="none"/>
        </w:rPr>
        <w:t xml:space="preserve">    </w:t>
      </w:r>
      <w:r>
        <w:rPr>
          <w:rFonts w:hint="eastAsia" w:ascii="宋体" w:hAnsi="宋体"/>
          <w:color w:val="auto"/>
          <w:sz w:val="24"/>
          <w:highlight w:val="none"/>
        </w:rPr>
        <w:t xml:space="preserve">            </w:t>
      </w:r>
    </w:p>
    <w:p w14:paraId="05F5574A">
      <w:pPr>
        <w:spacing w:line="400" w:lineRule="exact"/>
        <w:contextualSpacing/>
        <w:jc w:val="left"/>
        <w:rPr>
          <w:rFonts w:hint="eastAsia" w:ascii="宋体" w:hAnsi="宋体"/>
          <w:color w:val="auto"/>
          <w:sz w:val="24"/>
          <w:highlight w:val="none"/>
        </w:rPr>
      </w:pPr>
    </w:p>
    <w:p w14:paraId="7AC1E5EE">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投标人名称（电子签章）：</w:t>
      </w:r>
      <w:r>
        <w:rPr>
          <w:rFonts w:hint="eastAsia" w:ascii="宋体" w:hAnsi="宋体"/>
          <w:color w:val="auto"/>
          <w:sz w:val="24"/>
          <w:highlight w:val="none"/>
          <w:u w:val="single"/>
        </w:rPr>
        <w:t xml:space="preserve">                 </w:t>
      </w:r>
    </w:p>
    <w:p w14:paraId="0670C863">
      <w:pPr>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14:paraId="2CE4093F">
      <w:pPr>
        <w:spacing w:line="440" w:lineRule="exact"/>
        <w:contextualSpacing/>
        <w:rPr>
          <w:rFonts w:hint="eastAsia" w:ascii="宋体" w:hAnsi="宋体"/>
          <w:b/>
          <w:color w:val="auto"/>
          <w:sz w:val="24"/>
          <w:highlight w:val="none"/>
        </w:rPr>
      </w:pPr>
    </w:p>
    <w:p w14:paraId="43BB76BD">
      <w:pPr>
        <w:spacing w:line="440" w:lineRule="exact"/>
        <w:contextualSpacing/>
        <w:rPr>
          <w:rFonts w:hint="eastAsia" w:ascii="宋体" w:hAnsi="宋体"/>
          <w:b/>
          <w:color w:val="auto"/>
          <w:sz w:val="24"/>
          <w:highlight w:val="none"/>
        </w:rPr>
      </w:pPr>
      <w:r>
        <w:rPr>
          <w:rFonts w:hint="eastAsia" w:ascii="宋体" w:hAnsi="宋体"/>
          <w:b/>
          <w:color w:val="auto"/>
          <w:sz w:val="24"/>
          <w:highlight w:val="none"/>
        </w:rPr>
        <w:t>注：如为联合体投标，盖章处须加盖联合体牵头人电子签章，否则投标无效。</w:t>
      </w:r>
    </w:p>
    <w:p w14:paraId="3EE6C00F">
      <w:pPr>
        <w:snapToGrid w:val="0"/>
        <w:spacing w:before="120" w:beforeLines="50" w:after="50"/>
        <w:ind w:left="142"/>
        <w:jc w:val="left"/>
        <w:outlineLvl w:val="2"/>
        <w:rPr>
          <w:rFonts w:hint="eastAsia" w:ascii="宋体" w:hAnsi="宋体"/>
          <w:b/>
          <w:color w:val="auto"/>
          <w:spacing w:val="20"/>
          <w:sz w:val="24"/>
          <w:highlight w:val="none"/>
        </w:rPr>
      </w:pPr>
      <w:r>
        <w:rPr>
          <w:rFonts w:hint="eastAsia" w:ascii="宋体" w:hAnsi="宋体"/>
          <w:b/>
          <w:color w:val="auto"/>
          <w:sz w:val="24"/>
          <w:highlight w:val="none"/>
        </w:rPr>
        <w:br w:type="page"/>
      </w:r>
      <w:bookmarkStart w:id="236" w:name="_Toc29819"/>
      <w:r>
        <w:rPr>
          <w:rFonts w:hint="eastAsia" w:ascii="宋体" w:hAnsi="宋体"/>
          <w:b/>
          <w:color w:val="auto"/>
          <w:spacing w:val="20"/>
          <w:sz w:val="24"/>
          <w:highlight w:val="none"/>
          <w:lang w:val="en-US" w:eastAsia="zh-CN"/>
        </w:rPr>
        <w:t>4</w:t>
      </w:r>
      <w:r>
        <w:rPr>
          <w:rFonts w:hint="eastAsia" w:ascii="宋体" w:hAnsi="宋体"/>
          <w:b/>
          <w:color w:val="auto"/>
          <w:spacing w:val="20"/>
          <w:sz w:val="24"/>
          <w:highlight w:val="none"/>
        </w:rPr>
        <w:t>.联合投标协议书（格式）</w:t>
      </w:r>
      <w:bookmarkEnd w:id="236"/>
    </w:p>
    <w:p w14:paraId="6F45999F">
      <w:pPr>
        <w:pStyle w:val="7"/>
        <w:overflowPunct w:val="0"/>
        <w:jc w:val="center"/>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联合体协议书</w:t>
      </w:r>
    </w:p>
    <w:p w14:paraId="7BC511BF">
      <w:pPr>
        <w:pStyle w:val="7"/>
        <w:overflowPunct w:val="0"/>
        <w:rPr>
          <w:rFonts w:ascii="宋体" w:hAnsi="宋体"/>
          <w:color w:val="auto"/>
          <w:sz w:val="24"/>
          <w:highlight w:val="none"/>
        </w:rPr>
      </w:pPr>
    </w:p>
    <w:p w14:paraId="108685BB">
      <w:pPr>
        <w:pStyle w:val="7"/>
        <w:overflowPunct w:val="0"/>
        <w:spacing w:before="240" w:beforeLines="100" w:after="240" w:afterLines="100"/>
        <w:contextualSpacing/>
        <w:rPr>
          <w:rFonts w:ascii="宋体" w:hAnsi="宋体"/>
          <w:color w:val="auto"/>
          <w:sz w:val="24"/>
          <w:highlight w:val="none"/>
          <w:u w:val="single"/>
        </w:rPr>
      </w:pPr>
    </w:p>
    <w:p w14:paraId="782ACC0F">
      <w:pPr>
        <w:pStyle w:val="7"/>
        <w:overflowPunct w:val="0"/>
        <w:spacing w:before="240" w:beforeLines="100" w:after="240" w:afterLines="100"/>
        <w:contextualSpacing/>
        <w:rPr>
          <w:rFonts w:hint="eastAsia" w:ascii="宋体" w:hAns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（所有成员单位名称）自愿组成</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（联合体名称）联合体，共同参加</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u w:val="single"/>
        </w:rPr>
        <w:t xml:space="preserve">   （项目名称）</w:t>
      </w:r>
      <w:r>
        <w:rPr>
          <w:rFonts w:hint="eastAsia" w:ascii="宋体" w:hAnsi="宋体"/>
          <w:color w:val="auto"/>
          <w:sz w:val="24"/>
          <w:highlight w:val="none"/>
        </w:rPr>
        <w:t>采购招标项目投标。现就联合体投标事宜订立如下协议。</w:t>
      </w:r>
    </w:p>
    <w:p w14:paraId="37D5D780">
      <w:pPr>
        <w:pStyle w:val="7"/>
        <w:overflowPunct w:val="0"/>
        <w:spacing w:before="240" w:beforeLines="100" w:after="240" w:afterLines="100"/>
        <w:contextualSpacing/>
        <w:rPr>
          <w:rFonts w:hint="eastAsia" w:ascii="宋体" w:hAnsi="宋体"/>
          <w:color w:val="auto"/>
          <w:sz w:val="24"/>
          <w:highlight w:val="none"/>
        </w:rPr>
      </w:pPr>
    </w:p>
    <w:p w14:paraId="749FADC1">
      <w:pPr>
        <w:pStyle w:val="7"/>
        <w:numPr>
          <w:ilvl w:val="0"/>
          <w:numId w:val="15"/>
        </w:numPr>
        <w:overflowPunct w:val="0"/>
        <w:spacing w:before="240" w:beforeLines="100" w:after="240" w:afterLines="100"/>
        <w:ind w:firstLineChars="175"/>
        <w:contextualSpacing/>
        <w:rPr>
          <w:rFonts w:hint="eastAsia" w:ascii="宋体" w:hAnsi="宋体"/>
          <w:color w:val="auto"/>
          <w:sz w:val="24"/>
          <w:highlight w:val="none"/>
        </w:rPr>
      </w:pP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（某成员单位名称）为</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（联合体名称）牵头人。</w:t>
      </w:r>
    </w:p>
    <w:p w14:paraId="1A548EBD">
      <w:pPr>
        <w:pStyle w:val="7"/>
        <w:overflowPunct w:val="0"/>
        <w:spacing w:before="240" w:beforeLines="100" w:after="240" w:afterLines="100"/>
        <w:ind w:firstLine="0"/>
        <w:contextualSpacing/>
        <w:rPr>
          <w:rFonts w:hint="eastAsia" w:ascii="宋体" w:hAnsi="宋体"/>
          <w:color w:val="auto"/>
          <w:sz w:val="24"/>
          <w:highlight w:val="none"/>
        </w:rPr>
      </w:pPr>
    </w:p>
    <w:p w14:paraId="4EACABC4">
      <w:pPr>
        <w:pStyle w:val="7"/>
        <w:numPr>
          <w:ilvl w:val="0"/>
          <w:numId w:val="15"/>
        </w:numPr>
        <w:overflowPunct w:val="0"/>
        <w:spacing w:before="240" w:beforeLines="100" w:after="240" w:afterLines="100"/>
        <w:ind w:firstLineChars="175"/>
        <w:contextualSpacing/>
        <w:rPr>
          <w:rFonts w:hint="eastAsia" w:ascii="宋体" w:hAnsi="宋体"/>
          <w:color w:val="auto"/>
          <w:sz w:val="24"/>
          <w:highlight w:val="none"/>
        </w:rPr>
      </w:pPr>
      <w:r>
        <w:rPr>
          <w:rFonts w:hint="eastAsia" w:ascii="宋体" w:hAnsi="宋体"/>
          <w:color w:val="auto"/>
          <w:sz w:val="24"/>
          <w:highlight w:val="none"/>
        </w:rPr>
        <w:t>联合体各成员授权牵头人代表联合体参加投标活动，签署文件及对文件的盖章，提交和接收相关的资料、信息及指示，进行合同签订活动，负责合同实施阶段的组织和协调工作，以及处理与本招标项目有关的一切事宜。</w:t>
      </w:r>
    </w:p>
    <w:p w14:paraId="243A9EF2">
      <w:pPr>
        <w:pStyle w:val="7"/>
        <w:overflowPunct w:val="0"/>
        <w:spacing w:before="240" w:beforeLines="100" w:after="240" w:afterLines="100"/>
        <w:ind w:left="368" w:leftChars="175" w:firstLine="0"/>
        <w:contextualSpacing/>
        <w:rPr>
          <w:rFonts w:hint="eastAsia" w:ascii="宋体" w:hAnsi="宋体"/>
          <w:color w:val="auto"/>
          <w:sz w:val="24"/>
          <w:highlight w:val="none"/>
        </w:rPr>
      </w:pPr>
    </w:p>
    <w:p w14:paraId="0524BD39">
      <w:pPr>
        <w:pStyle w:val="7"/>
        <w:numPr>
          <w:ilvl w:val="0"/>
          <w:numId w:val="15"/>
        </w:numPr>
        <w:overflowPunct w:val="0"/>
        <w:spacing w:before="240" w:beforeLines="100" w:after="240" w:afterLines="100"/>
        <w:ind w:firstLineChars="175"/>
        <w:contextualSpacing/>
        <w:rPr>
          <w:rFonts w:hint="eastAsia" w:ascii="宋体" w:hAnsi="宋体"/>
          <w:color w:val="auto"/>
          <w:sz w:val="24"/>
          <w:highlight w:val="none"/>
        </w:rPr>
      </w:pPr>
      <w:r>
        <w:rPr>
          <w:rFonts w:hint="eastAsia" w:ascii="宋体" w:hAnsi="宋体"/>
          <w:color w:val="auto"/>
          <w:sz w:val="24"/>
          <w:highlight w:val="none"/>
        </w:rPr>
        <w:t>联合体牵头人在本项目中签署和盖章的一切文件和处理的一切事宜，联合体各成员均予以承认。联合体各成员将严格按照招标文件、投标文件和合同的要求全面履行义务，并向招标人承担连带责任。</w:t>
      </w:r>
    </w:p>
    <w:p w14:paraId="222EDC47">
      <w:pPr>
        <w:pStyle w:val="7"/>
        <w:overflowPunct w:val="0"/>
        <w:spacing w:before="240" w:beforeLines="100" w:after="240" w:afterLines="100"/>
        <w:ind w:left="368" w:leftChars="175" w:firstLine="0"/>
        <w:contextualSpacing/>
        <w:rPr>
          <w:rFonts w:hint="eastAsia" w:ascii="宋体" w:hAnsi="宋体"/>
          <w:color w:val="auto"/>
          <w:sz w:val="24"/>
          <w:highlight w:val="none"/>
        </w:rPr>
      </w:pPr>
    </w:p>
    <w:p w14:paraId="0C75096E">
      <w:pPr>
        <w:pStyle w:val="7"/>
        <w:overflowPunct w:val="0"/>
        <w:spacing w:before="240" w:beforeLines="100" w:after="240" w:afterLines="100"/>
        <w:ind w:firstLineChars="175"/>
        <w:contextualSpacing/>
        <w:rPr>
          <w:rFonts w:hint="eastAsia" w:ascii="宋体" w:hAnsi="宋体" w:cs="仿宋_GB2312"/>
          <w:color w:val="auto"/>
          <w:sz w:val="24"/>
          <w:szCs w:val="24"/>
          <w:highlight w:val="none"/>
        </w:rPr>
      </w:pPr>
      <w:r>
        <w:rPr>
          <w:rFonts w:ascii="宋体" w:hAnsi="宋体"/>
          <w:color w:val="auto"/>
          <w:sz w:val="24"/>
          <w:highlight w:val="none"/>
        </w:rPr>
        <w:t>4.</w:t>
      </w:r>
      <w:r>
        <w:rPr>
          <w:rFonts w:hint="eastAsia" w:ascii="宋体" w:hAnsi="宋体"/>
          <w:color w:val="auto"/>
          <w:sz w:val="24"/>
          <w:highlight w:val="none"/>
        </w:rPr>
        <w:t>联合体各成员单位内部的职责分工如下：</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w:t>
      </w:r>
    </w:p>
    <w:p w14:paraId="0AD4A30E">
      <w:pPr>
        <w:pStyle w:val="7"/>
        <w:overflowPunct w:val="0"/>
        <w:spacing w:before="240" w:beforeLines="100" w:after="240" w:afterLines="100"/>
        <w:ind w:firstLine="480" w:firstLineChars="200"/>
        <w:contextualSpacing/>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联合体各成员单位合同金额比例分配如下：</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w:t>
      </w:r>
    </w:p>
    <w:p w14:paraId="08682D68">
      <w:pPr>
        <w:pStyle w:val="7"/>
        <w:overflowPunct w:val="0"/>
        <w:spacing w:before="240" w:beforeLines="100" w:after="240" w:afterLines="100"/>
        <w:ind w:firstLine="480" w:firstLineChars="200"/>
        <w:contextualSpacing/>
        <w:rPr>
          <w:rFonts w:hint="eastAsia" w:ascii="宋体" w:hAnsi="宋体" w:cs="仿宋_GB2312"/>
          <w:color w:val="auto"/>
          <w:sz w:val="24"/>
          <w:szCs w:val="24"/>
          <w:highlight w:val="none"/>
        </w:rPr>
      </w:pPr>
    </w:p>
    <w:p w14:paraId="6909DED4">
      <w:pPr>
        <w:pStyle w:val="7"/>
        <w:overflowPunct w:val="0"/>
        <w:spacing w:before="240" w:beforeLines="100" w:after="240" w:afterLines="100"/>
        <w:ind w:left="8" w:firstLine="360" w:firstLineChars="150"/>
        <w:contextualSpacing/>
        <w:rPr>
          <w:rFonts w:hint="eastAsia" w:ascii="宋体" w:hAnsi="宋体"/>
          <w:color w:val="auto"/>
          <w:sz w:val="24"/>
          <w:highlight w:val="none"/>
        </w:rPr>
      </w:pPr>
      <w:r>
        <w:rPr>
          <w:rFonts w:hint="eastAsia" w:ascii="宋体" w:hAnsi="宋体"/>
          <w:color w:val="auto"/>
          <w:sz w:val="24"/>
          <w:highlight w:val="none"/>
        </w:rPr>
        <w:t>5.本协议书自所有成员单位法定代表人或者其委托代理人签字（或者电子签名）或者盖公章之日起生效，合同履行完毕后自动失效。</w:t>
      </w:r>
    </w:p>
    <w:p w14:paraId="0D9F643C">
      <w:pPr>
        <w:pStyle w:val="7"/>
        <w:overflowPunct w:val="0"/>
        <w:spacing w:before="240" w:beforeLines="100" w:after="240" w:afterLines="100"/>
        <w:ind w:left="368" w:leftChars="175" w:firstLine="0"/>
        <w:contextualSpacing/>
        <w:rPr>
          <w:rFonts w:hint="eastAsia" w:ascii="宋体" w:hAnsi="宋体"/>
          <w:color w:val="auto"/>
          <w:sz w:val="24"/>
          <w:highlight w:val="none"/>
        </w:rPr>
      </w:pPr>
    </w:p>
    <w:p w14:paraId="51582B5A">
      <w:pPr>
        <w:pStyle w:val="7"/>
        <w:overflowPunct w:val="0"/>
        <w:spacing w:before="240" w:beforeLines="100" w:after="240" w:afterLines="100"/>
        <w:ind w:left="368" w:leftChars="175" w:firstLine="0"/>
        <w:contextualSpacing/>
        <w:rPr>
          <w:rFonts w:hint="eastAsia" w:ascii="宋体" w:hAnsi="宋体"/>
          <w:color w:val="auto"/>
          <w:sz w:val="24"/>
          <w:highlight w:val="none"/>
        </w:rPr>
      </w:pPr>
      <w:r>
        <w:rPr>
          <w:rFonts w:hint="eastAsia" w:ascii="宋体" w:hAnsi="宋体"/>
          <w:color w:val="auto"/>
          <w:sz w:val="24"/>
          <w:highlight w:val="none"/>
        </w:rPr>
        <w:t>6.本协议书一式</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份，联合体成员和招标人各执一份。</w:t>
      </w:r>
    </w:p>
    <w:p w14:paraId="36B705DB">
      <w:pPr>
        <w:pStyle w:val="7"/>
        <w:overflowPunct w:val="0"/>
        <w:spacing w:before="240" w:beforeLines="100" w:after="240" w:afterLines="100"/>
        <w:ind w:left="368" w:leftChars="175" w:firstLine="0"/>
        <w:contextualSpacing/>
        <w:rPr>
          <w:rFonts w:hint="eastAsia" w:ascii="宋体" w:hAnsi="宋体"/>
          <w:color w:val="auto"/>
          <w:sz w:val="24"/>
          <w:highlight w:val="none"/>
        </w:rPr>
      </w:pPr>
    </w:p>
    <w:p w14:paraId="104623FC">
      <w:pPr>
        <w:pStyle w:val="7"/>
        <w:overflowPunct w:val="0"/>
        <w:spacing w:before="240" w:beforeLines="100" w:after="240" w:afterLines="100"/>
        <w:ind w:firstLineChars="175"/>
        <w:contextualSpacing/>
        <w:rPr>
          <w:rFonts w:hint="eastAsia" w:ascii="宋体" w:hAnsi="宋体"/>
          <w:color w:val="auto"/>
          <w:sz w:val="24"/>
          <w:highlight w:val="none"/>
        </w:rPr>
      </w:pPr>
      <w:r>
        <w:rPr>
          <w:rFonts w:hint="eastAsia" w:ascii="宋体" w:hAnsi="宋体"/>
          <w:color w:val="auto"/>
          <w:sz w:val="24"/>
          <w:highlight w:val="none"/>
        </w:rPr>
        <w:t>注：本协议书应附法定代表人身份证明；有委托代理的，应附授权委托书</w:t>
      </w:r>
      <w:r>
        <w:rPr>
          <w:rFonts w:hint="eastAsia" w:ascii="宋体" w:hAnsi="宋体" w:cs="仿宋_GB2312"/>
          <w:color w:val="auto"/>
          <w:sz w:val="24"/>
          <w:highlight w:val="none"/>
        </w:rPr>
        <w:t>（格式自拟）</w:t>
      </w:r>
      <w:r>
        <w:rPr>
          <w:rFonts w:hint="eastAsia" w:ascii="宋体" w:hAnsi="宋体"/>
          <w:color w:val="auto"/>
          <w:sz w:val="24"/>
          <w:highlight w:val="none"/>
        </w:rPr>
        <w:t>。</w:t>
      </w:r>
    </w:p>
    <w:p w14:paraId="6A122E06">
      <w:pPr>
        <w:pStyle w:val="7"/>
        <w:overflowPunct w:val="0"/>
        <w:spacing w:before="240" w:beforeLines="100" w:after="240" w:afterLines="100"/>
        <w:ind w:firstLineChars="175"/>
        <w:contextualSpacing/>
        <w:rPr>
          <w:rFonts w:hint="eastAsia" w:ascii="宋体" w:hAnsi="宋体"/>
          <w:color w:val="auto"/>
          <w:sz w:val="24"/>
          <w:highlight w:val="none"/>
        </w:rPr>
      </w:pPr>
    </w:p>
    <w:p w14:paraId="6E820A84">
      <w:pPr>
        <w:pStyle w:val="7"/>
        <w:overflowPunct w:val="0"/>
        <w:spacing w:before="240" w:beforeLines="100" w:after="240" w:afterLines="100"/>
        <w:ind w:firstLineChars="175"/>
        <w:contextualSpacing/>
        <w:rPr>
          <w:rFonts w:hint="eastAsia" w:ascii="宋体" w:hAnsi="宋体"/>
          <w:color w:val="auto"/>
          <w:sz w:val="24"/>
          <w:highlight w:val="none"/>
        </w:rPr>
      </w:pPr>
    </w:p>
    <w:p w14:paraId="2867CE7B">
      <w:pPr>
        <w:pStyle w:val="7"/>
        <w:overflowPunct w:val="0"/>
        <w:spacing w:before="240" w:beforeLines="100" w:after="240" w:afterLines="100"/>
        <w:ind w:firstLineChars="175"/>
        <w:contextualSpacing/>
        <w:rPr>
          <w:rFonts w:hint="eastAsia" w:ascii="宋体" w:hAnsi="宋体"/>
          <w:color w:val="auto"/>
          <w:sz w:val="24"/>
          <w:highlight w:val="none"/>
        </w:rPr>
      </w:pPr>
    </w:p>
    <w:p w14:paraId="22981463">
      <w:pPr>
        <w:pStyle w:val="7"/>
        <w:overflowPunct w:val="0"/>
        <w:spacing w:before="240" w:beforeLines="100" w:after="240" w:afterLines="100"/>
        <w:ind w:firstLineChars="175"/>
        <w:contextualSpacing/>
        <w:rPr>
          <w:rFonts w:ascii="宋体" w:hAnsi="宋体"/>
          <w:color w:val="auto"/>
          <w:sz w:val="24"/>
          <w:highlight w:val="none"/>
        </w:rPr>
      </w:pPr>
      <w:r>
        <w:rPr>
          <w:rFonts w:hint="eastAsia" w:ascii="宋体" w:hAnsi="宋体"/>
          <w:color w:val="auto"/>
          <w:sz w:val="24"/>
          <w:highlight w:val="none"/>
        </w:rPr>
        <w:t>联合体牵头人名称（电子签章）：</w:t>
      </w:r>
    </w:p>
    <w:p w14:paraId="6EF3B1AE">
      <w:pPr>
        <w:pStyle w:val="7"/>
        <w:overflowPunct w:val="0"/>
        <w:spacing w:before="240" w:beforeLines="100" w:after="240" w:afterLines="100"/>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（签字或者电子签名）</w:t>
      </w:r>
    </w:p>
    <w:p w14:paraId="6C27BAFC">
      <w:pPr>
        <w:pStyle w:val="7"/>
        <w:overflowPunct w:val="0"/>
        <w:spacing w:before="240" w:beforeLines="100" w:after="240" w:afterLines="100"/>
        <w:ind w:firstLineChars="175"/>
        <w:contextualSpacing/>
        <w:rPr>
          <w:rFonts w:ascii="宋体" w:hAnsi="宋体"/>
          <w:color w:val="auto"/>
          <w:sz w:val="24"/>
          <w:highlight w:val="none"/>
        </w:rPr>
      </w:pPr>
    </w:p>
    <w:p w14:paraId="04C895C2">
      <w:pPr>
        <w:pStyle w:val="7"/>
        <w:overflowPunct w:val="0"/>
        <w:spacing w:before="240" w:beforeLines="100" w:after="240" w:afterLines="100"/>
        <w:ind w:firstLineChars="175"/>
        <w:contextualSpacing/>
        <w:rPr>
          <w:rFonts w:ascii="宋体" w:hAnsi="宋体"/>
          <w:color w:val="auto"/>
          <w:sz w:val="24"/>
          <w:highlight w:val="none"/>
        </w:rPr>
      </w:pPr>
      <w:r>
        <w:rPr>
          <w:rFonts w:hint="eastAsia" w:ascii="宋体" w:hAnsi="宋体"/>
          <w:color w:val="auto"/>
          <w:sz w:val="24"/>
          <w:highlight w:val="none"/>
        </w:rPr>
        <w:t>联合体成员名称（</w:t>
      </w:r>
      <w:r>
        <w:rPr>
          <w:rFonts w:hint="eastAsia" w:ascii="宋体" w:hAnsi="宋体" w:cs="仿宋_GB2312"/>
          <w:color w:val="auto"/>
          <w:sz w:val="24"/>
          <w:highlight w:val="none"/>
        </w:rPr>
        <w:t>盖公章或者电子签章</w:t>
      </w:r>
      <w:r>
        <w:rPr>
          <w:rFonts w:hint="eastAsia" w:ascii="宋体" w:hAnsi="宋体"/>
          <w:color w:val="auto"/>
          <w:sz w:val="24"/>
          <w:highlight w:val="none"/>
        </w:rPr>
        <w:t>）：</w:t>
      </w:r>
    </w:p>
    <w:p w14:paraId="17AB5597">
      <w:pPr>
        <w:pStyle w:val="7"/>
        <w:overflowPunct w:val="0"/>
        <w:spacing w:before="240" w:beforeLines="100" w:after="240" w:afterLines="100"/>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（签字或者电子签名）</w:t>
      </w:r>
    </w:p>
    <w:p w14:paraId="6A662CAF">
      <w:pPr>
        <w:pStyle w:val="7"/>
        <w:overflowPunct w:val="0"/>
        <w:spacing w:before="240" w:beforeLines="100" w:after="240" w:afterLines="100"/>
        <w:ind w:firstLineChars="175"/>
        <w:contextualSpacing/>
        <w:rPr>
          <w:rFonts w:ascii="宋体" w:hAnsi="宋体"/>
          <w:color w:val="auto"/>
          <w:sz w:val="24"/>
          <w:highlight w:val="none"/>
        </w:rPr>
      </w:pPr>
      <w:r>
        <w:rPr>
          <w:rFonts w:ascii="宋体" w:hAnsi="宋体"/>
          <w:color w:val="auto"/>
          <w:sz w:val="24"/>
          <w:highlight w:val="none"/>
        </w:rPr>
        <w:t>……</w:t>
      </w:r>
    </w:p>
    <w:p w14:paraId="283BF7F4">
      <w:pPr>
        <w:pStyle w:val="7"/>
        <w:overflowPunct w:val="0"/>
        <w:spacing w:before="240" w:beforeLines="100" w:after="240" w:afterLines="100"/>
        <w:ind w:firstLineChars="175"/>
        <w:contextualSpacing/>
        <w:jc w:val="right"/>
        <w:rPr>
          <w:rFonts w:ascii="宋体" w:hAnsi="宋体"/>
          <w:b/>
          <w:color w:val="auto"/>
          <w:sz w:val="24"/>
          <w:highlight w:val="none"/>
        </w:rPr>
      </w:pP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日</w:t>
      </w:r>
    </w:p>
    <w:p w14:paraId="68F23E73">
      <w:pPr>
        <w:spacing w:line="440" w:lineRule="exact"/>
        <w:contextualSpacing/>
        <w:rPr>
          <w:rFonts w:hint="eastAsia" w:ascii="宋体" w:hAnsi="宋体"/>
          <w:b/>
          <w:color w:val="auto"/>
          <w:sz w:val="24"/>
          <w:highlight w:val="none"/>
        </w:rPr>
      </w:pPr>
    </w:p>
    <w:p w14:paraId="5573A252">
      <w:pPr>
        <w:spacing w:line="400" w:lineRule="exact"/>
        <w:contextualSpacing/>
        <w:jc w:val="left"/>
        <w:rPr>
          <w:rFonts w:hint="eastAsia" w:ascii="宋体" w:hAnsi="宋体"/>
          <w:color w:val="auto"/>
          <w:highlight w:val="none"/>
        </w:rPr>
      </w:pPr>
    </w:p>
    <w:p w14:paraId="44E3518E">
      <w:pPr>
        <w:spacing w:line="440" w:lineRule="exact"/>
        <w:contextualSpacing/>
        <w:rPr>
          <w:rFonts w:hint="eastAsia" w:ascii="宋体" w:hAnsi="宋体"/>
          <w:b/>
          <w:color w:val="auto"/>
          <w:sz w:val="24"/>
          <w:highlight w:val="none"/>
        </w:rPr>
      </w:pPr>
      <w:bookmarkStart w:id="237" w:name="_Toc19686838"/>
    </w:p>
    <w:p w14:paraId="47DC964D">
      <w:pPr>
        <w:outlineLvl w:val="1"/>
        <w:rPr>
          <w:rFonts w:hint="eastAsia"/>
          <w:b/>
          <w:color w:val="auto"/>
          <w:sz w:val="28"/>
          <w:szCs w:val="28"/>
          <w:highlight w:val="none"/>
        </w:rPr>
      </w:pPr>
      <w:bookmarkStart w:id="238" w:name="_Toc27290"/>
      <w:r>
        <w:rPr>
          <w:rFonts w:hint="eastAsia"/>
          <w:b/>
          <w:color w:val="auto"/>
          <w:sz w:val="28"/>
          <w:szCs w:val="28"/>
          <w:highlight w:val="none"/>
        </w:rPr>
        <w:br w:type="page"/>
      </w:r>
      <w:bookmarkStart w:id="239" w:name="_Toc28871"/>
      <w:r>
        <w:rPr>
          <w:rFonts w:hint="eastAsia"/>
          <w:b/>
          <w:color w:val="auto"/>
          <w:sz w:val="28"/>
          <w:szCs w:val="28"/>
          <w:highlight w:val="none"/>
        </w:rPr>
        <w:t>三、商务及技术文件格式</w:t>
      </w:r>
      <w:bookmarkEnd w:id="237"/>
      <w:bookmarkEnd w:id="238"/>
      <w:bookmarkEnd w:id="239"/>
    </w:p>
    <w:p w14:paraId="71099CCB">
      <w:pPr>
        <w:snapToGrid w:val="0"/>
        <w:spacing w:before="120" w:beforeLines="50" w:after="50" w:line="360" w:lineRule="auto"/>
        <w:jc w:val="left"/>
        <w:outlineLvl w:val="2"/>
        <w:rPr>
          <w:rFonts w:hint="eastAsia" w:ascii="宋体" w:hAnsi="宋体"/>
          <w:b/>
          <w:color w:val="auto"/>
          <w:sz w:val="24"/>
          <w:highlight w:val="none"/>
        </w:rPr>
      </w:pPr>
      <w:bookmarkStart w:id="240" w:name="_Toc16124"/>
      <w:r>
        <w:rPr>
          <w:rFonts w:hint="eastAsia" w:ascii="宋体" w:hAnsi="宋体"/>
          <w:b/>
          <w:color w:val="auto"/>
          <w:sz w:val="24"/>
          <w:highlight w:val="none"/>
        </w:rPr>
        <w:t>商务及技术文件封面格式</w:t>
      </w:r>
      <w:bookmarkEnd w:id="240"/>
      <w:r>
        <w:rPr>
          <w:rFonts w:hint="eastAsia" w:ascii="宋体" w:hAnsi="宋体"/>
          <w:b/>
          <w:color w:val="auto"/>
          <w:sz w:val="24"/>
          <w:highlight w:val="none"/>
        </w:rPr>
        <w:t xml:space="preserve"> </w:t>
      </w:r>
    </w:p>
    <w:p w14:paraId="710353A7">
      <w:pPr>
        <w:snapToGrid w:val="0"/>
        <w:spacing w:before="120" w:beforeLines="50" w:after="50"/>
        <w:jc w:val="center"/>
        <w:rPr>
          <w:rFonts w:hint="eastAsia" w:ascii="黑体" w:hAnsi="黑体" w:eastAsia="黑体" w:cs="黑体"/>
          <w:bCs/>
          <w:color w:val="auto"/>
          <w:sz w:val="48"/>
          <w:szCs w:val="48"/>
          <w:highlight w:val="none"/>
        </w:rPr>
      </w:pPr>
    </w:p>
    <w:p w14:paraId="2219D0EF">
      <w:pPr>
        <w:snapToGrid w:val="0"/>
        <w:spacing w:before="120" w:beforeLines="50" w:after="50"/>
        <w:jc w:val="center"/>
        <w:rPr>
          <w:rFonts w:hint="eastAsia" w:ascii="黑体" w:hAnsi="黑体" w:eastAsia="黑体" w:cs="黑体"/>
          <w:color w:val="auto"/>
          <w:sz w:val="24"/>
          <w:highlight w:val="none"/>
        </w:rPr>
      </w:pPr>
      <w:r>
        <w:rPr>
          <w:rFonts w:hint="eastAsia" w:ascii="黑体" w:hAnsi="黑体" w:eastAsia="黑体" w:cs="黑体"/>
          <w:bCs/>
          <w:color w:val="auto"/>
          <w:sz w:val="48"/>
          <w:szCs w:val="48"/>
          <w:highlight w:val="none"/>
        </w:rPr>
        <w:t>电子投标文件</w:t>
      </w:r>
    </w:p>
    <w:p w14:paraId="4513AC3D">
      <w:pPr>
        <w:snapToGrid w:val="0"/>
        <w:spacing w:before="120" w:beforeLines="50" w:after="50"/>
        <w:jc w:val="center"/>
        <w:rPr>
          <w:rFonts w:hint="eastAsia" w:ascii="黑体" w:hAnsi="黑体" w:eastAsia="黑体" w:cs="黑体"/>
          <w:bCs/>
          <w:color w:val="auto"/>
          <w:sz w:val="44"/>
          <w:szCs w:val="44"/>
          <w:highlight w:val="none"/>
        </w:rPr>
      </w:pPr>
      <w:r>
        <w:rPr>
          <w:rFonts w:hint="eastAsia" w:ascii="黑体" w:hAnsi="黑体" w:eastAsia="黑体" w:cs="黑体"/>
          <w:bCs/>
          <w:color w:val="auto"/>
          <w:sz w:val="44"/>
          <w:szCs w:val="44"/>
          <w:highlight w:val="none"/>
        </w:rPr>
        <w:t>商务及技术文件</w:t>
      </w:r>
    </w:p>
    <w:p w14:paraId="13D068B6">
      <w:pPr>
        <w:snapToGrid w:val="0"/>
        <w:spacing w:before="120" w:beforeLines="50" w:after="50"/>
        <w:rPr>
          <w:rFonts w:hint="eastAsia" w:ascii="宋体" w:hAnsi="宋体"/>
          <w:bCs/>
          <w:color w:val="auto"/>
          <w:sz w:val="24"/>
          <w:szCs w:val="20"/>
          <w:highlight w:val="none"/>
        </w:rPr>
      </w:pPr>
    </w:p>
    <w:p w14:paraId="27958899">
      <w:pPr>
        <w:snapToGrid w:val="0"/>
        <w:spacing w:before="120" w:beforeLines="50" w:after="50"/>
        <w:ind w:firstLine="540" w:firstLineChars="225"/>
        <w:rPr>
          <w:rFonts w:hint="eastAsia" w:ascii="宋体" w:hAnsi="宋体"/>
          <w:bCs/>
          <w:color w:val="auto"/>
          <w:sz w:val="24"/>
          <w:highlight w:val="none"/>
        </w:rPr>
      </w:pPr>
    </w:p>
    <w:p w14:paraId="56AE213C">
      <w:pPr>
        <w:snapToGrid w:val="0"/>
        <w:spacing w:before="120" w:beforeLines="50" w:after="50"/>
        <w:ind w:firstLine="540" w:firstLineChars="225"/>
        <w:rPr>
          <w:rFonts w:hint="eastAsia" w:ascii="宋体" w:hAnsi="宋体"/>
          <w:bCs/>
          <w:color w:val="auto"/>
          <w:sz w:val="24"/>
          <w:highlight w:val="none"/>
        </w:rPr>
      </w:pPr>
    </w:p>
    <w:p w14:paraId="3CCE243F">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78362E03">
      <w:pPr>
        <w:snapToGrid w:val="0"/>
        <w:spacing w:before="120" w:beforeLines="50" w:after="50"/>
        <w:ind w:firstLine="540" w:firstLineChars="225"/>
        <w:rPr>
          <w:rFonts w:hint="eastAsia" w:ascii="宋体" w:hAnsi="宋体"/>
          <w:bCs/>
          <w:color w:val="auto"/>
          <w:sz w:val="24"/>
          <w:szCs w:val="20"/>
          <w:highlight w:val="none"/>
        </w:rPr>
      </w:pPr>
    </w:p>
    <w:p w14:paraId="1D9738E9">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377E9FD5">
      <w:pPr>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0C5AE0D2">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62631A3F">
      <w:pPr>
        <w:snapToGrid w:val="0"/>
        <w:spacing w:before="120" w:beforeLines="50" w:after="50"/>
        <w:ind w:firstLine="540" w:firstLineChars="225"/>
        <w:rPr>
          <w:rFonts w:hint="eastAsia" w:ascii="宋体" w:hAnsi="宋体"/>
          <w:bCs/>
          <w:color w:val="auto"/>
          <w:sz w:val="24"/>
          <w:szCs w:val="20"/>
          <w:highlight w:val="none"/>
        </w:rPr>
      </w:pPr>
    </w:p>
    <w:p w14:paraId="6054F164">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0ECE8E5D">
      <w:pPr>
        <w:pStyle w:val="7"/>
        <w:snapToGrid w:val="0"/>
        <w:spacing w:before="50" w:after="50"/>
        <w:ind w:firstLine="540" w:firstLineChars="225"/>
        <w:rPr>
          <w:rFonts w:hint="eastAsia" w:ascii="宋体" w:hAnsi="宋体"/>
          <w:bCs/>
          <w:color w:val="auto"/>
          <w:sz w:val="24"/>
          <w:szCs w:val="24"/>
          <w:highlight w:val="none"/>
        </w:rPr>
      </w:pPr>
    </w:p>
    <w:p w14:paraId="3ACA9227">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787F8F01">
      <w:pPr>
        <w:pStyle w:val="7"/>
        <w:snapToGrid w:val="0"/>
        <w:spacing w:before="50" w:after="50"/>
        <w:ind w:firstLine="960" w:firstLineChars="400"/>
        <w:rPr>
          <w:rFonts w:hint="eastAsia" w:ascii="宋体" w:hAnsi="宋体"/>
          <w:bCs/>
          <w:color w:val="auto"/>
          <w:sz w:val="24"/>
          <w:szCs w:val="24"/>
          <w:highlight w:val="none"/>
        </w:rPr>
      </w:pPr>
    </w:p>
    <w:p w14:paraId="63455B5F">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016A1B46">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284BFDB1">
      <w:pPr>
        <w:snapToGrid w:val="0"/>
        <w:spacing w:line="360" w:lineRule="auto"/>
        <w:jc w:val="left"/>
        <w:outlineLvl w:val="2"/>
        <w:rPr>
          <w:rFonts w:hint="eastAsia" w:ascii="宋体" w:hAnsi="宋体"/>
          <w:b/>
          <w:bCs/>
          <w:color w:val="auto"/>
          <w:szCs w:val="21"/>
          <w:highlight w:val="none"/>
          <w:u w:val="single"/>
        </w:rPr>
      </w:pPr>
      <w:r>
        <w:rPr>
          <w:rFonts w:ascii="宋体" w:hAnsi="宋体"/>
          <w:color w:val="auto"/>
          <w:sz w:val="24"/>
          <w:szCs w:val="20"/>
          <w:highlight w:val="none"/>
        </w:rPr>
        <w:br w:type="page"/>
      </w:r>
      <w:bookmarkStart w:id="241" w:name="_Toc16767"/>
      <w:r>
        <w:rPr>
          <w:rFonts w:hint="eastAsia" w:ascii="宋体" w:hAnsi="宋体"/>
          <w:b/>
          <w:color w:val="auto"/>
          <w:sz w:val="24"/>
          <w:highlight w:val="none"/>
        </w:rPr>
        <w:t>商务及技术文件目录</w:t>
      </w:r>
      <w:bookmarkEnd w:id="241"/>
    </w:p>
    <w:p w14:paraId="1DFDA117">
      <w:pPr>
        <w:snapToGrid w:val="0"/>
        <w:spacing w:before="50" w:after="120" w:afterLines="50" w:line="360" w:lineRule="auto"/>
        <w:jc w:val="left"/>
        <w:rPr>
          <w:rFonts w:hint="eastAsia" w:ascii="宋体" w:hAnsi="宋体"/>
          <w:color w:val="auto"/>
          <w:sz w:val="24"/>
          <w:szCs w:val="24"/>
          <w:highlight w:val="none"/>
        </w:rPr>
      </w:pPr>
      <w:r>
        <w:rPr>
          <w:rFonts w:hint="eastAsia" w:ascii="宋体" w:hAnsi="宋体"/>
          <w:b/>
          <w:bCs/>
          <w:color w:val="auto"/>
          <w:sz w:val="24"/>
          <w:szCs w:val="24"/>
          <w:highlight w:val="none"/>
          <w:u w:val="single"/>
        </w:rPr>
        <w:t>（根据招标文件第三章“投标人须知前附表”第13条款</w:t>
      </w:r>
      <w:r>
        <w:rPr>
          <w:rFonts w:hint="eastAsia" w:ascii="宋体" w:hAnsi="宋体"/>
          <w:b/>
          <w:bCs/>
          <w:color w:val="auto"/>
          <w:sz w:val="24"/>
          <w:szCs w:val="24"/>
          <w:highlight w:val="none"/>
          <w:u w:val="single"/>
          <w:lang w:val="en-US" w:eastAsia="zh-CN"/>
        </w:rPr>
        <w:t>“投标文件的组成</w:t>
      </w:r>
      <w:r>
        <w:rPr>
          <w:rFonts w:hint="default" w:ascii="宋体" w:hAnsi="宋体"/>
          <w:b/>
          <w:bCs/>
          <w:color w:val="auto"/>
          <w:sz w:val="24"/>
          <w:szCs w:val="24"/>
          <w:highlight w:val="none"/>
          <w:u w:val="single"/>
          <w:lang w:val="en-US" w:eastAsia="zh-CN"/>
        </w:rPr>
        <w:t>”</w:t>
      </w:r>
      <w:r>
        <w:rPr>
          <w:rFonts w:hint="eastAsia" w:ascii="宋体" w:hAnsi="宋体"/>
          <w:b/>
          <w:bCs/>
          <w:color w:val="auto"/>
          <w:sz w:val="24"/>
          <w:szCs w:val="24"/>
          <w:highlight w:val="none"/>
          <w:u w:val="single"/>
        </w:rPr>
        <w:t>规定及投标人提供的材料自行编写目录</w:t>
      </w:r>
      <w:r>
        <w:rPr>
          <w:rFonts w:hint="eastAsia" w:ascii="宋体" w:hAnsi="宋体"/>
          <w:b/>
          <w:bCs/>
          <w:color w:val="auto"/>
          <w:sz w:val="24"/>
          <w:szCs w:val="24"/>
          <w:highlight w:val="none"/>
          <w:u w:val="single"/>
          <w:lang w:val="en-US" w:eastAsia="zh-CN"/>
        </w:rPr>
        <w:t>及页码</w:t>
      </w:r>
      <w:r>
        <w:rPr>
          <w:rFonts w:hint="eastAsia" w:ascii="宋体" w:hAnsi="宋体"/>
          <w:b/>
          <w:bCs/>
          <w:color w:val="auto"/>
          <w:sz w:val="24"/>
          <w:szCs w:val="24"/>
          <w:highlight w:val="none"/>
          <w:u w:val="single"/>
        </w:rPr>
        <w:t>）</w:t>
      </w:r>
    </w:p>
    <w:p w14:paraId="25FB0B83">
      <w:pPr>
        <w:snapToGrid w:val="0"/>
        <w:spacing w:line="400" w:lineRule="exact"/>
        <w:ind w:left="13" w:leftChars="6" w:firstLine="458" w:firstLineChars="190"/>
        <w:jc w:val="left"/>
        <w:rPr>
          <w:rFonts w:hint="default" w:ascii="宋体" w:hAnsi="宋体" w:eastAsia="宋体"/>
          <w:b/>
          <w:bCs/>
          <w:color w:val="auto"/>
          <w:sz w:val="24"/>
          <w:szCs w:val="24"/>
          <w:highlight w:val="none"/>
          <w:lang w:val="en-US" w:eastAsia="zh-CN"/>
        </w:rPr>
      </w:pPr>
      <w:r>
        <w:rPr>
          <w:rFonts w:hint="eastAsia" w:ascii="宋体" w:hAnsi="宋体"/>
          <w:b/>
          <w:bCs/>
          <w:color w:val="auto"/>
          <w:sz w:val="24"/>
          <w:szCs w:val="24"/>
          <w:highlight w:val="none"/>
          <w:lang w:val="en-US" w:eastAsia="zh-CN"/>
        </w:rPr>
        <w:t>一、 商务部分</w:t>
      </w:r>
    </w:p>
    <w:p w14:paraId="2691A739">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无串通投标行为的承诺函</w:t>
      </w:r>
    </w:p>
    <w:p w14:paraId="7CD40300">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投标保证金提交凭证</w:t>
      </w:r>
    </w:p>
    <w:p w14:paraId="20C8E539">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eastAsia="zh-CN"/>
        </w:rPr>
        <w:t>、</w:t>
      </w:r>
      <w:r>
        <w:rPr>
          <w:rFonts w:hint="eastAsia" w:ascii="宋体" w:hAnsi="宋体"/>
          <w:color w:val="auto"/>
          <w:sz w:val="24"/>
          <w:szCs w:val="24"/>
          <w:highlight w:val="none"/>
        </w:rPr>
        <w:t>法定代表人身份证明及法定代表人有效身份证正反面复印件</w:t>
      </w:r>
    </w:p>
    <w:p w14:paraId="3841968E">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eastAsia="zh-CN"/>
        </w:rPr>
        <w:t>、</w:t>
      </w:r>
      <w:r>
        <w:rPr>
          <w:rFonts w:hint="eastAsia" w:ascii="宋体" w:hAnsi="宋体"/>
          <w:color w:val="auto"/>
          <w:sz w:val="24"/>
          <w:szCs w:val="24"/>
          <w:highlight w:val="none"/>
        </w:rPr>
        <w:t>授权委托书及委托代理人有效身份证正反面复印件</w:t>
      </w:r>
    </w:p>
    <w:p w14:paraId="3F8678E9">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商务要求偏离表</w:t>
      </w:r>
    </w:p>
    <w:p w14:paraId="6023D9CD">
      <w:pPr>
        <w:snapToGrid w:val="0"/>
        <w:spacing w:line="400" w:lineRule="exact"/>
        <w:ind w:left="13" w:leftChars="6" w:firstLine="456" w:firstLineChars="190"/>
        <w:jc w:val="left"/>
        <w:rPr>
          <w:rFonts w:hint="eastAsia" w:ascii="宋体" w:hAnsi="宋体"/>
          <w:color w:val="auto"/>
          <w:sz w:val="24"/>
          <w:szCs w:val="24"/>
          <w:highlight w:val="none"/>
        </w:rPr>
      </w:pPr>
      <w:r>
        <w:rPr>
          <w:rFonts w:ascii="宋体" w:hAnsi="宋体"/>
          <w:color w:val="auto"/>
          <w:sz w:val="24"/>
          <w:szCs w:val="24"/>
          <w:highlight w:val="none"/>
        </w:rPr>
        <w:t>6</w:t>
      </w:r>
      <w:r>
        <w:rPr>
          <w:rFonts w:hint="eastAsia" w:ascii="宋体" w:hAnsi="宋体"/>
          <w:color w:val="auto"/>
          <w:sz w:val="24"/>
          <w:szCs w:val="24"/>
          <w:highlight w:val="none"/>
          <w:lang w:eastAsia="zh-CN"/>
        </w:rPr>
        <w:t>、</w:t>
      </w:r>
      <w:r>
        <w:rPr>
          <w:rFonts w:hint="eastAsia" w:ascii="宋体" w:hAnsi="宋体"/>
          <w:color w:val="auto"/>
          <w:sz w:val="24"/>
          <w:szCs w:val="24"/>
          <w:highlight w:val="none"/>
        </w:rPr>
        <w:t>售后服务承诺</w:t>
      </w:r>
    </w:p>
    <w:p w14:paraId="4A4C7122">
      <w:pPr>
        <w:snapToGrid w:val="0"/>
        <w:spacing w:line="400" w:lineRule="exact"/>
        <w:ind w:left="13" w:leftChars="6" w:firstLine="456" w:firstLineChars="190"/>
        <w:jc w:val="left"/>
        <w:rPr>
          <w:rFonts w:hint="default"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7、本地化服务能力证明</w:t>
      </w:r>
    </w:p>
    <w:p w14:paraId="0312C80C">
      <w:pPr>
        <w:snapToGrid w:val="0"/>
        <w:spacing w:line="400" w:lineRule="exact"/>
        <w:ind w:left="13" w:leftChars="6" w:firstLine="456" w:firstLineChars="190"/>
        <w:jc w:val="left"/>
        <w:rPr>
          <w:rFonts w:hint="eastAsia" w:ascii="宋体" w:hAnsi="宋体"/>
          <w:color w:val="auto"/>
          <w:sz w:val="24"/>
          <w:szCs w:val="24"/>
          <w:highlight w:val="none"/>
          <w:lang w:val="en-US" w:eastAsia="zh-CN"/>
        </w:rPr>
      </w:pPr>
      <w:r>
        <w:rPr>
          <w:rFonts w:hint="eastAsia" w:ascii="宋体" w:hAnsi="宋体"/>
          <w:bCs/>
          <w:color w:val="auto"/>
          <w:sz w:val="24"/>
          <w:szCs w:val="24"/>
          <w:highlight w:val="none"/>
          <w:lang w:val="en-US" w:eastAsia="zh-CN"/>
        </w:rPr>
        <w:t>8、</w:t>
      </w:r>
      <w:r>
        <w:rPr>
          <w:rFonts w:hint="eastAsia" w:ascii="宋体" w:hAnsi="宋体"/>
          <w:bCs/>
          <w:color w:val="auto"/>
          <w:sz w:val="24"/>
          <w:szCs w:val="24"/>
          <w:highlight w:val="none"/>
        </w:rPr>
        <w:t>售前、售中和售后服务方案</w:t>
      </w:r>
    </w:p>
    <w:p w14:paraId="46D73032">
      <w:pPr>
        <w:snapToGrid w:val="0"/>
        <w:spacing w:line="400" w:lineRule="exact"/>
        <w:ind w:left="13" w:leftChars="6" w:firstLine="456" w:firstLineChars="190"/>
        <w:jc w:val="left"/>
        <w:rPr>
          <w:rFonts w:hint="eastAsia" w:ascii="宋体" w:hAnsi="宋体"/>
          <w:bCs/>
          <w:color w:val="auto"/>
          <w:sz w:val="24"/>
          <w:szCs w:val="24"/>
          <w:highlight w:val="none"/>
          <w:lang w:val="en-US" w:eastAsia="zh-CN"/>
        </w:rPr>
      </w:pPr>
      <w:r>
        <w:rPr>
          <w:rFonts w:hint="eastAsia" w:ascii="宋体" w:hAnsi="宋体"/>
          <w:color w:val="auto"/>
          <w:sz w:val="24"/>
          <w:szCs w:val="24"/>
          <w:highlight w:val="none"/>
          <w:lang w:val="en-US" w:eastAsia="zh-CN"/>
        </w:rPr>
        <w:t>9、</w:t>
      </w:r>
      <w:r>
        <w:rPr>
          <w:rFonts w:hint="eastAsia" w:ascii="宋体" w:hAnsi="宋体"/>
          <w:bCs/>
          <w:color w:val="auto"/>
          <w:sz w:val="24"/>
          <w:szCs w:val="24"/>
          <w:highlight w:val="none"/>
        </w:rPr>
        <w:t>信誉业绩</w:t>
      </w:r>
    </w:p>
    <w:p w14:paraId="0469AB54">
      <w:pPr>
        <w:snapToGrid w:val="0"/>
        <w:spacing w:line="400" w:lineRule="exact"/>
        <w:ind w:left="13" w:leftChars="6" w:firstLine="458" w:firstLineChars="190"/>
        <w:jc w:val="left"/>
        <w:rPr>
          <w:rFonts w:hint="eastAsia" w:ascii="宋体" w:hAnsi="宋体"/>
          <w:b/>
          <w:bCs w:val="0"/>
          <w:color w:val="auto"/>
          <w:sz w:val="24"/>
          <w:szCs w:val="24"/>
          <w:highlight w:val="none"/>
          <w:lang w:val="en-US" w:eastAsia="zh-CN"/>
        </w:rPr>
      </w:pPr>
    </w:p>
    <w:p w14:paraId="5A3EFE05">
      <w:pPr>
        <w:snapToGrid w:val="0"/>
        <w:spacing w:line="400" w:lineRule="exact"/>
        <w:ind w:left="13" w:leftChars="6" w:firstLine="458" w:firstLineChars="190"/>
        <w:jc w:val="left"/>
        <w:rPr>
          <w:rFonts w:hint="default" w:ascii="宋体" w:hAnsi="宋体"/>
          <w:b/>
          <w:bCs w:val="0"/>
          <w:color w:val="auto"/>
          <w:sz w:val="24"/>
          <w:szCs w:val="24"/>
          <w:highlight w:val="none"/>
          <w:lang w:val="en-US" w:eastAsia="zh-CN"/>
        </w:rPr>
      </w:pPr>
      <w:r>
        <w:rPr>
          <w:rFonts w:hint="eastAsia" w:ascii="宋体" w:hAnsi="宋体"/>
          <w:b/>
          <w:bCs w:val="0"/>
          <w:color w:val="auto"/>
          <w:sz w:val="24"/>
          <w:szCs w:val="24"/>
          <w:highlight w:val="none"/>
          <w:lang w:val="en-US" w:eastAsia="zh-CN"/>
        </w:rPr>
        <w:t>二、技术部分</w:t>
      </w:r>
    </w:p>
    <w:p w14:paraId="73C8BE03">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投标人情况介绍</w:t>
      </w:r>
    </w:p>
    <w:p w14:paraId="1E19A489">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货物配置清单</w:t>
      </w:r>
    </w:p>
    <w:p w14:paraId="0C6458C5">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技术要求偏离表</w:t>
      </w:r>
    </w:p>
    <w:p w14:paraId="78A1DBBD">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产品出厂标准、质量检测报告</w:t>
      </w:r>
    </w:p>
    <w:p w14:paraId="58CBE948">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优惠条件</w:t>
      </w:r>
    </w:p>
    <w:p w14:paraId="1098251E">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项目实施方案</w:t>
      </w:r>
    </w:p>
    <w:p w14:paraId="1D288152">
      <w:pPr>
        <w:snapToGrid w:val="0"/>
        <w:spacing w:line="400" w:lineRule="exact"/>
        <w:ind w:left="13" w:leftChars="6" w:firstLine="456" w:firstLineChars="19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产品主要技术参数、性能及原料</w:t>
      </w:r>
      <w:r>
        <w:rPr>
          <w:rFonts w:hint="eastAsia" w:ascii="宋体" w:hAnsi="宋体"/>
          <w:color w:val="auto"/>
          <w:sz w:val="24"/>
          <w:szCs w:val="24"/>
          <w:highlight w:val="none"/>
          <w:lang w:val="en-US" w:eastAsia="zh-CN"/>
        </w:rPr>
        <w:t>情况</w:t>
      </w:r>
    </w:p>
    <w:p w14:paraId="7E3C5F98">
      <w:pPr>
        <w:snapToGrid w:val="0"/>
        <w:spacing w:line="400" w:lineRule="exact"/>
        <w:ind w:left="13" w:leftChars="6" w:firstLine="456" w:firstLineChars="19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8、</w:t>
      </w:r>
      <w:r>
        <w:rPr>
          <w:rFonts w:hint="eastAsia" w:ascii="宋体" w:hAnsi="宋体"/>
          <w:bCs/>
          <w:color w:val="auto"/>
          <w:sz w:val="24"/>
          <w:szCs w:val="24"/>
          <w:highlight w:val="none"/>
        </w:rPr>
        <w:t>综合实力</w:t>
      </w:r>
      <w:r>
        <w:rPr>
          <w:rFonts w:hint="eastAsia" w:ascii="宋体" w:hAnsi="宋体"/>
          <w:bCs/>
          <w:color w:val="auto"/>
          <w:sz w:val="24"/>
          <w:szCs w:val="24"/>
          <w:highlight w:val="none"/>
          <w:lang w:val="en-US" w:eastAsia="zh-CN"/>
        </w:rPr>
        <w:t>证明材料</w:t>
      </w:r>
    </w:p>
    <w:p w14:paraId="652ADCEB">
      <w:pPr>
        <w:snapToGrid w:val="0"/>
        <w:spacing w:line="400" w:lineRule="exact"/>
        <w:ind w:left="13" w:leftChars="6" w:firstLine="456" w:firstLineChars="19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w:t>
      </w:r>
      <w:r>
        <w:rPr>
          <w:rFonts w:hint="eastAsia" w:ascii="宋体" w:hAnsi="宋体"/>
          <w:color w:val="auto"/>
          <w:sz w:val="24"/>
          <w:szCs w:val="24"/>
          <w:highlight w:val="none"/>
        </w:rPr>
        <w:t>除招标文件规定必须提供以外，投标人认为需要提供的其他证明材料</w:t>
      </w:r>
    </w:p>
    <w:p w14:paraId="5A57C8E2">
      <w:pPr>
        <w:snapToGrid w:val="0"/>
        <w:spacing w:line="400" w:lineRule="exact"/>
        <w:ind w:left="13" w:leftChars="6" w:firstLine="401" w:firstLineChars="190"/>
        <w:jc w:val="left"/>
        <w:rPr>
          <w:rFonts w:hint="eastAsia" w:ascii="宋体" w:hAnsi="宋体"/>
          <w:b/>
          <w:bCs/>
          <w:color w:val="auto"/>
          <w:szCs w:val="21"/>
          <w:highlight w:val="none"/>
        </w:rPr>
      </w:pPr>
    </w:p>
    <w:p w14:paraId="49091C7E">
      <w:pPr>
        <w:keepNext w:val="0"/>
        <w:keepLines w:val="0"/>
        <w:pageBreakBefore w:val="0"/>
        <w:widowControl w:val="0"/>
        <w:kinsoku/>
        <w:wordWrap/>
        <w:overflowPunct/>
        <w:topLinePunct w:val="0"/>
        <w:autoSpaceDE/>
        <w:autoSpaceDN/>
        <w:bidi w:val="0"/>
        <w:adjustRightInd/>
        <w:snapToGrid w:val="0"/>
        <w:spacing w:before="120" w:beforeLines="50" w:after="50"/>
        <w:jc w:val="left"/>
        <w:textAlignment w:val="auto"/>
        <w:outlineLvl w:val="2"/>
        <w:rPr>
          <w:rFonts w:hint="default" w:ascii="宋体" w:hAnsi="宋体" w:eastAsia="宋体"/>
          <w:b/>
          <w:color w:val="auto"/>
          <w:sz w:val="24"/>
          <w:highlight w:val="none"/>
          <w:lang w:val="en-US" w:eastAsia="zh-CN"/>
        </w:rPr>
      </w:pPr>
      <w:r>
        <w:rPr>
          <w:rFonts w:ascii="宋体" w:hAnsi="宋体"/>
          <w:b/>
          <w:color w:val="auto"/>
          <w:sz w:val="24"/>
          <w:highlight w:val="none"/>
        </w:rPr>
        <w:br w:type="page"/>
      </w:r>
      <w:bookmarkStart w:id="242" w:name="_Toc3911"/>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一）商务部分（格式）</w:t>
      </w:r>
      <w:bookmarkEnd w:id="242"/>
    </w:p>
    <w:p w14:paraId="7B1AE81F">
      <w:pPr>
        <w:snapToGrid w:val="0"/>
        <w:spacing w:before="120" w:beforeLines="50" w:after="50"/>
        <w:jc w:val="left"/>
        <w:outlineLvl w:val="2"/>
        <w:rPr>
          <w:rFonts w:hint="eastAsia" w:ascii="宋体" w:hAnsi="宋体"/>
          <w:b/>
          <w:color w:val="auto"/>
          <w:sz w:val="24"/>
          <w:highlight w:val="none"/>
        </w:rPr>
      </w:pPr>
    </w:p>
    <w:p w14:paraId="7DBB0CBE">
      <w:pPr>
        <w:snapToGrid w:val="0"/>
        <w:spacing w:before="120" w:beforeLines="50" w:after="50"/>
        <w:jc w:val="left"/>
        <w:outlineLvl w:val="2"/>
        <w:rPr>
          <w:rFonts w:hint="eastAsia" w:ascii="宋体" w:hAnsi="宋体"/>
          <w:b/>
          <w:color w:val="auto"/>
          <w:sz w:val="24"/>
          <w:highlight w:val="none"/>
        </w:rPr>
      </w:pPr>
      <w:bookmarkStart w:id="243" w:name="_Toc4074"/>
      <w:r>
        <w:rPr>
          <w:rFonts w:hint="eastAsia" w:ascii="宋体" w:hAnsi="宋体"/>
          <w:b/>
          <w:color w:val="auto"/>
          <w:sz w:val="24"/>
          <w:highlight w:val="none"/>
        </w:rPr>
        <w:t>1.投标人参加本项目无围标串标行为的承诺</w:t>
      </w:r>
      <w:bookmarkEnd w:id="243"/>
    </w:p>
    <w:p w14:paraId="4571726A">
      <w:pPr>
        <w:snapToGrid w:val="0"/>
        <w:spacing w:before="120" w:beforeLines="50" w:after="50"/>
        <w:jc w:val="left"/>
        <w:rPr>
          <w:rFonts w:hint="eastAsia" w:ascii="宋体" w:hAnsi="宋体"/>
          <w:b/>
          <w:color w:val="auto"/>
          <w:sz w:val="24"/>
          <w:highlight w:val="none"/>
        </w:rPr>
      </w:pPr>
    </w:p>
    <w:p w14:paraId="5DCF010E">
      <w:pPr>
        <w:spacing w:line="360" w:lineRule="auto"/>
        <w:contextualSpacing/>
        <w:jc w:val="center"/>
        <w:rPr>
          <w:rFonts w:hint="eastAsia" w:ascii="黑体" w:hAnsi="黑体" w:eastAsia="黑体" w:cs="黑体"/>
          <w:b/>
          <w:color w:val="auto"/>
          <w:sz w:val="24"/>
          <w:highlight w:val="none"/>
        </w:rPr>
      </w:pPr>
      <w:r>
        <w:rPr>
          <w:rFonts w:hint="eastAsia" w:ascii="黑体" w:hAnsi="黑体" w:eastAsia="黑体" w:cs="黑体"/>
          <w:bCs/>
          <w:color w:val="auto"/>
          <w:spacing w:val="-11"/>
          <w:sz w:val="44"/>
          <w:szCs w:val="44"/>
          <w:highlight w:val="none"/>
        </w:rPr>
        <w:t>投标人参加本项目无围标串标行为的承诺函</w:t>
      </w:r>
    </w:p>
    <w:p w14:paraId="539C8403">
      <w:pPr>
        <w:spacing w:line="440" w:lineRule="exact"/>
        <w:contextualSpacing/>
        <w:jc w:val="left"/>
        <w:rPr>
          <w:rFonts w:hint="eastAsia" w:ascii="宋体" w:hAnsi="宋体"/>
          <w:b/>
          <w:color w:val="auto"/>
          <w:sz w:val="24"/>
          <w:highlight w:val="none"/>
        </w:rPr>
      </w:pPr>
      <w:r>
        <w:rPr>
          <w:rFonts w:hint="eastAsia" w:ascii="宋体" w:hAnsi="宋体"/>
          <w:b/>
          <w:color w:val="auto"/>
          <w:sz w:val="24"/>
          <w:highlight w:val="none"/>
        </w:rPr>
        <w:t>一、我方承诺无下列相互串通投标的情形：</w:t>
      </w:r>
    </w:p>
    <w:p w14:paraId="30E5D1D7">
      <w:pPr>
        <w:pStyle w:val="16"/>
        <w:ind w:firstLine="480" w:firstLineChars="200"/>
        <w:rPr>
          <w:rFonts w:hint="eastAsia" w:ascii="宋体" w:hAnsi="宋体"/>
          <w:color w:val="auto"/>
          <w:sz w:val="24"/>
          <w:highlight w:val="none"/>
        </w:rPr>
      </w:pPr>
      <w:r>
        <w:rPr>
          <w:rFonts w:hint="eastAsia" w:ascii="宋体" w:hAnsi="宋体"/>
          <w:color w:val="auto"/>
          <w:sz w:val="24"/>
          <w:highlight w:val="none"/>
        </w:rPr>
        <w:t>1.不同投标人的投标文件由同一单位或者个人编制</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rPr>
        <w:t>或者不同投标人报名的IP地址一致的；</w:t>
      </w:r>
    </w:p>
    <w:p w14:paraId="38D7C912">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2.不同投标人委托同一单位或者个人办理投标事宜；</w:t>
      </w:r>
    </w:p>
    <w:p w14:paraId="3E178407">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4ED2F051">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72404343">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5.不同投标人的投标文件相互混装；</w:t>
      </w:r>
    </w:p>
    <w:p w14:paraId="337947EC">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1CB2A245">
      <w:pPr>
        <w:spacing w:line="440" w:lineRule="exact"/>
        <w:contextualSpacing/>
        <w:jc w:val="left"/>
        <w:rPr>
          <w:rFonts w:hint="eastAsia" w:ascii="宋体" w:hAnsi="宋体"/>
          <w:color w:val="auto"/>
          <w:sz w:val="24"/>
          <w:highlight w:val="none"/>
        </w:rPr>
      </w:pPr>
      <w:r>
        <w:rPr>
          <w:rFonts w:hint="eastAsia" w:ascii="宋体" w:hAnsi="宋体"/>
          <w:b/>
          <w:color w:val="auto"/>
          <w:sz w:val="24"/>
          <w:highlight w:val="none"/>
        </w:rPr>
        <w:t>二、我方承诺无下列恶意串通的情形：</w:t>
      </w:r>
    </w:p>
    <w:p w14:paraId="435A1641">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41D1742D">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6BBD8043">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72E4DA7C">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56C00CC3">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CB75EBB">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020EE929">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2CAE4562">
      <w:pPr>
        <w:spacing w:line="440" w:lineRule="exact"/>
        <w:ind w:firstLine="472" w:firstLineChars="196"/>
        <w:contextualSpacing/>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62EADACB">
      <w:pPr>
        <w:pStyle w:val="24"/>
        <w:spacing w:line="440" w:lineRule="exact"/>
        <w:contextualSpacing/>
        <w:jc w:val="center"/>
        <w:rPr>
          <w:rFonts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p>
    <w:p w14:paraId="11FB90BC">
      <w:pPr>
        <w:pStyle w:val="24"/>
        <w:spacing w:line="440" w:lineRule="exact"/>
        <w:contextualSpacing/>
        <w:jc w:val="center"/>
        <w:rPr>
          <w:rFonts w:hint="eastAsia" w:hAnsi="宋体"/>
          <w:color w:val="auto"/>
          <w:sz w:val="24"/>
          <w:szCs w:val="24"/>
          <w:highlight w:val="none"/>
        </w:rPr>
      </w:pPr>
      <w:r>
        <w:rPr>
          <w:rFonts w:hint="eastAsia" w:hAnsi="宋体"/>
          <w:color w:val="auto"/>
          <w:sz w:val="24"/>
          <w:szCs w:val="24"/>
          <w:highlight w:val="none"/>
        </w:rPr>
        <w:t>投标人名称（电子签章）</w:t>
      </w:r>
    </w:p>
    <w:p w14:paraId="76AD7429">
      <w:pPr>
        <w:pStyle w:val="24"/>
        <w:spacing w:line="440" w:lineRule="exact"/>
        <w:contextualSpacing/>
        <w:jc w:val="center"/>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3CB6526C">
      <w:pPr>
        <w:snapToGrid w:val="0"/>
        <w:spacing w:before="120" w:beforeLines="50" w:after="50"/>
        <w:jc w:val="left"/>
        <w:rPr>
          <w:rFonts w:ascii="宋体" w:hAnsi="宋体"/>
          <w:b/>
          <w:color w:val="auto"/>
          <w:sz w:val="24"/>
          <w:highlight w:val="none"/>
        </w:rPr>
      </w:pPr>
    </w:p>
    <w:p w14:paraId="5D8BF0AC">
      <w:pPr>
        <w:snapToGrid w:val="0"/>
        <w:spacing w:before="120" w:beforeLines="50" w:after="50"/>
        <w:jc w:val="left"/>
        <w:outlineLvl w:val="2"/>
        <w:rPr>
          <w:rFonts w:hint="default" w:ascii="宋体" w:hAnsi="宋体" w:eastAsia="宋体"/>
          <w:b/>
          <w:color w:val="auto"/>
          <w:sz w:val="24"/>
          <w:highlight w:val="none"/>
          <w:lang w:val="en-US" w:eastAsia="zh-CN"/>
        </w:rPr>
      </w:pPr>
      <w:r>
        <w:rPr>
          <w:rFonts w:hint="eastAsia" w:ascii="宋体" w:hAnsi="宋体"/>
          <w:b/>
          <w:color w:val="auto"/>
          <w:sz w:val="24"/>
          <w:highlight w:val="none"/>
        </w:rPr>
        <w:br w:type="page"/>
      </w:r>
      <w:bookmarkStart w:id="244" w:name="_Toc21055"/>
      <w:r>
        <w:rPr>
          <w:rFonts w:hint="eastAsia" w:ascii="宋体" w:hAnsi="宋体"/>
          <w:b/>
          <w:color w:val="auto"/>
          <w:sz w:val="24"/>
          <w:highlight w:val="none"/>
          <w:lang w:val="en-US" w:eastAsia="zh-CN"/>
        </w:rPr>
        <w:t>2.投标保证金提交凭证</w:t>
      </w:r>
      <w:r>
        <w:rPr>
          <w:rFonts w:hint="eastAsia" w:ascii="宋体" w:hAnsi="宋体" w:eastAsia="宋体" w:cs="Times New Roman"/>
          <w:b/>
          <w:color w:val="auto"/>
          <w:sz w:val="24"/>
          <w:highlight w:val="none"/>
          <w:lang w:val="en-US" w:eastAsia="zh-CN"/>
        </w:rPr>
        <w:t>（格式自拟）</w:t>
      </w:r>
      <w:bookmarkEnd w:id="244"/>
    </w:p>
    <w:p w14:paraId="1700CE47">
      <w:pPr>
        <w:snapToGrid w:val="0"/>
        <w:spacing w:before="120" w:beforeLines="50" w:after="50"/>
        <w:jc w:val="left"/>
        <w:outlineLvl w:val="2"/>
        <w:rPr>
          <w:rFonts w:hint="eastAsia" w:ascii="宋体" w:hAnsi="宋体"/>
          <w:b/>
          <w:color w:val="auto"/>
          <w:sz w:val="24"/>
          <w:highlight w:val="none"/>
        </w:rPr>
      </w:pPr>
    </w:p>
    <w:p w14:paraId="6FA3AC23">
      <w:pPr>
        <w:snapToGrid w:val="0"/>
        <w:spacing w:before="120" w:beforeLines="50" w:after="50"/>
        <w:jc w:val="left"/>
        <w:outlineLvl w:val="2"/>
        <w:rPr>
          <w:rFonts w:hint="eastAsia" w:ascii="宋体" w:hAnsi="宋体"/>
          <w:b/>
          <w:color w:val="auto"/>
          <w:sz w:val="24"/>
          <w:highlight w:val="none"/>
          <w:lang w:val="en-US" w:eastAsia="zh-CN"/>
        </w:rPr>
      </w:pPr>
    </w:p>
    <w:p w14:paraId="7941E27A">
      <w:pPr>
        <w:snapToGrid w:val="0"/>
        <w:spacing w:before="120" w:beforeLines="50" w:after="50"/>
        <w:jc w:val="left"/>
        <w:outlineLvl w:val="2"/>
        <w:rPr>
          <w:rFonts w:hint="eastAsia" w:ascii="宋体" w:hAnsi="宋体"/>
          <w:b/>
          <w:color w:val="auto"/>
          <w:sz w:val="24"/>
          <w:highlight w:val="none"/>
          <w:lang w:val="en-US" w:eastAsia="zh-CN"/>
        </w:rPr>
      </w:pPr>
    </w:p>
    <w:p w14:paraId="5765C166">
      <w:pPr>
        <w:snapToGrid w:val="0"/>
        <w:spacing w:before="120" w:beforeLines="50" w:after="50"/>
        <w:jc w:val="left"/>
        <w:outlineLvl w:val="2"/>
        <w:rPr>
          <w:rFonts w:hint="eastAsia" w:ascii="宋体" w:hAnsi="宋体" w:eastAsia="宋体"/>
          <w:b/>
          <w:color w:val="auto"/>
          <w:sz w:val="24"/>
          <w:szCs w:val="20"/>
          <w:highlight w:val="none"/>
          <w:lang w:val="en-US" w:eastAsia="zh-CN"/>
        </w:rPr>
      </w:pPr>
      <w:bookmarkStart w:id="245" w:name="_Toc30705"/>
      <w:r>
        <w:rPr>
          <w:rFonts w:hint="eastAsia" w:ascii="宋体" w:hAnsi="宋体"/>
          <w:b/>
          <w:color w:val="auto"/>
          <w:sz w:val="24"/>
          <w:highlight w:val="none"/>
          <w:lang w:val="en-US" w:eastAsia="zh-CN"/>
        </w:rPr>
        <w:t>3</w:t>
      </w:r>
      <w:r>
        <w:rPr>
          <w:rFonts w:hint="eastAsia" w:ascii="宋体" w:hAnsi="宋体"/>
          <w:b/>
          <w:color w:val="auto"/>
          <w:sz w:val="24"/>
          <w:highlight w:val="none"/>
        </w:rPr>
        <w:t>.法定代表人身份证明及法定代表人有效身份证正反面复印件</w:t>
      </w:r>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格式</w:t>
      </w:r>
      <w:r>
        <w:rPr>
          <w:rFonts w:hint="eastAsia" w:ascii="宋体" w:hAnsi="宋体"/>
          <w:b/>
          <w:color w:val="auto"/>
          <w:sz w:val="24"/>
          <w:highlight w:val="none"/>
          <w:lang w:eastAsia="zh-CN"/>
        </w:rPr>
        <w:t>）</w:t>
      </w:r>
      <w:bookmarkEnd w:id="245"/>
    </w:p>
    <w:p w14:paraId="4EFEE191">
      <w:pPr>
        <w:spacing w:before="240" w:beforeLines="100" w:after="120" w:afterLines="50"/>
        <w:ind w:left="540"/>
        <w:jc w:val="center"/>
        <w:rPr>
          <w:rFonts w:hint="eastAsia" w:ascii="宋体" w:hAnsi="Courier New"/>
          <w:b/>
          <w:color w:val="auto"/>
          <w:sz w:val="32"/>
          <w:szCs w:val="32"/>
          <w:highlight w:val="none"/>
        </w:rPr>
      </w:pPr>
    </w:p>
    <w:p w14:paraId="4CC9B67A">
      <w:pPr>
        <w:spacing w:before="240" w:beforeLines="100" w:after="120" w:afterLines="50"/>
        <w:ind w:left="540"/>
        <w:jc w:val="center"/>
        <w:rPr>
          <w:rFonts w:hint="eastAsia" w:ascii="黑体" w:hAnsi="黑体" w:eastAsia="黑体" w:cs="黑体"/>
          <w:bCs/>
          <w:color w:val="auto"/>
          <w:sz w:val="44"/>
          <w:szCs w:val="44"/>
          <w:highlight w:val="none"/>
        </w:rPr>
      </w:pPr>
      <w:r>
        <w:rPr>
          <w:rFonts w:hint="eastAsia" w:ascii="黑体" w:hAnsi="黑体" w:eastAsia="黑体" w:cs="黑体"/>
          <w:bCs/>
          <w:color w:val="auto"/>
          <w:sz w:val="44"/>
          <w:szCs w:val="44"/>
          <w:highlight w:val="none"/>
        </w:rPr>
        <w:t>法定代表人身份证明</w:t>
      </w:r>
    </w:p>
    <w:p w14:paraId="6F23C77F">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582D669B">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596EDB5E">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178C4AB1">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058DE732">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2285FF69">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5D05ACBC">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56806FAB">
      <w:pPr>
        <w:spacing w:line="500" w:lineRule="exact"/>
        <w:ind w:left="540"/>
        <w:rPr>
          <w:rFonts w:hint="eastAsia" w:ascii="宋体" w:hAnsi="宋体"/>
          <w:color w:val="auto"/>
          <w:sz w:val="24"/>
          <w:highlight w:val="none"/>
        </w:rPr>
      </w:pPr>
    </w:p>
    <w:p w14:paraId="33641917">
      <w:pPr>
        <w:spacing w:line="500" w:lineRule="exact"/>
        <w:ind w:left="540"/>
        <w:rPr>
          <w:rFonts w:hint="eastAsia" w:ascii="宋体" w:hAnsi="宋体"/>
          <w:color w:val="auto"/>
          <w:sz w:val="24"/>
          <w:highlight w:val="none"/>
        </w:rPr>
      </w:pPr>
    </w:p>
    <w:p w14:paraId="0C7297C7">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68F92569">
      <w:pPr>
        <w:spacing w:line="500" w:lineRule="exact"/>
        <w:ind w:left="540"/>
        <w:rPr>
          <w:rFonts w:hint="eastAsia" w:ascii="宋体" w:hAnsi="宋体"/>
          <w:color w:val="auto"/>
          <w:sz w:val="24"/>
          <w:highlight w:val="none"/>
        </w:rPr>
      </w:pPr>
    </w:p>
    <w:p w14:paraId="5BD83627">
      <w:pPr>
        <w:spacing w:line="500" w:lineRule="exact"/>
        <w:ind w:left="540"/>
        <w:jc w:val="center"/>
        <w:rPr>
          <w:rFonts w:hint="eastAsia" w:ascii="宋体" w:hAnsi="宋体" w:eastAsia="宋体"/>
          <w:color w:val="auto"/>
          <w:sz w:val="24"/>
          <w:highlight w:val="none"/>
          <w:lang w:eastAsia="zh-CN"/>
        </w:rPr>
      </w:pPr>
      <w:r>
        <w:rPr>
          <w:rFonts w:hint="eastAsia" w:ascii="宋体" w:hAnsi="宋体"/>
          <w:color w:val="auto"/>
          <w:sz w:val="24"/>
          <w:highlight w:val="none"/>
        </w:rPr>
        <w:t>投标人名称（电子签章）</w:t>
      </w:r>
      <w:r>
        <w:rPr>
          <w:rFonts w:hint="eastAsia" w:ascii="宋体" w:hAnsi="宋体"/>
          <w:color w:val="auto"/>
          <w:sz w:val="24"/>
          <w:highlight w:val="none"/>
          <w:lang w:eastAsia="zh-CN"/>
        </w:rPr>
        <w:t>：</w:t>
      </w:r>
    </w:p>
    <w:p w14:paraId="18996D07">
      <w:pPr>
        <w:spacing w:line="500" w:lineRule="exact"/>
        <w:ind w:left="540"/>
        <w:jc w:val="right"/>
        <w:rPr>
          <w:rFonts w:hint="eastAsia" w:ascii="宋体" w:hAnsi="宋体"/>
          <w:color w:val="auto"/>
          <w:sz w:val="24"/>
          <w:highlight w:val="none"/>
        </w:rPr>
      </w:pPr>
    </w:p>
    <w:p w14:paraId="40755F63">
      <w:pPr>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61AAC02F">
      <w:pPr>
        <w:snapToGrid w:val="0"/>
        <w:spacing w:before="120" w:beforeLines="50" w:after="50"/>
        <w:jc w:val="center"/>
        <w:rPr>
          <w:rFonts w:hint="eastAsia" w:ascii="宋体" w:hAnsi="宋体"/>
          <w:b/>
          <w:color w:val="auto"/>
          <w:sz w:val="24"/>
          <w:highlight w:val="none"/>
        </w:rPr>
      </w:pPr>
    </w:p>
    <w:p w14:paraId="16F2F7BF">
      <w:pPr>
        <w:snapToGrid w:val="0"/>
        <w:spacing w:before="120" w:beforeLines="50" w:after="50"/>
        <w:jc w:val="left"/>
        <w:rPr>
          <w:rFonts w:hint="eastAsia" w:ascii="宋体" w:hAnsi="宋体"/>
          <w:b/>
          <w:color w:val="auto"/>
          <w:sz w:val="24"/>
          <w:szCs w:val="20"/>
          <w:highlight w:val="none"/>
        </w:rPr>
      </w:pPr>
      <w:r>
        <w:rPr>
          <w:rFonts w:hint="eastAsia" w:ascii="宋体" w:hAnsi="宋体"/>
          <w:color w:val="auto"/>
          <w:sz w:val="24"/>
          <w:highlight w:val="none"/>
        </w:rPr>
        <w:t>注：自然人投标的无需提供</w:t>
      </w:r>
    </w:p>
    <w:p w14:paraId="085DE681">
      <w:pPr>
        <w:snapToGrid w:val="0"/>
        <w:spacing w:before="120" w:beforeLines="50" w:after="50"/>
        <w:jc w:val="left"/>
        <w:outlineLvl w:val="2"/>
        <w:rPr>
          <w:rFonts w:hint="eastAsia" w:ascii="宋体" w:hAnsi="宋体"/>
          <w:b/>
          <w:color w:val="auto"/>
          <w:sz w:val="24"/>
          <w:szCs w:val="20"/>
          <w:highlight w:val="none"/>
        </w:rPr>
      </w:pPr>
      <w:r>
        <w:rPr>
          <w:rFonts w:ascii="宋体" w:hAnsi="宋体"/>
          <w:b/>
          <w:color w:val="auto"/>
          <w:sz w:val="24"/>
          <w:highlight w:val="none"/>
        </w:rPr>
        <w:br w:type="page"/>
      </w:r>
      <w:bookmarkStart w:id="246" w:name="_Toc21625"/>
      <w:r>
        <w:rPr>
          <w:rFonts w:hint="eastAsia" w:ascii="宋体" w:hAnsi="宋体"/>
          <w:b/>
          <w:color w:val="auto"/>
          <w:sz w:val="24"/>
          <w:highlight w:val="none"/>
          <w:lang w:val="en-US" w:eastAsia="zh-CN"/>
        </w:rPr>
        <w:t>4</w:t>
      </w:r>
      <w:r>
        <w:rPr>
          <w:rFonts w:hint="eastAsia" w:ascii="宋体" w:hAnsi="宋体"/>
          <w:b/>
          <w:color w:val="auto"/>
          <w:sz w:val="24"/>
          <w:highlight w:val="none"/>
        </w:rPr>
        <w:t>.授权委托书及委托代理人有效身份证正反面复印件（格式）</w:t>
      </w:r>
      <w:bookmarkEnd w:id="246"/>
    </w:p>
    <w:p w14:paraId="0C313B35">
      <w:pPr>
        <w:spacing w:line="360" w:lineRule="auto"/>
        <w:contextualSpacing/>
        <w:jc w:val="center"/>
        <w:rPr>
          <w:rFonts w:hint="eastAsia" w:ascii="黑体" w:hAnsi="黑体" w:eastAsia="黑体" w:cs="黑体"/>
          <w:bCs/>
          <w:color w:val="auto"/>
          <w:sz w:val="44"/>
          <w:szCs w:val="44"/>
          <w:highlight w:val="none"/>
        </w:rPr>
      </w:pPr>
    </w:p>
    <w:p w14:paraId="6E611E0E">
      <w:pPr>
        <w:spacing w:line="360" w:lineRule="auto"/>
        <w:contextualSpacing/>
        <w:jc w:val="center"/>
        <w:rPr>
          <w:rFonts w:hint="eastAsia" w:ascii="黑体" w:hAnsi="黑体" w:eastAsia="黑体" w:cs="黑体"/>
          <w:bCs/>
          <w:color w:val="auto"/>
          <w:sz w:val="44"/>
          <w:szCs w:val="44"/>
          <w:highlight w:val="none"/>
        </w:rPr>
      </w:pPr>
      <w:r>
        <w:rPr>
          <w:rFonts w:hint="eastAsia" w:ascii="黑体" w:hAnsi="黑体" w:eastAsia="黑体" w:cs="黑体"/>
          <w:bCs/>
          <w:color w:val="auto"/>
          <w:sz w:val="44"/>
          <w:szCs w:val="44"/>
          <w:highlight w:val="none"/>
        </w:rPr>
        <w:t>授权委托书</w:t>
      </w:r>
    </w:p>
    <w:p w14:paraId="14E7FDEC">
      <w:pPr>
        <w:spacing w:line="360" w:lineRule="auto"/>
        <w:contextualSpacing/>
        <w:jc w:val="center"/>
        <w:rPr>
          <w:rFonts w:hint="eastAsia"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（非联合体投标格式）</w:t>
      </w:r>
    </w:p>
    <w:p w14:paraId="12A23C33">
      <w:pPr>
        <w:spacing w:line="360" w:lineRule="auto"/>
        <w:contextualSpacing/>
        <w:jc w:val="center"/>
        <w:rPr>
          <w:rFonts w:hint="eastAsia" w:ascii="黑体" w:hAnsi="黑体" w:eastAsia="黑体" w:cs="黑体"/>
          <w:bCs/>
          <w:color w:val="auto"/>
          <w:sz w:val="24"/>
          <w:highlight w:val="none"/>
        </w:rPr>
      </w:pPr>
      <w:r>
        <w:rPr>
          <w:rFonts w:hint="eastAsia" w:ascii="黑体" w:hAnsi="黑体" w:eastAsia="黑体" w:cs="黑体"/>
          <w:bCs/>
          <w:color w:val="auto"/>
          <w:sz w:val="32"/>
          <w:szCs w:val="32"/>
          <w:highlight w:val="none"/>
        </w:rPr>
        <w:t>（如有委托时）</w:t>
      </w:r>
    </w:p>
    <w:p w14:paraId="61B4745A">
      <w:pPr>
        <w:spacing w:line="440" w:lineRule="exact"/>
        <w:contextualSpacing/>
        <w:jc w:val="center"/>
        <w:rPr>
          <w:rFonts w:hint="eastAsia" w:ascii="宋体" w:hAnsi="宋体"/>
          <w:b/>
          <w:color w:val="auto"/>
          <w:sz w:val="24"/>
          <w:highlight w:val="none"/>
        </w:rPr>
      </w:pPr>
    </w:p>
    <w:p w14:paraId="1BB4EF2C">
      <w:pPr>
        <w:spacing w:line="440" w:lineRule="exact"/>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4DD24BBA">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23B13CE0">
      <w:pPr>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我方对委托代理人的签字或者电子签名事项负全部责任。</w:t>
      </w:r>
    </w:p>
    <w:p w14:paraId="0B802523">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3FF29432">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4BA7F8E5">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25641492">
      <w:pPr>
        <w:spacing w:line="440" w:lineRule="exact"/>
        <w:contextualSpacing/>
        <w:rPr>
          <w:rFonts w:hint="eastAsia" w:ascii="宋体" w:hAnsi="宋体"/>
          <w:color w:val="auto"/>
          <w:sz w:val="24"/>
          <w:highlight w:val="none"/>
        </w:rPr>
      </w:pPr>
    </w:p>
    <w:p w14:paraId="42D2554B">
      <w:pPr>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委托代理人（签字或者电子签名）：</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798776AB">
      <w:pPr>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p>
    <w:p w14:paraId="703BE730">
      <w:pPr>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法定代表人（签字或者盖章或者电子签名）：</w:t>
      </w:r>
      <w:r>
        <w:rPr>
          <w:rFonts w:hint="eastAsia" w:ascii="宋体" w:hAnsi="宋体"/>
          <w:color w:val="auto"/>
          <w:sz w:val="24"/>
          <w:highlight w:val="none"/>
          <w:u w:val="single"/>
        </w:rPr>
        <w:t xml:space="preserve">              </w:t>
      </w:r>
    </w:p>
    <w:p w14:paraId="0B4C07CD">
      <w:pPr>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w:t>
      </w:r>
    </w:p>
    <w:p w14:paraId="1B3AF3AF">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投标人名称（电子签章）：</w:t>
      </w:r>
    </w:p>
    <w:p w14:paraId="699656CF">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1F59BEA2">
      <w:pPr>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247" w:name="_Hlk65851555"/>
      <w:bookmarkStart w:id="248" w:name="_Hlk65851620"/>
      <w:r>
        <w:rPr>
          <w:rFonts w:hint="eastAsia" w:ascii="宋体" w:hAnsi="宋体" w:cs="仿宋_GB2312"/>
          <w:color w:val="auto"/>
          <w:sz w:val="24"/>
          <w:highlight w:val="none"/>
        </w:rPr>
        <w:t>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w:t>
      </w:r>
      <w:bookmarkEnd w:id="247"/>
      <w:r>
        <w:rPr>
          <w:rFonts w:hint="eastAsia" w:ascii="宋体" w:hAnsi="宋体" w:cs="仿宋_GB2312"/>
          <w:color w:val="auto"/>
          <w:sz w:val="24"/>
          <w:highlight w:val="none"/>
        </w:rPr>
        <w:t>委托代理人必须在授权委托书上签字</w:t>
      </w:r>
      <w:r>
        <w:rPr>
          <w:rFonts w:hint="eastAsia" w:ascii="宋体" w:hAnsi="宋体"/>
          <w:color w:val="auto"/>
          <w:sz w:val="24"/>
          <w:highlight w:val="none"/>
        </w:rPr>
        <w:t>或者电子签名</w:t>
      </w:r>
      <w:r>
        <w:rPr>
          <w:rFonts w:hint="eastAsia" w:ascii="宋体" w:hAnsi="宋体" w:cs="仿宋_GB2312"/>
          <w:color w:val="auto"/>
          <w:sz w:val="24"/>
          <w:highlight w:val="none"/>
        </w:rPr>
        <w:t>，</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248"/>
    </w:p>
    <w:p w14:paraId="2FE776A1">
      <w:pPr>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0B702309">
      <w:pPr>
        <w:snapToGrid w:val="0"/>
        <w:spacing w:before="120" w:beforeLines="50" w:after="50"/>
        <w:ind w:firstLine="566" w:firstLineChars="236"/>
        <w:jc w:val="center"/>
        <w:rPr>
          <w:rFonts w:hint="eastAsia" w:ascii="黑体" w:hAnsi="黑体" w:eastAsia="黑体" w:cs="黑体"/>
          <w:color w:val="auto"/>
          <w:sz w:val="44"/>
          <w:szCs w:val="44"/>
          <w:highlight w:val="none"/>
        </w:rPr>
      </w:pPr>
      <w:r>
        <w:rPr>
          <w:rFonts w:ascii="宋体" w:hAnsi="宋体"/>
          <w:color w:val="auto"/>
          <w:sz w:val="24"/>
          <w:highlight w:val="none"/>
        </w:rPr>
        <w:br w:type="page"/>
      </w:r>
      <w:r>
        <w:rPr>
          <w:rFonts w:hint="eastAsia" w:ascii="黑体" w:hAnsi="黑体" w:eastAsia="黑体" w:cs="黑体"/>
          <w:color w:val="auto"/>
          <w:sz w:val="44"/>
          <w:szCs w:val="44"/>
          <w:highlight w:val="none"/>
        </w:rPr>
        <w:t>授权委托书</w:t>
      </w:r>
    </w:p>
    <w:p w14:paraId="5FBB0910">
      <w:pPr>
        <w:snapToGrid w:val="0"/>
        <w:spacing w:before="120" w:beforeLines="50" w:after="50"/>
        <w:ind w:firstLine="755" w:firstLineChars="236"/>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（联合体投标格式）</w:t>
      </w:r>
    </w:p>
    <w:p w14:paraId="185BC25B">
      <w:pPr>
        <w:snapToGrid w:val="0"/>
        <w:spacing w:before="120" w:beforeLines="50" w:after="50"/>
        <w:ind w:firstLine="755" w:firstLineChars="236"/>
        <w:jc w:val="center"/>
        <w:rPr>
          <w:rFonts w:hint="eastAsia" w:ascii="黑体" w:hAnsi="黑体" w:eastAsia="黑体" w:cs="黑体"/>
          <w:color w:val="auto"/>
          <w:sz w:val="24"/>
          <w:highlight w:val="none"/>
        </w:rPr>
      </w:pPr>
      <w:r>
        <w:rPr>
          <w:rFonts w:hint="eastAsia" w:ascii="黑体" w:hAnsi="黑体" w:eastAsia="黑体" w:cs="黑体"/>
          <w:color w:val="auto"/>
          <w:sz w:val="32"/>
          <w:szCs w:val="32"/>
          <w:highlight w:val="none"/>
        </w:rPr>
        <w:t>（如有委托时）</w:t>
      </w:r>
    </w:p>
    <w:p w14:paraId="71390BFC">
      <w:pPr>
        <w:spacing w:line="440" w:lineRule="exact"/>
        <w:contextualSpacing/>
        <w:jc w:val="left"/>
        <w:rPr>
          <w:rFonts w:hint="eastAsia"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6BE4BD20">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506C1119">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我方对委托代理人的签字或者电子签名事项负全部责任。</w:t>
      </w:r>
    </w:p>
    <w:p w14:paraId="786EE636">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14:paraId="2E1EDC13">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2A4C1F38">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14:paraId="1C7F788F">
      <w:pPr>
        <w:spacing w:line="440" w:lineRule="exact"/>
        <w:ind w:firstLine="566" w:firstLineChars="236"/>
        <w:contextualSpacing/>
        <w:rPr>
          <w:rFonts w:hint="eastAsia" w:ascii="宋体" w:hAnsi="宋体"/>
          <w:color w:val="auto"/>
          <w:sz w:val="24"/>
          <w:highlight w:val="none"/>
        </w:rPr>
      </w:pPr>
    </w:p>
    <w:p w14:paraId="2E5BB1FA">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牵头人法定代表人（签字或者盖章或者电子签名）：</w:t>
      </w:r>
    </w:p>
    <w:p w14:paraId="42E6B767">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牵头人（电子签章）：</w:t>
      </w:r>
    </w:p>
    <w:p w14:paraId="1544EE4B">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日期：    年   月   日</w:t>
      </w:r>
    </w:p>
    <w:p w14:paraId="02E8F844">
      <w:pPr>
        <w:spacing w:line="440" w:lineRule="exact"/>
        <w:ind w:firstLine="566" w:firstLineChars="236"/>
        <w:contextualSpacing/>
        <w:rPr>
          <w:rFonts w:hint="eastAsia" w:ascii="宋体" w:hAnsi="宋体"/>
          <w:color w:val="auto"/>
          <w:sz w:val="24"/>
          <w:highlight w:val="none"/>
        </w:rPr>
      </w:pPr>
    </w:p>
    <w:p w14:paraId="3592B819">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被授权人（签字或者电子签名）：</w:t>
      </w:r>
    </w:p>
    <w:p w14:paraId="06B46F49">
      <w:pPr>
        <w:spacing w:line="440" w:lineRule="exact"/>
        <w:ind w:firstLine="566" w:firstLineChars="236"/>
        <w:contextualSpacing/>
        <w:rPr>
          <w:rFonts w:hint="eastAsia" w:ascii="宋体" w:hAnsi="宋体" w:cs="仿宋_GB2312"/>
          <w:color w:val="auto"/>
          <w:sz w:val="32"/>
          <w:szCs w:val="32"/>
          <w:highlight w:val="none"/>
        </w:rPr>
      </w:pPr>
      <w:r>
        <w:rPr>
          <w:rFonts w:hint="eastAsia" w:ascii="宋体" w:hAnsi="宋体"/>
          <w:color w:val="auto"/>
          <w:sz w:val="24"/>
          <w:highlight w:val="none"/>
        </w:rPr>
        <w:t>日期：    年   月   日</w:t>
      </w:r>
    </w:p>
    <w:p w14:paraId="53ED92C9">
      <w:pPr>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w:t>
      </w:r>
      <w:r>
        <w:rPr>
          <w:rFonts w:hint="eastAsia" w:ascii="宋体" w:hAnsi="宋体"/>
          <w:color w:val="auto"/>
          <w:sz w:val="24"/>
          <w:highlight w:val="none"/>
        </w:rPr>
        <w:t>或者电子签名</w:t>
      </w:r>
      <w:r>
        <w:rPr>
          <w:rFonts w:hint="eastAsia" w:ascii="宋体" w:hAnsi="宋体" w:cs="仿宋_GB2312"/>
          <w:color w:val="auto"/>
          <w:sz w:val="24"/>
          <w:highlight w:val="none"/>
        </w:rPr>
        <w:t>，</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p>
    <w:p w14:paraId="205BEFF1">
      <w:pPr>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1D600C46">
      <w:pPr>
        <w:spacing w:line="440" w:lineRule="exact"/>
        <w:ind w:firstLine="480" w:firstLineChars="200"/>
        <w:contextualSpacing/>
        <w:jc w:val="left"/>
        <w:rPr>
          <w:rFonts w:hint="eastAsia" w:ascii="宋体" w:hAnsi="宋体"/>
          <w:color w:val="auto"/>
          <w:sz w:val="24"/>
          <w:highlight w:val="none"/>
        </w:rPr>
      </w:pPr>
    </w:p>
    <w:p w14:paraId="477CEF21">
      <w:pPr>
        <w:snapToGrid w:val="0"/>
        <w:spacing w:before="120" w:beforeLines="50" w:after="50"/>
        <w:ind w:firstLine="566" w:firstLineChars="236"/>
        <w:jc w:val="center"/>
        <w:rPr>
          <w:rFonts w:hint="eastAsia" w:ascii="宋体" w:hAnsi="宋体"/>
          <w:color w:val="auto"/>
          <w:sz w:val="24"/>
          <w:highlight w:val="none"/>
        </w:rPr>
      </w:pPr>
      <w:r>
        <w:rPr>
          <w:rFonts w:ascii="宋体" w:hAnsi="宋体"/>
          <w:color w:val="auto"/>
          <w:sz w:val="24"/>
          <w:highlight w:val="none"/>
        </w:rPr>
        <w:br w:type="page"/>
      </w:r>
    </w:p>
    <w:p w14:paraId="3F3E076E">
      <w:pPr>
        <w:outlineLvl w:val="2"/>
        <w:rPr>
          <w:rFonts w:hint="eastAsia" w:ascii="宋体" w:hAnsi="宋体"/>
          <w:b/>
          <w:color w:val="auto"/>
          <w:sz w:val="24"/>
          <w:szCs w:val="20"/>
          <w:highlight w:val="none"/>
        </w:rPr>
      </w:pPr>
      <w:bookmarkStart w:id="249" w:name="_Toc23291"/>
      <w:r>
        <w:rPr>
          <w:rFonts w:hint="eastAsia" w:ascii="宋体" w:hAnsi="宋体"/>
          <w:b/>
          <w:color w:val="auto"/>
          <w:sz w:val="24"/>
          <w:highlight w:val="none"/>
          <w:lang w:val="en-US" w:eastAsia="zh-CN"/>
        </w:rPr>
        <w:t>5</w:t>
      </w:r>
      <w:r>
        <w:rPr>
          <w:rFonts w:hint="eastAsia" w:ascii="宋体" w:hAnsi="宋体"/>
          <w:b/>
          <w:color w:val="auto"/>
          <w:sz w:val="24"/>
          <w:highlight w:val="none"/>
        </w:rPr>
        <w:t>.商务要求偏离表（格式）</w:t>
      </w:r>
      <w:bookmarkEnd w:id="249"/>
    </w:p>
    <w:p w14:paraId="3C4E4621">
      <w:pPr>
        <w:snapToGrid w:val="0"/>
        <w:spacing w:before="50"/>
        <w:jc w:val="left"/>
        <w:rPr>
          <w:rFonts w:hint="eastAsia" w:ascii="宋体" w:hAnsi="宋体"/>
          <w:color w:val="auto"/>
          <w:sz w:val="24"/>
          <w:highlight w:val="none"/>
        </w:rPr>
      </w:pPr>
    </w:p>
    <w:p w14:paraId="3514F122">
      <w:pPr>
        <w:pStyle w:val="24"/>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p w14:paraId="10F93BE7">
      <w:pPr>
        <w:snapToGrid w:val="0"/>
        <w:spacing w:before="50"/>
        <w:jc w:val="left"/>
        <w:rPr>
          <w:rFonts w:hint="eastAsia" w:ascii="宋体" w:hAnsi="宋体"/>
          <w:color w:val="auto"/>
          <w:sz w:val="24"/>
          <w:highlight w:val="none"/>
          <w:u w:val="single"/>
        </w:rPr>
      </w:pPr>
    </w:p>
    <w:tbl>
      <w:tblPr>
        <w:tblStyle w:val="49"/>
        <w:tblW w:w="0" w:type="auto"/>
        <w:tblInd w:w="-23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2686"/>
        <w:gridCol w:w="2976"/>
        <w:gridCol w:w="1469"/>
      </w:tblGrid>
      <w:tr w14:paraId="2E106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53D431FE">
            <w:pPr>
              <w:snapToGrid w:val="0"/>
              <w:spacing w:before="120" w:beforeLines="50"/>
              <w:jc w:val="center"/>
              <w:rPr>
                <w:rFonts w:hint="eastAsia" w:ascii="宋体" w:hAnsi="宋体"/>
                <w:color w:val="auto"/>
                <w:sz w:val="24"/>
                <w:szCs w:val="24"/>
                <w:highlight w:val="none"/>
              </w:rPr>
            </w:pPr>
            <w:r>
              <w:rPr>
                <w:rFonts w:hint="eastAsia" w:ascii="宋体" w:hAnsi="宋体"/>
                <w:color w:val="auto"/>
                <w:sz w:val="24"/>
                <w:szCs w:val="24"/>
                <w:highlight w:val="none"/>
              </w:rPr>
              <w:t>商务要求</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27B3C1C4">
            <w:pPr>
              <w:spacing w:line="340" w:lineRule="exact"/>
              <w:jc w:val="center"/>
              <w:rPr>
                <w:rFonts w:hint="default" w:ascii="宋体" w:hAnsi="宋体" w:eastAsia="宋体"/>
                <w:color w:val="auto"/>
                <w:sz w:val="24"/>
                <w:szCs w:val="24"/>
                <w:highlight w:val="none"/>
                <w:lang w:val="en-US" w:eastAsia="zh-CN"/>
              </w:rPr>
            </w:pPr>
            <w:r>
              <w:rPr>
                <w:rFonts w:hint="eastAsia" w:ascii="宋体" w:hAnsi="宋体" w:cs="宋体"/>
                <w:color w:val="auto"/>
                <w:sz w:val="24"/>
                <w:szCs w:val="24"/>
                <w:highlight w:val="none"/>
              </w:rPr>
              <w:t>招标文件的商务条款</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6042CDD2">
            <w:pPr>
              <w:spacing w:line="340" w:lineRule="exact"/>
              <w:jc w:val="center"/>
              <w:rPr>
                <w:rFonts w:hint="eastAsia" w:ascii="宋体" w:hAnsi="宋体"/>
                <w:color w:val="auto"/>
                <w:sz w:val="24"/>
                <w:szCs w:val="24"/>
                <w:highlight w:val="none"/>
              </w:rPr>
            </w:pPr>
            <w:r>
              <w:rPr>
                <w:rFonts w:hint="eastAsia" w:ascii="宋体" w:hAnsi="宋体" w:cs="宋体"/>
                <w:color w:val="auto"/>
                <w:sz w:val="24"/>
                <w:szCs w:val="24"/>
                <w:highlight w:val="none"/>
              </w:rPr>
              <w:t>投标文件响应的商务条款</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3EC19617">
            <w:pPr>
              <w:snapToGrid w:val="0"/>
              <w:spacing w:before="120" w:beforeLines="50"/>
              <w:jc w:val="center"/>
              <w:rPr>
                <w:rFonts w:hint="eastAsia" w:ascii="宋体" w:hAnsi="宋体"/>
                <w:color w:val="auto"/>
                <w:sz w:val="24"/>
                <w:szCs w:val="24"/>
                <w:highlight w:val="none"/>
              </w:rPr>
            </w:pPr>
            <w:r>
              <w:rPr>
                <w:rFonts w:hint="eastAsia" w:ascii="宋体" w:hAnsi="宋体"/>
                <w:color w:val="auto"/>
                <w:sz w:val="24"/>
                <w:szCs w:val="24"/>
                <w:highlight w:val="none"/>
              </w:rPr>
              <w:t>偏离说明</w:t>
            </w:r>
          </w:p>
        </w:tc>
      </w:tr>
      <w:tr w14:paraId="47E5C7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37DDBB6B">
            <w:pPr>
              <w:jc w:val="center"/>
              <w:rPr>
                <w:rFonts w:ascii="宋体" w:hAnsi="宋体"/>
                <w:i/>
                <w:color w:val="auto"/>
                <w:sz w:val="24"/>
                <w:szCs w:val="24"/>
                <w:highlight w:val="none"/>
              </w:rPr>
            </w:pPr>
          </w:p>
        </w:tc>
        <w:tc>
          <w:tcPr>
            <w:tcW w:w="2686" w:type="dxa"/>
            <w:tcBorders>
              <w:top w:val="single" w:color="auto" w:sz="4" w:space="0"/>
              <w:left w:val="single" w:color="auto" w:sz="4" w:space="0"/>
              <w:bottom w:val="single" w:color="auto" w:sz="4" w:space="0"/>
              <w:right w:val="single" w:color="auto" w:sz="4" w:space="0"/>
            </w:tcBorders>
            <w:noWrap w:val="0"/>
            <w:vAlign w:val="center"/>
          </w:tcPr>
          <w:p w14:paraId="77C1ADCB">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1.……</w:t>
            </w:r>
          </w:p>
          <w:p w14:paraId="6EDAB1B3">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2.……</w:t>
            </w:r>
          </w:p>
          <w:p w14:paraId="310D41E1">
            <w:pPr>
              <w:rPr>
                <w:rFonts w:hint="eastAsia" w:ascii="宋体" w:hAnsi="宋体"/>
                <w:color w:val="auto"/>
                <w:sz w:val="24"/>
                <w:szCs w:val="24"/>
                <w:highlight w:val="none"/>
              </w:rPr>
            </w:pPr>
            <w:r>
              <w:rPr>
                <w:rFonts w:hint="eastAsia" w:ascii="宋体" w:hAnsi="宋体"/>
                <w:color w:val="auto"/>
                <w:sz w:val="24"/>
                <w:szCs w:val="24"/>
                <w:highlight w:val="none"/>
              </w:rPr>
              <w:t>……</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01E7DD59">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1.……</w:t>
            </w:r>
          </w:p>
          <w:p w14:paraId="34572605">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2.……</w:t>
            </w:r>
          </w:p>
          <w:p w14:paraId="3F7AE0F4">
            <w:pPr>
              <w:snapToGrid w:val="0"/>
              <w:spacing w:before="120" w:beforeLines="50"/>
              <w:rPr>
                <w:rFonts w:hint="eastAsia" w:ascii="宋体" w:hAnsi="宋体"/>
                <w:color w:val="auto"/>
                <w:sz w:val="24"/>
                <w:szCs w:val="24"/>
                <w:highlight w:val="none"/>
              </w:rPr>
            </w:pPr>
            <w:r>
              <w:rPr>
                <w:rFonts w:hint="eastAsia" w:ascii="宋体" w:hAnsi="宋体"/>
                <w:color w:val="auto"/>
                <w:sz w:val="24"/>
                <w:szCs w:val="24"/>
                <w:highlight w:val="none"/>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211B557C">
            <w:pPr>
              <w:snapToGrid w:val="0"/>
              <w:spacing w:before="120" w:beforeLines="50"/>
              <w:jc w:val="center"/>
              <w:rPr>
                <w:rFonts w:hint="eastAsia" w:ascii="宋体" w:hAnsi="宋体"/>
                <w:color w:val="auto"/>
                <w:sz w:val="24"/>
                <w:szCs w:val="24"/>
                <w:highlight w:val="none"/>
              </w:rPr>
            </w:pPr>
          </w:p>
        </w:tc>
      </w:tr>
      <w:tr w14:paraId="5E5EF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28F1C28D">
            <w:pPr>
              <w:jc w:val="center"/>
              <w:rPr>
                <w:rFonts w:ascii="宋体" w:hAnsi="宋体"/>
                <w:i/>
                <w:color w:val="auto"/>
                <w:sz w:val="24"/>
                <w:szCs w:val="24"/>
                <w:highlight w:val="none"/>
              </w:rPr>
            </w:pPr>
          </w:p>
        </w:tc>
        <w:tc>
          <w:tcPr>
            <w:tcW w:w="2686" w:type="dxa"/>
            <w:tcBorders>
              <w:top w:val="single" w:color="auto" w:sz="4" w:space="0"/>
              <w:left w:val="single" w:color="auto" w:sz="4" w:space="0"/>
              <w:bottom w:val="single" w:color="auto" w:sz="4" w:space="0"/>
              <w:right w:val="single" w:color="auto" w:sz="4" w:space="0"/>
            </w:tcBorders>
            <w:noWrap w:val="0"/>
            <w:vAlign w:val="center"/>
          </w:tcPr>
          <w:p w14:paraId="4601C8CA">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1.……</w:t>
            </w:r>
          </w:p>
          <w:p w14:paraId="16CE3F0A">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2.……</w:t>
            </w:r>
          </w:p>
          <w:p w14:paraId="0BD29D00">
            <w:pPr>
              <w:rPr>
                <w:rFonts w:hint="eastAsia" w:ascii="宋体" w:hAnsi="宋体"/>
                <w:color w:val="auto"/>
                <w:sz w:val="24"/>
                <w:szCs w:val="24"/>
                <w:highlight w:val="none"/>
              </w:rPr>
            </w:pPr>
            <w:r>
              <w:rPr>
                <w:rFonts w:hint="eastAsia" w:ascii="宋体" w:hAnsi="宋体"/>
                <w:color w:val="auto"/>
                <w:sz w:val="24"/>
                <w:szCs w:val="24"/>
                <w:highlight w:val="none"/>
              </w:rPr>
              <w:t>……</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30D14E1D">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1.……</w:t>
            </w:r>
          </w:p>
          <w:p w14:paraId="41A9BAE8">
            <w:pPr>
              <w:snapToGrid w:val="0"/>
              <w:spacing w:before="120" w:beforeLines="50" w:line="300" w:lineRule="atLeast"/>
              <w:rPr>
                <w:rFonts w:ascii="宋体" w:hAnsi="宋体"/>
                <w:color w:val="auto"/>
                <w:sz w:val="24"/>
                <w:szCs w:val="24"/>
                <w:highlight w:val="none"/>
              </w:rPr>
            </w:pPr>
            <w:r>
              <w:rPr>
                <w:rFonts w:ascii="宋体" w:hAnsi="宋体"/>
                <w:color w:val="auto"/>
                <w:sz w:val="24"/>
                <w:szCs w:val="24"/>
                <w:highlight w:val="none"/>
              </w:rPr>
              <w:t>2.……</w:t>
            </w:r>
          </w:p>
          <w:p w14:paraId="2E7E7648">
            <w:pPr>
              <w:snapToGrid w:val="0"/>
              <w:spacing w:before="120" w:beforeLines="50"/>
              <w:ind w:left="43"/>
              <w:rPr>
                <w:rFonts w:hint="eastAsia" w:ascii="宋体" w:hAnsi="宋体"/>
                <w:color w:val="auto"/>
                <w:sz w:val="24"/>
                <w:szCs w:val="24"/>
                <w:highlight w:val="none"/>
              </w:rPr>
            </w:pPr>
            <w:r>
              <w:rPr>
                <w:rFonts w:hint="eastAsia" w:ascii="宋体" w:hAnsi="宋体"/>
                <w:color w:val="auto"/>
                <w:sz w:val="24"/>
                <w:szCs w:val="24"/>
                <w:highlight w:val="none"/>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7523E6A4">
            <w:pPr>
              <w:snapToGrid w:val="0"/>
              <w:spacing w:before="120" w:beforeLines="50"/>
              <w:ind w:left="43"/>
              <w:jc w:val="center"/>
              <w:rPr>
                <w:rFonts w:hint="eastAsia" w:ascii="宋体" w:hAnsi="宋体"/>
                <w:color w:val="auto"/>
                <w:sz w:val="24"/>
                <w:szCs w:val="24"/>
                <w:highlight w:val="none"/>
              </w:rPr>
            </w:pPr>
          </w:p>
        </w:tc>
      </w:tr>
      <w:tr w14:paraId="65A3B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0B9DFC4E">
            <w:pPr>
              <w:snapToGrid w:val="0"/>
              <w:spacing w:before="120" w:beforeLines="50"/>
              <w:jc w:val="center"/>
              <w:rPr>
                <w:rFonts w:hint="eastAsia" w:ascii="宋体" w:hAnsi="宋体"/>
                <w:color w:val="auto"/>
                <w:sz w:val="24"/>
                <w:szCs w:val="24"/>
                <w:highlight w:val="none"/>
              </w:rPr>
            </w:pPr>
            <w:r>
              <w:rPr>
                <w:rFonts w:hint="eastAsia" w:ascii="宋体" w:hAnsi="宋体"/>
                <w:color w:val="auto"/>
                <w:sz w:val="24"/>
                <w:szCs w:val="24"/>
                <w:highlight w:val="none"/>
              </w:rPr>
              <w:t>…</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06F43233">
            <w:pPr>
              <w:snapToGrid w:val="0"/>
              <w:spacing w:before="120" w:beforeLines="50"/>
              <w:rPr>
                <w:rFonts w:hint="eastAsia" w:ascii="宋体" w:hAnsi="宋体"/>
                <w:color w:val="auto"/>
                <w:sz w:val="24"/>
                <w:szCs w:val="24"/>
                <w:highlight w:val="none"/>
              </w:rPr>
            </w:pPr>
          </w:p>
        </w:tc>
        <w:tc>
          <w:tcPr>
            <w:tcW w:w="2976" w:type="dxa"/>
            <w:tcBorders>
              <w:top w:val="single" w:color="auto" w:sz="4" w:space="0"/>
              <w:left w:val="single" w:color="auto" w:sz="4" w:space="0"/>
              <w:bottom w:val="single" w:color="auto" w:sz="4" w:space="0"/>
              <w:right w:val="single" w:color="auto" w:sz="4" w:space="0"/>
            </w:tcBorders>
            <w:noWrap w:val="0"/>
            <w:vAlign w:val="center"/>
          </w:tcPr>
          <w:p w14:paraId="4FF8D7B7">
            <w:pPr>
              <w:snapToGrid w:val="0"/>
              <w:spacing w:before="120" w:beforeLines="50"/>
              <w:rPr>
                <w:rFonts w:hint="eastAsia" w:ascii="宋体" w:hAnsi="宋体"/>
                <w:color w:val="auto"/>
                <w:sz w:val="24"/>
                <w:szCs w:val="24"/>
                <w:highlight w:val="none"/>
              </w:rPr>
            </w:pPr>
          </w:p>
        </w:tc>
        <w:tc>
          <w:tcPr>
            <w:tcW w:w="1469" w:type="dxa"/>
            <w:tcBorders>
              <w:top w:val="single" w:color="auto" w:sz="4" w:space="0"/>
              <w:left w:val="single" w:color="auto" w:sz="4" w:space="0"/>
              <w:bottom w:val="single" w:color="auto" w:sz="4" w:space="0"/>
              <w:right w:val="single" w:color="auto" w:sz="4" w:space="0"/>
            </w:tcBorders>
            <w:noWrap w:val="0"/>
            <w:vAlign w:val="center"/>
          </w:tcPr>
          <w:p w14:paraId="117F33E1">
            <w:pPr>
              <w:snapToGrid w:val="0"/>
              <w:spacing w:before="120" w:beforeLines="50"/>
              <w:jc w:val="center"/>
              <w:rPr>
                <w:rFonts w:hint="eastAsia" w:ascii="宋体" w:hAnsi="宋体"/>
                <w:color w:val="auto"/>
                <w:sz w:val="24"/>
                <w:szCs w:val="24"/>
                <w:highlight w:val="none"/>
              </w:rPr>
            </w:pPr>
          </w:p>
        </w:tc>
      </w:tr>
    </w:tbl>
    <w:p w14:paraId="45DE140B">
      <w:pPr>
        <w:pStyle w:val="17"/>
        <w:rPr>
          <w:rFonts w:hint="eastAsia" w:ascii="宋体" w:hAnsi="宋体"/>
          <w:color w:val="auto"/>
          <w:highlight w:val="none"/>
        </w:rPr>
      </w:pPr>
      <w:r>
        <w:rPr>
          <w:rFonts w:hint="eastAsia" w:ascii="宋体" w:hAnsi="宋体"/>
          <w:color w:val="auto"/>
          <w:highlight w:val="none"/>
        </w:rPr>
        <w:t>注：</w:t>
      </w:r>
    </w:p>
    <w:p w14:paraId="13FD23DE">
      <w:pPr>
        <w:pStyle w:val="19"/>
        <w:spacing w:line="520" w:lineRule="exact"/>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w:t>
      </w:r>
      <w:r>
        <w:rPr>
          <w:rFonts w:hint="eastAsia"/>
          <w:color w:val="auto"/>
          <w:highlight w:val="none"/>
        </w:rPr>
        <w:t xml:space="preserve"> </w:t>
      </w:r>
      <w:r>
        <w:rPr>
          <w:rFonts w:hint="eastAsia" w:ascii="宋体" w:hAnsi="宋体" w:eastAsia="宋体"/>
          <w:color w:val="auto"/>
          <w:sz w:val="24"/>
          <w:szCs w:val="24"/>
          <w:highlight w:val="none"/>
        </w:rPr>
        <w:t>说明：应对照招标文件“第二章 采购需求”中的商务要求</w:t>
      </w:r>
      <w:r>
        <w:rPr>
          <w:rFonts w:hint="eastAsia" w:ascii="宋体" w:hAnsi="宋体" w:eastAsia="宋体"/>
          <w:b/>
          <w:bCs/>
          <w:color w:val="auto"/>
          <w:sz w:val="24"/>
          <w:szCs w:val="24"/>
          <w:highlight w:val="none"/>
        </w:rPr>
        <w:t>逐条作明确</w:t>
      </w:r>
      <w:r>
        <w:rPr>
          <w:rFonts w:hint="eastAsia" w:ascii="宋体" w:hAnsi="宋体" w:eastAsia="宋体"/>
          <w:color w:val="auto"/>
          <w:sz w:val="24"/>
          <w:szCs w:val="24"/>
          <w:highlight w:val="none"/>
        </w:rPr>
        <w:t>的投标响应，并作出偏离说明。</w:t>
      </w:r>
    </w:p>
    <w:p w14:paraId="32955F6C">
      <w:pPr>
        <w:pStyle w:val="17"/>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3F960792">
      <w:pPr>
        <w:snapToGrid w:val="0"/>
        <w:spacing w:before="50" w:after="50"/>
        <w:rPr>
          <w:rFonts w:ascii="宋体" w:hAnsi="宋体"/>
          <w:color w:val="auto"/>
          <w:sz w:val="24"/>
          <w:highlight w:val="none"/>
        </w:rPr>
      </w:pPr>
    </w:p>
    <w:p w14:paraId="4FE0C39A">
      <w:pPr>
        <w:snapToGrid w:val="0"/>
        <w:spacing w:before="120" w:beforeLines="50"/>
        <w:rPr>
          <w:rFonts w:hint="eastAsia" w:ascii="宋体" w:hAnsi="宋体"/>
          <w:color w:val="auto"/>
          <w:spacing w:val="20"/>
          <w:sz w:val="24"/>
          <w:highlight w:val="none"/>
        </w:rPr>
      </w:pPr>
    </w:p>
    <w:p w14:paraId="39A32239">
      <w:pPr>
        <w:snapToGrid w:val="0"/>
        <w:spacing w:before="120" w:beforeLines="50"/>
        <w:rPr>
          <w:rFonts w:hint="eastAsia" w:ascii="宋体" w:hAnsi="宋体"/>
          <w:color w:val="auto"/>
          <w:spacing w:val="20"/>
          <w:sz w:val="24"/>
          <w:highlight w:val="none"/>
        </w:rPr>
      </w:pPr>
    </w:p>
    <w:p w14:paraId="6243C78A">
      <w:pPr>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5635A7C8">
      <w:pPr>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42CBEFD0">
      <w:pPr>
        <w:outlineLvl w:val="2"/>
        <w:rPr>
          <w:rFonts w:hint="eastAsia" w:ascii="宋体" w:hAnsi="宋体" w:eastAsia="宋体" w:cs="Times New Roman"/>
          <w:b/>
          <w:color w:val="auto"/>
          <w:sz w:val="24"/>
          <w:highlight w:val="none"/>
          <w:lang w:val="en-US" w:eastAsia="zh-CN"/>
        </w:rPr>
      </w:pPr>
      <w:r>
        <w:rPr>
          <w:rFonts w:ascii="宋体" w:hAnsi="宋体"/>
          <w:color w:val="auto"/>
          <w:sz w:val="24"/>
          <w:szCs w:val="20"/>
          <w:highlight w:val="none"/>
        </w:rPr>
        <w:br w:type="page"/>
      </w:r>
      <w:bookmarkStart w:id="250" w:name="_Toc9302"/>
      <w:r>
        <w:rPr>
          <w:rFonts w:hint="eastAsia" w:ascii="宋体" w:hAnsi="宋体" w:eastAsia="宋体" w:cs="Times New Roman"/>
          <w:b/>
          <w:color w:val="auto"/>
          <w:sz w:val="24"/>
          <w:highlight w:val="none"/>
          <w:lang w:val="en-US" w:eastAsia="zh-CN"/>
        </w:rPr>
        <w:t>6.售后服务承诺（格式自拟）</w:t>
      </w:r>
      <w:bookmarkEnd w:id="250"/>
    </w:p>
    <w:p w14:paraId="2E2D489C">
      <w:pPr>
        <w:snapToGrid w:val="0"/>
        <w:spacing w:line="400" w:lineRule="exact"/>
        <w:jc w:val="left"/>
        <w:rPr>
          <w:rFonts w:hint="eastAsia" w:ascii="宋体" w:hAnsi="宋体"/>
          <w:bCs/>
          <w:color w:val="auto"/>
          <w:szCs w:val="21"/>
          <w:highlight w:val="none"/>
          <w:lang w:val="en-US" w:eastAsia="zh-CN"/>
        </w:rPr>
      </w:pPr>
    </w:p>
    <w:p w14:paraId="341B8637">
      <w:pPr>
        <w:snapToGrid w:val="0"/>
        <w:spacing w:line="400" w:lineRule="exact"/>
        <w:jc w:val="left"/>
        <w:rPr>
          <w:rFonts w:hint="eastAsia" w:ascii="宋体" w:hAnsi="宋体"/>
          <w:bCs/>
          <w:color w:val="auto"/>
          <w:szCs w:val="21"/>
          <w:highlight w:val="none"/>
          <w:lang w:val="en-US" w:eastAsia="zh-CN"/>
        </w:rPr>
      </w:pPr>
    </w:p>
    <w:p w14:paraId="7C54F5B9">
      <w:pPr>
        <w:outlineLvl w:val="2"/>
        <w:rPr>
          <w:rFonts w:hint="eastAsia" w:ascii="宋体" w:hAnsi="宋体" w:eastAsia="宋体" w:cs="Times New Roman"/>
          <w:b/>
          <w:color w:val="auto"/>
          <w:sz w:val="24"/>
          <w:highlight w:val="none"/>
          <w:lang w:val="en-US" w:eastAsia="zh-CN"/>
        </w:rPr>
      </w:pPr>
    </w:p>
    <w:p w14:paraId="0495F175">
      <w:pPr>
        <w:outlineLvl w:val="2"/>
        <w:rPr>
          <w:rFonts w:hint="eastAsia" w:ascii="宋体" w:hAnsi="宋体" w:eastAsia="宋体" w:cs="Times New Roman"/>
          <w:b/>
          <w:color w:val="auto"/>
          <w:sz w:val="24"/>
          <w:highlight w:val="none"/>
          <w:lang w:val="en-US" w:eastAsia="zh-CN"/>
        </w:rPr>
      </w:pPr>
    </w:p>
    <w:p w14:paraId="09334D18">
      <w:pPr>
        <w:outlineLvl w:val="2"/>
        <w:rPr>
          <w:rFonts w:hint="eastAsia" w:ascii="宋体" w:hAnsi="宋体" w:eastAsia="宋体" w:cs="Times New Roman"/>
          <w:b/>
          <w:color w:val="auto"/>
          <w:sz w:val="24"/>
          <w:highlight w:val="none"/>
          <w:lang w:val="en-US" w:eastAsia="zh-CN"/>
        </w:rPr>
      </w:pPr>
      <w:bookmarkStart w:id="251" w:name="_Toc24083"/>
      <w:r>
        <w:rPr>
          <w:rFonts w:hint="eastAsia" w:ascii="宋体" w:hAnsi="宋体" w:eastAsia="宋体" w:cs="Times New Roman"/>
          <w:b/>
          <w:color w:val="auto"/>
          <w:sz w:val="24"/>
          <w:highlight w:val="none"/>
          <w:lang w:val="en-US" w:eastAsia="zh-CN"/>
        </w:rPr>
        <w:t>7.本地化服务能力证明（格式）</w:t>
      </w:r>
      <w:bookmarkEnd w:id="251"/>
    </w:p>
    <w:p w14:paraId="4201069A">
      <w:pPr>
        <w:snapToGrid w:val="0"/>
        <w:spacing w:before="50" w:after="120" w:afterLines="50" w:line="360" w:lineRule="atLeast"/>
        <w:jc w:val="left"/>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如有，请提供</w:t>
      </w:r>
      <w:r>
        <w:rPr>
          <w:rFonts w:hint="eastAsia" w:ascii="宋体" w:hAnsi="宋体" w:cs="宋体"/>
          <w:b/>
          <w:color w:val="auto"/>
          <w:szCs w:val="21"/>
          <w:highlight w:val="none"/>
          <w:lang w:eastAsia="zh-CN"/>
        </w:rPr>
        <w:t>）</w:t>
      </w:r>
    </w:p>
    <w:p w14:paraId="2E997B50">
      <w:pPr>
        <w:snapToGrid w:val="0"/>
        <w:spacing w:before="50" w:after="120" w:afterLines="50" w:line="360" w:lineRule="atLeast"/>
        <w:jc w:val="left"/>
        <w:rPr>
          <w:rFonts w:hint="eastAsia" w:ascii="宋体" w:hAnsi="宋体" w:cs="宋体"/>
          <w:b/>
          <w:color w:val="auto"/>
          <w:szCs w:val="21"/>
          <w:highlight w:val="none"/>
        </w:rPr>
      </w:pPr>
      <w:r>
        <w:rPr>
          <w:rFonts w:hint="eastAsia" w:ascii="宋体" w:hAnsi="宋体" w:cs="宋体"/>
          <w:b/>
          <w:color w:val="auto"/>
          <w:szCs w:val="21"/>
          <w:highlight w:val="none"/>
        </w:rPr>
        <w:t>距采购人最近或者能为本项目提供最优服务的网点情况表</w:t>
      </w:r>
    </w:p>
    <w:tbl>
      <w:tblPr>
        <w:tblStyle w:val="49"/>
        <w:tblW w:w="5000" w:type="pct"/>
        <w:tblInd w:w="-11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28"/>
        <w:gridCol w:w="1817"/>
        <w:gridCol w:w="214"/>
        <w:gridCol w:w="1610"/>
        <w:gridCol w:w="997"/>
        <w:gridCol w:w="1284"/>
        <w:gridCol w:w="1358"/>
      </w:tblGrid>
      <w:tr w14:paraId="6F768A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5F5CCF07">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服务网点名称</w:t>
            </w:r>
          </w:p>
        </w:tc>
        <w:tc>
          <w:tcPr>
            <w:tcW w:w="3214" w:type="pct"/>
            <w:gridSpan w:val="5"/>
            <w:tcBorders>
              <w:top w:val="single" w:color="auto" w:sz="4" w:space="0"/>
              <w:left w:val="single" w:color="auto" w:sz="4" w:space="0"/>
              <w:bottom w:val="single" w:color="auto" w:sz="4" w:space="0"/>
              <w:right w:val="single" w:color="auto" w:sz="4" w:space="0"/>
            </w:tcBorders>
            <w:noWrap w:val="0"/>
            <w:vAlign w:val="top"/>
          </w:tcPr>
          <w:p w14:paraId="2D18DD1A">
            <w:pPr>
              <w:snapToGrid w:val="0"/>
              <w:spacing w:before="50" w:after="120" w:afterLines="50" w:line="360" w:lineRule="atLeast"/>
              <w:jc w:val="left"/>
              <w:rPr>
                <w:rFonts w:hint="eastAsia" w:ascii="宋体" w:hAnsi="宋体" w:cs="宋体"/>
                <w:color w:val="auto"/>
                <w:szCs w:val="21"/>
                <w:highlight w:val="none"/>
              </w:rPr>
            </w:pPr>
          </w:p>
        </w:tc>
        <w:tc>
          <w:tcPr>
            <w:tcW w:w="737" w:type="pct"/>
            <w:vMerge w:val="restart"/>
            <w:tcBorders>
              <w:top w:val="single" w:color="auto" w:sz="4" w:space="0"/>
              <w:left w:val="single" w:color="auto" w:sz="4" w:space="0"/>
              <w:bottom w:val="single" w:color="auto" w:sz="4" w:space="0"/>
              <w:right w:val="single" w:color="auto" w:sz="4" w:space="0"/>
            </w:tcBorders>
            <w:noWrap w:val="0"/>
            <w:vAlign w:val="center"/>
          </w:tcPr>
          <w:p w14:paraId="0560494C">
            <w:pPr>
              <w:snapToGrid w:val="0"/>
              <w:spacing w:before="50" w:after="120" w:afterLines="50"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所在</w:t>
            </w:r>
            <w:r>
              <w:rPr>
                <w:rFonts w:hint="eastAsia" w:ascii="宋体" w:hAnsi="宋体" w:cs="宋体"/>
                <w:color w:val="auto"/>
                <w:szCs w:val="21"/>
                <w:highlight w:val="none"/>
              </w:rPr>
              <w:t>投标文件页码</w:t>
            </w:r>
          </w:p>
        </w:tc>
      </w:tr>
      <w:tr w14:paraId="52772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54E04658">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地址</w:t>
            </w:r>
          </w:p>
        </w:tc>
        <w:tc>
          <w:tcPr>
            <w:tcW w:w="3214" w:type="pct"/>
            <w:gridSpan w:val="5"/>
            <w:tcBorders>
              <w:top w:val="single" w:color="auto" w:sz="4" w:space="0"/>
              <w:left w:val="single" w:color="auto" w:sz="4" w:space="0"/>
              <w:bottom w:val="single" w:color="auto" w:sz="4" w:space="0"/>
              <w:right w:val="single" w:color="auto" w:sz="4" w:space="0"/>
            </w:tcBorders>
            <w:noWrap w:val="0"/>
            <w:vAlign w:val="top"/>
          </w:tcPr>
          <w:p w14:paraId="760FB720">
            <w:pPr>
              <w:snapToGrid w:val="0"/>
              <w:spacing w:before="50" w:after="120" w:afterLines="50" w:line="360" w:lineRule="atLeast"/>
              <w:jc w:val="left"/>
              <w:rPr>
                <w:rFonts w:hint="eastAsia" w:ascii="宋体" w:hAnsi="宋体" w:cs="宋体"/>
                <w:color w:val="auto"/>
                <w:szCs w:val="21"/>
                <w:highlight w:val="none"/>
              </w:rPr>
            </w:pPr>
          </w:p>
        </w:tc>
        <w:tc>
          <w:tcPr>
            <w:tcW w:w="737" w:type="pct"/>
            <w:vMerge w:val="continue"/>
            <w:tcBorders>
              <w:top w:val="single" w:color="auto" w:sz="4" w:space="0"/>
              <w:left w:val="single" w:color="auto" w:sz="4" w:space="0"/>
              <w:bottom w:val="single" w:color="auto" w:sz="4" w:space="0"/>
              <w:right w:val="single" w:color="auto" w:sz="4" w:space="0"/>
            </w:tcBorders>
            <w:noWrap w:val="0"/>
            <w:vAlign w:val="center"/>
          </w:tcPr>
          <w:p w14:paraId="0ED70C69">
            <w:pPr>
              <w:widowControl/>
              <w:spacing w:line="360" w:lineRule="atLeast"/>
              <w:jc w:val="left"/>
              <w:rPr>
                <w:rFonts w:hint="eastAsia" w:ascii="宋体" w:hAnsi="宋体" w:cs="宋体"/>
                <w:color w:val="auto"/>
                <w:szCs w:val="21"/>
                <w:highlight w:val="none"/>
              </w:rPr>
            </w:pPr>
          </w:p>
        </w:tc>
      </w:tr>
      <w:tr w14:paraId="139BC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50DA87AB">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注册资本金</w:t>
            </w:r>
          </w:p>
        </w:tc>
        <w:tc>
          <w:tcPr>
            <w:tcW w:w="986" w:type="pct"/>
            <w:tcBorders>
              <w:top w:val="single" w:color="auto" w:sz="4" w:space="0"/>
              <w:left w:val="single" w:color="auto" w:sz="4" w:space="0"/>
              <w:bottom w:val="single" w:color="auto" w:sz="4" w:space="0"/>
              <w:right w:val="single" w:color="auto" w:sz="4" w:space="0"/>
            </w:tcBorders>
            <w:noWrap w:val="0"/>
            <w:vAlign w:val="top"/>
          </w:tcPr>
          <w:p w14:paraId="6A88AD25">
            <w:pPr>
              <w:snapToGrid w:val="0"/>
              <w:spacing w:before="50" w:after="120" w:afterLines="50" w:line="360" w:lineRule="atLeast"/>
              <w:jc w:val="left"/>
              <w:rPr>
                <w:rFonts w:hint="eastAsia" w:ascii="宋体" w:hAnsi="宋体" w:cs="宋体"/>
                <w:color w:val="auto"/>
                <w:szCs w:val="21"/>
                <w:highlight w:val="none"/>
              </w:rPr>
            </w:pPr>
          </w:p>
        </w:tc>
        <w:tc>
          <w:tcPr>
            <w:tcW w:w="1531" w:type="pct"/>
            <w:gridSpan w:val="3"/>
            <w:tcBorders>
              <w:top w:val="single" w:color="auto" w:sz="4" w:space="0"/>
              <w:left w:val="single" w:color="auto" w:sz="4" w:space="0"/>
              <w:bottom w:val="single" w:color="auto" w:sz="4" w:space="0"/>
              <w:right w:val="single" w:color="auto" w:sz="4" w:space="0"/>
            </w:tcBorders>
            <w:noWrap w:val="0"/>
            <w:vAlign w:val="top"/>
          </w:tcPr>
          <w:p w14:paraId="7699AAB4">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其中：投标人出资比例</w:t>
            </w:r>
          </w:p>
        </w:tc>
        <w:tc>
          <w:tcPr>
            <w:tcW w:w="697" w:type="pct"/>
            <w:tcBorders>
              <w:top w:val="single" w:color="auto" w:sz="4" w:space="0"/>
              <w:left w:val="single" w:color="auto" w:sz="4" w:space="0"/>
              <w:bottom w:val="single" w:color="auto" w:sz="4" w:space="0"/>
              <w:right w:val="single" w:color="auto" w:sz="4" w:space="0"/>
            </w:tcBorders>
            <w:noWrap w:val="0"/>
            <w:vAlign w:val="top"/>
          </w:tcPr>
          <w:p w14:paraId="036139B9">
            <w:pPr>
              <w:snapToGrid w:val="0"/>
              <w:spacing w:before="50" w:after="120" w:afterLines="50" w:line="360" w:lineRule="atLeast"/>
              <w:jc w:val="left"/>
              <w:rPr>
                <w:rFonts w:hint="eastAsia" w:ascii="宋体" w:hAnsi="宋体" w:cs="宋体"/>
                <w:color w:val="auto"/>
                <w:szCs w:val="21"/>
                <w:highlight w:val="none"/>
              </w:rPr>
            </w:pPr>
          </w:p>
        </w:tc>
        <w:tc>
          <w:tcPr>
            <w:tcW w:w="737" w:type="pct"/>
            <w:vMerge w:val="restart"/>
            <w:tcBorders>
              <w:top w:val="single" w:color="auto" w:sz="4" w:space="0"/>
              <w:left w:val="single" w:color="auto" w:sz="4" w:space="0"/>
              <w:right w:val="single" w:color="auto" w:sz="4" w:space="0"/>
            </w:tcBorders>
            <w:noWrap w:val="0"/>
            <w:vAlign w:val="top"/>
          </w:tcPr>
          <w:p w14:paraId="71A08530">
            <w:pPr>
              <w:snapToGrid w:val="0"/>
              <w:spacing w:before="50" w:after="120" w:afterLines="50" w:line="360" w:lineRule="atLeast"/>
              <w:jc w:val="left"/>
              <w:rPr>
                <w:rFonts w:hint="eastAsia" w:ascii="宋体" w:hAnsi="宋体" w:cs="宋体"/>
                <w:color w:val="auto"/>
                <w:szCs w:val="21"/>
                <w:highlight w:val="none"/>
              </w:rPr>
            </w:pPr>
          </w:p>
        </w:tc>
      </w:tr>
      <w:tr w14:paraId="79C8B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7354675C">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员工总人数</w:t>
            </w:r>
          </w:p>
        </w:tc>
        <w:tc>
          <w:tcPr>
            <w:tcW w:w="986" w:type="pct"/>
            <w:tcBorders>
              <w:top w:val="single" w:color="auto" w:sz="4" w:space="0"/>
              <w:left w:val="single" w:color="auto" w:sz="4" w:space="0"/>
              <w:bottom w:val="single" w:color="auto" w:sz="4" w:space="0"/>
              <w:right w:val="single" w:color="auto" w:sz="4" w:space="0"/>
            </w:tcBorders>
            <w:noWrap w:val="0"/>
            <w:vAlign w:val="top"/>
          </w:tcPr>
          <w:p w14:paraId="061CCC87">
            <w:pPr>
              <w:snapToGrid w:val="0"/>
              <w:spacing w:before="50" w:after="120" w:afterLines="50" w:line="360" w:lineRule="atLeast"/>
              <w:jc w:val="left"/>
              <w:rPr>
                <w:rFonts w:hint="eastAsia" w:ascii="宋体" w:hAnsi="宋体" w:cs="宋体"/>
                <w:color w:val="auto"/>
                <w:szCs w:val="21"/>
                <w:highlight w:val="none"/>
              </w:rPr>
            </w:pPr>
          </w:p>
        </w:tc>
        <w:tc>
          <w:tcPr>
            <w:tcW w:w="1531" w:type="pct"/>
            <w:gridSpan w:val="3"/>
            <w:tcBorders>
              <w:top w:val="single" w:color="auto" w:sz="4" w:space="0"/>
              <w:left w:val="single" w:color="auto" w:sz="4" w:space="0"/>
              <w:bottom w:val="single" w:color="auto" w:sz="4" w:space="0"/>
              <w:right w:val="single" w:color="auto" w:sz="4" w:space="0"/>
            </w:tcBorders>
            <w:noWrap w:val="0"/>
            <w:vAlign w:val="top"/>
          </w:tcPr>
          <w:p w14:paraId="5942A21F">
            <w:pPr>
              <w:snapToGrid w:val="0"/>
              <w:spacing w:before="50" w:after="120" w:afterLines="50" w:line="360" w:lineRule="atLeast"/>
              <w:ind w:left="60"/>
              <w:jc w:val="left"/>
              <w:rPr>
                <w:rFonts w:hint="eastAsia" w:ascii="宋体" w:hAnsi="宋体" w:cs="宋体"/>
                <w:color w:val="auto"/>
                <w:szCs w:val="21"/>
                <w:highlight w:val="none"/>
              </w:rPr>
            </w:pPr>
            <w:r>
              <w:rPr>
                <w:rFonts w:hint="eastAsia" w:ascii="宋体" w:hAnsi="宋体" w:cs="宋体"/>
                <w:color w:val="auto"/>
                <w:szCs w:val="21"/>
                <w:highlight w:val="none"/>
              </w:rPr>
              <w:t>其中：技术人员数</w:t>
            </w:r>
          </w:p>
        </w:tc>
        <w:tc>
          <w:tcPr>
            <w:tcW w:w="697" w:type="pct"/>
            <w:tcBorders>
              <w:top w:val="single" w:color="auto" w:sz="4" w:space="0"/>
              <w:left w:val="single" w:color="auto" w:sz="4" w:space="0"/>
              <w:bottom w:val="single" w:color="auto" w:sz="4" w:space="0"/>
              <w:right w:val="single" w:color="auto" w:sz="4" w:space="0"/>
            </w:tcBorders>
            <w:noWrap w:val="0"/>
            <w:vAlign w:val="top"/>
          </w:tcPr>
          <w:p w14:paraId="4437FAB8">
            <w:pPr>
              <w:snapToGrid w:val="0"/>
              <w:spacing w:before="50" w:after="120" w:afterLines="50" w:line="360" w:lineRule="atLeast"/>
              <w:jc w:val="left"/>
              <w:rPr>
                <w:rFonts w:hint="eastAsia" w:ascii="宋体" w:hAnsi="宋体" w:cs="宋体"/>
                <w:color w:val="auto"/>
                <w:szCs w:val="21"/>
                <w:highlight w:val="none"/>
              </w:rPr>
            </w:pPr>
          </w:p>
        </w:tc>
        <w:tc>
          <w:tcPr>
            <w:tcW w:w="737" w:type="pct"/>
            <w:vMerge w:val="continue"/>
            <w:tcBorders>
              <w:left w:val="single" w:color="auto" w:sz="4" w:space="0"/>
              <w:bottom w:val="single" w:color="auto" w:sz="4" w:space="0"/>
              <w:right w:val="single" w:color="auto" w:sz="4" w:space="0"/>
            </w:tcBorders>
            <w:noWrap w:val="0"/>
            <w:vAlign w:val="top"/>
          </w:tcPr>
          <w:p w14:paraId="6DA08BAE">
            <w:pPr>
              <w:snapToGrid w:val="0"/>
              <w:spacing w:before="50" w:after="120" w:afterLines="50" w:line="360" w:lineRule="atLeast"/>
              <w:jc w:val="left"/>
              <w:rPr>
                <w:rFonts w:hint="eastAsia" w:ascii="宋体" w:hAnsi="宋体" w:cs="宋体"/>
                <w:color w:val="auto"/>
                <w:szCs w:val="21"/>
                <w:highlight w:val="none"/>
              </w:rPr>
            </w:pPr>
          </w:p>
        </w:tc>
      </w:tr>
      <w:tr w14:paraId="2C444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5CD230A7">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经营期限</w:t>
            </w:r>
          </w:p>
        </w:tc>
        <w:tc>
          <w:tcPr>
            <w:tcW w:w="3214" w:type="pct"/>
            <w:gridSpan w:val="5"/>
            <w:tcBorders>
              <w:top w:val="single" w:color="auto" w:sz="4" w:space="0"/>
              <w:left w:val="single" w:color="auto" w:sz="4" w:space="0"/>
              <w:bottom w:val="single" w:color="auto" w:sz="4" w:space="0"/>
              <w:right w:val="single" w:color="auto" w:sz="4" w:space="0"/>
            </w:tcBorders>
            <w:noWrap w:val="0"/>
            <w:vAlign w:val="top"/>
          </w:tcPr>
          <w:p w14:paraId="426D976F">
            <w:pPr>
              <w:snapToGrid w:val="0"/>
              <w:spacing w:before="50" w:after="120" w:afterLines="50" w:line="360" w:lineRule="atLeast"/>
              <w:jc w:val="left"/>
              <w:rPr>
                <w:rFonts w:hint="eastAsia" w:ascii="宋体" w:hAnsi="宋体" w:cs="宋体"/>
                <w:color w:val="auto"/>
                <w:szCs w:val="21"/>
                <w:highlight w:val="none"/>
              </w:rPr>
            </w:pPr>
          </w:p>
        </w:tc>
        <w:tc>
          <w:tcPr>
            <w:tcW w:w="737" w:type="pct"/>
            <w:tcBorders>
              <w:top w:val="single" w:color="auto" w:sz="4" w:space="0"/>
              <w:left w:val="single" w:color="auto" w:sz="4" w:space="0"/>
              <w:bottom w:val="single" w:color="auto" w:sz="4" w:space="0"/>
              <w:right w:val="single" w:color="auto" w:sz="4" w:space="0"/>
            </w:tcBorders>
            <w:noWrap w:val="0"/>
            <w:vAlign w:val="top"/>
          </w:tcPr>
          <w:p w14:paraId="2C545D23">
            <w:pPr>
              <w:snapToGrid w:val="0"/>
              <w:spacing w:before="50" w:after="120" w:afterLines="50" w:line="360" w:lineRule="atLeast"/>
              <w:jc w:val="left"/>
              <w:rPr>
                <w:rFonts w:hint="eastAsia" w:ascii="宋体" w:hAnsi="宋体" w:cs="宋体"/>
                <w:color w:val="auto"/>
                <w:szCs w:val="21"/>
                <w:highlight w:val="none"/>
              </w:rPr>
            </w:pPr>
          </w:p>
        </w:tc>
      </w:tr>
      <w:tr w14:paraId="4590D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6BC1490D">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售后服务协议</w:t>
            </w:r>
          </w:p>
        </w:tc>
        <w:tc>
          <w:tcPr>
            <w:tcW w:w="3214" w:type="pct"/>
            <w:gridSpan w:val="5"/>
            <w:tcBorders>
              <w:top w:val="single" w:color="auto" w:sz="4" w:space="0"/>
              <w:left w:val="single" w:color="auto" w:sz="4" w:space="0"/>
              <w:bottom w:val="single" w:color="auto" w:sz="4" w:space="0"/>
              <w:right w:val="single" w:color="auto" w:sz="4" w:space="0"/>
            </w:tcBorders>
            <w:noWrap w:val="0"/>
            <w:vAlign w:val="top"/>
          </w:tcPr>
          <w:p w14:paraId="155D4FF8">
            <w:pPr>
              <w:snapToGrid w:val="0"/>
              <w:spacing w:before="50" w:after="120" w:afterLines="50" w:line="360" w:lineRule="atLeast"/>
              <w:jc w:val="left"/>
              <w:rPr>
                <w:rFonts w:hint="eastAsia" w:ascii="宋体" w:hAnsi="宋体" w:cs="宋体"/>
                <w:color w:val="auto"/>
                <w:szCs w:val="21"/>
                <w:highlight w:val="none"/>
              </w:rPr>
            </w:pPr>
          </w:p>
        </w:tc>
        <w:tc>
          <w:tcPr>
            <w:tcW w:w="737" w:type="pct"/>
            <w:tcBorders>
              <w:top w:val="single" w:color="auto" w:sz="4" w:space="0"/>
              <w:left w:val="single" w:color="auto" w:sz="4" w:space="0"/>
              <w:bottom w:val="single" w:color="auto" w:sz="4" w:space="0"/>
              <w:right w:val="single" w:color="auto" w:sz="4" w:space="0"/>
            </w:tcBorders>
            <w:noWrap w:val="0"/>
            <w:vAlign w:val="top"/>
          </w:tcPr>
          <w:p w14:paraId="29622244">
            <w:pPr>
              <w:snapToGrid w:val="0"/>
              <w:spacing w:before="50" w:after="120" w:afterLines="50" w:line="360" w:lineRule="atLeast"/>
              <w:jc w:val="left"/>
              <w:rPr>
                <w:rFonts w:hint="eastAsia" w:ascii="宋体" w:hAnsi="宋体" w:cs="宋体"/>
                <w:color w:val="auto"/>
                <w:szCs w:val="21"/>
                <w:highlight w:val="none"/>
              </w:rPr>
            </w:pPr>
          </w:p>
        </w:tc>
      </w:tr>
      <w:tr w14:paraId="1EC02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5355C804">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售后服务内容</w:t>
            </w:r>
          </w:p>
        </w:tc>
        <w:tc>
          <w:tcPr>
            <w:tcW w:w="3214" w:type="pct"/>
            <w:gridSpan w:val="5"/>
            <w:tcBorders>
              <w:top w:val="single" w:color="auto" w:sz="4" w:space="0"/>
              <w:left w:val="single" w:color="auto" w:sz="4" w:space="0"/>
              <w:bottom w:val="single" w:color="auto" w:sz="4" w:space="0"/>
              <w:right w:val="single" w:color="auto" w:sz="4" w:space="0"/>
            </w:tcBorders>
            <w:noWrap w:val="0"/>
            <w:vAlign w:val="top"/>
          </w:tcPr>
          <w:p w14:paraId="11297B7C">
            <w:pPr>
              <w:snapToGrid w:val="0"/>
              <w:spacing w:before="50" w:after="120" w:afterLines="50" w:line="360" w:lineRule="atLeast"/>
              <w:jc w:val="left"/>
              <w:rPr>
                <w:rFonts w:hint="eastAsia" w:ascii="宋体" w:hAnsi="宋体" w:cs="宋体"/>
                <w:color w:val="auto"/>
                <w:szCs w:val="21"/>
                <w:highlight w:val="none"/>
              </w:rPr>
            </w:pPr>
          </w:p>
        </w:tc>
        <w:tc>
          <w:tcPr>
            <w:tcW w:w="737" w:type="pct"/>
            <w:tcBorders>
              <w:top w:val="single" w:color="auto" w:sz="4" w:space="0"/>
              <w:left w:val="single" w:color="auto" w:sz="4" w:space="0"/>
              <w:bottom w:val="single" w:color="auto" w:sz="4" w:space="0"/>
              <w:right w:val="single" w:color="auto" w:sz="4" w:space="0"/>
            </w:tcBorders>
            <w:noWrap w:val="0"/>
            <w:vAlign w:val="top"/>
          </w:tcPr>
          <w:p w14:paraId="66CEE254">
            <w:pPr>
              <w:snapToGrid w:val="0"/>
              <w:spacing w:before="50" w:after="120" w:afterLines="50" w:line="360" w:lineRule="atLeast"/>
              <w:jc w:val="left"/>
              <w:rPr>
                <w:rFonts w:hint="eastAsia" w:ascii="宋体" w:hAnsi="宋体" w:cs="宋体"/>
                <w:color w:val="auto"/>
                <w:szCs w:val="21"/>
                <w:highlight w:val="none"/>
              </w:rPr>
            </w:pPr>
          </w:p>
        </w:tc>
      </w:tr>
      <w:tr w14:paraId="0F61F6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7ECF9906">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本地</w:t>
            </w:r>
            <w:r>
              <w:rPr>
                <w:rFonts w:hint="eastAsia" w:ascii="宋体" w:hAnsi="宋体" w:cs="宋体"/>
                <w:color w:val="auto"/>
                <w:szCs w:val="21"/>
                <w:highlight w:val="none"/>
              </w:rPr>
              <w:t>工作业绩</w:t>
            </w:r>
          </w:p>
        </w:tc>
        <w:tc>
          <w:tcPr>
            <w:tcW w:w="3214" w:type="pct"/>
            <w:gridSpan w:val="5"/>
            <w:tcBorders>
              <w:top w:val="single" w:color="auto" w:sz="4" w:space="0"/>
              <w:left w:val="single" w:color="auto" w:sz="4" w:space="0"/>
              <w:bottom w:val="single" w:color="auto" w:sz="4" w:space="0"/>
              <w:right w:val="single" w:color="auto" w:sz="4" w:space="0"/>
            </w:tcBorders>
            <w:noWrap w:val="0"/>
            <w:vAlign w:val="top"/>
          </w:tcPr>
          <w:p w14:paraId="65539470">
            <w:pPr>
              <w:snapToGrid w:val="0"/>
              <w:spacing w:before="50" w:after="120" w:afterLines="50" w:line="360" w:lineRule="atLeast"/>
              <w:jc w:val="left"/>
              <w:rPr>
                <w:rFonts w:hint="eastAsia" w:ascii="宋体" w:hAnsi="宋体" w:cs="宋体"/>
                <w:color w:val="auto"/>
                <w:szCs w:val="21"/>
                <w:highlight w:val="none"/>
              </w:rPr>
            </w:pPr>
          </w:p>
        </w:tc>
        <w:tc>
          <w:tcPr>
            <w:tcW w:w="737" w:type="pct"/>
            <w:tcBorders>
              <w:top w:val="single" w:color="auto" w:sz="4" w:space="0"/>
              <w:left w:val="single" w:color="auto" w:sz="4" w:space="0"/>
              <w:bottom w:val="single" w:color="auto" w:sz="4" w:space="0"/>
              <w:right w:val="single" w:color="auto" w:sz="4" w:space="0"/>
            </w:tcBorders>
            <w:noWrap w:val="0"/>
            <w:vAlign w:val="top"/>
          </w:tcPr>
          <w:p w14:paraId="7AE43BF2">
            <w:pPr>
              <w:snapToGrid w:val="0"/>
              <w:spacing w:before="50" w:after="120" w:afterLines="50" w:line="360" w:lineRule="atLeast"/>
              <w:jc w:val="left"/>
              <w:rPr>
                <w:rFonts w:hint="eastAsia" w:ascii="宋体" w:hAnsi="宋体" w:cs="宋体"/>
                <w:color w:val="auto"/>
                <w:szCs w:val="21"/>
                <w:highlight w:val="none"/>
              </w:rPr>
            </w:pPr>
          </w:p>
        </w:tc>
      </w:tr>
      <w:tr w14:paraId="081BD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60DC5EC4">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服务承诺</w:t>
            </w:r>
          </w:p>
        </w:tc>
        <w:tc>
          <w:tcPr>
            <w:tcW w:w="3214" w:type="pct"/>
            <w:gridSpan w:val="5"/>
            <w:tcBorders>
              <w:top w:val="single" w:color="auto" w:sz="4" w:space="0"/>
              <w:left w:val="single" w:color="auto" w:sz="4" w:space="0"/>
              <w:bottom w:val="single" w:color="auto" w:sz="4" w:space="0"/>
              <w:right w:val="single" w:color="auto" w:sz="4" w:space="0"/>
            </w:tcBorders>
            <w:noWrap w:val="0"/>
            <w:vAlign w:val="top"/>
          </w:tcPr>
          <w:p w14:paraId="4362DA1F">
            <w:pPr>
              <w:snapToGrid w:val="0"/>
              <w:spacing w:before="50" w:after="120" w:afterLines="50" w:line="360" w:lineRule="atLeast"/>
              <w:jc w:val="left"/>
              <w:rPr>
                <w:rFonts w:hint="eastAsia" w:ascii="宋体" w:hAnsi="宋体" w:cs="宋体"/>
                <w:color w:val="auto"/>
                <w:szCs w:val="21"/>
                <w:highlight w:val="none"/>
              </w:rPr>
            </w:pPr>
          </w:p>
        </w:tc>
        <w:tc>
          <w:tcPr>
            <w:tcW w:w="737" w:type="pct"/>
            <w:tcBorders>
              <w:top w:val="single" w:color="auto" w:sz="4" w:space="0"/>
              <w:left w:val="single" w:color="auto" w:sz="4" w:space="0"/>
              <w:bottom w:val="single" w:color="auto" w:sz="4" w:space="0"/>
              <w:right w:val="single" w:color="auto" w:sz="4" w:space="0"/>
            </w:tcBorders>
            <w:noWrap w:val="0"/>
            <w:vAlign w:val="top"/>
          </w:tcPr>
          <w:p w14:paraId="49C36708">
            <w:pPr>
              <w:snapToGrid w:val="0"/>
              <w:spacing w:before="50" w:after="120" w:afterLines="50" w:line="360" w:lineRule="atLeast"/>
              <w:jc w:val="left"/>
              <w:rPr>
                <w:rFonts w:hint="eastAsia" w:ascii="宋体" w:hAnsi="宋体" w:cs="宋体"/>
                <w:color w:val="auto"/>
                <w:szCs w:val="21"/>
                <w:highlight w:val="none"/>
              </w:rPr>
            </w:pPr>
          </w:p>
        </w:tc>
      </w:tr>
      <w:tr w14:paraId="0AF74E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32628B9D">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业务咨询电话</w:t>
            </w:r>
          </w:p>
        </w:tc>
        <w:tc>
          <w:tcPr>
            <w:tcW w:w="1102" w:type="pct"/>
            <w:gridSpan w:val="2"/>
            <w:tcBorders>
              <w:top w:val="single" w:color="auto" w:sz="4" w:space="0"/>
              <w:left w:val="single" w:color="auto" w:sz="4" w:space="0"/>
              <w:bottom w:val="single" w:color="auto" w:sz="4" w:space="0"/>
              <w:right w:val="single" w:color="auto" w:sz="2" w:space="0"/>
            </w:tcBorders>
            <w:noWrap w:val="0"/>
            <w:vAlign w:val="top"/>
          </w:tcPr>
          <w:p w14:paraId="5F12AF12">
            <w:pPr>
              <w:snapToGrid w:val="0"/>
              <w:spacing w:before="50" w:after="120" w:afterLines="50" w:line="360" w:lineRule="atLeast"/>
              <w:jc w:val="left"/>
              <w:rPr>
                <w:rFonts w:hint="eastAsia" w:ascii="宋体" w:hAnsi="宋体" w:cs="宋体"/>
                <w:color w:val="auto"/>
                <w:szCs w:val="21"/>
                <w:highlight w:val="none"/>
              </w:rPr>
            </w:pPr>
          </w:p>
        </w:tc>
        <w:tc>
          <w:tcPr>
            <w:tcW w:w="874" w:type="pct"/>
            <w:tcBorders>
              <w:top w:val="single" w:color="auto" w:sz="4" w:space="0"/>
              <w:left w:val="single" w:color="auto" w:sz="2" w:space="0"/>
              <w:bottom w:val="single" w:color="auto" w:sz="4" w:space="0"/>
              <w:right w:val="single" w:color="auto" w:sz="2" w:space="0"/>
            </w:tcBorders>
            <w:noWrap w:val="0"/>
            <w:vAlign w:val="center"/>
          </w:tcPr>
          <w:p w14:paraId="655858AD">
            <w:pPr>
              <w:snapToGrid w:val="0"/>
              <w:spacing w:before="50" w:after="120" w:afterLines="50" w:line="360" w:lineRule="atLeast"/>
              <w:ind w:firstLine="210" w:firstLineChars="100"/>
              <w:jc w:val="center"/>
              <w:rPr>
                <w:rFonts w:hint="eastAsia" w:ascii="宋体" w:hAnsi="宋体" w:cs="宋体"/>
                <w:color w:val="auto"/>
                <w:szCs w:val="21"/>
                <w:highlight w:val="none"/>
              </w:rPr>
            </w:pPr>
            <w:r>
              <w:rPr>
                <w:rFonts w:hint="eastAsia" w:ascii="宋体" w:hAnsi="宋体" w:cs="宋体"/>
                <w:color w:val="auto"/>
                <w:szCs w:val="21"/>
                <w:highlight w:val="none"/>
              </w:rPr>
              <w:t>传 真</w:t>
            </w:r>
          </w:p>
        </w:tc>
        <w:tc>
          <w:tcPr>
            <w:tcW w:w="1238" w:type="pct"/>
            <w:gridSpan w:val="2"/>
            <w:tcBorders>
              <w:top w:val="single" w:color="auto" w:sz="4" w:space="0"/>
              <w:left w:val="single" w:color="auto" w:sz="2" w:space="0"/>
              <w:bottom w:val="single" w:color="auto" w:sz="4" w:space="0"/>
              <w:right w:val="single" w:color="auto" w:sz="2" w:space="0"/>
            </w:tcBorders>
            <w:noWrap w:val="0"/>
            <w:vAlign w:val="top"/>
          </w:tcPr>
          <w:p w14:paraId="5322403A">
            <w:pPr>
              <w:snapToGrid w:val="0"/>
              <w:spacing w:before="50" w:after="120" w:afterLines="50" w:line="360" w:lineRule="atLeast"/>
              <w:jc w:val="left"/>
              <w:rPr>
                <w:rFonts w:hint="eastAsia" w:ascii="宋体" w:hAnsi="宋体" w:cs="宋体"/>
                <w:color w:val="auto"/>
                <w:szCs w:val="21"/>
                <w:highlight w:val="none"/>
              </w:rPr>
            </w:pPr>
          </w:p>
        </w:tc>
        <w:tc>
          <w:tcPr>
            <w:tcW w:w="737" w:type="pct"/>
            <w:tcBorders>
              <w:top w:val="single" w:color="auto" w:sz="4" w:space="0"/>
              <w:left w:val="single" w:color="auto" w:sz="2" w:space="0"/>
              <w:bottom w:val="single" w:color="auto" w:sz="4" w:space="0"/>
              <w:right w:val="single" w:color="auto" w:sz="4" w:space="0"/>
            </w:tcBorders>
            <w:noWrap w:val="0"/>
            <w:vAlign w:val="top"/>
          </w:tcPr>
          <w:p w14:paraId="6774371E">
            <w:pPr>
              <w:snapToGrid w:val="0"/>
              <w:spacing w:before="50" w:after="120" w:afterLines="50" w:line="360" w:lineRule="atLeast"/>
              <w:jc w:val="left"/>
              <w:rPr>
                <w:rFonts w:hint="eastAsia" w:ascii="宋体" w:hAnsi="宋体" w:cs="宋体"/>
                <w:color w:val="auto"/>
                <w:szCs w:val="21"/>
                <w:highlight w:val="none"/>
              </w:rPr>
            </w:pPr>
          </w:p>
        </w:tc>
      </w:tr>
      <w:tr w14:paraId="77EC37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7" w:type="pct"/>
            <w:tcBorders>
              <w:top w:val="single" w:color="auto" w:sz="4" w:space="0"/>
              <w:left w:val="single" w:color="auto" w:sz="4" w:space="0"/>
              <w:bottom w:val="single" w:color="auto" w:sz="4" w:space="0"/>
              <w:right w:val="single" w:color="auto" w:sz="4" w:space="0"/>
            </w:tcBorders>
            <w:noWrap w:val="0"/>
            <w:vAlign w:val="top"/>
          </w:tcPr>
          <w:p w14:paraId="4858DCE2">
            <w:pPr>
              <w:snapToGrid w:val="0"/>
              <w:spacing w:before="50" w:after="120" w:afterLines="50" w:line="360" w:lineRule="atLeast"/>
              <w:jc w:val="left"/>
              <w:rPr>
                <w:rFonts w:hint="eastAsia" w:ascii="宋体" w:hAnsi="宋体" w:cs="宋体"/>
                <w:color w:val="auto"/>
                <w:szCs w:val="21"/>
                <w:highlight w:val="none"/>
              </w:rPr>
            </w:pPr>
            <w:r>
              <w:rPr>
                <w:rFonts w:hint="eastAsia" w:ascii="宋体" w:hAnsi="宋体" w:cs="宋体"/>
                <w:color w:val="auto"/>
                <w:szCs w:val="21"/>
                <w:highlight w:val="none"/>
              </w:rPr>
              <w:t>负责人</w:t>
            </w:r>
          </w:p>
        </w:tc>
        <w:tc>
          <w:tcPr>
            <w:tcW w:w="1102" w:type="pct"/>
            <w:gridSpan w:val="2"/>
            <w:tcBorders>
              <w:top w:val="single" w:color="auto" w:sz="4" w:space="0"/>
              <w:left w:val="single" w:color="auto" w:sz="4" w:space="0"/>
              <w:bottom w:val="single" w:color="auto" w:sz="4" w:space="0"/>
              <w:right w:val="single" w:color="auto" w:sz="2" w:space="0"/>
            </w:tcBorders>
            <w:noWrap w:val="0"/>
            <w:vAlign w:val="top"/>
          </w:tcPr>
          <w:p w14:paraId="7F8FCBF6">
            <w:pPr>
              <w:snapToGrid w:val="0"/>
              <w:spacing w:before="50" w:after="120" w:afterLines="50" w:line="360" w:lineRule="atLeast"/>
              <w:jc w:val="left"/>
              <w:rPr>
                <w:rFonts w:hint="eastAsia" w:ascii="宋体" w:hAnsi="宋体" w:cs="宋体"/>
                <w:color w:val="auto"/>
                <w:szCs w:val="21"/>
                <w:highlight w:val="none"/>
              </w:rPr>
            </w:pPr>
          </w:p>
        </w:tc>
        <w:tc>
          <w:tcPr>
            <w:tcW w:w="874" w:type="pct"/>
            <w:tcBorders>
              <w:top w:val="single" w:color="auto" w:sz="4" w:space="0"/>
              <w:left w:val="single" w:color="auto" w:sz="2" w:space="0"/>
              <w:bottom w:val="single" w:color="auto" w:sz="4" w:space="0"/>
              <w:right w:val="single" w:color="auto" w:sz="2" w:space="0"/>
            </w:tcBorders>
            <w:noWrap w:val="0"/>
            <w:vAlign w:val="center"/>
          </w:tcPr>
          <w:p w14:paraId="4AA3BA84">
            <w:pPr>
              <w:snapToGrid w:val="0"/>
              <w:spacing w:before="50" w:after="120" w:afterLines="50" w:line="360" w:lineRule="atLeast"/>
              <w:jc w:val="center"/>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1238" w:type="pct"/>
            <w:gridSpan w:val="2"/>
            <w:tcBorders>
              <w:top w:val="single" w:color="auto" w:sz="4" w:space="0"/>
              <w:left w:val="single" w:color="auto" w:sz="2" w:space="0"/>
              <w:bottom w:val="single" w:color="auto" w:sz="4" w:space="0"/>
              <w:right w:val="single" w:color="auto" w:sz="4" w:space="0"/>
            </w:tcBorders>
            <w:noWrap w:val="0"/>
            <w:vAlign w:val="top"/>
          </w:tcPr>
          <w:p w14:paraId="5447A900">
            <w:pPr>
              <w:snapToGrid w:val="0"/>
              <w:spacing w:before="50" w:after="120" w:afterLines="50" w:line="360" w:lineRule="atLeast"/>
              <w:jc w:val="left"/>
              <w:rPr>
                <w:rFonts w:hint="eastAsia" w:ascii="宋体" w:hAnsi="宋体" w:cs="宋体"/>
                <w:color w:val="auto"/>
                <w:szCs w:val="21"/>
                <w:highlight w:val="none"/>
              </w:rPr>
            </w:pPr>
          </w:p>
        </w:tc>
        <w:tc>
          <w:tcPr>
            <w:tcW w:w="737" w:type="pct"/>
            <w:tcBorders>
              <w:top w:val="single" w:color="auto" w:sz="4" w:space="0"/>
              <w:left w:val="single" w:color="auto" w:sz="4" w:space="0"/>
              <w:bottom w:val="single" w:color="auto" w:sz="4" w:space="0"/>
              <w:right w:val="single" w:color="auto" w:sz="4" w:space="0"/>
            </w:tcBorders>
            <w:noWrap w:val="0"/>
            <w:vAlign w:val="top"/>
          </w:tcPr>
          <w:p w14:paraId="2FFBB4AC">
            <w:pPr>
              <w:snapToGrid w:val="0"/>
              <w:spacing w:before="50" w:after="120" w:afterLines="50" w:line="360" w:lineRule="atLeast"/>
              <w:jc w:val="left"/>
              <w:rPr>
                <w:rFonts w:hint="eastAsia" w:ascii="宋体" w:hAnsi="宋体" w:cs="宋体"/>
                <w:color w:val="auto"/>
                <w:szCs w:val="21"/>
                <w:highlight w:val="none"/>
              </w:rPr>
            </w:pPr>
          </w:p>
        </w:tc>
      </w:tr>
    </w:tbl>
    <w:p w14:paraId="3CA996CC">
      <w:pPr>
        <w:pStyle w:val="14"/>
        <w:spacing w:before="0" w:after="0" w:line="360" w:lineRule="auto"/>
        <w:contextualSpacing/>
        <w:jc w:val="left"/>
        <w:rPr>
          <w:rFonts w:hint="eastAsia" w:ascii="宋体" w:hAnsi="宋体" w:eastAsia="宋体"/>
          <w:color w:val="auto"/>
          <w:sz w:val="24"/>
          <w:szCs w:val="24"/>
          <w:highlight w:val="none"/>
        </w:rPr>
      </w:pPr>
    </w:p>
    <w:p w14:paraId="0BAD76A1">
      <w:pPr>
        <w:pStyle w:val="14"/>
        <w:spacing w:before="0" w:after="0" w:line="360" w:lineRule="auto"/>
        <w:contextualSpacing/>
        <w:jc w:val="left"/>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附：本地服务网点证明材料。</w:t>
      </w:r>
    </w:p>
    <w:p w14:paraId="31414B76">
      <w:pPr>
        <w:pStyle w:val="14"/>
        <w:spacing w:before="0" w:after="0" w:line="360" w:lineRule="auto"/>
        <w:contextualSpacing/>
        <w:jc w:val="left"/>
        <w:rPr>
          <w:rFonts w:hint="eastAsia" w:ascii="宋体" w:hAnsi="宋体" w:eastAsia="宋体"/>
          <w:color w:val="auto"/>
          <w:sz w:val="24"/>
          <w:szCs w:val="24"/>
          <w:highlight w:val="none"/>
          <w:u w:val="single"/>
        </w:rPr>
      </w:pPr>
    </w:p>
    <w:p w14:paraId="72F6A45B">
      <w:pPr>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 xml:space="preserve">投标人名称（电子签章）：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05C81FEB">
      <w:pPr>
        <w:spacing w:line="360" w:lineRule="auto"/>
        <w:ind w:right="480"/>
        <w:contextualSpacing/>
        <w:jc w:val="left"/>
        <w:rPr>
          <w:rFonts w:hint="eastAsia" w:ascii="宋体" w:hAnsi="宋体"/>
          <w:color w:val="auto"/>
          <w:sz w:val="24"/>
          <w:szCs w:val="20"/>
          <w:highlight w:val="none"/>
        </w:rPr>
      </w:pPr>
    </w:p>
    <w:p w14:paraId="026EA118">
      <w:pPr>
        <w:outlineLvl w:val="2"/>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br w:type="page"/>
      </w:r>
      <w:bookmarkStart w:id="252" w:name="_Toc10784"/>
      <w:r>
        <w:rPr>
          <w:rFonts w:hint="eastAsia" w:ascii="宋体" w:hAnsi="宋体" w:eastAsia="宋体" w:cs="Times New Roman"/>
          <w:b/>
          <w:color w:val="auto"/>
          <w:sz w:val="24"/>
          <w:highlight w:val="none"/>
          <w:lang w:val="en-US" w:eastAsia="zh-CN"/>
        </w:rPr>
        <w:t>8.售前、售中和售后服务方案（格式自拟）；</w:t>
      </w:r>
      <w:bookmarkEnd w:id="252"/>
    </w:p>
    <w:p w14:paraId="6AB13986">
      <w:pPr>
        <w:snapToGrid w:val="0"/>
        <w:spacing w:before="120" w:beforeLines="50" w:after="50"/>
        <w:outlineLvl w:val="2"/>
        <w:rPr>
          <w:rFonts w:ascii="宋体" w:hAnsi="宋体"/>
          <w:color w:val="auto"/>
          <w:sz w:val="24"/>
          <w:szCs w:val="20"/>
          <w:highlight w:val="none"/>
        </w:rPr>
      </w:pPr>
    </w:p>
    <w:p w14:paraId="1D96B49C">
      <w:pPr>
        <w:snapToGrid w:val="0"/>
        <w:spacing w:before="120" w:beforeLines="50" w:after="50"/>
        <w:outlineLvl w:val="2"/>
        <w:rPr>
          <w:rFonts w:ascii="宋体" w:hAnsi="宋体"/>
          <w:color w:val="auto"/>
          <w:sz w:val="24"/>
          <w:szCs w:val="20"/>
          <w:highlight w:val="none"/>
        </w:rPr>
      </w:pPr>
    </w:p>
    <w:p w14:paraId="7538803C">
      <w:pPr>
        <w:outlineLvl w:val="2"/>
        <w:rPr>
          <w:rFonts w:hint="eastAsia" w:ascii="宋体" w:hAnsi="宋体" w:eastAsia="宋体" w:cs="Times New Roman"/>
          <w:b/>
          <w:color w:val="auto"/>
          <w:sz w:val="24"/>
          <w:highlight w:val="none"/>
          <w:lang w:val="en-US" w:eastAsia="zh-CN"/>
        </w:rPr>
      </w:pPr>
      <w:bookmarkStart w:id="253" w:name="_Toc27166"/>
      <w:r>
        <w:rPr>
          <w:rFonts w:hint="eastAsia" w:ascii="宋体" w:hAnsi="宋体" w:eastAsia="宋体" w:cs="Times New Roman"/>
          <w:b/>
          <w:color w:val="auto"/>
          <w:sz w:val="24"/>
          <w:highlight w:val="none"/>
          <w:lang w:val="en-US" w:eastAsia="zh-CN"/>
        </w:rPr>
        <w:t>9.投标人信誉业绩</w:t>
      </w:r>
      <w:bookmarkEnd w:id="253"/>
    </w:p>
    <w:p w14:paraId="01DB70C2">
      <w:pPr>
        <w:pStyle w:val="35"/>
        <w:snapToGrid w:val="0"/>
        <w:ind w:left="480" w:hanging="480"/>
        <w:rPr>
          <w:rFonts w:hint="eastAsia" w:ascii="宋体" w:hAnsi="宋体"/>
          <w:color w:val="auto"/>
          <w:sz w:val="24"/>
          <w:highlight w:val="none"/>
        </w:rPr>
      </w:pPr>
    </w:p>
    <w:p w14:paraId="18B9BE31">
      <w:pPr>
        <w:pStyle w:val="35"/>
        <w:snapToGrid w:val="0"/>
        <w:ind w:left="480" w:hanging="480"/>
        <w:jc w:val="center"/>
        <w:rPr>
          <w:rFonts w:hint="eastAsia" w:ascii="宋体" w:hAnsi="宋体"/>
          <w:color w:val="auto"/>
          <w:sz w:val="24"/>
          <w:highlight w:val="none"/>
        </w:rPr>
      </w:pPr>
      <w:r>
        <w:rPr>
          <w:rFonts w:hint="eastAsia" w:ascii="宋体" w:hAnsi="宋体"/>
          <w:color w:val="auto"/>
          <w:sz w:val="24"/>
          <w:highlight w:val="none"/>
        </w:rPr>
        <w:t>投标人</w:t>
      </w:r>
      <w:r>
        <w:rPr>
          <w:rFonts w:hint="eastAsia" w:ascii="宋体" w:hAnsi="宋体"/>
          <w:color w:val="auto"/>
          <w:sz w:val="24"/>
          <w:highlight w:val="none"/>
          <w:lang w:val="en-US" w:eastAsia="zh-CN"/>
        </w:rPr>
        <w:t>信誉</w:t>
      </w:r>
      <w:r>
        <w:rPr>
          <w:rFonts w:hint="eastAsia" w:ascii="宋体" w:hAnsi="宋体"/>
          <w:color w:val="auto"/>
          <w:sz w:val="24"/>
          <w:highlight w:val="none"/>
        </w:rPr>
        <w:t>业绩情况一览表</w:t>
      </w:r>
      <w:r>
        <w:rPr>
          <w:rFonts w:hint="eastAsia" w:ascii="宋体" w:hAnsi="宋体"/>
          <w:color w:val="auto"/>
          <w:sz w:val="24"/>
          <w:highlight w:val="none"/>
          <w:lang w:eastAsia="zh-CN"/>
        </w:rPr>
        <w:t>（</w:t>
      </w:r>
      <w:r>
        <w:rPr>
          <w:rFonts w:hint="eastAsia" w:ascii="宋体" w:hAnsi="宋体"/>
          <w:color w:val="auto"/>
          <w:sz w:val="24"/>
          <w:highlight w:val="none"/>
        </w:rPr>
        <w:t>格式</w:t>
      </w:r>
      <w:r>
        <w:rPr>
          <w:rFonts w:hint="eastAsia" w:ascii="宋体" w:hAnsi="宋体"/>
          <w:color w:val="auto"/>
          <w:sz w:val="24"/>
          <w:highlight w:val="none"/>
          <w:lang w:eastAsia="zh-CN"/>
        </w:rPr>
        <w:t>）</w:t>
      </w:r>
    </w:p>
    <w:tbl>
      <w:tblPr>
        <w:tblStyle w:val="49"/>
        <w:tblW w:w="517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3"/>
        <w:gridCol w:w="2135"/>
        <w:gridCol w:w="2286"/>
        <w:gridCol w:w="1315"/>
        <w:gridCol w:w="1385"/>
        <w:gridCol w:w="1684"/>
      </w:tblGrid>
      <w:tr w14:paraId="545CE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71" w:hRule="atLeast"/>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07668E2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序号</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4172B6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color w:val="auto"/>
                <w:sz w:val="24"/>
                <w:highlight w:val="none"/>
              </w:rPr>
            </w:pPr>
            <w:r>
              <w:rPr>
                <w:rFonts w:hint="eastAsia" w:ascii="宋体" w:hAnsi="宋体"/>
                <w:color w:val="auto"/>
                <w:sz w:val="24"/>
                <w:highlight w:val="none"/>
              </w:rPr>
              <w:t>采购人名称</w:t>
            </w:r>
          </w:p>
        </w:tc>
        <w:tc>
          <w:tcPr>
            <w:tcW w:w="1198" w:type="pct"/>
            <w:tcBorders>
              <w:top w:val="single" w:color="auto" w:sz="4" w:space="0"/>
              <w:left w:val="single" w:color="auto" w:sz="4" w:space="0"/>
              <w:bottom w:val="single" w:color="auto" w:sz="4" w:space="0"/>
              <w:right w:val="single" w:color="auto" w:sz="4" w:space="0"/>
            </w:tcBorders>
            <w:noWrap w:val="0"/>
            <w:vAlign w:val="center"/>
          </w:tcPr>
          <w:p w14:paraId="636CEDF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color w:val="auto"/>
                <w:sz w:val="24"/>
                <w:highlight w:val="none"/>
              </w:rPr>
            </w:pPr>
            <w:r>
              <w:rPr>
                <w:rFonts w:hint="eastAsia" w:ascii="宋体" w:hAnsi="宋体"/>
                <w:color w:val="auto"/>
                <w:sz w:val="24"/>
                <w:highlight w:val="none"/>
              </w:rPr>
              <w:t>项目名称</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6B367D5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color w:val="auto"/>
                <w:sz w:val="24"/>
                <w:highlight w:val="none"/>
              </w:rPr>
            </w:pPr>
            <w:r>
              <w:rPr>
                <w:rFonts w:hint="eastAsia" w:ascii="宋体" w:hAnsi="宋体"/>
                <w:color w:val="auto"/>
                <w:sz w:val="24"/>
                <w:highlight w:val="none"/>
              </w:rPr>
              <w:t>合同金额</w:t>
            </w:r>
          </w:p>
          <w:p w14:paraId="026A884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color w:val="auto"/>
                <w:sz w:val="24"/>
                <w:highlight w:val="none"/>
              </w:rPr>
            </w:pPr>
            <w:r>
              <w:rPr>
                <w:rFonts w:hint="eastAsia" w:ascii="宋体" w:hAnsi="宋体"/>
                <w:color w:val="auto"/>
                <w:sz w:val="24"/>
                <w:highlight w:val="none"/>
              </w:rPr>
              <w:t>（万元）</w:t>
            </w:r>
          </w:p>
        </w:tc>
        <w:tc>
          <w:tcPr>
            <w:tcW w:w="726" w:type="pct"/>
            <w:tcBorders>
              <w:top w:val="single" w:color="auto" w:sz="4" w:space="0"/>
              <w:left w:val="single" w:color="auto" w:sz="4" w:space="0"/>
              <w:bottom w:val="single" w:color="auto" w:sz="4" w:space="0"/>
              <w:right w:val="single" w:color="auto" w:sz="4" w:space="0"/>
            </w:tcBorders>
            <w:noWrap w:val="0"/>
            <w:vAlign w:val="center"/>
          </w:tcPr>
          <w:p w14:paraId="7855787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color w:val="auto"/>
                <w:sz w:val="24"/>
                <w:highlight w:val="none"/>
              </w:rPr>
            </w:pPr>
            <w:r>
              <w:rPr>
                <w:rFonts w:hint="eastAsia" w:ascii="宋体" w:hAnsi="宋体"/>
                <w:color w:val="auto"/>
                <w:sz w:val="24"/>
                <w:highlight w:val="none"/>
              </w:rPr>
              <w:t>采购人联系人及联系电话</w:t>
            </w:r>
          </w:p>
        </w:tc>
        <w:tc>
          <w:tcPr>
            <w:tcW w:w="882" w:type="pct"/>
            <w:tcBorders>
              <w:top w:val="single" w:color="auto" w:sz="4" w:space="0"/>
              <w:left w:val="single" w:color="auto" w:sz="4" w:space="0"/>
              <w:bottom w:val="single" w:color="auto" w:sz="4" w:space="0"/>
              <w:right w:val="single" w:color="auto" w:sz="4" w:space="0"/>
            </w:tcBorders>
            <w:noWrap w:val="0"/>
            <w:vAlign w:val="center"/>
          </w:tcPr>
          <w:p w14:paraId="0FA62B8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业绩采购合同、用户评价意见证明材料所在页码</w:t>
            </w:r>
          </w:p>
        </w:tc>
      </w:tr>
      <w:tr w14:paraId="7FB7A5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1629C4BC">
            <w:pPr>
              <w:snapToGrid w:val="0"/>
              <w:spacing w:line="24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1</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7DA250EC">
            <w:pPr>
              <w:snapToGrid w:val="0"/>
              <w:spacing w:line="24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70B1CBE5">
            <w:pPr>
              <w:snapToGrid w:val="0"/>
              <w:spacing w:line="24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00812D21">
            <w:pPr>
              <w:snapToGrid w:val="0"/>
              <w:spacing w:line="24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757C0A43">
            <w:pPr>
              <w:snapToGrid w:val="0"/>
              <w:spacing w:line="24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566ADADF">
            <w:pPr>
              <w:snapToGrid w:val="0"/>
              <w:spacing w:line="240" w:lineRule="exact"/>
              <w:jc w:val="left"/>
              <w:rPr>
                <w:rFonts w:hint="eastAsia" w:ascii="宋体" w:hAnsi="宋体"/>
                <w:color w:val="auto"/>
                <w:sz w:val="24"/>
                <w:highlight w:val="none"/>
              </w:rPr>
            </w:pPr>
          </w:p>
        </w:tc>
      </w:tr>
      <w:tr w14:paraId="1B2FB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4D27AACE">
            <w:pPr>
              <w:snapToGrid w:val="0"/>
              <w:spacing w:before="50" w:after="120" w:afterLines="50" w:line="40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2</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1D23ED61">
            <w:pPr>
              <w:snapToGrid w:val="0"/>
              <w:spacing w:before="50" w:after="120" w:afterLines="50" w:line="40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1300A377">
            <w:pPr>
              <w:snapToGrid w:val="0"/>
              <w:spacing w:before="50" w:after="120" w:afterLines="50" w:line="40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76587538">
            <w:pPr>
              <w:snapToGrid w:val="0"/>
              <w:spacing w:before="50" w:after="120" w:afterLines="50" w:line="40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4DC62202">
            <w:pPr>
              <w:snapToGrid w:val="0"/>
              <w:spacing w:before="50" w:after="120" w:afterLines="50" w:line="40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3E790226">
            <w:pPr>
              <w:snapToGrid w:val="0"/>
              <w:spacing w:before="50" w:after="120" w:afterLines="50" w:line="400" w:lineRule="exact"/>
              <w:jc w:val="left"/>
              <w:rPr>
                <w:rFonts w:hint="eastAsia" w:ascii="宋体" w:hAnsi="宋体"/>
                <w:color w:val="auto"/>
                <w:sz w:val="24"/>
                <w:highlight w:val="none"/>
              </w:rPr>
            </w:pPr>
          </w:p>
        </w:tc>
      </w:tr>
      <w:tr w14:paraId="05838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452BD782">
            <w:pPr>
              <w:snapToGrid w:val="0"/>
              <w:spacing w:before="50" w:after="120" w:afterLines="50" w:line="40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3</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2038D62A">
            <w:pPr>
              <w:snapToGrid w:val="0"/>
              <w:spacing w:before="50" w:after="120" w:afterLines="50" w:line="40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2BE2BFB1">
            <w:pPr>
              <w:snapToGrid w:val="0"/>
              <w:spacing w:before="50" w:after="120" w:afterLines="50" w:line="40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64A70300">
            <w:pPr>
              <w:snapToGrid w:val="0"/>
              <w:spacing w:before="50" w:after="120" w:afterLines="50" w:line="40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6FC4845F">
            <w:pPr>
              <w:snapToGrid w:val="0"/>
              <w:spacing w:before="50" w:after="120" w:afterLines="50" w:line="40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7ECA96C1">
            <w:pPr>
              <w:snapToGrid w:val="0"/>
              <w:spacing w:before="50" w:after="120" w:afterLines="50" w:line="400" w:lineRule="exact"/>
              <w:jc w:val="left"/>
              <w:rPr>
                <w:rFonts w:hint="eastAsia" w:ascii="宋体" w:hAnsi="宋体"/>
                <w:color w:val="auto"/>
                <w:sz w:val="24"/>
                <w:highlight w:val="none"/>
              </w:rPr>
            </w:pPr>
          </w:p>
        </w:tc>
      </w:tr>
      <w:tr w14:paraId="7C47AE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6BA40699">
            <w:pPr>
              <w:snapToGrid w:val="0"/>
              <w:spacing w:before="50" w:after="120" w:afterLines="50" w:line="40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4</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3119D8D3">
            <w:pPr>
              <w:snapToGrid w:val="0"/>
              <w:spacing w:before="50" w:after="120" w:afterLines="50" w:line="40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357018EB">
            <w:pPr>
              <w:snapToGrid w:val="0"/>
              <w:spacing w:before="50" w:after="120" w:afterLines="50" w:line="40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7424CB79">
            <w:pPr>
              <w:snapToGrid w:val="0"/>
              <w:spacing w:before="50" w:after="120" w:afterLines="50" w:line="40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5476CFAD">
            <w:pPr>
              <w:snapToGrid w:val="0"/>
              <w:spacing w:before="50" w:after="120" w:afterLines="50" w:line="40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73AC915F">
            <w:pPr>
              <w:snapToGrid w:val="0"/>
              <w:spacing w:before="50" w:after="120" w:afterLines="50" w:line="400" w:lineRule="exact"/>
              <w:jc w:val="left"/>
              <w:rPr>
                <w:rFonts w:hint="eastAsia" w:ascii="宋体" w:hAnsi="宋体"/>
                <w:color w:val="auto"/>
                <w:sz w:val="24"/>
                <w:highlight w:val="none"/>
              </w:rPr>
            </w:pPr>
          </w:p>
        </w:tc>
      </w:tr>
      <w:tr w14:paraId="5F579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22F81AA5">
            <w:pPr>
              <w:snapToGrid w:val="0"/>
              <w:spacing w:before="50" w:after="120" w:afterLines="50" w:line="40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5</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01610397">
            <w:pPr>
              <w:snapToGrid w:val="0"/>
              <w:spacing w:before="50" w:after="120" w:afterLines="50" w:line="40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5E7BF692">
            <w:pPr>
              <w:snapToGrid w:val="0"/>
              <w:spacing w:before="50" w:after="120" w:afterLines="50" w:line="40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1FD55BD0">
            <w:pPr>
              <w:snapToGrid w:val="0"/>
              <w:spacing w:before="50" w:after="120" w:afterLines="50" w:line="40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72D52060">
            <w:pPr>
              <w:snapToGrid w:val="0"/>
              <w:spacing w:before="50" w:after="120" w:afterLines="50" w:line="40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24D0421D">
            <w:pPr>
              <w:snapToGrid w:val="0"/>
              <w:spacing w:before="50" w:after="120" w:afterLines="50" w:line="400" w:lineRule="exact"/>
              <w:jc w:val="left"/>
              <w:rPr>
                <w:rFonts w:hint="eastAsia" w:ascii="宋体" w:hAnsi="宋体"/>
                <w:color w:val="auto"/>
                <w:sz w:val="24"/>
                <w:highlight w:val="none"/>
              </w:rPr>
            </w:pPr>
          </w:p>
        </w:tc>
      </w:tr>
      <w:tr w14:paraId="7FE8BA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5C6BCEB5">
            <w:pPr>
              <w:snapToGrid w:val="0"/>
              <w:spacing w:before="50" w:after="120" w:afterLines="50" w:line="40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6</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6C28992D">
            <w:pPr>
              <w:snapToGrid w:val="0"/>
              <w:spacing w:before="50" w:after="120" w:afterLines="50" w:line="40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7F14E52D">
            <w:pPr>
              <w:snapToGrid w:val="0"/>
              <w:spacing w:before="50" w:after="120" w:afterLines="50" w:line="40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536DAFB4">
            <w:pPr>
              <w:snapToGrid w:val="0"/>
              <w:spacing w:before="50" w:after="120" w:afterLines="50" w:line="40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4A899821">
            <w:pPr>
              <w:snapToGrid w:val="0"/>
              <w:spacing w:before="50" w:after="120" w:afterLines="50" w:line="40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47A0D445">
            <w:pPr>
              <w:snapToGrid w:val="0"/>
              <w:spacing w:before="50" w:after="120" w:afterLines="50" w:line="400" w:lineRule="exact"/>
              <w:jc w:val="left"/>
              <w:rPr>
                <w:rFonts w:hint="eastAsia" w:ascii="宋体" w:hAnsi="宋体"/>
                <w:color w:val="auto"/>
                <w:sz w:val="24"/>
                <w:highlight w:val="none"/>
              </w:rPr>
            </w:pPr>
          </w:p>
        </w:tc>
      </w:tr>
      <w:tr w14:paraId="0CE213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151F48D8">
            <w:pPr>
              <w:snapToGrid w:val="0"/>
              <w:spacing w:before="50" w:after="120" w:afterLines="50" w:line="40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7</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36AED664">
            <w:pPr>
              <w:snapToGrid w:val="0"/>
              <w:spacing w:before="50" w:after="120" w:afterLines="50" w:line="40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7360F43B">
            <w:pPr>
              <w:snapToGrid w:val="0"/>
              <w:spacing w:before="50" w:after="120" w:afterLines="50" w:line="40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44262D15">
            <w:pPr>
              <w:snapToGrid w:val="0"/>
              <w:spacing w:before="50" w:after="120" w:afterLines="50" w:line="40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7E37CD28">
            <w:pPr>
              <w:snapToGrid w:val="0"/>
              <w:spacing w:before="50" w:after="120" w:afterLines="50" w:line="40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5E6251B1">
            <w:pPr>
              <w:snapToGrid w:val="0"/>
              <w:spacing w:before="50" w:after="120" w:afterLines="50" w:line="400" w:lineRule="exact"/>
              <w:jc w:val="left"/>
              <w:rPr>
                <w:rFonts w:hint="eastAsia" w:ascii="宋体" w:hAnsi="宋体"/>
                <w:color w:val="auto"/>
                <w:sz w:val="24"/>
                <w:highlight w:val="none"/>
              </w:rPr>
            </w:pPr>
          </w:p>
        </w:tc>
      </w:tr>
      <w:tr w14:paraId="40D8C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84" w:type="pct"/>
            <w:tcBorders>
              <w:top w:val="single" w:color="auto" w:sz="4" w:space="0"/>
              <w:left w:val="single" w:color="auto" w:sz="4" w:space="0"/>
              <w:bottom w:val="single" w:color="auto" w:sz="4" w:space="0"/>
              <w:right w:val="single" w:color="auto" w:sz="4" w:space="0"/>
            </w:tcBorders>
            <w:noWrap w:val="0"/>
            <w:vAlign w:val="center"/>
          </w:tcPr>
          <w:p w14:paraId="7B9B4489">
            <w:pPr>
              <w:snapToGrid w:val="0"/>
              <w:spacing w:before="50" w:after="120" w:afterLines="50" w:line="400" w:lineRule="exact"/>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8</w:t>
            </w:r>
          </w:p>
        </w:tc>
        <w:tc>
          <w:tcPr>
            <w:tcW w:w="1119" w:type="pct"/>
            <w:tcBorders>
              <w:top w:val="single" w:color="auto" w:sz="4" w:space="0"/>
              <w:left w:val="single" w:color="auto" w:sz="4" w:space="0"/>
              <w:bottom w:val="single" w:color="auto" w:sz="4" w:space="0"/>
              <w:right w:val="single" w:color="auto" w:sz="4" w:space="0"/>
            </w:tcBorders>
            <w:noWrap w:val="0"/>
            <w:vAlign w:val="top"/>
          </w:tcPr>
          <w:p w14:paraId="38D860C3">
            <w:pPr>
              <w:snapToGrid w:val="0"/>
              <w:spacing w:before="50" w:after="120" w:afterLines="50" w:line="400" w:lineRule="exact"/>
              <w:jc w:val="left"/>
              <w:rPr>
                <w:rFonts w:hint="eastAsia" w:ascii="宋体" w:hAnsi="宋体"/>
                <w:color w:val="auto"/>
                <w:sz w:val="24"/>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top"/>
          </w:tcPr>
          <w:p w14:paraId="136D9E8A">
            <w:pPr>
              <w:snapToGrid w:val="0"/>
              <w:spacing w:before="50" w:after="120" w:afterLines="50" w:line="400" w:lineRule="exact"/>
              <w:jc w:val="left"/>
              <w:rPr>
                <w:rFonts w:hint="eastAsia" w:ascii="宋体" w:hAnsi="宋体"/>
                <w:color w:val="auto"/>
                <w:sz w:val="24"/>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top"/>
          </w:tcPr>
          <w:p w14:paraId="64058F41">
            <w:pPr>
              <w:snapToGrid w:val="0"/>
              <w:spacing w:before="50" w:after="120" w:afterLines="50" w:line="400" w:lineRule="exact"/>
              <w:jc w:val="left"/>
              <w:rPr>
                <w:rFonts w:hint="eastAsia"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noWrap w:val="0"/>
            <w:vAlign w:val="top"/>
          </w:tcPr>
          <w:p w14:paraId="505F637A">
            <w:pPr>
              <w:snapToGrid w:val="0"/>
              <w:spacing w:before="50" w:after="120" w:afterLines="50" w:line="400" w:lineRule="exact"/>
              <w:jc w:val="left"/>
              <w:rPr>
                <w:rFonts w:hint="eastAsia" w:ascii="宋体" w:hAnsi="宋体"/>
                <w:color w:val="auto"/>
                <w:sz w:val="24"/>
                <w:highlight w:val="none"/>
              </w:rPr>
            </w:pPr>
          </w:p>
        </w:tc>
        <w:tc>
          <w:tcPr>
            <w:tcW w:w="882" w:type="pct"/>
            <w:tcBorders>
              <w:top w:val="single" w:color="auto" w:sz="4" w:space="0"/>
              <w:left w:val="single" w:color="auto" w:sz="4" w:space="0"/>
              <w:bottom w:val="single" w:color="auto" w:sz="4" w:space="0"/>
              <w:right w:val="single" w:color="auto" w:sz="4" w:space="0"/>
            </w:tcBorders>
            <w:noWrap w:val="0"/>
            <w:vAlign w:val="top"/>
          </w:tcPr>
          <w:p w14:paraId="5ECA2A9D">
            <w:pPr>
              <w:snapToGrid w:val="0"/>
              <w:spacing w:before="50" w:after="120" w:afterLines="50" w:line="400" w:lineRule="exact"/>
              <w:jc w:val="left"/>
              <w:rPr>
                <w:rFonts w:hint="eastAsia" w:ascii="宋体" w:hAnsi="宋体"/>
                <w:color w:val="auto"/>
                <w:sz w:val="24"/>
                <w:highlight w:val="none"/>
              </w:rPr>
            </w:pPr>
          </w:p>
        </w:tc>
      </w:tr>
    </w:tbl>
    <w:p w14:paraId="118302C1">
      <w:pPr>
        <w:pStyle w:val="14"/>
        <w:spacing w:before="0" w:after="0" w:line="360" w:lineRule="auto"/>
        <w:contextualSpacing/>
        <w:rPr>
          <w:rFonts w:hint="eastAsia" w:ascii="宋体" w:hAnsi="宋体" w:eastAsia="宋体"/>
          <w:color w:val="auto"/>
          <w:sz w:val="24"/>
          <w:szCs w:val="24"/>
          <w:highlight w:val="none"/>
        </w:rPr>
      </w:pPr>
    </w:p>
    <w:p w14:paraId="5E63B4B6">
      <w:pPr>
        <w:pStyle w:val="14"/>
        <w:spacing w:before="0" w:after="0" w:line="360" w:lineRule="auto"/>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w:t>
      </w:r>
      <w:r>
        <w:rPr>
          <w:rFonts w:hint="eastAsia" w:ascii="宋体" w:hAnsi="宋体"/>
          <w:color w:val="auto"/>
          <w:sz w:val="24"/>
          <w:highlight w:val="none"/>
          <w:lang w:val="en-US" w:eastAsia="zh-CN"/>
        </w:rPr>
        <w:t>等</w:t>
      </w:r>
      <w:r>
        <w:rPr>
          <w:rFonts w:hint="eastAsia" w:ascii="宋体" w:hAnsi="宋体"/>
          <w:color w:val="auto"/>
          <w:sz w:val="24"/>
          <w:highlight w:val="none"/>
        </w:rPr>
        <w:t>证明材料。</w:t>
      </w:r>
    </w:p>
    <w:p w14:paraId="4C120307">
      <w:pPr>
        <w:spacing w:line="360" w:lineRule="auto"/>
        <w:ind w:right="480"/>
        <w:contextualSpacing/>
        <w:jc w:val="left"/>
        <w:rPr>
          <w:rFonts w:hint="eastAsia" w:ascii="宋体" w:hAnsi="宋体" w:cs="Arial"/>
          <w:color w:val="auto"/>
          <w:sz w:val="24"/>
          <w:highlight w:val="none"/>
        </w:rPr>
      </w:pPr>
    </w:p>
    <w:p w14:paraId="3BF9D5BA">
      <w:pPr>
        <w:spacing w:line="360" w:lineRule="auto"/>
        <w:ind w:right="480"/>
        <w:contextualSpacing/>
        <w:jc w:val="left"/>
        <w:rPr>
          <w:rFonts w:hint="eastAsia" w:ascii="宋体" w:hAnsi="宋体" w:cs="Arial"/>
          <w:color w:val="auto"/>
          <w:sz w:val="24"/>
          <w:highlight w:val="none"/>
        </w:rPr>
      </w:pPr>
    </w:p>
    <w:p w14:paraId="395EFAD9">
      <w:pPr>
        <w:spacing w:line="360" w:lineRule="auto"/>
        <w:ind w:right="480"/>
        <w:contextualSpacing/>
        <w:jc w:val="left"/>
        <w:rPr>
          <w:rFonts w:hint="eastAsia" w:ascii="宋体" w:hAnsi="宋体"/>
          <w:color w:val="auto"/>
          <w:sz w:val="24"/>
          <w:highlight w:val="none"/>
        </w:rPr>
      </w:pPr>
      <w:r>
        <w:rPr>
          <w:rFonts w:hint="eastAsia" w:ascii="宋体" w:hAnsi="宋体" w:cs="Arial"/>
          <w:color w:val="auto"/>
          <w:sz w:val="24"/>
          <w:highlight w:val="none"/>
        </w:rPr>
        <w:t xml:space="preserve">投标人名称（电子签章）：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5E173F79">
      <w:pPr>
        <w:snapToGrid w:val="0"/>
        <w:spacing w:before="50"/>
        <w:jc w:val="left"/>
        <w:rPr>
          <w:rFonts w:ascii="宋体" w:hAnsi="宋体"/>
          <w:color w:val="auto"/>
          <w:sz w:val="24"/>
          <w:szCs w:val="20"/>
          <w:highlight w:val="none"/>
        </w:rPr>
        <w:sectPr>
          <w:footerReference r:id="rId13" w:type="first"/>
          <w:headerReference r:id="rId10" w:type="default"/>
          <w:footerReference r:id="rId11" w:type="default"/>
          <w:footerReference r:id="rId12" w:type="even"/>
          <w:pgSz w:w="11906" w:h="16838"/>
          <w:pgMar w:top="1213" w:right="1457" w:bottom="1213" w:left="1457" w:header="851" w:footer="992" w:gutter="0"/>
          <w:cols w:space="720" w:num="1"/>
          <w:docGrid w:linePitch="312" w:charSpace="0"/>
        </w:sectPr>
      </w:pPr>
    </w:p>
    <w:p w14:paraId="28FBC68A">
      <w:pPr>
        <w:keepNext w:val="0"/>
        <w:keepLines w:val="0"/>
        <w:pageBreakBefore w:val="0"/>
        <w:widowControl w:val="0"/>
        <w:kinsoku/>
        <w:wordWrap/>
        <w:overflowPunct/>
        <w:topLinePunct w:val="0"/>
        <w:autoSpaceDE/>
        <w:autoSpaceDN/>
        <w:bidi w:val="0"/>
        <w:adjustRightInd/>
        <w:snapToGrid w:val="0"/>
        <w:spacing w:line="360" w:lineRule="auto"/>
        <w:ind w:right="482"/>
        <w:jc w:val="left"/>
        <w:textAlignment w:val="auto"/>
        <w:outlineLvl w:val="2"/>
        <w:rPr>
          <w:rFonts w:hint="default" w:ascii="宋体" w:hAnsi="宋体" w:eastAsia="宋体"/>
          <w:b/>
          <w:bCs/>
          <w:color w:val="auto"/>
          <w:sz w:val="24"/>
          <w:highlight w:val="none"/>
          <w:lang w:val="en-US" w:eastAsia="zh-CN"/>
        </w:rPr>
      </w:pPr>
      <w:bookmarkStart w:id="254" w:name="_Toc19937"/>
      <w:r>
        <w:rPr>
          <w:rFonts w:hint="eastAsia" w:ascii="宋体" w:hAnsi="宋体"/>
          <w:b/>
          <w:bCs/>
          <w:color w:val="auto"/>
          <w:sz w:val="24"/>
          <w:highlight w:val="none"/>
          <w:lang w:val="en-US" w:eastAsia="zh-CN"/>
        </w:rPr>
        <w:t>（二）技术部分（格式）</w:t>
      </w:r>
      <w:bookmarkEnd w:id="254"/>
    </w:p>
    <w:p w14:paraId="6B8B3DBD">
      <w:pPr>
        <w:snapToGrid w:val="0"/>
        <w:spacing w:line="360" w:lineRule="auto"/>
        <w:ind w:right="480"/>
        <w:jc w:val="left"/>
        <w:rPr>
          <w:rFonts w:hint="eastAsia" w:ascii="宋体" w:hAnsi="宋体"/>
          <w:b/>
          <w:bCs/>
          <w:color w:val="auto"/>
          <w:sz w:val="24"/>
          <w:highlight w:val="none"/>
          <w:lang w:val="en-US" w:eastAsia="zh-CN"/>
        </w:rPr>
      </w:pPr>
    </w:p>
    <w:p w14:paraId="1935471B">
      <w:pPr>
        <w:keepNext w:val="0"/>
        <w:keepLines w:val="0"/>
        <w:pageBreakBefore w:val="0"/>
        <w:widowControl w:val="0"/>
        <w:kinsoku/>
        <w:wordWrap/>
        <w:overflowPunct/>
        <w:topLinePunct w:val="0"/>
        <w:autoSpaceDE/>
        <w:autoSpaceDN/>
        <w:bidi w:val="0"/>
        <w:adjustRightInd/>
        <w:snapToGrid w:val="0"/>
        <w:spacing w:line="360" w:lineRule="auto"/>
        <w:ind w:right="482"/>
        <w:jc w:val="left"/>
        <w:textAlignment w:val="auto"/>
        <w:outlineLvl w:val="2"/>
        <w:rPr>
          <w:rFonts w:hint="default" w:ascii="宋体" w:hAnsi="宋体" w:eastAsia="宋体"/>
          <w:b/>
          <w:bCs/>
          <w:color w:val="auto"/>
          <w:sz w:val="24"/>
          <w:highlight w:val="none"/>
          <w:lang w:val="en-US" w:eastAsia="zh-CN"/>
        </w:rPr>
      </w:pPr>
      <w:bookmarkStart w:id="255" w:name="_Toc18130"/>
      <w:r>
        <w:rPr>
          <w:rFonts w:hint="eastAsia" w:ascii="宋体" w:hAnsi="宋体"/>
          <w:b/>
          <w:bCs/>
          <w:color w:val="auto"/>
          <w:sz w:val="24"/>
          <w:highlight w:val="none"/>
          <w:lang w:val="en-US" w:eastAsia="zh-CN"/>
        </w:rPr>
        <w:t>1.投标人情况介绍（格式自拟）</w:t>
      </w:r>
      <w:bookmarkEnd w:id="255"/>
    </w:p>
    <w:p w14:paraId="2A5D13E2">
      <w:pPr>
        <w:snapToGrid w:val="0"/>
        <w:spacing w:line="360" w:lineRule="auto"/>
        <w:ind w:right="480"/>
        <w:jc w:val="left"/>
        <w:rPr>
          <w:rFonts w:hint="eastAsia" w:ascii="宋体" w:hAnsi="宋体"/>
          <w:b/>
          <w:bCs/>
          <w:color w:val="auto"/>
          <w:sz w:val="24"/>
          <w:highlight w:val="none"/>
        </w:rPr>
      </w:pPr>
    </w:p>
    <w:p w14:paraId="1A268C0A">
      <w:pPr>
        <w:snapToGrid w:val="0"/>
        <w:spacing w:line="360" w:lineRule="auto"/>
        <w:ind w:right="480"/>
        <w:jc w:val="left"/>
        <w:rPr>
          <w:rFonts w:hint="eastAsia" w:ascii="宋体" w:hAnsi="宋体"/>
          <w:b/>
          <w:bCs/>
          <w:color w:val="auto"/>
          <w:sz w:val="24"/>
          <w:highlight w:val="none"/>
        </w:rPr>
      </w:pPr>
    </w:p>
    <w:p w14:paraId="62358BCF">
      <w:pPr>
        <w:snapToGrid w:val="0"/>
        <w:spacing w:line="360" w:lineRule="auto"/>
        <w:ind w:right="480"/>
        <w:jc w:val="left"/>
        <w:rPr>
          <w:rFonts w:hint="eastAsia" w:ascii="宋体" w:hAnsi="宋体"/>
          <w:b/>
          <w:bCs/>
          <w:color w:val="auto"/>
          <w:sz w:val="24"/>
          <w:highlight w:val="none"/>
        </w:rPr>
      </w:pPr>
    </w:p>
    <w:p w14:paraId="6B7CFF68">
      <w:pPr>
        <w:keepNext w:val="0"/>
        <w:keepLines w:val="0"/>
        <w:pageBreakBefore w:val="0"/>
        <w:widowControl w:val="0"/>
        <w:kinsoku/>
        <w:wordWrap/>
        <w:overflowPunct/>
        <w:topLinePunct w:val="0"/>
        <w:autoSpaceDE/>
        <w:autoSpaceDN/>
        <w:bidi w:val="0"/>
        <w:adjustRightInd/>
        <w:snapToGrid w:val="0"/>
        <w:spacing w:line="360" w:lineRule="auto"/>
        <w:ind w:right="482"/>
        <w:jc w:val="left"/>
        <w:textAlignment w:val="auto"/>
        <w:outlineLvl w:val="2"/>
        <w:rPr>
          <w:rFonts w:hint="eastAsia" w:ascii="宋体" w:hAnsi="宋体"/>
          <w:b/>
          <w:color w:val="auto"/>
          <w:sz w:val="24"/>
          <w:highlight w:val="none"/>
        </w:rPr>
      </w:pPr>
      <w:bookmarkStart w:id="256" w:name="_Toc260"/>
      <w:r>
        <w:rPr>
          <w:rFonts w:hint="eastAsia" w:ascii="宋体" w:hAnsi="宋体"/>
          <w:b/>
          <w:bCs/>
          <w:color w:val="auto"/>
          <w:sz w:val="24"/>
          <w:highlight w:val="none"/>
          <w:lang w:val="en-US" w:eastAsia="zh-CN"/>
        </w:rPr>
        <w:t>2</w:t>
      </w:r>
      <w:r>
        <w:rPr>
          <w:rFonts w:hint="eastAsia" w:ascii="宋体" w:hAnsi="宋体"/>
          <w:b/>
          <w:color w:val="auto"/>
          <w:sz w:val="24"/>
          <w:highlight w:val="none"/>
        </w:rPr>
        <w:t>.货物配置清单（格式）</w:t>
      </w:r>
      <w:bookmarkEnd w:id="256"/>
    </w:p>
    <w:p w14:paraId="0793996C">
      <w:pPr>
        <w:snapToGrid w:val="0"/>
        <w:spacing w:before="120" w:beforeLines="50" w:after="50"/>
        <w:ind w:left="142"/>
        <w:jc w:val="left"/>
        <w:rPr>
          <w:rFonts w:hint="eastAsia" w:ascii="宋体" w:hAnsi="宋体"/>
          <w:b/>
          <w:color w:val="auto"/>
          <w:sz w:val="24"/>
          <w:highlight w:val="none"/>
        </w:rPr>
      </w:pPr>
    </w:p>
    <w:p w14:paraId="763AFCF6">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货物配置清单</w:t>
      </w:r>
    </w:p>
    <w:p w14:paraId="4FF38BB8">
      <w:pPr>
        <w:pStyle w:val="24"/>
        <w:rPr>
          <w:color w:val="auto"/>
          <w:sz w:val="24"/>
          <w:szCs w:val="24"/>
          <w:highlight w:val="none"/>
        </w:rPr>
      </w:pPr>
    </w:p>
    <w:p w14:paraId="2A476BB3">
      <w:pPr>
        <w:pStyle w:val="24"/>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4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48"/>
        <w:gridCol w:w="1600"/>
        <w:gridCol w:w="873"/>
        <w:gridCol w:w="1018"/>
        <w:gridCol w:w="1430"/>
        <w:gridCol w:w="1246"/>
        <w:gridCol w:w="737"/>
        <w:gridCol w:w="1496"/>
      </w:tblGrid>
      <w:tr w14:paraId="5C6625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306" w:type="pct"/>
            <w:tcBorders>
              <w:top w:val="single" w:color="auto" w:sz="4" w:space="0"/>
              <w:left w:val="single" w:color="auto" w:sz="4" w:space="0"/>
              <w:bottom w:val="single" w:color="auto" w:sz="4" w:space="0"/>
              <w:right w:val="single" w:color="auto" w:sz="4" w:space="0"/>
            </w:tcBorders>
            <w:noWrap w:val="0"/>
            <w:vAlign w:val="center"/>
          </w:tcPr>
          <w:p w14:paraId="50058219">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894" w:type="pct"/>
            <w:tcBorders>
              <w:top w:val="single" w:color="auto" w:sz="4" w:space="0"/>
              <w:left w:val="single" w:color="auto" w:sz="4" w:space="0"/>
              <w:bottom w:val="single" w:color="auto" w:sz="4" w:space="0"/>
              <w:right w:val="single" w:color="auto" w:sz="4" w:space="0"/>
            </w:tcBorders>
            <w:noWrap w:val="0"/>
            <w:vAlign w:val="center"/>
          </w:tcPr>
          <w:p w14:paraId="1C73C70D">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标的名称</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2ADFAAF2">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69" w:type="pct"/>
            <w:tcBorders>
              <w:top w:val="single" w:color="auto" w:sz="4" w:space="0"/>
              <w:left w:val="single" w:color="auto" w:sz="4" w:space="0"/>
              <w:bottom w:val="single" w:color="auto" w:sz="4" w:space="0"/>
              <w:right w:val="single" w:color="auto" w:sz="4" w:space="0"/>
            </w:tcBorders>
            <w:noWrap w:val="0"/>
            <w:vAlign w:val="center"/>
          </w:tcPr>
          <w:p w14:paraId="5DB4C9E6">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799" w:type="pct"/>
            <w:tcBorders>
              <w:top w:val="single" w:color="auto" w:sz="4" w:space="0"/>
              <w:left w:val="single" w:color="auto" w:sz="4" w:space="0"/>
              <w:bottom w:val="single" w:color="auto" w:sz="4" w:space="0"/>
              <w:right w:val="single" w:color="auto" w:sz="4" w:space="0"/>
            </w:tcBorders>
            <w:noWrap w:val="0"/>
            <w:vAlign w:val="top"/>
          </w:tcPr>
          <w:p w14:paraId="52D63BE6">
            <w:pPr>
              <w:snapToGrid w:val="0"/>
              <w:spacing w:before="50" w:after="50"/>
              <w:jc w:val="center"/>
              <w:rPr>
                <w:rFonts w:ascii="宋体" w:hAnsi="宋体"/>
                <w:color w:val="auto"/>
                <w:sz w:val="24"/>
                <w:highlight w:val="none"/>
              </w:rPr>
            </w:pPr>
          </w:p>
          <w:p w14:paraId="44B85733">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56FB94B3">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619548CE">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12855229">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314389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306" w:type="pct"/>
            <w:tcBorders>
              <w:top w:val="single" w:color="auto" w:sz="4" w:space="0"/>
              <w:left w:val="single" w:color="auto" w:sz="4" w:space="0"/>
              <w:bottom w:val="single" w:color="auto" w:sz="4" w:space="0"/>
              <w:right w:val="single" w:color="auto" w:sz="4" w:space="0"/>
            </w:tcBorders>
            <w:noWrap w:val="0"/>
            <w:vAlign w:val="center"/>
          </w:tcPr>
          <w:p w14:paraId="25893FB4">
            <w:pPr>
              <w:snapToGrid w:val="0"/>
              <w:spacing w:before="50" w:after="50"/>
              <w:jc w:val="center"/>
              <w:rPr>
                <w:rFonts w:hint="eastAsia" w:ascii="宋体" w:hAnsi="宋体"/>
                <w:color w:val="auto"/>
                <w:sz w:val="24"/>
                <w:highlight w:val="none"/>
              </w:rPr>
            </w:pPr>
          </w:p>
        </w:tc>
        <w:tc>
          <w:tcPr>
            <w:tcW w:w="894" w:type="pct"/>
            <w:tcBorders>
              <w:top w:val="single" w:color="auto" w:sz="4" w:space="0"/>
              <w:left w:val="single" w:color="auto" w:sz="4" w:space="0"/>
              <w:bottom w:val="single" w:color="auto" w:sz="4" w:space="0"/>
              <w:right w:val="single" w:color="auto" w:sz="4" w:space="0"/>
            </w:tcBorders>
            <w:noWrap w:val="0"/>
            <w:vAlign w:val="center"/>
          </w:tcPr>
          <w:p w14:paraId="548D6F30">
            <w:pPr>
              <w:snapToGrid w:val="0"/>
              <w:spacing w:before="50" w:after="50"/>
              <w:jc w:val="center"/>
              <w:rPr>
                <w:rFonts w:hint="eastAsia" w:ascii="宋体" w:hAnsi="宋体"/>
                <w:color w:val="auto"/>
                <w:sz w:val="24"/>
                <w:highlight w:val="none"/>
              </w:rPr>
            </w:pPr>
          </w:p>
        </w:tc>
        <w:tc>
          <w:tcPr>
            <w:tcW w:w="488" w:type="pct"/>
            <w:tcBorders>
              <w:top w:val="single" w:color="auto" w:sz="4" w:space="0"/>
              <w:left w:val="single" w:color="auto" w:sz="4" w:space="0"/>
              <w:bottom w:val="single" w:color="auto" w:sz="4" w:space="0"/>
              <w:right w:val="single" w:color="auto" w:sz="4" w:space="0"/>
            </w:tcBorders>
            <w:noWrap w:val="0"/>
            <w:vAlign w:val="center"/>
          </w:tcPr>
          <w:p w14:paraId="5ED4CFA9">
            <w:pPr>
              <w:snapToGrid w:val="0"/>
              <w:spacing w:before="50" w:after="50"/>
              <w:jc w:val="center"/>
              <w:rPr>
                <w:rFonts w:hint="eastAsia" w:ascii="宋体" w:hAnsi="宋体"/>
                <w:color w:val="auto"/>
                <w:sz w:val="24"/>
                <w:highlight w:val="none"/>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5417191A">
            <w:pPr>
              <w:snapToGrid w:val="0"/>
              <w:spacing w:before="50" w:after="50"/>
              <w:jc w:val="center"/>
              <w:rPr>
                <w:rFonts w:hint="eastAsia" w:ascii="宋体" w:hAnsi="宋体"/>
                <w:color w:val="auto"/>
                <w:sz w:val="24"/>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top"/>
          </w:tcPr>
          <w:p w14:paraId="6E1728B6">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B15AB5E">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0BD49A53">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D701033">
            <w:pPr>
              <w:snapToGrid w:val="0"/>
              <w:spacing w:before="50" w:after="50"/>
              <w:jc w:val="center"/>
              <w:rPr>
                <w:rFonts w:hint="eastAsia" w:ascii="宋体" w:hAnsi="宋体"/>
                <w:color w:val="auto"/>
                <w:sz w:val="24"/>
                <w:highlight w:val="none"/>
              </w:rPr>
            </w:pPr>
          </w:p>
        </w:tc>
      </w:tr>
      <w:tr w14:paraId="52EEF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306" w:type="pct"/>
            <w:tcBorders>
              <w:top w:val="single" w:color="auto" w:sz="4" w:space="0"/>
              <w:left w:val="single" w:color="auto" w:sz="4" w:space="0"/>
              <w:bottom w:val="single" w:color="auto" w:sz="4" w:space="0"/>
              <w:right w:val="single" w:color="auto" w:sz="4" w:space="0"/>
            </w:tcBorders>
            <w:noWrap w:val="0"/>
            <w:vAlign w:val="center"/>
          </w:tcPr>
          <w:p w14:paraId="0521ABE4">
            <w:pPr>
              <w:snapToGrid w:val="0"/>
              <w:spacing w:before="50" w:after="50"/>
              <w:jc w:val="center"/>
              <w:rPr>
                <w:rFonts w:hint="eastAsia" w:ascii="宋体" w:hAnsi="宋体"/>
                <w:color w:val="auto"/>
                <w:sz w:val="24"/>
                <w:highlight w:val="none"/>
              </w:rPr>
            </w:pPr>
          </w:p>
        </w:tc>
        <w:tc>
          <w:tcPr>
            <w:tcW w:w="894" w:type="pct"/>
            <w:tcBorders>
              <w:top w:val="single" w:color="auto" w:sz="4" w:space="0"/>
              <w:left w:val="single" w:color="auto" w:sz="4" w:space="0"/>
              <w:bottom w:val="single" w:color="auto" w:sz="4" w:space="0"/>
              <w:right w:val="single" w:color="auto" w:sz="4" w:space="0"/>
            </w:tcBorders>
            <w:noWrap w:val="0"/>
            <w:vAlign w:val="center"/>
          </w:tcPr>
          <w:p w14:paraId="636694D2">
            <w:pPr>
              <w:snapToGrid w:val="0"/>
              <w:spacing w:before="50" w:after="50"/>
              <w:jc w:val="center"/>
              <w:rPr>
                <w:rFonts w:hint="eastAsia" w:ascii="宋体" w:hAnsi="宋体"/>
                <w:color w:val="auto"/>
                <w:sz w:val="24"/>
                <w:highlight w:val="none"/>
              </w:rPr>
            </w:pPr>
          </w:p>
        </w:tc>
        <w:tc>
          <w:tcPr>
            <w:tcW w:w="488" w:type="pct"/>
            <w:tcBorders>
              <w:top w:val="single" w:color="auto" w:sz="4" w:space="0"/>
              <w:left w:val="single" w:color="auto" w:sz="4" w:space="0"/>
              <w:bottom w:val="single" w:color="auto" w:sz="4" w:space="0"/>
              <w:right w:val="single" w:color="auto" w:sz="4" w:space="0"/>
            </w:tcBorders>
            <w:noWrap w:val="0"/>
            <w:vAlign w:val="center"/>
          </w:tcPr>
          <w:p w14:paraId="67C4AD14">
            <w:pPr>
              <w:snapToGrid w:val="0"/>
              <w:spacing w:before="50" w:after="50"/>
              <w:jc w:val="center"/>
              <w:rPr>
                <w:rFonts w:hint="eastAsia" w:ascii="宋体" w:hAnsi="宋体"/>
                <w:color w:val="auto"/>
                <w:sz w:val="24"/>
                <w:highlight w:val="none"/>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4D34C15C">
            <w:pPr>
              <w:snapToGrid w:val="0"/>
              <w:spacing w:before="50" w:after="50"/>
              <w:jc w:val="center"/>
              <w:rPr>
                <w:rFonts w:hint="eastAsia" w:ascii="宋体" w:hAnsi="宋体"/>
                <w:color w:val="auto"/>
                <w:sz w:val="24"/>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top"/>
          </w:tcPr>
          <w:p w14:paraId="6E563C5C">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60515BD">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50802930">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4FEC9210">
            <w:pPr>
              <w:snapToGrid w:val="0"/>
              <w:spacing w:before="50" w:after="50"/>
              <w:jc w:val="center"/>
              <w:rPr>
                <w:rFonts w:hint="eastAsia" w:ascii="宋体" w:hAnsi="宋体"/>
                <w:color w:val="auto"/>
                <w:sz w:val="24"/>
                <w:highlight w:val="none"/>
              </w:rPr>
            </w:pPr>
          </w:p>
        </w:tc>
      </w:tr>
      <w:tr w14:paraId="48900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306" w:type="pct"/>
            <w:tcBorders>
              <w:top w:val="single" w:color="auto" w:sz="4" w:space="0"/>
              <w:left w:val="single" w:color="auto" w:sz="4" w:space="0"/>
              <w:bottom w:val="single" w:color="auto" w:sz="4" w:space="0"/>
              <w:right w:val="single" w:color="auto" w:sz="4" w:space="0"/>
            </w:tcBorders>
            <w:noWrap w:val="0"/>
            <w:vAlign w:val="center"/>
          </w:tcPr>
          <w:p w14:paraId="77B54C3B">
            <w:pPr>
              <w:snapToGrid w:val="0"/>
              <w:spacing w:before="50" w:after="50"/>
              <w:jc w:val="center"/>
              <w:rPr>
                <w:rFonts w:hint="eastAsia" w:ascii="宋体" w:hAnsi="宋体"/>
                <w:color w:val="auto"/>
                <w:sz w:val="24"/>
                <w:highlight w:val="none"/>
              </w:rPr>
            </w:pPr>
          </w:p>
        </w:tc>
        <w:tc>
          <w:tcPr>
            <w:tcW w:w="894" w:type="pct"/>
            <w:tcBorders>
              <w:top w:val="single" w:color="auto" w:sz="4" w:space="0"/>
              <w:left w:val="single" w:color="auto" w:sz="4" w:space="0"/>
              <w:bottom w:val="single" w:color="auto" w:sz="4" w:space="0"/>
              <w:right w:val="single" w:color="auto" w:sz="4" w:space="0"/>
            </w:tcBorders>
            <w:noWrap w:val="0"/>
            <w:vAlign w:val="center"/>
          </w:tcPr>
          <w:p w14:paraId="326F0241">
            <w:pPr>
              <w:snapToGrid w:val="0"/>
              <w:spacing w:before="50" w:after="50"/>
              <w:jc w:val="center"/>
              <w:rPr>
                <w:rFonts w:hint="eastAsia" w:ascii="宋体" w:hAnsi="宋体"/>
                <w:color w:val="auto"/>
                <w:sz w:val="24"/>
                <w:highlight w:val="none"/>
              </w:rPr>
            </w:pPr>
          </w:p>
        </w:tc>
        <w:tc>
          <w:tcPr>
            <w:tcW w:w="488" w:type="pct"/>
            <w:tcBorders>
              <w:top w:val="single" w:color="auto" w:sz="4" w:space="0"/>
              <w:left w:val="single" w:color="auto" w:sz="4" w:space="0"/>
              <w:bottom w:val="single" w:color="auto" w:sz="4" w:space="0"/>
              <w:right w:val="single" w:color="auto" w:sz="4" w:space="0"/>
            </w:tcBorders>
            <w:noWrap w:val="0"/>
            <w:vAlign w:val="center"/>
          </w:tcPr>
          <w:p w14:paraId="625502D0">
            <w:pPr>
              <w:snapToGrid w:val="0"/>
              <w:spacing w:before="50" w:after="50"/>
              <w:jc w:val="center"/>
              <w:rPr>
                <w:rFonts w:hint="eastAsia" w:ascii="宋体" w:hAnsi="宋体"/>
                <w:color w:val="auto"/>
                <w:sz w:val="24"/>
                <w:highlight w:val="none"/>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62E692B3">
            <w:pPr>
              <w:snapToGrid w:val="0"/>
              <w:spacing w:before="50" w:after="50"/>
              <w:jc w:val="center"/>
              <w:rPr>
                <w:rFonts w:hint="eastAsia" w:ascii="宋体" w:hAnsi="宋体"/>
                <w:color w:val="auto"/>
                <w:sz w:val="24"/>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top"/>
          </w:tcPr>
          <w:p w14:paraId="5862CD89">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13C5FCD4">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65F3A0A1">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4A9562D2">
            <w:pPr>
              <w:snapToGrid w:val="0"/>
              <w:spacing w:before="50" w:after="50"/>
              <w:jc w:val="center"/>
              <w:rPr>
                <w:rFonts w:hint="eastAsia" w:ascii="宋体" w:hAnsi="宋体"/>
                <w:color w:val="auto"/>
                <w:sz w:val="24"/>
                <w:highlight w:val="none"/>
              </w:rPr>
            </w:pPr>
          </w:p>
        </w:tc>
      </w:tr>
    </w:tbl>
    <w:p w14:paraId="3B205683">
      <w:pPr>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14:paraId="6FE90B26">
      <w:pPr>
        <w:spacing w:line="360" w:lineRule="auto"/>
        <w:ind w:firstLine="480" w:firstLineChars="200"/>
        <w:contextualSpacing/>
        <w:rPr>
          <w:rFonts w:hint="eastAsia" w:ascii="宋体" w:hAnsi="宋体"/>
          <w:b/>
          <w:color w:val="auto"/>
          <w:sz w:val="24"/>
          <w:highlight w:val="none"/>
        </w:rPr>
      </w:pPr>
      <w:r>
        <w:rPr>
          <w:rFonts w:hint="eastAsia" w:ascii="宋体" w:hAnsi="宋体"/>
          <w:color w:val="auto"/>
          <w:sz w:val="24"/>
          <w:highlight w:val="none"/>
        </w:rPr>
        <w:t>以上货物性能配置清单中“货物名称、数量及单位、品牌、规格型号、制造商、原产地、参数性能、指标及配置”必须如实填写完整，品牌、规格型号没有则填无，填写有缺漏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b/>
          <w:color w:val="auto"/>
          <w:sz w:val="24"/>
          <w:highlight w:val="none"/>
        </w:rPr>
        <w:t>作无效投标处理。</w:t>
      </w:r>
      <w:r>
        <w:rPr>
          <w:rFonts w:hint="eastAsia" w:ascii="宋体" w:hAnsi="宋体"/>
          <w:color w:val="auto"/>
          <w:sz w:val="24"/>
          <w:highlight w:val="none"/>
        </w:rPr>
        <w:t>标的名称、数量及单位、品牌必须与“开标一览表”一致，</w:t>
      </w:r>
      <w:r>
        <w:rPr>
          <w:rFonts w:hint="eastAsia" w:ascii="宋体" w:hAnsi="宋体"/>
          <w:b/>
          <w:color w:val="auto"/>
          <w:sz w:val="24"/>
          <w:highlight w:val="none"/>
        </w:rPr>
        <w:t>否则按无效投标处理。</w:t>
      </w:r>
    </w:p>
    <w:p w14:paraId="41100FC8">
      <w:pPr>
        <w:spacing w:line="360" w:lineRule="auto"/>
        <w:ind w:firstLine="480" w:firstLineChars="200"/>
        <w:contextualSpacing/>
        <w:rPr>
          <w:rFonts w:hint="eastAsia" w:ascii="宋体" w:hAnsi="宋体"/>
          <w:color w:val="auto"/>
          <w:sz w:val="24"/>
          <w:highlight w:val="none"/>
        </w:rPr>
      </w:pPr>
    </w:p>
    <w:p w14:paraId="26235495">
      <w:pPr>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6B06FAF9">
      <w:pPr>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1F4E693E">
      <w:pPr>
        <w:snapToGrid w:val="0"/>
        <w:spacing w:before="50" w:after="120" w:afterLines="50"/>
        <w:jc w:val="left"/>
        <w:rPr>
          <w:rFonts w:hint="eastAsia" w:ascii="宋体" w:hAnsi="宋体"/>
          <w:color w:val="auto"/>
          <w:sz w:val="24"/>
          <w:szCs w:val="20"/>
          <w:highlight w:val="none"/>
        </w:rPr>
      </w:pPr>
    </w:p>
    <w:p w14:paraId="2C8963FA">
      <w:pPr>
        <w:snapToGrid w:val="0"/>
        <w:spacing w:before="50" w:after="120" w:afterLines="50"/>
        <w:jc w:val="left"/>
        <w:rPr>
          <w:rFonts w:hint="eastAsia" w:ascii="宋体" w:hAnsi="宋体"/>
          <w:color w:val="auto"/>
          <w:sz w:val="24"/>
          <w:szCs w:val="20"/>
          <w:highlight w:val="none"/>
        </w:rPr>
      </w:pPr>
    </w:p>
    <w:p w14:paraId="09133660">
      <w:pPr>
        <w:snapToGrid w:val="0"/>
        <w:spacing w:before="120" w:beforeLines="50" w:after="50"/>
        <w:ind w:left="142"/>
        <w:jc w:val="left"/>
        <w:outlineLvl w:val="2"/>
        <w:rPr>
          <w:rFonts w:hint="eastAsia" w:ascii="宋体" w:hAnsi="宋体"/>
          <w:b/>
          <w:color w:val="auto"/>
          <w:sz w:val="24"/>
          <w:highlight w:val="none"/>
        </w:rPr>
      </w:pPr>
      <w:r>
        <w:rPr>
          <w:rFonts w:ascii="宋体" w:hAnsi="宋体"/>
          <w:b/>
          <w:color w:val="auto"/>
          <w:sz w:val="24"/>
          <w:highlight w:val="none"/>
        </w:rPr>
        <w:br w:type="page"/>
      </w:r>
      <w:bookmarkStart w:id="257" w:name="_Toc28235"/>
      <w:r>
        <w:rPr>
          <w:rFonts w:hint="eastAsia" w:ascii="宋体" w:hAnsi="宋体"/>
          <w:b/>
          <w:color w:val="auto"/>
          <w:sz w:val="24"/>
          <w:highlight w:val="none"/>
          <w:lang w:val="en-US" w:eastAsia="zh-CN"/>
        </w:rPr>
        <w:t>3</w:t>
      </w:r>
      <w:r>
        <w:rPr>
          <w:rFonts w:hint="eastAsia" w:ascii="宋体" w:hAnsi="宋体"/>
          <w:b/>
          <w:color w:val="auto"/>
          <w:sz w:val="24"/>
          <w:highlight w:val="none"/>
        </w:rPr>
        <w:t>.技术要求偏离表（格式）</w:t>
      </w:r>
      <w:bookmarkEnd w:id="257"/>
    </w:p>
    <w:p w14:paraId="6B17A001">
      <w:pPr>
        <w:snapToGrid w:val="0"/>
        <w:spacing w:before="120" w:beforeLines="50" w:after="50"/>
        <w:ind w:left="142"/>
        <w:jc w:val="left"/>
        <w:rPr>
          <w:rFonts w:hint="eastAsia" w:ascii="宋体" w:hAnsi="宋体"/>
          <w:b/>
          <w:color w:val="auto"/>
          <w:sz w:val="24"/>
          <w:highlight w:val="none"/>
        </w:rPr>
      </w:pPr>
    </w:p>
    <w:p w14:paraId="62EAA52B">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技术要求偏离表</w:t>
      </w:r>
    </w:p>
    <w:p w14:paraId="7C9DF5F3">
      <w:pPr>
        <w:pStyle w:val="24"/>
        <w:rPr>
          <w:rFonts w:hAnsi="宋体"/>
          <w:color w:val="auto"/>
          <w:sz w:val="24"/>
          <w:szCs w:val="24"/>
          <w:highlight w:val="none"/>
        </w:rPr>
      </w:pPr>
    </w:p>
    <w:p w14:paraId="558C0360">
      <w:pPr>
        <w:pStyle w:val="24"/>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49"/>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24"/>
        <w:gridCol w:w="2931"/>
        <w:gridCol w:w="2520"/>
        <w:gridCol w:w="1317"/>
      </w:tblGrid>
      <w:tr w14:paraId="73F6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4BD53B99">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项号</w:t>
            </w:r>
          </w:p>
        </w:tc>
        <w:tc>
          <w:tcPr>
            <w:tcW w:w="1324" w:type="dxa"/>
            <w:noWrap w:val="0"/>
            <w:vAlign w:val="center"/>
          </w:tcPr>
          <w:p w14:paraId="697B5B17">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标的名称</w:t>
            </w:r>
          </w:p>
        </w:tc>
        <w:tc>
          <w:tcPr>
            <w:tcW w:w="2931" w:type="dxa"/>
            <w:noWrap w:val="0"/>
            <w:vAlign w:val="center"/>
          </w:tcPr>
          <w:p w14:paraId="6DAE841B">
            <w:pPr>
              <w:pStyle w:val="24"/>
              <w:spacing w:line="400" w:lineRule="exact"/>
              <w:jc w:val="center"/>
              <w:rPr>
                <w:rFonts w:hint="eastAsia" w:ascii="宋体" w:hAnsi="宋体" w:eastAsia="宋体" w:cs="Courier New"/>
                <w:color w:val="auto"/>
                <w:kern w:val="2"/>
                <w:sz w:val="24"/>
                <w:szCs w:val="24"/>
                <w:highlight w:val="none"/>
              </w:rPr>
            </w:pPr>
            <w:r>
              <w:rPr>
                <w:rFonts w:hint="eastAsia" w:ascii="宋体" w:hAnsi="宋体" w:eastAsia="宋体" w:cs="Courier New"/>
                <w:color w:val="auto"/>
                <w:kern w:val="2"/>
                <w:sz w:val="24"/>
                <w:szCs w:val="24"/>
                <w:highlight w:val="none"/>
              </w:rPr>
              <w:t>招标文件采购需求中主要技术参数</w:t>
            </w:r>
            <w:r>
              <w:rPr>
                <w:rFonts w:hint="eastAsia" w:ascii="宋体" w:hAnsi="宋体" w:eastAsia="宋体" w:cs="Courier New"/>
                <w:color w:val="auto"/>
                <w:kern w:val="2"/>
                <w:sz w:val="24"/>
                <w:szCs w:val="24"/>
                <w:highlight w:val="none"/>
                <w:lang w:eastAsia="zh-CN"/>
              </w:rPr>
              <w:t>（</w:t>
            </w:r>
            <w:r>
              <w:rPr>
                <w:rFonts w:hint="eastAsia" w:ascii="宋体" w:hAnsi="宋体" w:eastAsia="宋体" w:cs="Courier New"/>
                <w:color w:val="auto"/>
                <w:kern w:val="2"/>
                <w:sz w:val="24"/>
                <w:szCs w:val="24"/>
                <w:highlight w:val="none"/>
                <w:lang w:val="en-US" w:eastAsia="zh-CN"/>
              </w:rPr>
              <w:t>或</w:t>
            </w:r>
            <w:r>
              <w:rPr>
                <w:rFonts w:hint="eastAsia" w:ascii="宋体" w:hAnsi="宋体" w:eastAsia="宋体" w:cs="Courier New"/>
                <w:color w:val="auto"/>
                <w:kern w:val="2"/>
                <w:sz w:val="24"/>
                <w:szCs w:val="24"/>
                <w:highlight w:val="none"/>
              </w:rPr>
              <w:t>性能</w:t>
            </w:r>
            <w:r>
              <w:rPr>
                <w:rFonts w:hint="eastAsia" w:ascii="宋体" w:hAnsi="宋体" w:eastAsia="宋体" w:cs="Courier New"/>
                <w:color w:val="auto"/>
                <w:kern w:val="2"/>
                <w:sz w:val="24"/>
                <w:szCs w:val="24"/>
                <w:highlight w:val="none"/>
                <w:lang w:eastAsia="zh-CN"/>
              </w:rPr>
              <w:t>）</w:t>
            </w:r>
            <w:r>
              <w:rPr>
                <w:rFonts w:hint="eastAsia" w:ascii="宋体" w:hAnsi="宋体" w:eastAsia="宋体" w:cs="Courier New"/>
                <w:color w:val="auto"/>
                <w:kern w:val="2"/>
                <w:sz w:val="24"/>
                <w:szCs w:val="24"/>
                <w:highlight w:val="none"/>
              </w:rPr>
              <w:t>要求</w:t>
            </w:r>
          </w:p>
        </w:tc>
        <w:tc>
          <w:tcPr>
            <w:tcW w:w="2520" w:type="dxa"/>
            <w:noWrap w:val="0"/>
            <w:vAlign w:val="center"/>
          </w:tcPr>
          <w:p w14:paraId="049BBF31">
            <w:pPr>
              <w:pStyle w:val="24"/>
              <w:spacing w:line="400" w:lineRule="exact"/>
              <w:jc w:val="center"/>
              <w:rPr>
                <w:rFonts w:hint="eastAsia" w:ascii="宋体" w:hAnsi="宋体" w:eastAsia="宋体" w:cs="Courier New"/>
                <w:color w:val="auto"/>
                <w:kern w:val="2"/>
                <w:sz w:val="24"/>
                <w:szCs w:val="24"/>
                <w:highlight w:val="none"/>
              </w:rPr>
            </w:pPr>
            <w:r>
              <w:rPr>
                <w:rFonts w:hint="eastAsia" w:ascii="宋体" w:hAnsi="宋体" w:eastAsia="宋体" w:cs="Courier New"/>
                <w:color w:val="auto"/>
                <w:kern w:val="2"/>
                <w:sz w:val="24"/>
                <w:szCs w:val="24"/>
                <w:highlight w:val="none"/>
              </w:rPr>
              <w:t>投标文件响应的主要技术参数</w:t>
            </w:r>
            <w:r>
              <w:rPr>
                <w:rFonts w:hint="eastAsia" w:ascii="宋体" w:hAnsi="宋体" w:eastAsia="宋体" w:cs="Courier New"/>
                <w:color w:val="auto"/>
                <w:kern w:val="2"/>
                <w:sz w:val="24"/>
                <w:szCs w:val="24"/>
                <w:highlight w:val="none"/>
                <w:lang w:eastAsia="zh-CN"/>
              </w:rPr>
              <w:t>（</w:t>
            </w:r>
            <w:r>
              <w:rPr>
                <w:rFonts w:hint="eastAsia" w:ascii="宋体" w:hAnsi="宋体" w:eastAsia="宋体" w:cs="Courier New"/>
                <w:color w:val="auto"/>
                <w:kern w:val="2"/>
                <w:sz w:val="24"/>
                <w:szCs w:val="24"/>
                <w:highlight w:val="none"/>
                <w:lang w:val="en-US" w:eastAsia="zh-CN"/>
              </w:rPr>
              <w:t>或</w:t>
            </w:r>
            <w:r>
              <w:rPr>
                <w:rFonts w:hint="eastAsia" w:ascii="宋体" w:hAnsi="宋体" w:eastAsia="宋体" w:cs="Courier New"/>
                <w:color w:val="auto"/>
                <w:kern w:val="2"/>
                <w:sz w:val="24"/>
                <w:szCs w:val="24"/>
                <w:highlight w:val="none"/>
              </w:rPr>
              <w:t>性能</w:t>
            </w:r>
            <w:r>
              <w:rPr>
                <w:rFonts w:hint="eastAsia" w:ascii="宋体" w:hAnsi="宋体" w:eastAsia="宋体" w:cs="Courier New"/>
                <w:color w:val="auto"/>
                <w:kern w:val="2"/>
                <w:sz w:val="24"/>
                <w:szCs w:val="24"/>
                <w:highlight w:val="none"/>
                <w:lang w:eastAsia="zh-CN"/>
              </w:rPr>
              <w:t>）</w:t>
            </w:r>
          </w:p>
        </w:tc>
        <w:tc>
          <w:tcPr>
            <w:tcW w:w="1317" w:type="dxa"/>
            <w:noWrap w:val="0"/>
            <w:vAlign w:val="center"/>
          </w:tcPr>
          <w:p w14:paraId="6E59F49E">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2335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7F15D864">
            <w:pPr>
              <w:pStyle w:val="24"/>
              <w:spacing w:line="600" w:lineRule="exact"/>
              <w:jc w:val="center"/>
              <w:rPr>
                <w:rFonts w:hint="eastAsia" w:hAnsi="宋体" w:cs="Courier New"/>
                <w:color w:val="auto"/>
                <w:kern w:val="2"/>
                <w:sz w:val="24"/>
                <w:szCs w:val="24"/>
                <w:highlight w:val="none"/>
              </w:rPr>
            </w:pPr>
          </w:p>
        </w:tc>
        <w:tc>
          <w:tcPr>
            <w:tcW w:w="1324" w:type="dxa"/>
            <w:noWrap w:val="0"/>
            <w:vAlign w:val="center"/>
          </w:tcPr>
          <w:p w14:paraId="5BF7F38B">
            <w:pPr>
              <w:pStyle w:val="24"/>
              <w:spacing w:line="600" w:lineRule="exact"/>
              <w:jc w:val="center"/>
              <w:rPr>
                <w:rFonts w:hint="eastAsia" w:hAnsi="宋体" w:cs="Courier New"/>
                <w:color w:val="auto"/>
                <w:kern w:val="2"/>
                <w:sz w:val="24"/>
                <w:szCs w:val="24"/>
                <w:highlight w:val="none"/>
              </w:rPr>
            </w:pPr>
          </w:p>
        </w:tc>
        <w:tc>
          <w:tcPr>
            <w:tcW w:w="2931" w:type="dxa"/>
            <w:noWrap w:val="0"/>
            <w:vAlign w:val="center"/>
          </w:tcPr>
          <w:p w14:paraId="74F18656">
            <w:pPr>
              <w:pStyle w:val="24"/>
              <w:spacing w:line="600" w:lineRule="exact"/>
              <w:jc w:val="center"/>
              <w:rPr>
                <w:rFonts w:hint="eastAsia" w:hAnsi="宋体" w:cs="Courier New"/>
                <w:color w:val="auto"/>
                <w:kern w:val="2"/>
                <w:sz w:val="24"/>
                <w:szCs w:val="24"/>
                <w:highlight w:val="none"/>
              </w:rPr>
            </w:pPr>
          </w:p>
        </w:tc>
        <w:tc>
          <w:tcPr>
            <w:tcW w:w="2520" w:type="dxa"/>
            <w:noWrap w:val="0"/>
            <w:vAlign w:val="center"/>
          </w:tcPr>
          <w:p w14:paraId="05CA042E">
            <w:pPr>
              <w:pStyle w:val="24"/>
              <w:spacing w:line="600" w:lineRule="exact"/>
              <w:jc w:val="center"/>
              <w:rPr>
                <w:rFonts w:hint="eastAsia" w:hAnsi="宋体" w:cs="Courier New"/>
                <w:color w:val="auto"/>
                <w:kern w:val="2"/>
                <w:sz w:val="24"/>
                <w:szCs w:val="24"/>
                <w:highlight w:val="none"/>
              </w:rPr>
            </w:pPr>
          </w:p>
        </w:tc>
        <w:tc>
          <w:tcPr>
            <w:tcW w:w="1317" w:type="dxa"/>
            <w:noWrap w:val="0"/>
            <w:vAlign w:val="center"/>
          </w:tcPr>
          <w:p w14:paraId="61D07E81">
            <w:pPr>
              <w:pStyle w:val="24"/>
              <w:spacing w:line="600" w:lineRule="exact"/>
              <w:jc w:val="center"/>
              <w:rPr>
                <w:rFonts w:hint="eastAsia" w:hAnsi="宋体" w:cs="Courier New"/>
                <w:color w:val="auto"/>
                <w:kern w:val="2"/>
                <w:sz w:val="24"/>
                <w:szCs w:val="24"/>
                <w:highlight w:val="none"/>
              </w:rPr>
            </w:pPr>
          </w:p>
        </w:tc>
      </w:tr>
      <w:tr w14:paraId="791B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CEF602F">
            <w:pPr>
              <w:pStyle w:val="24"/>
              <w:spacing w:line="600" w:lineRule="exact"/>
              <w:rPr>
                <w:rFonts w:hint="eastAsia" w:hAnsi="宋体" w:cs="Courier New"/>
                <w:color w:val="auto"/>
                <w:kern w:val="2"/>
                <w:sz w:val="24"/>
                <w:szCs w:val="24"/>
                <w:highlight w:val="none"/>
              </w:rPr>
            </w:pPr>
          </w:p>
        </w:tc>
        <w:tc>
          <w:tcPr>
            <w:tcW w:w="1324" w:type="dxa"/>
            <w:noWrap w:val="0"/>
            <w:vAlign w:val="top"/>
          </w:tcPr>
          <w:p w14:paraId="625421D5">
            <w:pPr>
              <w:pStyle w:val="24"/>
              <w:spacing w:line="600" w:lineRule="exact"/>
              <w:rPr>
                <w:rFonts w:hint="eastAsia" w:hAnsi="宋体" w:cs="Courier New"/>
                <w:color w:val="auto"/>
                <w:kern w:val="2"/>
                <w:sz w:val="24"/>
                <w:szCs w:val="24"/>
                <w:highlight w:val="none"/>
              </w:rPr>
            </w:pPr>
          </w:p>
        </w:tc>
        <w:tc>
          <w:tcPr>
            <w:tcW w:w="2931" w:type="dxa"/>
            <w:noWrap w:val="0"/>
            <w:vAlign w:val="top"/>
          </w:tcPr>
          <w:p w14:paraId="5093235A">
            <w:pPr>
              <w:pStyle w:val="24"/>
              <w:spacing w:line="600" w:lineRule="exact"/>
              <w:rPr>
                <w:rFonts w:hint="eastAsia" w:hAnsi="宋体" w:cs="Courier New"/>
                <w:color w:val="auto"/>
                <w:kern w:val="2"/>
                <w:sz w:val="24"/>
                <w:szCs w:val="24"/>
                <w:highlight w:val="none"/>
              </w:rPr>
            </w:pPr>
          </w:p>
        </w:tc>
        <w:tc>
          <w:tcPr>
            <w:tcW w:w="2520" w:type="dxa"/>
            <w:noWrap w:val="0"/>
            <w:vAlign w:val="top"/>
          </w:tcPr>
          <w:p w14:paraId="28E7369B">
            <w:pPr>
              <w:pStyle w:val="24"/>
              <w:spacing w:line="600" w:lineRule="exact"/>
              <w:rPr>
                <w:rFonts w:hint="eastAsia" w:hAnsi="宋体" w:cs="Courier New"/>
                <w:color w:val="auto"/>
                <w:kern w:val="2"/>
                <w:sz w:val="24"/>
                <w:szCs w:val="24"/>
                <w:highlight w:val="none"/>
              </w:rPr>
            </w:pPr>
          </w:p>
        </w:tc>
        <w:tc>
          <w:tcPr>
            <w:tcW w:w="1317" w:type="dxa"/>
            <w:noWrap w:val="0"/>
            <w:vAlign w:val="top"/>
          </w:tcPr>
          <w:p w14:paraId="79C5ED5A">
            <w:pPr>
              <w:pStyle w:val="24"/>
              <w:spacing w:line="600" w:lineRule="exact"/>
              <w:rPr>
                <w:rFonts w:hint="eastAsia" w:hAnsi="宋体" w:cs="Courier New"/>
                <w:color w:val="auto"/>
                <w:kern w:val="2"/>
                <w:sz w:val="24"/>
                <w:szCs w:val="24"/>
                <w:highlight w:val="none"/>
              </w:rPr>
            </w:pPr>
          </w:p>
        </w:tc>
      </w:tr>
      <w:tr w14:paraId="5C06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DE68DA5">
            <w:pPr>
              <w:pStyle w:val="24"/>
              <w:spacing w:line="600" w:lineRule="exact"/>
              <w:rPr>
                <w:rFonts w:hint="eastAsia" w:hAnsi="宋体" w:cs="Courier New"/>
                <w:color w:val="auto"/>
                <w:kern w:val="2"/>
                <w:sz w:val="24"/>
                <w:szCs w:val="24"/>
                <w:highlight w:val="none"/>
              </w:rPr>
            </w:pPr>
          </w:p>
        </w:tc>
        <w:tc>
          <w:tcPr>
            <w:tcW w:w="1324" w:type="dxa"/>
            <w:noWrap w:val="0"/>
            <w:vAlign w:val="top"/>
          </w:tcPr>
          <w:p w14:paraId="53CFB068">
            <w:pPr>
              <w:pStyle w:val="24"/>
              <w:spacing w:line="600" w:lineRule="exact"/>
              <w:rPr>
                <w:rFonts w:hint="eastAsia" w:hAnsi="宋体" w:cs="Courier New"/>
                <w:color w:val="auto"/>
                <w:kern w:val="2"/>
                <w:sz w:val="24"/>
                <w:szCs w:val="24"/>
                <w:highlight w:val="none"/>
              </w:rPr>
            </w:pPr>
          </w:p>
        </w:tc>
        <w:tc>
          <w:tcPr>
            <w:tcW w:w="2931" w:type="dxa"/>
            <w:noWrap w:val="0"/>
            <w:vAlign w:val="top"/>
          </w:tcPr>
          <w:p w14:paraId="7C1B0647">
            <w:pPr>
              <w:pStyle w:val="24"/>
              <w:spacing w:line="600" w:lineRule="exact"/>
              <w:rPr>
                <w:rFonts w:hint="eastAsia" w:hAnsi="宋体" w:cs="Courier New"/>
                <w:color w:val="auto"/>
                <w:kern w:val="2"/>
                <w:sz w:val="24"/>
                <w:szCs w:val="24"/>
                <w:highlight w:val="none"/>
              </w:rPr>
            </w:pPr>
          </w:p>
        </w:tc>
        <w:tc>
          <w:tcPr>
            <w:tcW w:w="2520" w:type="dxa"/>
            <w:noWrap w:val="0"/>
            <w:vAlign w:val="top"/>
          </w:tcPr>
          <w:p w14:paraId="7C50AD2C">
            <w:pPr>
              <w:pStyle w:val="24"/>
              <w:spacing w:line="600" w:lineRule="exact"/>
              <w:rPr>
                <w:rFonts w:hint="eastAsia" w:hAnsi="宋体" w:cs="Courier New"/>
                <w:color w:val="auto"/>
                <w:kern w:val="2"/>
                <w:sz w:val="24"/>
                <w:szCs w:val="24"/>
                <w:highlight w:val="none"/>
              </w:rPr>
            </w:pPr>
          </w:p>
        </w:tc>
        <w:tc>
          <w:tcPr>
            <w:tcW w:w="1317" w:type="dxa"/>
            <w:noWrap w:val="0"/>
            <w:vAlign w:val="top"/>
          </w:tcPr>
          <w:p w14:paraId="609FB198">
            <w:pPr>
              <w:pStyle w:val="24"/>
              <w:spacing w:line="600" w:lineRule="exact"/>
              <w:rPr>
                <w:rFonts w:hint="eastAsia" w:hAnsi="宋体" w:cs="Courier New"/>
                <w:color w:val="auto"/>
                <w:kern w:val="2"/>
                <w:sz w:val="24"/>
                <w:szCs w:val="24"/>
                <w:highlight w:val="none"/>
              </w:rPr>
            </w:pPr>
          </w:p>
        </w:tc>
      </w:tr>
      <w:tr w14:paraId="47E6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E42E4FD">
            <w:pPr>
              <w:pStyle w:val="24"/>
              <w:spacing w:line="600" w:lineRule="exact"/>
              <w:rPr>
                <w:rFonts w:hint="eastAsia" w:hAnsi="宋体" w:cs="Courier New"/>
                <w:color w:val="auto"/>
                <w:kern w:val="2"/>
                <w:sz w:val="24"/>
                <w:szCs w:val="24"/>
                <w:highlight w:val="none"/>
              </w:rPr>
            </w:pPr>
          </w:p>
        </w:tc>
        <w:tc>
          <w:tcPr>
            <w:tcW w:w="1324" w:type="dxa"/>
            <w:noWrap w:val="0"/>
            <w:vAlign w:val="top"/>
          </w:tcPr>
          <w:p w14:paraId="04B98570">
            <w:pPr>
              <w:pStyle w:val="24"/>
              <w:spacing w:line="600" w:lineRule="exact"/>
              <w:rPr>
                <w:rFonts w:hint="eastAsia" w:hAnsi="宋体" w:cs="Courier New"/>
                <w:color w:val="auto"/>
                <w:kern w:val="2"/>
                <w:sz w:val="24"/>
                <w:szCs w:val="24"/>
                <w:highlight w:val="none"/>
              </w:rPr>
            </w:pPr>
          </w:p>
        </w:tc>
        <w:tc>
          <w:tcPr>
            <w:tcW w:w="2931" w:type="dxa"/>
            <w:noWrap w:val="0"/>
            <w:vAlign w:val="top"/>
          </w:tcPr>
          <w:p w14:paraId="7915F085">
            <w:pPr>
              <w:pStyle w:val="24"/>
              <w:spacing w:line="600" w:lineRule="exact"/>
              <w:rPr>
                <w:rFonts w:hint="eastAsia" w:hAnsi="宋体" w:cs="Courier New"/>
                <w:color w:val="auto"/>
                <w:kern w:val="2"/>
                <w:sz w:val="24"/>
                <w:szCs w:val="24"/>
                <w:highlight w:val="none"/>
              </w:rPr>
            </w:pPr>
          </w:p>
        </w:tc>
        <w:tc>
          <w:tcPr>
            <w:tcW w:w="2520" w:type="dxa"/>
            <w:noWrap w:val="0"/>
            <w:vAlign w:val="top"/>
          </w:tcPr>
          <w:p w14:paraId="603050FB">
            <w:pPr>
              <w:pStyle w:val="24"/>
              <w:spacing w:line="600" w:lineRule="exact"/>
              <w:rPr>
                <w:rFonts w:hint="eastAsia" w:hAnsi="宋体" w:cs="Courier New"/>
                <w:color w:val="auto"/>
                <w:kern w:val="2"/>
                <w:sz w:val="24"/>
                <w:szCs w:val="24"/>
                <w:highlight w:val="none"/>
              </w:rPr>
            </w:pPr>
          </w:p>
        </w:tc>
        <w:tc>
          <w:tcPr>
            <w:tcW w:w="1317" w:type="dxa"/>
            <w:noWrap w:val="0"/>
            <w:vAlign w:val="top"/>
          </w:tcPr>
          <w:p w14:paraId="3F18A6BC">
            <w:pPr>
              <w:pStyle w:val="24"/>
              <w:spacing w:line="600" w:lineRule="exact"/>
              <w:rPr>
                <w:rFonts w:hint="eastAsia" w:hAnsi="宋体" w:cs="Courier New"/>
                <w:color w:val="auto"/>
                <w:kern w:val="2"/>
                <w:sz w:val="24"/>
                <w:szCs w:val="24"/>
                <w:highlight w:val="none"/>
              </w:rPr>
            </w:pPr>
          </w:p>
        </w:tc>
      </w:tr>
      <w:tr w14:paraId="382D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68C0C8F">
            <w:pPr>
              <w:pStyle w:val="24"/>
              <w:spacing w:line="600" w:lineRule="exact"/>
              <w:rPr>
                <w:rFonts w:hint="eastAsia" w:hAnsi="宋体" w:cs="Courier New"/>
                <w:color w:val="auto"/>
                <w:kern w:val="2"/>
                <w:sz w:val="24"/>
                <w:szCs w:val="24"/>
                <w:highlight w:val="none"/>
              </w:rPr>
            </w:pPr>
          </w:p>
        </w:tc>
        <w:tc>
          <w:tcPr>
            <w:tcW w:w="1324" w:type="dxa"/>
            <w:noWrap w:val="0"/>
            <w:vAlign w:val="top"/>
          </w:tcPr>
          <w:p w14:paraId="791CD04B">
            <w:pPr>
              <w:pStyle w:val="24"/>
              <w:spacing w:line="600" w:lineRule="exact"/>
              <w:rPr>
                <w:rFonts w:hint="eastAsia" w:hAnsi="宋体" w:cs="Courier New"/>
                <w:color w:val="auto"/>
                <w:kern w:val="2"/>
                <w:sz w:val="24"/>
                <w:szCs w:val="24"/>
                <w:highlight w:val="none"/>
              </w:rPr>
            </w:pPr>
          </w:p>
        </w:tc>
        <w:tc>
          <w:tcPr>
            <w:tcW w:w="2931" w:type="dxa"/>
            <w:noWrap w:val="0"/>
            <w:vAlign w:val="top"/>
          </w:tcPr>
          <w:p w14:paraId="634584B3">
            <w:pPr>
              <w:pStyle w:val="24"/>
              <w:spacing w:line="600" w:lineRule="exact"/>
              <w:rPr>
                <w:rFonts w:hint="eastAsia" w:hAnsi="宋体" w:cs="Courier New"/>
                <w:color w:val="auto"/>
                <w:kern w:val="2"/>
                <w:sz w:val="24"/>
                <w:szCs w:val="24"/>
                <w:highlight w:val="none"/>
              </w:rPr>
            </w:pPr>
          </w:p>
        </w:tc>
        <w:tc>
          <w:tcPr>
            <w:tcW w:w="2520" w:type="dxa"/>
            <w:noWrap w:val="0"/>
            <w:vAlign w:val="top"/>
          </w:tcPr>
          <w:p w14:paraId="3A464C23">
            <w:pPr>
              <w:pStyle w:val="24"/>
              <w:spacing w:line="600" w:lineRule="exact"/>
              <w:rPr>
                <w:rFonts w:hint="eastAsia" w:hAnsi="宋体" w:cs="Courier New"/>
                <w:color w:val="auto"/>
                <w:kern w:val="2"/>
                <w:sz w:val="24"/>
                <w:szCs w:val="24"/>
                <w:highlight w:val="none"/>
              </w:rPr>
            </w:pPr>
          </w:p>
        </w:tc>
        <w:tc>
          <w:tcPr>
            <w:tcW w:w="1317" w:type="dxa"/>
            <w:noWrap w:val="0"/>
            <w:vAlign w:val="top"/>
          </w:tcPr>
          <w:p w14:paraId="1EC0DC45">
            <w:pPr>
              <w:pStyle w:val="24"/>
              <w:spacing w:line="600" w:lineRule="exact"/>
              <w:rPr>
                <w:rFonts w:hint="eastAsia" w:hAnsi="宋体" w:cs="Courier New"/>
                <w:color w:val="auto"/>
                <w:kern w:val="2"/>
                <w:sz w:val="24"/>
                <w:szCs w:val="24"/>
                <w:highlight w:val="none"/>
              </w:rPr>
            </w:pPr>
          </w:p>
        </w:tc>
      </w:tr>
      <w:tr w14:paraId="4135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0D32CA2">
            <w:pPr>
              <w:pStyle w:val="24"/>
              <w:spacing w:line="600" w:lineRule="exact"/>
              <w:rPr>
                <w:rFonts w:hint="eastAsia" w:hAnsi="宋体" w:cs="Courier New"/>
                <w:color w:val="auto"/>
                <w:kern w:val="2"/>
                <w:sz w:val="24"/>
                <w:szCs w:val="24"/>
                <w:highlight w:val="none"/>
              </w:rPr>
            </w:pPr>
          </w:p>
        </w:tc>
        <w:tc>
          <w:tcPr>
            <w:tcW w:w="1324" w:type="dxa"/>
            <w:noWrap w:val="0"/>
            <w:vAlign w:val="top"/>
          </w:tcPr>
          <w:p w14:paraId="0050A137">
            <w:pPr>
              <w:pStyle w:val="24"/>
              <w:spacing w:line="600" w:lineRule="exact"/>
              <w:rPr>
                <w:rFonts w:hint="eastAsia" w:hAnsi="宋体" w:cs="Courier New"/>
                <w:color w:val="auto"/>
                <w:kern w:val="2"/>
                <w:sz w:val="24"/>
                <w:szCs w:val="24"/>
                <w:highlight w:val="none"/>
              </w:rPr>
            </w:pPr>
          </w:p>
        </w:tc>
        <w:tc>
          <w:tcPr>
            <w:tcW w:w="2931" w:type="dxa"/>
            <w:noWrap w:val="0"/>
            <w:vAlign w:val="top"/>
          </w:tcPr>
          <w:p w14:paraId="42147E21">
            <w:pPr>
              <w:pStyle w:val="24"/>
              <w:spacing w:line="600" w:lineRule="exact"/>
              <w:rPr>
                <w:rFonts w:hint="eastAsia" w:hAnsi="宋体" w:cs="Courier New"/>
                <w:color w:val="auto"/>
                <w:kern w:val="2"/>
                <w:sz w:val="24"/>
                <w:szCs w:val="24"/>
                <w:highlight w:val="none"/>
              </w:rPr>
            </w:pPr>
          </w:p>
        </w:tc>
        <w:tc>
          <w:tcPr>
            <w:tcW w:w="2520" w:type="dxa"/>
            <w:noWrap w:val="0"/>
            <w:vAlign w:val="top"/>
          </w:tcPr>
          <w:p w14:paraId="785C1AFB">
            <w:pPr>
              <w:pStyle w:val="24"/>
              <w:spacing w:line="600" w:lineRule="exact"/>
              <w:rPr>
                <w:rFonts w:hint="eastAsia" w:hAnsi="宋体" w:cs="Courier New"/>
                <w:color w:val="auto"/>
                <w:kern w:val="2"/>
                <w:sz w:val="24"/>
                <w:szCs w:val="24"/>
                <w:highlight w:val="none"/>
              </w:rPr>
            </w:pPr>
          </w:p>
        </w:tc>
        <w:tc>
          <w:tcPr>
            <w:tcW w:w="1317" w:type="dxa"/>
            <w:noWrap w:val="0"/>
            <w:vAlign w:val="top"/>
          </w:tcPr>
          <w:p w14:paraId="3AED529E">
            <w:pPr>
              <w:pStyle w:val="24"/>
              <w:spacing w:line="600" w:lineRule="exact"/>
              <w:rPr>
                <w:rFonts w:hint="eastAsia" w:hAnsi="宋体" w:cs="Courier New"/>
                <w:color w:val="auto"/>
                <w:kern w:val="2"/>
                <w:sz w:val="24"/>
                <w:szCs w:val="24"/>
                <w:highlight w:val="none"/>
              </w:rPr>
            </w:pPr>
          </w:p>
        </w:tc>
      </w:tr>
    </w:tbl>
    <w:p w14:paraId="352B86FF">
      <w:pPr>
        <w:pStyle w:val="17"/>
        <w:rPr>
          <w:rFonts w:hint="eastAsia" w:ascii="宋体" w:hAnsi="宋体"/>
          <w:color w:val="auto"/>
          <w:highlight w:val="none"/>
        </w:rPr>
      </w:pPr>
      <w:r>
        <w:rPr>
          <w:rFonts w:hint="eastAsia" w:ascii="宋体" w:hAnsi="宋体"/>
          <w:color w:val="auto"/>
          <w:highlight w:val="none"/>
        </w:rPr>
        <w:t>注：</w:t>
      </w:r>
    </w:p>
    <w:p w14:paraId="50F78ED4">
      <w:pPr>
        <w:pStyle w:val="19"/>
        <w:spacing w:line="360" w:lineRule="auto"/>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 说明：应对照招标文件“第二章 采购需求”中的“技术需求及要求”逐条作明确的投标响应，并作出偏离说明。</w:t>
      </w:r>
    </w:p>
    <w:p w14:paraId="622D2075">
      <w:pPr>
        <w:pStyle w:val="17"/>
        <w:spacing w:line="360" w:lineRule="auto"/>
        <w:rPr>
          <w:rFonts w:hint="eastAsia"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投标人根据投标货物的性能指标，对照招标文件技术需求及要求，在“偏离说明”中注明“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7E66B013">
      <w:pPr>
        <w:pStyle w:val="19"/>
        <w:spacing w:line="360" w:lineRule="auto"/>
        <w:ind w:firstLine="0" w:firstLineChars="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3.如技术要求偏离表中的投标响应与佐证材料不一致的，以佐证材料为准。</w:t>
      </w:r>
    </w:p>
    <w:p w14:paraId="57A3F429">
      <w:pPr>
        <w:snapToGrid w:val="0"/>
        <w:spacing w:before="50" w:after="50" w:line="360" w:lineRule="auto"/>
        <w:rPr>
          <w:rFonts w:hint="eastAsia" w:ascii="宋体" w:hAnsi="宋体"/>
          <w:color w:val="auto"/>
          <w:sz w:val="24"/>
          <w:highlight w:val="none"/>
        </w:rPr>
      </w:pPr>
    </w:p>
    <w:p w14:paraId="7CECA719">
      <w:pPr>
        <w:keepNext w:val="0"/>
        <w:keepLines w:val="0"/>
        <w:pageBreakBefore w:val="0"/>
        <w:widowControl w:val="0"/>
        <w:kinsoku/>
        <w:wordWrap/>
        <w:overflowPunct/>
        <w:topLinePunct w:val="0"/>
        <w:autoSpaceDE/>
        <w:autoSpaceDN/>
        <w:bidi w:val="0"/>
        <w:adjustRightInd/>
        <w:snapToGrid w:val="0"/>
        <w:spacing w:before="50" w:after="50" w:line="360" w:lineRule="auto"/>
        <w:textAlignment w:val="auto"/>
        <w:outlineLvl w:val="9"/>
        <w:rPr>
          <w:rFonts w:hint="eastAsia" w:ascii="宋体" w:hAnsi="宋体"/>
          <w:color w:val="auto"/>
          <w:spacing w:val="20"/>
          <w:sz w:val="24"/>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609802A9">
      <w:pPr>
        <w:keepNext w:val="0"/>
        <w:keepLines w:val="0"/>
        <w:pageBreakBefore w:val="0"/>
        <w:widowControl w:val="0"/>
        <w:kinsoku/>
        <w:wordWrap/>
        <w:overflowPunct/>
        <w:topLinePunct w:val="0"/>
        <w:autoSpaceDE/>
        <w:autoSpaceDN/>
        <w:bidi w:val="0"/>
        <w:adjustRightInd/>
        <w:snapToGrid w:val="0"/>
        <w:spacing w:line="400" w:lineRule="exact"/>
        <w:ind w:left="13" w:leftChars="6" w:firstLine="532" w:firstLineChars="190"/>
        <w:jc w:val="left"/>
        <w:textAlignment w:val="auto"/>
        <w:outlineLvl w:val="9"/>
        <w:rPr>
          <w:rFonts w:hint="eastAsia" w:ascii="宋体" w:hAnsi="宋体" w:eastAsia="宋体" w:cs="Times New Roman"/>
          <w:b/>
          <w:color w:val="auto"/>
          <w:sz w:val="24"/>
          <w:highlight w:val="none"/>
          <w:lang w:val="en-US" w:eastAsia="zh-CN"/>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r>
        <w:rPr>
          <w:rFonts w:ascii="宋体" w:hAnsi="宋体"/>
          <w:color w:val="auto"/>
          <w:sz w:val="24"/>
          <w:szCs w:val="20"/>
          <w:highlight w:val="none"/>
        </w:rPr>
        <w:br w:type="page"/>
      </w:r>
      <w:r>
        <w:rPr>
          <w:rFonts w:hint="eastAsia" w:ascii="宋体" w:hAnsi="宋体" w:eastAsia="宋体" w:cs="Times New Roman"/>
          <w:b/>
          <w:color w:val="auto"/>
          <w:sz w:val="24"/>
          <w:highlight w:val="none"/>
          <w:lang w:val="en-US" w:eastAsia="zh-CN"/>
        </w:rPr>
        <w:t>4.产品出厂标准、质量检测报告（如有）</w:t>
      </w:r>
    </w:p>
    <w:p w14:paraId="61F014F9">
      <w:pPr>
        <w:snapToGrid w:val="0"/>
        <w:spacing w:line="400" w:lineRule="exact"/>
        <w:ind w:left="13" w:leftChars="6" w:firstLine="399" w:firstLineChars="190"/>
        <w:jc w:val="left"/>
        <w:rPr>
          <w:rFonts w:hint="eastAsia" w:ascii="宋体" w:hAnsi="宋体"/>
          <w:color w:val="auto"/>
          <w:szCs w:val="21"/>
          <w:highlight w:val="none"/>
        </w:rPr>
      </w:pPr>
    </w:p>
    <w:p w14:paraId="6843C826">
      <w:pPr>
        <w:snapToGrid w:val="0"/>
        <w:spacing w:line="400" w:lineRule="exact"/>
        <w:jc w:val="left"/>
        <w:rPr>
          <w:rFonts w:hint="eastAsia" w:ascii="宋体" w:hAnsi="宋体"/>
          <w:color w:val="auto"/>
          <w:szCs w:val="21"/>
          <w:highlight w:val="none"/>
          <w:lang w:val="en-US" w:eastAsia="zh-CN"/>
        </w:rPr>
      </w:pPr>
    </w:p>
    <w:p w14:paraId="5D0E89F1">
      <w:pPr>
        <w:snapToGrid w:val="0"/>
        <w:spacing w:line="400" w:lineRule="exact"/>
        <w:jc w:val="left"/>
        <w:rPr>
          <w:rFonts w:hint="eastAsia" w:ascii="宋体" w:hAnsi="宋体" w:eastAsia="宋体" w:cs="Times New Roman"/>
          <w:b/>
          <w:color w:val="auto"/>
          <w:sz w:val="24"/>
          <w:highlight w:val="none"/>
          <w:lang w:val="en-US" w:eastAsia="zh-CN"/>
        </w:rPr>
      </w:pPr>
    </w:p>
    <w:p w14:paraId="01DF8E41">
      <w:pPr>
        <w:keepNext w:val="0"/>
        <w:keepLines w:val="0"/>
        <w:pageBreakBefore w:val="0"/>
        <w:widowControl w:val="0"/>
        <w:kinsoku/>
        <w:wordWrap/>
        <w:overflowPunct/>
        <w:topLinePunct w:val="0"/>
        <w:autoSpaceDE/>
        <w:autoSpaceDN/>
        <w:bidi w:val="0"/>
        <w:adjustRightInd/>
        <w:snapToGrid w:val="0"/>
        <w:spacing w:line="400" w:lineRule="exact"/>
        <w:jc w:val="left"/>
        <w:textAlignment w:val="auto"/>
        <w:outlineLvl w:val="2"/>
        <w:rPr>
          <w:rFonts w:hint="default" w:ascii="宋体" w:hAnsi="宋体" w:eastAsia="宋体" w:cs="Times New Roman"/>
          <w:b/>
          <w:color w:val="auto"/>
          <w:sz w:val="24"/>
          <w:highlight w:val="none"/>
          <w:lang w:val="en-US" w:eastAsia="zh-CN"/>
        </w:rPr>
      </w:pPr>
      <w:bookmarkStart w:id="258" w:name="_Toc29197"/>
      <w:r>
        <w:rPr>
          <w:rFonts w:hint="eastAsia" w:ascii="宋体" w:hAnsi="宋体" w:eastAsia="宋体" w:cs="Times New Roman"/>
          <w:b/>
          <w:color w:val="auto"/>
          <w:sz w:val="24"/>
          <w:highlight w:val="none"/>
          <w:lang w:val="en-US" w:eastAsia="zh-CN"/>
        </w:rPr>
        <w:t>5.优惠条件(格式自拟)</w:t>
      </w:r>
      <w:bookmarkEnd w:id="258"/>
    </w:p>
    <w:p w14:paraId="65D85785">
      <w:pPr>
        <w:numPr>
          <w:ilvl w:val="0"/>
          <w:numId w:val="0"/>
        </w:numPr>
        <w:snapToGrid w:val="0"/>
        <w:spacing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投标人承诺给予招标人的各种优惠条件，包括售后服务、备品备件、专用耗材等方面的优惠；投标人不得给予赠品或者与采购无关的其他商品、服务；</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如有，请提供</w:t>
      </w:r>
      <w:r>
        <w:rPr>
          <w:rFonts w:hint="eastAsia" w:ascii="宋体" w:hAnsi="宋体"/>
          <w:color w:val="auto"/>
          <w:szCs w:val="21"/>
          <w:highlight w:val="none"/>
          <w:lang w:eastAsia="zh-CN"/>
        </w:rPr>
        <w:t>）</w:t>
      </w:r>
    </w:p>
    <w:p w14:paraId="34963779">
      <w:pPr>
        <w:snapToGrid w:val="0"/>
        <w:spacing w:before="120" w:beforeLines="50" w:after="50"/>
        <w:ind w:left="142"/>
        <w:jc w:val="center"/>
        <w:rPr>
          <w:rFonts w:hint="eastAsia" w:ascii="宋体" w:hAnsi="宋体"/>
          <w:b/>
          <w:color w:val="auto"/>
          <w:sz w:val="32"/>
          <w:szCs w:val="32"/>
          <w:highlight w:val="none"/>
        </w:rPr>
      </w:pPr>
    </w:p>
    <w:p w14:paraId="1C9CB27B">
      <w:pPr>
        <w:snapToGrid w:val="0"/>
        <w:spacing w:before="120" w:beforeLines="50" w:after="50"/>
        <w:ind w:left="142"/>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售后服务优惠表</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格式</w:t>
      </w:r>
      <w:r>
        <w:rPr>
          <w:rFonts w:hint="eastAsia" w:ascii="宋体" w:hAnsi="宋体"/>
          <w:b/>
          <w:color w:val="auto"/>
          <w:sz w:val="32"/>
          <w:szCs w:val="32"/>
          <w:highlight w:val="none"/>
          <w:lang w:eastAsia="zh-CN"/>
        </w:rPr>
        <w:t>）</w:t>
      </w:r>
    </w:p>
    <w:p w14:paraId="413DCC3D">
      <w:pPr>
        <w:snapToGrid w:val="0"/>
        <w:spacing w:before="120" w:beforeLines="50" w:after="50"/>
        <w:ind w:left="142"/>
        <w:jc w:val="left"/>
        <w:rPr>
          <w:rFonts w:hint="eastAsia"/>
          <w:color w:val="auto"/>
          <w:sz w:val="21"/>
          <w:szCs w:val="21"/>
          <w:highlight w:val="none"/>
        </w:rPr>
      </w:pPr>
      <w:r>
        <w:rPr>
          <w:rFonts w:hint="eastAsia"/>
          <w:color w:val="auto"/>
          <w:sz w:val="21"/>
          <w:szCs w:val="21"/>
          <w:highlight w:val="none"/>
        </w:rPr>
        <w:t>所投分标：</w:t>
      </w:r>
      <w:r>
        <w:rPr>
          <w:rFonts w:hint="eastAsia"/>
          <w:color w:val="auto"/>
          <w:sz w:val="21"/>
          <w:szCs w:val="21"/>
          <w:highlight w:val="none"/>
          <w:u w:val="single"/>
        </w:rPr>
        <w:t xml:space="preserve">     </w:t>
      </w:r>
      <w:r>
        <w:rPr>
          <w:rFonts w:hint="eastAsia"/>
          <w:color w:val="auto"/>
          <w:sz w:val="21"/>
          <w:szCs w:val="21"/>
          <w:highlight w:val="none"/>
        </w:rPr>
        <w:t>分标</w:t>
      </w:r>
    </w:p>
    <w:tbl>
      <w:tblPr>
        <w:tblStyle w:val="49"/>
        <w:tblW w:w="0" w:type="auto"/>
        <w:tblInd w:w="-2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0735C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74C70A7">
            <w:pPr>
              <w:pStyle w:val="24"/>
              <w:snapToGrid w:val="0"/>
              <w:spacing w:before="295" w:after="295"/>
              <w:jc w:val="center"/>
              <w:rPr>
                <w:rFonts w:hint="eastAsia" w:hAnsi="宋体" w:cs="Courier New"/>
                <w:color w:val="auto"/>
                <w:kern w:val="2"/>
                <w:sz w:val="21"/>
                <w:szCs w:val="21"/>
                <w:highlight w:val="none"/>
              </w:rPr>
            </w:pPr>
            <w:r>
              <w:rPr>
                <w:rFonts w:hint="eastAsia" w:hAnsi="宋体" w:cs="Courier New"/>
                <w:color w:val="auto"/>
                <w:kern w:val="2"/>
                <w:sz w:val="21"/>
                <w:szCs w:val="21"/>
                <w:highlight w:val="none"/>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14:paraId="0C80A53F">
            <w:pPr>
              <w:pStyle w:val="24"/>
              <w:snapToGrid w:val="0"/>
              <w:spacing w:before="295" w:after="295"/>
              <w:jc w:val="center"/>
              <w:rPr>
                <w:rFonts w:hint="eastAsia" w:hAnsi="宋体" w:cs="Courier New"/>
                <w:color w:val="auto"/>
                <w:kern w:val="2"/>
                <w:sz w:val="21"/>
                <w:szCs w:val="21"/>
                <w:highlight w:val="none"/>
              </w:rPr>
            </w:pPr>
            <w:r>
              <w:rPr>
                <w:rFonts w:hint="eastAsia" w:hAnsi="宋体" w:cs="Courier New"/>
                <w:color w:val="auto"/>
                <w:kern w:val="2"/>
                <w:sz w:val="21"/>
                <w:szCs w:val="21"/>
                <w:highlight w:val="none"/>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14:paraId="4BBFB4A1">
            <w:pPr>
              <w:pStyle w:val="24"/>
              <w:snapToGrid w:val="0"/>
              <w:spacing w:before="295" w:after="295"/>
              <w:jc w:val="center"/>
              <w:rPr>
                <w:rFonts w:hint="eastAsia" w:hAnsi="宋体" w:eastAsia="宋体" w:cs="Courier New"/>
                <w:color w:val="auto"/>
                <w:kern w:val="2"/>
                <w:sz w:val="21"/>
                <w:szCs w:val="21"/>
                <w:highlight w:val="none"/>
                <w:lang w:eastAsia="zh-CN"/>
              </w:rPr>
            </w:pPr>
            <w:r>
              <w:rPr>
                <w:rFonts w:hint="eastAsia" w:hAnsi="宋体" w:cs="Courier New"/>
                <w:color w:val="auto"/>
                <w:kern w:val="2"/>
                <w:sz w:val="21"/>
                <w:szCs w:val="21"/>
                <w:highlight w:val="none"/>
              </w:rPr>
              <w:t>适用</w:t>
            </w:r>
            <w:r>
              <w:rPr>
                <w:rFonts w:hint="eastAsia" w:hAnsi="宋体" w:cs="Courier New"/>
                <w:color w:val="auto"/>
                <w:kern w:val="2"/>
                <w:sz w:val="21"/>
                <w:szCs w:val="21"/>
                <w:highlight w:val="none"/>
                <w:lang w:val="en-US" w:eastAsia="zh-CN"/>
              </w:rPr>
              <w:t>的产品</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5E48E330">
            <w:pPr>
              <w:pStyle w:val="24"/>
              <w:snapToGrid w:val="0"/>
              <w:spacing w:before="295" w:after="295"/>
              <w:jc w:val="center"/>
              <w:rPr>
                <w:rFonts w:hint="eastAsia" w:hAnsi="宋体" w:cs="Courier New"/>
                <w:color w:val="auto"/>
                <w:kern w:val="2"/>
                <w:sz w:val="21"/>
                <w:szCs w:val="21"/>
                <w:highlight w:val="none"/>
              </w:rPr>
            </w:pPr>
            <w:r>
              <w:rPr>
                <w:rFonts w:hint="eastAsia" w:hAnsi="宋体" w:cs="Courier New"/>
                <w:color w:val="auto"/>
                <w:kern w:val="2"/>
                <w:sz w:val="21"/>
                <w:szCs w:val="21"/>
                <w:highlight w:val="none"/>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14:paraId="2891B288">
            <w:pPr>
              <w:pStyle w:val="24"/>
              <w:snapToGrid w:val="0"/>
              <w:spacing w:before="295" w:after="295"/>
              <w:jc w:val="center"/>
              <w:rPr>
                <w:rFonts w:hint="eastAsia" w:hAnsi="宋体" w:cs="Courier New"/>
                <w:color w:val="auto"/>
                <w:kern w:val="2"/>
                <w:sz w:val="21"/>
                <w:szCs w:val="21"/>
                <w:highlight w:val="none"/>
              </w:rPr>
            </w:pPr>
            <w:r>
              <w:rPr>
                <w:rFonts w:hint="eastAsia" w:hAnsi="宋体" w:cs="Courier New"/>
                <w:color w:val="auto"/>
                <w:kern w:val="2"/>
                <w:sz w:val="21"/>
                <w:szCs w:val="21"/>
                <w:highlight w:val="none"/>
              </w:rPr>
              <w:t>比市场价优惠率</w:t>
            </w:r>
          </w:p>
        </w:tc>
      </w:tr>
      <w:tr w14:paraId="6156FD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0"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3B6F7916">
            <w:pPr>
              <w:pStyle w:val="24"/>
              <w:snapToGrid w:val="0"/>
              <w:spacing w:before="295" w:after="295"/>
              <w:jc w:val="center"/>
              <w:rPr>
                <w:rFonts w:hint="eastAsia" w:hAnsi="宋体"/>
                <w:color w:val="auto"/>
                <w:kern w:val="2"/>
                <w:sz w:val="21"/>
                <w:szCs w:val="21"/>
                <w:highlight w:val="none"/>
              </w:rPr>
            </w:pPr>
            <w:r>
              <w:rPr>
                <w:rFonts w:hint="eastAsia" w:hAnsi="宋体"/>
                <w:color w:val="auto"/>
                <w:kern w:val="2"/>
                <w:sz w:val="21"/>
                <w:szCs w:val="21"/>
                <w:highlight w:val="none"/>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14:paraId="4D743519">
            <w:pPr>
              <w:pStyle w:val="24"/>
              <w:snapToGrid w:val="0"/>
              <w:spacing w:before="295" w:after="295"/>
              <w:jc w:val="center"/>
              <w:rPr>
                <w:rFonts w:hint="eastAsia" w:hAnsi="宋体"/>
                <w:color w:val="auto"/>
                <w:kern w:val="2"/>
                <w:sz w:val="21"/>
                <w:szCs w:val="21"/>
                <w:highlight w:val="none"/>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14:paraId="18BBB225">
            <w:pPr>
              <w:pStyle w:val="24"/>
              <w:snapToGrid w:val="0"/>
              <w:spacing w:before="295" w:after="295"/>
              <w:jc w:val="center"/>
              <w:rPr>
                <w:rFonts w:hint="eastAsia" w:hAnsi="宋体"/>
                <w:color w:val="auto"/>
                <w:kern w:val="2"/>
                <w:sz w:val="21"/>
                <w:szCs w:val="21"/>
                <w:highlight w:val="none"/>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387630FC">
            <w:pPr>
              <w:pStyle w:val="24"/>
              <w:snapToGrid w:val="0"/>
              <w:spacing w:before="295" w:after="295"/>
              <w:jc w:val="center"/>
              <w:rPr>
                <w:rFonts w:hint="eastAsia" w:hAnsi="宋体"/>
                <w:color w:val="auto"/>
                <w:kern w:val="2"/>
                <w:sz w:val="21"/>
                <w:szCs w:val="21"/>
                <w:highlight w:val="none"/>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14:paraId="5C6826DE">
            <w:pPr>
              <w:pStyle w:val="24"/>
              <w:snapToGrid w:val="0"/>
              <w:spacing w:before="295" w:after="295"/>
              <w:jc w:val="center"/>
              <w:rPr>
                <w:rFonts w:hint="eastAsia" w:hAnsi="宋体"/>
                <w:color w:val="auto"/>
                <w:kern w:val="2"/>
                <w:sz w:val="21"/>
                <w:szCs w:val="21"/>
                <w:highlight w:val="none"/>
              </w:rPr>
            </w:pPr>
            <w:r>
              <w:rPr>
                <w:rFonts w:hint="eastAsia" w:hAnsi="宋体"/>
                <w:color w:val="auto"/>
                <w:kern w:val="2"/>
                <w:sz w:val="21"/>
                <w:szCs w:val="21"/>
                <w:highlight w:val="none"/>
              </w:rPr>
              <w:t xml:space="preserve"> </w:t>
            </w:r>
            <w:r>
              <w:rPr>
                <w:rFonts w:hint="eastAsia" w:hAnsi="宋体"/>
                <w:color w:val="auto"/>
                <w:kern w:val="2"/>
                <w:sz w:val="21"/>
                <w:szCs w:val="21"/>
                <w:highlight w:val="none"/>
                <w:u w:val="single"/>
              </w:rPr>
              <w:t xml:space="preserve">           </w:t>
            </w:r>
            <w:r>
              <w:rPr>
                <w:rFonts w:hint="eastAsia" w:hAnsi="宋体"/>
                <w:color w:val="auto"/>
                <w:kern w:val="2"/>
                <w:sz w:val="21"/>
                <w:szCs w:val="21"/>
                <w:highlight w:val="none"/>
              </w:rPr>
              <w:t>%</w:t>
            </w:r>
          </w:p>
        </w:tc>
      </w:tr>
      <w:tr w14:paraId="3787F9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46495F30">
            <w:pPr>
              <w:pStyle w:val="24"/>
              <w:snapToGrid w:val="0"/>
              <w:spacing w:before="295" w:after="295"/>
              <w:jc w:val="center"/>
              <w:rPr>
                <w:rFonts w:hint="eastAsia" w:hAnsi="宋体"/>
                <w:color w:val="auto"/>
                <w:kern w:val="2"/>
                <w:sz w:val="21"/>
                <w:szCs w:val="21"/>
                <w:highlight w:val="none"/>
              </w:rPr>
            </w:pPr>
            <w:r>
              <w:rPr>
                <w:rFonts w:hint="eastAsia" w:hAnsi="宋体"/>
                <w:color w:val="auto"/>
                <w:kern w:val="2"/>
                <w:sz w:val="21"/>
                <w:szCs w:val="21"/>
                <w:highlight w:val="none"/>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417CC7D0">
            <w:pPr>
              <w:pStyle w:val="24"/>
              <w:snapToGrid w:val="0"/>
              <w:spacing w:before="295" w:after="295"/>
              <w:jc w:val="center"/>
              <w:rPr>
                <w:rFonts w:hint="eastAsia" w:hAnsi="宋体"/>
                <w:color w:val="auto"/>
                <w:kern w:val="2"/>
                <w:sz w:val="21"/>
                <w:szCs w:val="21"/>
                <w:highlight w:val="none"/>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3AB4AD67">
            <w:pPr>
              <w:pStyle w:val="24"/>
              <w:snapToGrid w:val="0"/>
              <w:spacing w:before="295" w:after="295"/>
              <w:jc w:val="center"/>
              <w:rPr>
                <w:rFonts w:hint="eastAsia" w:hAnsi="宋体"/>
                <w:color w:val="auto"/>
                <w:kern w:val="2"/>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0BC3729C">
            <w:pPr>
              <w:pStyle w:val="24"/>
              <w:snapToGrid w:val="0"/>
              <w:spacing w:before="295" w:after="295"/>
              <w:jc w:val="center"/>
              <w:rPr>
                <w:rFonts w:hint="eastAsia" w:hAnsi="宋体"/>
                <w:color w:val="auto"/>
                <w:kern w:val="2"/>
                <w:sz w:val="21"/>
                <w:szCs w:val="21"/>
                <w:highlight w:val="none"/>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1EC36DFC">
            <w:pPr>
              <w:pStyle w:val="24"/>
              <w:snapToGrid w:val="0"/>
              <w:spacing w:before="295" w:after="295"/>
              <w:jc w:val="center"/>
              <w:rPr>
                <w:rFonts w:hint="eastAsia" w:hAnsi="宋体"/>
                <w:color w:val="auto"/>
                <w:kern w:val="2"/>
                <w:sz w:val="21"/>
                <w:szCs w:val="21"/>
                <w:highlight w:val="none"/>
              </w:rPr>
            </w:pPr>
            <w:r>
              <w:rPr>
                <w:rFonts w:hint="eastAsia" w:hAnsi="宋体"/>
                <w:color w:val="auto"/>
                <w:kern w:val="2"/>
                <w:sz w:val="21"/>
                <w:szCs w:val="21"/>
                <w:highlight w:val="none"/>
              </w:rPr>
              <w:t xml:space="preserve"> </w:t>
            </w:r>
            <w:r>
              <w:rPr>
                <w:rFonts w:hint="eastAsia" w:hAnsi="宋体"/>
                <w:color w:val="auto"/>
                <w:kern w:val="2"/>
                <w:sz w:val="21"/>
                <w:szCs w:val="21"/>
                <w:highlight w:val="none"/>
                <w:u w:val="single"/>
              </w:rPr>
              <w:t xml:space="preserve">           </w:t>
            </w:r>
            <w:r>
              <w:rPr>
                <w:rFonts w:hint="eastAsia" w:hAnsi="宋体"/>
                <w:color w:val="auto"/>
                <w:kern w:val="2"/>
                <w:sz w:val="21"/>
                <w:szCs w:val="21"/>
                <w:highlight w:val="none"/>
              </w:rPr>
              <w:t>%</w:t>
            </w:r>
          </w:p>
        </w:tc>
      </w:tr>
      <w:tr w14:paraId="52019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37907B1C">
            <w:pPr>
              <w:pStyle w:val="24"/>
              <w:snapToGrid w:val="0"/>
              <w:spacing w:before="295" w:after="295"/>
              <w:jc w:val="center"/>
              <w:rPr>
                <w:rFonts w:hint="eastAsia" w:hAnsi="宋体"/>
                <w:color w:val="auto"/>
                <w:kern w:val="2"/>
                <w:sz w:val="21"/>
                <w:szCs w:val="21"/>
                <w:highlight w:val="none"/>
              </w:rPr>
            </w:pPr>
            <w:r>
              <w:rPr>
                <w:rFonts w:hint="eastAsia" w:hAnsi="宋体"/>
                <w:color w:val="auto"/>
                <w:kern w:val="2"/>
                <w:sz w:val="21"/>
                <w:szCs w:val="21"/>
                <w:highlight w:val="none"/>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5EAABF08">
            <w:pPr>
              <w:pStyle w:val="24"/>
              <w:snapToGrid w:val="0"/>
              <w:spacing w:before="295" w:after="295"/>
              <w:jc w:val="center"/>
              <w:rPr>
                <w:rFonts w:hint="eastAsia" w:hAnsi="宋体"/>
                <w:color w:val="auto"/>
                <w:kern w:val="2"/>
                <w:sz w:val="21"/>
                <w:szCs w:val="21"/>
                <w:highlight w:val="none"/>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5A084DC4">
            <w:pPr>
              <w:pStyle w:val="24"/>
              <w:snapToGrid w:val="0"/>
              <w:spacing w:before="295" w:after="295"/>
              <w:jc w:val="center"/>
              <w:rPr>
                <w:rFonts w:hint="eastAsia" w:hAnsi="宋体"/>
                <w:color w:val="auto"/>
                <w:kern w:val="2"/>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2FC7CB20">
            <w:pPr>
              <w:pStyle w:val="24"/>
              <w:snapToGrid w:val="0"/>
              <w:spacing w:before="295" w:after="295"/>
              <w:jc w:val="center"/>
              <w:rPr>
                <w:rFonts w:hint="eastAsia" w:hAnsi="宋体"/>
                <w:color w:val="auto"/>
                <w:kern w:val="2"/>
                <w:sz w:val="21"/>
                <w:szCs w:val="21"/>
                <w:highlight w:val="none"/>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501F8281">
            <w:pPr>
              <w:pStyle w:val="24"/>
              <w:snapToGrid w:val="0"/>
              <w:spacing w:before="295" w:after="295"/>
              <w:jc w:val="center"/>
              <w:rPr>
                <w:rFonts w:hint="eastAsia" w:hAnsi="宋体"/>
                <w:color w:val="auto"/>
                <w:kern w:val="2"/>
                <w:sz w:val="21"/>
                <w:szCs w:val="21"/>
                <w:highlight w:val="none"/>
              </w:rPr>
            </w:pPr>
            <w:r>
              <w:rPr>
                <w:rFonts w:hint="eastAsia" w:hAnsi="宋体"/>
                <w:color w:val="auto"/>
                <w:kern w:val="2"/>
                <w:sz w:val="21"/>
                <w:szCs w:val="21"/>
                <w:highlight w:val="none"/>
              </w:rPr>
              <w:t xml:space="preserve"> </w:t>
            </w:r>
            <w:r>
              <w:rPr>
                <w:rFonts w:hint="eastAsia" w:hAnsi="宋体"/>
                <w:color w:val="auto"/>
                <w:kern w:val="2"/>
                <w:sz w:val="21"/>
                <w:szCs w:val="21"/>
                <w:highlight w:val="none"/>
                <w:u w:val="single"/>
              </w:rPr>
              <w:t xml:space="preserve">           </w:t>
            </w:r>
            <w:r>
              <w:rPr>
                <w:rFonts w:hint="eastAsia" w:hAnsi="宋体"/>
                <w:color w:val="auto"/>
                <w:kern w:val="2"/>
                <w:sz w:val="21"/>
                <w:szCs w:val="21"/>
                <w:highlight w:val="none"/>
              </w:rPr>
              <w:t>%</w:t>
            </w:r>
          </w:p>
        </w:tc>
      </w:tr>
    </w:tbl>
    <w:p w14:paraId="6935D4D0">
      <w:pPr>
        <w:spacing w:line="360" w:lineRule="auto"/>
        <w:contextualSpacing/>
        <w:rPr>
          <w:rFonts w:hint="eastAsia" w:ascii="宋体" w:hAnsi="宋体"/>
          <w:color w:val="auto"/>
          <w:sz w:val="21"/>
          <w:szCs w:val="21"/>
          <w:highlight w:val="none"/>
        </w:rPr>
      </w:pPr>
    </w:p>
    <w:p w14:paraId="2D06593E">
      <w:pPr>
        <w:spacing w:line="360" w:lineRule="auto"/>
        <w:contextualSpacing/>
        <w:jc w:val="left"/>
        <w:rPr>
          <w:rFonts w:hint="eastAsia" w:ascii="宋体" w:hAnsi="宋体"/>
          <w:color w:val="auto"/>
          <w:spacing w:val="20"/>
          <w:sz w:val="21"/>
          <w:szCs w:val="21"/>
          <w:highlight w:val="none"/>
        </w:rPr>
      </w:pPr>
      <w:r>
        <w:rPr>
          <w:rFonts w:hint="eastAsia" w:ascii="宋体" w:hAnsi="宋体"/>
          <w:color w:val="auto"/>
          <w:spacing w:val="20"/>
          <w:sz w:val="21"/>
          <w:szCs w:val="21"/>
          <w:highlight w:val="none"/>
        </w:rPr>
        <w:t>投标人名称（电子签章）：</w:t>
      </w:r>
      <w:r>
        <w:rPr>
          <w:rFonts w:hint="eastAsia" w:ascii="宋体" w:hAnsi="宋体"/>
          <w:color w:val="auto"/>
          <w:spacing w:val="20"/>
          <w:sz w:val="21"/>
          <w:szCs w:val="21"/>
          <w:highlight w:val="none"/>
          <w:u w:val="single"/>
        </w:rPr>
        <w:t xml:space="preserve">            </w:t>
      </w:r>
      <w:r>
        <w:rPr>
          <w:rFonts w:hint="eastAsia" w:ascii="宋体" w:hAnsi="宋体"/>
          <w:color w:val="auto"/>
          <w:spacing w:val="20"/>
          <w:sz w:val="21"/>
          <w:szCs w:val="21"/>
          <w:highlight w:val="none"/>
        </w:rPr>
        <w:t xml:space="preserve">              </w:t>
      </w:r>
    </w:p>
    <w:p w14:paraId="565FFBCC">
      <w:pPr>
        <w:spacing w:line="360" w:lineRule="auto"/>
        <w:contextualSpacing/>
        <w:jc w:val="left"/>
        <w:rPr>
          <w:rFonts w:hint="eastAsia" w:ascii="宋体" w:hAnsi="宋体"/>
          <w:color w:val="auto"/>
          <w:sz w:val="21"/>
          <w:szCs w:val="21"/>
          <w:highlight w:val="none"/>
        </w:rPr>
      </w:pPr>
      <w:r>
        <w:rPr>
          <w:rFonts w:hint="eastAsia" w:ascii="宋体" w:hAnsi="宋体"/>
          <w:color w:val="auto"/>
          <w:spacing w:val="20"/>
          <w:sz w:val="21"/>
          <w:szCs w:val="21"/>
          <w:highlight w:val="none"/>
        </w:rPr>
        <w:t>日 期：</w:t>
      </w:r>
      <w:r>
        <w:rPr>
          <w:rFonts w:hint="eastAsia" w:ascii="宋体" w:hAnsi="宋体"/>
          <w:color w:val="auto"/>
          <w:spacing w:val="20"/>
          <w:sz w:val="21"/>
          <w:szCs w:val="21"/>
          <w:highlight w:val="none"/>
          <w:u w:val="single"/>
        </w:rPr>
        <w:t xml:space="preserve">            </w:t>
      </w:r>
    </w:p>
    <w:p w14:paraId="1F77987A">
      <w:pPr>
        <w:snapToGrid w:val="0"/>
        <w:spacing w:before="50" w:after="120" w:afterLines="50"/>
        <w:jc w:val="left"/>
        <w:rPr>
          <w:rFonts w:hint="eastAsia" w:ascii="宋体" w:hAnsi="宋体"/>
          <w:color w:val="auto"/>
          <w:sz w:val="24"/>
          <w:szCs w:val="20"/>
          <w:highlight w:val="none"/>
        </w:rPr>
      </w:pPr>
    </w:p>
    <w:p w14:paraId="3C2F2D8D">
      <w:pPr>
        <w:snapToGrid w:val="0"/>
        <w:spacing w:line="400" w:lineRule="exact"/>
        <w:jc w:val="left"/>
        <w:rPr>
          <w:rFonts w:hint="eastAsia" w:ascii="宋体" w:hAnsi="宋体"/>
          <w:color w:val="auto"/>
          <w:szCs w:val="21"/>
          <w:highlight w:val="none"/>
          <w:lang w:val="en-US" w:eastAsia="zh-CN"/>
        </w:rPr>
      </w:pPr>
    </w:p>
    <w:p w14:paraId="19085BA9">
      <w:pPr>
        <w:snapToGrid w:val="0"/>
        <w:spacing w:line="400" w:lineRule="exact"/>
        <w:jc w:val="left"/>
        <w:rPr>
          <w:rFonts w:hint="eastAsia" w:ascii="宋体" w:hAnsi="宋体"/>
          <w:color w:val="auto"/>
          <w:szCs w:val="21"/>
          <w:highlight w:val="none"/>
          <w:lang w:val="en-US" w:eastAsia="zh-CN"/>
        </w:rPr>
      </w:pPr>
    </w:p>
    <w:p w14:paraId="41DD8AB3">
      <w:pPr>
        <w:snapToGrid w:val="0"/>
        <w:spacing w:line="400" w:lineRule="exact"/>
        <w:jc w:val="left"/>
        <w:rPr>
          <w:rFonts w:hint="eastAsia" w:ascii="宋体" w:hAnsi="宋体" w:eastAsia="宋体" w:cs="Times New Roman"/>
          <w:b/>
          <w:color w:val="auto"/>
          <w:sz w:val="24"/>
          <w:highlight w:val="none"/>
          <w:lang w:val="en-US" w:eastAsia="zh-CN"/>
        </w:rPr>
      </w:pPr>
    </w:p>
    <w:p w14:paraId="75026ACF">
      <w:pPr>
        <w:keepNext w:val="0"/>
        <w:keepLines w:val="0"/>
        <w:pageBreakBefore w:val="0"/>
        <w:widowControl w:val="0"/>
        <w:kinsoku/>
        <w:wordWrap/>
        <w:overflowPunct/>
        <w:topLinePunct w:val="0"/>
        <w:autoSpaceDE/>
        <w:autoSpaceDN/>
        <w:bidi w:val="0"/>
        <w:adjustRightInd/>
        <w:snapToGrid w:val="0"/>
        <w:spacing w:line="400" w:lineRule="exact"/>
        <w:jc w:val="left"/>
        <w:textAlignment w:val="auto"/>
        <w:outlineLvl w:val="2"/>
        <w:rPr>
          <w:rFonts w:hint="eastAsia" w:ascii="宋体" w:hAnsi="宋体" w:eastAsia="宋体" w:cs="Times New Roman"/>
          <w:b/>
          <w:color w:val="auto"/>
          <w:sz w:val="24"/>
          <w:highlight w:val="none"/>
          <w:lang w:val="en-US" w:eastAsia="zh-CN"/>
        </w:rPr>
      </w:pPr>
      <w:bookmarkStart w:id="259" w:name="_Toc26231"/>
      <w:r>
        <w:rPr>
          <w:rFonts w:hint="eastAsia" w:ascii="宋体" w:hAnsi="宋体" w:eastAsia="宋体" w:cs="Times New Roman"/>
          <w:b/>
          <w:color w:val="auto"/>
          <w:sz w:val="24"/>
          <w:highlight w:val="none"/>
          <w:lang w:val="en-US" w:eastAsia="zh-CN"/>
        </w:rPr>
        <w:t>6.项目实施方案（格式自拟）</w:t>
      </w:r>
      <w:bookmarkEnd w:id="259"/>
    </w:p>
    <w:p w14:paraId="759B78E1">
      <w:pPr>
        <w:numPr>
          <w:ilvl w:val="0"/>
          <w:numId w:val="0"/>
        </w:num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（包括但不限于：具体实施流程、交货进度安排、质量保证措施、风险防范等措施、合理化建议和改进措施）；（如有）</w:t>
      </w:r>
    </w:p>
    <w:p w14:paraId="72F55B8D">
      <w:pPr>
        <w:snapToGrid w:val="0"/>
        <w:spacing w:line="400" w:lineRule="exact"/>
        <w:ind w:left="13" w:leftChars="6" w:firstLine="399" w:firstLineChars="190"/>
        <w:jc w:val="left"/>
        <w:rPr>
          <w:rFonts w:hint="eastAsia" w:ascii="宋体" w:hAnsi="宋体"/>
          <w:color w:val="auto"/>
          <w:szCs w:val="21"/>
          <w:highlight w:val="none"/>
          <w:lang w:val="en-US" w:eastAsia="zh-CN"/>
        </w:rPr>
      </w:pPr>
    </w:p>
    <w:p w14:paraId="1756636E">
      <w:pPr>
        <w:snapToGrid w:val="0"/>
        <w:spacing w:line="400" w:lineRule="exact"/>
        <w:ind w:left="13" w:leftChars="6" w:firstLine="399" w:firstLineChars="190"/>
        <w:jc w:val="left"/>
        <w:rPr>
          <w:rFonts w:hint="eastAsia" w:ascii="宋体" w:hAnsi="宋体"/>
          <w:color w:val="auto"/>
          <w:szCs w:val="21"/>
          <w:highlight w:val="none"/>
          <w:lang w:val="en-US" w:eastAsia="zh-CN"/>
        </w:rPr>
      </w:pPr>
    </w:p>
    <w:p w14:paraId="39B4CDD1">
      <w:pPr>
        <w:snapToGrid w:val="0"/>
        <w:spacing w:line="400" w:lineRule="exact"/>
        <w:jc w:val="left"/>
        <w:rPr>
          <w:rFonts w:hint="eastAsia" w:ascii="宋体" w:hAnsi="宋体" w:eastAsia="宋体" w:cs="Times New Roman"/>
          <w:b/>
          <w:color w:val="auto"/>
          <w:sz w:val="24"/>
          <w:highlight w:val="none"/>
          <w:lang w:val="en-US" w:eastAsia="zh-CN"/>
        </w:rPr>
      </w:pPr>
    </w:p>
    <w:p w14:paraId="3D82AC49">
      <w:pPr>
        <w:snapToGrid w:val="0"/>
        <w:spacing w:line="400" w:lineRule="exact"/>
        <w:jc w:val="left"/>
        <w:rPr>
          <w:rFonts w:hint="eastAsia" w:ascii="宋体" w:hAnsi="宋体" w:eastAsia="宋体" w:cs="Times New Roman"/>
          <w:b/>
          <w:color w:val="auto"/>
          <w:sz w:val="24"/>
          <w:highlight w:val="none"/>
          <w:lang w:val="en-US" w:eastAsia="zh-CN"/>
        </w:rPr>
      </w:pPr>
    </w:p>
    <w:p w14:paraId="58AA9294">
      <w:pPr>
        <w:keepNext w:val="0"/>
        <w:keepLines w:val="0"/>
        <w:pageBreakBefore w:val="0"/>
        <w:widowControl w:val="0"/>
        <w:kinsoku/>
        <w:wordWrap/>
        <w:overflowPunct/>
        <w:topLinePunct w:val="0"/>
        <w:autoSpaceDE/>
        <w:autoSpaceDN/>
        <w:bidi w:val="0"/>
        <w:adjustRightInd/>
        <w:snapToGrid w:val="0"/>
        <w:spacing w:line="400" w:lineRule="exact"/>
        <w:jc w:val="left"/>
        <w:textAlignment w:val="auto"/>
        <w:outlineLvl w:val="2"/>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br w:type="page"/>
      </w:r>
      <w:bookmarkStart w:id="260" w:name="_Toc8925"/>
      <w:r>
        <w:rPr>
          <w:rFonts w:hint="eastAsia" w:ascii="宋体" w:hAnsi="宋体" w:eastAsia="宋体" w:cs="Times New Roman"/>
          <w:b/>
          <w:color w:val="auto"/>
          <w:sz w:val="24"/>
          <w:highlight w:val="none"/>
          <w:lang w:val="en-US" w:eastAsia="zh-CN"/>
        </w:rPr>
        <w:t>7.所投产品主要技术参数、性能及原料情况</w:t>
      </w:r>
      <w:bookmarkEnd w:id="260"/>
    </w:p>
    <w:p w14:paraId="1BD602F2">
      <w:pPr>
        <w:numPr>
          <w:ilvl w:val="0"/>
          <w:numId w:val="0"/>
        </w:numPr>
        <w:snapToGrid w:val="0"/>
        <w:spacing w:line="40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w:t>
      </w:r>
      <w:r>
        <w:rPr>
          <w:rFonts w:hint="eastAsia" w:hAnsi="宋体" w:cs="Courier New"/>
          <w:bCs/>
          <w:color w:val="auto"/>
          <w:kern w:val="2"/>
          <w:sz w:val="21"/>
          <w:highlight w:val="none"/>
        </w:rPr>
        <w:t>提供202</w:t>
      </w:r>
      <w:r>
        <w:rPr>
          <w:rFonts w:hint="eastAsia" w:hAnsi="宋体" w:cs="Courier New"/>
          <w:bCs/>
          <w:color w:val="auto"/>
          <w:kern w:val="2"/>
          <w:sz w:val="21"/>
          <w:highlight w:val="none"/>
          <w:lang w:val="en-US" w:eastAsia="zh-CN"/>
        </w:rPr>
        <w:t>5</w:t>
      </w:r>
      <w:r>
        <w:rPr>
          <w:rFonts w:hint="eastAsia" w:hAnsi="宋体" w:cs="Courier New"/>
          <w:bCs/>
          <w:color w:val="auto"/>
          <w:kern w:val="2"/>
          <w:sz w:val="21"/>
          <w:highlight w:val="none"/>
        </w:rPr>
        <w:t>年以来连续5批次疫苗批签发报告原件扫描件，批签发报告中的指标参数必须清晰</w:t>
      </w:r>
      <w:r>
        <w:rPr>
          <w:rFonts w:hint="eastAsia" w:hAnsi="宋体" w:cs="Courier New"/>
          <w:bCs/>
          <w:color w:val="auto"/>
          <w:kern w:val="2"/>
          <w:sz w:val="21"/>
          <w:highlight w:val="none"/>
          <w:lang w:eastAsia="zh-CN"/>
        </w:rPr>
        <w:t>）。</w:t>
      </w:r>
      <w:r>
        <w:rPr>
          <w:rFonts w:hint="eastAsia" w:ascii="宋体" w:hAnsi="宋体"/>
          <w:color w:val="auto"/>
          <w:szCs w:val="21"/>
          <w:highlight w:val="none"/>
          <w:lang w:val="en-US" w:eastAsia="zh-CN"/>
        </w:rPr>
        <w:t>（本项为计分项，如有请提供。）</w:t>
      </w:r>
    </w:p>
    <w:p w14:paraId="0ED8E6B9">
      <w:pPr>
        <w:snapToGrid w:val="0"/>
        <w:spacing w:line="400" w:lineRule="exact"/>
        <w:jc w:val="left"/>
        <w:rPr>
          <w:rFonts w:hint="eastAsia" w:ascii="宋体" w:hAnsi="宋体" w:eastAsia="宋体" w:cs="Times New Roman"/>
          <w:b/>
          <w:color w:val="auto"/>
          <w:sz w:val="24"/>
          <w:highlight w:val="none"/>
          <w:lang w:val="en-US" w:eastAsia="zh-CN"/>
        </w:rPr>
      </w:pPr>
    </w:p>
    <w:p w14:paraId="27461E7F">
      <w:pPr>
        <w:snapToGrid w:val="0"/>
        <w:spacing w:line="400" w:lineRule="exact"/>
        <w:jc w:val="left"/>
        <w:rPr>
          <w:rFonts w:hint="eastAsia" w:ascii="宋体" w:hAnsi="宋体" w:eastAsia="宋体" w:cs="Times New Roman"/>
          <w:b/>
          <w:color w:val="auto"/>
          <w:sz w:val="24"/>
          <w:highlight w:val="none"/>
          <w:lang w:val="en-US" w:eastAsia="zh-CN"/>
        </w:rPr>
      </w:pPr>
    </w:p>
    <w:p w14:paraId="65B99CF4">
      <w:pPr>
        <w:keepNext w:val="0"/>
        <w:keepLines w:val="0"/>
        <w:pageBreakBefore w:val="0"/>
        <w:widowControl w:val="0"/>
        <w:kinsoku/>
        <w:wordWrap/>
        <w:overflowPunct/>
        <w:topLinePunct w:val="0"/>
        <w:autoSpaceDE/>
        <w:autoSpaceDN/>
        <w:bidi w:val="0"/>
        <w:adjustRightInd/>
        <w:snapToGrid w:val="0"/>
        <w:spacing w:line="400" w:lineRule="exact"/>
        <w:jc w:val="left"/>
        <w:textAlignment w:val="auto"/>
        <w:outlineLvl w:val="2"/>
        <w:rPr>
          <w:rFonts w:hint="eastAsia" w:ascii="宋体" w:hAnsi="宋体" w:eastAsia="宋体" w:cs="Times New Roman"/>
          <w:b/>
          <w:color w:val="auto"/>
          <w:sz w:val="24"/>
          <w:highlight w:val="none"/>
          <w:lang w:val="en-US" w:eastAsia="zh-CN"/>
        </w:rPr>
      </w:pPr>
      <w:bookmarkStart w:id="261" w:name="_Toc5805"/>
      <w:r>
        <w:rPr>
          <w:rFonts w:hint="eastAsia" w:ascii="宋体" w:hAnsi="宋体" w:eastAsia="宋体" w:cs="Times New Roman"/>
          <w:b/>
          <w:color w:val="auto"/>
          <w:sz w:val="24"/>
          <w:highlight w:val="none"/>
          <w:lang w:val="en-US" w:eastAsia="zh-CN"/>
        </w:rPr>
        <w:t>8、综合实力证明材料</w:t>
      </w:r>
      <w:bookmarkEnd w:id="261"/>
    </w:p>
    <w:p w14:paraId="19642074">
      <w:pPr>
        <w:numPr>
          <w:ilvl w:val="0"/>
          <w:numId w:val="0"/>
        </w:numPr>
        <w:snapToGrid w:val="0"/>
        <w:spacing w:line="400" w:lineRule="exact"/>
        <w:ind w:leftChars="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（本项为计分项，如有请提供。）</w:t>
      </w:r>
    </w:p>
    <w:p w14:paraId="7E9932DA">
      <w:pPr>
        <w:snapToGrid w:val="0"/>
        <w:spacing w:line="400" w:lineRule="exact"/>
        <w:ind w:left="13" w:leftChars="6" w:firstLine="399" w:firstLineChars="190"/>
        <w:jc w:val="left"/>
        <w:rPr>
          <w:rFonts w:hint="eastAsia" w:ascii="宋体" w:hAnsi="宋体"/>
          <w:color w:val="auto"/>
          <w:szCs w:val="21"/>
          <w:highlight w:val="none"/>
          <w:lang w:val="en-US" w:eastAsia="zh-CN"/>
        </w:rPr>
      </w:pPr>
    </w:p>
    <w:p w14:paraId="68986BAE">
      <w:pPr>
        <w:snapToGrid w:val="0"/>
        <w:spacing w:line="400" w:lineRule="exact"/>
        <w:jc w:val="left"/>
        <w:rPr>
          <w:rFonts w:hint="eastAsia" w:ascii="宋体" w:hAnsi="宋体" w:eastAsia="宋体" w:cs="Times New Roman"/>
          <w:b/>
          <w:color w:val="auto"/>
          <w:sz w:val="24"/>
          <w:highlight w:val="none"/>
          <w:lang w:val="en-US" w:eastAsia="zh-CN"/>
        </w:rPr>
      </w:pPr>
    </w:p>
    <w:p w14:paraId="52B27BA4">
      <w:pPr>
        <w:snapToGrid w:val="0"/>
        <w:spacing w:line="400" w:lineRule="exact"/>
        <w:jc w:val="left"/>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t>9、除招标文件规定必须提供以外，投标人认为需要提供的其他证明材料（格式自拟）</w:t>
      </w:r>
    </w:p>
    <w:p w14:paraId="2770F1B9">
      <w:pPr>
        <w:numPr>
          <w:ilvl w:val="0"/>
          <w:numId w:val="0"/>
        </w:numPr>
        <w:snapToGrid w:val="0"/>
        <w:spacing w:line="400" w:lineRule="exact"/>
        <w:jc w:val="left"/>
        <w:rPr>
          <w:rFonts w:hint="eastAsia" w:ascii="宋体" w:hAnsi="宋体"/>
          <w:color w:val="auto"/>
          <w:sz w:val="24"/>
          <w:szCs w:val="20"/>
          <w:highlight w:val="none"/>
        </w:rPr>
      </w:pPr>
      <w:r>
        <w:rPr>
          <w:rFonts w:hint="eastAsia" w:ascii="宋体" w:hAnsi="宋体"/>
          <w:color w:val="auto"/>
          <w:szCs w:val="21"/>
          <w:highlight w:val="none"/>
        </w:rPr>
        <w:t>（投标人根据“第二章 采购需求”及“第四章 评标方法及评标标准”</w:t>
      </w:r>
      <w:r>
        <w:rPr>
          <w:rFonts w:hint="eastAsia" w:ascii="宋体" w:hAnsi="宋体"/>
          <w:color w:val="auto"/>
          <w:szCs w:val="21"/>
          <w:highlight w:val="none"/>
          <w:lang w:val="en-US" w:eastAsia="zh-CN"/>
        </w:rPr>
        <w:t>认为还需</w:t>
      </w:r>
      <w:r>
        <w:rPr>
          <w:rFonts w:hint="eastAsia" w:ascii="宋体" w:hAnsi="宋体"/>
          <w:color w:val="auto"/>
          <w:szCs w:val="21"/>
          <w:highlight w:val="none"/>
        </w:rPr>
        <w:t>提供</w:t>
      </w:r>
      <w:r>
        <w:rPr>
          <w:rFonts w:hint="eastAsia" w:ascii="宋体" w:hAnsi="宋体"/>
          <w:color w:val="auto"/>
          <w:szCs w:val="21"/>
          <w:highlight w:val="none"/>
          <w:lang w:val="en-US" w:eastAsia="zh-CN"/>
        </w:rPr>
        <w:t>的</w:t>
      </w:r>
      <w:r>
        <w:rPr>
          <w:rFonts w:hint="eastAsia" w:ascii="宋体" w:hAnsi="宋体"/>
          <w:color w:val="auto"/>
          <w:szCs w:val="21"/>
          <w:highlight w:val="none"/>
        </w:rPr>
        <w:t>有关证明材料）。</w:t>
      </w:r>
    </w:p>
    <w:p w14:paraId="37E4B4A2">
      <w:pPr>
        <w:snapToGrid w:val="0"/>
        <w:spacing w:before="120" w:beforeLines="50" w:after="50"/>
        <w:ind w:left="142"/>
        <w:jc w:val="left"/>
        <w:outlineLvl w:val="2"/>
        <w:rPr>
          <w:rFonts w:hint="eastAsia" w:ascii="宋体" w:hAnsi="宋体"/>
          <w:b/>
          <w:color w:val="auto"/>
          <w:sz w:val="24"/>
          <w:highlight w:val="none"/>
        </w:rPr>
      </w:pPr>
      <w:bookmarkStart w:id="262" w:name="_Toc7783"/>
      <w:r>
        <w:rPr>
          <w:rFonts w:hint="eastAsia" w:ascii="宋体" w:hAnsi="宋体"/>
          <w:b/>
          <w:color w:val="auto"/>
          <w:sz w:val="24"/>
          <w:highlight w:val="none"/>
          <w:lang w:val="en-US" w:eastAsia="zh-CN"/>
        </w:rPr>
        <w:t>9.1</w:t>
      </w:r>
      <w:r>
        <w:rPr>
          <w:rFonts w:hint="eastAsia" w:ascii="宋体" w:hAnsi="宋体"/>
          <w:b/>
          <w:color w:val="auto"/>
          <w:sz w:val="24"/>
          <w:highlight w:val="none"/>
        </w:rPr>
        <w:t>项目实施人员一览表（格式）</w:t>
      </w:r>
      <w:bookmarkEnd w:id="262"/>
    </w:p>
    <w:p w14:paraId="5E9BA871">
      <w:pPr>
        <w:snapToGrid w:val="0"/>
        <w:spacing w:before="120" w:beforeLines="50" w:after="50"/>
        <w:ind w:left="142"/>
        <w:jc w:val="left"/>
        <w:rPr>
          <w:rFonts w:hint="eastAsia" w:ascii="宋体" w:hAnsi="宋体"/>
          <w:b/>
          <w:color w:val="auto"/>
          <w:sz w:val="24"/>
          <w:highlight w:val="none"/>
        </w:rPr>
      </w:pPr>
    </w:p>
    <w:p w14:paraId="716C9C41">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项目实施人员一览表</w:t>
      </w:r>
    </w:p>
    <w:p w14:paraId="2D2A2A96">
      <w:pPr>
        <w:pStyle w:val="24"/>
        <w:rPr>
          <w:color w:val="auto"/>
          <w:sz w:val="24"/>
          <w:szCs w:val="24"/>
          <w:highlight w:val="none"/>
        </w:rPr>
      </w:pPr>
    </w:p>
    <w:p w14:paraId="79F4E4F9">
      <w:pPr>
        <w:pStyle w:val="24"/>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49"/>
        <w:tblW w:w="50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696"/>
        <w:gridCol w:w="696"/>
        <w:gridCol w:w="696"/>
        <w:gridCol w:w="815"/>
        <w:gridCol w:w="1160"/>
        <w:gridCol w:w="1626"/>
        <w:gridCol w:w="1201"/>
        <w:gridCol w:w="1243"/>
      </w:tblGrid>
      <w:tr w14:paraId="5CA2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6F371BF6">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姓名</w:t>
            </w:r>
          </w:p>
        </w:tc>
        <w:tc>
          <w:tcPr>
            <w:tcW w:w="281" w:type="pct"/>
            <w:noWrap w:val="0"/>
            <w:vAlign w:val="center"/>
          </w:tcPr>
          <w:p w14:paraId="6A981A28">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性别</w:t>
            </w:r>
          </w:p>
        </w:tc>
        <w:tc>
          <w:tcPr>
            <w:tcW w:w="311" w:type="pct"/>
            <w:noWrap w:val="0"/>
            <w:vAlign w:val="center"/>
          </w:tcPr>
          <w:p w14:paraId="23A0B001">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职务</w:t>
            </w:r>
          </w:p>
        </w:tc>
        <w:tc>
          <w:tcPr>
            <w:tcW w:w="317" w:type="pct"/>
            <w:noWrap w:val="0"/>
            <w:vAlign w:val="center"/>
          </w:tcPr>
          <w:p w14:paraId="22EE7902">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学历</w:t>
            </w:r>
          </w:p>
        </w:tc>
        <w:tc>
          <w:tcPr>
            <w:tcW w:w="498" w:type="pct"/>
            <w:noWrap w:val="0"/>
            <w:vAlign w:val="center"/>
          </w:tcPr>
          <w:p w14:paraId="3DBB97CF">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工作年限</w:t>
            </w:r>
          </w:p>
        </w:tc>
        <w:tc>
          <w:tcPr>
            <w:tcW w:w="691" w:type="pct"/>
            <w:noWrap w:val="0"/>
            <w:vAlign w:val="center"/>
          </w:tcPr>
          <w:p w14:paraId="3664A81C">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联系电话</w:t>
            </w:r>
          </w:p>
        </w:tc>
        <w:tc>
          <w:tcPr>
            <w:tcW w:w="951" w:type="pct"/>
            <w:noWrap w:val="0"/>
            <w:vAlign w:val="center"/>
          </w:tcPr>
          <w:p w14:paraId="444DB41E">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714" w:type="pct"/>
            <w:noWrap w:val="0"/>
            <w:vAlign w:val="center"/>
          </w:tcPr>
          <w:p w14:paraId="755DE83F">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在本项目中的职责分工</w:t>
            </w:r>
          </w:p>
        </w:tc>
        <w:tc>
          <w:tcPr>
            <w:tcW w:w="737" w:type="pct"/>
            <w:noWrap w:val="0"/>
            <w:vAlign w:val="center"/>
          </w:tcPr>
          <w:p w14:paraId="0185CF3B">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项目经历</w:t>
            </w:r>
          </w:p>
        </w:tc>
      </w:tr>
      <w:tr w14:paraId="514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119A4A09">
            <w:pPr>
              <w:snapToGrid w:val="0"/>
              <w:spacing w:before="50" w:after="120" w:afterLines="50"/>
              <w:jc w:val="center"/>
              <w:rPr>
                <w:rFonts w:hint="eastAsia" w:ascii="宋体" w:hAnsi="宋体"/>
                <w:color w:val="auto"/>
                <w:sz w:val="24"/>
                <w:szCs w:val="20"/>
                <w:highlight w:val="none"/>
              </w:rPr>
            </w:pPr>
          </w:p>
        </w:tc>
        <w:tc>
          <w:tcPr>
            <w:tcW w:w="281" w:type="pct"/>
            <w:noWrap w:val="0"/>
            <w:vAlign w:val="center"/>
          </w:tcPr>
          <w:p w14:paraId="7C94DB1D">
            <w:pPr>
              <w:snapToGrid w:val="0"/>
              <w:spacing w:before="50" w:after="120" w:afterLines="50"/>
              <w:jc w:val="center"/>
              <w:rPr>
                <w:rFonts w:hint="eastAsia" w:ascii="宋体" w:hAnsi="宋体"/>
                <w:color w:val="auto"/>
                <w:sz w:val="24"/>
                <w:szCs w:val="20"/>
                <w:highlight w:val="none"/>
              </w:rPr>
            </w:pPr>
          </w:p>
        </w:tc>
        <w:tc>
          <w:tcPr>
            <w:tcW w:w="311" w:type="pct"/>
            <w:noWrap w:val="0"/>
            <w:vAlign w:val="center"/>
          </w:tcPr>
          <w:p w14:paraId="7F86B79A">
            <w:pPr>
              <w:snapToGrid w:val="0"/>
              <w:spacing w:before="50" w:after="120" w:afterLines="50"/>
              <w:jc w:val="center"/>
              <w:rPr>
                <w:rFonts w:hint="eastAsia" w:ascii="宋体" w:hAnsi="宋体"/>
                <w:color w:val="auto"/>
                <w:sz w:val="24"/>
                <w:szCs w:val="20"/>
                <w:highlight w:val="none"/>
              </w:rPr>
            </w:pPr>
          </w:p>
        </w:tc>
        <w:tc>
          <w:tcPr>
            <w:tcW w:w="317" w:type="pct"/>
            <w:noWrap w:val="0"/>
            <w:vAlign w:val="center"/>
          </w:tcPr>
          <w:p w14:paraId="274AE8F2">
            <w:pPr>
              <w:snapToGrid w:val="0"/>
              <w:spacing w:before="50" w:after="120" w:afterLines="50"/>
              <w:jc w:val="center"/>
              <w:rPr>
                <w:rFonts w:hint="eastAsia" w:ascii="宋体" w:hAnsi="宋体"/>
                <w:color w:val="auto"/>
                <w:sz w:val="24"/>
                <w:szCs w:val="20"/>
                <w:highlight w:val="none"/>
              </w:rPr>
            </w:pPr>
          </w:p>
        </w:tc>
        <w:tc>
          <w:tcPr>
            <w:tcW w:w="498" w:type="pct"/>
            <w:noWrap w:val="0"/>
            <w:vAlign w:val="center"/>
          </w:tcPr>
          <w:p w14:paraId="0D78E6B0">
            <w:pPr>
              <w:snapToGrid w:val="0"/>
              <w:spacing w:before="50" w:after="120" w:afterLines="50"/>
              <w:jc w:val="center"/>
              <w:rPr>
                <w:rFonts w:hint="eastAsia" w:ascii="宋体" w:hAnsi="宋体"/>
                <w:color w:val="auto"/>
                <w:sz w:val="24"/>
                <w:szCs w:val="20"/>
                <w:highlight w:val="none"/>
              </w:rPr>
            </w:pPr>
          </w:p>
        </w:tc>
        <w:tc>
          <w:tcPr>
            <w:tcW w:w="691" w:type="pct"/>
            <w:noWrap w:val="0"/>
            <w:vAlign w:val="center"/>
          </w:tcPr>
          <w:p w14:paraId="0AB64F2A">
            <w:pPr>
              <w:snapToGrid w:val="0"/>
              <w:spacing w:before="50" w:after="120" w:afterLines="50"/>
              <w:jc w:val="center"/>
              <w:rPr>
                <w:rFonts w:hint="eastAsia" w:ascii="宋体" w:hAnsi="宋体"/>
                <w:color w:val="auto"/>
                <w:sz w:val="24"/>
                <w:szCs w:val="20"/>
                <w:highlight w:val="none"/>
              </w:rPr>
            </w:pPr>
          </w:p>
        </w:tc>
        <w:tc>
          <w:tcPr>
            <w:tcW w:w="951" w:type="pct"/>
            <w:noWrap w:val="0"/>
            <w:vAlign w:val="center"/>
          </w:tcPr>
          <w:p w14:paraId="3701EBBC">
            <w:pPr>
              <w:snapToGrid w:val="0"/>
              <w:spacing w:before="50" w:after="120" w:afterLines="50"/>
              <w:jc w:val="center"/>
              <w:rPr>
                <w:rFonts w:hint="eastAsia" w:ascii="宋体" w:hAnsi="宋体"/>
                <w:color w:val="auto"/>
                <w:sz w:val="24"/>
                <w:szCs w:val="20"/>
                <w:highlight w:val="none"/>
              </w:rPr>
            </w:pPr>
          </w:p>
        </w:tc>
        <w:tc>
          <w:tcPr>
            <w:tcW w:w="714" w:type="pct"/>
            <w:noWrap w:val="0"/>
            <w:vAlign w:val="center"/>
          </w:tcPr>
          <w:p w14:paraId="0D97B8EE">
            <w:pPr>
              <w:snapToGrid w:val="0"/>
              <w:spacing w:before="50" w:after="120" w:afterLines="50"/>
              <w:jc w:val="center"/>
              <w:rPr>
                <w:rFonts w:hint="eastAsia" w:ascii="宋体" w:hAnsi="宋体"/>
                <w:color w:val="auto"/>
                <w:sz w:val="24"/>
                <w:szCs w:val="20"/>
                <w:highlight w:val="none"/>
              </w:rPr>
            </w:pPr>
          </w:p>
        </w:tc>
        <w:tc>
          <w:tcPr>
            <w:tcW w:w="737" w:type="pct"/>
            <w:noWrap w:val="0"/>
            <w:vAlign w:val="center"/>
          </w:tcPr>
          <w:p w14:paraId="1B09DFA3">
            <w:pPr>
              <w:snapToGrid w:val="0"/>
              <w:spacing w:before="50" w:after="120" w:afterLines="50"/>
              <w:jc w:val="center"/>
              <w:rPr>
                <w:rFonts w:hint="eastAsia" w:ascii="宋体" w:hAnsi="宋体"/>
                <w:color w:val="auto"/>
                <w:sz w:val="24"/>
                <w:szCs w:val="20"/>
                <w:highlight w:val="none"/>
              </w:rPr>
            </w:pPr>
          </w:p>
        </w:tc>
      </w:tr>
      <w:tr w14:paraId="2E04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1206855F">
            <w:pPr>
              <w:snapToGrid w:val="0"/>
              <w:spacing w:before="50" w:after="120" w:afterLines="50"/>
              <w:jc w:val="center"/>
              <w:rPr>
                <w:rFonts w:hint="eastAsia" w:ascii="宋体" w:hAnsi="宋体"/>
                <w:color w:val="auto"/>
                <w:sz w:val="24"/>
                <w:szCs w:val="20"/>
                <w:highlight w:val="none"/>
              </w:rPr>
            </w:pPr>
          </w:p>
        </w:tc>
        <w:tc>
          <w:tcPr>
            <w:tcW w:w="281" w:type="pct"/>
            <w:noWrap w:val="0"/>
            <w:vAlign w:val="center"/>
          </w:tcPr>
          <w:p w14:paraId="333346E9">
            <w:pPr>
              <w:snapToGrid w:val="0"/>
              <w:spacing w:before="50" w:after="120" w:afterLines="50"/>
              <w:jc w:val="center"/>
              <w:rPr>
                <w:rFonts w:hint="eastAsia" w:ascii="宋体" w:hAnsi="宋体"/>
                <w:color w:val="auto"/>
                <w:sz w:val="24"/>
                <w:szCs w:val="20"/>
                <w:highlight w:val="none"/>
              </w:rPr>
            </w:pPr>
          </w:p>
        </w:tc>
        <w:tc>
          <w:tcPr>
            <w:tcW w:w="311" w:type="pct"/>
            <w:noWrap w:val="0"/>
            <w:vAlign w:val="center"/>
          </w:tcPr>
          <w:p w14:paraId="4415F50A">
            <w:pPr>
              <w:snapToGrid w:val="0"/>
              <w:spacing w:before="50" w:after="120" w:afterLines="50"/>
              <w:jc w:val="center"/>
              <w:rPr>
                <w:rFonts w:hint="eastAsia" w:ascii="宋体" w:hAnsi="宋体"/>
                <w:color w:val="auto"/>
                <w:sz w:val="24"/>
                <w:szCs w:val="20"/>
                <w:highlight w:val="none"/>
              </w:rPr>
            </w:pPr>
          </w:p>
        </w:tc>
        <w:tc>
          <w:tcPr>
            <w:tcW w:w="317" w:type="pct"/>
            <w:noWrap w:val="0"/>
            <w:vAlign w:val="center"/>
          </w:tcPr>
          <w:p w14:paraId="434972A9">
            <w:pPr>
              <w:snapToGrid w:val="0"/>
              <w:spacing w:before="50" w:after="120" w:afterLines="50"/>
              <w:jc w:val="center"/>
              <w:rPr>
                <w:rFonts w:hint="eastAsia" w:ascii="宋体" w:hAnsi="宋体"/>
                <w:color w:val="auto"/>
                <w:sz w:val="24"/>
                <w:szCs w:val="20"/>
                <w:highlight w:val="none"/>
              </w:rPr>
            </w:pPr>
          </w:p>
        </w:tc>
        <w:tc>
          <w:tcPr>
            <w:tcW w:w="498" w:type="pct"/>
            <w:noWrap w:val="0"/>
            <w:vAlign w:val="center"/>
          </w:tcPr>
          <w:p w14:paraId="4AAE2C21">
            <w:pPr>
              <w:snapToGrid w:val="0"/>
              <w:spacing w:before="50" w:after="120" w:afterLines="50"/>
              <w:jc w:val="center"/>
              <w:rPr>
                <w:rFonts w:hint="eastAsia" w:ascii="宋体" w:hAnsi="宋体"/>
                <w:color w:val="auto"/>
                <w:sz w:val="24"/>
                <w:szCs w:val="20"/>
                <w:highlight w:val="none"/>
              </w:rPr>
            </w:pPr>
          </w:p>
        </w:tc>
        <w:tc>
          <w:tcPr>
            <w:tcW w:w="691" w:type="pct"/>
            <w:noWrap w:val="0"/>
            <w:vAlign w:val="center"/>
          </w:tcPr>
          <w:p w14:paraId="29D5F8CF">
            <w:pPr>
              <w:snapToGrid w:val="0"/>
              <w:spacing w:before="50" w:after="120" w:afterLines="50"/>
              <w:jc w:val="center"/>
              <w:rPr>
                <w:rFonts w:hint="eastAsia" w:ascii="宋体" w:hAnsi="宋体"/>
                <w:color w:val="auto"/>
                <w:sz w:val="24"/>
                <w:szCs w:val="20"/>
                <w:highlight w:val="none"/>
              </w:rPr>
            </w:pPr>
          </w:p>
        </w:tc>
        <w:tc>
          <w:tcPr>
            <w:tcW w:w="951" w:type="pct"/>
            <w:noWrap w:val="0"/>
            <w:vAlign w:val="center"/>
          </w:tcPr>
          <w:p w14:paraId="4350C597">
            <w:pPr>
              <w:snapToGrid w:val="0"/>
              <w:spacing w:before="50" w:after="120" w:afterLines="50"/>
              <w:jc w:val="center"/>
              <w:rPr>
                <w:rFonts w:hint="eastAsia" w:ascii="宋体" w:hAnsi="宋体"/>
                <w:color w:val="auto"/>
                <w:sz w:val="24"/>
                <w:szCs w:val="20"/>
                <w:highlight w:val="none"/>
              </w:rPr>
            </w:pPr>
          </w:p>
        </w:tc>
        <w:tc>
          <w:tcPr>
            <w:tcW w:w="714" w:type="pct"/>
            <w:noWrap w:val="0"/>
            <w:vAlign w:val="center"/>
          </w:tcPr>
          <w:p w14:paraId="20CA0804">
            <w:pPr>
              <w:snapToGrid w:val="0"/>
              <w:spacing w:before="50" w:after="120" w:afterLines="50"/>
              <w:jc w:val="center"/>
              <w:rPr>
                <w:rFonts w:hint="eastAsia" w:ascii="宋体" w:hAnsi="宋体"/>
                <w:color w:val="auto"/>
                <w:sz w:val="24"/>
                <w:szCs w:val="20"/>
                <w:highlight w:val="none"/>
              </w:rPr>
            </w:pPr>
          </w:p>
        </w:tc>
        <w:tc>
          <w:tcPr>
            <w:tcW w:w="737" w:type="pct"/>
            <w:noWrap w:val="0"/>
            <w:vAlign w:val="center"/>
          </w:tcPr>
          <w:p w14:paraId="5559AA1C">
            <w:pPr>
              <w:snapToGrid w:val="0"/>
              <w:spacing w:before="50" w:after="120" w:afterLines="50"/>
              <w:jc w:val="center"/>
              <w:rPr>
                <w:rFonts w:hint="eastAsia" w:ascii="宋体" w:hAnsi="宋体"/>
                <w:color w:val="auto"/>
                <w:sz w:val="24"/>
                <w:szCs w:val="20"/>
                <w:highlight w:val="none"/>
              </w:rPr>
            </w:pPr>
          </w:p>
        </w:tc>
      </w:tr>
      <w:tr w14:paraId="2F08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410ADAE1">
            <w:pPr>
              <w:snapToGrid w:val="0"/>
              <w:spacing w:before="50" w:after="120" w:afterLines="50"/>
              <w:jc w:val="center"/>
              <w:rPr>
                <w:rFonts w:hint="eastAsia" w:ascii="宋体" w:hAnsi="宋体"/>
                <w:color w:val="auto"/>
                <w:sz w:val="24"/>
                <w:szCs w:val="20"/>
                <w:highlight w:val="none"/>
              </w:rPr>
            </w:pPr>
          </w:p>
        </w:tc>
        <w:tc>
          <w:tcPr>
            <w:tcW w:w="281" w:type="pct"/>
            <w:noWrap w:val="0"/>
            <w:vAlign w:val="center"/>
          </w:tcPr>
          <w:p w14:paraId="60192C65">
            <w:pPr>
              <w:snapToGrid w:val="0"/>
              <w:spacing w:before="50" w:after="120" w:afterLines="50"/>
              <w:jc w:val="center"/>
              <w:rPr>
                <w:rFonts w:hint="eastAsia" w:ascii="宋体" w:hAnsi="宋体"/>
                <w:color w:val="auto"/>
                <w:sz w:val="24"/>
                <w:szCs w:val="20"/>
                <w:highlight w:val="none"/>
              </w:rPr>
            </w:pPr>
          </w:p>
        </w:tc>
        <w:tc>
          <w:tcPr>
            <w:tcW w:w="311" w:type="pct"/>
            <w:noWrap w:val="0"/>
            <w:vAlign w:val="center"/>
          </w:tcPr>
          <w:p w14:paraId="3C12133F">
            <w:pPr>
              <w:snapToGrid w:val="0"/>
              <w:spacing w:before="50" w:after="120" w:afterLines="50"/>
              <w:jc w:val="center"/>
              <w:rPr>
                <w:rFonts w:hint="eastAsia" w:ascii="宋体" w:hAnsi="宋体"/>
                <w:color w:val="auto"/>
                <w:sz w:val="24"/>
                <w:szCs w:val="20"/>
                <w:highlight w:val="none"/>
              </w:rPr>
            </w:pPr>
          </w:p>
        </w:tc>
        <w:tc>
          <w:tcPr>
            <w:tcW w:w="317" w:type="pct"/>
            <w:noWrap w:val="0"/>
            <w:vAlign w:val="center"/>
          </w:tcPr>
          <w:p w14:paraId="25996AE7">
            <w:pPr>
              <w:snapToGrid w:val="0"/>
              <w:spacing w:before="50" w:after="120" w:afterLines="50"/>
              <w:jc w:val="center"/>
              <w:rPr>
                <w:rFonts w:hint="eastAsia" w:ascii="宋体" w:hAnsi="宋体"/>
                <w:color w:val="auto"/>
                <w:sz w:val="24"/>
                <w:szCs w:val="20"/>
                <w:highlight w:val="none"/>
              </w:rPr>
            </w:pPr>
          </w:p>
        </w:tc>
        <w:tc>
          <w:tcPr>
            <w:tcW w:w="498" w:type="pct"/>
            <w:noWrap w:val="0"/>
            <w:vAlign w:val="center"/>
          </w:tcPr>
          <w:p w14:paraId="4A7CDB52">
            <w:pPr>
              <w:snapToGrid w:val="0"/>
              <w:spacing w:before="50" w:after="120" w:afterLines="50"/>
              <w:jc w:val="center"/>
              <w:rPr>
                <w:rFonts w:hint="eastAsia" w:ascii="宋体" w:hAnsi="宋体"/>
                <w:color w:val="auto"/>
                <w:sz w:val="24"/>
                <w:szCs w:val="20"/>
                <w:highlight w:val="none"/>
              </w:rPr>
            </w:pPr>
          </w:p>
        </w:tc>
        <w:tc>
          <w:tcPr>
            <w:tcW w:w="691" w:type="pct"/>
            <w:noWrap w:val="0"/>
            <w:vAlign w:val="center"/>
          </w:tcPr>
          <w:p w14:paraId="17F5E244">
            <w:pPr>
              <w:snapToGrid w:val="0"/>
              <w:spacing w:before="50" w:after="120" w:afterLines="50"/>
              <w:jc w:val="center"/>
              <w:rPr>
                <w:rFonts w:hint="eastAsia" w:ascii="宋体" w:hAnsi="宋体"/>
                <w:color w:val="auto"/>
                <w:sz w:val="24"/>
                <w:szCs w:val="20"/>
                <w:highlight w:val="none"/>
              </w:rPr>
            </w:pPr>
          </w:p>
        </w:tc>
        <w:tc>
          <w:tcPr>
            <w:tcW w:w="951" w:type="pct"/>
            <w:noWrap w:val="0"/>
            <w:vAlign w:val="center"/>
          </w:tcPr>
          <w:p w14:paraId="5BC6127C">
            <w:pPr>
              <w:snapToGrid w:val="0"/>
              <w:spacing w:before="50" w:after="120" w:afterLines="50"/>
              <w:jc w:val="center"/>
              <w:rPr>
                <w:rFonts w:hint="eastAsia" w:ascii="宋体" w:hAnsi="宋体"/>
                <w:color w:val="auto"/>
                <w:sz w:val="24"/>
                <w:szCs w:val="20"/>
                <w:highlight w:val="none"/>
              </w:rPr>
            </w:pPr>
          </w:p>
        </w:tc>
        <w:tc>
          <w:tcPr>
            <w:tcW w:w="714" w:type="pct"/>
            <w:noWrap w:val="0"/>
            <w:vAlign w:val="center"/>
          </w:tcPr>
          <w:p w14:paraId="6FD236BD">
            <w:pPr>
              <w:snapToGrid w:val="0"/>
              <w:spacing w:before="50" w:after="120" w:afterLines="50"/>
              <w:jc w:val="center"/>
              <w:rPr>
                <w:rFonts w:hint="eastAsia" w:ascii="宋体" w:hAnsi="宋体"/>
                <w:color w:val="auto"/>
                <w:sz w:val="24"/>
                <w:szCs w:val="20"/>
                <w:highlight w:val="none"/>
              </w:rPr>
            </w:pPr>
          </w:p>
        </w:tc>
        <w:tc>
          <w:tcPr>
            <w:tcW w:w="737" w:type="pct"/>
            <w:noWrap w:val="0"/>
            <w:vAlign w:val="center"/>
          </w:tcPr>
          <w:p w14:paraId="785BB8AD">
            <w:pPr>
              <w:snapToGrid w:val="0"/>
              <w:spacing w:before="50" w:after="120" w:afterLines="50"/>
              <w:jc w:val="center"/>
              <w:rPr>
                <w:rFonts w:hint="eastAsia" w:ascii="宋体" w:hAnsi="宋体"/>
                <w:color w:val="auto"/>
                <w:sz w:val="24"/>
                <w:szCs w:val="20"/>
                <w:highlight w:val="none"/>
              </w:rPr>
            </w:pPr>
          </w:p>
        </w:tc>
      </w:tr>
      <w:tr w14:paraId="4785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6235B543">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281" w:type="pct"/>
            <w:noWrap w:val="0"/>
            <w:vAlign w:val="center"/>
          </w:tcPr>
          <w:p w14:paraId="66C9C96B">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311" w:type="pct"/>
            <w:noWrap w:val="0"/>
            <w:vAlign w:val="center"/>
          </w:tcPr>
          <w:p w14:paraId="3C2679A3">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317" w:type="pct"/>
            <w:noWrap w:val="0"/>
            <w:vAlign w:val="center"/>
          </w:tcPr>
          <w:p w14:paraId="75E0552D">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498" w:type="pct"/>
            <w:noWrap w:val="0"/>
            <w:vAlign w:val="center"/>
          </w:tcPr>
          <w:p w14:paraId="2BD3A2B4">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691" w:type="pct"/>
            <w:noWrap w:val="0"/>
            <w:vAlign w:val="center"/>
          </w:tcPr>
          <w:p w14:paraId="4A01D2E7">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951" w:type="pct"/>
            <w:noWrap w:val="0"/>
            <w:vAlign w:val="center"/>
          </w:tcPr>
          <w:p w14:paraId="30499A21">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714" w:type="pct"/>
            <w:noWrap w:val="0"/>
            <w:vAlign w:val="center"/>
          </w:tcPr>
          <w:p w14:paraId="5D4DAB8E">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c>
          <w:tcPr>
            <w:tcW w:w="737" w:type="pct"/>
            <w:noWrap w:val="0"/>
            <w:vAlign w:val="center"/>
          </w:tcPr>
          <w:p w14:paraId="24CD6089">
            <w:pPr>
              <w:snapToGrid w:val="0"/>
              <w:spacing w:before="50" w:after="120" w:afterLines="50"/>
              <w:jc w:val="center"/>
              <w:rPr>
                <w:rFonts w:hint="eastAsia" w:ascii="宋体" w:hAnsi="宋体"/>
                <w:color w:val="auto"/>
                <w:sz w:val="24"/>
                <w:szCs w:val="20"/>
                <w:highlight w:val="none"/>
              </w:rPr>
            </w:pPr>
            <w:r>
              <w:rPr>
                <w:rFonts w:ascii="宋体" w:hAnsi="宋体"/>
                <w:color w:val="auto"/>
                <w:sz w:val="24"/>
                <w:szCs w:val="20"/>
                <w:highlight w:val="none"/>
              </w:rPr>
              <w:t>……</w:t>
            </w:r>
          </w:p>
        </w:tc>
      </w:tr>
    </w:tbl>
    <w:p w14:paraId="0342A12D">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72FF81A4">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在填写时，如本表格不适合投标单位的实际情况，可自行制表填写。</w:t>
      </w:r>
    </w:p>
    <w:p w14:paraId="414B1954">
      <w:pPr>
        <w:spacing w:line="360" w:lineRule="auto"/>
        <w:contextualSpacing/>
        <w:jc w:val="left"/>
        <w:rPr>
          <w:rFonts w:hint="eastAsia"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采购需求或评标办法如有要求，投标人根据要求提供人员证明材料。</w:t>
      </w:r>
    </w:p>
    <w:p w14:paraId="599FD7B5">
      <w:pPr>
        <w:spacing w:line="360" w:lineRule="auto"/>
        <w:contextualSpacing/>
        <w:jc w:val="left"/>
        <w:rPr>
          <w:rFonts w:hint="eastAsia" w:ascii="宋体" w:hAnsi="宋体"/>
          <w:color w:val="auto"/>
          <w:sz w:val="24"/>
          <w:szCs w:val="20"/>
          <w:highlight w:val="none"/>
        </w:rPr>
      </w:pPr>
    </w:p>
    <w:p w14:paraId="3A418761">
      <w:pPr>
        <w:spacing w:line="360" w:lineRule="auto"/>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投标人名称（电子签章）：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0CF994E5">
      <w:pPr>
        <w:snapToGrid w:val="0"/>
        <w:spacing w:before="50" w:after="120" w:afterLines="50"/>
        <w:jc w:val="left"/>
        <w:rPr>
          <w:rFonts w:hint="eastAsia" w:ascii="宋体" w:hAnsi="宋体"/>
          <w:color w:val="auto"/>
          <w:sz w:val="24"/>
          <w:szCs w:val="20"/>
          <w:highlight w:val="none"/>
        </w:rPr>
      </w:pPr>
    </w:p>
    <w:p w14:paraId="3559123E">
      <w:pPr>
        <w:snapToGrid w:val="0"/>
        <w:spacing w:before="120" w:beforeLines="50" w:after="50"/>
        <w:jc w:val="left"/>
        <w:outlineLvl w:val="2"/>
        <w:rPr>
          <w:rFonts w:hint="eastAsia" w:ascii="宋体" w:hAnsi="宋体"/>
          <w:b/>
          <w:color w:val="auto"/>
          <w:sz w:val="24"/>
          <w:highlight w:val="none"/>
        </w:rPr>
      </w:pPr>
      <w:r>
        <w:rPr>
          <w:rFonts w:ascii="宋体" w:hAnsi="宋体"/>
          <w:b/>
          <w:color w:val="auto"/>
          <w:sz w:val="24"/>
          <w:highlight w:val="none"/>
        </w:rPr>
        <w:br w:type="page"/>
      </w:r>
    </w:p>
    <w:p w14:paraId="7B9B9C74">
      <w:pPr>
        <w:snapToGrid w:val="0"/>
        <w:spacing w:before="120" w:beforeLines="50" w:after="50"/>
        <w:ind w:left="142"/>
        <w:jc w:val="left"/>
        <w:rPr>
          <w:rFonts w:hint="eastAsia" w:ascii="宋体" w:hAnsi="宋体"/>
          <w:b/>
          <w:color w:val="auto"/>
          <w:sz w:val="24"/>
          <w:highlight w:val="none"/>
        </w:rPr>
      </w:pPr>
    </w:p>
    <w:p w14:paraId="24B3985B">
      <w:pPr>
        <w:snapToGrid w:val="0"/>
        <w:spacing w:before="120" w:beforeLines="50" w:after="50"/>
        <w:jc w:val="left"/>
        <w:outlineLvl w:val="2"/>
        <w:rPr>
          <w:rFonts w:ascii="宋体" w:hAnsi="宋体"/>
          <w:b/>
          <w:color w:val="auto"/>
          <w:sz w:val="24"/>
          <w:highlight w:val="none"/>
        </w:rPr>
      </w:pPr>
      <w:bookmarkStart w:id="263" w:name="_Toc809"/>
      <w:r>
        <w:rPr>
          <w:rFonts w:hint="eastAsia" w:ascii="宋体" w:hAnsi="宋体"/>
          <w:b/>
          <w:color w:val="auto"/>
          <w:sz w:val="24"/>
          <w:highlight w:val="none"/>
          <w:lang w:val="en-US" w:eastAsia="zh-CN"/>
        </w:rPr>
        <w:t>9.2</w:t>
      </w:r>
      <w:r>
        <w:rPr>
          <w:rFonts w:hint="eastAsia" w:ascii="宋体" w:hAnsi="宋体"/>
          <w:b/>
          <w:color w:val="auto"/>
          <w:sz w:val="24"/>
          <w:highlight w:val="none"/>
        </w:rPr>
        <w:t>代理服务费承诺书</w:t>
      </w:r>
      <w:bookmarkEnd w:id="263"/>
    </w:p>
    <w:p w14:paraId="7A9DAF01">
      <w:pPr>
        <w:snapToGrid w:val="0"/>
        <w:spacing w:before="120" w:beforeLines="50" w:after="50"/>
        <w:jc w:val="left"/>
        <w:rPr>
          <w:rFonts w:hint="eastAsia" w:ascii="方正小标宋简体" w:hAnsi="方正小标宋简体" w:eastAsia="方正小标宋简体" w:cs="方正小标宋简体"/>
          <w:bCs/>
          <w:color w:val="auto"/>
          <w:szCs w:val="21"/>
          <w:highlight w:val="none"/>
        </w:rPr>
      </w:pPr>
    </w:p>
    <w:p w14:paraId="10E41ADD">
      <w:pPr>
        <w:snapToGrid w:val="0"/>
        <w:spacing w:before="120" w:beforeLines="50" w:after="50"/>
        <w:jc w:val="center"/>
        <w:rPr>
          <w:rFonts w:hint="eastAsia" w:ascii="黑体" w:hAnsi="黑体" w:eastAsia="黑体" w:cs="黑体"/>
          <w:bCs/>
          <w:color w:val="auto"/>
          <w:sz w:val="44"/>
          <w:szCs w:val="44"/>
          <w:highlight w:val="none"/>
        </w:rPr>
      </w:pPr>
      <w:r>
        <w:rPr>
          <w:rFonts w:hint="eastAsia" w:ascii="黑体" w:hAnsi="黑体" w:eastAsia="黑体" w:cs="黑体"/>
          <w:bCs/>
          <w:color w:val="auto"/>
          <w:sz w:val="44"/>
          <w:szCs w:val="44"/>
          <w:highlight w:val="none"/>
        </w:rPr>
        <w:t>代理服务费承诺书</w:t>
      </w:r>
    </w:p>
    <w:p w14:paraId="057B26D7">
      <w:pPr>
        <w:snapToGrid w:val="0"/>
        <w:spacing w:before="120" w:beforeLines="50" w:after="50"/>
        <w:jc w:val="center"/>
        <w:rPr>
          <w:rFonts w:hint="eastAsia" w:ascii="宋体" w:hAnsi="宋体"/>
          <w:b/>
          <w:color w:val="auto"/>
          <w:sz w:val="24"/>
          <w:highlight w:val="none"/>
        </w:rPr>
      </w:pPr>
    </w:p>
    <w:p w14:paraId="46C99042">
      <w:pPr>
        <w:spacing w:line="360" w:lineRule="auto"/>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采购代理机构名称</w:t>
      </w:r>
    </w:p>
    <w:p w14:paraId="7A69668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本单位参加了贵方组织的</w:t>
      </w:r>
      <w:r>
        <w:rPr>
          <w:rFonts w:hint="eastAsia" w:ascii="宋体" w:hAnsi="宋体"/>
          <w:color w:val="auto"/>
          <w:sz w:val="24"/>
          <w:highlight w:val="none"/>
          <w:u w:val="single"/>
        </w:rPr>
        <w:t xml:space="preserve">  项目名称（项目编号）  </w:t>
      </w:r>
      <w:r>
        <w:rPr>
          <w:rFonts w:hint="eastAsia" w:ascii="宋体" w:hAnsi="宋体"/>
          <w:color w:val="auto"/>
          <w:sz w:val="24"/>
          <w:highlight w:val="none"/>
        </w:rPr>
        <w:t>项目， 在此说明如下：</w:t>
      </w:r>
    </w:p>
    <w:p w14:paraId="347C36AC">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1.我方承诺，若本单位中标，保证在发出中标通知书之后，按本项目招标文件的规定标准向贵单位一次性足额支付代理服务费， 在领取中标通知书后，由于</w:t>
      </w:r>
      <w:r>
        <w:rPr>
          <w:rFonts w:hint="eastAsia" w:ascii="宋体" w:hAnsi="宋体"/>
          <w:color w:val="auto"/>
          <w:sz w:val="24"/>
          <w:highlight w:val="none"/>
          <w:lang w:val="en-US" w:eastAsia="zh-CN"/>
        </w:rPr>
        <w:t>我方的提供虚假材料原因</w:t>
      </w:r>
      <w:r>
        <w:rPr>
          <w:rFonts w:hint="eastAsia" w:ascii="宋体" w:hAnsi="宋体"/>
          <w:color w:val="auto"/>
          <w:sz w:val="24"/>
          <w:highlight w:val="none"/>
        </w:rPr>
        <w:t>被质疑、投诉或者其他原因而导致中标结果改变，我方将放弃对已缴纳的中标服务费追还的一切权利。</w:t>
      </w:r>
    </w:p>
    <w:p w14:paraId="00A9C7D2">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2.本单位选择第</w:t>
      </w:r>
      <w:r>
        <w:rPr>
          <w:rFonts w:hint="eastAsia" w:ascii="宋体" w:hAnsi="宋体"/>
          <w:color w:val="auto"/>
          <w:sz w:val="24"/>
          <w:highlight w:val="none"/>
          <w:u w:val="single"/>
        </w:rPr>
        <w:t xml:space="preserve">     </w:t>
      </w:r>
      <w:r>
        <w:rPr>
          <w:rFonts w:hint="eastAsia" w:ascii="宋体" w:hAnsi="宋体"/>
          <w:color w:val="auto"/>
          <w:sz w:val="24"/>
          <w:highlight w:val="none"/>
        </w:rPr>
        <w:t>种方式作为代理服务费开票类型：</w:t>
      </w:r>
    </w:p>
    <w:p w14:paraId="19F21737">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第一种方式：开具增值税普通发票。开票信息如下：</w:t>
      </w:r>
    </w:p>
    <w:p w14:paraId="475446FF">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4BE11BD8">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2202D84E">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第二种方式：开具增值税专用发票，开票信息如下：</w:t>
      </w:r>
    </w:p>
    <w:p w14:paraId="35CBC87B">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72285DA7">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50CFDD7C">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（3）在税局登记的地址</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6D2832B7">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（4）在税局登记的电话</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45252AA7">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（5）开户银行</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1E3FD513">
      <w:pPr>
        <w:spacing w:line="440" w:lineRule="exact"/>
        <w:ind w:firstLine="360" w:firstLineChars="150"/>
        <w:rPr>
          <w:rFonts w:hint="eastAsia" w:ascii="宋体" w:hAnsi="宋体"/>
          <w:color w:val="auto"/>
          <w:sz w:val="24"/>
          <w:highlight w:val="none"/>
        </w:rPr>
      </w:pPr>
      <w:r>
        <w:rPr>
          <w:rFonts w:hint="eastAsia" w:ascii="宋体" w:hAnsi="宋体"/>
          <w:color w:val="auto"/>
          <w:sz w:val="24"/>
          <w:highlight w:val="none"/>
        </w:rPr>
        <w:t>（6）银行账户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2CE2B5B9">
      <w:pPr>
        <w:spacing w:line="440" w:lineRule="exact"/>
        <w:rPr>
          <w:rFonts w:hint="eastAsia" w:ascii="宋体" w:hAnsi="宋体"/>
          <w:color w:val="auto"/>
          <w:sz w:val="24"/>
          <w:highlight w:val="none"/>
        </w:rPr>
      </w:pPr>
    </w:p>
    <w:p w14:paraId="0DF274F6">
      <w:pPr>
        <w:spacing w:line="440" w:lineRule="exact"/>
        <w:rPr>
          <w:rFonts w:hint="eastAsia" w:ascii="宋体" w:hAnsi="宋体"/>
          <w:color w:val="auto"/>
          <w:sz w:val="24"/>
          <w:highlight w:val="none"/>
        </w:rPr>
      </w:pPr>
    </w:p>
    <w:p w14:paraId="36D1B674">
      <w:pPr>
        <w:spacing w:line="440" w:lineRule="exact"/>
        <w:rPr>
          <w:rFonts w:hint="eastAsia" w:ascii="宋体" w:hAnsi="宋体"/>
          <w:color w:val="auto"/>
          <w:sz w:val="24"/>
          <w:highlight w:val="none"/>
        </w:rPr>
      </w:pPr>
    </w:p>
    <w:p w14:paraId="6AFAB763">
      <w:pPr>
        <w:snapToGrid w:val="0"/>
        <w:spacing w:line="360" w:lineRule="auto"/>
        <w:ind w:left="-3" w:leftChars="-15" w:right="-817" w:rightChars="-389" w:hanging="28" w:hangingChars="12"/>
        <w:rPr>
          <w:rFonts w:hint="eastAsia" w:ascii="宋体" w:hAnsi="宋体"/>
          <w:color w:val="auto"/>
          <w:sz w:val="24"/>
          <w:highlight w:val="none"/>
        </w:rPr>
      </w:pPr>
      <w:r>
        <w:rPr>
          <w:rFonts w:hint="eastAsia" w:ascii="宋体" w:hAnsi="宋体"/>
          <w:color w:val="auto"/>
          <w:sz w:val="24"/>
          <w:highlight w:val="none"/>
        </w:rPr>
        <w:t xml:space="preserve">                                      供应商公章（电子签章）：</w:t>
      </w:r>
    </w:p>
    <w:p w14:paraId="61F1B79E">
      <w:pPr>
        <w:rPr>
          <w:rFonts w:ascii="宋体" w:hAnsi="宋体"/>
          <w:b/>
          <w:bCs/>
          <w:color w:val="auto"/>
          <w:sz w:val="24"/>
          <w:highlight w:val="none"/>
        </w:rPr>
      </w:pPr>
      <w:r>
        <w:rPr>
          <w:rFonts w:hint="eastAsia" w:ascii="宋体" w:hAnsi="宋体"/>
          <w:color w:val="auto"/>
          <w:sz w:val="24"/>
          <w:highlight w:val="none"/>
        </w:rPr>
        <w:t xml:space="preserve">                                    日期：    年   月</w:t>
      </w:r>
      <w:r>
        <w:rPr>
          <w:rFonts w:ascii="宋体" w:hAnsi="宋体"/>
          <w:b/>
          <w:bCs/>
          <w:color w:val="auto"/>
          <w:sz w:val="24"/>
          <w:highlight w:val="none"/>
        </w:rPr>
        <w:br w:type="page"/>
      </w:r>
      <w:bookmarkStart w:id="264" w:name="_Toc3343"/>
    </w:p>
    <w:p w14:paraId="3F3FB922">
      <w:pPr>
        <w:outlineLvl w:val="0"/>
        <w:rPr>
          <w:rFonts w:hint="eastAsia"/>
          <w:b/>
          <w:color w:val="auto"/>
          <w:sz w:val="36"/>
          <w:szCs w:val="36"/>
          <w:highlight w:val="none"/>
        </w:rPr>
      </w:pPr>
      <w:bookmarkStart w:id="265" w:name="_Toc12482"/>
      <w:r>
        <w:rPr>
          <w:rFonts w:hint="eastAsia" w:ascii="宋体" w:hAnsi="宋体"/>
          <w:b/>
          <w:bCs/>
          <w:color w:val="auto"/>
          <w:sz w:val="36"/>
          <w:szCs w:val="36"/>
          <w:highlight w:val="none"/>
        </w:rPr>
        <w:t xml:space="preserve">第七章  </w:t>
      </w:r>
      <w:r>
        <w:rPr>
          <w:rFonts w:hint="eastAsia"/>
          <w:b/>
          <w:color w:val="auto"/>
          <w:sz w:val="36"/>
          <w:szCs w:val="36"/>
          <w:highlight w:val="none"/>
        </w:rPr>
        <w:t>其他文书、文件格式</w:t>
      </w:r>
      <w:bookmarkEnd w:id="264"/>
      <w:bookmarkEnd w:id="265"/>
    </w:p>
    <w:p w14:paraId="5A358F32">
      <w:pPr>
        <w:spacing w:line="360" w:lineRule="auto"/>
        <w:jc w:val="left"/>
        <w:outlineLvl w:val="2"/>
        <w:rPr>
          <w:rFonts w:hint="eastAsia" w:ascii="宋体" w:hAnsi="宋体"/>
          <w:color w:val="auto"/>
          <w:sz w:val="24"/>
          <w:highlight w:val="none"/>
        </w:rPr>
      </w:pPr>
    </w:p>
    <w:p w14:paraId="56452B49">
      <w:pPr>
        <w:spacing w:line="360" w:lineRule="auto"/>
        <w:jc w:val="left"/>
        <w:outlineLvl w:val="2"/>
        <w:rPr>
          <w:rFonts w:ascii="宋体" w:hAnsi="宋体"/>
          <w:color w:val="auto"/>
          <w:sz w:val="24"/>
          <w:highlight w:val="none"/>
        </w:rPr>
      </w:pPr>
      <w:bookmarkStart w:id="266" w:name="_Toc25928"/>
      <w:r>
        <w:rPr>
          <w:rFonts w:hint="eastAsia" w:ascii="宋体" w:hAnsi="宋体"/>
          <w:color w:val="auto"/>
          <w:sz w:val="24"/>
          <w:highlight w:val="none"/>
        </w:rPr>
        <w:t>1</w:t>
      </w:r>
      <w:r>
        <w:rPr>
          <w:rFonts w:hint="eastAsia" w:ascii="宋体" w:hAnsi="宋体"/>
          <w:b/>
          <w:color w:val="auto"/>
          <w:sz w:val="24"/>
          <w:highlight w:val="none"/>
        </w:rPr>
        <w:t>.质疑函（格式）</w:t>
      </w:r>
      <w:bookmarkEnd w:id="266"/>
    </w:p>
    <w:p w14:paraId="44741735">
      <w:pPr>
        <w:spacing w:line="360" w:lineRule="auto"/>
        <w:jc w:val="center"/>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质疑函（格式）</w:t>
      </w:r>
    </w:p>
    <w:p w14:paraId="34F54B29">
      <w:pPr>
        <w:pStyle w:val="24"/>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45788B8D">
      <w:pPr>
        <w:pStyle w:val="2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2B5316B">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9EA09B7">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7F4BB9E">
      <w:pPr>
        <w:pStyle w:val="2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25BFB5D4">
      <w:pPr>
        <w:pStyle w:val="24"/>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FE4D0D9">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A61078A">
      <w:pPr>
        <w:pStyle w:val="24"/>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5B3114C3">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03127838">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01150F9">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34FE257F">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w:t>
      </w:r>
    </w:p>
    <w:p w14:paraId="371538AE">
      <w:pPr>
        <w:pStyle w:val="24"/>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0915D16B">
      <w:pPr>
        <w:pStyle w:val="24"/>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 xml:space="preserve">□招标过程   </w:t>
      </w:r>
    </w:p>
    <w:p w14:paraId="2C42D025">
      <w:pPr>
        <w:pStyle w:val="24"/>
        <w:spacing w:line="360" w:lineRule="auto"/>
        <w:ind w:left="25" w:leftChars="12" w:firstLine="352" w:firstLineChars="147"/>
        <w:rPr>
          <w:rFonts w:hint="eastAsia" w:hAnsi="宋体"/>
          <w:bCs/>
          <w:color w:val="auto"/>
          <w:sz w:val="24"/>
          <w:szCs w:val="24"/>
          <w:highlight w:val="none"/>
          <w:u w:val="single"/>
        </w:rPr>
      </w:pPr>
      <w:r>
        <w:rPr>
          <w:rFonts w:hint="eastAsia" w:hAnsi="宋体"/>
          <w:color w:val="auto"/>
          <w:sz w:val="24"/>
          <w:szCs w:val="24"/>
          <w:highlight w:val="none"/>
        </w:rPr>
        <w:t xml:space="preserve">□招标结果   </w:t>
      </w:r>
    </w:p>
    <w:p w14:paraId="51DDDEBB">
      <w:pPr>
        <w:pStyle w:val="2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三、质疑事项具体内容</w:t>
      </w:r>
    </w:p>
    <w:p w14:paraId="343E0B92">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5A7A5239">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369C5967">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9C7EFFD">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质疑事项2</w:t>
      </w:r>
    </w:p>
    <w:p w14:paraId="54298FF6">
      <w:pPr>
        <w:pStyle w:val="24"/>
        <w:spacing w:line="360" w:lineRule="auto"/>
        <w:ind w:left="25" w:leftChars="12" w:firstLine="472" w:firstLineChars="197"/>
        <w:rPr>
          <w:rFonts w:hint="eastAsia" w:hAnsi="宋体"/>
          <w:color w:val="auto"/>
          <w:sz w:val="24"/>
          <w:szCs w:val="24"/>
          <w:highlight w:val="none"/>
        </w:rPr>
      </w:pPr>
      <w:r>
        <w:rPr>
          <w:rFonts w:hAnsi="宋体"/>
          <w:color w:val="auto"/>
          <w:sz w:val="24"/>
          <w:szCs w:val="24"/>
          <w:highlight w:val="none"/>
        </w:rPr>
        <w:t>……</w:t>
      </w:r>
    </w:p>
    <w:p w14:paraId="248442A6">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4EFA14BB">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0705FC21">
      <w:pPr>
        <w:pStyle w:val="24"/>
        <w:spacing w:line="360" w:lineRule="auto"/>
        <w:ind w:left="25" w:leftChars="12" w:firstLine="352" w:firstLineChars="147"/>
        <w:rPr>
          <w:rFonts w:hint="eastAsia" w:hAnsi="宋体"/>
          <w:color w:val="auto"/>
          <w:sz w:val="24"/>
          <w:szCs w:val="24"/>
          <w:highlight w:val="none"/>
        </w:rPr>
      </w:pPr>
    </w:p>
    <w:p w14:paraId="464BA8AC">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02DC57F5">
      <w:pPr>
        <w:pStyle w:val="24"/>
        <w:spacing w:line="360" w:lineRule="auto"/>
        <w:ind w:left="25" w:leftChars="12" w:firstLine="352" w:firstLineChars="147"/>
        <w:rPr>
          <w:rFonts w:hint="eastAsia" w:hAnsi="宋体"/>
          <w:color w:val="auto"/>
          <w:sz w:val="24"/>
          <w:szCs w:val="24"/>
          <w:highlight w:val="none"/>
        </w:rPr>
      </w:pPr>
    </w:p>
    <w:p w14:paraId="5C0AFA2B">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7C10AB37">
      <w:pPr>
        <w:pStyle w:val="24"/>
        <w:snapToGrid w:val="0"/>
        <w:spacing w:line="360" w:lineRule="auto"/>
        <w:rPr>
          <w:rFonts w:hint="eastAsia" w:hAnsi="宋体"/>
          <w:b/>
          <w:color w:val="auto"/>
          <w:sz w:val="24"/>
          <w:szCs w:val="24"/>
          <w:highlight w:val="none"/>
        </w:rPr>
      </w:pPr>
    </w:p>
    <w:p w14:paraId="109057DE">
      <w:pPr>
        <w:pStyle w:val="24"/>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130C0B89">
      <w:pPr>
        <w:pStyle w:val="24"/>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2316AE44">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0FF0380">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7B4E632F">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66F1F59C">
      <w:pPr>
        <w:pStyle w:val="24"/>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0B6025AF">
      <w:pPr>
        <w:pStyle w:val="24"/>
        <w:snapToGrid w:val="0"/>
        <w:rPr>
          <w:rFonts w:hint="eastAsia"/>
          <w:b/>
          <w:color w:val="auto"/>
          <w:sz w:val="24"/>
          <w:szCs w:val="24"/>
          <w:highlight w:val="none"/>
        </w:rPr>
      </w:pPr>
    </w:p>
    <w:p w14:paraId="59B40784">
      <w:pPr>
        <w:spacing w:line="360" w:lineRule="auto"/>
        <w:jc w:val="left"/>
        <w:outlineLvl w:val="2"/>
        <w:rPr>
          <w:rFonts w:hint="eastAsia" w:ascii="宋体" w:hAnsi="宋体"/>
          <w:b/>
          <w:bCs/>
          <w:color w:val="auto"/>
          <w:sz w:val="32"/>
          <w:szCs w:val="32"/>
          <w:highlight w:val="none"/>
        </w:rPr>
      </w:pPr>
      <w:r>
        <w:rPr>
          <w:rFonts w:eastAsia="隶书"/>
          <w:color w:val="auto"/>
          <w:sz w:val="44"/>
          <w:highlight w:val="none"/>
        </w:rPr>
        <w:br w:type="page"/>
      </w:r>
      <w:bookmarkStart w:id="267" w:name="_Toc23794"/>
      <w:r>
        <w:rPr>
          <w:rFonts w:hint="eastAsia" w:ascii="宋体" w:hAnsi="宋体" w:eastAsia="隶书"/>
          <w:b/>
          <w:color w:val="auto"/>
          <w:sz w:val="24"/>
          <w:highlight w:val="none"/>
        </w:rPr>
        <w:t>2</w:t>
      </w:r>
      <w:r>
        <w:rPr>
          <w:rFonts w:hint="eastAsia" w:ascii="宋体" w:hAnsi="宋体"/>
          <w:b/>
          <w:color w:val="auto"/>
          <w:sz w:val="24"/>
          <w:highlight w:val="none"/>
        </w:rPr>
        <w:t>.投诉书（格式）</w:t>
      </w:r>
      <w:bookmarkEnd w:id="267"/>
    </w:p>
    <w:p w14:paraId="1C21450D">
      <w:pPr>
        <w:spacing w:line="360" w:lineRule="auto"/>
        <w:jc w:val="center"/>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投诉书（格式）</w:t>
      </w:r>
    </w:p>
    <w:p w14:paraId="4EBC5BF4">
      <w:pPr>
        <w:pStyle w:val="24"/>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0D070CB1">
      <w:pPr>
        <w:pStyle w:val="24"/>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817CD25">
      <w:pPr>
        <w:pStyle w:val="24"/>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049BE0B">
      <w:pPr>
        <w:pStyle w:val="24"/>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27F3B9E">
      <w:pPr>
        <w:pStyle w:val="24"/>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2CFB42B">
      <w:pPr>
        <w:pStyle w:val="24"/>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470C91E">
      <w:pPr>
        <w:pStyle w:val="24"/>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122BCBA">
      <w:pPr>
        <w:pStyle w:val="24"/>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BEDF1F7">
      <w:pPr>
        <w:pStyle w:val="24"/>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14:paraId="052838F8">
      <w:pPr>
        <w:pStyle w:val="24"/>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9C8545F">
      <w:pPr>
        <w:pStyle w:val="24"/>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44523FA">
      <w:pPr>
        <w:pStyle w:val="24"/>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B0E5078">
      <w:pPr>
        <w:pStyle w:val="24"/>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14:paraId="51768B2E">
      <w:pPr>
        <w:pStyle w:val="24"/>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14:paraId="3DF2D358">
      <w:pPr>
        <w:pStyle w:val="24"/>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6DB9B842">
      <w:pPr>
        <w:pStyle w:val="24"/>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FBD0B71">
      <w:pPr>
        <w:pStyle w:val="24"/>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DD3FE54">
      <w:pPr>
        <w:pStyle w:val="24"/>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2BF098FE">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招标项目的名称：</w:t>
      </w:r>
      <w:r>
        <w:rPr>
          <w:rFonts w:hint="eastAsia" w:hAnsi="宋体"/>
          <w:bCs/>
          <w:color w:val="auto"/>
          <w:sz w:val="24"/>
          <w:szCs w:val="24"/>
          <w:highlight w:val="none"/>
          <w:u w:val="single"/>
        </w:rPr>
        <w:t xml:space="preserve">                                                                   </w:t>
      </w:r>
    </w:p>
    <w:p w14:paraId="45B020EA">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招标项目的编号：</w:t>
      </w:r>
      <w:r>
        <w:rPr>
          <w:rFonts w:hint="eastAsia" w:hAnsi="宋体"/>
          <w:bCs/>
          <w:color w:val="auto"/>
          <w:sz w:val="24"/>
          <w:szCs w:val="24"/>
          <w:highlight w:val="none"/>
          <w:u w:val="single"/>
        </w:rPr>
        <w:t xml:space="preserve">                                          </w:t>
      </w:r>
    </w:p>
    <w:p w14:paraId="2189DE6A">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6C49F946">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39C22EA">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招标</w:t>
      </w:r>
      <w:r>
        <w:rPr>
          <w:rFonts w:hint="eastAsia" w:hAnsi="宋体"/>
          <w:bCs/>
          <w:color w:val="auto"/>
          <w:sz w:val="24"/>
          <w:szCs w:val="24"/>
          <w:highlight w:val="none"/>
        </w:rPr>
        <w:t>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A526CE1">
      <w:pPr>
        <w:pStyle w:val="24"/>
        <w:spacing w:line="360" w:lineRule="auto"/>
        <w:ind w:left="25" w:leftChars="12" w:firstLine="472" w:firstLineChars="197"/>
        <w:rPr>
          <w:rFonts w:hint="eastAsia" w:hAnsi="宋体"/>
          <w:b/>
          <w:color w:val="auto"/>
          <w:sz w:val="24"/>
          <w:szCs w:val="24"/>
          <w:highlight w:val="none"/>
        </w:rPr>
      </w:pPr>
      <w:r>
        <w:rPr>
          <w:rFonts w:hint="eastAsia" w:hAnsi="宋体"/>
          <w:color w:val="auto"/>
          <w:sz w:val="24"/>
          <w:szCs w:val="24"/>
          <w:highlight w:val="none"/>
        </w:rPr>
        <w:t>招标</w:t>
      </w:r>
      <w:r>
        <w:rPr>
          <w:rFonts w:hint="eastAsia" w:hAnsi="宋体"/>
          <w:bCs/>
          <w:color w:val="auto"/>
          <w:sz w:val="24"/>
          <w:szCs w:val="24"/>
          <w:highlight w:val="none"/>
        </w:rPr>
        <w:t>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4F5B825">
      <w:pPr>
        <w:pStyle w:val="2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4364B43A">
      <w:pPr>
        <w:pStyle w:val="24"/>
        <w:spacing w:line="360" w:lineRule="auto"/>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4B8BB66">
      <w:pPr>
        <w:pStyle w:val="24"/>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35EBB21">
      <w:pPr>
        <w:pStyle w:val="24"/>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0A5DAA7">
      <w:pPr>
        <w:pStyle w:val="24"/>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7ABF70F4">
      <w:pPr>
        <w:pStyle w:val="2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7B3CA993">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17DCD5C9">
      <w:pPr>
        <w:pStyle w:val="24"/>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524CD74">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4F295D11">
      <w:pPr>
        <w:pStyle w:val="24"/>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A611A74">
      <w:pPr>
        <w:pStyle w:val="24"/>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8CDC346">
      <w:pPr>
        <w:pStyle w:val="24"/>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40103B8D">
      <w:pPr>
        <w:pStyle w:val="24"/>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01BBAE6F">
      <w:pPr>
        <w:pStyle w:val="2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71D2334F">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37B55A2">
      <w:pPr>
        <w:pStyle w:val="24"/>
        <w:spacing w:line="360" w:lineRule="auto"/>
        <w:ind w:left="25" w:leftChars="12" w:firstLine="352" w:firstLineChars="147"/>
        <w:rPr>
          <w:rFonts w:hint="eastAsia" w:hAnsi="宋体"/>
          <w:color w:val="auto"/>
          <w:sz w:val="24"/>
          <w:szCs w:val="24"/>
          <w:highlight w:val="none"/>
        </w:rPr>
      </w:pPr>
    </w:p>
    <w:p w14:paraId="385A2793">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655A915C">
      <w:pPr>
        <w:pStyle w:val="24"/>
        <w:spacing w:line="360" w:lineRule="auto"/>
        <w:ind w:left="25" w:leftChars="12" w:firstLine="352" w:firstLineChars="147"/>
        <w:rPr>
          <w:rFonts w:hint="eastAsia" w:hAnsi="宋体"/>
          <w:color w:val="auto"/>
          <w:sz w:val="24"/>
          <w:szCs w:val="24"/>
          <w:highlight w:val="none"/>
        </w:rPr>
      </w:pPr>
    </w:p>
    <w:p w14:paraId="32581808">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37A70153">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1669DBEE">
      <w:pPr>
        <w:pStyle w:val="24"/>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42605E24">
      <w:pPr>
        <w:pStyle w:val="24"/>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751A8283">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13AE80">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325A0651">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3F8378AD">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38336280">
      <w:pPr>
        <w:pStyle w:val="24"/>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17" w:type="first"/>
      <w:headerReference r:id="rId14" w:type="default"/>
      <w:footerReference r:id="rId15" w:type="default"/>
      <w:footerReference r:id="rId16" w:type="even"/>
      <w:pgSz w:w="11906" w:h="16838"/>
      <w:pgMar w:top="1417" w:right="1587" w:bottom="1417" w:left="158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00CB936-8346-4EF5-9C0D-1D3114AE6AA4}"/>
  </w:font>
  <w:font w:name="黑体">
    <w:panose1 w:val="02010609060101010101"/>
    <w:charset w:val="86"/>
    <w:family w:val="auto"/>
    <w:pitch w:val="default"/>
    <w:sig w:usb0="800002BF" w:usb1="38CF7CFA" w:usb2="00000016" w:usb3="00000000" w:csb0="00040001" w:csb1="00000000"/>
    <w:embedRegular r:id="rId2" w:fontKey="{C0E2354B-A989-4450-AF47-521C8C799A88}"/>
  </w:font>
  <w:font w:name="Courier New">
    <w:panose1 w:val="02070309020205020404"/>
    <w:charset w:val="01"/>
    <w:family w:val="modern"/>
    <w:pitch w:val="default"/>
    <w:sig w:usb0="E0002EFF" w:usb1="C0007843" w:usb2="00000009" w:usb3="00000000" w:csb0="400001FF" w:csb1="FFFF0000"/>
    <w:embedRegular r:id="rId3" w:fontKey="{0EB686DB-E144-44CB-B38C-62D6B52D38B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C89A6AE0-9061-4C5A-A1C4-747DDC0A975B}"/>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embedRegular r:id="rId5" w:fontKey="{8A11941E-C39F-4E9A-9E06-AEB85200DC73}"/>
  </w:font>
  <w:font w:name="仿宋">
    <w:panose1 w:val="02010609060101010101"/>
    <w:charset w:val="86"/>
    <w:family w:val="modern"/>
    <w:pitch w:val="default"/>
    <w:sig w:usb0="800002BF" w:usb1="38CF7CFA" w:usb2="00000016" w:usb3="00000000" w:csb0="00040001" w:csb1="00000000"/>
    <w:embedRegular r:id="rId6" w:fontKey="{15D7F1AE-699F-4F90-B25C-7875040FD6C1}"/>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embedRegular r:id="rId7" w:fontKey="{11B4220A-5112-416C-9596-025FAC62D40D}"/>
  </w:font>
  <w:font w:name="Century">
    <w:panose1 w:val="0204060405050502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embedRegular r:id="rId8" w:fontKey="{B7A95ABB-293C-49A6-959D-393DBF0EC5C6}"/>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9" w:fontKey="{5EFAAD3A-B750-40FF-806E-4F8DCD43B19B}"/>
  </w:font>
  <w:font w:name="华文新魏">
    <w:panose1 w:val="02010800040101010101"/>
    <w:charset w:val="86"/>
    <w:family w:val="auto"/>
    <w:pitch w:val="default"/>
    <w:sig w:usb0="00000001" w:usb1="080F0000" w:usb2="00000000" w:usb3="00000000" w:csb0="00040000" w:csb1="00000000"/>
    <w:embedRegular r:id="rId10" w:fontKey="{C877D784-C9B2-423F-A4EF-A8E7377A7009}"/>
  </w:font>
  <w:font w:name="隶书">
    <w:panose1 w:val="02010509060101010101"/>
    <w:charset w:val="86"/>
    <w:family w:val="modern"/>
    <w:pitch w:val="default"/>
    <w:sig w:usb0="00000001" w:usb1="080E0000" w:usb2="00000000" w:usb3="00000000" w:csb0="00040000" w:csb1="00000000"/>
    <w:embedRegular r:id="rId11" w:fontKey="{7ED51853-6452-4F99-9B79-DCB4020FCFAF}"/>
  </w:font>
  <w:font w:name="MS Mincho">
    <w:panose1 w:val="02020609040205080304"/>
    <w:charset w:val="80"/>
    <w:family w:val="modern"/>
    <w:pitch w:val="default"/>
    <w:sig w:usb0="E00002FF" w:usb1="6AC7FDFB" w:usb2="00000012" w:usb3="00000000" w:csb0="4002009F" w:csb1="DFD70000"/>
    <w:embedRegular r:id="rId12" w:fontKey="{F9DF9B76-35C6-48A8-8A5E-E34AA53E6343}"/>
  </w:font>
  <w:font w:name="Segoe UI Emoji">
    <w:panose1 w:val="020B0502040204020203"/>
    <w:charset w:val="00"/>
    <w:family w:val="swiss"/>
    <w:pitch w:val="default"/>
    <w:sig w:usb0="00000001" w:usb1="02000000" w:usb2="08000000" w:usb3="00000000" w:csb0="00000001" w:csb1="00000000"/>
    <w:embedRegular r:id="rId13" w:fontKey="{42E85613-EEEE-4FAE-A74B-34245FAEC419}"/>
  </w:font>
  <w:font w:name="Helvetica">
    <w:altName w:val="Arial"/>
    <w:panose1 w:val="020B0604020202020204"/>
    <w:charset w:val="00"/>
    <w:family w:val="swiss"/>
    <w:pitch w:val="default"/>
    <w:sig w:usb0="00000000" w:usb1="00000000" w:usb2="00000000" w:usb3="00000000" w:csb0="00000001" w:csb1="00000000"/>
    <w:embedRegular r:id="rId14" w:fontKey="{1A358A43-DA66-458A-BC05-BFA3A7BBB658}"/>
  </w:font>
  <w:font w:name="WPSEMBED3">
    <w:panose1 w:val="02000000000000000000"/>
    <w:charset w:val="86"/>
    <w:family w:val="auto"/>
    <w:pitch w:val="default"/>
    <w:sig w:usb0="00000001" w:usb1="08000000" w:usb2="00000000" w:usb3="00000000" w:csb0="00040000" w:csb1="00000000"/>
  </w:font>
  <w:font w:name="WPSEMBED4">
    <w:panose1 w:val="02020609040205080304"/>
    <w:charset w:val="80"/>
    <w:family w:val="auto"/>
    <w:pitch w:val="default"/>
    <w:sig w:usb0="E00002FF" w:usb1="6AC7FDFB" w:usb2="00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8954C">
    <w:pPr>
      <w:pStyle w:val="3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118446">
                          <w:pPr>
                            <w:pStyle w:val="30"/>
                          </w:pPr>
                          <w:r>
                            <w:fldChar w:fldCharType="begin"/>
                          </w:r>
                          <w:r>
                            <w:instrText xml:space="preserve"> PAGE  \* MERGEFORMAT </w:instrText>
                          </w:r>
                          <w:r>
                            <w:fldChar w:fldCharType="separate"/>
                          </w:r>
                          <w:r>
                            <w:t>0</w:t>
                          </w:r>
                          <w:r>
                            <w:fldChar w:fldCharType="end"/>
                          </w:r>
                        </w:p>
                      </w:txbxContent>
                    </wps:txbx>
                    <wps:bodyPr vert="horz" wrap="none" lIns="0" tIns="0" rIns="0" bIns="0" anchor="t" anchorCtr="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oPUSM4QEAAMEDAAAOAAAA&#10;AAAAAAEAIAAAAB4BAABkcnMvZTJvRG9jLnhtbFBLBQYAAAAABgAGAFkBAABxBQAAAAA=&#10;">
              <v:fill on="f" focussize="0,0"/>
              <v:stroke on="f"/>
              <v:imagedata o:title=""/>
              <o:lock v:ext="edit" aspectratio="f"/>
              <v:textbox inset="0mm,0mm,0mm,0mm" style="mso-fit-shape-to-text:t;">
                <w:txbxContent>
                  <w:p w14:paraId="65118446">
                    <w:pPr>
                      <w:pStyle w:val="30"/>
                    </w:pPr>
                    <w:r>
                      <w:fldChar w:fldCharType="begin"/>
                    </w:r>
                    <w:r>
                      <w:instrText xml:space="preserve"> PAGE  \* MERGEFORMAT </w:instrText>
                    </w:r>
                    <w:r>
                      <w:fldChar w:fldCharType="separate"/>
                    </w:r>
                    <w:r>
                      <w:t>0</w:t>
                    </w:r>
                    <w:r>
                      <w:fldChar w:fldCharType="end"/>
                    </w:r>
                  </w:p>
                </w:txbxContent>
              </v:textbox>
            </v:shape>
          </w:pict>
        </mc:Fallback>
      </mc:AlternateContent>
    </w:r>
  </w:p>
  <w:p w14:paraId="7310CC27">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2BBA6">
    <w:pPr>
      <w:pStyle w:val="30"/>
      <w:ind w:right="360"/>
      <w:jc w:val="both"/>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156643">
                          <w:pPr>
                            <w:pStyle w:val="30"/>
                          </w:pPr>
                          <w:r>
                            <w:fldChar w:fldCharType="begin"/>
                          </w:r>
                          <w:r>
                            <w:instrText xml:space="preserve"> PAGE  \* MERGEFORMAT </w:instrText>
                          </w:r>
                          <w:r>
                            <w:fldChar w:fldCharType="separate"/>
                          </w:r>
                          <w:r>
                            <w:t>95</w:t>
                          </w:r>
                          <w:r>
                            <w:fldChar w:fldCharType="end"/>
                          </w:r>
                        </w:p>
                      </w:txbxContent>
                    </wps:txbx>
                    <wps:bodyPr vert="horz" wrap="none" lIns="0" tIns="0" rIns="0" bIns="0" anchor="t" anchorCtr="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2WK1N8BAADBAwAADgAAAAAA&#10;AAABACAAAAAeAQAAZHJzL2Uyb0RvYy54bWxQSwUGAAAAAAYABgBZAQAAbwUAAAAA&#10;">
              <v:fill on="f" focussize="0,0"/>
              <v:stroke on="f"/>
              <v:imagedata o:title=""/>
              <o:lock v:ext="edit" aspectratio="f"/>
              <v:textbox inset="0mm,0mm,0mm,0mm" style="mso-fit-shape-to-text:t;">
                <w:txbxContent>
                  <w:p w14:paraId="64156643">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162DD">
    <w:pPr>
      <w:pStyle w:val="3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14B334">
                          <w:pPr>
                            <w:pStyle w:val="30"/>
                          </w:pPr>
                          <w:r>
                            <w:fldChar w:fldCharType="begin"/>
                          </w:r>
                          <w:r>
                            <w:instrText xml:space="preserve"> PAGE  \* MERGEFORMAT </w:instrText>
                          </w:r>
                          <w:r>
                            <w:fldChar w:fldCharType="separate"/>
                          </w:r>
                          <w:r>
                            <w:t>0</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vx5M04QEAAMEDAAAOAAAA&#10;AAAAAAEAIAAAAB4BAABkcnMvZTJvRG9jLnhtbFBLBQYAAAAABgAGAFkBAABxBQAAAAA=&#10;">
              <v:fill on="f" focussize="0,0"/>
              <v:stroke on="f"/>
              <v:imagedata o:title=""/>
              <o:lock v:ext="edit" aspectratio="f"/>
              <v:textbox inset="0mm,0mm,0mm,0mm" style="mso-fit-shape-to-text:t;">
                <w:txbxContent>
                  <w:p w14:paraId="3E14B334">
                    <w:pPr>
                      <w:pStyle w:val="30"/>
                    </w:pPr>
                    <w:r>
                      <w:fldChar w:fldCharType="begin"/>
                    </w:r>
                    <w:r>
                      <w:instrText xml:space="preserve"> PAGE  \* MERGEFORMAT </w:instrText>
                    </w:r>
                    <w:r>
                      <w:fldChar w:fldCharType="separate"/>
                    </w:r>
                    <w:r>
                      <w:t>0</w:t>
                    </w:r>
                    <w:r>
                      <w:fldChar w:fldCharType="end"/>
                    </w:r>
                  </w:p>
                </w:txbxContent>
              </v:textbox>
            </v:shape>
          </w:pict>
        </mc:Fallback>
      </mc:AlternateContent>
    </w:r>
  </w:p>
  <w:p w14:paraId="7583ECB0">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1574E">
    <w:pPr>
      <w:pStyle w:val="3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FAFC7">
                          <w:pPr>
                            <w:pStyle w:val="30"/>
                            <w:jc w:val="center"/>
                          </w:pPr>
                          <w:r>
                            <w:fldChar w:fldCharType="begin"/>
                          </w:r>
                          <w:r>
                            <w:instrText xml:space="preserve">PAGE   \* MERGEFORMAT</w:instrText>
                          </w:r>
                          <w:r>
                            <w:fldChar w:fldCharType="separate"/>
                          </w:r>
                          <w:r>
                            <w:rPr>
                              <w:lang w:val="zh-CN"/>
                            </w:rPr>
                            <w:t>45</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qrSnuEBAADBAwAADgAAAGRycy9lMm9Eb2MueG1srVPBjtMwEL0j8Q+W&#10;7zRpV0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xWnsTthaeDnH9/PP3+ff31j&#10;8/LqKinU+bCixDtPqbF/Az3tzeQP5EzE+wZt+hMlRnHS93TRV/WRyXRpuVguSwpJik0Hwi8ernsM&#10;8Z0Cy5JRcaQBZl3F8UOIQ+qUkqo5uNXG5CEa94+DMJOnSL0PPSYr9rt+JLSD+kR86CVQnRbwK2cd&#10;7UHFHa09Z+a9I5nTykwGTsZuMoSTdLHikbPBfBuH1Tp41Ps2L1tqKvibQ6ROM4HUxlB77I4mmyUY&#10;tzCtzt/nnPXw8j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KqtKe4QEAAMEDAAAOAAAA&#10;AAAAAAEAIAAAAB4BAABkcnMvZTJvRG9jLnhtbFBLBQYAAAAABgAGAFkBAABxBQAAAAA=&#10;">
              <v:fill on="f" focussize="0,0"/>
              <v:stroke on="f"/>
              <v:imagedata o:title=""/>
              <o:lock v:ext="edit" aspectratio="f"/>
              <v:textbox inset="0mm,0mm,0mm,0mm" style="mso-fit-shape-to-text:t;">
                <w:txbxContent>
                  <w:p w14:paraId="503FAFC7">
                    <w:pPr>
                      <w:pStyle w:val="30"/>
                      <w:jc w:val="center"/>
                    </w:pPr>
                    <w:r>
                      <w:fldChar w:fldCharType="begin"/>
                    </w:r>
                    <w:r>
                      <w:instrText xml:space="preserve">PAGE   \* MERGEFORMAT</w:instrText>
                    </w:r>
                    <w:r>
                      <w:fldChar w:fldCharType="separate"/>
                    </w:r>
                    <w:r>
                      <w:rPr>
                        <w:lang w:val="zh-CN"/>
                      </w:rPr>
                      <w:t>45</w:t>
                    </w:r>
                    <w:r>
                      <w:fldChar w:fldCharType="end"/>
                    </w:r>
                  </w:p>
                </w:txbxContent>
              </v:textbox>
            </v:shape>
          </w:pict>
        </mc:Fallback>
      </mc:AlternateContent>
    </w:r>
  </w:p>
  <w:p w14:paraId="25A5AEB8">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79AD9">
    <w:pPr>
      <w:pStyle w:val="3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87BCB6">
                          <w:pPr>
                            <w:pStyle w:val="30"/>
                            <w:jc w:val="center"/>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anchorCtr="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uAcJs4QEAAMEDAAAOAAAA&#10;AAAAAAEAIAAAAB4BAABkcnMvZTJvRG9jLnhtbFBLBQYAAAAABgAGAFkBAABxBQAAAAA=&#10;">
              <v:fill on="f" focussize="0,0"/>
              <v:stroke on="f"/>
              <v:imagedata o:title=""/>
              <o:lock v:ext="edit" aspectratio="f"/>
              <v:textbox inset="0mm,0mm,0mm,0mm" style="mso-fit-shape-to-text:t;">
                <w:txbxContent>
                  <w:p w14:paraId="7487BCB6">
                    <w:pPr>
                      <w:pStyle w:val="30"/>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3DAEC406">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EA0B7">
    <w:pPr>
      <w:pStyle w:val="3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075C67">
                          <w:pPr>
                            <w:pStyle w:val="30"/>
                            <w:jc w:val="center"/>
                          </w:pPr>
                          <w:r>
                            <w:fldChar w:fldCharType="begin"/>
                          </w:r>
                          <w:r>
                            <w:instrText xml:space="preserve"> PAGE   \* MERGEFORMAT </w:instrText>
                          </w:r>
                          <w:r>
                            <w:fldChar w:fldCharType="separate"/>
                          </w:r>
                          <w:r>
                            <w:rPr>
                              <w:lang w:val="zh-CN"/>
                            </w:rPr>
                            <w:t>94</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1+ChPgAQAAwgMAAA4AAAAA&#10;AAAAAQAgAAAAHgEAAGRycy9lMm9Eb2MueG1sUEsFBgAAAAAGAAYAWQEAAHAFAAAAAA==&#10;">
              <v:fill on="f" focussize="0,0"/>
              <v:stroke on="f"/>
              <v:imagedata o:title=""/>
              <o:lock v:ext="edit" aspectratio="f"/>
              <v:textbox inset="0mm,0mm,0mm,0mm" style="mso-fit-shape-to-text:t;">
                <w:txbxContent>
                  <w:p w14:paraId="09075C67">
                    <w:pPr>
                      <w:pStyle w:val="30"/>
                      <w:jc w:val="center"/>
                    </w:pPr>
                    <w:r>
                      <w:fldChar w:fldCharType="begin"/>
                    </w:r>
                    <w:r>
                      <w:instrText xml:space="preserve"> PAGE   \* MERGEFORMAT </w:instrText>
                    </w:r>
                    <w:r>
                      <w:fldChar w:fldCharType="separate"/>
                    </w:r>
                    <w:r>
                      <w:rPr>
                        <w:lang w:val="zh-CN"/>
                      </w:rPr>
                      <w:t>94</w:t>
                    </w:r>
                    <w:r>
                      <w:fldChar w:fldCharType="end"/>
                    </w:r>
                  </w:p>
                </w:txbxContent>
              </v:textbox>
            </v:shape>
          </w:pict>
        </mc:Fallback>
      </mc:AlternateContent>
    </w:r>
  </w:p>
  <w:p w14:paraId="2533DFAC">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E6FD8">
    <w:pPr>
      <w:pStyle w:val="30"/>
      <w:framePr w:wrap="around" w:vAnchor="text" w:hAnchor="margin" w:xAlign="center" w:y="1"/>
      <w:rPr>
        <w:rStyle w:val="54"/>
      </w:rPr>
    </w:pPr>
    <w:r>
      <w:fldChar w:fldCharType="begin"/>
    </w:r>
    <w:r>
      <w:rPr>
        <w:rStyle w:val="54"/>
      </w:rPr>
      <w:instrText xml:space="preserve">PAGE  </w:instrText>
    </w:r>
    <w:r>
      <w:fldChar w:fldCharType="end"/>
    </w:r>
  </w:p>
  <w:p w14:paraId="399428BC">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D4DFE">
    <w:pPr>
      <w:pStyle w:val="30"/>
      <w:jc w:val="center"/>
    </w:pPr>
    <w:r>
      <w:fldChar w:fldCharType="begin"/>
    </w:r>
    <w:r>
      <w:instrText xml:space="preserve">PAGE   \* MERGEFORMAT</w:instrText>
    </w:r>
    <w:r>
      <w:fldChar w:fldCharType="separate"/>
    </w:r>
    <w:r>
      <w:rPr>
        <w:lang w:val="zh-CN"/>
      </w:rPr>
      <w:t>22</w:t>
    </w:r>
    <w:r>
      <w:fldChar w:fldCharType="end"/>
    </w:r>
  </w:p>
  <w:p w14:paraId="0622A8A5">
    <w:pPr>
      <w:pStyle w:val="30"/>
      <w:ind w:right="360"/>
      <w:jc w:val="both"/>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7AB9B">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FE6414">
                          <w:pPr>
                            <w:pStyle w:val="30"/>
                          </w:pPr>
                          <w:r>
                            <w:fldChar w:fldCharType="begin"/>
                          </w:r>
                          <w:r>
                            <w:instrText xml:space="preserve"> PAGE  \* MERGEFORMAT </w:instrText>
                          </w:r>
                          <w:r>
                            <w:fldChar w:fldCharType="separate"/>
                          </w:r>
                          <w:r>
                            <w:t>103</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5iJueEBAADBAwAADgAAAGRycy9lMm9Eb2MueG1srVPNjtMwEL4j8Q6W&#10;7zRphVCp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64q/5MwJSwM///p5/v33/OcH&#10;m5eL10mhLsQVJd4ESsX+re9pbyZ/JGci3jdg058oMYqTvqeLvqpHJtOl5WK5LCkkKTYdCL+4ux4g&#10;4nvlLUtGxYEGmHUVx48Rh9QpJVVz/lobk4do3H8OwkyeIvU+9Jgs7Hf9SGjn6xPxoZdAdVoP3znr&#10;aA8q7mjtOTMfHMmcVmYyYDJ2kyGcpIsVR84G8x0Oq3UIoPdtXrbUVAxvDkidZgKpjaH22B1NNksw&#10;bmFanX/POevu5W1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DmIm54QEAAMEDAAAOAAAA&#10;AAAAAAEAIAAAAB4BAABkcnMvZTJvRG9jLnhtbFBLBQYAAAAABgAGAFkBAABxBQAAAAA=&#10;">
              <v:fill on="f" focussize="0,0"/>
              <v:stroke on="f"/>
              <v:imagedata o:title=""/>
              <o:lock v:ext="edit" aspectratio="f"/>
              <v:textbox inset="0mm,0mm,0mm,0mm" style="mso-fit-shape-to-text:t;">
                <w:txbxContent>
                  <w:p w14:paraId="4FFE6414">
                    <w:pPr>
                      <w:pStyle w:val="30"/>
                    </w:pPr>
                    <w:r>
                      <w:fldChar w:fldCharType="begin"/>
                    </w:r>
                    <w:r>
                      <w:instrText xml:space="preserve"> PAGE  \* MERGEFORMAT </w:instrText>
                    </w:r>
                    <w:r>
                      <w:fldChar w:fldCharType="separate"/>
                    </w:r>
                    <w:r>
                      <w:t>103</w:t>
                    </w:r>
                    <w:r>
                      <w:fldChar w:fldCharType="end"/>
                    </w:r>
                  </w:p>
                </w:txbxContent>
              </v:textbox>
            </v:shape>
          </w:pict>
        </mc:Fallback>
      </mc:AlternateContent>
    </w:r>
  </w:p>
  <w:p w14:paraId="27120A5B">
    <w:pPr>
      <w:pStyle w:val="3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8C7DC">
    <w:pPr>
      <w:pStyle w:val="30"/>
      <w:framePr w:wrap="around" w:vAnchor="text" w:hAnchor="margin" w:xAlign="center" w:y="1"/>
      <w:rPr>
        <w:rStyle w:val="54"/>
      </w:rPr>
    </w:pPr>
    <w:r>
      <w:fldChar w:fldCharType="begin"/>
    </w:r>
    <w:r>
      <w:rPr>
        <w:rStyle w:val="54"/>
      </w:rPr>
      <w:instrText xml:space="preserve">PAGE  </w:instrText>
    </w:r>
    <w:r>
      <w:fldChar w:fldCharType="end"/>
    </w:r>
  </w:p>
  <w:p w14:paraId="66E6B447">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081E5">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66A51">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DC112">
    <w:pPr>
      <w:pStyle w:val="3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AA116">
    <w:pPr>
      <w:pStyle w:val="3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353A4">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CE08F"/>
    <w:multiLevelType w:val="singleLevel"/>
    <w:tmpl w:val="878CE08F"/>
    <w:lvl w:ilvl="0" w:tentative="0">
      <w:start w:val="1"/>
      <w:numFmt w:val="decimal"/>
      <w:suff w:val="nothing"/>
      <w:lvlText w:val="（%1）"/>
      <w:lvlJc w:val="left"/>
    </w:lvl>
  </w:abstractNum>
  <w:abstractNum w:abstractNumId="1">
    <w:nsid w:val="AB8560CC"/>
    <w:multiLevelType w:val="singleLevel"/>
    <w:tmpl w:val="AB8560CC"/>
    <w:lvl w:ilvl="0" w:tentative="0">
      <w:start w:val="2"/>
      <w:numFmt w:val="decimal"/>
      <w:suff w:val="nothing"/>
      <w:lvlText w:val="（%1）"/>
      <w:lvlJc w:val="left"/>
    </w:lvl>
  </w:abstractNum>
  <w:abstractNum w:abstractNumId="2">
    <w:nsid w:val="EC572494"/>
    <w:multiLevelType w:val="singleLevel"/>
    <w:tmpl w:val="EC572494"/>
    <w:lvl w:ilvl="0" w:tentative="0">
      <w:start w:val="1"/>
      <w:numFmt w:val="decimal"/>
      <w:suff w:val="space"/>
      <w:lvlText w:val="%1."/>
      <w:lvlJc w:val="left"/>
    </w:lvl>
  </w:abstractNum>
  <w:abstractNum w:abstractNumId="3">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4">
    <w:nsid w:val="020645C8"/>
    <w:multiLevelType w:val="multilevel"/>
    <w:tmpl w:val="020645C8"/>
    <w:lvl w:ilvl="0" w:tentative="0">
      <w:start w:val="1"/>
      <w:numFmt w:val="decimal"/>
      <w:pStyle w:val="141"/>
      <w:suff w:val="nothing"/>
      <w:lvlText w:val="%1."/>
      <w:lvlJc w:val="left"/>
      <w:pPr>
        <w:ind w:left="0" w:firstLine="40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A3842DA"/>
    <w:multiLevelType w:val="multilevel"/>
    <w:tmpl w:val="0A3842DA"/>
    <w:lvl w:ilvl="0" w:tentative="0">
      <w:start w:val="1"/>
      <w:numFmt w:val="decimal"/>
      <w:pStyle w:val="137"/>
      <w:suff w:val="nothing"/>
      <w:lvlText w:val="%1、"/>
      <w:lvlJc w:val="left"/>
      <w:pPr>
        <w:ind w:left="0" w:firstLine="40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6">
    <w:nsid w:val="0A790698"/>
    <w:multiLevelType w:val="singleLevel"/>
    <w:tmpl w:val="0A790698"/>
    <w:lvl w:ilvl="0" w:tentative="0">
      <w:start w:val="1"/>
      <w:numFmt w:val="chineseCountingThousand"/>
      <w:pStyle w:val="138"/>
      <w:suff w:val="space"/>
      <w:lvlText w:val="（%1）"/>
      <w:lvlJc w:val="left"/>
      <w:pPr>
        <w:ind w:left="0" w:firstLine="400"/>
      </w:pPr>
      <w:rPr>
        <w:rFonts w:hint="eastAsia"/>
      </w:rPr>
    </w:lvl>
  </w:abstractNum>
  <w:abstractNum w:abstractNumId="7">
    <w:nsid w:val="0CF84248"/>
    <w:multiLevelType w:val="multilevel"/>
    <w:tmpl w:val="0CF84248"/>
    <w:lvl w:ilvl="0" w:tentative="0">
      <w:start w:val="1"/>
      <w:numFmt w:val="decimal"/>
      <w:pStyle w:val="139"/>
      <w:suff w:val="nothing"/>
      <w:lvlText w:val="（%1）"/>
      <w:lvlJc w:val="left"/>
      <w:pPr>
        <w:ind w:left="0" w:firstLine="40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8">
    <w:nsid w:val="24737EAD"/>
    <w:multiLevelType w:val="multilevel"/>
    <w:tmpl w:val="24737EAD"/>
    <w:lvl w:ilvl="0" w:tentative="0">
      <w:start w:val="1"/>
      <w:numFmt w:val="decimal"/>
      <w:pStyle w:val="147"/>
      <w:suff w:val="space"/>
      <w:lvlText w:val="(%1)"/>
      <w:lvlJc w:val="left"/>
      <w:pPr>
        <w:ind w:left="400" w:firstLine="200"/>
      </w:pPr>
      <w:rPr>
        <w:rFonts w:hint="eastAsia"/>
        <w:b w:val="0"/>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09910A9"/>
    <w:multiLevelType w:val="multilevel"/>
    <w:tmpl w:val="309910A9"/>
    <w:lvl w:ilvl="0" w:tentative="0">
      <w:start w:val="1"/>
      <w:numFmt w:val="chineseCountingThousand"/>
      <w:pStyle w:val="144"/>
      <w:suff w:val="nothing"/>
      <w:lvlText w:val="%1、"/>
      <w:lvlJc w:val="left"/>
      <w:pPr>
        <w:ind w:left="0" w:firstLine="40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11">
    <w:nsid w:val="4C601917"/>
    <w:multiLevelType w:val="singleLevel"/>
    <w:tmpl w:val="4C601917"/>
    <w:lvl w:ilvl="0" w:tentative="0">
      <w:start w:val="1"/>
      <w:numFmt w:val="decimal"/>
      <w:suff w:val="nothing"/>
      <w:lvlText w:val="（%1）"/>
      <w:lvlJc w:val="left"/>
    </w:lvl>
  </w:abstractNum>
  <w:abstractNum w:abstractNumId="12">
    <w:nsid w:val="5FABD14B"/>
    <w:multiLevelType w:val="singleLevel"/>
    <w:tmpl w:val="5FABD14B"/>
    <w:lvl w:ilvl="0" w:tentative="0">
      <w:start w:val="1"/>
      <w:numFmt w:val="decimal"/>
      <w:suff w:val="nothing"/>
      <w:lvlText w:val="（%1）"/>
      <w:lvlJc w:val="left"/>
    </w:lvl>
  </w:abstractNum>
  <w:abstractNum w:abstractNumId="13">
    <w:nsid w:val="79E0569A"/>
    <w:multiLevelType w:val="multilevel"/>
    <w:tmpl w:val="79E0569A"/>
    <w:lvl w:ilvl="0" w:tentative="0">
      <w:start w:val="1"/>
      <w:numFmt w:val="decimal"/>
      <w:pStyle w:val="140"/>
      <w:suff w:val="space"/>
      <w:lvlText w:val="%1)"/>
      <w:lvlJc w:val="left"/>
      <w:pPr>
        <w:ind w:left="0" w:firstLine="400"/>
      </w:pPr>
      <w:rPr>
        <w:rFonts w:hint="eastAsia"/>
      </w:rPr>
    </w:lvl>
    <w:lvl w:ilvl="1" w:tentative="0">
      <w:start w:val="1"/>
      <w:numFmt w:val="lowerLetter"/>
      <w:lvlText w:val="%2)"/>
      <w:lvlJc w:val="left"/>
      <w:pPr>
        <w:ind w:left="1720" w:hanging="420"/>
      </w:pPr>
    </w:lvl>
    <w:lvl w:ilvl="2" w:tentative="0">
      <w:start w:val="1"/>
      <w:numFmt w:val="lowerRoman"/>
      <w:lvlText w:val="%3."/>
      <w:lvlJc w:val="right"/>
      <w:pPr>
        <w:ind w:left="2140" w:hanging="420"/>
      </w:pPr>
    </w:lvl>
    <w:lvl w:ilvl="3" w:tentative="0">
      <w:start w:val="1"/>
      <w:numFmt w:val="decimal"/>
      <w:lvlText w:val="%4."/>
      <w:lvlJc w:val="left"/>
      <w:pPr>
        <w:ind w:left="2560" w:hanging="420"/>
      </w:pPr>
    </w:lvl>
    <w:lvl w:ilvl="4" w:tentative="0">
      <w:start w:val="1"/>
      <w:numFmt w:val="lowerLetter"/>
      <w:lvlText w:val="%5)"/>
      <w:lvlJc w:val="left"/>
      <w:pPr>
        <w:ind w:left="2980" w:hanging="420"/>
      </w:pPr>
    </w:lvl>
    <w:lvl w:ilvl="5" w:tentative="0">
      <w:start w:val="1"/>
      <w:numFmt w:val="lowerRoman"/>
      <w:lvlText w:val="%6."/>
      <w:lvlJc w:val="right"/>
      <w:pPr>
        <w:ind w:left="3400" w:hanging="420"/>
      </w:pPr>
    </w:lvl>
    <w:lvl w:ilvl="6" w:tentative="0">
      <w:start w:val="1"/>
      <w:numFmt w:val="decimal"/>
      <w:lvlText w:val="%7."/>
      <w:lvlJc w:val="left"/>
      <w:pPr>
        <w:ind w:left="3820" w:hanging="420"/>
      </w:pPr>
    </w:lvl>
    <w:lvl w:ilvl="7" w:tentative="0">
      <w:start w:val="1"/>
      <w:numFmt w:val="lowerLetter"/>
      <w:lvlText w:val="%8)"/>
      <w:lvlJc w:val="left"/>
      <w:pPr>
        <w:ind w:left="4240" w:hanging="420"/>
      </w:pPr>
    </w:lvl>
    <w:lvl w:ilvl="8" w:tentative="0">
      <w:start w:val="1"/>
      <w:numFmt w:val="lowerRoman"/>
      <w:lvlText w:val="%9."/>
      <w:lvlJc w:val="right"/>
      <w:pPr>
        <w:ind w:left="4660" w:hanging="420"/>
      </w:pPr>
    </w:lvl>
  </w:abstractNum>
  <w:abstractNum w:abstractNumId="14">
    <w:nsid w:val="7DDF28A0"/>
    <w:multiLevelType w:val="multilevel"/>
    <w:tmpl w:val="7DDF28A0"/>
    <w:lvl w:ilvl="0" w:tentative="0">
      <w:start w:val="1"/>
      <w:numFmt w:val="decimal"/>
      <w:pStyle w:val="153"/>
      <w:suff w:val="nothing"/>
      <w:lvlText w:val="%1）"/>
      <w:lvlJc w:val="left"/>
      <w:pPr>
        <w:ind w:left="400" w:firstLine="20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3"/>
  </w:num>
  <w:num w:numId="3">
    <w:abstractNumId w:val="5"/>
  </w:num>
  <w:num w:numId="4">
    <w:abstractNumId w:val="6"/>
  </w:num>
  <w:num w:numId="5">
    <w:abstractNumId w:val="7"/>
  </w:num>
  <w:num w:numId="6">
    <w:abstractNumId w:val="13"/>
  </w:num>
  <w:num w:numId="7">
    <w:abstractNumId w:val="4"/>
  </w:num>
  <w:num w:numId="8">
    <w:abstractNumId w:val="9"/>
  </w:num>
  <w:num w:numId="9">
    <w:abstractNumId w:val="8"/>
  </w:num>
  <w:num w:numId="10">
    <w:abstractNumId w:val="14"/>
  </w:num>
  <w:num w:numId="11">
    <w:abstractNumId w:val="1"/>
  </w:num>
  <w:num w:numId="12">
    <w:abstractNumId w:val="11"/>
  </w:num>
  <w:num w:numId="13">
    <w:abstractNumId w:val="12"/>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08B"/>
    <w:rsid w:val="0000010C"/>
    <w:rsid w:val="00000466"/>
    <w:rsid w:val="000006D0"/>
    <w:rsid w:val="00000D21"/>
    <w:rsid w:val="00000FE0"/>
    <w:rsid w:val="00001068"/>
    <w:rsid w:val="0000108F"/>
    <w:rsid w:val="0000114A"/>
    <w:rsid w:val="000012EA"/>
    <w:rsid w:val="00001731"/>
    <w:rsid w:val="00001BAF"/>
    <w:rsid w:val="00001C2D"/>
    <w:rsid w:val="00001C55"/>
    <w:rsid w:val="00001CA8"/>
    <w:rsid w:val="00001E4C"/>
    <w:rsid w:val="00001FAE"/>
    <w:rsid w:val="00002291"/>
    <w:rsid w:val="0000240F"/>
    <w:rsid w:val="00002644"/>
    <w:rsid w:val="00002BC4"/>
    <w:rsid w:val="00002D74"/>
    <w:rsid w:val="00002DBF"/>
    <w:rsid w:val="00002E56"/>
    <w:rsid w:val="00002EC0"/>
    <w:rsid w:val="000030A4"/>
    <w:rsid w:val="000030DA"/>
    <w:rsid w:val="00003224"/>
    <w:rsid w:val="000033A9"/>
    <w:rsid w:val="000033F5"/>
    <w:rsid w:val="000034A2"/>
    <w:rsid w:val="000034EA"/>
    <w:rsid w:val="0000350E"/>
    <w:rsid w:val="0000358C"/>
    <w:rsid w:val="00003BEF"/>
    <w:rsid w:val="00003E35"/>
    <w:rsid w:val="00004130"/>
    <w:rsid w:val="0000419B"/>
    <w:rsid w:val="0000431F"/>
    <w:rsid w:val="00004634"/>
    <w:rsid w:val="00004CBC"/>
    <w:rsid w:val="00004D8B"/>
    <w:rsid w:val="0000510D"/>
    <w:rsid w:val="000059E2"/>
    <w:rsid w:val="00005F8A"/>
    <w:rsid w:val="000063F8"/>
    <w:rsid w:val="00006A03"/>
    <w:rsid w:val="00006A56"/>
    <w:rsid w:val="00006AE7"/>
    <w:rsid w:val="00006B9B"/>
    <w:rsid w:val="00006C35"/>
    <w:rsid w:val="00006EF2"/>
    <w:rsid w:val="000072B1"/>
    <w:rsid w:val="00007329"/>
    <w:rsid w:val="00007922"/>
    <w:rsid w:val="00007CA1"/>
    <w:rsid w:val="00007E28"/>
    <w:rsid w:val="00007E53"/>
    <w:rsid w:val="00007E84"/>
    <w:rsid w:val="00010401"/>
    <w:rsid w:val="000105A1"/>
    <w:rsid w:val="000107AD"/>
    <w:rsid w:val="00010835"/>
    <w:rsid w:val="00010844"/>
    <w:rsid w:val="00010A0A"/>
    <w:rsid w:val="00010F4E"/>
    <w:rsid w:val="00010F7F"/>
    <w:rsid w:val="0001146F"/>
    <w:rsid w:val="00011747"/>
    <w:rsid w:val="00011842"/>
    <w:rsid w:val="000118F3"/>
    <w:rsid w:val="00011B8D"/>
    <w:rsid w:val="00012137"/>
    <w:rsid w:val="000121EB"/>
    <w:rsid w:val="000121EE"/>
    <w:rsid w:val="000121FF"/>
    <w:rsid w:val="000125B8"/>
    <w:rsid w:val="000125EC"/>
    <w:rsid w:val="00012692"/>
    <w:rsid w:val="00012A8F"/>
    <w:rsid w:val="000132C1"/>
    <w:rsid w:val="00013446"/>
    <w:rsid w:val="0001349D"/>
    <w:rsid w:val="00013509"/>
    <w:rsid w:val="000135BC"/>
    <w:rsid w:val="000135DC"/>
    <w:rsid w:val="000136B2"/>
    <w:rsid w:val="000136D6"/>
    <w:rsid w:val="00013979"/>
    <w:rsid w:val="00013CBF"/>
    <w:rsid w:val="00013E8C"/>
    <w:rsid w:val="00013FB2"/>
    <w:rsid w:val="00014085"/>
    <w:rsid w:val="000141DE"/>
    <w:rsid w:val="00014B4C"/>
    <w:rsid w:val="00014BFB"/>
    <w:rsid w:val="00014DD9"/>
    <w:rsid w:val="00014E9F"/>
    <w:rsid w:val="000151E4"/>
    <w:rsid w:val="000153D8"/>
    <w:rsid w:val="00015555"/>
    <w:rsid w:val="00015577"/>
    <w:rsid w:val="000156E4"/>
    <w:rsid w:val="00015979"/>
    <w:rsid w:val="000159A7"/>
    <w:rsid w:val="00015A66"/>
    <w:rsid w:val="00015C4C"/>
    <w:rsid w:val="00015DD6"/>
    <w:rsid w:val="00015E3A"/>
    <w:rsid w:val="00015FB8"/>
    <w:rsid w:val="00016076"/>
    <w:rsid w:val="0001609F"/>
    <w:rsid w:val="0001635B"/>
    <w:rsid w:val="00016549"/>
    <w:rsid w:val="000169C2"/>
    <w:rsid w:val="00016AB3"/>
    <w:rsid w:val="00016BF7"/>
    <w:rsid w:val="00016C23"/>
    <w:rsid w:val="00016D20"/>
    <w:rsid w:val="00016DED"/>
    <w:rsid w:val="0001767E"/>
    <w:rsid w:val="0001776D"/>
    <w:rsid w:val="000178D7"/>
    <w:rsid w:val="00017C00"/>
    <w:rsid w:val="00017D58"/>
    <w:rsid w:val="00017D90"/>
    <w:rsid w:val="00017F31"/>
    <w:rsid w:val="0002004A"/>
    <w:rsid w:val="00020607"/>
    <w:rsid w:val="00020A15"/>
    <w:rsid w:val="00020FE2"/>
    <w:rsid w:val="0002103A"/>
    <w:rsid w:val="000217E4"/>
    <w:rsid w:val="00021852"/>
    <w:rsid w:val="00021A12"/>
    <w:rsid w:val="00021F18"/>
    <w:rsid w:val="00022308"/>
    <w:rsid w:val="00022622"/>
    <w:rsid w:val="000226C9"/>
    <w:rsid w:val="00022A44"/>
    <w:rsid w:val="00022AB9"/>
    <w:rsid w:val="00022FF4"/>
    <w:rsid w:val="00023094"/>
    <w:rsid w:val="000230F0"/>
    <w:rsid w:val="00023363"/>
    <w:rsid w:val="000235F3"/>
    <w:rsid w:val="00023644"/>
    <w:rsid w:val="00023712"/>
    <w:rsid w:val="00023748"/>
    <w:rsid w:val="000239A4"/>
    <w:rsid w:val="0002440A"/>
    <w:rsid w:val="00024707"/>
    <w:rsid w:val="0002476C"/>
    <w:rsid w:val="00024E3C"/>
    <w:rsid w:val="00024EB0"/>
    <w:rsid w:val="00025117"/>
    <w:rsid w:val="0002547A"/>
    <w:rsid w:val="000258B2"/>
    <w:rsid w:val="00025941"/>
    <w:rsid w:val="000259DF"/>
    <w:rsid w:val="00025A13"/>
    <w:rsid w:val="00025A2F"/>
    <w:rsid w:val="00025A93"/>
    <w:rsid w:val="00025C50"/>
    <w:rsid w:val="00025C92"/>
    <w:rsid w:val="00026048"/>
    <w:rsid w:val="000263D0"/>
    <w:rsid w:val="0002646A"/>
    <w:rsid w:val="0002651D"/>
    <w:rsid w:val="00026658"/>
    <w:rsid w:val="000269BE"/>
    <w:rsid w:val="000269C7"/>
    <w:rsid w:val="00026CFD"/>
    <w:rsid w:val="000272DD"/>
    <w:rsid w:val="000272EA"/>
    <w:rsid w:val="00027345"/>
    <w:rsid w:val="00027519"/>
    <w:rsid w:val="0002752D"/>
    <w:rsid w:val="0002796F"/>
    <w:rsid w:val="000279F9"/>
    <w:rsid w:val="00027A11"/>
    <w:rsid w:val="00027B05"/>
    <w:rsid w:val="00027B0F"/>
    <w:rsid w:val="00027C8B"/>
    <w:rsid w:val="00027C8D"/>
    <w:rsid w:val="00027CD9"/>
    <w:rsid w:val="00027CE8"/>
    <w:rsid w:val="00027EC8"/>
    <w:rsid w:val="00030242"/>
    <w:rsid w:val="000304CA"/>
    <w:rsid w:val="000308A0"/>
    <w:rsid w:val="00030940"/>
    <w:rsid w:val="00030B06"/>
    <w:rsid w:val="000313E0"/>
    <w:rsid w:val="000314B5"/>
    <w:rsid w:val="000314DC"/>
    <w:rsid w:val="0003153A"/>
    <w:rsid w:val="0003183A"/>
    <w:rsid w:val="00031CDC"/>
    <w:rsid w:val="00031DC8"/>
    <w:rsid w:val="0003210D"/>
    <w:rsid w:val="0003263B"/>
    <w:rsid w:val="0003282C"/>
    <w:rsid w:val="00032D70"/>
    <w:rsid w:val="00032EEC"/>
    <w:rsid w:val="0003304A"/>
    <w:rsid w:val="0003317E"/>
    <w:rsid w:val="000331F1"/>
    <w:rsid w:val="000331F3"/>
    <w:rsid w:val="000333EF"/>
    <w:rsid w:val="000333FE"/>
    <w:rsid w:val="00033413"/>
    <w:rsid w:val="000334A6"/>
    <w:rsid w:val="000336F9"/>
    <w:rsid w:val="000337F3"/>
    <w:rsid w:val="00033B75"/>
    <w:rsid w:val="00034196"/>
    <w:rsid w:val="00034C27"/>
    <w:rsid w:val="00034E25"/>
    <w:rsid w:val="00034E2A"/>
    <w:rsid w:val="000351BD"/>
    <w:rsid w:val="0003577F"/>
    <w:rsid w:val="00035808"/>
    <w:rsid w:val="00035903"/>
    <w:rsid w:val="00035947"/>
    <w:rsid w:val="000361E7"/>
    <w:rsid w:val="00036466"/>
    <w:rsid w:val="000365F5"/>
    <w:rsid w:val="0003675E"/>
    <w:rsid w:val="000368F8"/>
    <w:rsid w:val="00036AD2"/>
    <w:rsid w:val="000373F9"/>
    <w:rsid w:val="00037633"/>
    <w:rsid w:val="00037AD0"/>
    <w:rsid w:val="00037E9E"/>
    <w:rsid w:val="00037F87"/>
    <w:rsid w:val="00037FA2"/>
    <w:rsid w:val="000400D0"/>
    <w:rsid w:val="00040139"/>
    <w:rsid w:val="0004044E"/>
    <w:rsid w:val="00041065"/>
    <w:rsid w:val="00041471"/>
    <w:rsid w:val="00041730"/>
    <w:rsid w:val="0004195D"/>
    <w:rsid w:val="000421C0"/>
    <w:rsid w:val="00042292"/>
    <w:rsid w:val="000425AC"/>
    <w:rsid w:val="00042655"/>
    <w:rsid w:val="00042672"/>
    <w:rsid w:val="000426DC"/>
    <w:rsid w:val="00042F4A"/>
    <w:rsid w:val="00043726"/>
    <w:rsid w:val="00043BE5"/>
    <w:rsid w:val="00043C4B"/>
    <w:rsid w:val="00043F9B"/>
    <w:rsid w:val="00044003"/>
    <w:rsid w:val="000443E8"/>
    <w:rsid w:val="00044527"/>
    <w:rsid w:val="00044662"/>
    <w:rsid w:val="0004469E"/>
    <w:rsid w:val="00044897"/>
    <w:rsid w:val="00044918"/>
    <w:rsid w:val="00044ACF"/>
    <w:rsid w:val="00044C40"/>
    <w:rsid w:val="00044D83"/>
    <w:rsid w:val="00044DAF"/>
    <w:rsid w:val="00044E06"/>
    <w:rsid w:val="000454F4"/>
    <w:rsid w:val="00045670"/>
    <w:rsid w:val="000456EB"/>
    <w:rsid w:val="0004599C"/>
    <w:rsid w:val="00045CE1"/>
    <w:rsid w:val="00045D0B"/>
    <w:rsid w:val="00045D1E"/>
    <w:rsid w:val="00045E69"/>
    <w:rsid w:val="00045EAE"/>
    <w:rsid w:val="00045EF4"/>
    <w:rsid w:val="00045F00"/>
    <w:rsid w:val="000460F2"/>
    <w:rsid w:val="00046151"/>
    <w:rsid w:val="00046200"/>
    <w:rsid w:val="00046296"/>
    <w:rsid w:val="00046415"/>
    <w:rsid w:val="00046547"/>
    <w:rsid w:val="00046656"/>
    <w:rsid w:val="000466D7"/>
    <w:rsid w:val="00046753"/>
    <w:rsid w:val="00046786"/>
    <w:rsid w:val="00047254"/>
    <w:rsid w:val="000472FD"/>
    <w:rsid w:val="00047A8D"/>
    <w:rsid w:val="00047D6F"/>
    <w:rsid w:val="00047FCC"/>
    <w:rsid w:val="00050001"/>
    <w:rsid w:val="0005020F"/>
    <w:rsid w:val="0005022B"/>
    <w:rsid w:val="00050481"/>
    <w:rsid w:val="00050547"/>
    <w:rsid w:val="00050653"/>
    <w:rsid w:val="00050771"/>
    <w:rsid w:val="00050B9B"/>
    <w:rsid w:val="0005112A"/>
    <w:rsid w:val="000513F3"/>
    <w:rsid w:val="000515A1"/>
    <w:rsid w:val="00051875"/>
    <w:rsid w:val="000518C6"/>
    <w:rsid w:val="00051BE5"/>
    <w:rsid w:val="00051CE2"/>
    <w:rsid w:val="000520E9"/>
    <w:rsid w:val="00052287"/>
    <w:rsid w:val="000522E0"/>
    <w:rsid w:val="00052609"/>
    <w:rsid w:val="000527E2"/>
    <w:rsid w:val="00052F55"/>
    <w:rsid w:val="000532F4"/>
    <w:rsid w:val="00053624"/>
    <w:rsid w:val="000536AE"/>
    <w:rsid w:val="00053A2B"/>
    <w:rsid w:val="000542FB"/>
    <w:rsid w:val="00054824"/>
    <w:rsid w:val="000548E0"/>
    <w:rsid w:val="00054CD5"/>
    <w:rsid w:val="00054CEC"/>
    <w:rsid w:val="00054D03"/>
    <w:rsid w:val="000550AC"/>
    <w:rsid w:val="0005556C"/>
    <w:rsid w:val="0005580E"/>
    <w:rsid w:val="0005584D"/>
    <w:rsid w:val="000559EC"/>
    <w:rsid w:val="00055CC3"/>
    <w:rsid w:val="00055CEE"/>
    <w:rsid w:val="00055D5C"/>
    <w:rsid w:val="00056483"/>
    <w:rsid w:val="000566FA"/>
    <w:rsid w:val="00056738"/>
    <w:rsid w:val="00056A2B"/>
    <w:rsid w:val="00056E37"/>
    <w:rsid w:val="00056EE2"/>
    <w:rsid w:val="00056FE2"/>
    <w:rsid w:val="000570FB"/>
    <w:rsid w:val="00057138"/>
    <w:rsid w:val="00057248"/>
    <w:rsid w:val="000575B8"/>
    <w:rsid w:val="00057734"/>
    <w:rsid w:val="000577A9"/>
    <w:rsid w:val="00057941"/>
    <w:rsid w:val="00057F4D"/>
    <w:rsid w:val="00060131"/>
    <w:rsid w:val="00060171"/>
    <w:rsid w:val="0006026B"/>
    <w:rsid w:val="00060293"/>
    <w:rsid w:val="00060423"/>
    <w:rsid w:val="0006054F"/>
    <w:rsid w:val="00060FFC"/>
    <w:rsid w:val="0006141E"/>
    <w:rsid w:val="00061459"/>
    <w:rsid w:val="000616FA"/>
    <w:rsid w:val="00061739"/>
    <w:rsid w:val="0006194F"/>
    <w:rsid w:val="00061BDA"/>
    <w:rsid w:val="00062048"/>
    <w:rsid w:val="000621FE"/>
    <w:rsid w:val="00062B90"/>
    <w:rsid w:val="00062C70"/>
    <w:rsid w:val="00062DD0"/>
    <w:rsid w:val="00062E6F"/>
    <w:rsid w:val="000630C7"/>
    <w:rsid w:val="0006356A"/>
    <w:rsid w:val="0006393C"/>
    <w:rsid w:val="00063AC3"/>
    <w:rsid w:val="00063D37"/>
    <w:rsid w:val="0006400F"/>
    <w:rsid w:val="00064203"/>
    <w:rsid w:val="000643DA"/>
    <w:rsid w:val="000645DD"/>
    <w:rsid w:val="00064901"/>
    <w:rsid w:val="00064D7E"/>
    <w:rsid w:val="00064F65"/>
    <w:rsid w:val="00064FD0"/>
    <w:rsid w:val="00064FE8"/>
    <w:rsid w:val="0006534A"/>
    <w:rsid w:val="0006578E"/>
    <w:rsid w:val="00065A5D"/>
    <w:rsid w:val="00065BA2"/>
    <w:rsid w:val="00065E0D"/>
    <w:rsid w:val="00066184"/>
    <w:rsid w:val="000661CA"/>
    <w:rsid w:val="0006668D"/>
    <w:rsid w:val="00066791"/>
    <w:rsid w:val="00066B6C"/>
    <w:rsid w:val="00066F2B"/>
    <w:rsid w:val="00067002"/>
    <w:rsid w:val="0006710A"/>
    <w:rsid w:val="00067993"/>
    <w:rsid w:val="00067B1C"/>
    <w:rsid w:val="00067BB7"/>
    <w:rsid w:val="00067C7A"/>
    <w:rsid w:val="00067CED"/>
    <w:rsid w:val="00067D39"/>
    <w:rsid w:val="00067F10"/>
    <w:rsid w:val="00067F66"/>
    <w:rsid w:val="0007041A"/>
    <w:rsid w:val="00070634"/>
    <w:rsid w:val="0007071D"/>
    <w:rsid w:val="00070883"/>
    <w:rsid w:val="000708CC"/>
    <w:rsid w:val="00070A8C"/>
    <w:rsid w:val="00070C3F"/>
    <w:rsid w:val="00070F50"/>
    <w:rsid w:val="00070FE4"/>
    <w:rsid w:val="0007102C"/>
    <w:rsid w:val="00071048"/>
    <w:rsid w:val="000710CB"/>
    <w:rsid w:val="0007183E"/>
    <w:rsid w:val="000719C6"/>
    <w:rsid w:val="00071A96"/>
    <w:rsid w:val="00071C5E"/>
    <w:rsid w:val="00071D5C"/>
    <w:rsid w:val="00071D68"/>
    <w:rsid w:val="00071D82"/>
    <w:rsid w:val="00071DD2"/>
    <w:rsid w:val="00071FCE"/>
    <w:rsid w:val="000721BF"/>
    <w:rsid w:val="00072661"/>
    <w:rsid w:val="00072812"/>
    <w:rsid w:val="00072876"/>
    <w:rsid w:val="00072B29"/>
    <w:rsid w:val="00072BA6"/>
    <w:rsid w:val="00072CCC"/>
    <w:rsid w:val="00072E02"/>
    <w:rsid w:val="00073549"/>
    <w:rsid w:val="00073A58"/>
    <w:rsid w:val="00073B62"/>
    <w:rsid w:val="00073E0F"/>
    <w:rsid w:val="000740C1"/>
    <w:rsid w:val="00074769"/>
    <w:rsid w:val="000747E1"/>
    <w:rsid w:val="0007483E"/>
    <w:rsid w:val="00074E1A"/>
    <w:rsid w:val="00074F9B"/>
    <w:rsid w:val="000751DB"/>
    <w:rsid w:val="000751E9"/>
    <w:rsid w:val="000756B4"/>
    <w:rsid w:val="000756C5"/>
    <w:rsid w:val="0007578F"/>
    <w:rsid w:val="000759A3"/>
    <w:rsid w:val="00075CD8"/>
    <w:rsid w:val="00075E43"/>
    <w:rsid w:val="00076DEF"/>
    <w:rsid w:val="0007724C"/>
    <w:rsid w:val="00077706"/>
    <w:rsid w:val="00077878"/>
    <w:rsid w:val="00077DD1"/>
    <w:rsid w:val="00077DE2"/>
    <w:rsid w:val="00077F02"/>
    <w:rsid w:val="000800EE"/>
    <w:rsid w:val="000804EF"/>
    <w:rsid w:val="00080558"/>
    <w:rsid w:val="00080771"/>
    <w:rsid w:val="00080807"/>
    <w:rsid w:val="00080AA7"/>
    <w:rsid w:val="00081169"/>
    <w:rsid w:val="00081230"/>
    <w:rsid w:val="00081384"/>
    <w:rsid w:val="000814E1"/>
    <w:rsid w:val="000814E2"/>
    <w:rsid w:val="00081532"/>
    <w:rsid w:val="000818C9"/>
    <w:rsid w:val="00081CBB"/>
    <w:rsid w:val="00081D42"/>
    <w:rsid w:val="000822AC"/>
    <w:rsid w:val="000822EF"/>
    <w:rsid w:val="0008241E"/>
    <w:rsid w:val="000826F5"/>
    <w:rsid w:val="000829B1"/>
    <w:rsid w:val="00082AAB"/>
    <w:rsid w:val="00082F51"/>
    <w:rsid w:val="0008307D"/>
    <w:rsid w:val="000831E9"/>
    <w:rsid w:val="00083288"/>
    <w:rsid w:val="000833BB"/>
    <w:rsid w:val="000836C4"/>
    <w:rsid w:val="00083A03"/>
    <w:rsid w:val="00083AE9"/>
    <w:rsid w:val="00083B21"/>
    <w:rsid w:val="00083D33"/>
    <w:rsid w:val="00083EC8"/>
    <w:rsid w:val="000840A6"/>
    <w:rsid w:val="000840D9"/>
    <w:rsid w:val="00084211"/>
    <w:rsid w:val="0008452D"/>
    <w:rsid w:val="0008467B"/>
    <w:rsid w:val="000846E2"/>
    <w:rsid w:val="00084B6F"/>
    <w:rsid w:val="00084F1F"/>
    <w:rsid w:val="00084F7A"/>
    <w:rsid w:val="00084FBF"/>
    <w:rsid w:val="000850FA"/>
    <w:rsid w:val="0008556B"/>
    <w:rsid w:val="0008597F"/>
    <w:rsid w:val="00085C12"/>
    <w:rsid w:val="00085DA0"/>
    <w:rsid w:val="00085F82"/>
    <w:rsid w:val="00085FC0"/>
    <w:rsid w:val="00086506"/>
    <w:rsid w:val="00086956"/>
    <w:rsid w:val="00086B6E"/>
    <w:rsid w:val="00086C64"/>
    <w:rsid w:val="00086CAA"/>
    <w:rsid w:val="00087486"/>
    <w:rsid w:val="00087654"/>
    <w:rsid w:val="0008781A"/>
    <w:rsid w:val="00087A9D"/>
    <w:rsid w:val="00087AB0"/>
    <w:rsid w:val="00090951"/>
    <w:rsid w:val="00090A61"/>
    <w:rsid w:val="00090C80"/>
    <w:rsid w:val="00090F08"/>
    <w:rsid w:val="000912DD"/>
    <w:rsid w:val="000917E6"/>
    <w:rsid w:val="000918F5"/>
    <w:rsid w:val="000919B5"/>
    <w:rsid w:val="00091C1D"/>
    <w:rsid w:val="00091D7D"/>
    <w:rsid w:val="00091E08"/>
    <w:rsid w:val="00091E29"/>
    <w:rsid w:val="00092128"/>
    <w:rsid w:val="000922D8"/>
    <w:rsid w:val="00092D8E"/>
    <w:rsid w:val="000932E7"/>
    <w:rsid w:val="0009333A"/>
    <w:rsid w:val="00093459"/>
    <w:rsid w:val="00093B8B"/>
    <w:rsid w:val="00093CBF"/>
    <w:rsid w:val="00093D39"/>
    <w:rsid w:val="00093DF0"/>
    <w:rsid w:val="00094045"/>
    <w:rsid w:val="00094218"/>
    <w:rsid w:val="000942EA"/>
    <w:rsid w:val="0009454B"/>
    <w:rsid w:val="00094EF9"/>
    <w:rsid w:val="000951E7"/>
    <w:rsid w:val="000954AE"/>
    <w:rsid w:val="00095702"/>
    <w:rsid w:val="00095B82"/>
    <w:rsid w:val="00095DED"/>
    <w:rsid w:val="00096098"/>
    <w:rsid w:val="000961C5"/>
    <w:rsid w:val="000965DA"/>
    <w:rsid w:val="000966D9"/>
    <w:rsid w:val="000968AF"/>
    <w:rsid w:val="000968CE"/>
    <w:rsid w:val="000969D9"/>
    <w:rsid w:val="00096D43"/>
    <w:rsid w:val="00096F37"/>
    <w:rsid w:val="00097142"/>
    <w:rsid w:val="0009759A"/>
    <w:rsid w:val="000975A5"/>
    <w:rsid w:val="000977A6"/>
    <w:rsid w:val="00097D13"/>
    <w:rsid w:val="00097FE5"/>
    <w:rsid w:val="000A005B"/>
    <w:rsid w:val="000A0354"/>
    <w:rsid w:val="000A0355"/>
    <w:rsid w:val="000A05D7"/>
    <w:rsid w:val="000A067D"/>
    <w:rsid w:val="000A091F"/>
    <w:rsid w:val="000A0958"/>
    <w:rsid w:val="000A0F4D"/>
    <w:rsid w:val="000A0FCC"/>
    <w:rsid w:val="000A1033"/>
    <w:rsid w:val="000A170E"/>
    <w:rsid w:val="000A197C"/>
    <w:rsid w:val="000A1D71"/>
    <w:rsid w:val="000A2076"/>
    <w:rsid w:val="000A2712"/>
    <w:rsid w:val="000A2877"/>
    <w:rsid w:val="000A28F5"/>
    <w:rsid w:val="000A2D31"/>
    <w:rsid w:val="000A30CB"/>
    <w:rsid w:val="000A331E"/>
    <w:rsid w:val="000A34F4"/>
    <w:rsid w:val="000A355D"/>
    <w:rsid w:val="000A35DA"/>
    <w:rsid w:val="000A365C"/>
    <w:rsid w:val="000A371E"/>
    <w:rsid w:val="000A385B"/>
    <w:rsid w:val="000A3AF3"/>
    <w:rsid w:val="000A3DE5"/>
    <w:rsid w:val="000A3FB0"/>
    <w:rsid w:val="000A4011"/>
    <w:rsid w:val="000A4385"/>
    <w:rsid w:val="000A4397"/>
    <w:rsid w:val="000A45D5"/>
    <w:rsid w:val="000A4838"/>
    <w:rsid w:val="000A490E"/>
    <w:rsid w:val="000A5B49"/>
    <w:rsid w:val="000A5C65"/>
    <w:rsid w:val="000A5F0F"/>
    <w:rsid w:val="000A5FE5"/>
    <w:rsid w:val="000A688F"/>
    <w:rsid w:val="000A6A46"/>
    <w:rsid w:val="000A7099"/>
    <w:rsid w:val="000A7218"/>
    <w:rsid w:val="000A740A"/>
    <w:rsid w:val="000A7446"/>
    <w:rsid w:val="000A76C4"/>
    <w:rsid w:val="000A7A1B"/>
    <w:rsid w:val="000A7A56"/>
    <w:rsid w:val="000A7E7F"/>
    <w:rsid w:val="000A7ECD"/>
    <w:rsid w:val="000A7F3D"/>
    <w:rsid w:val="000B04DD"/>
    <w:rsid w:val="000B0677"/>
    <w:rsid w:val="000B07E2"/>
    <w:rsid w:val="000B0BC9"/>
    <w:rsid w:val="000B0BEC"/>
    <w:rsid w:val="000B0C27"/>
    <w:rsid w:val="000B0F01"/>
    <w:rsid w:val="000B0F1E"/>
    <w:rsid w:val="000B12F5"/>
    <w:rsid w:val="000B1346"/>
    <w:rsid w:val="000B13DF"/>
    <w:rsid w:val="000B1795"/>
    <w:rsid w:val="000B180D"/>
    <w:rsid w:val="000B1914"/>
    <w:rsid w:val="000B19DC"/>
    <w:rsid w:val="000B1CA2"/>
    <w:rsid w:val="000B1E1A"/>
    <w:rsid w:val="000B202E"/>
    <w:rsid w:val="000B2293"/>
    <w:rsid w:val="000B22D7"/>
    <w:rsid w:val="000B240A"/>
    <w:rsid w:val="000B24A4"/>
    <w:rsid w:val="000B255A"/>
    <w:rsid w:val="000B255C"/>
    <w:rsid w:val="000B259D"/>
    <w:rsid w:val="000B2648"/>
    <w:rsid w:val="000B264F"/>
    <w:rsid w:val="000B275D"/>
    <w:rsid w:val="000B2808"/>
    <w:rsid w:val="000B292B"/>
    <w:rsid w:val="000B2AB0"/>
    <w:rsid w:val="000B3328"/>
    <w:rsid w:val="000B3531"/>
    <w:rsid w:val="000B361C"/>
    <w:rsid w:val="000B395E"/>
    <w:rsid w:val="000B39C3"/>
    <w:rsid w:val="000B3A00"/>
    <w:rsid w:val="000B3BFD"/>
    <w:rsid w:val="000B3F4B"/>
    <w:rsid w:val="000B40E6"/>
    <w:rsid w:val="000B4840"/>
    <w:rsid w:val="000B4D79"/>
    <w:rsid w:val="000B4D92"/>
    <w:rsid w:val="000B525F"/>
    <w:rsid w:val="000B533B"/>
    <w:rsid w:val="000B53D5"/>
    <w:rsid w:val="000B55C8"/>
    <w:rsid w:val="000B5627"/>
    <w:rsid w:val="000B5671"/>
    <w:rsid w:val="000B5BE1"/>
    <w:rsid w:val="000B5D50"/>
    <w:rsid w:val="000B616E"/>
    <w:rsid w:val="000B6557"/>
    <w:rsid w:val="000B6BF0"/>
    <w:rsid w:val="000B6CE8"/>
    <w:rsid w:val="000B7BC3"/>
    <w:rsid w:val="000B7C16"/>
    <w:rsid w:val="000B7DAF"/>
    <w:rsid w:val="000C01A9"/>
    <w:rsid w:val="000C0520"/>
    <w:rsid w:val="000C060A"/>
    <w:rsid w:val="000C071C"/>
    <w:rsid w:val="000C093E"/>
    <w:rsid w:val="000C09B4"/>
    <w:rsid w:val="000C0BB4"/>
    <w:rsid w:val="000C0BEE"/>
    <w:rsid w:val="000C0D02"/>
    <w:rsid w:val="000C0F26"/>
    <w:rsid w:val="000C1027"/>
    <w:rsid w:val="000C1212"/>
    <w:rsid w:val="000C126A"/>
    <w:rsid w:val="000C1294"/>
    <w:rsid w:val="000C1CB9"/>
    <w:rsid w:val="000C2159"/>
    <w:rsid w:val="000C21BB"/>
    <w:rsid w:val="000C289B"/>
    <w:rsid w:val="000C2DD9"/>
    <w:rsid w:val="000C2F0B"/>
    <w:rsid w:val="000C2F85"/>
    <w:rsid w:val="000C342D"/>
    <w:rsid w:val="000C34B8"/>
    <w:rsid w:val="000C3967"/>
    <w:rsid w:val="000C3DEE"/>
    <w:rsid w:val="000C3ED8"/>
    <w:rsid w:val="000C3EFA"/>
    <w:rsid w:val="000C3F01"/>
    <w:rsid w:val="000C420D"/>
    <w:rsid w:val="000C4773"/>
    <w:rsid w:val="000C4944"/>
    <w:rsid w:val="000C4A44"/>
    <w:rsid w:val="000C4E24"/>
    <w:rsid w:val="000C5163"/>
    <w:rsid w:val="000C5412"/>
    <w:rsid w:val="000C559C"/>
    <w:rsid w:val="000C5A72"/>
    <w:rsid w:val="000C5C4A"/>
    <w:rsid w:val="000C5C87"/>
    <w:rsid w:val="000C5DE5"/>
    <w:rsid w:val="000C5F01"/>
    <w:rsid w:val="000C6010"/>
    <w:rsid w:val="000C63C4"/>
    <w:rsid w:val="000C66C1"/>
    <w:rsid w:val="000C674D"/>
    <w:rsid w:val="000C6F0B"/>
    <w:rsid w:val="000C6F32"/>
    <w:rsid w:val="000C708E"/>
    <w:rsid w:val="000C726D"/>
    <w:rsid w:val="000C752B"/>
    <w:rsid w:val="000C75A9"/>
    <w:rsid w:val="000C778C"/>
    <w:rsid w:val="000C7819"/>
    <w:rsid w:val="000C7833"/>
    <w:rsid w:val="000C7AB8"/>
    <w:rsid w:val="000C7DFB"/>
    <w:rsid w:val="000C7E1B"/>
    <w:rsid w:val="000C7E73"/>
    <w:rsid w:val="000D001B"/>
    <w:rsid w:val="000D030D"/>
    <w:rsid w:val="000D044F"/>
    <w:rsid w:val="000D0560"/>
    <w:rsid w:val="000D07F3"/>
    <w:rsid w:val="000D0A45"/>
    <w:rsid w:val="000D0ABC"/>
    <w:rsid w:val="000D0C7F"/>
    <w:rsid w:val="000D128C"/>
    <w:rsid w:val="000D136E"/>
    <w:rsid w:val="000D14AC"/>
    <w:rsid w:val="000D15BA"/>
    <w:rsid w:val="000D184B"/>
    <w:rsid w:val="000D1A13"/>
    <w:rsid w:val="000D1D3E"/>
    <w:rsid w:val="000D1EE3"/>
    <w:rsid w:val="000D1F90"/>
    <w:rsid w:val="000D29F5"/>
    <w:rsid w:val="000D2C9B"/>
    <w:rsid w:val="000D2DF8"/>
    <w:rsid w:val="000D35FD"/>
    <w:rsid w:val="000D3D2D"/>
    <w:rsid w:val="000D3D99"/>
    <w:rsid w:val="000D43F4"/>
    <w:rsid w:val="000D4653"/>
    <w:rsid w:val="000D4696"/>
    <w:rsid w:val="000D4817"/>
    <w:rsid w:val="000D4FB9"/>
    <w:rsid w:val="000D5127"/>
    <w:rsid w:val="000D54B4"/>
    <w:rsid w:val="000D54F8"/>
    <w:rsid w:val="000D5630"/>
    <w:rsid w:val="000D584B"/>
    <w:rsid w:val="000D5AFF"/>
    <w:rsid w:val="000D5F55"/>
    <w:rsid w:val="000D6372"/>
    <w:rsid w:val="000D682D"/>
    <w:rsid w:val="000D6979"/>
    <w:rsid w:val="000D6A6F"/>
    <w:rsid w:val="000D6B59"/>
    <w:rsid w:val="000D6CE7"/>
    <w:rsid w:val="000D6E38"/>
    <w:rsid w:val="000D6E63"/>
    <w:rsid w:val="000D706E"/>
    <w:rsid w:val="000D711C"/>
    <w:rsid w:val="000D737F"/>
    <w:rsid w:val="000D748C"/>
    <w:rsid w:val="000D7551"/>
    <w:rsid w:val="000D7591"/>
    <w:rsid w:val="000D7B6E"/>
    <w:rsid w:val="000D7F05"/>
    <w:rsid w:val="000D7FBB"/>
    <w:rsid w:val="000E02C0"/>
    <w:rsid w:val="000E042A"/>
    <w:rsid w:val="000E057B"/>
    <w:rsid w:val="000E0644"/>
    <w:rsid w:val="000E076D"/>
    <w:rsid w:val="000E0AD0"/>
    <w:rsid w:val="000E0CD2"/>
    <w:rsid w:val="000E15D2"/>
    <w:rsid w:val="000E187C"/>
    <w:rsid w:val="000E1881"/>
    <w:rsid w:val="000E1B28"/>
    <w:rsid w:val="000E1B78"/>
    <w:rsid w:val="000E1DD2"/>
    <w:rsid w:val="000E1E8D"/>
    <w:rsid w:val="000E1EBC"/>
    <w:rsid w:val="000E2173"/>
    <w:rsid w:val="000E220B"/>
    <w:rsid w:val="000E22BD"/>
    <w:rsid w:val="000E250D"/>
    <w:rsid w:val="000E2A50"/>
    <w:rsid w:val="000E2E2F"/>
    <w:rsid w:val="000E30F2"/>
    <w:rsid w:val="000E3140"/>
    <w:rsid w:val="000E316B"/>
    <w:rsid w:val="000E352C"/>
    <w:rsid w:val="000E3D08"/>
    <w:rsid w:val="000E444C"/>
    <w:rsid w:val="000E4713"/>
    <w:rsid w:val="000E4728"/>
    <w:rsid w:val="000E4762"/>
    <w:rsid w:val="000E47C6"/>
    <w:rsid w:val="000E4A79"/>
    <w:rsid w:val="000E4C21"/>
    <w:rsid w:val="000E4D1F"/>
    <w:rsid w:val="000E4D2E"/>
    <w:rsid w:val="000E4F67"/>
    <w:rsid w:val="000E517C"/>
    <w:rsid w:val="000E5658"/>
    <w:rsid w:val="000E568B"/>
    <w:rsid w:val="000E5698"/>
    <w:rsid w:val="000E5723"/>
    <w:rsid w:val="000E581B"/>
    <w:rsid w:val="000E58B4"/>
    <w:rsid w:val="000E5C83"/>
    <w:rsid w:val="000E5CD2"/>
    <w:rsid w:val="000E5F44"/>
    <w:rsid w:val="000E6336"/>
    <w:rsid w:val="000E65D2"/>
    <w:rsid w:val="000E6919"/>
    <w:rsid w:val="000E6943"/>
    <w:rsid w:val="000E6A49"/>
    <w:rsid w:val="000E6B1B"/>
    <w:rsid w:val="000E6F0C"/>
    <w:rsid w:val="000E6FE3"/>
    <w:rsid w:val="000E702F"/>
    <w:rsid w:val="000E7253"/>
    <w:rsid w:val="000E732D"/>
    <w:rsid w:val="000E7405"/>
    <w:rsid w:val="000E7F32"/>
    <w:rsid w:val="000F07ED"/>
    <w:rsid w:val="000F0AB9"/>
    <w:rsid w:val="000F0C69"/>
    <w:rsid w:val="000F0CF2"/>
    <w:rsid w:val="000F13DF"/>
    <w:rsid w:val="000F14D9"/>
    <w:rsid w:val="000F14F6"/>
    <w:rsid w:val="000F1777"/>
    <w:rsid w:val="000F1A32"/>
    <w:rsid w:val="000F1C1E"/>
    <w:rsid w:val="000F1CC2"/>
    <w:rsid w:val="000F1D15"/>
    <w:rsid w:val="000F1E30"/>
    <w:rsid w:val="000F1E67"/>
    <w:rsid w:val="000F24E6"/>
    <w:rsid w:val="000F270A"/>
    <w:rsid w:val="000F2C4A"/>
    <w:rsid w:val="000F34C8"/>
    <w:rsid w:val="000F36A5"/>
    <w:rsid w:val="000F38B5"/>
    <w:rsid w:val="000F38BC"/>
    <w:rsid w:val="000F3B06"/>
    <w:rsid w:val="000F3DAD"/>
    <w:rsid w:val="000F3DD1"/>
    <w:rsid w:val="000F3E2A"/>
    <w:rsid w:val="000F41E4"/>
    <w:rsid w:val="000F423E"/>
    <w:rsid w:val="000F42C5"/>
    <w:rsid w:val="000F45A5"/>
    <w:rsid w:val="000F46F6"/>
    <w:rsid w:val="000F477D"/>
    <w:rsid w:val="000F4CFA"/>
    <w:rsid w:val="000F4D26"/>
    <w:rsid w:val="000F4D91"/>
    <w:rsid w:val="000F50B7"/>
    <w:rsid w:val="000F547E"/>
    <w:rsid w:val="000F5639"/>
    <w:rsid w:val="000F56AE"/>
    <w:rsid w:val="000F583A"/>
    <w:rsid w:val="000F58A4"/>
    <w:rsid w:val="000F5941"/>
    <w:rsid w:val="000F5B2C"/>
    <w:rsid w:val="000F5B9F"/>
    <w:rsid w:val="000F6833"/>
    <w:rsid w:val="000F6A24"/>
    <w:rsid w:val="000F6AE0"/>
    <w:rsid w:val="000F6BB6"/>
    <w:rsid w:val="000F6FEC"/>
    <w:rsid w:val="000F7610"/>
    <w:rsid w:val="000F7616"/>
    <w:rsid w:val="000F7DE9"/>
    <w:rsid w:val="000F7E84"/>
    <w:rsid w:val="000F7F7A"/>
    <w:rsid w:val="0010004B"/>
    <w:rsid w:val="00100168"/>
    <w:rsid w:val="0010026C"/>
    <w:rsid w:val="001002F4"/>
    <w:rsid w:val="00100409"/>
    <w:rsid w:val="001004BB"/>
    <w:rsid w:val="001005B4"/>
    <w:rsid w:val="0010065B"/>
    <w:rsid w:val="001007B5"/>
    <w:rsid w:val="001008A8"/>
    <w:rsid w:val="00101077"/>
    <w:rsid w:val="001011FC"/>
    <w:rsid w:val="0010165F"/>
    <w:rsid w:val="001018C1"/>
    <w:rsid w:val="00101A33"/>
    <w:rsid w:val="00101B81"/>
    <w:rsid w:val="00101E7C"/>
    <w:rsid w:val="0010221F"/>
    <w:rsid w:val="00102260"/>
    <w:rsid w:val="001023DC"/>
    <w:rsid w:val="0010256D"/>
    <w:rsid w:val="00102572"/>
    <w:rsid w:val="00102946"/>
    <w:rsid w:val="00102BBE"/>
    <w:rsid w:val="00102FBF"/>
    <w:rsid w:val="001030E6"/>
    <w:rsid w:val="001032E3"/>
    <w:rsid w:val="001032F8"/>
    <w:rsid w:val="0010333D"/>
    <w:rsid w:val="0010372A"/>
    <w:rsid w:val="0010392E"/>
    <w:rsid w:val="00103A00"/>
    <w:rsid w:val="00103A56"/>
    <w:rsid w:val="00103A74"/>
    <w:rsid w:val="00103F41"/>
    <w:rsid w:val="001044C8"/>
    <w:rsid w:val="00104934"/>
    <w:rsid w:val="00104D42"/>
    <w:rsid w:val="00104E77"/>
    <w:rsid w:val="00104F34"/>
    <w:rsid w:val="00104F3E"/>
    <w:rsid w:val="00105338"/>
    <w:rsid w:val="001053C5"/>
    <w:rsid w:val="001053CB"/>
    <w:rsid w:val="0010555A"/>
    <w:rsid w:val="001055AD"/>
    <w:rsid w:val="001057CF"/>
    <w:rsid w:val="00105C14"/>
    <w:rsid w:val="00105DFB"/>
    <w:rsid w:val="001061AF"/>
    <w:rsid w:val="00106436"/>
    <w:rsid w:val="001065A3"/>
    <w:rsid w:val="00106727"/>
    <w:rsid w:val="00106730"/>
    <w:rsid w:val="0010691D"/>
    <w:rsid w:val="00106B33"/>
    <w:rsid w:val="00106BC3"/>
    <w:rsid w:val="00106E69"/>
    <w:rsid w:val="0010716D"/>
    <w:rsid w:val="00107E9D"/>
    <w:rsid w:val="00110067"/>
    <w:rsid w:val="00110101"/>
    <w:rsid w:val="001104A2"/>
    <w:rsid w:val="00110749"/>
    <w:rsid w:val="00110922"/>
    <w:rsid w:val="00110AC5"/>
    <w:rsid w:val="00110D16"/>
    <w:rsid w:val="00110F0B"/>
    <w:rsid w:val="0011108B"/>
    <w:rsid w:val="00111136"/>
    <w:rsid w:val="00111164"/>
    <w:rsid w:val="00111761"/>
    <w:rsid w:val="00112164"/>
    <w:rsid w:val="0011241F"/>
    <w:rsid w:val="001128BF"/>
    <w:rsid w:val="00112D09"/>
    <w:rsid w:val="00112F03"/>
    <w:rsid w:val="00112F38"/>
    <w:rsid w:val="001133B3"/>
    <w:rsid w:val="001136F0"/>
    <w:rsid w:val="00113821"/>
    <w:rsid w:val="0011386E"/>
    <w:rsid w:val="0011394B"/>
    <w:rsid w:val="0011396C"/>
    <w:rsid w:val="001139B1"/>
    <w:rsid w:val="00113CEE"/>
    <w:rsid w:val="00113F7B"/>
    <w:rsid w:val="00114058"/>
    <w:rsid w:val="00114251"/>
    <w:rsid w:val="00114330"/>
    <w:rsid w:val="00114342"/>
    <w:rsid w:val="0011449E"/>
    <w:rsid w:val="001145C0"/>
    <w:rsid w:val="001145E2"/>
    <w:rsid w:val="001149BA"/>
    <w:rsid w:val="00115023"/>
    <w:rsid w:val="001153EF"/>
    <w:rsid w:val="00115647"/>
    <w:rsid w:val="00115D55"/>
    <w:rsid w:val="00115E45"/>
    <w:rsid w:val="00115F15"/>
    <w:rsid w:val="00115F85"/>
    <w:rsid w:val="00115FD1"/>
    <w:rsid w:val="001162DE"/>
    <w:rsid w:val="0011646A"/>
    <w:rsid w:val="001165CC"/>
    <w:rsid w:val="0011688E"/>
    <w:rsid w:val="001168D5"/>
    <w:rsid w:val="00116ACD"/>
    <w:rsid w:val="00116EBA"/>
    <w:rsid w:val="0011755A"/>
    <w:rsid w:val="00117603"/>
    <w:rsid w:val="001176E7"/>
    <w:rsid w:val="00117B7D"/>
    <w:rsid w:val="00117EB6"/>
    <w:rsid w:val="0012027C"/>
    <w:rsid w:val="001205A8"/>
    <w:rsid w:val="00120698"/>
    <w:rsid w:val="001206C7"/>
    <w:rsid w:val="00120948"/>
    <w:rsid w:val="00120DCA"/>
    <w:rsid w:val="00120EFC"/>
    <w:rsid w:val="0012106B"/>
    <w:rsid w:val="001211D6"/>
    <w:rsid w:val="00121231"/>
    <w:rsid w:val="001212AB"/>
    <w:rsid w:val="00121329"/>
    <w:rsid w:val="001213AA"/>
    <w:rsid w:val="001213E4"/>
    <w:rsid w:val="0012158C"/>
    <w:rsid w:val="0012180B"/>
    <w:rsid w:val="00121B62"/>
    <w:rsid w:val="00122621"/>
    <w:rsid w:val="00122A64"/>
    <w:rsid w:val="00123641"/>
    <w:rsid w:val="00123818"/>
    <w:rsid w:val="0012388A"/>
    <w:rsid w:val="0012388C"/>
    <w:rsid w:val="00123AFA"/>
    <w:rsid w:val="00123C8C"/>
    <w:rsid w:val="00123D68"/>
    <w:rsid w:val="00123E8B"/>
    <w:rsid w:val="00124457"/>
    <w:rsid w:val="001247B8"/>
    <w:rsid w:val="00124B43"/>
    <w:rsid w:val="00124DD2"/>
    <w:rsid w:val="00124DF8"/>
    <w:rsid w:val="001253EA"/>
    <w:rsid w:val="0012567E"/>
    <w:rsid w:val="0012584D"/>
    <w:rsid w:val="00125B99"/>
    <w:rsid w:val="00125C2C"/>
    <w:rsid w:val="00126160"/>
    <w:rsid w:val="0012646F"/>
    <w:rsid w:val="001266D6"/>
    <w:rsid w:val="001266ED"/>
    <w:rsid w:val="001267FD"/>
    <w:rsid w:val="00126D0C"/>
    <w:rsid w:val="00126D29"/>
    <w:rsid w:val="00126DB5"/>
    <w:rsid w:val="00127178"/>
    <w:rsid w:val="001273C9"/>
    <w:rsid w:val="00127D2B"/>
    <w:rsid w:val="00127DAD"/>
    <w:rsid w:val="00127F09"/>
    <w:rsid w:val="0013002A"/>
    <w:rsid w:val="00130221"/>
    <w:rsid w:val="0013085D"/>
    <w:rsid w:val="0013089C"/>
    <w:rsid w:val="00130A2D"/>
    <w:rsid w:val="00130A99"/>
    <w:rsid w:val="00130CDC"/>
    <w:rsid w:val="00130D57"/>
    <w:rsid w:val="00130F0B"/>
    <w:rsid w:val="00130F54"/>
    <w:rsid w:val="001313E0"/>
    <w:rsid w:val="00131587"/>
    <w:rsid w:val="00131888"/>
    <w:rsid w:val="001319CA"/>
    <w:rsid w:val="00131F17"/>
    <w:rsid w:val="00131F52"/>
    <w:rsid w:val="00132278"/>
    <w:rsid w:val="001323F9"/>
    <w:rsid w:val="0013251F"/>
    <w:rsid w:val="00132825"/>
    <w:rsid w:val="00132B6C"/>
    <w:rsid w:val="00132FA3"/>
    <w:rsid w:val="00133088"/>
    <w:rsid w:val="001332D2"/>
    <w:rsid w:val="00133346"/>
    <w:rsid w:val="001333ED"/>
    <w:rsid w:val="001335B1"/>
    <w:rsid w:val="0013372D"/>
    <w:rsid w:val="00133733"/>
    <w:rsid w:val="0013375D"/>
    <w:rsid w:val="00133B4E"/>
    <w:rsid w:val="00133C44"/>
    <w:rsid w:val="00133D47"/>
    <w:rsid w:val="00133F01"/>
    <w:rsid w:val="00134666"/>
    <w:rsid w:val="001346AF"/>
    <w:rsid w:val="00134990"/>
    <w:rsid w:val="00134AD9"/>
    <w:rsid w:val="00134D98"/>
    <w:rsid w:val="001350AC"/>
    <w:rsid w:val="00135416"/>
    <w:rsid w:val="00135494"/>
    <w:rsid w:val="001354D1"/>
    <w:rsid w:val="001355E7"/>
    <w:rsid w:val="00135A0A"/>
    <w:rsid w:val="00135BB9"/>
    <w:rsid w:val="00135CD6"/>
    <w:rsid w:val="0013621D"/>
    <w:rsid w:val="00136354"/>
    <w:rsid w:val="00136674"/>
    <w:rsid w:val="001369F5"/>
    <w:rsid w:val="00136B0E"/>
    <w:rsid w:val="00136C3B"/>
    <w:rsid w:val="00136CF3"/>
    <w:rsid w:val="00137103"/>
    <w:rsid w:val="001373DE"/>
    <w:rsid w:val="0013753B"/>
    <w:rsid w:val="00137543"/>
    <w:rsid w:val="001376AB"/>
    <w:rsid w:val="0013777C"/>
    <w:rsid w:val="001378E0"/>
    <w:rsid w:val="00137B7A"/>
    <w:rsid w:val="00137D5F"/>
    <w:rsid w:val="00137D93"/>
    <w:rsid w:val="00137E95"/>
    <w:rsid w:val="00140082"/>
    <w:rsid w:val="00140175"/>
    <w:rsid w:val="00140253"/>
    <w:rsid w:val="0014036B"/>
    <w:rsid w:val="0014040A"/>
    <w:rsid w:val="0014073C"/>
    <w:rsid w:val="00140757"/>
    <w:rsid w:val="00140B62"/>
    <w:rsid w:val="00140D07"/>
    <w:rsid w:val="00140F86"/>
    <w:rsid w:val="00140F9F"/>
    <w:rsid w:val="001416CF"/>
    <w:rsid w:val="00141A3A"/>
    <w:rsid w:val="00142239"/>
    <w:rsid w:val="001422F4"/>
    <w:rsid w:val="001423FA"/>
    <w:rsid w:val="001427B5"/>
    <w:rsid w:val="001428CF"/>
    <w:rsid w:val="00142D0C"/>
    <w:rsid w:val="00142DB7"/>
    <w:rsid w:val="00142E3C"/>
    <w:rsid w:val="001434F8"/>
    <w:rsid w:val="001436B8"/>
    <w:rsid w:val="00144013"/>
    <w:rsid w:val="00144362"/>
    <w:rsid w:val="00144659"/>
    <w:rsid w:val="00144898"/>
    <w:rsid w:val="00144E3F"/>
    <w:rsid w:val="00144F25"/>
    <w:rsid w:val="001454B8"/>
    <w:rsid w:val="00145A17"/>
    <w:rsid w:val="00145BBE"/>
    <w:rsid w:val="00145D7F"/>
    <w:rsid w:val="00145DD4"/>
    <w:rsid w:val="00145FAB"/>
    <w:rsid w:val="001460B5"/>
    <w:rsid w:val="00146372"/>
    <w:rsid w:val="0014641F"/>
    <w:rsid w:val="001464A8"/>
    <w:rsid w:val="00146618"/>
    <w:rsid w:val="001467BB"/>
    <w:rsid w:val="00146917"/>
    <w:rsid w:val="001469A4"/>
    <w:rsid w:val="00146AB3"/>
    <w:rsid w:val="00146CA8"/>
    <w:rsid w:val="001472A5"/>
    <w:rsid w:val="00147884"/>
    <w:rsid w:val="00150060"/>
    <w:rsid w:val="0015018A"/>
    <w:rsid w:val="0015021A"/>
    <w:rsid w:val="00150669"/>
    <w:rsid w:val="00150827"/>
    <w:rsid w:val="00150871"/>
    <w:rsid w:val="00150B0D"/>
    <w:rsid w:val="00150C0B"/>
    <w:rsid w:val="00150FFC"/>
    <w:rsid w:val="00151183"/>
    <w:rsid w:val="00151591"/>
    <w:rsid w:val="00151E31"/>
    <w:rsid w:val="00151EDF"/>
    <w:rsid w:val="00151F9B"/>
    <w:rsid w:val="00152095"/>
    <w:rsid w:val="00152289"/>
    <w:rsid w:val="001523E3"/>
    <w:rsid w:val="00152425"/>
    <w:rsid w:val="00152536"/>
    <w:rsid w:val="00152648"/>
    <w:rsid w:val="001526DA"/>
    <w:rsid w:val="00152769"/>
    <w:rsid w:val="00152BAD"/>
    <w:rsid w:val="00152CE3"/>
    <w:rsid w:val="0015350E"/>
    <w:rsid w:val="00153652"/>
    <w:rsid w:val="00153697"/>
    <w:rsid w:val="0015384A"/>
    <w:rsid w:val="00153956"/>
    <w:rsid w:val="00153B95"/>
    <w:rsid w:val="00153CE6"/>
    <w:rsid w:val="001540CF"/>
    <w:rsid w:val="001540EF"/>
    <w:rsid w:val="00154146"/>
    <w:rsid w:val="00154190"/>
    <w:rsid w:val="001545EA"/>
    <w:rsid w:val="001549BA"/>
    <w:rsid w:val="00154DAB"/>
    <w:rsid w:val="00154FFC"/>
    <w:rsid w:val="00155099"/>
    <w:rsid w:val="001553F5"/>
    <w:rsid w:val="0015546C"/>
    <w:rsid w:val="001555D5"/>
    <w:rsid w:val="00155B43"/>
    <w:rsid w:val="00155C85"/>
    <w:rsid w:val="00155EFE"/>
    <w:rsid w:val="001568B8"/>
    <w:rsid w:val="00156A6C"/>
    <w:rsid w:val="00156B10"/>
    <w:rsid w:val="001571F2"/>
    <w:rsid w:val="00157823"/>
    <w:rsid w:val="0015790D"/>
    <w:rsid w:val="00157B44"/>
    <w:rsid w:val="00157C2E"/>
    <w:rsid w:val="00157C5E"/>
    <w:rsid w:val="0016015A"/>
    <w:rsid w:val="0016020E"/>
    <w:rsid w:val="001603AE"/>
    <w:rsid w:val="001603D4"/>
    <w:rsid w:val="00160503"/>
    <w:rsid w:val="00160701"/>
    <w:rsid w:val="001609CD"/>
    <w:rsid w:val="00160C44"/>
    <w:rsid w:val="00160D7C"/>
    <w:rsid w:val="00160E30"/>
    <w:rsid w:val="0016106D"/>
    <w:rsid w:val="001612E1"/>
    <w:rsid w:val="0016137A"/>
    <w:rsid w:val="001614DB"/>
    <w:rsid w:val="0016194E"/>
    <w:rsid w:val="001619A6"/>
    <w:rsid w:val="00161A41"/>
    <w:rsid w:val="00161B97"/>
    <w:rsid w:val="00162096"/>
    <w:rsid w:val="0016236C"/>
    <w:rsid w:val="00162392"/>
    <w:rsid w:val="001624EE"/>
    <w:rsid w:val="00162625"/>
    <w:rsid w:val="0016294C"/>
    <w:rsid w:val="001630A8"/>
    <w:rsid w:val="001634C7"/>
    <w:rsid w:val="001637F0"/>
    <w:rsid w:val="00163826"/>
    <w:rsid w:val="001638E3"/>
    <w:rsid w:val="00163914"/>
    <w:rsid w:val="00163943"/>
    <w:rsid w:val="00163BA1"/>
    <w:rsid w:val="00163C2D"/>
    <w:rsid w:val="00163D3C"/>
    <w:rsid w:val="00163F22"/>
    <w:rsid w:val="001640B9"/>
    <w:rsid w:val="0016417B"/>
    <w:rsid w:val="001644B1"/>
    <w:rsid w:val="001645DE"/>
    <w:rsid w:val="0016470E"/>
    <w:rsid w:val="001647BD"/>
    <w:rsid w:val="001647FF"/>
    <w:rsid w:val="0016482E"/>
    <w:rsid w:val="00164CF4"/>
    <w:rsid w:val="00164E0A"/>
    <w:rsid w:val="0016520F"/>
    <w:rsid w:val="001652D7"/>
    <w:rsid w:val="0016565B"/>
    <w:rsid w:val="001658CB"/>
    <w:rsid w:val="0016596E"/>
    <w:rsid w:val="001659B0"/>
    <w:rsid w:val="00165A5F"/>
    <w:rsid w:val="00166223"/>
    <w:rsid w:val="00166354"/>
    <w:rsid w:val="00166449"/>
    <w:rsid w:val="00166492"/>
    <w:rsid w:val="001665A7"/>
    <w:rsid w:val="001670D8"/>
    <w:rsid w:val="0016735E"/>
    <w:rsid w:val="001674C0"/>
    <w:rsid w:val="0016793E"/>
    <w:rsid w:val="00167D4D"/>
    <w:rsid w:val="00167DAA"/>
    <w:rsid w:val="00167F4E"/>
    <w:rsid w:val="001700E7"/>
    <w:rsid w:val="001702DC"/>
    <w:rsid w:val="0017033C"/>
    <w:rsid w:val="0017057F"/>
    <w:rsid w:val="00170635"/>
    <w:rsid w:val="0017070D"/>
    <w:rsid w:val="00170837"/>
    <w:rsid w:val="00171035"/>
    <w:rsid w:val="001713B7"/>
    <w:rsid w:val="00171ADB"/>
    <w:rsid w:val="00171F58"/>
    <w:rsid w:val="00171F68"/>
    <w:rsid w:val="00171F9A"/>
    <w:rsid w:val="00172029"/>
    <w:rsid w:val="00172D5A"/>
    <w:rsid w:val="00173015"/>
    <w:rsid w:val="001733A4"/>
    <w:rsid w:val="001735A0"/>
    <w:rsid w:val="001736B3"/>
    <w:rsid w:val="00173AB9"/>
    <w:rsid w:val="00173E29"/>
    <w:rsid w:val="00173EED"/>
    <w:rsid w:val="00174368"/>
    <w:rsid w:val="001744EA"/>
    <w:rsid w:val="00174590"/>
    <w:rsid w:val="001746C9"/>
    <w:rsid w:val="0017497D"/>
    <w:rsid w:val="00174B81"/>
    <w:rsid w:val="00174CA7"/>
    <w:rsid w:val="00174D2C"/>
    <w:rsid w:val="00174D46"/>
    <w:rsid w:val="00174D82"/>
    <w:rsid w:val="00174E44"/>
    <w:rsid w:val="00174EC5"/>
    <w:rsid w:val="00175038"/>
    <w:rsid w:val="00175053"/>
    <w:rsid w:val="001751F7"/>
    <w:rsid w:val="001753B7"/>
    <w:rsid w:val="001757E7"/>
    <w:rsid w:val="00175873"/>
    <w:rsid w:val="0017592E"/>
    <w:rsid w:val="0017599C"/>
    <w:rsid w:val="00175B45"/>
    <w:rsid w:val="00175C59"/>
    <w:rsid w:val="00175E5E"/>
    <w:rsid w:val="001760BC"/>
    <w:rsid w:val="001764EE"/>
    <w:rsid w:val="00176573"/>
    <w:rsid w:val="00176674"/>
    <w:rsid w:val="00176818"/>
    <w:rsid w:val="0017686B"/>
    <w:rsid w:val="00176B82"/>
    <w:rsid w:val="00176E33"/>
    <w:rsid w:val="00176E3B"/>
    <w:rsid w:val="00176ECB"/>
    <w:rsid w:val="0017716E"/>
    <w:rsid w:val="001773FF"/>
    <w:rsid w:val="00177414"/>
    <w:rsid w:val="0017752D"/>
    <w:rsid w:val="0017759F"/>
    <w:rsid w:val="001775DF"/>
    <w:rsid w:val="001775E2"/>
    <w:rsid w:val="0017773C"/>
    <w:rsid w:val="00177832"/>
    <w:rsid w:val="001778A4"/>
    <w:rsid w:val="00177D48"/>
    <w:rsid w:val="00180263"/>
    <w:rsid w:val="001805B0"/>
    <w:rsid w:val="00180A31"/>
    <w:rsid w:val="00180AF6"/>
    <w:rsid w:val="00180B81"/>
    <w:rsid w:val="00180F3C"/>
    <w:rsid w:val="00181071"/>
    <w:rsid w:val="00181178"/>
    <w:rsid w:val="0018119E"/>
    <w:rsid w:val="001818D5"/>
    <w:rsid w:val="00181C5C"/>
    <w:rsid w:val="00181EB8"/>
    <w:rsid w:val="00181EEF"/>
    <w:rsid w:val="00181F3E"/>
    <w:rsid w:val="0018211B"/>
    <w:rsid w:val="00182694"/>
    <w:rsid w:val="001826F8"/>
    <w:rsid w:val="001828DD"/>
    <w:rsid w:val="00182FE0"/>
    <w:rsid w:val="00183158"/>
    <w:rsid w:val="0018359A"/>
    <w:rsid w:val="0018360F"/>
    <w:rsid w:val="00183911"/>
    <w:rsid w:val="0018419E"/>
    <w:rsid w:val="001845FB"/>
    <w:rsid w:val="00184629"/>
    <w:rsid w:val="00184667"/>
    <w:rsid w:val="0018481E"/>
    <w:rsid w:val="00184B34"/>
    <w:rsid w:val="00184C15"/>
    <w:rsid w:val="00184CDD"/>
    <w:rsid w:val="00184DAB"/>
    <w:rsid w:val="00185130"/>
    <w:rsid w:val="00185490"/>
    <w:rsid w:val="001854C1"/>
    <w:rsid w:val="00185546"/>
    <w:rsid w:val="0018584C"/>
    <w:rsid w:val="00185C22"/>
    <w:rsid w:val="00185CED"/>
    <w:rsid w:val="00185DA6"/>
    <w:rsid w:val="00185E0F"/>
    <w:rsid w:val="00185F64"/>
    <w:rsid w:val="00185FFA"/>
    <w:rsid w:val="00186096"/>
    <w:rsid w:val="00186A31"/>
    <w:rsid w:val="00186F7C"/>
    <w:rsid w:val="00186F9A"/>
    <w:rsid w:val="0018772E"/>
    <w:rsid w:val="00187A08"/>
    <w:rsid w:val="00187A94"/>
    <w:rsid w:val="00187A9C"/>
    <w:rsid w:val="00187F60"/>
    <w:rsid w:val="00190078"/>
    <w:rsid w:val="0019029E"/>
    <w:rsid w:val="00190329"/>
    <w:rsid w:val="0019037C"/>
    <w:rsid w:val="001903BA"/>
    <w:rsid w:val="00190616"/>
    <w:rsid w:val="00190804"/>
    <w:rsid w:val="0019088F"/>
    <w:rsid w:val="00190C51"/>
    <w:rsid w:val="00191715"/>
    <w:rsid w:val="0019178C"/>
    <w:rsid w:val="001917B3"/>
    <w:rsid w:val="00191B5D"/>
    <w:rsid w:val="00191BA5"/>
    <w:rsid w:val="00191C45"/>
    <w:rsid w:val="001921DA"/>
    <w:rsid w:val="00192A85"/>
    <w:rsid w:val="00192FA5"/>
    <w:rsid w:val="00192FD7"/>
    <w:rsid w:val="001932D1"/>
    <w:rsid w:val="0019336B"/>
    <w:rsid w:val="00193566"/>
    <w:rsid w:val="00193645"/>
    <w:rsid w:val="001939A6"/>
    <w:rsid w:val="00193ACC"/>
    <w:rsid w:val="00193BFE"/>
    <w:rsid w:val="00193D54"/>
    <w:rsid w:val="00193F29"/>
    <w:rsid w:val="001942A9"/>
    <w:rsid w:val="00194440"/>
    <w:rsid w:val="0019481E"/>
    <w:rsid w:val="00194E7E"/>
    <w:rsid w:val="00194E82"/>
    <w:rsid w:val="00195322"/>
    <w:rsid w:val="0019560E"/>
    <w:rsid w:val="00195702"/>
    <w:rsid w:val="001958E3"/>
    <w:rsid w:val="0019601B"/>
    <w:rsid w:val="00196048"/>
    <w:rsid w:val="001969FB"/>
    <w:rsid w:val="00196A82"/>
    <w:rsid w:val="0019702C"/>
    <w:rsid w:val="0019769B"/>
    <w:rsid w:val="0019791D"/>
    <w:rsid w:val="00197D8F"/>
    <w:rsid w:val="00197FFE"/>
    <w:rsid w:val="001A00C8"/>
    <w:rsid w:val="001A0D25"/>
    <w:rsid w:val="001A1215"/>
    <w:rsid w:val="001A1275"/>
    <w:rsid w:val="001A1488"/>
    <w:rsid w:val="001A1570"/>
    <w:rsid w:val="001A1846"/>
    <w:rsid w:val="001A1866"/>
    <w:rsid w:val="001A1917"/>
    <w:rsid w:val="001A19DD"/>
    <w:rsid w:val="001A1C64"/>
    <w:rsid w:val="001A1D13"/>
    <w:rsid w:val="001A1E7F"/>
    <w:rsid w:val="001A21FE"/>
    <w:rsid w:val="001A228D"/>
    <w:rsid w:val="001A2435"/>
    <w:rsid w:val="001A256F"/>
    <w:rsid w:val="001A286F"/>
    <w:rsid w:val="001A28EE"/>
    <w:rsid w:val="001A2918"/>
    <w:rsid w:val="001A2A3C"/>
    <w:rsid w:val="001A2D02"/>
    <w:rsid w:val="001A2DFE"/>
    <w:rsid w:val="001A2E79"/>
    <w:rsid w:val="001A3076"/>
    <w:rsid w:val="001A3120"/>
    <w:rsid w:val="001A31A5"/>
    <w:rsid w:val="001A33EA"/>
    <w:rsid w:val="001A3825"/>
    <w:rsid w:val="001A389C"/>
    <w:rsid w:val="001A3A1B"/>
    <w:rsid w:val="001A3B71"/>
    <w:rsid w:val="001A3B75"/>
    <w:rsid w:val="001A3F6C"/>
    <w:rsid w:val="001A4101"/>
    <w:rsid w:val="001A4168"/>
    <w:rsid w:val="001A44BF"/>
    <w:rsid w:val="001A46FB"/>
    <w:rsid w:val="001A47D7"/>
    <w:rsid w:val="001A483B"/>
    <w:rsid w:val="001A5273"/>
    <w:rsid w:val="001A590C"/>
    <w:rsid w:val="001A5944"/>
    <w:rsid w:val="001A59A9"/>
    <w:rsid w:val="001A5C3F"/>
    <w:rsid w:val="001A5EA2"/>
    <w:rsid w:val="001A5F7B"/>
    <w:rsid w:val="001A5FB1"/>
    <w:rsid w:val="001A60B0"/>
    <w:rsid w:val="001A610E"/>
    <w:rsid w:val="001A61B5"/>
    <w:rsid w:val="001A665F"/>
    <w:rsid w:val="001A6849"/>
    <w:rsid w:val="001A68A0"/>
    <w:rsid w:val="001A698A"/>
    <w:rsid w:val="001A6C45"/>
    <w:rsid w:val="001A6CCC"/>
    <w:rsid w:val="001A70C8"/>
    <w:rsid w:val="001A71C9"/>
    <w:rsid w:val="001A7429"/>
    <w:rsid w:val="001A760C"/>
    <w:rsid w:val="001A76D8"/>
    <w:rsid w:val="001A799B"/>
    <w:rsid w:val="001A7AC7"/>
    <w:rsid w:val="001A7BD9"/>
    <w:rsid w:val="001A7C38"/>
    <w:rsid w:val="001B0090"/>
    <w:rsid w:val="001B02F8"/>
    <w:rsid w:val="001B044A"/>
    <w:rsid w:val="001B0456"/>
    <w:rsid w:val="001B09E3"/>
    <w:rsid w:val="001B0BA9"/>
    <w:rsid w:val="001B10E4"/>
    <w:rsid w:val="001B13FB"/>
    <w:rsid w:val="001B2104"/>
    <w:rsid w:val="001B224E"/>
    <w:rsid w:val="001B2279"/>
    <w:rsid w:val="001B2672"/>
    <w:rsid w:val="001B2729"/>
    <w:rsid w:val="001B2745"/>
    <w:rsid w:val="001B2866"/>
    <w:rsid w:val="001B2881"/>
    <w:rsid w:val="001B2A60"/>
    <w:rsid w:val="001B34A3"/>
    <w:rsid w:val="001B3675"/>
    <w:rsid w:val="001B37C8"/>
    <w:rsid w:val="001B48BA"/>
    <w:rsid w:val="001B49C9"/>
    <w:rsid w:val="001B4A10"/>
    <w:rsid w:val="001B4B2C"/>
    <w:rsid w:val="001B4ED5"/>
    <w:rsid w:val="001B4F10"/>
    <w:rsid w:val="001B5026"/>
    <w:rsid w:val="001B50DE"/>
    <w:rsid w:val="001B5154"/>
    <w:rsid w:val="001B5AD8"/>
    <w:rsid w:val="001B5B75"/>
    <w:rsid w:val="001B5B8B"/>
    <w:rsid w:val="001B69F1"/>
    <w:rsid w:val="001B6D05"/>
    <w:rsid w:val="001B6E30"/>
    <w:rsid w:val="001B6E61"/>
    <w:rsid w:val="001B725A"/>
    <w:rsid w:val="001B755C"/>
    <w:rsid w:val="001B77B6"/>
    <w:rsid w:val="001B784E"/>
    <w:rsid w:val="001B7C83"/>
    <w:rsid w:val="001B7EED"/>
    <w:rsid w:val="001B7F9E"/>
    <w:rsid w:val="001C0206"/>
    <w:rsid w:val="001C0246"/>
    <w:rsid w:val="001C04D4"/>
    <w:rsid w:val="001C0B34"/>
    <w:rsid w:val="001C0BE5"/>
    <w:rsid w:val="001C0D35"/>
    <w:rsid w:val="001C1087"/>
    <w:rsid w:val="001C11C0"/>
    <w:rsid w:val="001C12A3"/>
    <w:rsid w:val="001C12CC"/>
    <w:rsid w:val="001C1366"/>
    <w:rsid w:val="001C17BB"/>
    <w:rsid w:val="001C187E"/>
    <w:rsid w:val="001C1A37"/>
    <w:rsid w:val="001C1BC8"/>
    <w:rsid w:val="001C1C49"/>
    <w:rsid w:val="001C1EE1"/>
    <w:rsid w:val="001C2154"/>
    <w:rsid w:val="001C2225"/>
    <w:rsid w:val="001C22F7"/>
    <w:rsid w:val="001C26CB"/>
    <w:rsid w:val="001C286F"/>
    <w:rsid w:val="001C2870"/>
    <w:rsid w:val="001C2B86"/>
    <w:rsid w:val="001C2C32"/>
    <w:rsid w:val="001C2CC6"/>
    <w:rsid w:val="001C2F54"/>
    <w:rsid w:val="001C2FBE"/>
    <w:rsid w:val="001C3308"/>
    <w:rsid w:val="001C3658"/>
    <w:rsid w:val="001C3BBB"/>
    <w:rsid w:val="001C40D1"/>
    <w:rsid w:val="001C4356"/>
    <w:rsid w:val="001C4377"/>
    <w:rsid w:val="001C468A"/>
    <w:rsid w:val="001C469B"/>
    <w:rsid w:val="001C4A38"/>
    <w:rsid w:val="001C4A9E"/>
    <w:rsid w:val="001C4C29"/>
    <w:rsid w:val="001C4C49"/>
    <w:rsid w:val="001C5001"/>
    <w:rsid w:val="001C5103"/>
    <w:rsid w:val="001C52A8"/>
    <w:rsid w:val="001C5ADF"/>
    <w:rsid w:val="001C5E56"/>
    <w:rsid w:val="001C5E8E"/>
    <w:rsid w:val="001C6120"/>
    <w:rsid w:val="001C622C"/>
    <w:rsid w:val="001C6516"/>
    <w:rsid w:val="001C6B5C"/>
    <w:rsid w:val="001C6EB8"/>
    <w:rsid w:val="001C70AE"/>
    <w:rsid w:val="001C7155"/>
    <w:rsid w:val="001C71D9"/>
    <w:rsid w:val="001C738F"/>
    <w:rsid w:val="001C7A0B"/>
    <w:rsid w:val="001C7BC7"/>
    <w:rsid w:val="001C7DFB"/>
    <w:rsid w:val="001C7E48"/>
    <w:rsid w:val="001C7F49"/>
    <w:rsid w:val="001D039B"/>
    <w:rsid w:val="001D0E2E"/>
    <w:rsid w:val="001D0FDC"/>
    <w:rsid w:val="001D1258"/>
    <w:rsid w:val="001D14AB"/>
    <w:rsid w:val="001D185D"/>
    <w:rsid w:val="001D1AB8"/>
    <w:rsid w:val="001D1B77"/>
    <w:rsid w:val="001D2100"/>
    <w:rsid w:val="001D21F7"/>
    <w:rsid w:val="001D2374"/>
    <w:rsid w:val="001D25D1"/>
    <w:rsid w:val="001D286F"/>
    <w:rsid w:val="001D2C94"/>
    <w:rsid w:val="001D2CE6"/>
    <w:rsid w:val="001D316E"/>
    <w:rsid w:val="001D32F6"/>
    <w:rsid w:val="001D33D9"/>
    <w:rsid w:val="001D340F"/>
    <w:rsid w:val="001D36F6"/>
    <w:rsid w:val="001D3975"/>
    <w:rsid w:val="001D3D5F"/>
    <w:rsid w:val="001D4303"/>
    <w:rsid w:val="001D45E5"/>
    <w:rsid w:val="001D461A"/>
    <w:rsid w:val="001D4A9D"/>
    <w:rsid w:val="001D4AAD"/>
    <w:rsid w:val="001D4D1C"/>
    <w:rsid w:val="001D5116"/>
    <w:rsid w:val="001D5722"/>
    <w:rsid w:val="001D5769"/>
    <w:rsid w:val="001D58BE"/>
    <w:rsid w:val="001D5AFA"/>
    <w:rsid w:val="001D6103"/>
    <w:rsid w:val="001D6BB5"/>
    <w:rsid w:val="001D6CFC"/>
    <w:rsid w:val="001D7018"/>
    <w:rsid w:val="001D7177"/>
    <w:rsid w:val="001D71C0"/>
    <w:rsid w:val="001D756E"/>
    <w:rsid w:val="001D75D3"/>
    <w:rsid w:val="001D784A"/>
    <w:rsid w:val="001D797B"/>
    <w:rsid w:val="001E04A4"/>
    <w:rsid w:val="001E04EE"/>
    <w:rsid w:val="001E07C5"/>
    <w:rsid w:val="001E093E"/>
    <w:rsid w:val="001E0FC4"/>
    <w:rsid w:val="001E1106"/>
    <w:rsid w:val="001E12EA"/>
    <w:rsid w:val="001E176D"/>
    <w:rsid w:val="001E1BCE"/>
    <w:rsid w:val="001E1CB6"/>
    <w:rsid w:val="001E1E05"/>
    <w:rsid w:val="001E1E08"/>
    <w:rsid w:val="001E2086"/>
    <w:rsid w:val="001E2133"/>
    <w:rsid w:val="001E2616"/>
    <w:rsid w:val="001E2898"/>
    <w:rsid w:val="001E339F"/>
    <w:rsid w:val="001E34B1"/>
    <w:rsid w:val="001E3629"/>
    <w:rsid w:val="001E36C6"/>
    <w:rsid w:val="001E3B2C"/>
    <w:rsid w:val="001E3BA3"/>
    <w:rsid w:val="001E3FCD"/>
    <w:rsid w:val="001E40F0"/>
    <w:rsid w:val="001E4172"/>
    <w:rsid w:val="001E439D"/>
    <w:rsid w:val="001E4AC7"/>
    <w:rsid w:val="001E5315"/>
    <w:rsid w:val="001E5405"/>
    <w:rsid w:val="001E5490"/>
    <w:rsid w:val="001E5513"/>
    <w:rsid w:val="001E5730"/>
    <w:rsid w:val="001E5E2E"/>
    <w:rsid w:val="001E6274"/>
    <w:rsid w:val="001E6352"/>
    <w:rsid w:val="001E657E"/>
    <w:rsid w:val="001E6746"/>
    <w:rsid w:val="001E6AD7"/>
    <w:rsid w:val="001E70AD"/>
    <w:rsid w:val="001E7237"/>
    <w:rsid w:val="001E72A4"/>
    <w:rsid w:val="001E7AF6"/>
    <w:rsid w:val="001E7F99"/>
    <w:rsid w:val="001E7FBF"/>
    <w:rsid w:val="001F0123"/>
    <w:rsid w:val="001F01B8"/>
    <w:rsid w:val="001F04E3"/>
    <w:rsid w:val="001F08E0"/>
    <w:rsid w:val="001F0C44"/>
    <w:rsid w:val="001F0D8E"/>
    <w:rsid w:val="001F0FC3"/>
    <w:rsid w:val="001F0FFC"/>
    <w:rsid w:val="001F1188"/>
    <w:rsid w:val="001F1499"/>
    <w:rsid w:val="001F19D4"/>
    <w:rsid w:val="001F1B8D"/>
    <w:rsid w:val="001F1C3F"/>
    <w:rsid w:val="001F1CAB"/>
    <w:rsid w:val="001F1EC5"/>
    <w:rsid w:val="001F22F0"/>
    <w:rsid w:val="001F274F"/>
    <w:rsid w:val="001F27AD"/>
    <w:rsid w:val="001F289C"/>
    <w:rsid w:val="001F2BF9"/>
    <w:rsid w:val="001F2CBA"/>
    <w:rsid w:val="001F2D32"/>
    <w:rsid w:val="001F3621"/>
    <w:rsid w:val="001F36DD"/>
    <w:rsid w:val="001F3A30"/>
    <w:rsid w:val="001F3AF2"/>
    <w:rsid w:val="001F3B14"/>
    <w:rsid w:val="001F4D86"/>
    <w:rsid w:val="001F50F4"/>
    <w:rsid w:val="001F6008"/>
    <w:rsid w:val="001F61A9"/>
    <w:rsid w:val="001F641B"/>
    <w:rsid w:val="001F66F3"/>
    <w:rsid w:val="001F68B5"/>
    <w:rsid w:val="001F6C19"/>
    <w:rsid w:val="001F6D4D"/>
    <w:rsid w:val="001F7C00"/>
    <w:rsid w:val="0020042C"/>
    <w:rsid w:val="002005DA"/>
    <w:rsid w:val="002009A3"/>
    <w:rsid w:val="00200E16"/>
    <w:rsid w:val="00200F1A"/>
    <w:rsid w:val="0020130D"/>
    <w:rsid w:val="00201538"/>
    <w:rsid w:val="0020187E"/>
    <w:rsid w:val="00201995"/>
    <w:rsid w:val="00201D06"/>
    <w:rsid w:val="00201D1A"/>
    <w:rsid w:val="00201E9F"/>
    <w:rsid w:val="00201F23"/>
    <w:rsid w:val="00201F47"/>
    <w:rsid w:val="0020265D"/>
    <w:rsid w:val="0020269C"/>
    <w:rsid w:val="00202790"/>
    <w:rsid w:val="00202D7F"/>
    <w:rsid w:val="00202F25"/>
    <w:rsid w:val="002035B3"/>
    <w:rsid w:val="00203929"/>
    <w:rsid w:val="00203A20"/>
    <w:rsid w:val="00203AF6"/>
    <w:rsid w:val="00203BFE"/>
    <w:rsid w:val="00203CD6"/>
    <w:rsid w:val="00203EBF"/>
    <w:rsid w:val="00203F0A"/>
    <w:rsid w:val="00204460"/>
    <w:rsid w:val="002044A6"/>
    <w:rsid w:val="002048CB"/>
    <w:rsid w:val="00204A28"/>
    <w:rsid w:val="002051EA"/>
    <w:rsid w:val="00205674"/>
    <w:rsid w:val="002056C5"/>
    <w:rsid w:val="00205791"/>
    <w:rsid w:val="00205B0A"/>
    <w:rsid w:val="00205CBC"/>
    <w:rsid w:val="00205E9E"/>
    <w:rsid w:val="00205EDF"/>
    <w:rsid w:val="00206259"/>
    <w:rsid w:val="002064C5"/>
    <w:rsid w:val="00206794"/>
    <w:rsid w:val="00206CE5"/>
    <w:rsid w:val="00206F4E"/>
    <w:rsid w:val="002074B7"/>
    <w:rsid w:val="0020758D"/>
    <w:rsid w:val="00207668"/>
    <w:rsid w:val="002076A3"/>
    <w:rsid w:val="00207818"/>
    <w:rsid w:val="00207C7B"/>
    <w:rsid w:val="00210050"/>
    <w:rsid w:val="0021068A"/>
    <w:rsid w:val="00210B23"/>
    <w:rsid w:val="00210FAC"/>
    <w:rsid w:val="00211284"/>
    <w:rsid w:val="00211470"/>
    <w:rsid w:val="00211922"/>
    <w:rsid w:val="00211A6D"/>
    <w:rsid w:val="00211B60"/>
    <w:rsid w:val="00211DD0"/>
    <w:rsid w:val="0021203E"/>
    <w:rsid w:val="0021213A"/>
    <w:rsid w:val="00212482"/>
    <w:rsid w:val="0021265F"/>
    <w:rsid w:val="002127D4"/>
    <w:rsid w:val="00212992"/>
    <w:rsid w:val="002135E1"/>
    <w:rsid w:val="00213817"/>
    <w:rsid w:val="00213C93"/>
    <w:rsid w:val="00213E00"/>
    <w:rsid w:val="0021405B"/>
    <w:rsid w:val="0021431C"/>
    <w:rsid w:val="00214428"/>
    <w:rsid w:val="002145EB"/>
    <w:rsid w:val="00214BBD"/>
    <w:rsid w:val="00214DB7"/>
    <w:rsid w:val="0021531E"/>
    <w:rsid w:val="002157EC"/>
    <w:rsid w:val="00215834"/>
    <w:rsid w:val="00215A55"/>
    <w:rsid w:val="00215CC2"/>
    <w:rsid w:val="00215D39"/>
    <w:rsid w:val="00215ED8"/>
    <w:rsid w:val="00215F95"/>
    <w:rsid w:val="0021640B"/>
    <w:rsid w:val="00216DF7"/>
    <w:rsid w:val="0021722D"/>
    <w:rsid w:val="00217245"/>
    <w:rsid w:val="0021729A"/>
    <w:rsid w:val="00217636"/>
    <w:rsid w:val="0021768E"/>
    <w:rsid w:val="00217700"/>
    <w:rsid w:val="002177E2"/>
    <w:rsid w:val="00217867"/>
    <w:rsid w:val="00217A21"/>
    <w:rsid w:val="00217EFD"/>
    <w:rsid w:val="002205F3"/>
    <w:rsid w:val="0022085B"/>
    <w:rsid w:val="00220E53"/>
    <w:rsid w:val="0022175C"/>
    <w:rsid w:val="0022176C"/>
    <w:rsid w:val="0022179C"/>
    <w:rsid w:val="00221E16"/>
    <w:rsid w:val="002225D1"/>
    <w:rsid w:val="00222A07"/>
    <w:rsid w:val="002230FA"/>
    <w:rsid w:val="00223146"/>
    <w:rsid w:val="002232B1"/>
    <w:rsid w:val="00223503"/>
    <w:rsid w:val="002235D9"/>
    <w:rsid w:val="00223749"/>
    <w:rsid w:val="00223972"/>
    <w:rsid w:val="00223AB9"/>
    <w:rsid w:val="00223DF2"/>
    <w:rsid w:val="00223F44"/>
    <w:rsid w:val="0022415E"/>
    <w:rsid w:val="00224737"/>
    <w:rsid w:val="00224B37"/>
    <w:rsid w:val="00224C0C"/>
    <w:rsid w:val="00224DD2"/>
    <w:rsid w:val="00225026"/>
    <w:rsid w:val="00225323"/>
    <w:rsid w:val="002256C2"/>
    <w:rsid w:val="002256D0"/>
    <w:rsid w:val="0022582E"/>
    <w:rsid w:val="00225C8E"/>
    <w:rsid w:val="00225D86"/>
    <w:rsid w:val="00225F30"/>
    <w:rsid w:val="0022614E"/>
    <w:rsid w:val="00226428"/>
    <w:rsid w:val="00226538"/>
    <w:rsid w:val="002265A9"/>
    <w:rsid w:val="00226601"/>
    <w:rsid w:val="002266CB"/>
    <w:rsid w:val="00226777"/>
    <w:rsid w:val="002268AB"/>
    <w:rsid w:val="0022701E"/>
    <w:rsid w:val="00227052"/>
    <w:rsid w:val="002272D5"/>
    <w:rsid w:val="00227330"/>
    <w:rsid w:val="0022738E"/>
    <w:rsid w:val="002274C7"/>
    <w:rsid w:val="00227609"/>
    <w:rsid w:val="00227906"/>
    <w:rsid w:val="00227934"/>
    <w:rsid w:val="00227D1F"/>
    <w:rsid w:val="00227E21"/>
    <w:rsid w:val="00230178"/>
    <w:rsid w:val="00230748"/>
    <w:rsid w:val="00230B42"/>
    <w:rsid w:val="00230EEB"/>
    <w:rsid w:val="00231A5D"/>
    <w:rsid w:val="00231D05"/>
    <w:rsid w:val="00232145"/>
    <w:rsid w:val="00232219"/>
    <w:rsid w:val="002323FF"/>
    <w:rsid w:val="00232802"/>
    <w:rsid w:val="00232865"/>
    <w:rsid w:val="00232FD7"/>
    <w:rsid w:val="002336E2"/>
    <w:rsid w:val="0023374D"/>
    <w:rsid w:val="00233AC2"/>
    <w:rsid w:val="00233B26"/>
    <w:rsid w:val="00233BAF"/>
    <w:rsid w:val="00234027"/>
    <w:rsid w:val="00234132"/>
    <w:rsid w:val="00234153"/>
    <w:rsid w:val="002342CB"/>
    <w:rsid w:val="0023466D"/>
    <w:rsid w:val="0023471E"/>
    <w:rsid w:val="002348E0"/>
    <w:rsid w:val="00235388"/>
    <w:rsid w:val="00235420"/>
    <w:rsid w:val="00235633"/>
    <w:rsid w:val="002356A5"/>
    <w:rsid w:val="002359A4"/>
    <w:rsid w:val="00235DAA"/>
    <w:rsid w:val="00235EC1"/>
    <w:rsid w:val="00235F98"/>
    <w:rsid w:val="00236271"/>
    <w:rsid w:val="00236ED1"/>
    <w:rsid w:val="00236FD1"/>
    <w:rsid w:val="0023793A"/>
    <w:rsid w:val="0024019D"/>
    <w:rsid w:val="0024026C"/>
    <w:rsid w:val="0024046E"/>
    <w:rsid w:val="0024065B"/>
    <w:rsid w:val="002409A6"/>
    <w:rsid w:val="00240EA5"/>
    <w:rsid w:val="0024109C"/>
    <w:rsid w:val="00241132"/>
    <w:rsid w:val="00241205"/>
    <w:rsid w:val="00241337"/>
    <w:rsid w:val="00241448"/>
    <w:rsid w:val="002418C5"/>
    <w:rsid w:val="002419ED"/>
    <w:rsid w:val="00241A9C"/>
    <w:rsid w:val="0024261D"/>
    <w:rsid w:val="0024292A"/>
    <w:rsid w:val="00242AF4"/>
    <w:rsid w:val="00242DFB"/>
    <w:rsid w:val="00242EC8"/>
    <w:rsid w:val="002432D2"/>
    <w:rsid w:val="00243572"/>
    <w:rsid w:val="002436FC"/>
    <w:rsid w:val="00243807"/>
    <w:rsid w:val="00243F93"/>
    <w:rsid w:val="002440AC"/>
    <w:rsid w:val="002441FF"/>
    <w:rsid w:val="00244365"/>
    <w:rsid w:val="0024459A"/>
    <w:rsid w:val="00244771"/>
    <w:rsid w:val="00244903"/>
    <w:rsid w:val="00244AFB"/>
    <w:rsid w:val="00244B16"/>
    <w:rsid w:val="0024501D"/>
    <w:rsid w:val="002453D4"/>
    <w:rsid w:val="002453DF"/>
    <w:rsid w:val="0024589A"/>
    <w:rsid w:val="00245A64"/>
    <w:rsid w:val="00245A81"/>
    <w:rsid w:val="00245AA3"/>
    <w:rsid w:val="002461AA"/>
    <w:rsid w:val="00246508"/>
    <w:rsid w:val="00246B86"/>
    <w:rsid w:val="00246C85"/>
    <w:rsid w:val="00246CFD"/>
    <w:rsid w:val="00247335"/>
    <w:rsid w:val="002473EF"/>
    <w:rsid w:val="002475D2"/>
    <w:rsid w:val="002477B9"/>
    <w:rsid w:val="00247CBE"/>
    <w:rsid w:val="00247CC4"/>
    <w:rsid w:val="00247CCB"/>
    <w:rsid w:val="00250100"/>
    <w:rsid w:val="00250283"/>
    <w:rsid w:val="00250A1F"/>
    <w:rsid w:val="00250ADA"/>
    <w:rsid w:val="00250F1D"/>
    <w:rsid w:val="00250F5C"/>
    <w:rsid w:val="002511D2"/>
    <w:rsid w:val="002511E7"/>
    <w:rsid w:val="00251491"/>
    <w:rsid w:val="00251640"/>
    <w:rsid w:val="0025194E"/>
    <w:rsid w:val="00251FF1"/>
    <w:rsid w:val="002520BA"/>
    <w:rsid w:val="0025212A"/>
    <w:rsid w:val="00252234"/>
    <w:rsid w:val="002522E7"/>
    <w:rsid w:val="002522E9"/>
    <w:rsid w:val="00252460"/>
    <w:rsid w:val="0025251A"/>
    <w:rsid w:val="002526F4"/>
    <w:rsid w:val="002527AF"/>
    <w:rsid w:val="002528E3"/>
    <w:rsid w:val="00252944"/>
    <w:rsid w:val="00252D55"/>
    <w:rsid w:val="00252D82"/>
    <w:rsid w:val="00252F3A"/>
    <w:rsid w:val="00253006"/>
    <w:rsid w:val="002532BA"/>
    <w:rsid w:val="002533F5"/>
    <w:rsid w:val="002538CE"/>
    <w:rsid w:val="00253C60"/>
    <w:rsid w:val="00253F21"/>
    <w:rsid w:val="00253F41"/>
    <w:rsid w:val="00253F83"/>
    <w:rsid w:val="0025429D"/>
    <w:rsid w:val="0025434E"/>
    <w:rsid w:val="002543DC"/>
    <w:rsid w:val="0025475F"/>
    <w:rsid w:val="00254900"/>
    <w:rsid w:val="002549E9"/>
    <w:rsid w:val="00254DA5"/>
    <w:rsid w:val="00254E9A"/>
    <w:rsid w:val="00254F75"/>
    <w:rsid w:val="00254FAB"/>
    <w:rsid w:val="00254FF6"/>
    <w:rsid w:val="00255099"/>
    <w:rsid w:val="00255315"/>
    <w:rsid w:val="00255545"/>
    <w:rsid w:val="002555C6"/>
    <w:rsid w:val="00255697"/>
    <w:rsid w:val="0025598E"/>
    <w:rsid w:val="00255B10"/>
    <w:rsid w:val="00255E14"/>
    <w:rsid w:val="0025615C"/>
    <w:rsid w:val="00256C2F"/>
    <w:rsid w:val="00257059"/>
    <w:rsid w:val="0025712F"/>
    <w:rsid w:val="00257395"/>
    <w:rsid w:val="002573BD"/>
    <w:rsid w:val="00257791"/>
    <w:rsid w:val="00257857"/>
    <w:rsid w:val="002578DA"/>
    <w:rsid w:val="00257CBC"/>
    <w:rsid w:val="00257FB8"/>
    <w:rsid w:val="0026011F"/>
    <w:rsid w:val="002602C2"/>
    <w:rsid w:val="002602DA"/>
    <w:rsid w:val="002602FA"/>
    <w:rsid w:val="0026040B"/>
    <w:rsid w:val="002607B1"/>
    <w:rsid w:val="00260802"/>
    <w:rsid w:val="002608A4"/>
    <w:rsid w:val="002609E3"/>
    <w:rsid w:val="00260D5E"/>
    <w:rsid w:val="00260F68"/>
    <w:rsid w:val="00260F8C"/>
    <w:rsid w:val="00261223"/>
    <w:rsid w:val="0026172A"/>
    <w:rsid w:val="002617AB"/>
    <w:rsid w:val="00261A18"/>
    <w:rsid w:val="00261CBB"/>
    <w:rsid w:val="00261D08"/>
    <w:rsid w:val="00261DCC"/>
    <w:rsid w:val="00261EC0"/>
    <w:rsid w:val="002624D0"/>
    <w:rsid w:val="002624F6"/>
    <w:rsid w:val="002627E6"/>
    <w:rsid w:val="00262BC5"/>
    <w:rsid w:val="00262DF4"/>
    <w:rsid w:val="002632C8"/>
    <w:rsid w:val="002633B9"/>
    <w:rsid w:val="0026347D"/>
    <w:rsid w:val="002635E2"/>
    <w:rsid w:val="00263AE7"/>
    <w:rsid w:val="00263BDA"/>
    <w:rsid w:val="00263EC7"/>
    <w:rsid w:val="00263F1C"/>
    <w:rsid w:val="00263FF2"/>
    <w:rsid w:val="00264441"/>
    <w:rsid w:val="0026491B"/>
    <w:rsid w:val="00264A36"/>
    <w:rsid w:val="00264AD1"/>
    <w:rsid w:val="00264B06"/>
    <w:rsid w:val="00264B57"/>
    <w:rsid w:val="00264C1B"/>
    <w:rsid w:val="00265571"/>
    <w:rsid w:val="00265BF4"/>
    <w:rsid w:val="00265E2E"/>
    <w:rsid w:val="00265EAB"/>
    <w:rsid w:val="002661AB"/>
    <w:rsid w:val="00266663"/>
    <w:rsid w:val="0026666D"/>
    <w:rsid w:val="002668DB"/>
    <w:rsid w:val="00266C02"/>
    <w:rsid w:val="0026742B"/>
    <w:rsid w:val="002674FE"/>
    <w:rsid w:val="00267528"/>
    <w:rsid w:val="00267646"/>
    <w:rsid w:val="002676D2"/>
    <w:rsid w:val="00267749"/>
    <w:rsid w:val="0026780D"/>
    <w:rsid w:val="00267C45"/>
    <w:rsid w:val="00267D88"/>
    <w:rsid w:val="00267DA5"/>
    <w:rsid w:val="00267DC4"/>
    <w:rsid w:val="00267F02"/>
    <w:rsid w:val="00270748"/>
    <w:rsid w:val="002708BB"/>
    <w:rsid w:val="00270E88"/>
    <w:rsid w:val="0027105A"/>
    <w:rsid w:val="0027117F"/>
    <w:rsid w:val="00271283"/>
    <w:rsid w:val="002712DC"/>
    <w:rsid w:val="002712EC"/>
    <w:rsid w:val="002713F2"/>
    <w:rsid w:val="00271875"/>
    <w:rsid w:val="002718FF"/>
    <w:rsid w:val="00271955"/>
    <w:rsid w:val="00271D29"/>
    <w:rsid w:val="00272278"/>
    <w:rsid w:val="00272432"/>
    <w:rsid w:val="00272633"/>
    <w:rsid w:val="002728F2"/>
    <w:rsid w:val="00272CAB"/>
    <w:rsid w:val="00272FBF"/>
    <w:rsid w:val="0027316D"/>
    <w:rsid w:val="0027359A"/>
    <w:rsid w:val="002737D7"/>
    <w:rsid w:val="00273A10"/>
    <w:rsid w:val="00273A58"/>
    <w:rsid w:val="00273EB8"/>
    <w:rsid w:val="00273FBB"/>
    <w:rsid w:val="0027400E"/>
    <w:rsid w:val="0027401F"/>
    <w:rsid w:val="00274CAB"/>
    <w:rsid w:val="00274E8A"/>
    <w:rsid w:val="0027507D"/>
    <w:rsid w:val="00275FCE"/>
    <w:rsid w:val="00276044"/>
    <w:rsid w:val="00276106"/>
    <w:rsid w:val="002761B2"/>
    <w:rsid w:val="0027656D"/>
    <w:rsid w:val="002765E7"/>
    <w:rsid w:val="002766B8"/>
    <w:rsid w:val="0027680F"/>
    <w:rsid w:val="0027696D"/>
    <w:rsid w:val="00277181"/>
    <w:rsid w:val="002776D0"/>
    <w:rsid w:val="00277B5D"/>
    <w:rsid w:val="00277C02"/>
    <w:rsid w:val="00277E6F"/>
    <w:rsid w:val="0028087C"/>
    <w:rsid w:val="00280ADF"/>
    <w:rsid w:val="00281006"/>
    <w:rsid w:val="002815B1"/>
    <w:rsid w:val="00281627"/>
    <w:rsid w:val="002816B7"/>
    <w:rsid w:val="0028190B"/>
    <w:rsid w:val="00281930"/>
    <w:rsid w:val="00281A37"/>
    <w:rsid w:val="00281A3D"/>
    <w:rsid w:val="00281C1F"/>
    <w:rsid w:val="00281EEA"/>
    <w:rsid w:val="00281F88"/>
    <w:rsid w:val="002822B5"/>
    <w:rsid w:val="0028288D"/>
    <w:rsid w:val="0028294E"/>
    <w:rsid w:val="002829B7"/>
    <w:rsid w:val="00282B4E"/>
    <w:rsid w:val="00282B82"/>
    <w:rsid w:val="00282C74"/>
    <w:rsid w:val="00282E43"/>
    <w:rsid w:val="00282E5B"/>
    <w:rsid w:val="00282F51"/>
    <w:rsid w:val="002834C8"/>
    <w:rsid w:val="00283828"/>
    <w:rsid w:val="00283995"/>
    <w:rsid w:val="00283B11"/>
    <w:rsid w:val="00283B12"/>
    <w:rsid w:val="00283CE1"/>
    <w:rsid w:val="00284090"/>
    <w:rsid w:val="002841A9"/>
    <w:rsid w:val="00284313"/>
    <w:rsid w:val="00284389"/>
    <w:rsid w:val="002845DE"/>
    <w:rsid w:val="00284612"/>
    <w:rsid w:val="002848AD"/>
    <w:rsid w:val="00284906"/>
    <w:rsid w:val="00284A5E"/>
    <w:rsid w:val="00284B1A"/>
    <w:rsid w:val="00284C04"/>
    <w:rsid w:val="00284F02"/>
    <w:rsid w:val="00285154"/>
    <w:rsid w:val="00285893"/>
    <w:rsid w:val="0028599B"/>
    <w:rsid w:val="002859BE"/>
    <w:rsid w:val="00285BF2"/>
    <w:rsid w:val="00285C78"/>
    <w:rsid w:val="0028637F"/>
    <w:rsid w:val="002863CE"/>
    <w:rsid w:val="002867F8"/>
    <w:rsid w:val="002868CF"/>
    <w:rsid w:val="00286963"/>
    <w:rsid w:val="0028702A"/>
    <w:rsid w:val="0028732A"/>
    <w:rsid w:val="002874C3"/>
    <w:rsid w:val="00287804"/>
    <w:rsid w:val="00287B30"/>
    <w:rsid w:val="00287C7C"/>
    <w:rsid w:val="00287F35"/>
    <w:rsid w:val="00290077"/>
    <w:rsid w:val="0029075F"/>
    <w:rsid w:val="002908FB"/>
    <w:rsid w:val="00290F01"/>
    <w:rsid w:val="00291035"/>
    <w:rsid w:val="0029119A"/>
    <w:rsid w:val="00291492"/>
    <w:rsid w:val="00291527"/>
    <w:rsid w:val="0029199A"/>
    <w:rsid w:val="002919B8"/>
    <w:rsid w:val="00291BBE"/>
    <w:rsid w:val="00291FEB"/>
    <w:rsid w:val="002920B3"/>
    <w:rsid w:val="002930C8"/>
    <w:rsid w:val="00293146"/>
    <w:rsid w:val="0029361E"/>
    <w:rsid w:val="00293768"/>
    <w:rsid w:val="00293A72"/>
    <w:rsid w:val="00293D68"/>
    <w:rsid w:val="00293F88"/>
    <w:rsid w:val="00294117"/>
    <w:rsid w:val="00294137"/>
    <w:rsid w:val="002941CC"/>
    <w:rsid w:val="00294279"/>
    <w:rsid w:val="0029431E"/>
    <w:rsid w:val="00294352"/>
    <w:rsid w:val="0029441B"/>
    <w:rsid w:val="002944A0"/>
    <w:rsid w:val="00294533"/>
    <w:rsid w:val="002946E4"/>
    <w:rsid w:val="0029495C"/>
    <w:rsid w:val="00294AC4"/>
    <w:rsid w:val="00294B5F"/>
    <w:rsid w:val="00294CEE"/>
    <w:rsid w:val="00294E66"/>
    <w:rsid w:val="00294EBF"/>
    <w:rsid w:val="00295043"/>
    <w:rsid w:val="00295117"/>
    <w:rsid w:val="002952E6"/>
    <w:rsid w:val="002957D9"/>
    <w:rsid w:val="00295A48"/>
    <w:rsid w:val="00295A74"/>
    <w:rsid w:val="00295B52"/>
    <w:rsid w:val="00295B7F"/>
    <w:rsid w:val="00296024"/>
    <w:rsid w:val="0029619D"/>
    <w:rsid w:val="00296293"/>
    <w:rsid w:val="0029686F"/>
    <w:rsid w:val="00296AF7"/>
    <w:rsid w:val="00296D34"/>
    <w:rsid w:val="002972F9"/>
    <w:rsid w:val="002977CA"/>
    <w:rsid w:val="00297862"/>
    <w:rsid w:val="00297A64"/>
    <w:rsid w:val="00297DC9"/>
    <w:rsid w:val="00297ED7"/>
    <w:rsid w:val="002A0007"/>
    <w:rsid w:val="002A0216"/>
    <w:rsid w:val="002A02BB"/>
    <w:rsid w:val="002A03AA"/>
    <w:rsid w:val="002A0432"/>
    <w:rsid w:val="002A056D"/>
    <w:rsid w:val="002A0649"/>
    <w:rsid w:val="002A0683"/>
    <w:rsid w:val="002A073C"/>
    <w:rsid w:val="002A07FE"/>
    <w:rsid w:val="002A0844"/>
    <w:rsid w:val="002A094D"/>
    <w:rsid w:val="002A0CAF"/>
    <w:rsid w:val="002A10D6"/>
    <w:rsid w:val="002A10F4"/>
    <w:rsid w:val="002A1565"/>
    <w:rsid w:val="002A16A9"/>
    <w:rsid w:val="002A17EE"/>
    <w:rsid w:val="002A18E6"/>
    <w:rsid w:val="002A243A"/>
    <w:rsid w:val="002A2489"/>
    <w:rsid w:val="002A26D9"/>
    <w:rsid w:val="002A2941"/>
    <w:rsid w:val="002A2AF3"/>
    <w:rsid w:val="002A2DC4"/>
    <w:rsid w:val="002A33EC"/>
    <w:rsid w:val="002A34E0"/>
    <w:rsid w:val="002A3E69"/>
    <w:rsid w:val="002A3EA8"/>
    <w:rsid w:val="002A41F7"/>
    <w:rsid w:val="002A442D"/>
    <w:rsid w:val="002A44F9"/>
    <w:rsid w:val="002A464E"/>
    <w:rsid w:val="002A46D1"/>
    <w:rsid w:val="002A49EF"/>
    <w:rsid w:val="002A4B8B"/>
    <w:rsid w:val="002A4C3D"/>
    <w:rsid w:val="002A4D7A"/>
    <w:rsid w:val="002A4DBE"/>
    <w:rsid w:val="002A4E6A"/>
    <w:rsid w:val="002A5107"/>
    <w:rsid w:val="002A535E"/>
    <w:rsid w:val="002A5915"/>
    <w:rsid w:val="002A6406"/>
    <w:rsid w:val="002A6AD0"/>
    <w:rsid w:val="002A6CF0"/>
    <w:rsid w:val="002A6EF0"/>
    <w:rsid w:val="002A6FB0"/>
    <w:rsid w:val="002A6FFC"/>
    <w:rsid w:val="002A7010"/>
    <w:rsid w:val="002A70BA"/>
    <w:rsid w:val="002A7465"/>
    <w:rsid w:val="002A7732"/>
    <w:rsid w:val="002A793D"/>
    <w:rsid w:val="002A7A57"/>
    <w:rsid w:val="002A7BB2"/>
    <w:rsid w:val="002A7D80"/>
    <w:rsid w:val="002A7DCB"/>
    <w:rsid w:val="002A7ED6"/>
    <w:rsid w:val="002B0B53"/>
    <w:rsid w:val="002B0C18"/>
    <w:rsid w:val="002B0CB5"/>
    <w:rsid w:val="002B0E92"/>
    <w:rsid w:val="002B0F1A"/>
    <w:rsid w:val="002B0F57"/>
    <w:rsid w:val="002B1617"/>
    <w:rsid w:val="002B194B"/>
    <w:rsid w:val="002B1D11"/>
    <w:rsid w:val="002B1D2E"/>
    <w:rsid w:val="002B1F3C"/>
    <w:rsid w:val="002B22EB"/>
    <w:rsid w:val="002B25E3"/>
    <w:rsid w:val="002B273B"/>
    <w:rsid w:val="002B2763"/>
    <w:rsid w:val="002B29AA"/>
    <w:rsid w:val="002B2A7E"/>
    <w:rsid w:val="002B2C1E"/>
    <w:rsid w:val="002B2F1B"/>
    <w:rsid w:val="002B2FBC"/>
    <w:rsid w:val="002B314E"/>
    <w:rsid w:val="002B3F5D"/>
    <w:rsid w:val="002B3F6F"/>
    <w:rsid w:val="002B4131"/>
    <w:rsid w:val="002B43A0"/>
    <w:rsid w:val="002B46DA"/>
    <w:rsid w:val="002B497E"/>
    <w:rsid w:val="002B4A32"/>
    <w:rsid w:val="002B4ABD"/>
    <w:rsid w:val="002B4B58"/>
    <w:rsid w:val="002B4C6B"/>
    <w:rsid w:val="002B50CB"/>
    <w:rsid w:val="002B52DF"/>
    <w:rsid w:val="002B5414"/>
    <w:rsid w:val="002B573A"/>
    <w:rsid w:val="002B5AFB"/>
    <w:rsid w:val="002B6182"/>
    <w:rsid w:val="002B6320"/>
    <w:rsid w:val="002B6521"/>
    <w:rsid w:val="002B65C3"/>
    <w:rsid w:val="002B66AC"/>
    <w:rsid w:val="002B6852"/>
    <w:rsid w:val="002B688C"/>
    <w:rsid w:val="002B713E"/>
    <w:rsid w:val="002B74C6"/>
    <w:rsid w:val="002B75A4"/>
    <w:rsid w:val="002B77E1"/>
    <w:rsid w:val="002B7CA4"/>
    <w:rsid w:val="002C053D"/>
    <w:rsid w:val="002C0714"/>
    <w:rsid w:val="002C08A9"/>
    <w:rsid w:val="002C0A96"/>
    <w:rsid w:val="002C0C39"/>
    <w:rsid w:val="002C0E60"/>
    <w:rsid w:val="002C0EE7"/>
    <w:rsid w:val="002C10A8"/>
    <w:rsid w:val="002C1897"/>
    <w:rsid w:val="002C18DE"/>
    <w:rsid w:val="002C1BF4"/>
    <w:rsid w:val="002C1CD0"/>
    <w:rsid w:val="002C1E0D"/>
    <w:rsid w:val="002C1E88"/>
    <w:rsid w:val="002C203E"/>
    <w:rsid w:val="002C2266"/>
    <w:rsid w:val="002C2309"/>
    <w:rsid w:val="002C24D1"/>
    <w:rsid w:val="002C2626"/>
    <w:rsid w:val="002C28EB"/>
    <w:rsid w:val="002C296A"/>
    <w:rsid w:val="002C2AFE"/>
    <w:rsid w:val="002C2F2A"/>
    <w:rsid w:val="002C3260"/>
    <w:rsid w:val="002C3265"/>
    <w:rsid w:val="002C3666"/>
    <w:rsid w:val="002C3746"/>
    <w:rsid w:val="002C38BE"/>
    <w:rsid w:val="002C3AED"/>
    <w:rsid w:val="002C3C92"/>
    <w:rsid w:val="002C3E56"/>
    <w:rsid w:val="002C414C"/>
    <w:rsid w:val="002C4309"/>
    <w:rsid w:val="002C4C2F"/>
    <w:rsid w:val="002C5776"/>
    <w:rsid w:val="002C5BF2"/>
    <w:rsid w:val="002C5CD6"/>
    <w:rsid w:val="002C5EED"/>
    <w:rsid w:val="002C60B7"/>
    <w:rsid w:val="002C66DE"/>
    <w:rsid w:val="002C6F61"/>
    <w:rsid w:val="002C70C6"/>
    <w:rsid w:val="002C7193"/>
    <w:rsid w:val="002C72C4"/>
    <w:rsid w:val="002C74DC"/>
    <w:rsid w:val="002C7699"/>
    <w:rsid w:val="002C7713"/>
    <w:rsid w:val="002C7A49"/>
    <w:rsid w:val="002C7B1A"/>
    <w:rsid w:val="002D0128"/>
    <w:rsid w:val="002D0231"/>
    <w:rsid w:val="002D0ABE"/>
    <w:rsid w:val="002D0E85"/>
    <w:rsid w:val="002D0F9B"/>
    <w:rsid w:val="002D0FA7"/>
    <w:rsid w:val="002D125D"/>
    <w:rsid w:val="002D12FB"/>
    <w:rsid w:val="002D1306"/>
    <w:rsid w:val="002D1713"/>
    <w:rsid w:val="002D19D1"/>
    <w:rsid w:val="002D1A6A"/>
    <w:rsid w:val="002D1ABA"/>
    <w:rsid w:val="002D1E7C"/>
    <w:rsid w:val="002D1F35"/>
    <w:rsid w:val="002D1FA3"/>
    <w:rsid w:val="002D207B"/>
    <w:rsid w:val="002D20CD"/>
    <w:rsid w:val="002D23C6"/>
    <w:rsid w:val="002D24F0"/>
    <w:rsid w:val="002D25EB"/>
    <w:rsid w:val="002D2736"/>
    <w:rsid w:val="002D27DA"/>
    <w:rsid w:val="002D29F3"/>
    <w:rsid w:val="002D29FE"/>
    <w:rsid w:val="002D3126"/>
    <w:rsid w:val="002D3322"/>
    <w:rsid w:val="002D3529"/>
    <w:rsid w:val="002D3682"/>
    <w:rsid w:val="002D3994"/>
    <w:rsid w:val="002D3ACD"/>
    <w:rsid w:val="002D3D0A"/>
    <w:rsid w:val="002D3D19"/>
    <w:rsid w:val="002D43F9"/>
    <w:rsid w:val="002D4405"/>
    <w:rsid w:val="002D478E"/>
    <w:rsid w:val="002D47AE"/>
    <w:rsid w:val="002D4A94"/>
    <w:rsid w:val="002D50C6"/>
    <w:rsid w:val="002D55F6"/>
    <w:rsid w:val="002D5994"/>
    <w:rsid w:val="002D5CBF"/>
    <w:rsid w:val="002D5E94"/>
    <w:rsid w:val="002D63AD"/>
    <w:rsid w:val="002D65FF"/>
    <w:rsid w:val="002D6D10"/>
    <w:rsid w:val="002D71E2"/>
    <w:rsid w:val="002D7367"/>
    <w:rsid w:val="002D7453"/>
    <w:rsid w:val="002D7732"/>
    <w:rsid w:val="002D7961"/>
    <w:rsid w:val="002D7B6A"/>
    <w:rsid w:val="002D7E36"/>
    <w:rsid w:val="002E0026"/>
    <w:rsid w:val="002E02E0"/>
    <w:rsid w:val="002E0732"/>
    <w:rsid w:val="002E08E8"/>
    <w:rsid w:val="002E0918"/>
    <w:rsid w:val="002E0B6C"/>
    <w:rsid w:val="002E0BAA"/>
    <w:rsid w:val="002E0D4E"/>
    <w:rsid w:val="002E0D96"/>
    <w:rsid w:val="002E0EA5"/>
    <w:rsid w:val="002E0F31"/>
    <w:rsid w:val="002E1515"/>
    <w:rsid w:val="002E17FE"/>
    <w:rsid w:val="002E190F"/>
    <w:rsid w:val="002E1A33"/>
    <w:rsid w:val="002E1E19"/>
    <w:rsid w:val="002E1F46"/>
    <w:rsid w:val="002E22B2"/>
    <w:rsid w:val="002E22B7"/>
    <w:rsid w:val="002E24B5"/>
    <w:rsid w:val="002E26CB"/>
    <w:rsid w:val="002E283F"/>
    <w:rsid w:val="002E2854"/>
    <w:rsid w:val="002E287D"/>
    <w:rsid w:val="002E2BA1"/>
    <w:rsid w:val="002E2E74"/>
    <w:rsid w:val="002E30C5"/>
    <w:rsid w:val="002E32D2"/>
    <w:rsid w:val="002E361B"/>
    <w:rsid w:val="002E366D"/>
    <w:rsid w:val="002E37AB"/>
    <w:rsid w:val="002E38FE"/>
    <w:rsid w:val="002E3A80"/>
    <w:rsid w:val="002E41C7"/>
    <w:rsid w:val="002E41DE"/>
    <w:rsid w:val="002E4485"/>
    <w:rsid w:val="002E452C"/>
    <w:rsid w:val="002E4828"/>
    <w:rsid w:val="002E4AC7"/>
    <w:rsid w:val="002E4BB3"/>
    <w:rsid w:val="002E51DF"/>
    <w:rsid w:val="002E5254"/>
    <w:rsid w:val="002E555B"/>
    <w:rsid w:val="002E57B9"/>
    <w:rsid w:val="002E58ED"/>
    <w:rsid w:val="002E600C"/>
    <w:rsid w:val="002E6022"/>
    <w:rsid w:val="002E6127"/>
    <w:rsid w:val="002E6885"/>
    <w:rsid w:val="002E6E2F"/>
    <w:rsid w:val="002E6E7C"/>
    <w:rsid w:val="002E6E81"/>
    <w:rsid w:val="002E72E4"/>
    <w:rsid w:val="002E739D"/>
    <w:rsid w:val="002E7674"/>
    <w:rsid w:val="002E77F3"/>
    <w:rsid w:val="002E7B3C"/>
    <w:rsid w:val="002E7BF8"/>
    <w:rsid w:val="002E7CC1"/>
    <w:rsid w:val="002E7DEC"/>
    <w:rsid w:val="002E7E45"/>
    <w:rsid w:val="002F0062"/>
    <w:rsid w:val="002F01EE"/>
    <w:rsid w:val="002F023F"/>
    <w:rsid w:val="002F0242"/>
    <w:rsid w:val="002F052F"/>
    <w:rsid w:val="002F089E"/>
    <w:rsid w:val="002F0975"/>
    <w:rsid w:val="002F0E00"/>
    <w:rsid w:val="002F0E87"/>
    <w:rsid w:val="002F0F36"/>
    <w:rsid w:val="002F1276"/>
    <w:rsid w:val="002F16E1"/>
    <w:rsid w:val="002F1986"/>
    <w:rsid w:val="002F1E06"/>
    <w:rsid w:val="002F1E49"/>
    <w:rsid w:val="002F1E5F"/>
    <w:rsid w:val="002F220D"/>
    <w:rsid w:val="002F255F"/>
    <w:rsid w:val="002F2700"/>
    <w:rsid w:val="002F2A49"/>
    <w:rsid w:val="002F2AA9"/>
    <w:rsid w:val="002F301A"/>
    <w:rsid w:val="002F30F1"/>
    <w:rsid w:val="002F321C"/>
    <w:rsid w:val="002F3550"/>
    <w:rsid w:val="002F3631"/>
    <w:rsid w:val="002F3766"/>
    <w:rsid w:val="002F3B63"/>
    <w:rsid w:val="002F3C56"/>
    <w:rsid w:val="002F3DA6"/>
    <w:rsid w:val="002F41E7"/>
    <w:rsid w:val="002F42B3"/>
    <w:rsid w:val="002F46B0"/>
    <w:rsid w:val="002F46BC"/>
    <w:rsid w:val="002F4B17"/>
    <w:rsid w:val="002F4ECD"/>
    <w:rsid w:val="002F50F3"/>
    <w:rsid w:val="002F5150"/>
    <w:rsid w:val="002F5174"/>
    <w:rsid w:val="002F525B"/>
    <w:rsid w:val="002F5463"/>
    <w:rsid w:val="002F5651"/>
    <w:rsid w:val="002F58C2"/>
    <w:rsid w:val="002F5932"/>
    <w:rsid w:val="002F5C85"/>
    <w:rsid w:val="002F603B"/>
    <w:rsid w:val="002F6201"/>
    <w:rsid w:val="002F6884"/>
    <w:rsid w:val="002F68D5"/>
    <w:rsid w:val="002F6A2B"/>
    <w:rsid w:val="002F6CA0"/>
    <w:rsid w:val="002F6CB1"/>
    <w:rsid w:val="002F6E9C"/>
    <w:rsid w:val="002F6F04"/>
    <w:rsid w:val="002F724B"/>
    <w:rsid w:val="002F72BA"/>
    <w:rsid w:val="002F7B89"/>
    <w:rsid w:val="00300267"/>
    <w:rsid w:val="003004D2"/>
    <w:rsid w:val="00300674"/>
    <w:rsid w:val="0030093E"/>
    <w:rsid w:val="00300C88"/>
    <w:rsid w:val="00300D6B"/>
    <w:rsid w:val="00301380"/>
    <w:rsid w:val="00301E89"/>
    <w:rsid w:val="00301ECC"/>
    <w:rsid w:val="00302052"/>
    <w:rsid w:val="00302142"/>
    <w:rsid w:val="00302169"/>
    <w:rsid w:val="00302286"/>
    <w:rsid w:val="00302612"/>
    <w:rsid w:val="00302A29"/>
    <w:rsid w:val="00302ADB"/>
    <w:rsid w:val="00302B0E"/>
    <w:rsid w:val="00302D43"/>
    <w:rsid w:val="00302DEC"/>
    <w:rsid w:val="00302E5C"/>
    <w:rsid w:val="00303254"/>
    <w:rsid w:val="003033C2"/>
    <w:rsid w:val="00303829"/>
    <w:rsid w:val="00303B08"/>
    <w:rsid w:val="00303E0B"/>
    <w:rsid w:val="0030408D"/>
    <w:rsid w:val="00304135"/>
    <w:rsid w:val="003044D9"/>
    <w:rsid w:val="003048E8"/>
    <w:rsid w:val="00304942"/>
    <w:rsid w:val="00304D8A"/>
    <w:rsid w:val="00305083"/>
    <w:rsid w:val="00305216"/>
    <w:rsid w:val="0030555B"/>
    <w:rsid w:val="00305BFD"/>
    <w:rsid w:val="00305C8F"/>
    <w:rsid w:val="00306172"/>
    <w:rsid w:val="003061F5"/>
    <w:rsid w:val="003062AA"/>
    <w:rsid w:val="00306A60"/>
    <w:rsid w:val="00306D27"/>
    <w:rsid w:val="00306F65"/>
    <w:rsid w:val="0030710A"/>
    <w:rsid w:val="0030739C"/>
    <w:rsid w:val="00307493"/>
    <w:rsid w:val="00307655"/>
    <w:rsid w:val="00307C82"/>
    <w:rsid w:val="00307F19"/>
    <w:rsid w:val="00310231"/>
    <w:rsid w:val="0031086C"/>
    <w:rsid w:val="00310D51"/>
    <w:rsid w:val="00310DD7"/>
    <w:rsid w:val="003112CE"/>
    <w:rsid w:val="00311AFA"/>
    <w:rsid w:val="00311B36"/>
    <w:rsid w:val="00311C92"/>
    <w:rsid w:val="00311DF3"/>
    <w:rsid w:val="00311E36"/>
    <w:rsid w:val="00311E8B"/>
    <w:rsid w:val="00312854"/>
    <w:rsid w:val="003128D1"/>
    <w:rsid w:val="003128D5"/>
    <w:rsid w:val="00312974"/>
    <w:rsid w:val="003129AF"/>
    <w:rsid w:val="003133AE"/>
    <w:rsid w:val="003133BF"/>
    <w:rsid w:val="00313414"/>
    <w:rsid w:val="0031371B"/>
    <w:rsid w:val="003137E6"/>
    <w:rsid w:val="00313F2D"/>
    <w:rsid w:val="00314003"/>
    <w:rsid w:val="00314156"/>
    <w:rsid w:val="00314279"/>
    <w:rsid w:val="0031454D"/>
    <w:rsid w:val="00314BD1"/>
    <w:rsid w:val="00315081"/>
    <w:rsid w:val="0031535B"/>
    <w:rsid w:val="00315565"/>
    <w:rsid w:val="00315B68"/>
    <w:rsid w:val="00315E40"/>
    <w:rsid w:val="00316418"/>
    <w:rsid w:val="00316684"/>
    <w:rsid w:val="003168E5"/>
    <w:rsid w:val="00316A0E"/>
    <w:rsid w:val="003170F4"/>
    <w:rsid w:val="003172D7"/>
    <w:rsid w:val="0031750F"/>
    <w:rsid w:val="00317586"/>
    <w:rsid w:val="00317F1F"/>
    <w:rsid w:val="0032035D"/>
    <w:rsid w:val="003205E9"/>
    <w:rsid w:val="003208F9"/>
    <w:rsid w:val="00320B28"/>
    <w:rsid w:val="00320BD6"/>
    <w:rsid w:val="00320C92"/>
    <w:rsid w:val="0032123E"/>
    <w:rsid w:val="0032141C"/>
    <w:rsid w:val="003216D5"/>
    <w:rsid w:val="003216FF"/>
    <w:rsid w:val="00321866"/>
    <w:rsid w:val="00321A83"/>
    <w:rsid w:val="00321C1A"/>
    <w:rsid w:val="00321F6B"/>
    <w:rsid w:val="003220A4"/>
    <w:rsid w:val="00322389"/>
    <w:rsid w:val="00322624"/>
    <w:rsid w:val="00322669"/>
    <w:rsid w:val="00322968"/>
    <w:rsid w:val="003229FB"/>
    <w:rsid w:val="00322A11"/>
    <w:rsid w:val="00322BE5"/>
    <w:rsid w:val="00322E87"/>
    <w:rsid w:val="0032312D"/>
    <w:rsid w:val="003231D5"/>
    <w:rsid w:val="0032339E"/>
    <w:rsid w:val="0032354D"/>
    <w:rsid w:val="003237FA"/>
    <w:rsid w:val="00323A2F"/>
    <w:rsid w:val="00323AA5"/>
    <w:rsid w:val="00323E32"/>
    <w:rsid w:val="0032413F"/>
    <w:rsid w:val="003242E4"/>
    <w:rsid w:val="003244EB"/>
    <w:rsid w:val="0032468D"/>
    <w:rsid w:val="0032491F"/>
    <w:rsid w:val="00324926"/>
    <w:rsid w:val="00324B25"/>
    <w:rsid w:val="00324BC0"/>
    <w:rsid w:val="00324C87"/>
    <w:rsid w:val="00324CB0"/>
    <w:rsid w:val="00324D89"/>
    <w:rsid w:val="00325165"/>
    <w:rsid w:val="0032522F"/>
    <w:rsid w:val="003253C4"/>
    <w:rsid w:val="003253F1"/>
    <w:rsid w:val="0032550F"/>
    <w:rsid w:val="003258F8"/>
    <w:rsid w:val="00325992"/>
    <w:rsid w:val="00325B74"/>
    <w:rsid w:val="00325BC6"/>
    <w:rsid w:val="00325C01"/>
    <w:rsid w:val="0032638F"/>
    <w:rsid w:val="003266A6"/>
    <w:rsid w:val="003266BE"/>
    <w:rsid w:val="0032672F"/>
    <w:rsid w:val="00326A77"/>
    <w:rsid w:val="00326B59"/>
    <w:rsid w:val="003272C6"/>
    <w:rsid w:val="0032746C"/>
    <w:rsid w:val="00327752"/>
    <w:rsid w:val="00327C40"/>
    <w:rsid w:val="00327C7C"/>
    <w:rsid w:val="00327F56"/>
    <w:rsid w:val="00330009"/>
    <w:rsid w:val="003301B0"/>
    <w:rsid w:val="003301E6"/>
    <w:rsid w:val="0033049F"/>
    <w:rsid w:val="00330773"/>
    <w:rsid w:val="00330931"/>
    <w:rsid w:val="00330E68"/>
    <w:rsid w:val="003310AB"/>
    <w:rsid w:val="003314D2"/>
    <w:rsid w:val="00331712"/>
    <w:rsid w:val="003318EF"/>
    <w:rsid w:val="00331A3F"/>
    <w:rsid w:val="00331A5F"/>
    <w:rsid w:val="00331C43"/>
    <w:rsid w:val="00332191"/>
    <w:rsid w:val="003324AA"/>
    <w:rsid w:val="00332720"/>
    <w:rsid w:val="00332EED"/>
    <w:rsid w:val="00332F98"/>
    <w:rsid w:val="003334A7"/>
    <w:rsid w:val="0033368C"/>
    <w:rsid w:val="003337E8"/>
    <w:rsid w:val="00333A14"/>
    <w:rsid w:val="00333B2A"/>
    <w:rsid w:val="00333FD5"/>
    <w:rsid w:val="00334381"/>
    <w:rsid w:val="003350BB"/>
    <w:rsid w:val="003350E9"/>
    <w:rsid w:val="003350F4"/>
    <w:rsid w:val="003351BA"/>
    <w:rsid w:val="0033520F"/>
    <w:rsid w:val="0033536D"/>
    <w:rsid w:val="00335519"/>
    <w:rsid w:val="00335827"/>
    <w:rsid w:val="0033596B"/>
    <w:rsid w:val="00335A93"/>
    <w:rsid w:val="00335BFF"/>
    <w:rsid w:val="00336474"/>
    <w:rsid w:val="0033650E"/>
    <w:rsid w:val="0033653F"/>
    <w:rsid w:val="003366EF"/>
    <w:rsid w:val="00336907"/>
    <w:rsid w:val="003369DF"/>
    <w:rsid w:val="00336C71"/>
    <w:rsid w:val="00336D96"/>
    <w:rsid w:val="00336DFC"/>
    <w:rsid w:val="0033701D"/>
    <w:rsid w:val="00337230"/>
    <w:rsid w:val="00337470"/>
    <w:rsid w:val="00337588"/>
    <w:rsid w:val="003375E6"/>
    <w:rsid w:val="00337697"/>
    <w:rsid w:val="003377D0"/>
    <w:rsid w:val="0033794D"/>
    <w:rsid w:val="00337B7E"/>
    <w:rsid w:val="00337D5A"/>
    <w:rsid w:val="00337D75"/>
    <w:rsid w:val="00340020"/>
    <w:rsid w:val="0034068F"/>
    <w:rsid w:val="0034081A"/>
    <w:rsid w:val="00340B43"/>
    <w:rsid w:val="00340D83"/>
    <w:rsid w:val="00341162"/>
    <w:rsid w:val="003412C0"/>
    <w:rsid w:val="003414C1"/>
    <w:rsid w:val="00341866"/>
    <w:rsid w:val="0034195D"/>
    <w:rsid w:val="00341B7B"/>
    <w:rsid w:val="00341DAF"/>
    <w:rsid w:val="00342181"/>
    <w:rsid w:val="00342373"/>
    <w:rsid w:val="003424FE"/>
    <w:rsid w:val="00342E6D"/>
    <w:rsid w:val="00342ED5"/>
    <w:rsid w:val="0034339B"/>
    <w:rsid w:val="00343560"/>
    <w:rsid w:val="00343646"/>
    <w:rsid w:val="003437D3"/>
    <w:rsid w:val="00343809"/>
    <w:rsid w:val="00343A20"/>
    <w:rsid w:val="00343A86"/>
    <w:rsid w:val="00343C7F"/>
    <w:rsid w:val="00343D46"/>
    <w:rsid w:val="00343FA8"/>
    <w:rsid w:val="0034402B"/>
    <w:rsid w:val="0034449E"/>
    <w:rsid w:val="003445C5"/>
    <w:rsid w:val="00344664"/>
    <w:rsid w:val="003449CA"/>
    <w:rsid w:val="00344BDE"/>
    <w:rsid w:val="00344D46"/>
    <w:rsid w:val="00344EAC"/>
    <w:rsid w:val="003451CE"/>
    <w:rsid w:val="00345421"/>
    <w:rsid w:val="003457C4"/>
    <w:rsid w:val="00345A03"/>
    <w:rsid w:val="00345E77"/>
    <w:rsid w:val="0034621B"/>
    <w:rsid w:val="00346344"/>
    <w:rsid w:val="003463D0"/>
    <w:rsid w:val="003465A5"/>
    <w:rsid w:val="0034661C"/>
    <w:rsid w:val="00346730"/>
    <w:rsid w:val="00346817"/>
    <w:rsid w:val="003468E8"/>
    <w:rsid w:val="0034699E"/>
    <w:rsid w:val="00346A65"/>
    <w:rsid w:val="00347198"/>
    <w:rsid w:val="00347440"/>
    <w:rsid w:val="003475EA"/>
    <w:rsid w:val="00347609"/>
    <w:rsid w:val="0034792D"/>
    <w:rsid w:val="00347A27"/>
    <w:rsid w:val="00347CD4"/>
    <w:rsid w:val="0035074E"/>
    <w:rsid w:val="00350A55"/>
    <w:rsid w:val="00350A59"/>
    <w:rsid w:val="00350C62"/>
    <w:rsid w:val="00350D6D"/>
    <w:rsid w:val="00350DF8"/>
    <w:rsid w:val="00350FE2"/>
    <w:rsid w:val="00351004"/>
    <w:rsid w:val="003510D9"/>
    <w:rsid w:val="00351393"/>
    <w:rsid w:val="0035139B"/>
    <w:rsid w:val="00351424"/>
    <w:rsid w:val="0035153A"/>
    <w:rsid w:val="00351793"/>
    <w:rsid w:val="00351A33"/>
    <w:rsid w:val="00351A8A"/>
    <w:rsid w:val="00352391"/>
    <w:rsid w:val="0035245D"/>
    <w:rsid w:val="00352541"/>
    <w:rsid w:val="0035266A"/>
    <w:rsid w:val="0035279C"/>
    <w:rsid w:val="00352803"/>
    <w:rsid w:val="00352B23"/>
    <w:rsid w:val="00352C49"/>
    <w:rsid w:val="00352D17"/>
    <w:rsid w:val="003534D3"/>
    <w:rsid w:val="003535D2"/>
    <w:rsid w:val="0035384D"/>
    <w:rsid w:val="00353870"/>
    <w:rsid w:val="00353BF0"/>
    <w:rsid w:val="00353C0B"/>
    <w:rsid w:val="00353FBA"/>
    <w:rsid w:val="0035430F"/>
    <w:rsid w:val="003547C0"/>
    <w:rsid w:val="00354A4A"/>
    <w:rsid w:val="00354AE4"/>
    <w:rsid w:val="00354B0A"/>
    <w:rsid w:val="00354C22"/>
    <w:rsid w:val="0035507A"/>
    <w:rsid w:val="003551F9"/>
    <w:rsid w:val="00355254"/>
    <w:rsid w:val="00355363"/>
    <w:rsid w:val="0035551B"/>
    <w:rsid w:val="003555ED"/>
    <w:rsid w:val="003555FF"/>
    <w:rsid w:val="00355911"/>
    <w:rsid w:val="00355A74"/>
    <w:rsid w:val="00355DF8"/>
    <w:rsid w:val="0035636B"/>
    <w:rsid w:val="00356714"/>
    <w:rsid w:val="00356DA9"/>
    <w:rsid w:val="00357287"/>
    <w:rsid w:val="003572F9"/>
    <w:rsid w:val="00357424"/>
    <w:rsid w:val="003574FF"/>
    <w:rsid w:val="00357B89"/>
    <w:rsid w:val="00357FFC"/>
    <w:rsid w:val="0036002B"/>
    <w:rsid w:val="00360102"/>
    <w:rsid w:val="0036079A"/>
    <w:rsid w:val="003608A2"/>
    <w:rsid w:val="00360D0B"/>
    <w:rsid w:val="00360E18"/>
    <w:rsid w:val="00361789"/>
    <w:rsid w:val="0036196D"/>
    <w:rsid w:val="00361EEC"/>
    <w:rsid w:val="0036208F"/>
    <w:rsid w:val="0036246B"/>
    <w:rsid w:val="003627BD"/>
    <w:rsid w:val="00362876"/>
    <w:rsid w:val="00362997"/>
    <w:rsid w:val="003629B5"/>
    <w:rsid w:val="00362A40"/>
    <w:rsid w:val="00362C59"/>
    <w:rsid w:val="00363040"/>
    <w:rsid w:val="003630B7"/>
    <w:rsid w:val="00363275"/>
    <w:rsid w:val="0036336F"/>
    <w:rsid w:val="00363436"/>
    <w:rsid w:val="00363786"/>
    <w:rsid w:val="00363870"/>
    <w:rsid w:val="0036389C"/>
    <w:rsid w:val="003638A4"/>
    <w:rsid w:val="003639BF"/>
    <w:rsid w:val="00363AA8"/>
    <w:rsid w:val="00363C48"/>
    <w:rsid w:val="00363DDC"/>
    <w:rsid w:val="00363E41"/>
    <w:rsid w:val="00363E95"/>
    <w:rsid w:val="00363ED8"/>
    <w:rsid w:val="00363EDD"/>
    <w:rsid w:val="00363FD2"/>
    <w:rsid w:val="003644D0"/>
    <w:rsid w:val="00364CD8"/>
    <w:rsid w:val="003651F5"/>
    <w:rsid w:val="0036538D"/>
    <w:rsid w:val="003654E1"/>
    <w:rsid w:val="00365580"/>
    <w:rsid w:val="0036572E"/>
    <w:rsid w:val="00365ED8"/>
    <w:rsid w:val="00365F6A"/>
    <w:rsid w:val="0036601E"/>
    <w:rsid w:val="00366082"/>
    <w:rsid w:val="003663D9"/>
    <w:rsid w:val="003666BF"/>
    <w:rsid w:val="00366707"/>
    <w:rsid w:val="00366CC9"/>
    <w:rsid w:val="00366D79"/>
    <w:rsid w:val="00366EE3"/>
    <w:rsid w:val="00366FA9"/>
    <w:rsid w:val="00367388"/>
    <w:rsid w:val="00367585"/>
    <w:rsid w:val="003679BA"/>
    <w:rsid w:val="00367E49"/>
    <w:rsid w:val="003700E6"/>
    <w:rsid w:val="003701F8"/>
    <w:rsid w:val="003702F6"/>
    <w:rsid w:val="0037037A"/>
    <w:rsid w:val="0037039B"/>
    <w:rsid w:val="0037099C"/>
    <w:rsid w:val="00370A78"/>
    <w:rsid w:val="00370C9A"/>
    <w:rsid w:val="00370E3F"/>
    <w:rsid w:val="00371365"/>
    <w:rsid w:val="003714DA"/>
    <w:rsid w:val="00371B6F"/>
    <w:rsid w:val="00371C86"/>
    <w:rsid w:val="00371CDC"/>
    <w:rsid w:val="0037207A"/>
    <w:rsid w:val="003721A3"/>
    <w:rsid w:val="00372211"/>
    <w:rsid w:val="0037236C"/>
    <w:rsid w:val="003725EC"/>
    <w:rsid w:val="003729DE"/>
    <w:rsid w:val="00372E04"/>
    <w:rsid w:val="00372F42"/>
    <w:rsid w:val="003730EB"/>
    <w:rsid w:val="00373467"/>
    <w:rsid w:val="003735D3"/>
    <w:rsid w:val="0037386D"/>
    <w:rsid w:val="00373956"/>
    <w:rsid w:val="00373F10"/>
    <w:rsid w:val="00374153"/>
    <w:rsid w:val="00374A3F"/>
    <w:rsid w:val="00374ED0"/>
    <w:rsid w:val="00374EF3"/>
    <w:rsid w:val="003750E0"/>
    <w:rsid w:val="003756BE"/>
    <w:rsid w:val="00375840"/>
    <w:rsid w:val="0037598F"/>
    <w:rsid w:val="00375AF1"/>
    <w:rsid w:val="00375C2F"/>
    <w:rsid w:val="00375D37"/>
    <w:rsid w:val="00375FC5"/>
    <w:rsid w:val="0037628B"/>
    <w:rsid w:val="0037687E"/>
    <w:rsid w:val="0037689B"/>
    <w:rsid w:val="003769BA"/>
    <w:rsid w:val="00376C10"/>
    <w:rsid w:val="00376EE8"/>
    <w:rsid w:val="00377040"/>
    <w:rsid w:val="0037741F"/>
    <w:rsid w:val="00377871"/>
    <w:rsid w:val="003778B2"/>
    <w:rsid w:val="00377E58"/>
    <w:rsid w:val="00377F13"/>
    <w:rsid w:val="00377FD1"/>
    <w:rsid w:val="003800C7"/>
    <w:rsid w:val="00380192"/>
    <w:rsid w:val="00380281"/>
    <w:rsid w:val="0038057E"/>
    <w:rsid w:val="003805E3"/>
    <w:rsid w:val="00380618"/>
    <w:rsid w:val="0038062E"/>
    <w:rsid w:val="003807F7"/>
    <w:rsid w:val="003809D5"/>
    <w:rsid w:val="00380AC6"/>
    <w:rsid w:val="00380B24"/>
    <w:rsid w:val="00381610"/>
    <w:rsid w:val="00381A82"/>
    <w:rsid w:val="00381C96"/>
    <w:rsid w:val="00381FD8"/>
    <w:rsid w:val="00382106"/>
    <w:rsid w:val="0038262B"/>
    <w:rsid w:val="00382657"/>
    <w:rsid w:val="00382AE9"/>
    <w:rsid w:val="00382B6A"/>
    <w:rsid w:val="00382B82"/>
    <w:rsid w:val="00382E93"/>
    <w:rsid w:val="00382F04"/>
    <w:rsid w:val="0038300C"/>
    <w:rsid w:val="003830FB"/>
    <w:rsid w:val="00383D38"/>
    <w:rsid w:val="00383D69"/>
    <w:rsid w:val="00383E73"/>
    <w:rsid w:val="00383E98"/>
    <w:rsid w:val="00384172"/>
    <w:rsid w:val="003844BF"/>
    <w:rsid w:val="00384611"/>
    <w:rsid w:val="00384691"/>
    <w:rsid w:val="00384AA9"/>
    <w:rsid w:val="00384AED"/>
    <w:rsid w:val="003852BA"/>
    <w:rsid w:val="00385385"/>
    <w:rsid w:val="003854D5"/>
    <w:rsid w:val="0038552A"/>
    <w:rsid w:val="003859EA"/>
    <w:rsid w:val="00385DB1"/>
    <w:rsid w:val="00385E99"/>
    <w:rsid w:val="00386549"/>
    <w:rsid w:val="0038709E"/>
    <w:rsid w:val="003877EC"/>
    <w:rsid w:val="0038797F"/>
    <w:rsid w:val="00387BEC"/>
    <w:rsid w:val="00387D30"/>
    <w:rsid w:val="00390205"/>
    <w:rsid w:val="003907CC"/>
    <w:rsid w:val="00390A4D"/>
    <w:rsid w:val="00390A61"/>
    <w:rsid w:val="00390B7F"/>
    <w:rsid w:val="00390DD5"/>
    <w:rsid w:val="00391664"/>
    <w:rsid w:val="00391753"/>
    <w:rsid w:val="00391C7F"/>
    <w:rsid w:val="003921A8"/>
    <w:rsid w:val="00392454"/>
    <w:rsid w:val="00392455"/>
    <w:rsid w:val="003924B4"/>
    <w:rsid w:val="00392839"/>
    <w:rsid w:val="00392A6C"/>
    <w:rsid w:val="00392C85"/>
    <w:rsid w:val="00392D3B"/>
    <w:rsid w:val="00392FD8"/>
    <w:rsid w:val="003932BA"/>
    <w:rsid w:val="0039330A"/>
    <w:rsid w:val="00393432"/>
    <w:rsid w:val="00393441"/>
    <w:rsid w:val="003936E8"/>
    <w:rsid w:val="00393CAA"/>
    <w:rsid w:val="00393D9E"/>
    <w:rsid w:val="00393E11"/>
    <w:rsid w:val="00393E82"/>
    <w:rsid w:val="0039401A"/>
    <w:rsid w:val="00394475"/>
    <w:rsid w:val="00394A09"/>
    <w:rsid w:val="00394C0D"/>
    <w:rsid w:val="00394C48"/>
    <w:rsid w:val="00394D31"/>
    <w:rsid w:val="00394EF8"/>
    <w:rsid w:val="003950A7"/>
    <w:rsid w:val="0039517A"/>
    <w:rsid w:val="003951D0"/>
    <w:rsid w:val="00395B51"/>
    <w:rsid w:val="00395D2E"/>
    <w:rsid w:val="003962B5"/>
    <w:rsid w:val="00396474"/>
    <w:rsid w:val="00396796"/>
    <w:rsid w:val="00396EC6"/>
    <w:rsid w:val="00396F3C"/>
    <w:rsid w:val="003970BA"/>
    <w:rsid w:val="0039746C"/>
    <w:rsid w:val="00397C36"/>
    <w:rsid w:val="00397DC6"/>
    <w:rsid w:val="003A0413"/>
    <w:rsid w:val="003A0B44"/>
    <w:rsid w:val="003A0BAE"/>
    <w:rsid w:val="003A0C4F"/>
    <w:rsid w:val="003A0E82"/>
    <w:rsid w:val="003A0FAC"/>
    <w:rsid w:val="003A115C"/>
    <w:rsid w:val="003A184D"/>
    <w:rsid w:val="003A1C35"/>
    <w:rsid w:val="003A1FB7"/>
    <w:rsid w:val="003A216E"/>
    <w:rsid w:val="003A228B"/>
    <w:rsid w:val="003A2317"/>
    <w:rsid w:val="003A275D"/>
    <w:rsid w:val="003A293B"/>
    <w:rsid w:val="003A2962"/>
    <w:rsid w:val="003A2A8C"/>
    <w:rsid w:val="003A2AFC"/>
    <w:rsid w:val="003A2D3B"/>
    <w:rsid w:val="003A2E61"/>
    <w:rsid w:val="003A30D3"/>
    <w:rsid w:val="003A371E"/>
    <w:rsid w:val="003A3BEC"/>
    <w:rsid w:val="003A3BFE"/>
    <w:rsid w:val="003A3E43"/>
    <w:rsid w:val="003A4261"/>
    <w:rsid w:val="003A462A"/>
    <w:rsid w:val="003A4726"/>
    <w:rsid w:val="003A4B38"/>
    <w:rsid w:val="003A4C9F"/>
    <w:rsid w:val="003A4CE8"/>
    <w:rsid w:val="003A4F50"/>
    <w:rsid w:val="003A50F3"/>
    <w:rsid w:val="003A5161"/>
    <w:rsid w:val="003A52AD"/>
    <w:rsid w:val="003A586A"/>
    <w:rsid w:val="003A595F"/>
    <w:rsid w:val="003A5BFB"/>
    <w:rsid w:val="003A5EEC"/>
    <w:rsid w:val="003A5F39"/>
    <w:rsid w:val="003A60B8"/>
    <w:rsid w:val="003A6AFC"/>
    <w:rsid w:val="003A6D7D"/>
    <w:rsid w:val="003A6E80"/>
    <w:rsid w:val="003A6F0C"/>
    <w:rsid w:val="003A6FD3"/>
    <w:rsid w:val="003A7173"/>
    <w:rsid w:val="003A79AE"/>
    <w:rsid w:val="003A7CA3"/>
    <w:rsid w:val="003B00B6"/>
    <w:rsid w:val="003B01C4"/>
    <w:rsid w:val="003B0268"/>
    <w:rsid w:val="003B07E6"/>
    <w:rsid w:val="003B0BB0"/>
    <w:rsid w:val="003B11EE"/>
    <w:rsid w:val="003B121E"/>
    <w:rsid w:val="003B1332"/>
    <w:rsid w:val="003B143D"/>
    <w:rsid w:val="003B15F8"/>
    <w:rsid w:val="003B18EB"/>
    <w:rsid w:val="003B1AA7"/>
    <w:rsid w:val="003B1C1F"/>
    <w:rsid w:val="003B230B"/>
    <w:rsid w:val="003B2320"/>
    <w:rsid w:val="003B23BC"/>
    <w:rsid w:val="003B28D7"/>
    <w:rsid w:val="003B2B9E"/>
    <w:rsid w:val="003B2DB5"/>
    <w:rsid w:val="003B2E0D"/>
    <w:rsid w:val="003B2F05"/>
    <w:rsid w:val="003B3072"/>
    <w:rsid w:val="003B3966"/>
    <w:rsid w:val="003B39B7"/>
    <w:rsid w:val="003B4342"/>
    <w:rsid w:val="003B4745"/>
    <w:rsid w:val="003B4C54"/>
    <w:rsid w:val="003B4EB0"/>
    <w:rsid w:val="003B5428"/>
    <w:rsid w:val="003B5BF5"/>
    <w:rsid w:val="003B5DDB"/>
    <w:rsid w:val="003B5F6A"/>
    <w:rsid w:val="003B6370"/>
    <w:rsid w:val="003B649C"/>
    <w:rsid w:val="003B6B7F"/>
    <w:rsid w:val="003B6F77"/>
    <w:rsid w:val="003B7033"/>
    <w:rsid w:val="003B7414"/>
    <w:rsid w:val="003B77D9"/>
    <w:rsid w:val="003B77E1"/>
    <w:rsid w:val="003B7820"/>
    <w:rsid w:val="003B7877"/>
    <w:rsid w:val="003B7B1D"/>
    <w:rsid w:val="003B7C3F"/>
    <w:rsid w:val="003B7E3C"/>
    <w:rsid w:val="003C01A4"/>
    <w:rsid w:val="003C0219"/>
    <w:rsid w:val="003C04BC"/>
    <w:rsid w:val="003C04DA"/>
    <w:rsid w:val="003C07DF"/>
    <w:rsid w:val="003C07FE"/>
    <w:rsid w:val="003C0C12"/>
    <w:rsid w:val="003C10D0"/>
    <w:rsid w:val="003C10F1"/>
    <w:rsid w:val="003C16E5"/>
    <w:rsid w:val="003C16EE"/>
    <w:rsid w:val="003C1C87"/>
    <w:rsid w:val="003C1DDF"/>
    <w:rsid w:val="003C1E27"/>
    <w:rsid w:val="003C2310"/>
    <w:rsid w:val="003C25CE"/>
    <w:rsid w:val="003C2B4A"/>
    <w:rsid w:val="003C2BCB"/>
    <w:rsid w:val="003C2C2F"/>
    <w:rsid w:val="003C2C85"/>
    <w:rsid w:val="003C2F3D"/>
    <w:rsid w:val="003C2F61"/>
    <w:rsid w:val="003C330A"/>
    <w:rsid w:val="003C345E"/>
    <w:rsid w:val="003C3FCE"/>
    <w:rsid w:val="003C41D1"/>
    <w:rsid w:val="003C4335"/>
    <w:rsid w:val="003C4409"/>
    <w:rsid w:val="003C4997"/>
    <w:rsid w:val="003C4A89"/>
    <w:rsid w:val="003C4B70"/>
    <w:rsid w:val="003C4B97"/>
    <w:rsid w:val="003C4DA5"/>
    <w:rsid w:val="003C5666"/>
    <w:rsid w:val="003C5B29"/>
    <w:rsid w:val="003C5BED"/>
    <w:rsid w:val="003C5E6A"/>
    <w:rsid w:val="003C6135"/>
    <w:rsid w:val="003C6304"/>
    <w:rsid w:val="003C64F4"/>
    <w:rsid w:val="003C65B9"/>
    <w:rsid w:val="003C6663"/>
    <w:rsid w:val="003C6DE1"/>
    <w:rsid w:val="003C6E6E"/>
    <w:rsid w:val="003C724B"/>
    <w:rsid w:val="003C73DB"/>
    <w:rsid w:val="003C76CE"/>
    <w:rsid w:val="003C7855"/>
    <w:rsid w:val="003C7F05"/>
    <w:rsid w:val="003D0185"/>
    <w:rsid w:val="003D02CB"/>
    <w:rsid w:val="003D0382"/>
    <w:rsid w:val="003D057A"/>
    <w:rsid w:val="003D069C"/>
    <w:rsid w:val="003D06F9"/>
    <w:rsid w:val="003D0767"/>
    <w:rsid w:val="003D0968"/>
    <w:rsid w:val="003D0BC2"/>
    <w:rsid w:val="003D0F3A"/>
    <w:rsid w:val="003D10B2"/>
    <w:rsid w:val="003D11B5"/>
    <w:rsid w:val="003D11FD"/>
    <w:rsid w:val="003D164E"/>
    <w:rsid w:val="003D1889"/>
    <w:rsid w:val="003D191E"/>
    <w:rsid w:val="003D1A43"/>
    <w:rsid w:val="003D1B9D"/>
    <w:rsid w:val="003D2004"/>
    <w:rsid w:val="003D215B"/>
    <w:rsid w:val="003D21E5"/>
    <w:rsid w:val="003D22A5"/>
    <w:rsid w:val="003D22C7"/>
    <w:rsid w:val="003D23A4"/>
    <w:rsid w:val="003D2ACE"/>
    <w:rsid w:val="003D305B"/>
    <w:rsid w:val="003D31E1"/>
    <w:rsid w:val="003D3414"/>
    <w:rsid w:val="003D3426"/>
    <w:rsid w:val="003D3721"/>
    <w:rsid w:val="003D3811"/>
    <w:rsid w:val="003D3813"/>
    <w:rsid w:val="003D3941"/>
    <w:rsid w:val="003D3BAC"/>
    <w:rsid w:val="003D3E33"/>
    <w:rsid w:val="003D4662"/>
    <w:rsid w:val="003D46BA"/>
    <w:rsid w:val="003D4A58"/>
    <w:rsid w:val="003D4E5F"/>
    <w:rsid w:val="003D5120"/>
    <w:rsid w:val="003D5450"/>
    <w:rsid w:val="003D5581"/>
    <w:rsid w:val="003D5749"/>
    <w:rsid w:val="003D590A"/>
    <w:rsid w:val="003D5AFF"/>
    <w:rsid w:val="003D5BF5"/>
    <w:rsid w:val="003D5F82"/>
    <w:rsid w:val="003D6722"/>
    <w:rsid w:val="003D68CE"/>
    <w:rsid w:val="003D6C4E"/>
    <w:rsid w:val="003D6CD9"/>
    <w:rsid w:val="003D7178"/>
    <w:rsid w:val="003D7428"/>
    <w:rsid w:val="003D77F2"/>
    <w:rsid w:val="003D78CC"/>
    <w:rsid w:val="003D7901"/>
    <w:rsid w:val="003D79D9"/>
    <w:rsid w:val="003D7D01"/>
    <w:rsid w:val="003D7ED8"/>
    <w:rsid w:val="003E0003"/>
    <w:rsid w:val="003E004D"/>
    <w:rsid w:val="003E0099"/>
    <w:rsid w:val="003E00C0"/>
    <w:rsid w:val="003E0176"/>
    <w:rsid w:val="003E08C7"/>
    <w:rsid w:val="003E0992"/>
    <w:rsid w:val="003E0ABF"/>
    <w:rsid w:val="003E185A"/>
    <w:rsid w:val="003E1879"/>
    <w:rsid w:val="003E1A72"/>
    <w:rsid w:val="003E1FF0"/>
    <w:rsid w:val="003E20CE"/>
    <w:rsid w:val="003E26F5"/>
    <w:rsid w:val="003E2756"/>
    <w:rsid w:val="003E2785"/>
    <w:rsid w:val="003E282B"/>
    <w:rsid w:val="003E2880"/>
    <w:rsid w:val="003E28FB"/>
    <w:rsid w:val="003E2A00"/>
    <w:rsid w:val="003E2B3C"/>
    <w:rsid w:val="003E2DC9"/>
    <w:rsid w:val="003E3046"/>
    <w:rsid w:val="003E319D"/>
    <w:rsid w:val="003E348F"/>
    <w:rsid w:val="003E3591"/>
    <w:rsid w:val="003E382C"/>
    <w:rsid w:val="003E3895"/>
    <w:rsid w:val="003E39AB"/>
    <w:rsid w:val="003E39F0"/>
    <w:rsid w:val="003E3BF1"/>
    <w:rsid w:val="003E3C4E"/>
    <w:rsid w:val="003E3D00"/>
    <w:rsid w:val="003E3D75"/>
    <w:rsid w:val="003E3E52"/>
    <w:rsid w:val="003E3FD6"/>
    <w:rsid w:val="003E4048"/>
    <w:rsid w:val="003E4531"/>
    <w:rsid w:val="003E4771"/>
    <w:rsid w:val="003E4CE5"/>
    <w:rsid w:val="003E54A8"/>
    <w:rsid w:val="003E57D8"/>
    <w:rsid w:val="003E5833"/>
    <w:rsid w:val="003E5C5D"/>
    <w:rsid w:val="003E5DA8"/>
    <w:rsid w:val="003E6A05"/>
    <w:rsid w:val="003E7109"/>
    <w:rsid w:val="003E71B0"/>
    <w:rsid w:val="003E7700"/>
    <w:rsid w:val="003E77DC"/>
    <w:rsid w:val="003E783E"/>
    <w:rsid w:val="003E7BC1"/>
    <w:rsid w:val="003F000D"/>
    <w:rsid w:val="003F0453"/>
    <w:rsid w:val="003F097D"/>
    <w:rsid w:val="003F0C9F"/>
    <w:rsid w:val="003F0EE1"/>
    <w:rsid w:val="003F0F55"/>
    <w:rsid w:val="003F12F5"/>
    <w:rsid w:val="003F144A"/>
    <w:rsid w:val="003F1732"/>
    <w:rsid w:val="003F1B02"/>
    <w:rsid w:val="003F1EFE"/>
    <w:rsid w:val="003F20DD"/>
    <w:rsid w:val="003F2197"/>
    <w:rsid w:val="003F2212"/>
    <w:rsid w:val="003F2240"/>
    <w:rsid w:val="003F226A"/>
    <w:rsid w:val="003F2417"/>
    <w:rsid w:val="003F2460"/>
    <w:rsid w:val="003F290E"/>
    <w:rsid w:val="003F2BD1"/>
    <w:rsid w:val="003F2CB0"/>
    <w:rsid w:val="003F2DF6"/>
    <w:rsid w:val="003F2E7B"/>
    <w:rsid w:val="003F2FDE"/>
    <w:rsid w:val="003F2FF7"/>
    <w:rsid w:val="003F300E"/>
    <w:rsid w:val="003F345C"/>
    <w:rsid w:val="003F3932"/>
    <w:rsid w:val="003F39C7"/>
    <w:rsid w:val="003F3CD5"/>
    <w:rsid w:val="003F3D35"/>
    <w:rsid w:val="003F3EE6"/>
    <w:rsid w:val="003F3F9C"/>
    <w:rsid w:val="003F3FAA"/>
    <w:rsid w:val="003F4473"/>
    <w:rsid w:val="003F46AB"/>
    <w:rsid w:val="003F4CF5"/>
    <w:rsid w:val="003F4E31"/>
    <w:rsid w:val="003F5019"/>
    <w:rsid w:val="003F5124"/>
    <w:rsid w:val="003F51EE"/>
    <w:rsid w:val="003F52E8"/>
    <w:rsid w:val="003F5694"/>
    <w:rsid w:val="003F574E"/>
    <w:rsid w:val="003F5B78"/>
    <w:rsid w:val="003F5C0D"/>
    <w:rsid w:val="003F5C10"/>
    <w:rsid w:val="003F60D6"/>
    <w:rsid w:val="003F68E9"/>
    <w:rsid w:val="003F6915"/>
    <w:rsid w:val="003F6AB3"/>
    <w:rsid w:val="003F73EA"/>
    <w:rsid w:val="003F768F"/>
    <w:rsid w:val="003F78FF"/>
    <w:rsid w:val="003F7A59"/>
    <w:rsid w:val="003F7E15"/>
    <w:rsid w:val="003F7FDA"/>
    <w:rsid w:val="004004AB"/>
    <w:rsid w:val="00400B08"/>
    <w:rsid w:val="00400DE4"/>
    <w:rsid w:val="004010A3"/>
    <w:rsid w:val="004012AB"/>
    <w:rsid w:val="00401337"/>
    <w:rsid w:val="00401397"/>
    <w:rsid w:val="004013AD"/>
    <w:rsid w:val="004016F4"/>
    <w:rsid w:val="00401F7B"/>
    <w:rsid w:val="004021C0"/>
    <w:rsid w:val="004027AE"/>
    <w:rsid w:val="00402865"/>
    <w:rsid w:val="004028CE"/>
    <w:rsid w:val="00402936"/>
    <w:rsid w:val="00402A1D"/>
    <w:rsid w:val="00402B34"/>
    <w:rsid w:val="0040313D"/>
    <w:rsid w:val="004043FA"/>
    <w:rsid w:val="00404970"/>
    <w:rsid w:val="00404E63"/>
    <w:rsid w:val="00405181"/>
    <w:rsid w:val="0040567F"/>
    <w:rsid w:val="00405873"/>
    <w:rsid w:val="00405A06"/>
    <w:rsid w:val="00405F09"/>
    <w:rsid w:val="0040611D"/>
    <w:rsid w:val="004066F4"/>
    <w:rsid w:val="004067BE"/>
    <w:rsid w:val="004069FF"/>
    <w:rsid w:val="00406A32"/>
    <w:rsid w:val="00406B66"/>
    <w:rsid w:val="00406C3D"/>
    <w:rsid w:val="004073F8"/>
    <w:rsid w:val="0040760B"/>
    <w:rsid w:val="00407677"/>
    <w:rsid w:val="00407A22"/>
    <w:rsid w:val="00407A6B"/>
    <w:rsid w:val="00407A80"/>
    <w:rsid w:val="00407CD1"/>
    <w:rsid w:val="00407E64"/>
    <w:rsid w:val="00407EF8"/>
    <w:rsid w:val="00407FD7"/>
    <w:rsid w:val="00407FDB"/>
    <w:rsid w:val="00410117"/>
    <w:rsid w:val="0041026C"/>
    <w:rsid w:val="00410277"/>
    <w:rsid w:val="004106B2"/>
    <w:rsid w:val="004108D1"/>
    <w:rsid w:val="00410A53"/>
    <w:rsid w:val="00410C32"/>
    <w:rsid w:val="00410D32"/>
    <w:rsid w:val="004111FB"/>
    <w:rsid w:val="00411215"/>
    <w:rsid w:val="00411237"/>
    <w:rsid w:val="004113B0"/>
    <w:rsid w:val="0041150C"/>
    <w:rsid w:val="00411557"/>
    <w:rsid w:val="00411575"/>
    <w:rsid w:val="00411994"/>
    <w:rsid w:val="00411CE7"/>
    <w:rsid w:val="00411D74"/>
    <w:rsid w:val="00411DDE"/>
    <w:rsid w:val="00411E1A"/>
    <w:rsid w:val="00411F84"/>
    <w:rsid w:val="00412069"/>
    <w:rsid w:val="004121A1"/>
    <w:rsid w:val="00412477"/>
    <w:rsid w:val="004124EB"/>
    <w:rsid w:val="00412570"/>
    <w:rsid w:val="00412795"/>
    <w:rsid w:val="004127A2"/>
    <w:rsid w:val="004127E2"/>
    <w:rsid w:val="0041280A"/>
    <w:rsid w:val="00412A4C"/>
    <w:rsid w:val="00412A9D"/>
    <w:rsid w:val="00412C39"/>
    <w:rsid w:val="00412CB1"/>
    <w:rsid w:val="00412E62"/>
    <w:rsid w:val="00412F76"/>
    <w:rsid w:val="004130D6"/>
    <w:rsid w:val="004133A5"/>
    <w:rsid w:val="0041341C"/>
    <w:rsid w:val="00413B02"/>
    <w:rsid w:val="00413D45"/>
    <w:rsid w:val="00414197"/>
    <w:rsid w:val="0041434C"/>
    <w:rsid w:val="0041498C"/>
    <w:rsid w:val="00414BDB"/>
    <w:rsid w:val="00414C42"/>
    <w:rsid w:val="00414C71"/>
    <w:rsid w:val="00414D68"/>
    <w:rsid w:val="00414FD9"/>
    <w:rsid w:val="004150D0"/>
    <w:rsid w:val="004151FD"/>
    <w:rsid w:val="00415475"/>
    <w:rsid w:val="00415490"/>
    <w:rsid w:val="004154FE"/>
    <w:rsid w:val="00415773"/>
    <w:rsid w:val="004159D1"/>
    <w:rsid w:val="00415CAE"/>
    <w:rsid w:val="00415EB7"/>
    <w:rsid w:val="00415EE7"/>
    <w:rsid w:val="00415EFF"/>
    <w:rsid w:val="004160FA"/>
    <w:rsid w:val="00416142"/>
    <w:rsid w:val="004161E8"/>
    <w:rsid w:val="004164AE"/>
    <w:rsid w:val="0041652C"/>
    <w:rsid w:val="004165A6"/>
    <w:rsid w:val="00416605"/>
    <w:rsid w:val="0041669E"/>
    <w:rsid w:val="004169C7"/>
    <w:rsid w:val="00416ACA"/>
    <w:rsid w:val="00416C56"/>
    <w:rsid w:val="00417169"/>
    <w:rsid w:val="00417294"/>
    <w:rsid w:val="004176B8"/>
    <w:rsid w:val="0041788D"/>
    <w:rsid w:val="004178EE"/>
    <w:rsid w:val="00417B99"/>
    <w:rsid w:val="00417CE0"/>
    <w:rsid w:val="00420027"/>
    <w:rsid w:val="00420080"/>
    <w:rsid w:val="004200DC"/>
    <w:rsid w:val="004201CE"/>
    <w:rsid w:val="004209D5"/>
    <w:rsid w:val="00420ABA"/>
    <w:rsid w:val="00420AC1"/>
    <w:rsid w:val="00420B1E"/>
    <w:rsid w:val="00420E0B"/>
    <w:rsid w:val="00420E2E"/>
    <w:rsid w:val="00420EE4"/>
    <w:rsid w:val="00420FAF"/>
    <w:rsid w:val="0042117A"/>
    <w:rsid w:val="00421184"/>
    <w:rsid w:val="004212C1"/>
    <w:rsid w:val="00421449"/>
    <w:rsid w:val="00421458"/>
    <w:rsid w:val="004214B7"/>
    <w:rsid w:val="00421895"/>
    <w:rsid w:val="004218CD"/>
    <w:rsid w:val="00421988"/>
    <w:rsid w:val="00421F3A"/>
    <w:rsid w:val="00421FB5"/>
    <w:rsid w:val="00422099"/>
    <w:rsid w:val="0042212B"/>
    <w:rsid w:val="0042219F"/>
    <w:rsid w:val="004226ED"/>
    <w:rsid w:val="004229AD"/>
    <w:rsid w:val="00422AF4"/>
    <w:rsid w:val="00423553"/>
    <w:rsid w:val="004235F4"/>
    <w:rsid w:val="004236AD"/>
    <w:rsid w:val="004236C9"/>
    <w:rsid w:val="00423B13"/>
    <w:rsid w:val="00423CF3"/>
    <w:rsid w:val="00423E18"/>
    <w:rsid w:val="00424685"/>
    <w:rsid w:val="00424936"/>
    <w:rsid w:val="00424B7C"/>
    <w:rsid w:val="0042500C"/>
    <w:rsid w:val="00425514"/>
    <w:rsid w:val="0042555D"/>
    <w:rsid w:val="004256BD"/>
    <w:rsid w:val="00425863"/>
    <w:rsid w:val="0042598E"/>
    <w:rsid w:val="00425D02"/>
    <w:rsid w:val="00425EDC"/>
    <w:rsid w:val="00426C3E"/>
    <w:rsid w:val="00426F85"/>
    <w:rsid w:val="00426FAA"/>
    <w:rsid w:val="00427091"/>
    <w:rsid w:val="004270C3"/>
    <w:rsid w:val="004275CD"/>
    <w:rsid w:val="00427DA1"/>
    <w:rsid w:val="00427FEB"/>
    <w:rsid w:val="00427FF2"/>
    <w:rsid w:val="004305C0"/>
    <w:rsid w:val="004308F9"/>
    <w:rsid w:val="00430B20"/>
    <w:rsid w:val="00430B6C"/>
    <w:rsid w:val="00430CF3"/>
    <w:rsid w:val="0043104C"/>
    <w:rsid w:val="00431228"/>
    <w:rsid w:val="0043135D"/>
    <w:rsid w:val="0043158C"/>
    <w:rsid w:val="00431718"/>
    <w:rsid w:val="0043174B"/>
    <w:rsid w:val="00431C28"/>
    <w:rsid w:val="00431D2B"/>
    <w:rsid w:val="0043227C"/>
    <w:rsid w:val="00432A02"/>
    <w:rsid w:val="00432A9D"/>
    <w:rsid w:val="004331C7"/>
    <w:rsid w:val="004331E1"/>
    <w:rsid w:val="00433449"/>
    <w:rsid w:val="004335C0"/>
    <w:rsid w:val="00433791"/>
    <w:rsid w:val="00433AFC"/>
    <w:rsid w:val="00433B89"/>
    <w:rsid w:val="00434193"/>
    <w:rsid w:val="004342E3"/>
    <w:rsid w:val="004345CD"/>
    <w:rsid w:val="00434AC0"/>
    <w:rsid w:val="00435068"/>
    <w:rsid w:val="00435250"/>
    <w:rsid w:val="00435430"/>
    <w:rsid w:val="00435715"/>
    <w:rsid w:val="0043571B"/>
    <w:rsid w:val="00435B1C"/>
    <w:rsid w:val="00435EE0"/>
    <w:rsid w:val="00435F29"/>
    <w:rsid w:val="0043610C"/>
    <w:rsid w:val="00436573"/>
    <w:rsid w:val="004366A6"/>
    <w:rsid w:val="004366FF"/>
    <w:rsid w:val="004367C8"/>
    <w:rsid w:val="00436A9C"/>
    <w:rsid w:val="00436F56"/>
    <w:rsid w:val="004376D3"/>
    <w:rsid w:val="0043777D"/>
    <w:rsid w:val="0043790C"/>
    <w:rsid w:val="00437D83"/>
    <w:rsid w:val="00437DEF"/>
    <w:rsid w:val="004401DD"/>
    <w:rsid w:val="0044028A"/>
    <w:rsid w:val="00440344"/>
    <w:rsid w:val="00440415"/>
    <w:rsid w:val="004406B4"/>
    <w:rsid w:val="0044072B"/>
    <w:rsid w:val="00440F79"/>
    <w:rsid w:val="00441264"/>
    <w:rsid w:val="00441607"/>
    <w:rsid w:val="004417E2"/>
    <w:rsid w:val="00441996"/>
    <w:rsid w:val="00441B0F"/>
    <w:rsid w:val="00441D29"/>
    <w:rsid w:val="00441F06"/>
    <w:rsid w:val="004425C6"/>
    <w:rsid w:val="00443512"/>
    <w:rsid w:val="004438C3"/>
    <w:rsid w:val="00443A55"/>
    <w:rsid w:val="00443C0B"/>
    <w:rsid w:val="00443CA6"/>
    <w:rsid w:val="00443D5D"/>
    <w:rsid w:val="00444034"/>
    <w:rsid w:val="00444692"/>
    <w:rsid w:val="004446A5"/>
    <w:rsid w:val="004446CD"/>
    <w:rsid w:val="00444A10"/>
    <w:rsid w:val="00444A15"/>
    <w:rsid w:val="00444EB6"/>
    <w:rsid w:val="004452ED"/>
    <w:rsid w:val="0044578A"/>
    <w:rsid w:val="00445CBA"/>
    <w:rsid w:val="00446168"/>
    <w:rsid w:val="004463CB"/>
    <w:rsid w:val="004466F7"/>
    <w:rsid w:val="00446806"/>
    <w:rsid w:val="00446858"/>
    <w:rsid w:val="004468B6"/>
    <w:rsid w:val="004468E5"/>
    <w:rsid w:val="00446991"/>
    <w:rsid w:val="00446AF1"/>
    <w:rsid w:val="00446C9A"/>
    <w:rsid w:val="00446E57"/>
    <w:rsid w:val="00447072"/>
    <w:rsid w:val="00447304"/>
    <w:rsid w:val="00447BF8"/>
    <w:rsid w:val="00447C9C"/>
    <w:rsid w:val="00447D48"/>
    <w:rsid w:val="00447E9A"/>
    <w:rsid w:val="00450127"/>
    <w:rsid w:val="0045075F"/>
    <w:rsid w:val="00450936"/>
    <w:rsid w:val="004509CB"/>
    <w:rsid w:val="00450CFB"/>
    <w:rsid w:val="00451150"/>
    <w:rsid w:val="004512EC"/>
    <w:rsid w:val="004516AD"/>
    <w:rsid w:val="00451E84"/>
    <w:rsid w:val="00451EA3"/>
    <w:rsid w:val="00451F01"/>
    <w:rsid w:val="00452107"/>
    <w:rsid w:val="00452651"/>
    <w:rsid w:val="004529DE"/>
    <w:rsid w:val="00452A55"/>
    <w:rsid w:val="00452F55"/>
    <w:rsid w:val="00453349"/>
    <w:rsid w:val="00453644"/>
    <w:rsid w:val="0045374F"/>
    <w:rsid w:val="00453772"/>
    <w:rsid w:val="0045387C"/>
    <w:rsid w:val="00453B46"/>
    <w:rsid w:val="0045404A"/>
    <w:rsid w:val="00454661"/>
    <w:rsid w:val="004546A7"/>
    <w:rsid w:val="0045470C"/>
    <w:rsid w:val="004547B1"/>
    <w:rsid w:val="00454831"/>
    <w:rsid w:val="004548DF"/>
    <w:rsid w:val="00454A40"/>
    <w:rsid w:val="00454F01"/>
    <w:rsid w:val="00454FB9"/>
    <w:rsid w:val="004552D3"/>
    <w:rsid w:val="0045596E"/>
    <w:rsid w:val="00455B98"/>
    <w:rsid w:val="00455D7E"/>
    <w:rsid w:val="00455E25"/>
    <w:rsid w:val="00456096"/>
    <w:rsid w:val="004565A4"/>
    <w:rsid w:val="00456760"/>
    <w:rsid w:val="00456BE8"/>
    <w:rsid w:val="00456C42"/>
    <w:rsid w:val="00456CC0"/>
    <w:rsid w:val="00456D35"/>
    <w:rsid w:val="0045755C"/>
    <w:rsid w:val="00457933"/>
    <w:rsid w:val="00457A48"/>
    <w:rsid w:val="00457C78"/>
    <w:rsid w:val="00457DA8"/>
    <w:rsid w:val="00460136"/>
    <w:rsid w:val="00460204"/>
    <w:rsid w:val="004602D3"/>
    <w:rsid w:val="004604D6"/>
    <w:rsid w:val="00460553"/>
    <w:rsid w:val="004605B5"/>
    <w:rsid w:val="00460735"/>
    <w:rsid w:val="00460AD5"/>
    <w:rsid w:val="00460C6F"/>
    <w:rsid w:val="00460EB8"/>
    <w:rsid w:val="00461090"/>
    <w:rsid w:val="004611D5"/>
    <w:rsid w:val="004612CB"/>
    <w:rsid w:val="004617D8"/>
    <w:rsid w:val="00461991"/>
    <w:rsid w:val="00461A6B"/>
    <w:rsid w:val="00461C43"/>
    <w:rsid w:val="00462125"/>
    <w:rsid w:val="00462186"/>
    <w:rsid w:val="00462A01"/>
    <w:rsid w:val="00463216"/>
    <w:rsid w:val="0046334D"/>
    <w:rsid w:val="004634FC"/>
    <w:rsid w:val="004636F7"/>
    <w:rsid w:val="00463848"/>
    <w:rsid w:val="00463974"/>
    <w:rsid w:val="004639B4"/>
    <w:rsid w:val="00463BBF"/>
    <w:rsid w:val="00463C24"/>
    <w:rsid w:val="00463C95"/>
    <w:rsid w:val="00463CE0"/>
    <w:rsid w:val="00463E1C"/>
    <w:rsid w:val="00464052"/>
    <w:rsid w:val="00464354"/>
    <w:rsid w:val="004643CF"/>
    <w:rsid w:val="00464808"/>
    <w:rsid w:val="00464C9C"/>
    <w:rsid w:val="00465153"/>
    <w:rsid w:val="00465602"/>
    <w:rsid w:val="00465612"/>
    <w:rsid w:val="00465D4A"/>
    <w:rsid w:val="00465E2D"/>
    <w:rsid w:val="00466738"/>
    <w:rsid w:val="004669A6"/>
    <w:rsid w:val="00466AFD"/>
    <w:rsid w:val="00466E99"/>
    <w:rsid w:val="0046713A"/>
    <w:rsid w:val="00467524"/>
    <w:rsid w:val="0046774E"/>
    <w:rsid w:val="00467BD2"/>
    <w:rsid w:val="00470563"/>
    <w:rsid w:val="00470696"/>
    <w:rsid w:val="00470F8D"/>
    <w:rsid w:val="004717F1"/>
    <w:rsid w:val="00471B74"/>
    <w:rsid w:val="00471B8E"/>
    <w:rsid w:val="004724C9"/>
    <w:rsid w:val="00472585"/>
    <w:rsid w:val="0047268D"/>
    <w:rsid w:val="00472A70"/>
    <w:rsid w:val="00472B63"/>
    <w:rsid w:val="00472C9C"/>
    <w:rsid w:val="00472FAC"/>
    <w:rsid w:val="00473045"/>
    <w:rsid w:val="004732BD"/>
    <w:rsid w:val="004732D2"/>
    <w:rsid w:val="00473498"/>
    <w:rsid w:val="004736F7"/>
    <w:rsid w:val="004738C5"/>
    <w:rsid w:val="00473D72"/>
    <w:rsid w:val="00474130"/>
    <w:rsid w:val="004743E7"/>
    <w:rsid w:val="0047479A"/>
    <w:rsid w:val="0047497C"/>
    <w:rsid w:val="00475099"/>
    <w:rsid w:val="004751C8"/>
    <w:rsid w:val="004754EE"/>
    <w:rsid w:val="0047563B"/>
    <w:rsid w:val="00475A6C"/>
    <w:rsid w:val="00475F0E"/>
    <w:rsid w:val="004761AB"/>
    <w:rsid w:val="004764AF"/>
    <w:rsid w:val="00476875"/>
    <w:rsid w:val="00476995"/>
    <w:rsid w:val="00476B88"/>
    <w:rsid w:val="00476CA4"/>
    <w:rsid w:val="00476D04"/>
    <w:rsid w:val="00476F03"/>
    <w:rsid w:val="004771B2"/>
    <w:rsid w:val="0047775E"/>
    <w:rsid w:val="00477AAE"/>
    <w:rsid w:val="00477AF6"/>
    <w:rsid w:val="00477B3B"/>
    <w:rsid w:val="00477BCB"/>
    <w:rsid w:val="004801A7"/>
    <w:rsid w:val="004802CE"/>
    <w:rsid w:val="00480596"/>
    <w:rsid w:val="00480768"/>
    <w:rsid w:val="00480838"/>
    <w:rsid w:val="00480912"/>
    <w:rsid w:val="00480A15"/>
    <w:rsid w:val="00480CC0"/>
    <w:rsid w:val="00480D91"/>
    <w:rsid w:val="00480E47"/>
    <w:rsid w:val="0048135F"/>
    <w:rsid w:val="00481666"/>
    <w:rsid w:val="0048181B"/>
    <w:rsid w:val="00481DC8"/>
    <w:rsid w:val="00481F2B"/>
    <w:rsid w:val="004820C5"/>
    <w:rsid w:val="00482185"/>
    <w:rsid w:val="00482198"/>
    <w:rsid w:val="004823D8"/>
    <w:rsid w:val="004823DF"/>
    <w:rsid w:val="0048249E"/>
    <w:rsid w:val="00482619"/>
    <w:rsid w:val="0048285A"/>
    <w:rsid w:val="0048285B"/>
    <w:rsid w:val="00482921"/>
    <w:rsid w:val="00482BAC"/>
    <w:rsid w:val="00482D0A"/>
    <w:rsid w:val="00482F20"/>
    <w:rsid w:val="00482FD1"/>
    <w:rsid w:val="004830F6"/>
    <w:rsid w:val="00483196"/>
    <w:rsid w:val="004833D6"/>
    <w:rsid w:val="0048340F"/>
    <w:rsid w:val="004834F7"/>
    <w:rsid w:val="004835F9"/>
    <w:rsid w:val="004836C3"/>
    <w:rsid w:val="0048384A"/>
    <w:rsid w:val="00483872"/>
    <w:rsid w:val="0048392B"/>
    <w:rsid w:val="0048423C"/>
    <w:rsid w:val="00484381"/>
    <w:rsid w:val="00484449"/>
    <w:rsid w:val="004845A6"/>
    <w:rsid w:val="004846AE"/>
    <w:rsid w:val="00484947"/>
    <w:rsid w:val="00484972"/>
    <w:rsid w:val="00484C71"/>
    <w:rsid w:val="00484E89"/>
    <w:rsid w:val="004852CE"/>
    <w:rsid w:val="0048540C"/>
    <w:rsid w:val="00485481"/>
    <w:rsid w:val="004854F2"/>
    <w:rsid w:val="0048561D"/>
    <w:rsid w:val="00485CE7"/>
    <w:rsid w:val="00485EA8"/>
    <w:rsid w:val="00485EDD"/>
    <w:rsid w:val="00485F92"/>
    <w:rsid w:val="004860BD"/>
    <w:rsid w:val="004866E1"/>
    <w:rsid w:val="00486836"/>
    <w:rsid w:val="00486C72"/>
    <w:rsid w:val="00486CB7"/>
    <w:rsid w:val="004870CD"/>
    <w:rsid w:val="00487266"/>
    <w:rsid w:val="004875FC"/>
    <w:rsid w:val="004876BD"/>
    <w:rsid w:val="004877B5"/>
    <w:rsid w:val="004877F5"/>
    <w:rsid w:val="00487962"/>
    <w:rsid w:val="00487A46"/>
    <w:rsid w:val="00487B76"/>
    <w:rsid w:val="00487FB6"/>
    <w:rsid w:val="0049030D"/>
    <w:rsid w:val="004906E6"/>
    <w:rsid w:val="00490954"/>
    <w:rsid w:val="00490BF5"/>
    <w:rsid w:val="00490EA3"/>
    <w:rsid w:val="00490FF8"/>
    <w:rsid w:val="0049100A"/>
    <w:rsid w:val="0049188F"/>
    <w:rsid w:val="00491976"/>
    <w:rsid w:val="004921DC"/>
    <w:rsid w:val="0049277A"/>
    <w:rsid w:val="0049292B"/>
    <w:rsid w:val="00492B38"/>
    <w:rsid w:val="00492B8A"/>
    <w:rsid w:val="00492FE4"/>
    <w:rsid w:val="00493035"/>
    <w:rsid w:val="00493321"/>
    <w:rsid w:val="004936CC"/>
    <w:rsid w:val="004936DE"/>
    <w:rsid w:val="00493B07"/>
    <w:rsid w:val="00493C3F"/>
    <w:rsid w:val="004942A1"/>
    <w:rsid w:val="004942ED"/>
    <w:rsid w:val="00495110"/>
    <w:rsid w:val="0049544E"/>
    <w:rsid w:val="004955DD"/>
    <w:rsid w:val="00495670"/>
    <w:rsid w:val="004958F7"/>
    <w:rsid w:val="00495B8C"/>
    <w:rsid w:val="00495CAC"/>
    <w:rsid w:val="00495DE0"/>
    <w:rsid w:val="00495F8A"/>
    <w:rsid w:val="00496028"/>
    <w:rsid w:val="0049604B"/>
    <w:rsid w:val="00496212"/>
    <w:rsid w:val="004969A5"/>
    <w:rsid w:val="00496A48"/>
    <w:rsid w:val="00496AC9"/>
    <w:rsid w:val="00496CA0"/>
    <w:rsid w:val="00496CC5"/>
    <w:rsid w:val="00496E3E"/>
    <w:rsid w:val="00496E76"/>
    <w:rsid w:val="0049760A"/>
    <w:rsid w:val="00497809"/>
    <w:rsid w:val="00497CD4"/>
    <w:rsid w:val="00497F8A"/>
    <w:rsid w:val="004A040E"/>
    <w:rsid w:val="004A042D"/>
    <w:rsid w:val="004A0633"/>
    <w:rsid w:val="004A06E6"/>
    <w:rsid w:val="004A0F32"/>
    <w:rsid w:val="004A11E0"/>
    <w:rsid w:val="004A135F"/>
    <w:rsid w:val="004A1B73"/>
    <w:rsid w:val="004A1C7F"/>
    <w:rsid w:val="004A1C89"/>
    <w:rsid w:val="004A1EA9"/>
    <w:rsid w:val="004A1FC5"/>
    <w:rsid w:val="004A2158"/>
    <w:rsid w:val="004A2296"/>
    <w:rsid w:val="004A2934"/>
    <w:rsid w:val="004A2979"/>
    <w:rsid w:val="004A29A5"/>
    <w:rsid w:val="004A2F72"/>
    <w:rsid w:val="004A3225"/>
    <w:rsid w:val="004A33F4"/>
    <w:rsid w:val="004A3494"/>
    <w:rsid w:val="004A36DB"/>
    <w:rsid w:val="004A374A"/>
    <w:rsid w:val="004A376B"/>
    <w:rsid w:val="004A395B"/>
    <w:rsid w:val="004A39D9"/>
    <w:rsid w:val="004A3BA3"/>
    <w:rsid w:val="004A3C32"/>
    <w:rsid w:val="004A3C59"/>
    <w:rsid w:val="004A3C72"/>
    <w:rsid w:val="004A3FE2"/>
    <w:rsid w:val="004A480D"/>
    <w:rsid w:val="004A494D"/>
    <w:rsid w:val="004A4D76"/>
    <w:rsid w:val="004A4FE5"/>
    <w:rsid w:val="004A522F"/>
    <w:rsid w:val="004A52E5"/>
    <w:rsid w:val="004A580B"/>
    <w:rsid w:val="004A5851"/>
    <w:rsid w:val="004A5A91"/>
    <w:rsid w:val="004A5AE2"/>
    <w:rsid w:val="004A5B0F"/>
    <w:rsid w:val="004A5CF1"/>
    <w:rsid w:val="004A5DED"/>
    <w:rsid w:val="004A66E0"/>
    <w:rsid w:val="004A6AF3"/>
    <w:rsid w:val="004A7522"/>
    <w:rsid w:val="004A7AAE"/>
    <w:rsid w:val="004A7D49"/>
    <w:rsid w:val="004A7F21"/>
    <w:rsid w:val="004B014D"/>
    <w:rsid w:val="004B04AF"/>
    <w:rsid w:val="004B08DB"/>
    <w:rsid w:val="004B1422"/>
    <w:rsid w:val="004B1B8C"/>
    <w:rsid w:val="004B24EB"/>
    <w:rsid w:val="004B29A6"/>
    <w:rsid w:val="004B29AC"/>
    <w:rsid w:val="004B2A27"/>
    <w:rsid w:val="004B2B73"/>
    <w:rsid w:val="004B2D06"/>
    <w:rsid w:val="004B2D0F"/>
    <w:rsid w:val="004B2F64"/>
    <w:rsid w:val="004B3298"/>
    <w:rsid w:val="004B32D0"/>
    <w:rsid w:val="004B3C8B"/>
    <w:rsid w:val="004B442A"/>
    <w:rsid w:val="004B44A9"/>
    <w:rsid w:val="004B4509"/>
    <w:rsid w:val="004B452A"/>
    <w:rsid w:val="004B455F"/>
    <w:rsid w:val="004B45C4"/>
    <w:rsid w:val="004B4871"/>
    <w:rsid w:val="004B4ADF"/>
    <w:rsid w:val="004B4C00"/>
    <w:rsid w:val="004B4E06"/>
    <w:rsid w:val="004B50CE"/>
    <w:rsid w:val="004B5493"/>
    <w:rsid w:val="004B5914"/>
    <w:rsid w:val="004B5B00"/>
    <w:rsid w:val="004B5CA1"/>
    <w:rsid w:val="004B5ECC"/>
    <w:rsid w:val="004B66CE"/>
    <w:rsid w:val="004B69FB"/>
    <w:rsid w:val="004B6B15"/>
    <w:rsid w:val="004B6B41"/>
    <w:rsid w:val="004B6C77"/>
    <w:rsid w:val="004B6D0A"/>
    <w:rsid w:val="004B7961"/>
    <w:rsid w:val="004B7995"/>
    <w:rsid w:val="004B7DB6"/>
    <w:rsid w:val="004B7F21"/>
    <w:rsid w:val="004C02B3"/>
    <w:rsid w:val="004C03DD"/>
    <w:rsid w:val="004C0728"/>
    <w:rsid w:val="004C098E"/>
    <w:rsid w:val="004C0BBE"/>
    <w:rsid w:val="004C0E25"/>
    <w:rsid w:val="004C0E2F"/>
    <w:rsid w:val="004C1194"/>
    <w:rsid w:val="004C12DA"/>
    <w:rsid w:val="004C15C8"/>
    <w:rsid w:val="004C174A"/>
    <w:rsid w:val="004C183E"/>
    <w:rsid w:val="004C1B8F"/>
    <w:rsid w:val="004C1CB0"/>
    <w:rsid w:val="004C2011"/>
    <w:rsid w:val="004C222E"/>
    <w:rsid w:val="004C2561"/>
    <w:rsid w:val="004C2806"/>
    <w:rsid w:val="004C2EF1"/>
    <w:rsid w:val="004C3130"/>
    <w:rsid w:val="004C371E"/>
    <w:rsid w:val="004C3893"/>
    <w:rsid w:val="004C3ADD"/>
    <w:rsid w:val="004C428E"/>
    <w:rsid w:val="004C440F"/>
    <w:rsid w:val="004C4775"/>
    <w:rsid w:val="004C483D"/>
    <w:rsid w:val="004C48A9"/>
    <w:rsid w:val="004C590B"/>
    <w:rsid w:val="004C6326"/>
    <w:rsid w:val="004C63C7"/>
    <w:rsid w:val="004C6D39"/>
    <w:rsid w:val="004C6D98"/>
    <w:rsid w:val="004C7217"/>
    <w:rsid w:val="004C74F5"/>
    <w:rsid w:val="004C75B5"/>
    <w:rsid w:val="004C7602"/>
    <w:rsid w:val="004C7743"/>
    <w:rsid w:val="004C778E"/>
    <w:rsid w:val="004C77A7"/>
    <w:rsid w:val="004C7DBE"/>
    <w:rsid w:val="004C7F57"/>
    <w:rsid w:val="004D032B"/>
    <w:rsid w:val="004D039E"/>
    <w:rsid w:val="004D04A3"/>
    <w:rsid w:val="004D04BB"/>
    <w:rsid w:val="004D07B6"/>
    <w:rsid w:val="004D0C9F"/>
    <w:rsid w:val="004D0E01"/>
    <w:rsid w:val="004D0EB4"/>
    <w:rsid w:val="004D0F15"/>
    <w:rsid w:val="004D1298"/>
    <w:rsid w:val="004D15FD"/>
    <w:rsid w:val="004D19AC"/>
    <w:rsid w:val="004D1A6B"/>
    <w:rsid w:val="004D2369"/>
    <w:rsid w:val="004D2453"/>
    <w:rsid w:val="004D2485"/>
    <w:rsid w:val="004D25CE"/>
    <w:rsid w:val="004D28D0"/>
    <w:rsid w:val="004D2998"/>
    <w:rsid w:val="004D2D40"/>
    <w:rsid w:val="004D2F4E"/>
    <w:rsid w:val="004D3211"/>
    <w:rsid w:val="004D337B"/>
    <w:rsid w:val="004D372D"/>
    <w:rsid w:val="004D3A57"/>
    <w:rsid w:val="004D3B2A"/>
    <w:rsid w:val="004D3B50"/>
    <w:rsid w:val="004D47FF"/>
    <w:rsid w:val="004D4B7E"/>
    <w:rsid w:val="004D4C98"/>
    <w:rsid w:val="004D4D35"/>
    <w:rsid w:val="004D518F"/>
    <w:rsid w:val="004D54D7"/>
    <w:rsid w:val="004D5B6F"/>
    <w:rsid w:val="004D5BB7"/>
    <w:rsid w:val="004D6053"/>
    <w:rsid w:val="004D61EF"/>
    <w:rsid w:val="004D64E9"/>
    <w:rsid w:val="004D69FD"/>
    <w:rsid w:val="004D6FA4"/>
    <w:rsid w:val="004D7442"/>
    <w:rsid w:val="004D7C23"/>
    <w:rsid w:val="004D7CE4"/>
    <w:rsid w:val="004D7D62"/>
    <w:rsid w:val="004D7EBE"/>
    <w:rsid w:val="004E01C6"/>
    <w:rsid w:val="004E0212"/>
    <w:rsid w:val="004E0ADC"/>
    <w:rsid w:val="004E0D11"/>
    <w:rsid w:val="004E0FB1"/>
    <w:rsid w:val="004E1043"/>
    <w:rsid w:val="004E1DCA"/>
    <w:rsid w:val="004E1F76"/>
    <w:rsid w:val="004E21B4"/>
    <w:rsid w:val="004E252B"/>
    <w:rsid w:val="004E2782"/>
    <w:rsid w:val="004E2861"/>
    <w:rsid w:val="004E2A85"/>
    <w:rsid w:val="004E2C09"/>
    <w:rsid w:val="004E2E0B"/>
    <w:rsid w:val="004E2E57"/>
    <w:rsid w:val="004E3002"/>
    <w:rsid w:val="004E31AB"/>
    <w:rsid w:val="004E3257"/>
    <w:rsid w:val="004E3895"/>
    <w:rsid w:val="004E3D1F"/>
    <w:rsid w:val="004E3F72"/>
    <w:rsid w:val="004E4522"/>
    <w:rsid w:val="004E47FD"/>
    <w:rsid w:val="004E4A78"/>
    <w:rsid w:val="004E4EC4"/>
    <w:rsid w:val="004E551E"/>
    <w:rsid w:val="004E572E"/>
    <w:rsid w:val="004E58F6"/>
    <w:rsid w:val="004E5C8B"/>
    <w:rsid w:val="004E5E37"/>
    <w:rsid w:val="004E5E4C"/>
    <w:rsid w:val="004E623E"/>
    <w:rsid w:val="004E673A"/>
    <w:rsid w:val="004E67B7"/>
    <w:rsid w:val="004E6CF9"/>
    <w:rsid w:val="004E6FF4"/>
    <w:rsid w:val="004E734E"/>
    <w:rsid w:val="004E7EB2"/>
    <w:rsid w:val="004E7EC0"/>
    <w:rsid w:val="004E7F48"/>
    <w:rsid w:val="004F014E"/>
    <w:rsid w:val="004F0769"/>
    <w:rsid w:val="004F0A0E"/>
    <w:rsid w:val="004F0BB4"/>
    <w:rsid w:val="004F0BC6"/>
    <w:rsid w:val="004F1123"/>
    <w:rsid w:val="004F1423"/>
    <w:rsid w:val="004F1715"/>
    <w:rsid w:val="004F17DA"/>
    <w:rsid w:val="004F184C"/>
    <w:rsid w:val="004F1C93"/>
    <w:rsid w:val="004F2040"/>
    <w:rsid w:val="004F2927"/>
    <w:rsid w:val="004F2988"/>
    <w:rsid w:val="004F2A43"/>
    <w:rsid w:val="004F2D61"/>
    <w:rsid w:val="004F38BD"/>
    <w:rsid w:val="004F3BD2"/>
    <w:rsid w:val="004F3CBC"/>
    <w:rsid w:val="004F3D02"/>
    <w:rsid w:val="004F3DCA"/>
    <w:rsid w:val="004F40E1"/>
    <w:rsid w:val="004F4372"/>
    <w:rsid w:val="004F43E0"/>
    <w:rsid w:val="004F4434"/>
    <w:rsid w:val="004F449D"/>
    <w:rsid w:val="004F45EB"/>
    <w:rsid w:val="004F4AF6"/>
    <w:rsid w:val="004F506F"/>
    <w:rsid w:val="004F50D0"/>
    <w:rsid w:val="004F521B"/>
    <w:rsid w:val="004F52BB"/>
    <w:rsid w:val="004F53AD"/>
    <w:rsid w:val="004F53BF"/>
    <w:rsid w:val="004F545A"/>
    <w:rsid w:val="004F5547"/>
    <w:rsid w:val="004F5582"/>
    <w:rsid w:val="004F5725"/>
    <w:rsid w:val="004F59B3"/>
    <w:rsid w:val="004F59B8"/>
    <w:rsid w:val="004F5A37"/>
    <w:rsid w:val="004F5BD9"/>
    <w:rsid w:val="004F5C70"/>
    <w:rsid w:val="004F62A7"/>
    <w:rsid w:val="004F62F9"/>
    <w:rsid w:val="004F66B3"/>
    <w:rsid w:val="004F674C"/>
    <w:rsid w:val="004F6A99"/>
    <w:rsid w:val="004F6EB0"/>
    <w:rsid w:val="004F6EC9"/>
    <w:rsid w:val="004F7352"/>
    <w:rsid w:val="004F741E"/>
    <w:rsid w:val="004F7EE2"/>
    <w:rsid w:val="005000D8"/>
    <w:rsid w:val="0050015C"/>
    <w:rsid w:val="005002F7"/>
    <w:rsid w:val="00500418"/>
    <w:rsid w:val="00500A61"/>
    <w:rsid w:val="00500BF8"/>
    <w:rsid w:val="00500CCF"/>
    <w:rsid w:val="00500E62"/>
    <w:rsid w:val="00501099"/>
    <w:rsid w:val="005010DE"/>
    <w:rsid w:val="005011FD"/>
    <w:rsid w:val="00501256"/>
    <w:rsid w:val="0050164B"/>
    <w:rsid w:val="00501FE1"/>
    <w:rsid w:val="00502958"/>
    <w:rsid w:val="005029E4"/>
    <w:rsid w:val="00502BD2"/>
    <w:rsid w:val="00502DA4"/>
    <w:rsid w:val="00503017"/>
    <w:rsid w:val="005038A9"/>
    <w:rsid w:val="00503A9B"/>
    <w:rsid w:val="00503B68"/>
    <w:rsid w:val="00503C91"/>
    <w:rsid w:val="00503F83"/>
    <w:rsid w:val="0050421C"/>
    <w:rsid w:val="00504281"/>
    <w:rsid w:val="005047A1"/>
    <w:rsid w:val="00504A9B"/>
    <w:rsid w:val="00504E9A"/>
    <w:rsid w:val="00504F01"/>
    <w:rsid w:val="00504F50"/>
    <w:rsid w:val="00504F83"/>
    <w:rsid w:val="00505057"/>
    <w:rsid w:val="005059B9"/>
    <w:rsid w:val="00505F64"/>
    <w:rsid w:val="005067C9"/>
    <w:rsid w:val="00506DCD"/>
    <w:rsid w:val="005071D9"/>
    <w:rsid w:val="00507268"/>
    <w:rsid w:val="00507325"/>
    <w:rsid w:val="0050745C"/>
    <w:rsid w:val="00507AB5"/>
    <w:rsid w:val="00507B78"/>
    <w:rsid w:val="00507C56"/>
    <w:rsid w:val="00507E0F"/>
    <w:rsid w:val="00507F13"/>
    <w:rsid w:val="00510809"/>
    <w:rsid w:val="00510920"/>
    <w:rsid w:val="005109D4"/>
    <w:rsid w:val="00510CF4"/>
    <w:rsid w:val="0051108C"/>
    <w:rsid w:val="005112D4"/>
    <w:rsid w:val="0051160A"/>
    <w:rsid w:val="005118BA"/>
    <w:rsid w:val="00511B8E"/>
    <w:rsid w:val="0051245B"/>
    <w:rsid w:val="00512709"/>
    <w:rsid w:val="00512785"/>
    <w:rsid w:val="00512943"/>
    <w:rsid w:val="005129C6"/>
    <w:rsid w:val="00512A3C"/>
    <w:rsid w:val="00512BF0"/>
    <w:rsid w:val="00512D87"/>
    <w:rsid w:val="005130DA"/>
    <w:rsid w:val="00513772"/>
    <w:rsid w:val="00513998"/>
    <w:rsid w:val="00513DDA"/>
    <w:rsid w:val="00513E19"/>
    <w:rsid w:val="00513E3E"/>
    <w:rsid w:val="005148B4"/>
    <w:rsid w:val="00514B29"/>
    <w:rsid w:val="00514BF1"/>
    <w:rsid w:val="00514C19"/>
    <w:rsid w:val="005150E7"/>
    <w:rsid w:val="005152B1"/>
    <w:rsid w:val="005152F0"/>
    <w:rsid w:val="00515856"/>
    <w:rsid w:val="005159C2"/>
    <w:rsid w:val="00515B76"/>
    <w:rsid w:val="00515D1C"/>
    <w:rsid w:val="005161D3"/>
    <w:rsid w:val="005163E6"/>
    <w:rsid w:val="005167B6"/>
    <w:rsid w:val="00516AFA"/>
    <w:rsid w:val="00516DF0"/>
    <w:rsid w:val="005172EC"/>
    <w:rsid w:val="005173A7"/>
    <w:rsid w:val="0051740D"/>
    <w:rsid w:val="0051768D"/>
    <w:rsid w:val="00517888"/>
    <w:rsid w:val="005178CE"/>
    <w:rsid w:val="005179FC"/>
    <w:rsid w:val="005205D1"/>
    <w:rsid w:val="00520ACF"/>
    <w:rsid w:val="00521CAB"/>
    <w:rsid w:val="00521D58"/>
    <w:rsid w:val="00521F7D"/>
    <w:rsid w:val="00521FCC"/>
    <w:rsid w:val="005224EF"/>
    <w:rsid w:val="00522654"/>
    <w:rsid w:val="00522721"/>
    <w:rsid w:val="00522729"/>
    <w:rsid w:val="00522835"/>
    <w:rsid w:val="0052293D"/>
    <w:rsid w:val="00522AF4"/>
    <w:rsid w:val="00522B93"/>
    <w:rsid w:val="00522E04"/>
    <w:rsid w:val="00523098"/>
    <w:rsid w:val="005230EB"/>
    <w:rsid w:val="00523499"/>
    <w:rsid w:val="00523BC7"/>
    <w:rsid w:val="00523C08"/>
    <w:rsid w:val="00523C10"/>
    <w:rsid w:val="00523C16"/>
    <w:rsid w:val="00523F17"/>
    <w:rsid w:val="005241E8"/>
    <w:rsid w:val="005245D5"/>
    <w:rsid w:val="00524889"/>
    <w:rsid w:val="005249EA"/>
    <w:rsid w:val="00524B29"/>
    <w:rsid w:val="00525005"/>
    <w:rsid w:val="00525044"/>
    <w:rsid w:val="005254C9"/>
    <w:rsid w:val="00525749"/>
    <w:rsid w:val="0052575D"/>
    <w:rsid w:val="00525A53"/>
    <w:rsid w:val="00525AC7"/>
    <w:rsid w:val="00525C1F"/>
    <w:rsid w:val="00526418"/>
    <w:rsid w:val="00526569"/>
    <w:rsid w:val="00526726"/>
    <w:rsid w:val="00526A20"/>
    <w:rsid w:val="00526B69"/>
    <w:rsid w:val="00526C28"/>
    <w:rsid w:val="00527256"/>
    <w:rsid w:val="005273FD"/>
    <w:rsid w:val="0052797C"/>
    <w:rsid w:val="00527B57"/>
    <w:rsid w:val="00527B83"/>
    <w:rsid w:val="00527C51"/>
    <w:rsid w:val="00527C8D"/>
    <w:rsid w:val="0053017E"/>
    <w:rsid w:val="0053021B"/>
    <w:rsid w:val="005303A9"/>
    <w:rsid w:val="00530AC4"/>
    <w:rsid w:val="00530F35"/>
    <w:rsid w:val="005310F0"/>
    <w:rsid w:val="00531978"/>
    <w:rsid w:val="0053209F"/>
    <w:rsid w:val="00532115"/>
    <w:rsid w:val="0053226A"/>
    <w:rsid w:val="005322A3"/>
    <w:rsid w:val="0053265B"/>
    <w:rsid w:val="0053266C"/>
    <w:rsid w:val="005328E4"/>
    <w:rsid w:val="00532C4D"/>
    <w:rsid w:val="00532E20"/>
    <w:rsid w:val="00532F6D"/>
    <w:rsid w:val="00533169"/>
    <w:rsid w:val="00533194"/>
    <w:rsid w:val="005332C8"/>
    <w:rsid w:val="00533396"/>
    <w:rsid w:val="00533514"/>
    <w:rsid w:val="00533BBA"/>
    <w:rsid w:val="00533C06"/>
    <w:rsid w:val="00533FB3"/>
    <w:rsid w:val="00533FD2"/>
    <w:rsid w:val="0053464E"/>
    <w:rsid w:val="005346C8"/>
    <w:rsid w:val="00534A02"/>
    <w:rsid w:val="00534CFE"/>
    <w:rsid w:val="00535073"/>
    <w:rsid w:val="005352C8"/>
    <w:rsid w:val="00535344"/>
    <w:rsid w:val="005354C1"/>
    <w:rsid w:val="005355BB"/>
    <w:rsid w:val="005358BD"/>
    <w:rsid w:val="005359F0"/>
    <w:rsid w:val="00535A2D"/>
    <w:rsid w:val="00535E49"/>
    <w:rsid w:val="00535E5C"/>
    <w:rsid w:val="00535F6D"/>
    <w:rsid w:val="00535F99"/>
    <w:rsid w:val="00536134"/>
    <w:rsid w:val="00536215"/>
    <w:rsid w:val="0053628B"/>
    <w:rsid w:val="00536356"/>
    <w:rsid w:val="0053635B"/>
    <w:rsid w:val="00536697"/>
    <w:rsid w:val="005367F9"/>
    <w:rsid w:val="00536CBB"/>
    <w:rsid w:val="00536DDD"/>
    <w:rsid w:val="00536E49"/>
    <w:rsid w:val="00537033"/>
    <w:rsid w:val="00537085"/>
    <w:rsid w:val="00537315"/>
    <w:rsid w:val="0053737C"/>
    <w:rsid w:val="00537464"/>
    <w:rsid w:val="00537622"/>
    <w:rsid w:val="005376E9"/>
    <w:rsid w:val="00537EA4"/>
    <w:rsid w:val="0054009B"/>
    <w:rsid w:val="005403B9"/>
    <w:rsid w:val="00540A37"/>
    <w:rsid w:val="00540B49"/>
    <w:rsid w:val="0054177D"/>
    <w:rsid w:val="005418DB"/>
    <w:rsid w:val="00541F08"/>
    <w:rsid w:val="005427EB"/>
    <w:rsid w:val="00542884"/>
    <w:rsid w:val="00542CA1"/>
    <w:rsid w:val="00542E23"/>
    <w:rsid w:val="005430B6"/>
    <w:rsid w:val="005432FC"/>
    <w:rsid w:val="005434EA"/>
    <w:rsid w:val="00543811"/>
    <w:rsid w:val="005441C9"/>
    <w:rsid w:val="0054453E"/>
    <w:rsid w:val="00544857"/>
    <w:rsid w:val="00544923"/>
    <w:rsid w:val="0054492D"/>
    <w:rsid w:val="0054496A"/>
    <w:rsid w:val="005449FD"/>
    <w:rsid w:val="00544A32"/>
    <w:rsid w:val="00544FBD"/>
    <w:rsid w:val="00545AA4"/>
    <w:rsid w:val="00545B47"/>
    <w:rsid w:val="00545D55"/>
    <w:rsid w:val="00545FE4"/>
    <w:rsid w:val="005460EA"/>
    <w:rsid w:val="005461AB"/>
    <w:rsid w:val="005466D1"/>
    <w:rsid w:val="005468BE"/>
    <w:rsid w:val="00546C6A"/>
    <w:rsid w:val="00546FBA"/>
    <w:rsid w:val="00546FD6"/>
    <w:rsid w:val="005471D0"/>
    <w:rsid w:val="00547208"/>
    <w:rsid w:val="005472A2"/>
    <w:rsid w:val="0054782D"/>
    <w:rsid w:val="00547F04"/>
    <w:rsid w:val="00547F79"/>
    <w:rsid w:val="005508D4"/>
    <w:rsid w:val="0055091E"/>
    <w:rsid w:val="00550924"/>
    <w:rsid w:val="00550D63"/>
    <w:rsid w:val="00550EF1"/>
    <w:rsid w:val="00551075"/>
    <w:rsid w:val="00551310"/>
    <w:rsid w:val="005513C8"/>
    <w:rsid w:val="00551573"/>
    <w:rsid w:val="00551636"/>
    <w:rsid w:val="005519AD"/>
    <w:rsid w:val="00551B3C"/>
    <w:rsid w:val="00551CF0"/>
    <w:rsid w:val="00551F02"/>
    <w:rsid w:val="005522F1"/>
    <w:rsid w:val="0055236E"/>
    <w:rsid w:val="0055248E"/>
    <w:rsid w:val="0055250D"/>
    <w:rsid w:val="00552678"/>
    <w:rsid w:val="00552856"/>
    <w:rsid w:val="00552F9A"/>
    <w:rsid w:val="005532E0"/>
    <w:rsid w:val="0055352C"/>
    <w:rsid w:val="005535EA"/>
    <w:rsid w:val="00553672"/>
    <w:rsid w:val="00553710"/>
    <w:rsid w:val="005538A6"/>
    <w:rsid w:val="00553BBC"/>
    <w:rsid w:val="00554208"/>
    <w:rsid w:val="005546E7"/>
    <w:rsid w:val="00554F94"/>
    <w:rsid w:val="00555161"/>
    <w:rsid w:val="00555B4B"/>
    <w:rsid w:val="00555DE6"/>
    <w:rsid w:val="00555EB3"/>
    <w:rsid w:val="00555F50"/>
    <w:rsid w:val="00556062"/>
    <w:rsid w:val="00556241"/>
    <w:rsid w:val="005566A9"/>
    <w:rsid w:val="005567F6"/>
    <w:rsid w:val="00556E29"/>
    <w:rsid w:val="00557201"/>
    <w:rsid w:val="00557474"/>
    <w:rsid w:val="005574F3"/>
    <w:rsid w:val="0055758E"/>
    <w:rsid w:val="005575C9"/>
    <w:rsid w:val="005577B5"/>
    <w:rsid w:val="005579CC"/>
    <w:rsid w:val="00557DAA"/>
    <w:rsid w:val="00557DAD"/>
    <w:rsid w:val="0056000E"/>
    <w:rsid w:val="005601BB"/>
    <w:rsid w:val="00560317"/>
    <w:rsid w:val="0056098A"/>
    <w:rsid w:val="00560B72"/>
    <w:rsid w:val="00560C75"/>
    <w:rsid w:val="00560DE0"/>
    <w:rsid w:val="00560F31"/>
    <w:rsid w:val="00561138"/>
    <w:rsid w:val="00561286"/>
    <w:rsid w:val="00561438"/>
    <w:rsid w:val="00561699"/>
    <w:rsid w:val="005616F4"/>
    <w:rsid w:val="0056194F"/>
    <w:rsid w:val="005619E1"/>
    <w:rsid w:val="00561D65"/>
    <w:rsid w:val="00561E6C"/>
    <w:rsid w:val="005623EC"/>
    <w:rsid w:val="00562629"/>
    <w:rsid w:val="0056273A"/>
    <w:rsid w:val="00562850"/>
    <w:rsid w:val="005628FE"/>
    <w:rsid w:val="0056297E"/>
    <w:rsid w:val="00562DE0"/>
    <w:rsid w:val="0056330E"/>
    <w:rsid w:val="00563320"/>
    <w:rsid w:val="00563613"/>
    <w:rsid w:val="0056364B"/>
    <w:rsid w:val="005637ED"/>
    <w:rsid w:val="00563A8C"/>
    <w:rsid w:val="00563AF8"/>
    <w:rsid w:val="00563B34"/>
    <w:rsid w:val="00564191"/>
    <w:rsid w:val="00564557"/>
    <w:rsid w:val="0056458C"/>
    <w:rsid w:val="00564628"/>
    <w:rsid w:val="005648B9"/>
    <w:rsid w:val="005649E8"/>
    <w:rsid w:val="00564A3C"/>
    <w:rsid w:val="00564F82"/>
    <w:rsid w:val="00565191"/>
    <w:rsid w:val="005653AF"/>
    <w:rsid w:val="0056540E"/>
    <w:rsid w:val="00565501"/>
    <w:rsid w:val="00565594"/>
    <w:rsid w:val="00565755"/>
    <w:rsid w:val="0056598D"/>
    <w:rsid w:val="00565AE1"/>
    <w:rsid w:val="00565CA7"/>
    <w:rsid w:val="00565E87"/>
    <w:rsid w:val="0056601E"/>
    <w:rsid w:val="00566251"/>
    <w:rsid w:val="005662CC"/>
    <w:rsid w:val="00566406"/>
    <w:rsid w:val="005664D6"/>
    <w:rsid w:val="00566538"/>
    <w:rsid w:val="00566562"/>
    <w:rsid w:val="0056688F"/>
    <w:rsid w:val="00566A5A"/>
    <w:rsid w:val="00566CEF"/>
    <w:rsid w:val="005670EE"/>
    <w:rsid w:val="0056725A"/>
    <w:rsid w:val="0056741F"/>
    <w:rsid w:val="00567647"/>
    <w:rsid w:val="0056764F"/>
    <w:rsid w:val="005676C6"/>
    <w:rsid w:val="0056781B"/>
    <w:rsid w:val="00567BE2"/>
    <w:rsid w:val="00570102"/>
    <w:rsid w:val="00570406"/>
    <w:rsid w:val="005704A5"/>
    <w:rsid w:val="00570505"/>
    <w:rsid w:val="005705BE"/>
    <w:rsid w:val="005707C4"/>
    <w:rsid w:val="00570BA5"/>
    <w:rsid w:val="00570EBC"/>
    <w:rsid w:val="005710B8"/>
    <w:rsid w:val="005710D6"/>
    <w:rsid w:val="00571122"/>
    <w:rsid w:val="005712E6"/>
    <w:rsid w:val="00571444"/>
    <w:rsid w:val="00571527"/>
    <w:rsid w:val="005715F5"/>
    <w:rsid w:val="005719FC"/>
    <w:rsid w:val="00571B8C"/>
    <w:rsid w:val="005722CC"/>
    <w:rsid w:val="0057238D"/>
    <w:rsid w:val="00572757"/>
    <w:rsid w:val="00572942"/>
    <w:rsid w:val="00572979"/>
    <w:rsid w:val="00572A6E"/>
    <w:rsid w:val="005730DB"/>
    <w:rsid w:val="00573251"/>
    <w:rsid w:val="005733A8"/>
    <w:rsid w:val="0057348F"/>
    <w:rsid w:val="00573B5B"/>
    <w:rsid w:val="00573E27"/>
    <w:rsid w:val="00573F55"/>
    <w:rsid w:val="005746AC"/>
    <w:rsid w:val="00574ADB"/>
    <w:rsid w:val="00574CEF"/>
    <w:rsid w:val="0057540E"/>
    <w:rsid w:val="005754FF"/>
    <w:rsid w:val="005757B6"/>
    <w:rsid w:val="00575BBA"/>
    <w:rsid w:val="00575C5A"/>
    <w:rsid w:val="00575ED2"/>
    <w:rsid w:val="005761C7"/>
    <w:rsid w:val="0057698B"/>
    <w:rsid w:val="00576EB8"/>
    <w:rsid w:val="0057776E"/>
    <w:rsid w:val="00577BA8"/>
    <w:rsid w:val="00577BF5"/>
    <w:rsid w:val="0058000F"/>
    <w:rsid w:val="00580557"/>
    <w:rsid w:val="0058074F"/>
    <w:rsid w:val="005808F2"/>
    <w:rsid w:val="005808F3"/>
    <w:rsid w:val="00580A76"/>
    <w:rsid w:val="00581042"/>
    <w:rsid w:val="00581558"/>
    <w:rsid w:val="00581703"/>
    <w:rsid w:val="00581A30"/>
    <w:rsid w:val="00581B15"/>
    <w:rsid w:val="00581B9C"/>
    <w:rsid w:val="00581E93"/>
    <w:rsid w:val="00581F49"/>
    <w:rsid w:val="005821DD"/>
    <w:rsid w:val="00582446"/>
    <w:rsid w:val="00582613"/>
    <w:rsid w:val="005826A2"/>
    <w:rsid w:val="0058277B"/>
    <w:rsid w:val="0058292C"/>
    <w:rsid w:val="00582953"/>
    <w:rsid w:val="00582B96"/>
    <w:rsid w:val="00582E42"/>
    <w:rsid w:val="00582E8E"/>
    <w:rsid w:val="00583908"/>
    <w:rsid w:val="005842FB"/>
    <w:rsid w:val="00584523"/>
    <w:rsid w:val="0058455F"/>
    <w:rsid w:val="00584590"/>
    <w:rsid w:val="00584757"/>
    <w:rsid w:val="005847BC"/>
    <w:rsid w:val="00584E21"/>
    <w:rsid w:val="00584F5E"/>
    <w:rsid w:val="005850E9"/>
    <w:rsid w:val="005856D5"/>
    <w:rsid w:val="005857DC"/>
    <w:rsid w:val="0058608B"/>
    <w:rsid w:val="005863C1"/>
    <w:rsid w:val="0058654D"/>
    <w:rsid w:val="00586786"/>
    <w:rsid w:val="00586953"/>
    <w:rsid w:val="00586E1E"/>
    <w:rsid w:val="00586FE7"/>
    <w:rsid w:val="00587147"/>
    <w:rsid w:val="00587279"/>
    <w:rsid w:val="0058763B"/>
    <w:rsid w:val="00587648"/>
    <w:rsid w:val="00587729"/>
    <w:rsid w:val="00587886"/>
    <w:rsid w:val="00587A66"/>
    <w:rsid w:val="00590147"/>
    <w:rsid w:val="005901C5"/>
    <w:rsid w:val="00590392"/>
    <w:rsid w:val="00590525"/>
    <w:rsid w:val="0059095C"/>
    <w:rsid w:val="00590BD1"/>
    <w:rsid w:val="00590D26"/>
    <w:rsid w:val="00591276"/>
    <w:rsid w:val="00591490"/>
    <w:rsid w:val="0059151A"/>
    <w:rsid w:val="005916C9"/>
    <w:rsid w:val="00591C7E"/>
    <w:rsid w:val="00591DCF"/>
    <w:rsid w:val="0059292A"/>
    <w:rsid w:val="005929B4"/>
    <w:rsid w:val="00592A3C"/>
    <w:rsid w:val="00592C26"/>
    <w:rsid w:val="00592D45"/>
    <w:rsid w:val="0059320C"/>
    <w:rsid w:val="0059367F"/>
    <w:rsid w:val="00593696"/>
    <w:rsid w:val="00593720"/>
    <w:rsid w:val="005938CC"/>
    <w:rsid w:val="00593909"/>
    <w:rsid w:val="00593A71"/>
    <w:rsid w:val="00593DC1"/>
    <w:rsid w:val="00593E96"/>
    <w:rsid w:val="00593F46"/>
    <w:rsid w:val="00593FA1"/>
    <w:rsid w:val="005941E1"/>
    <w:rsid w:val="00594312"/>
    <w:rsid w:val="005943E2"/>
    <w:rsid w:val="005946A0"/>
    <w:rsid w:val="00594769"/>
    <w:rsid w:val="00594B8A"/>
    <w:rsid w:val="00595009"/>
    <w:rsid w:val="005954B7"/>
    <w:rsid w:val="00595A05"/>
    <w:rsid w:val="00595BA7"/>
    <w:rsid w:val="00595D5D"/>
    <w:rsid w:val="00595E3B"/>
    <w:rsid w:val="00595F17"/>
    <w:rsid w:val="00595F3D"/>
    <w:rsid w:val="00595F89"/>
    <w:rsid w:val="00596873"/>
    <w:rsid w:val="00596999"/>
    <w:rsid w:val="00596BB3"/>
    <w:rsid w:val="00596BD4"/>
    <w:rsid w:val="00596FA8"/>
    <w:rsid w:val="0059705A"/>
    <w:rsid w:val="005971A7"/>
    <w:rsid w:val="00597310"/>
    <w:rsid w:val="005977AB"/>
    <w:rsid w:val="00597F68"/>
    <w:rsid w:val="005A01C5"/>
    <w:rsid w:val="005A0201"/>
    <w:rsid w:val="005A0532"/>
    <w:rsid w:val="005A05AA"/>
    <w:rsid w:val="005A07E7"/>
    <w:rsid w:val="005A0A57"/>
    <w:rsid w:val="005A0B9F"/>
    <w:rsid w:val="005A0D03"/>
    <w:rsid w:val="005A0DB3"/>
    <w:rsid w:val="005A0DBB"/>
    <w:rsid w:val="005A0EBD"/>
    <w:rsid w:val="005A1270"/>
    <w:rsid w:val="005A1295"/>
    <w:rsid w:val="005A12EB"/>
    <w:rsid w:val="005A13C0"/>
    <w:rsid w:val="005A18FD"/>
    <w:rsid w:val="005A1A24"/>
    <w:rsid w:val="005A1B7E"/>
    <w:rsid w:val="005A1C9C"/>
    <w:rsid w:val="005A1FBF"/>
    <w:rsid w:val="005A2081"/>
    <w:rsid w:val="005A22E8"/>
    <w:rsid w:val="005A25A6"/>
    <w:rsid w:val="005A280C"/>
    <w:rsid w:val="005A29B1"/>
    <w:rsid w:val="005A2EBF"/>
    <w:rsid w:val="005A380B"/>
    <w:rsid w:val="005A4610"/>
    <w:rsid w:val="005A46E2"/>
    <w:rsid w:val="005A4729"/>
    <w:rsid w:val="005A4890"/>
    <w:rsid w:val="005A49D4"/>
    <w:rsid w:val="005A4D7C"/>
    <w:rsid w:val="005A51C9"/>
    <w:rsid w:val="005A5BEE"/>
    <w:rsid w:val="005A5C98"/>
    <w:rsid w:val="005A5DC0"/>
    <w:rsid w:val="005A6B1D"/>
    <w:rsid w:val="005A6B6D"/>
    <w:rsid w:val="005A6F0E"/>
    <w:rsid w:val="005A6F57"/>
    <w:rsid w:val="005A7079"/>
    <w:rsid w:val="005A7235"/>
    <w:rsid w:val="005A7324"/>
    <w:rsid w:val="005A74D6"/>
    <w:rsid w:val="005A795B"/>
    <w:rsid w:val="005A7A1A"/>
    <w:rsid w:val="005A7AEB"/>
    <w:rsid w:val="005A7BAF"/>
    <w:rsid w:val="005B0182"/>
    <w:rsid w:val="005B0652"/>
    <w:rsid w:val="005B09EB"/>
    <w:rsid w:val="005B0A90"/>
    <w:rsid w:val="005B0B6B"/>
    <w:rsid w:val="005B1213"/>
    <w:rsid w:val="005B1329"/>
    <w:rsid w:val="005B1396"/>
    <w:rsid w:val="005B1481"/>
    <w:rsid w:val="005B1512"/>
    <w:rsid w:val="005B16D8"/>
    <w:rsid w:val="005B19B4"/>
    <w:rsid w:val="005B1AE7"/>
    <w:rsid w:val="005B1B55"/>
    <w:rsid w:val="005B1D7C"/>
    <w:rsid w:val="005B1DBD"/>
    <w:rsid w:val="005B1FBB"/>
    <w:rsid w:val="005B21F1"/>
    <w:rsid w:val="005B2769"/>
    <w:rsid w:val="005B284A"/>
    <w:rsid w:val="005B2927"/>
    <w:rsid w:val="005B2F7B"/>
    <w:rsid w:val="005B34A9"/>
    <w:rsid w:val="005B39A9"/>
    <w:rsid w:val="005B3B8A"/>
    <w:rsid w:val="005B3CE5"/>
    <w:rsid w:val="005B3D8A"/>
    <w:rsid w:val="005B3EBD"/>
    <w:rsid w:val="005B4765"/>
    <w:rsid w:val="005B48E8"/>
    <w:rsid w:val="005B4AB3"/>
    <w:rsid w:val="005B502A"/>
    <w:rsid w:val="005B5066"/>
    <w:rsid w:val="005B51EC"/>
    <w:rsid w:val="005B56D9"/>
    <w:rsid w:val="005B5923"/>
    <w:rsid w:val="005B5A3A"/>
    <w:rsid w:val="005B5B87"/>
    <w:rsid w:val="005B5BA3"/>
    <w:rsid w:val="005B5E62"/>
    <w:rsid w:val="005B611D"/>
    <w:rsid w:val="005B62DC"/>
    <w:rsid w:val="005B6524"/>
    <w:rsid w:val="005B6B27"/>
    <w:rsid w:val="005B6FE6"/>
    <w:rsid w:val="005B7198"/>
    <w:rsid w:val="005B727B"/>
    <w:rsid w:val="005B7341"/>
    <w:rsid w:val="005B7455"/>
    <w:rsid w:val="005B74F9"/>
    <w:rsid w:val="005B7555"/>
    <w:rsid w:val="005B778C"/>
    <w:rsid w:val="005B79EB"/>
    <w:rsid w:val="005B7AAB"/>
    <w:rsid w:val="005B7BD6"/>
    <w:rsid w:val="005B7E97"/>
    <w:rsid w:val="005B7F46"/>
    <w:rsid w:val="005C0748"/>
    <w:rsid w:val="005C0993"/>
    <w:rsid w:val="005C09A7"/>
    <w:rsid w:val="005C0DEB"/>
    <w:rsid w:val="005C0EDB"/>
    <w:rsid w:val="005C102D"/>
    <w:rsid w:val="005C132C"/>
    <w:rsid w:val="005C16C3"/>
    <w:rsid w:val="005C17FB"/>
    <w:rsid w:val="005C1833"/>
    <w:rsid w:val="005C1838"/>
    <w:rsid w:val="005C18C2"/>
    <w:rsid w:val="005C1A9C"/>
    <w:rsid w:val="005C1AD1"/>
    <w:rsid w:val="005C1C20"/>
    <w:rsid w:val="005C1D93"/>
    <w:rsid w:val="005C1E85"/>
    <w:rsid w:val="005C2063"/>
    <w:rsid w:val="005C211E"/>
    <w:rsid w:val="005C2412"/>
    <w:rsid w:val="005C244F"/>
    <w:rsid w:val="005C2767"/>
    <w:rsid w:val="005C2922"/>
    <w:rsid w:val="005C292F"/>
    <w:rsid w:val="005C2C27"/>
    <w:rsid w:val="005C2CD8"/>
    <w:rsid w:val="005C2EDE"/>
    <w:rsid w:val="005C2F60"/>
    <w:rsid w:val="005C2F77"/>
    <w:rsid w:val="005C323D"/>
    <w:rsid w:val="005C326B"/>
    <w:rsid w:val="005C3380"/>
    <w:rsid w:val="005C356B"/>
    <w:rsid w:val="005C3772"/>
    <w:rsid w:val="005C38DB"/>
    <w:rsid w:val="005C396D"/>
    <w:rsid w:val="005C39C3"/>
    <w:rsid w:val="005C3B70"/>
    <w:rsid w:val="005C3E93"/>
    <w:rsid w:val="005C4229"/>
    <w:rsid w:val="005C4580"/>
    <w:rsid w:val="005C4A77"/>
    <w:rsid w:val="005C5065"/>
    <w:rsid w:val="005C52F3"/>
    <w:rsid w:val="005C55ED"/>
    <w:rsid w:val="005C564C"/>
    <w:rsid w:val="005C5983"/>
    <w:rsid w:val="005C59FD"/>
    <w:rsid w:val="005C5E13"/>
    <w:rsid w:val="005C6234"/>
    <w:rsid w:val="005C6605"/>
    <w:rsid w:val="005C6890"/>
    <w:rsid w:val="005C6DA5"/>
    <w:rsid w:val="005C71A0"/>
    <w:rsid w:val="005C751C"/>
    <w:rsid w:val="005C7802"/>
    <w:rsid w:val="005C7B50"/>
    <w:rsid w:val="005C7E73"/>
    <w:rsid w:val="005C7F03"/>
    <w:rsid w:val="005D029E"/>
    <w:rsid w:val="005D02D8"/>
    <w:rsid w:val="005D03A5"/>
    <w:rsid w:val="005D0427"/>
    <w:rsid w:val="005D0776"/>
    <w:rsid w:val="005D07AE"/>
    <w:rsid w:val="005D0B55"/>
    <w:rsid w:val="005D0C83"/>
    <w:rsid w:val="005D10AE"/>
    <w:rsid w:val="005D10C5"/>
    <w:rsid w:val="005D113B"/>
    <w:rsid w:val="005D1491"/>
    <w:rsid w:val="005D154C"/>
    <w:rsid w:val="005D1732"/>
    <w:rsid w:val="005D1A7C"/>
    <w:rsid w:val="005D1BAC"/>
    <w:rsid w:val="005D1EC3"/>
    <w:rsid w:val="005D22FF"/>
    <w:rsid w:val="005D27FD"/>
    <w:rsid w:val="005D2CAD"/>
    <w:rsid w:val="005D2D9A"/>
    <w:rsid w:val="005D34AF"/>
    <w:rsid w:val="005D3631"/>
    <w:rsid w:val="005D3827"/>
    <w:rsid w:val="005D3A6E"/>
    <w:rsid w:val="005D3AAD"/>
    <w:rsid w:val="005D3B21"/>
    <w:rsid w:val="005D3B59"/>
    <w:rsid w:val="005D3F7E"/>
    <w:rsid w:val="005D4019"/>
    <w:rsid w:val="005D41DC"/>
    <w:rsid w:val="005D422C"/>
    <w:rsid w:val="005D43C3"/>
    <w:rsid w:val="005D460F"/>
    <w:rsid w:val="005D4638"/>
    <w:rsid w:val="005D4AE7"/>
    <w:rsid w:val="005D4D7D"/>
    <w:rsid w:val="005D4DC5"/>
    <w:rsid w:val="005D586C"/>
    <w:rsid w:val="005D5C22"/>
    <w:rsid w:val="005D5E3A"/>
    <w:rsid w:val="005D5E6C"/>
    <w:rsid w:val="005D63A9"/>
    <w:rsid w:val="005D65D5"/>
    <w:rsid w:val="005D6BAD"/>
    <w:rsid w:val="005D6C56"/>
    <w:rsid w:val="005D6D46"/>
    <w:rsid w:val="005D6F49"/>
    <w:rsid w:val="005D73D3"/>
    <w:rsid w:val="005D7788"/>
    <w:rsid w:val="005D7836"/>
    <w:rsid w:val="005D7AAE"/>
    <w:rsid w:val="005D7E8A"/>
    <w:rsid w:val="005D7F99"/>
    <w:rsid w:val="005E06FA"/>
    <w:rsid w:val="005E0CF4"/>
    <w:rsid w:val="005E0DA8"/>
    <w:rsid w:val="005E0EAA"/>
    <w:rsid w:val="005E0FC7"/>
    <w:rsid w:val="005E1052"/>
    <w:rsid w:val="005E11A5"/>
    <w:rsid w:val="005E123D"/>
    <w:rsid w:val="005E1245"/>
    <w:rsid w:val="005E1292"/>
    <w:rsid w:val="005E13D4"/>
    <w:rsid w:val="005E1435"/>
    <w:rsid w:val="005E162D"/>
    <w:rsid w:val="005E1966"/>
    <w:rsid w:val="005E1EA2"/>
    <w:rsid w:val="005E1F24"/>
    <w:rsid w:val="005E2049"/>
    <w:rsid w:val="005E21F3"/>
    <w:rsid w:val="005E235C"/>
    <w:rsid w:val="005E236E"/>
    <w:rsid w:val="005E2C24"/>
    <w:rsid w:val="005E3078"/>
    <w:rsid w:val="005E34C0"/>
    <w:rsid w:val="005E34EC"/>
    <w:rsid w:val="005E3D71"/>
    <w:rsid w:val="005E4317"/>
    <w:rsid w:val="005E4363"/>
    <w:rsid w:val="005E44F1"/>
    <w:rsid w:val="005E4605"/>
    <w:rsid w:val="005E4985"/>
    <w:rsid w:val="005E49CA"/>
    <w:rsid w:val="005E4EF3"/>
    <w:rsid w:val="005E5427"/>
    <w:rsid w:val="005E5428"/>
    <w:rsid w:val="005E58AF"/>
    <w:rsid w:val="005E5A7C"/>
    <w:rsid w:val="005E5C33"/>
    <w:rsid w:val="005E5F53"/>
    <w:rsid w:val="005E6207"/>
    <w:rsid w:val="005E6311"/>
    <w:rsid w:val="005E65D9"/>
    <w:rsid w:val="005E6629"/>
    <w:rsid w:val="005E6976"/>
    <w:rsid w:val="005E6E12"/>
    <w:rsid w:val="005E70CD"/>
    <w:rsid w:val="005E70F9"/>
    <w:rsid w:val="005E74B3"/>
    <w:rsid w:val="005E74EC"/>
    <w:rsid w:val="005E7AB6"/>
    <w:rsid w:val="005E7B1E"/>
    <w:rsid w:val="005E7CBC"/>
    <w:rsid w:val="005E7F9E"/>
    <w:rsid w:val="005F0316"/>
    <w:rsid w:val="005F0A62"/>
    <w:rsid w:val="005F0FA8"/>
    <w:rsid w:val="005F10C2"/>
    <w:rsid w:val="005F1821"/>
    <w:rsid w:val="005F1C5D"/>
    <w:rsid w:val="005F1EBE"/>
    <w:rsid w:val="005F1FAF"/>
    <w:rsid w:val="005F2069"/>
    <w:rsid w:val="005F2093"/>
    <w:rsid w:val="005F211B"/>
    <w:rsid w:val="005F222B"/>
    <w:rsid w:val="005F222D"/>
    <w:rsid w:val="005F2317"/>
    <w:rsid w:val="005F2550"/>
    <w:rsid w:val="005F25D2"/>
    <w:rsid w:val="005F297E"/>
    <w:rsid w:val="005F2B2D"/>
    <w:rsid w:val="005F2C45"/>
    <w:rsid w:val="005F2D9C"/>
    <w:rsid w:val="005F2FD5"/>
    <w:rsid w:val="005F3138"/>
    <w:rsid w:val="005F3166"/>
    <w:rsid w:val="005F32D9"/>
    <w:rsid w:val="005F340A"/>
    <w:rsid w:val="005F34FA"/>
    <w:rsid w:val="005F3AE8"/>
    <w:rsid w:val="005F3B09"/>
    <w:rsid w:val="005F3B47"/>
    <w:rsid w:val="005F410E"/>
    <w:rsid w:val="005F43AA"/>
    <w:rsid w:val="005F47C1"/>
    <w:rsid w:val="005F4926"/>
    <w:rsid w:val="005F4A85"/>
    <w:rsid w:val="005F4B6F"/>
    <w:rsid w:val="005F4FFE"/>
    <w:rsid w:val="005F5009"/>
    <w:rsid w:val="005F5054"/>
    <w:rsid w:val="005F530F"/>
    <w:rsid w:val="005F5750"/>
    <w:rsid w:val="005F5797"/>
    <w:rsid w:val="005F5B93"/>
    <w:rsid w:val="005F5C58"/>
    <w:rsid w:val="005F5E9C"/>
    <w:rsid w:val="005F5F3E"/>
    <w:rsid w:val="005F6177"/>
    <w:rsid w:val="005F65D9"/>
    <w:rsid w:val="005F6768"/>
    <w:rsid w:val="005F69CF"/>
    <w:rsid w:val="005F6A44"/>
    <w:rsid w:val="005F6E39"/>
    <w:rsid w:val="005F6E58"/>
    <w:rsid w:val="005F6F57"/>
    <w:rsid w:val="005F6FF2"/>
    <w:rsid w:val="005F704C"/>
    <w:rsid w:val="005F71EB"/>
    <w:rsid w:val="005F74FE"/>
    <w:rsid w:val="005F7693"/>
    <w:rsid w:val="005F78D5"/>
    <w:rsid w:val="005F7A22"/>
    <w:rsid w:val="005F7A30"/>
    <w:rsid w:val="005F7A4D"/>
    <w:rsid w:val="005F7B9D"/>
    <w:rsid w:val="005F7BAC"/>
    <w:rsid w:val="005F7D67"/>
    <w:rsid w:val="005F7F82"/>
    <w:rsid w:val="0060007D"/>
    <w:rsid w:val="00600205"/>
    <w:rsid w:val="006002D6"/>
    <w:rsid w:val="00600501"/>
    <w:rsid w:val="006006CD"/>
    <w:rsid w:val="00600891"/>
    <w:rsid w:val="006008E5"/>
    <w:rsid w:val="00600B0C"/>
    <w:rsid w:val="00600DD2"/>
    <w:rsid w:val="00601078"/>
    <w:rsid w:val="006011F0"/>
    <w:rsid w:val="00601246"/>
    <w:rsid w:val="00601570"/>
    <w:rsid w:val="0060158B"/>
    <w:rsid w:val="00601BB4"/>
    <w:rsid w:val="00601D3B"/>
    <w:rsid w:val="00602268"/>
    <w:rsid w:val="00602286"/>
    <w:rsid w:val="006024D6"/>
    <w:rsid w:val="00602543"/>
    <w:rsid w:val="0060254C"/>
    <w:rsid w:val="00602A59"/>
    <w:rsid w:val="00602A63"/>
    <w:rsid w:val="00602DFA"/>
    <w:rsid w:val="00603035"/>
    <w:rsid w:val="006031D1"/>
    <w:rsid w:val="00603300"/>
    <w:rsid w:val="006033BF"/>
    <w:rsid w:val="006036BB"/>
    <w:rsid w:val="00603702"/>
    <w:rsid w:val="00603AA1"/>
    <w:rsid w:val="00603B4B"/>
    <w:rsid w:val="00603F20"/>
    <w:rsid w:val="00603F94"/>
    <w:rsid w:val="006042BD"/>
    <w:rsid w:val="00604936"/>
    <w:rsid w:val="00604982"/>
    <w:rsid w:val="00604A11"/>
    <w:rsid w:val="00604BC2"/>
    <w:rsid w:val="00604F37"/>
    <w:rsid w:val="0060508A"/>
    <w:rsid w:val="006055AF"/>
    <w:rsid w:val="006057D5"/>
    <w:rsid w:val="006058E7"/>
    <w:rsid w:val="00605942"/>
    <w:rsid w:val="00605C9F"/>
    <w:rsid w:val="00605D48"/>
    <w:rsid w:val="00606299"/>
    <w:rsid w:val="0060653A"/>
    <w:rsid w:val="00606562"/>
    <w:rsid w:val="0060671D"/>
    <w:rsid w:val="006067BF"/>
    <w:rsid w:val="006067F3"/>
    <w:rsid w:val="00606814"/>
    <w:rsid w:val="006068E8"/>
    <w:rsid w:val="00606A28"/>
    <w:rsid w:val="00606ADB"/>
    <w:rsid w:val="00606DC9"/>
    <w:rsid w:val="00606DF3"/>
    <w:rsid w:val="00606E72"/>
    <w:rsid w:val="0060729F"/>
    <w:rsid w:val="006072DE"/>
    <w:rsid w:val="006072FD"/>
    <w:rsid w:val="00607362"/>
    <w:rsid w:val="006075F4"/>
    <w:rsid w:val="006078A8"/>
    <w:rsid w:val="00607BAD"/>
    <w:rsid w:val="00607EC7"/>
    <w:rsid w:val="0061048A"/>
    <w:rsid w:val="006104F8"/>
    <w:rsid w:val="00610500"/>
    <w:rsid w:val="006106EB"/>
    <w:rsid w:val="00610918"/>
    <w:rsid w:val="0061092C"/>
    <w:rsid w:val="0061094B"/>
    <w:rsid w:val="00610AE7"/>
    <w:rsid w:val="00610B50"/>
    <w:rsid w:val="00610BEE"/>
    <w:rsid w:val="00611178"/>
    <w:rsid w:val="0061148D"/>
    <w:rsid w:val="00611537"/>
    <w:rsid w:val="006118A0"/>
    <w:rsid w:val="00611D01"/>
    <w:rsid w:val="00611EC0"/>
    <w:rsid w:val="006124B3"/>
    <w:rsid w:val="00612611"/>
    <w:rsid w:val="0061279A"/>
    <w:rsid w:val="0061282F"/>
    <w:rsid w:val="00612D96"/>
    <w:rsid w:val="00613009"/>
    <w:rsid w:val="0061324F"/>
    <w:rsid w:val="006132EA"/>
    <w:rsid w:val="00613680"/>
    <w:rsid w:val="00613C0C"/>
    <w:rsid w:val="00613F5F"/>
    <w:rsid w:val="00613F9B"/>
    <w:rsid w:val="0061401C"/>
    <w:rsid w:val="006141C9"/>
    <w:rsid w:val="0061420B"/>
    <w:rsid w:val="00614931"/>
    <w:rsid w:val="00614B59"/>
    <w:rsid w:val="00614D33"/>
    <w:rsid w:val="0061537D"/>
    <w:rsid w:val="0061537F"/>
    <w:rsid w:val="00615DEA"/>
    <w:rsid w:val="0061640F"/>
    <w:rsid w:val="00616452"/>
    <w:rsid w:val="006167F6"/>
    <w:rsid w:val="0061693D"/>
    <w:rsid w:val="00616A60"/>
    <w:rsid w:val="00616EE6"/>
    <w:rsid w:val="006171FB"/>
    <w:rsid w:val="00617A2A"/>
    <w:rsid w:val="0062009B"/>
    <w:rsid w:val="006207F4"/>
    <w:rsid w:val="006209C1"/>
    <w:rsid w:val="00620C67"/>
    <w:rsid w:val="00620D54"/>
    <w:rsid w:val="00621616"/>
    <w:rsid w:val="00621646"/>
    <w:rsid w:val="00621803"/>
    <w:rsid w:val="006218B0"/>
    <w:rsid w:val="00621AB5"/>
    <w:rsid w:val="006220F1"/>
    <w:rsid w:val="00622160"/>
    <w:rsid w:val="00622293"/>
    <w:rsid w:val="006229F4"/>
    <w:rsid w:val="00622F9D"/>
    <w:rsid w:val="0062311D"/>
    <w:rsid w:val="006232D5"/>
    <w:rsid w:val="0062385B"/>
    <w:rsid w:val="00623B02"/>
    <w:rsid w:val="00623C68"/>
    <w:rsid w:val="00623E46"/>
    <w:rsid w:val="00624604"/>
    <w:rsid w:val="0062467E"/>
    <w:rsid w:val="00624714"/>
    <w:rsid w:val="00624D2C"/>
    <w:rsid w:val="00624E74"/>
    <w:rsid w:val="00624EF1"/>
    <w:rsid w:val="00625145"/>
    <w:rsid w:val="0062552C"/>
    <w:rsid w:val="00625C94"/>
    <w:rsid w:val="00625F78"/>
    <w:rsid w:val="00626183"/>
    <w:rsid w:val="00626487"/>
    <w:rsid w:val="00626917"/>
    <w:rsid w:val="00626B0D"/>
    <w:rsid w:val="00626D88"/>
    <w:rsid w:val="00627402"/>
    <w:rsid w:val="006274EA"/>
    <w:rsid w:val="00627C0B"/>
    <w:rsid w:val="00627C51"/>
    <w:rsid w:val="00627DF8"/>
    <w:rsid w:val="00627E4C"/>
    <w:rsid w:val="00630368"/>
    <w:rsid w:val="00630480"/>
    <w:rsid w:val="0063053C"/>
    <w:rsid w:val="0063058E"/>
    <w:rsid w:val="006305F8"/>
    <w:rsid w:val="00631281"/>
    <w:rsid w:val="00631727"/>
    <w:rsid w:val="00631DA7"/>
    <w:rsid w:val="00631E1D"/>
    <w:rsid w:val="00631EAF"/>
    <w:rsid w:val="0063213B"/>
    <w:rsid w:val="0063225D"/>
    <w:rsid w:val="006324D0"/>
    <w:rsid w:val="006327B0"/>
    <w:rsid w:val="00632B9C"/>
    <w:rsid w:val="00632C36"/>
    <w:rsid w:val="00632F18"/>
    <w:rsid w:val="00632FB1"/>
    <w:rsid w:val="0063320C"/>
    <w:rsid w:val="006332C9"/>
    <w:rsid w:val="006332D7"/>
    <w:rsid w:val="0063333D"/>
    <w:rsid w:val="00633399"/>
    <w:rsid w:val="00633697"/>
    <w:rsid w:val="006336FE"/>
    <w:rsid w:val="006337B6"/>
    <w:rsid w:val="00633A57"/>
    <w:rsid w:val="006340CD"/>
    <w:rsid w:val="00634225"/>
    <w:rsid w:val="006347F2"/>
    <w:rsid w:val="006348D4"/>
    <w:rsid w:val="00634B7E"/>
    <w:rsid w:val="00634C76"/>
    <w:rsid w:val="00635003"/>
    <w:rsid w:val="006351CE"/>
    <w:rsid w:val="006351F6"/>
    <w:rsid w:val="006352FD"/>
    <w:rsid w:val="0063551A"/>
    <w:rsid w:val="00635861"/>
    <w:rsid w:val="00635B15"/>
    <w:rsid w:val="006362E1"/>
    <w:rsid w:val="00636475"/>
    <w:rsid w:val="00636544"/>
    <w:rsid w:val="006367DA"/>
    <w:rsid w:val="00636FAD"/>
    <w:rsid w:val="006370E1"/>
    <w:rsid w:val="006375B2"/>
    <w:rsid w:val="006375BB"/>
    <w:rsid w:val="006379A6"/>
    <w:rsid w:val="006379DE"/>
    <w:rsid w:val="00637A93"/>
    <w:rsid w:val="00637E1A"/>
    <w:rsid w:val="00637EC7"/>
    <w:rsid w:val="006401DD"/>
    <w:rsid w:val="00640396"/>
    <w:rsid w:val="006404A7"/>
    <w:rsid w:val="006406A4"/>
    <w:rsid w:val="006407FE"/>
    <w:rsid w:val="006409EE"/>
    <w:rsid w:val="00640BF7"/>
    <w:rsid w:val="00640C7D"/>
    <w:rsid w:val="00640E7E"/>
    <w:rsid w:val="00640FFF"/>
    <w:rsid w:val="006416A4"/>
    <w:rsid w:val="00641761"/>
    <w:rsid w:val="0064217D"/>
    <w:rsid w:val="006421D9"/>
    <w:rsid w:val="006424FE"/>
    <w:rsid w:val="0064253B"/>
    <w:rsid w:val="006425FC"/>
    <w:rsid w:val="00642631"/>
    <w:rsid w:val="00642AC0"/>
    <w:rsid w:val="00642C3C"/>
    <w:rsid w:val="00642DF5"/>
    <w:rsid w:val="0064304A"/>
    <w:rsid w:val="0064329C"/>
    <w:rsid w:val="0064380B"/>
    <w:rsid w:val="00643A4F"/>
    <w:rsid w:val="00643D1D"/>
    <w:rsid w:val="00643FF5"/>
    <w:rsid w:val="00644004"/>
    <w:rsid w:val="006441FD"/>
    <w:rsid w:val="006443D7"/>
    <w:rsid w:val="00644A20"/>
    <w:rsid w:val="00644E43"/>
    <w:rsid w:val="00644E5A"/>
    <w:rsid w:val="00644F2C"/>
    <w:rsid w:val="00644FFC"/>
    <w:rsid w:val="00645026"/>
    <w:rsid w:val="00645141"/>
    <w:rsid w:val="0064535E"/>
    <w:rsid w:val="006456A1"/>
    <w:rsid w:val="00645805"/>
    <w:rsid w:val="00645AEE"/>
    <w:rsid w:val="00646428"/>
    <w:rsid w:val="0064678C"/>
    <w:rsid w:val="00646B93"/>
    <w:rsid w:val="00646F31"/>
    <w:rsid w:val="0064707F"/>
    <w:rsid w:val="006471E8"/>
    <w:rsid w:val="006474CD"/>
    <w:rsid w:val="00647660"/>
    <w:rsid w:val="00647782"/>
    <w:rsid w:val="00647999"/>
    <w:rsid w:val="00647B43"/>
    <w:rsid w:val="00647BA6"/>
    <w:rsid w:val="00647E90"/>
    <w:rsid w:val="00647F36"/>
    <w:rsid w:val="00647FA3"/>
    <w:rsid w:val="006500F7"/>
    <w:rsid w:val="0065069A"/>
    <w:rsid w:val="006506F2"/>
    <w:rsid w:val="00650769"/>
    <w:rsid w:val="00650DF8"/>
    <w:rsid w:val="00650F29"/>
    <w:rsid w:val="00650F42"/>
    <w:rsid w:val="00650F64"/>
    <w:rsid w:val="00651184"/>
    <w:rsid w:val="006516B7"/>
    <w:rsid w:val="006518E4"/>
    <w:rsid w:val="00651F9D"/>
    <w:rsid w:val="00651FB8"/>
    <w:rsid w:val="0065282B"/>
    <w:rsid w:val="0065294C"/>
    <w:rsid w:val="00652BA0"/>
    <w:rsid w:val="00652DF6"/>
    <w:rsid w:val="00652FCA"/>
    <w:rsid w:val="00653045"/>
    <w:rsid w:val="00653294"/>
    <w:rsid w:val="00653350"/>
    <w:rsid w:val="0065388D"/>
    <w:rsid w:val="0065395C"/>
    <w:rsid w:val="00653A25"/>
    <w:rsid w:val="00653AFB"/>
    <w:rsid w:val="00653D93"/>
    <w:rsid w:val="00653F75"/>
    <w:rsid w:val="00653FDA"/>
    <w:rsid w:val="006540EF"/>
    <w:rsid w:val="006541A0"/>
    <w:rsid w:val="00654BB5"/>
    <w:rsid w:val="00654CFE"/>
    <w:rsid w:val="00654E99"/>
    <w:rsid w:val="00654FBE"/>
    <w:rsid w:val="00655104"/>
    <w:rsid w:val="0065537B"/>
    <w:rsid w:val="0065548F"/>
    <w:rsid w:val="0065558B"/>
    <w:rsid w:val="00655633"/>
    <w:rsid w:val="00655797"/>
    <w:rsid w:val="006559BB"/>
    <w:rsid w:val="00655A93"/>
    <w:rsid w:val="00655D93"/>
    <w:rsid w:val="00655E86"/>
    <w:rsid w:val="00656614"/>
    <w:rsid w:val="00656BD1"/>
    <w:rsid w:val="00656C4D"/>
    <w:rsid w:val="00656FE7"/>
    <w:rsid w:val="00657732"/>
    <w:rsid w:val="006577CD"/>
    <w:rsid w:val="006578A6"/>
    <w:rsid w:val="00657CCC"/>
    <w:rsid w:val="00660162"/>
    <w:rsid w:val="0066036D"/>
    <w:rsid w:val="006603B7"/>
    <w:rsid w:val="006604FA"/>
    <w:rsid w:val="00660746"/>
    <w:rsid w:val="00660879"/>
    <w:rsid w:val="00661046"/>
    <w:rsid w:val="006610A3"/>
    <w:rsid w:val="00661639"/>
    <w:rsid w:val="0066174D"/>
    <w:rsid w:val="006617AA"/>
    <w:rsid w:val="006617EE"/>
    <w:rsid w:val="00661E36"/>
    <w:rsid w:val="00661F03"/>
    <w:rsid w:val="006620C8"/>
    <w:rsid w:val="006621DB"/>
    <w:rsid w:val="00662334"/>
    <w:rsid w:val="006623C3"/>
    <w:rsid w:val="00662498"/>
    <w:rsid w:val="00662800"/>
    <w:rsid w:val="006631D3"/>
    <w:rsid w:val="00663306"/>
    <w:rsid w:val="00663505"/>
    <w:rsid w:val="00663C1C"/>
    <w:rsid w:val="00663CA6"/>
    <w:rsid w:val="00663D0F"/>
    <w:rsid w:val="00664525"/>
    <w:rsid w:val="0066465B"/>
    <w:rsid w:val="0066474D"/>
    <w:rsid w:val="00664C81"/>
    <w:rsid w:val="0066521A"/>
    <w:rsid w:val="0066540C"/>
    <w:rsid w:val="006655EC"/>
    <w:rsid w:val="00665719"/>
    <w:rsid w:val="00665801"/>
    <w:rsid w:val="0066581A"/>
    <w:rsid w:val="00665E59"/>
    <w:rsid w:val="00665EAE"/>
    <w:rsid w:val="00665FAF"/>
    <w:rsid w:val="006661EA"/>
    <w:rsid w:val="00666275"/>
    <w:rsid w:val="0066634D"/>
    <w:rsid w:val="006663EB"/>
    <w:rsid w:val="00666836"/>
    <w:rsid w:val="00666909"/>
    <w:rsid w:val="00666EBC"/>
    <w:rsid w:val="00667034"/>
    <w:rsid w:val="00667189"/>
    <w:rsid w:val="00667199"/>
    <w:rsid w:val="00667211"/>
    <w:rsid w:val="0066749E"/>
    <w:rsid w:val="006675F1"/>
    <w:rsid w:val="00667AA9"/>
    <w:rsid w:val="00667BFB"/>
    <w:rsid w:val="00667CCB"/>
    <w:rsid w:val="00667EFD"/>
    <w:rsid w:val="00670475"/>
    <w:rsid w:val="00670B8C"/>
    <w:rsid w:val="00670C4A"/>
    <w:rsid w:val="00670DCA"/>
    <w:rsid w:val="006712BB"/>
    <w:rsid w:val="006712EC"/>
    <w:rsid w:val="0067133B"/>
    <w:rsid w:val="00671C32"/>
    <w:rsid w:val="00671F3E"/>
    <w:rsid w:val="0067218B"/>
    <w:rsid w:val="0067240D"/>
    <w:rsid w:val="00672482"/>
    <w:rsid w:val="00672A18"/>
    <w:rsid w:val="00672B94"/>
    <w:rsid w:val="006733DD"/>
    <w:rsid w:val="00673459"/>
    <w:rsid w:val="006735D0"/>
    <w:rsid w:val="006738F8"/>
    <w:rsid w:val="006739E9"/>
    <w:rsid w:val="00673BC5"/>
    <w:rsid w:val="00673F94"/>
    <w:rsid w:val="00674064"/>
    <w:rsid w:val="00674AF5"/>
    <w:rsid w:val="00674D52"/>
    <w:rsid w:val="00674F93"/>
    <w:rsid w:val="00675334"/>
    <w:rsid w:val="0067546F"/>
    <w:rsid w:val="006754DB"/>
    <w:rsid w:val="00675A94"/>
    <w:rsid w:val="00675F66"/>
    <w:rsid w:val="00676477"/>
    <w:rsid w:val="0067659A"/>
    <w:rsid w:val="00676AF1"/>
    <w:rsid w:val="00676CE4"/>
    <w:rsid w:val="00676EC2"/>
    <w:rsid w:val="00676FA5"/>
    <w:rsid w:val="006770F9"/>
    <w:rsid w:val="006771A4"/>
    <w:rsid w:val="006771AD"/>
    <w:rsid w:val="006774A8"/>
    <w:rsid w:val="00677572"/>
    <w:rsid w:val="006779E1"/>
    <w:rsid w:val="00677D7B"/>
    <w:rsid w:val="00677FF3"/>
    <w:rsid w:val="00677FFB"/>
    <w:rsid w:val="00681229"/>
    <w:rsid w:val="0068183B"/>
    <w:rsid w:val="0068185E"/>
    <w:rsid w:val="00681BE5"/>
    <w:rsid w:val="00681BF5"/>
    <w:rsid w:val="00681D04"/>
    <w:rsid w:val="00681E30"/>
    <w:rsid w:val="00681E68"/>
    <w:rsid w:val="0068202B"/>
    <w:rsid w:val="00682671"/>
    <w:rsid w:val="0068271A"/>
    <w:rsid w:val="00683011"/>
    <w:rsid w:val="0068342B"/>
    <w:rsid w:val="0068379B"/>
    <w:rsid w:val="00683D98"/>
    <w:rsid w:val="00683D99"/>
    <w:rsid w:val="00683F50"/>
    <w:rsid w:val="00684079"/>
    <w:rsid w:val="006841A9"/>
    <w:rsid w:val="00684229"/>
    <w:rsid w:val="0068465F"/>
    <w:rsid w:val="006847B7"/>
    <w:rsid w:val="0068496A"/>
    <w:rsid w:val="0068629B"/>
    <w:rsid w:val="0068655E"/>
    <w:rsid w:val="00686C12"/>
    <w:rsid w:val="00686C3B"/>
    <w:rsid w:val="00686D75"/>
    <w:rsid w:val="006870E8"/>
    <w:rsid w:val="00687309"/>
    <w:rsid w:val="0068736A"/>
    <w:rsid w:val="00687597"/>
    <w:rsid w:val="00687610"/>
    <w:rsid w:val="00687A1A"/>
    <w:rsid w:val="00687D17"/>
    <w:rsid w:val="00690024"/>
    <w:rsid w:val="0069017D"/>
    <w:rsid w:val="006901C6"/>
    <w:rsid w:val="0069036F"/>
    <w:rsid w:val="006903A4"/>
    <w:rsid w:val="00690659"/>
    <w:rsid w:val="00690764"/>
    <w:rsid w:val="00690883"/>
    <w:rsid w:val="00690CAA"/>
    <w:rsid w:val="00690E5A"/>
    <w:rsid w:val="00690EFB"/>
    <w:rsid w:val="0069106A"/>
    <w:rsid w:val="006911F9"/>
    <w:rsid w:val="006912CB"/>
    <w:rsid w:val="0069137B"/>
    <w:rsid w:val="006913EC"/>
    <w:rsid w:val="006914B7"/>
    <w:rsid w:val="00691742"/>
    <w:rsid w:val="00691DEE"/>
    <w:rsid w:val="00692147"/>
    <w:rsid w:val="00692242"/>
    <w:rsid w:val="0069236E"/>
    <w:rsid w:val="0069252A"/>
    <w:rsid w:val="00692704"/>
    <w:rsid w:val="00692E67"/>
    <w:rsid w:val="0069319A"/>
    <w:rsid w:val="00693646"/>
    <w:rsid w:val="00693699"/>
    <w:rsid w:val="00693ACF"/>
    <w:rsid w:val="00693EB2"/>
    <w:rsid w:val="00693EE5"/>
    <w:rsid w:val="00693FBC"/>
    <w:rsid w:val="006940AF"/>
    <w:rsid w:val="006942F8"/>
    <w:rsid w:val="006944C5"/>
    <w:rsid w:val="006944D3"/>
    <w:rsid w:val="00694A7E"/>
    <w:rsid w:val="00694B8D"/>
    <w:rsid w:val="00695209"/>
    <w:rsid w:val="006955FF"/>
    <w:rsid w:val="0069561C"/>
    <w:rsid w:val="00695634"/>
    <w:rsid w:val="006958F9"/>
    <w:rsid w:val="00695A22"/>
    <w:rsid w:val="00695B97"/>
    <w:rsid w:val="00695C8A"/>
    <w:rsid w:val="00695CEE"/>
    <w:rsid w:val="00695F90"/>
    <w:rsid w:val="0069600D"/>
    <w:rsid w:val="0069603A"/>
    <w:rsid w:val="00696143"/>
    <w:rsid w:val="006963AE"/>
    <w:rsid w:val="0069640F"/>
    <w:rsid w:val="0069691D"/>
    <w:rsid w:val="00696B07"/>
    <w:rsid w:val="00696FB8"/>
    <w:rsid w:val="00697053"/>
    <w:rsid w:val="0069705A"/>
    <w:rsid w:val="00697353"/>
    <w:rsid w:val="006975CF"/>
    <w:rsid w:val="00697A6B"/>
    <w:rsid w:val="006A01F4"/>
    <w:rsid w:val="006A0636"/>
    <w:rsid w:val="006A066A"/>
    <w:rsid w:val="006A06CA"/>
    <w:rsid w:val="006A083E"/>
    <w:rsid w:val="006A0B0E"/>
    <w:rsid w:val="006A0F9F"/>
    <w:rsid w:val="006A0FFD"/>
    <w:rsid w:val="006A1170"/>
    <w:rsid w:val="006A14A3"/>
    <w:rsid w:val="006A14DA"/>
    <w:rsid w:val="006A159D"/>
    <w:rsid w:val="006A18BF"/>
    <w:rsid w:val="006A1C9D"/>
    <w:rsid w:val="006A1F58"/>
    <w:rsid w:val="006A23A7"/>
    <w:rsid w:val="006A242E"/>
    <w:rsid w:val="006A24FB"/>
    <w:rsid w:val="006A26AB"/>
    <w:rsid w:val="006A2752"/>
    <w:rsid w:val="006A27C5"/>
    <w:rsid w:val="006A298D"/>
    <w:rsid w:val="006A29FA"/>
    <w:rsid w:val="006A2F3C"/>
    <w:rsid w:val="006A2F80"/>
    <w:rsid w:val="006A329A"/>
    <w:rsid w:val="006A3966"/>
    <w:rsid w:val="006A3FD6"/>
    <w:rsid w:val="006A4076"/>
    <w:rsid w:val="006A436F"/>
    <w:rsid w:val="006A4BAB"/>
    <w:rsid w:val="006A4E5B"/>
    <w:rsid w:val="006A52A2"/>
    <w:rsid w:val="006A531C"/>
    <w:rsid w:val="006A5652"/>
    <w:rsid w:val="006A582E"/>
    <w:rsid w:val="006A588A"/>
    <w:rsid w:val="006A59D8"/>
    <w:rsid w:val="006A5A45"/>
    <w:rsid w:val="006A5C13"/>
    <w:rsid w:val="006A5CBF"/>
    <w:rsid w:val="006A5D81"/>
    <w:rsid w:val="006A5D8F"/>
    <w:rsid w:val="006A608E"/>
    <w:rsid w:val="006A63EB"/>
    <w:rsid w:val="006A67C0"/>
    <w:rsid w:val="006A69EC"/>
    <w:rsid w:val="006A6B7B"/>
    <w:rsid w:val="006A6CB3"/>
    <w:rsid w:val="006A6E1A"/>
    <w:rsid w:val="006A708A"/>
    <w:rsid w:val="006A7111"/>
    <w:rsid w:val="006A73D2"/>
    <w:rsid w:val="006A75E6"/>
    <w:rsid w:val="006A76C9"/>
    <w:rsid w:val="006A78F8"/>
    <w:rsid w:val="006A7991"/>
    <w:rsid w:val="006A7C26"/>
    <w:rsid w:val="006A7D4E"/>
    <w:rsid w:val="006A7E27"/>
    <w:rsid w:val="006A7E9A"/>
    <w:rsid w:val="006B00B9"/>
    <w:rsid w:val="006B00FD"/>
    <w:rsid w:val="006B010E"/>
    <w:rsid w:val="006B011E"/>
    <w:rsid w:val="006B0210"/>
    <w:rsid w:val="006B050D"/>
    <w:rsid w:val="006B0714"/>
    <w:rsid w:val="006B091F"/>
    <w:rsid w:val="006B0CAF"/>
    <w:rsid w:val="006B0ED0"/>
    <w:rsid w:val="006B0EED"/>
    <w:rsid w:val="006B1358"/>
    <w:rsid w:val="006B147E"/>
    <w:rsid w:val="006B190E"/>
    <w:rsid w:val="006B1DF6"/>
    <w:rsid w:val="006B21D8"/>
    <w:rsid w:val="006B233F"/>
    <w:rsid w:val="006B25D7"/>
    <w:rsid w:val="006B275E"/>
    <w:rsid w:val="006B28EA"/>
    <w:rsid w:val="006B296C"/>
    <w:rsid w:val="006B298A"/>
    <w:rsid w:val="006B2CDC"/>
    <w:rsid w:val="006B2DA3"/>
    <w:rsid w:val="006B2FBB"/>
    <w:rsid w:val="006B3036"/>
    <w:rsid w:val="006B3189"/>
    <w:rsid w:val="006B378A"/>
    <w:rsid w:val="006B3BD5"/>
    <w:rsid w:val="006B3D43"/>
    <w:rsid w:val="006B3D7A"/>
    <w:rsid w:val="006B4185"/>
    <w:rsid w:val="006B4224"/>
    <w:rsid w:val="006B4493"/>
    <w:rsid w:val="006B4569"/>
    <w:rsid w:val="006B45E3"/>
    <w:rsid w:val="006B4A18"/>
    <w:rsid w:val="006B4A9E"/>
    <w:rsid w:val="006B4B62"/>
    <w:rsid w:val="006B53DC"/>
    <w:rsid w:val="006B5423"/>
    <w:rsid w:val="006B5578"/>
    <w:rsid w:val="006B5855"/>
    <w:rsid w:val="006B58CB"/>
    <w:rsid w:val="006B5AB2"/>
    <w:rsid w:val="006B5C67"/>
    <w:rsid w:val="006B64AA"/>
    <w:rsid w:val="006B64BC"/>
    <w:rsid w:val="006B6B5D"/>
    <w:rsid w:val="006B6C0D"/>
    <w:rsid w:val="006B702F"/>
    <w:rsid w:val="006B7361"/>
    <w:rsid w:val="006B7825"/>
    <w:rsid w:val="006B7D68"/>
    <w:rsid w:val="006B7FEC"/>
    <w:rsid w:val="006C005B"/>
    <w:rsid w:val="006C02CC"/>
    <w:rsid w:val="006C033F"/>
    <w:rsid w:val="006C0D9C"/>
    <w:rsid w:val="006C0F54"/>
    <w:rsid w:val="006C1770"/>
    <w:rsid w:val="006C1818"/>
    <w:rsid w:val="006C181C"/>
    <w:rsid w:val="006C1CCA"/>
    <w:rsid w:val="006C1F8B"/>
    <w:rsid w:val="006C1FA3"/>
    <w:rsid w:val="006C1FF3"/>
    <w:rsid w:val="006C21D7"/>
    <w:rsid w:val="006C2265"/>
    <w:rsid w:val="006C23E6"/>
    <w:rsid w:val="006C2721"/>
    <w:rsid w:val="006C27AD"/>
    <w:rsid w:val="006C2FA5"/>
    <w:rsid w:val="006C2FDF"/>
    <w:rsid w:val="006C30AC"/>
    <w:rsid w:val="006C3234"/>
    <w:rsid w:val="006C323A"/>
    <w:rsid w:val="006C3868"/>
    <w:rsid w:val="006C38FF"/>
    <w:rsid w:val="006C39EC"/>
    <w:rsid w:val="006C3C79"/>
    <w:rsid w:val="006C3E6E"/>
    <w:rsid w:val="006C3EEA"/>
    <w:rsid w:val="006C429E"/>
    <w:rsid w:val="006C43A6"/>
    <w:rsid w:val="006C44EC"/>
    <w:rsid w:val="006C4613"/>
    <w:rsid w:val="006C4A4A"/>
    <w:rsid w:val="006C5114"/>
    <w:rsid w:val="006C52AF"/>
    <w:rsid w:val="006C53EB"/>
    <w:rsid w:val="006C5545"/>
    <w:rsid w:val="006C561F"/>
    <w:rsid w:val="006C57DC"/>
    <w:rsid w:val="006C589F"/>
    <w:rsid w:val="006C5944"/>
    <w:rsid w:val="006C5D29"/>
    <w:rsid w:val="006C5D8F"/>
    <w:rsid w:val="006C5DF1"/>
    <w:rsid w:val="006C621B"/>
    <w:rsid w:val="006C62F6"/>
    <w:rsid w:val="006C650D"/>
    <w:rsid w:val="006C69A5"/>
    <w:rsid w:val="006C6A4D"/>
    <w:rsid w:val="006C6CF3"/>
    <w:rsid w:val="006C7034"/>
    <w:rsid w:val="006C707A"/>
    <w:rsid w:val="006C71F9"/>
    <w:rsid w:val="006C7740"/>
    <w:rsid w:val="006C7894"/>
    <w:rsid w:val="006D0389"/>
    <w:rsid w:val="006D0848"/>
    <w:rsid w:val="006D0B40"/>
    <w:rsid w:val="006D0BA5"/>
    <w:rsid w:val="006D0C15"/>
    <w:rsid w:val="006D0D8B"/>
    <w:rsid w:val="006D0FBF"/>
    <w:rsid w:val="006D10DC"/>
    <w:rsid w:val="006D145F"/>
    <w:rsid w:val="006D1586"/>
    <w:rsid w:val="006D19C1"/>
    <w:rsid w:val="006D19DD"/>
    <w:rsid w:val="006D1B7A"/>
    <w:rsid w:val="006D1D85"/>
    <w:rsid w:val="006D1E72"/>
    <w:rsid w:val="006D1FC3"/>
    <w:rsid w:val="006D2132"/>
    <w:rsid w:val="006D2827"/>
    <w:rsid w:val="006D2848"/>
    <w:rsid w:val="006D2B19"/>
    <w:rsid w:val="006D2EC9"/>
    <w:rsid w:val="006D328A"/>
    <w:rsid w:val="006D3A05"/>
    <w:rsid w:val="006D3B62"/>
    <w:rsid w:val="006D3FDF"/>
    <w:rsid w:val="006D424C"/>
    <w:rsid w:val="006D4527"/>
    <w:rsid w:val="006D4679"/>
    <w:rsid w:val="006D4A27"/>
    <w:rsid w:val="006D4B05"/>
    <w:rsid w:val="006D4B85"/>
    <w:rsid w:val="006D4EB3"/>
    <w:rsid w:val="006D4EE5"/>
    <w:rsid w:val="006D4F4A"/>
    <w:rsid w:val="006D4F86"/>
    <w:rsid w:val="006D5C6D"/>
    <w:rsid w:val="006D5CE1"/>
    <w:rsid w:val="006D5F98"/>
    <w:rsid w:val="006D6358"/>
    <w:rsid w:val="006D6508"/>
    <w:rsid w:val="006D6665"/>
    <w:rsid w:val="006D6722"/>
    <w:rsid w:val="006D686F"/>
    <w:rsid w:val="006D6D14"/>
    <w:rsid w:val="006D6F5D"/>
    <w:rsid w:val="006D7098"/>
    <w:rsid w:val="006D7300"/>
    <w:rsid w:val="006D740E"/>
    <w:rsid w:val="006D772C"/>
    <w:rsid w:val="006D7C8A"/>
    <w:rsid w:val="006D7E7F"/>
    <w:rsid w:val="006D7F72"/>
    <w:rsid w:val="006E00B7"/>
    <w:rsid w:val="006E020D"/>
    <w:rsid w:val="006E04CB"/>
    <w:rsid w:val="006E0595"/>
    <w:rsid w:val="006E0603"/>
    <w:rsid w:val="006E08AB"/>
    <w:rsid w:val="006E0B02"/>
    <w:rsid w:val="006E0CB5"/>
    <w:rsid w:val="006E0E5B"/>
    <w:rsid w:val="006E132F"/>
    <w:rsid w:val="006E160B"/>
    <w:rsid w:val="006E173B"/>
    <w:rsid w:val="006E177D"/>
    <w:rsid w:val="006E1A6A"/>
    <w:rsid w:val="006E1C5E"/>
    <w:rsid w:val="006E2419"/>
    <w:rsid w:val="006E2701"/>
    <w:rsid w:val="006E2C65"/>
    <w:rsid w:val="006E2E3B"/>
    <w:rsid w:val="006E3023"/>
    <w:rsid w:val="006E3369"/>
    <w:rsid w:val="006E3511"/>
    <w:rsid w:val="006E3D12"/>
    <w:rsid w:val="006E449C"/>
    <w:rsid w:val="006E4726"/>
    <w:rsid w:val="006E4E72"/>
    <w:rsid w:val="006E4EA3"/>
    <w:rsid w:val="006E4FCD"/>
    <w:rsid w:val="006E5012"/>
    <w:rsid w:val="006E50D0"/>
    <w:rsid w:val="006E5103"/>
    <w:rsid w:val="006E52AA"/>
    <w:rsid w:val="006E549E"/>
    <w:rsid w:val="006E54F5"/>
    <w:rsid w:val="006E57B8"/>
    <w:rsid w:val="006E57E8"/>
    <w:rsid w:val="006E5B0B"/>
    <w:rsid w:val="006E5CBE"/>
    <w:rsid w:val="006E5D2A"/>
    <w:rsid w:val="006E6376"/>
    <w:rsid w:val="006E64FB"/>
    <w:rsid w:val="006E660F"/>
    <w:rsid w:val="006E663E"/>
    <w:rsid w:val="006E6655"/>
    <w:rsid w:val="006E6801"/>
    <w:rsid w:val="006E6D05"/>
    <w:rsid w:val="006E6EDF"/>
    <w:rsid w:val="006E719A"/>
    <w:rsid w:val="006E7BA5"/>
    <w:rsid w:val="006F0163"/>
    <w:rsid w:val="006F01E8"/>
    <w:rsid w:val="006F028F"/>
    <w:rsid w:val="006F02D7"/>
    <w:rsid w:val="006F06C6"/>
    <w:rsid w:val="006F07FA"/>
    <w:rsid w:val="006F0CD6"/>
    <w:rsid w:val="006F0EBB"/>
    <w:rsid w:val="006F11D6"/>
    <w:rsid w:val="006F11DF"/>
    <w:rsid w:val="006F1758"/>
    <w:rsid w:val="006F1E96"/>
    <w:rsid w:val="006F2133"/>
    <w:rsid w:val="006F2390"/>
    <w:rsid w:val="006F28FC"/>
    <w:rsid w:val="006F29F9"/>
    <w:rsid w:val="006F2C9D"/>
    <w:rsid w:val="006F2D24"/>
    <w:rsid w:val="006F37F7"/>
    <w:rsid w:val="006F38C3"/>
    <w:rsid w:val="006F3909"/>
    <w:rsid w:val="006F3C47"/>
    <w:rsid w:val="006F4036"/>
    <w:rsid w:val="006F410D"/>
    <w:rsid w:val="006F428E"/>
    <w:rsid w:val="006F4315"/>
    <w:rsid w:val="006F452E"/>
    <w:rsid w:val="006F48E1"/>
    <w:rsid w:val="006F4A8C"/>
    <w:rsid w:val="006F4E68"/>
    <w:rsid w:val="006F5160"/>
    <w:rsid w:val="006F5374"/>
    <w:rsid w:val="006F53B2"/>
    <w:rsid w:val="006F5CF9"/>
    <w:rsid w:val="006F6025"/>
    <w:rsid w:val="006F60DF"/>
    <w:rsid w:val="006F60EB"/>
    <w:rsid w:val="006F661B"/>
    <w:rsid w:val="006F68C1"/>
    <w:rsid w:val="006F6B60"/>
    <w:rsid w:val="006F6CD4"/>
    <w:rsid w:val="006F6CE2"/>
    <w:rsid w:val="006F6E07"/>
    <w:rsid w:val="006F6E10"/>
    <w:rsid w:val="006F71F2"/>
    <w:rsid w:val="006F7449"/>
    <w:rsid w:val="006F7800"/>
    <w:rsid w:val="006F7802"/>
    <w:rsid w:val="006F788E"/>
    <w:rsid w:val="006F7E8A"/>
    <w:rsid w:val="007003A0"/>
    <w:rsid w:val="0070047E"/>
    <w:rsid w:val="007005F9"/>
    <w:rsid w:val="0070081D"/>
    <w:rsid w:val="00700E9D"/>
    <w:rsid w:val="007010FE"/>
    <w:rsid w:val="007014F8"/>
    <w:rsid w:val="0070150D"/>
    <w:rsid w:val="007016D2"/>
    <w:rsid w:val="007018D8"/>
    <w:rsid w:val="00701BCB"/>
    <w:rsid w:val="00701CEA"/>
    <w:rsid w:val="00701DED"/>
    <w:rsid w:val="00701EC7"/>
    <w:rsid w:val="00701FC2"/>
    <w:rsid w:val="00702079"/>
    <w:rsid w:val="00702121"/>
    <w:rsid w:val="007024A4"/>
    <w:rsid w:val="007026F8"/>
    <w:rsid w:val="00702788"/>
    <w:rsid w:val="0070291B"/>
    <w:rsid w:val="007029E8"/>
    <w:rsid w:val="00702C89"/>
    <w:rsid w:val="00702D2C"/>
    <w:rsid w:val="00702FBD"/>
    <w:rsid w:val="00703107"/>
    <w:rsid w:val="00703138"/>
    <w:rsid w:val="00703277"/>
    <w:rsid w:val="00703319"/>
    <w:rsid w:val="0070356D"/>
    <w:rsid w:val="00703981"/>
    <w:rsid w:val="00703C0A"/>
    <w:rsid w:val="00703CCF"/>
    <w:rsid w:val="00703D67"/>
    <w:rsid w:val="00703D7E"/>
    <w:rsid w:val="00703DE6"/>
    <w:rsid w:val="00703E41"/>
    <w:rsid w:val="007041A7"/>
    <w:rsid w:val="00704644"/>
    <w:rsid w:val="0070495F"/>
    <w:rsid w:val="00704B6E"/>
    <w:rsid w:val="00704F73"/>
    <w:rsid w:val="0070508D"/>
    <w:rsid w:val="0070524A"/>
    <w:rsid w:val="0070542E"/>
    <w:rsid w:val="00705605"/>
    <w:rsid w:val="00705A16"/>
    <w:rsid w:val="00705C1D"/>
    <w:rsid w:val="00706096"/>
    <w:rsid w:val="007060D4"/>
    <w:rsid w:val="0070624C"/>
    <w:rsid w:val="007062C8"/>
    <w:rsid w:val="00706451"/>
    <w:rsid w:val="00706481"/>
    <w:rsid w:val="00706594"/>
    <w:rsid w:val="00706662"/>
    <w:rsid w:val="00706995"/>
    <w:rsid w:val="00706A11"/>
    <w:rsid w:val="0070705A"/>
    <w:rsid w:val="0070744C"/>
    <w:rsid w:val="00707E0F"/>
    <w:rsid w:val="007100F9"/>
    <w:rsid w:val="007101CA"/>
    <w:rsid w:val="0071068A"/>
    <w:rsid w:val="00710717"/>
    <w:rsid w:val="007107A0"/>
    <w:rsid w:val="00710E19"/>
    <w:rsid w:val="00710E52"/>
    <w:rsid w:val="00710EC2"/>
    <w:rsid w:val="0071127F"/>
    <w:rsid w:val="0071154B"/>
    <w:rsid w:val="007116B6"/>
    <w:rsid w:val="0071174F"/>
    <w:rsid w:val="0071196A"/>
    <w:rsid w:val="00711C03"/>
    <w:rsid w:val="00711C47"/>
    <w:rsid w:val="00711C73"/>
    <w:rsid w:val="0071213F"/>
    <w:rsid w:val="0071227C"/>
    <w:rsid w:val="007125CF"/>
    <w:rsid w:val="00712E78"/>
    <w:rsid w:val="00713190"/>
    <w:rsid w:val="007131CF"/>
    <w:rsid w:val="007131FB"/>
    <w:rsid w:val="00713222"/>
    <w:rsid w:val="00713297"/>
    <w:rsid w:val="007132CD"/>
    <w:rsid w:val="007133C0"/>
    <w:rsid w:val="007134E6"/>
    <w:rsid w:val="00713613"/>
    <w:rsid w:val="007137C6"/>
    <w:rsid w:val="007138FC"/>
    <w:rsid w:val="0071393D"/>
    <w:rsid w:val="00713BDF"/>
    <w:rsid w:val="00713E79"/>
    <w:rsid w:val="00714245"/>
    <w:rsid w:val="007147A2"/>
    <w:rsid w:val="00714B90"/>
    <w:rsid w:val="00714BC7"/>
    <w:rsid w:val="00714C20"/>
    <w:rsid w:val="0071533A"/>
    <w:rsid w:val="0071533E"/>
    <w:rsid w:val="00715441"/>
    <w:rsid w:val="00715445"/>
    <w:rsid w:val="0071555D"/>
    <w:rsid w:val="00715739"/>
    <w:rsid w:val="0071576C"/>
    <w:rsid w:val="00715C94"/>
    <w:rsid w:val="00715EA7"/>
    <w:rsid w:val="00715F5A"/>
    <w:rsid w:val="007161D8"/>
    <w:rsid w:val="00716460"/>
    <w:rsid w:val="007164F4"/>
    <w:rsid w:val="00716A09"/>
    <w:rsid w:val="007170DB"/>
    <w:rsid w:val="007171F2"/>
    <w:rsid w:val="00717880"/>
    <w:rsid w:val="00717A70"/>
    <w:rsid w:val="00717CA8"/>
    <w:rsid w:val="007205E7"/>
    <w:rsid w:val="007209C4"/>
    <w:rsid w:val="00720D99"/>
    <w:rsid w:val="00720F99"/>
    <w:rsid w:val="00721121"/>
    <w:rsid w:val="00721335"/>
    <w:rsid w:val="0072137B"/>
    <w:rsid w:val="007217CB"/>
    <w:rsid w:val="0072181E"/>
    <w:rsid w:val="007219AB"/>
    <w:rsid w:val="00721ACB"/>
    <w:rsid w:val="00721E9E"/>
    <w:rsid w:val="00721F50"/>
    <w:rsid w:val="00721F90"/>
    <w:rsid w:val="00721FBB"/>
    <w:rsid w:val="007227AC"/>
    <w:rsid w:val="007227FE"/>
    <w:rsid w:val="0072290A"/>
    <w:rsid w:val="007233C3"/>
    <w:rsid w:val="00723521"/>
    <w:rsid w:val="00723C95"/>
    <w:rsid w:val="00723FFA"/>
    <w:rsid w:val="007240C6"/>
    <w:rsid w:val="007244E7"/>
    <w:rsid w:val="00724B9D"/>
    <w:rsid w:val="00724E77"/>
    <w:rsid w:val="00724F86"/>
    <w:rsid w:val="0072505F"/>
    <w:rsid w:val="00725128"/>
    <w:rsid w:val="00725241"/>
    <w:rsid w:val="007254F0"/>
    <w:rsid w:val="00725B00"/>
    <w:rsid w:val="00725E54"/>
    <w:rsid w:val="0072680C"/>
    <w:rsid w:val="00726845"/>
    <w:rsid w:val="0072698B"/>
    <w:rsid w:val="00726A25"/>
    <w:rsid w:val="00726B3D"/>
    <w:rsid w:val="00726B9C"/>
    <w:rsid w:val="00726C64"/>
    <w:rsid w:val="00726C82"/>
    <w:rsid w:val="00726CE1"/>
    <w:rsid w:val="00726FC6"/>
    <w:rsid w:val="00727B49"/>
    <w:rsid w:val="0073005C"/>
    <w:rsid w:val="0073055C"/>
    <w:rsid w:val="0073089B"/>
    <w:rsid w:val="00730C3F"/>
    <w:rsid w:val="00730D12"/>
    <w:rsid w:val="00730D83"/>
    <w:rsid w:val="007310B7"/>
    <w:rsid w:val="00731237"/>
    <w:rsid w:val="00731303"/>
    <w:rsid w:val="00731445"/>
    <w:rsid w:val="00731CF2"/>
    <w:rsid w:val="00731D60"/>
    <w:rsid w:val="00731DEA"/>
    <w:rsid w:val="00731E26"/>
    <w:rsid w:val="0073207E"/>
    <w:rsid w:val="00732149"/>
    <w:rsid w:val="007321AD"/>
    <w:rsid w:val="00732364"/>
    <w:rsid w:val="00732664"/>
    <w:rsid w:val="00732BA7"/>
    <w:rsid w:val="00732FF5"/>
    <w:rsid w:val="007332A0"/>
    <w:rsid w:val="007333EA"/>
    <w:rsid w:val="00733436"/>
    <w:rsid w:val="00733535"/>
    <w:rsid w:val="00733601"/>
    <w:rsid w:val="00733699"/>
    <w:rsid w:val="00733881"/>
    <w:rsid w:val="00733A57"/>
    <w:rsid w:val="00733CA4"/>
    <w:rsid w:val="00733E17"/>
    <w:rsid w:val="00733F36"/>
    <w:rsid w:val="00733FA5"/>
    <w:rsid w:val="007340CE"/>
    <w:rsid w:val="00734173"/>
    <w:rsid w:val="0073464E"/>
    <w:rsid w:val="00734781"/>
    <w:rsid w:val="00734801"/>
    <w:rsid w:val="0073492D"/>
    <w:rsid w:val="007349C6"/>
    <w:rsid w:val="007349FC"/>
    <w:rsid w:val="00734B6F"/>
    <w:rsid w:val="00734EEC"/>
    <w:rsid w:val="00735293"/>
    <w:rsid w:val="00735376"/>
    <w:rsid w:val="007354FE"/>
    <w:rsid w:val="0073579C"/>
    <w:rsid w:val="00735A9D"/>
    <w:rsid w:val="007362F3"/>
    <w:rsid w:val="007362FE"/>
    <w:rsid w:val="007363A4"/>
    <w:rsid w:val="007363EA"/>
    <w:rsid w:val="00736E06"/>
    <w:rsid w:val="00736E37"/>
    <w:rsid w:val="00737286"/>
    <w:rsid w:val="007373DB"/>
    <w:rsid w:val="007375F8"/>
    <w:rsid w:val="0073779E"/>
    <w:rsid w:val="00737A1B"/>
    <w:rsid w:val="00737B40"/>
    <w:rsid w:val="00737F27"/>
    <w:rsid w:val="00737FD3"/>
    <w:rsid w:val="00740558"/>
    <w:rsid w:val="007407DB"/>
    <w:rsid w:val="0074085F"/>
    <w:rsid w:val="00740877"/>
    <w:rsid w:val="00740BFC"/>
    <w:rsid w:val="00740D74"/>
    <w:rsid w:val="00740F76"/>
    <w:rsid w:val="00741037"/>
    <w:rsid w:val="00741553"/>
    <w:rsid w:val="007415FA"/>
    <w:rsid w:val="0074198F"/>
    <w:rsid w:val="00741A8F"/>
    <w:rsid w:val="00741AFA"/>
    <w:rsid w:val="00742139"/>
    <w:rsid w:val="007422B3"/>
    <w:rsid w:val="007424BF"/>
    <w:rsid w:val="007425CB"/>
    <w:rsid w:val="007426A4"/>
    <w:rsid w:val="00742F72"/>
    <w:rsid w:val="007434BD"/>
    <w:rsid w:val="007435F1"/>
    <w:rsid w:val="00743DDD"/>
    <w:rsid w:val="00743E0C"/>
    <w:rsid w:val="00743E9F"/>
    <w:rsid w:val="0074415D"/>
    <w:rsid w:val="00744625"/>
    <w:rsid w:val="007446BB"/>
    <w:rsid w:val="00744E95"/>
    <w:rsid w:val="00745882"/>
    <w:rsid w:val="00745A04"/>
    <w:rsid w:val="00745A0F"/>
    <w:rsid w:val="00745D2B"/>
    <w:rsid w:val="00745DFD"/>
    <w:rsid w:val="00746197"/>
    <w:rsid w:val="007462BF"/>
    <w:rsid w:val="007465B5"/>
    <w:rsid w:val="00746842"/>
    <w:rsid w:val="00746887"/>
    <w:rsid w:val="0074689C"/>
    <w:rsid w:val="00746905"/>
    <w:rsid w:val="00746B3F"/>
    <w:rsid w:val="00747117"/>
    <w:rsid w:val="007474C9"/>
    <w:rsid w:val="007475C3"/>
    <w:rsid w:val="00747973"/>
    <w:rsid w:val="007479C2"/>
    <w:rsid w:val="00747B0D"/>
    <w:rsid w:val="007503B0"/>
    <w:rsid w:val="00750712"/>
    <w:rsid w:val="00750872"/>
    <w:rsid w:val="00750F95"/>
    <w:rsid w:val="00751087"/>
    <w:rsid w:val="0075111B"/>
    <w:rsid w:val="007511BA"/>
    <w:rsid w:val="00751263"/>
    <w:rsid w:val="00751452"/>
    <w:rsid w:val="00751B16"/>
    <w:rsid w:val="00751D06"/>
    <w:rsid w:val="00751D74"/>
    <w:rsid w:val="00751ED4"/>
    <w:rsid w:val="007521A5"/>
    <w:rsid w:val="00752243"/>
    <w:rsid w:val="00752DAF"/>
    <w:rsid w:val="007531BA"/>
    <w:rsid w:val="007534CB"/>
    <w:rsid w:val="00753533"/>
    <w:rsid w:val="00753959"/>
    <w:rsid w:val="00753DD6"/>
    <w:rsid w:val="00753E22"/>
    <w:rsid w:val="007542AF"/>
    <w:rsid w:val="007543ED"/>
    <w:rsid w:val="00754A4A"/>
    <w:rsid w:val="007556F0"/>
    <w:rsid w:val="00755A7A"/>
    <w:rsid w:val="00755C16"/>
    <w:rsid w:val="00755CCB"/>
    <w:rsid w:val="00755F38"/>
    <w:rsid w:val="00756477"/>
    <w:rsid w:val="007567A8"/>
    <w:rsid w:val="00756B3F"/>
    <w:rsid w:val="00757451"/>
    <w:rsid w:val="00757510"/>
    <w:rsid w:val="00757EA6"/>
    <w:rsid w:val="007605DC"/>
    <w:rsid w:val="00760881"/>
    <w:rsid w:val="00760AB6"/>
    <w:rsid w:val="00760D1E"/>
    <w:rsid w:val="00760D65"/>
    <w:rsid w:val="00760F66"/>
    <w:rsid w:val="00761103"/>
    <w:rsid w:val="007611F8"/>
    <w:rsid w:val="00761200"/>
    <w:rsid w:val="00761291"/>
    <w:rsid w:val="007613BC"/>
    <w:rsid w:val="007615F6"/>
    <w:rsid w:val="00761774"/>
    <w:rsid w:val="007618E2"/>
    <w:rsid w:val="00761931"/>
    <w:rsid w:val="00761B1B"/>
    <w:rsid w:val="00761BD1"/>
    <w:rsid w:val="00761CAF"/>
    <w:rsid w:val="00761F50"/>
    <w:rsid w:val="00762555"/>
    <w:rsid w:val="00762710"/>
    <w:rsid w:val="0076278C"/>
    <w:rsid w:val="007627BA"/>
    <w:rsid w:val="0076291E"/>
    <w:rsid w:val="00762AAA"/>
    <w:rsid w:val="00762D81"/>
    <w:rsid w:val="007630B7"/>
    <w:rsid w:val="0076317B"/>
    <w:rsid w:val="007634C7"/>
    <w:rsid w:val="00763CB9"/>
    <w:rsid w:val="00763D32"/>
    <w:rsid w:val="007642CC"/>
    <w:rsid w:val="007643D5"/>
    <w:rsid w:val="00764576"/>
    <w:rsid w:val="007647F2"/>
    <w:rsid w:val="007652CC"/>
    <w:rsid w:val="00765366"/>
    <w:rsid w:val="0076553A"/>
    <w:rsid w:val="00765614"/>
    <w:rsid w:val="00765914"/>
    <w:rsid w:val="00765F01"/>
    <w:rsid w:val="0076614D"/>
    <w:rsid w:val="0076624C"/>
    <w:rsid w:val="0076627D"/>
    <w:rsid w:val="00766304"/>
    <w:rsid w:val="00766653"/>
    <w:rsid w:val="00766867"/>
    <w:rsid w:val="00766886"/>
    <w:rsid w:val="0076777D"/>
    <w:rsid w:val="00767845"/>
    <w:rsid w:val="0076790A"/>
    <w:rsid w:val="00767A28"/>
    <w:rsid w:val="00767DD2"/>
    <w:rsid w:val="007705DA"/>
    <w:rsid w:val="0077074D"/>
    <w:rsid w:val="0077078E"/>
    <w:rsid w:val="007707A9"/>
    <w:rsid w:val="007707E6"/>
    <w:rsid w:val="0077082B"/>
    <w:rsid w:val="00770B03"/>
    <w:rsid w:val="00770B12"/>
    <w:rsid w:val="00770E60"/>
    <w:rsid w:val="00770F36"/>
    <w:rsid w:val="00770FB0"/>
    <w:rsid w:val="00771448"/>
    <w:rsid w:val="00771944"/>
    <w:rsid w:val="00771C8F"/>
    <w:rsid w:val="00772019"/>
    <w:rsid w:val="00772057"/>
    <w:rsid w:val="00772177"/>
    <w:rsid w:val="00772468"/>
    <w:rsid w:val="0077266E"/>
    <w:rsid w:val="0077292E"/>
    <w:rsid w:val="00772CC4"/>
    <w:rsid w:val="007737D8"/>
    <w:rsid w:val="0077391C"/>
    <w:rsid w:val="00773D24"/>
    <w:rsid w:val="00773EEC"/>
    <w:rsid w:val="0077428F"/>
    <w:rsid w:val="00774322"/>
    <w:rsid w:val="00774576"/>
    <w:rsid w:val="007747C2"/>
    <w:rsid w:val="00774838"/>
    <w:rsid w:val="00774F2B"/>
    <w:rsid w:val="0077508A"/>
    <w:rsid w:val="007751CD"/>
    <w:rsid w:val="00775567"/>
    <w:rsid w:val="0077577C"/>
    <w:rsid w:val="007757B8"/>
    <w:rsid w:val="0077587A"/>
    <w:rsid w:val="0077590F"/>
    <w:rsid w:val="007759C3"/>
    <w:rsid w:val="00775E0D"/>
    <w:rsid w:val="00775E8D"/>
    <w:rsid w:val="00775F9D"/>
    <w:rsid w:val="007761A6"/>
    <w:rsid w:val="00776343"/>
    <w:rsid w:val="00776416"/>
    <w:rsid w:val="00776490"/>
    <w:rsid w:val="00776B35"/>
    <w:rsid w:val="00776C7B"/>
    <w:rsid w:val="00776CEF"/>
    <w:rsid w:val="00776DF7"/>
    <w:rsid w:val="007778E8"/>
    <w:rsid w:val="0077790B"/>
    <w:rsid w:val="00777E7E"/>
    <w:rsid w:val="00780194"/>
    <w:rsid w:val="007804DD"/>
    <w:rsid w:val="007805F8"/>
    <w:rsid w:val="007805FA"/>
    <w:rsid w:val="0078065D"/>
    <w:rsid w:val="007808D3"/>
    <w:rsid w:val="0078095A"/>
    <w:rsid w:val="00780D64"/>
    <w:rsid w:val="00780F3B"/>
    <w:rsid w:val="00780FFC"/>
    <w:rsid w:val="007810FF"/>
    <w:rsid w:val="007816EE"/>
    <w:rsid w:val="00781862"/>
    <w:rsid w:val="007819CF"/>
    <w:rsid w:val="00781B1F"/>
    <w:rsid w:val="00782071"/>
    <w:rsid w:val="007826D7"/>
    <w:rsid w:val="007827E0"/>
    <w:rsid w:val="00782942"/>
    <w:rsid w:val="00782946"/>
    <w:rsid w:val="007829D9"/>
    <w:rsid w:val="00782A80"/>
    <w:rsid w:val="00782AB1"/>
    <w:rsid w:val="00782EB7"/>
    <w:rsid w:val="00782ECD"/>
    <w:rsid w:val="007832D9"/>
    <w:rsid w:val="0078363B"/>
    <w:rsid w:val="00783BA1"/>
    <w:rsid w:val="00783CCF"/>
    <w:rsid w:val="00783F5B"/>
    <w:rsid w:val="00784272"/>
    <w:rsid w:val="007845AF"/>
    <w:rsid w:val="00784609"/>
    <w:rsid w:val="00784720"/>
    <w:rsid w:val="00784768"/>
    <w:rsid w:val="0078478E"/>
    <w:rsid w:val="0078481D"/>
    <w:rsid w:val="00784991"/>
    <w:rsid w:val="00784F9C"/>
    <w:rsid w:val="0078541E"/>
    <w:rsid w:val="00785563"/>
    <w:rsid w:val="00785929"/>
    <w:rsid w:val="007859FC"/>
    <w:rsid w:val="00785B13"/>
    <w:rsid w:val="00785CF8"/>
    <w:rsid w:val="00785F4C"/>
    <w:rsid w:val="0078604B"/>
    <w:rsid w:val="0078609C"/>
    <w:rsid w:val="00786355"/>
    <w:rsid w:val="00786A9F"/>
    <w:rsid w:val="00786E5F"/>
    <w:rsid w:val="00787370"/>
    <w:rsid w:val="007874AE"/>
    <w:rsid w:val="0078750B"/>
    <w:rsid w:val="0078774E"/>
    <w:rsid w:val="00787F5E"/>
    <w:rsid w:val="0079024D"/>
    <w:rsid w:val="00790395"/>
    <w:rsid w:val="00790CB6"/>
    <w:rsid w:val="007911B8"/>
    <w:rsid w:val="0079157A"/>
    <w:rsid w:val="0079187A"/>
    <w:rsid w:val="00791961"/>
    <w:rsid w:val="00791A5B"/>
    <w:rsid w:val="00791C0B"/>
    <w:rsid w:val="00791C9B"/>
    <w:rsid w:val="00791DAE"/>
    <w:rsid w:val="00791DF6"/>
    <w:rsid w:val="0079223A"/>
    <w:rsid w:val="0079282F"/>
    <w:rsid w:val="00792D6A"/>
    <w:rsid w:val="00792D72"/>
    <w:rsid w:val="00792DF3"/>
    <w:rsid w:val="00792EF3"/>
    <w:rsid w:val="007930E8"/>
    <w:rsid w:val="0079325B"/>
    <w:rsid w:val="007935F5"/>
    <w:rsid w:val="00793C69"/>
    <w:rsid w:val="00793D04"/>
    <w:rsid w:val="00793E8D"/>
    <w:rsid w:val="00793F28"/>
    <w:rsid w:val="00793FDB"/>
    <w:rsid w:val="00794252"/>
    <w:rsid w:val="00794446"/>
    <w:rsid w:val="007944D2"/>
    <w:rsid w:val="00794520"/>
    <w:rsid w:val="00794728"/>
    <w:rsid w:val="00794A17"/>
    <w:rsid w:val="00794B19"/>
    <w:rsid w:val="00794D93"/>
    <w:rsid w:val="007952D0"/>
    <w:rsid w:val="0079593A"/>
    <w:rsid w:val="00795A4C"/>
    <w:rsid w:val="00795B8D"/>
    <w:rsid w:val="00795D03"/>
    <w:rsid w:val="00795EB9"/>
    <w:rsid w:val="00795F0E"/>
    <w:rsid w:val="00796031"/>
    <w:rsid w:val="007960A9"/>
    <w:rsid w:val="00796210"/>
    <w:rsid w:val="0079703F"/>
    <w:rsid w:val="00797111"/>
    <w:rsid w:val="00797C8F"/>
    <w:rsid w:val="00797D8F"/>
    <w:rsid w:val="00797E14"/>
    <w:rsid w:val="007A02C7"/>
    <w:rsid w:val="007A09EB"/>
    <w:rsid w:val="007A0C00"/>
    <w:rsid w:val="007A0E15"/>
    <w:rsid w:val="007A0E91"/>
    <w:rsid w:val="007A1091"/>
    <w:rsid w:val="007A11F7"/>
    <w:rsid w:val="007A13B4"/>
    <w:rsid w:val="007A176E"/>
    <w:rsid w:val="007A19BF"/>
    <w:rsid w:val="007A24E0"/>
    <w:rsid w:val="007A2644"/>
    <w:rsid w:val="007A27F7"/>
    <w:rsid w:val="007A2A69"/>
    <w:rsid w:val="007A2BF2"/>
    <w:rsid w:val="007A2CF1"/>
    <w:rsid w:val="007A2E00"/>
    <w:rsid w:val="007A301B"/>
    <w:rsid w:val="007A317D"/>
    <w:rsid w:val="007A33A0"/>
    <w:rsid w:val="007A3A6A"/>
    <w:rsid w:val="007A3E64"/>
    <w:rsid w:val="007A41B5"/>
    <w:rsid w:val="007A4486"/>
    <w:rsid w:val="007A44A2"/>
    <w:rsid w:val="007A4568"/>
    <w:rsid w:val="007A458A"/>
    <w:rsid w:val="007A4682"/>
    <w:rsid w:val="007A4ED6"/>
    <w:rsid w:val="007A5123"/>
    <w:rsid w:val="007A5762"/>
    <w:rsid w:val="007A5879"/>
    <w:rsid w:val="007A58A8"/>
    <w:rsid w:val="007A58C8"/>
    <w:rsid w:val="007A5B90"/>
    <w:rsid w:val="007A5BDC"/>
    <w:rsid w:val="007A629D"/>
    <w:rsid w:val="007A6610"/>
    <w:rsid w:val="007A6933"/>
    <w:rsid w:val="007A6B57"/>
    <w:rsid w:val="007A6DD3"/>
    <w:rsid w:val="007A6E99"/>
    <w:rsid w:val="007A6FF3"/>
    <w:rsid w:val="007A71DC"/>
    <w:rsid w:val="007A754E"/>
    <w:rsid w:val="007A7743"/>
    <w:rsid w:val="007A7A04"/>
    <w:rsid w:val="007A7B46"/>
    <w:rsid w:val="007A7EE9"/>
    <w:rsid w:val="007B0369"/>
    <w:rsid w:val="007B03CD"/>
    <w:rsid w:val="007B04FF"/>
    <w:rsid w:val="007B0786"/>
    <w:rsid w:val="007B0976"/>
    <w:rsid w:val="007B09A5"/>
    <w:rsid w:val="007B09A8"/>
    <w:rsid w:val="007B0CAC"/>
    <w:rsid w:val="007B15F3"/>
    <w:rsid w:val="007B1605"/>
    <w:rsid w:val="007B1701"/>
    <w:rsid w:val="007B17C0"/>
    <w:rsid w:val="007B18EC"/>
    <w:rsid w:val="007B1C32"/>
    <w:rsid w:val="007B1DBB"/>
    <w:rsid w:val="007B2158"/>
    <w:rsid w:val="007B2319"/>
    <w:rsid w:val="007B2FBF"/>
    <w:rsid w:val="007B30DE"/>
    <w:rsid w:val="007B31F8"/>
    <w:rsid w:val="007B3215"/>
    <w:rsid w:val="007B322E"/>
    <w:rsid w:val="007B35F8"/>
    <w:rsid w:val="007B366A"/>
    <w:rsid w:val="007B3A96"/>
    <w:rsid w:val="007B3CD6"/>
    <w:rsid w:val="007B3E13"/>
    <w:rsid w:val="007B4046"/>
    <w:rsid w:val="007B4300"/>
    <w:rsid w:val="007B44CE"/>
    <w:rsid w:val="007B44F9"/>
    <w:rsid w:val="007B49D4"/>
    <w:rsid w:val="007B5036"/>
    <w:rsid w:val="007B512C"/>
    <w:rsid w:val="007B5271"/>
    <w:rsid w:val="007B5475"/>
    <w:rsid w:val="007B565C"/>
    <w:rsid w:val="007B56DC"/>
    <w:rsid w:val="007B595F"/>
    <w:rsid w:val="007B5984"/>
    <w:rsid w:val="007B5B8D"/>
    <w:rsid w:val="007B5D75"/>
    <w:rsid w:val="007B5DC9"/>
    <w:rsid w:val="007B6029"/>
    <w:rsid w:val="007B6388"/>
    <w:rsid w:val="007B64B5"/>
    <w:rsid w:val="007B650C"/>
    <w:rsid w:val="007B6786"/>
    <w:rsid w:val="007B6D5E"/>
    <w:rsid w:val="007B707D"/>
    <w:rsid w:val="007B7115"/>
    <w:rsid w:val="007B736B"/>
    <w:rsid w:val="007B73F3"/>
    <w:rsid w:val="007B74F9"/>
    <w:rsid w:val="007B77A8"/>
    <w:rsid w:val="007C0039"/>
    <w:rsid w:val="007C007A"/>
    <w:rsid w:val="007C0090"/>
    <w:rsid w:val="007C0853"/>
    <w:rsid w:val="007C08D0"/>
    <w:rsid w:val="007C08FD"/>
    <w:rsid w:val="007C0C90"/>
    <w:rsid w:val="007C0E07"/>
    <w:rsid w:val="007C0E86"/>
    <w:rsid w:val="007C15D2"/>
    <w:rsid w:val="007C1A5C"/>
    <w:rsid w:val="007C1A85"/>
    <w:rsid w:val="007C1C98"/>
    <w:rsid w:val="007C2015"/>
    <w:rsid w:val="007C249E"/>
    <w:rsid w:val="007C26CF"/>
    <w:rsid w:val="007C271B"/>
    <w:rsid w:val="007C2740"/>
    <w:rsid w:val="007C2AF7"/>
    <w:rsid w:val="007C2C14"/>
    <w:rsid w:val="007C2D50"/>
    <w:rsid w:val="007C2FFA"/>
    <w:rsid w:val="007C30AA"/>
    <w:rsid w:val="007C357D"/>
    <w:rsid w:val="007C3A55"/>
    <w:rsid w:val="007C3AEA"/>
    <w:rsid w:val="007C3CAE"/>
    <w:rsid w:val="007C4166"/>
    <w:rsid w:val="007C44E1"/>
    <w:rsid w:val="007C475A"/>
    <w:rsid w:val="007C47EC"/>
    <w:rsid w:val="007C48DD"/>
    <w:rsid w:val="007C49F8"/>
    <w:rsid w:val="007C4A05"/>
    <w:rsid w:val="007C4D79"/>
    <w:rsid w:val="007C4D7F"/>
    <w:rsid w:val="007C5041"/>
    <w:rsid w:val="007C54E3"/>
    <w:rsid w:val="007C55F6"/>
    <w:rsid w:val="007C5711"/>
    <w:rsid w:val="007C57B9"/>
    <w:rsid w:val="007C593F"/>
    <w:rsid w:val="007C5A3D"/>
    <w:rsid w:val="007C5E09"/>
    <w:rsid w:val="007C5E26"/>
    <w:rsid w:val="007C6114"/>
    <w:rsid w:val="007C62EF"/>
    <w:rsid w:val="007C6325"/>
    <w:rsid w:val="007C637E"/>
    <w:rsid w:val="007C6C53"/>
    <w:rsid w:val="007C6F40"/>
    <w:rsid w:val="007C71FB"/>
    <w:rsid w:val="007C7213"/>
    <w:rsid w:val="007C728D"/>
    <w:rsid w:val="007C73A3"/>
    <w:rsid w:val="007C73E8"/>
    <w:rsid w:val="007C7854"/>
    <w:rsid w:val="007C7871"/>
    <w:rsid w:val="007C7975"/>
    <w:rsid w:val="007C7AAE"/>
    <w:rsid w:val="007C7BA3"/>
    <w:rsid w:val="007C7EF5"/>
    <w:rsid w:val="007D06AC"/>
    <w:rsid w:val="007D0741"/>
    <w:rsid w:val="007D085D"/>
    <w:rsid w:val="007D0A53"/>
    <w:rsid w:val="007D0C62"/>
    <w:rsid w:val="007D0FFC"/>
    <w:rsid w:val="007D1013"/>
    <w:rsid w:val="007D19EC"/>
    <w:rsid w:val="007D1C3F"/>
    <w:rsid w:val="007D1DEE"/>
    <w:rsid w:val="007D1E88"/>
    <w:rsid w:val="007D2180"/>
    <w:rsid w:val="007D230F"/>
    <w:rsid w:val="007D2608"/>
    <w:rsid w:val="007D27B6"/>
    <w:rsid w:val="007D30C3"/>
    <w:rsid w:val="007D35AC"/>
    <w:rsid w:val="007D36B1"/>
    <w:rsid w:val="007D36D7"/>
    <w:rsid w:val="007D3A25"/>
    <w:rsid w:val="007D3BA1"/>
    <w:rsid w:val="007D3BDB"/>
    <w:rsid w:val="007D3EC8"/>
    <w:rsid w:val="007D40AC"/>
    <w:rsid w:val="007D41E9"/>
    <w:rsid w:val="007D4317"/>
    <w:rsid w:val="007D48B9"/>
    <w:rsid w:val="007D49DC"/>
    <w:rsid w:val="007D4C12"/>
    <w:rsid w:val="007D4E3E"/>
    <w:rsid w:val="007D52DC"/>
    <w:rsid w:val="007D55C7"/>
    <w:rsid w:val="007D57E0"/>
    <w:rsid w:val="007D5962"/>
    <w:rsid w:val="007D5C3C"/>
    <w:rsid w:val="007D5C94"/>
    <w:rsid w:val="007D60ED"/>
    <w:rsid w:val="007D621A"/>
    <w:rsid w:val="007D63B2"/>
    <w:rsid w:val="007D63B5"/>
    <w:rsid w:val="007D651D"/>
    <w:rsid w:val="007D6559"/>
    <w:rsid w:val="007D6D51"/>
    <w:rsid w:val="007D6F81"/>
    <w:rsid w:val="007D71B7"/>
    <w:rsid w:val="007D7663"/>
    <w:rsid w:val="007D7C66"/>
    <w:rsid w:val="007D7CF3"/>
    <w:rsid w:val="007E024D"/>
    <w:rsid w:val="007E0274"/>
    <w:rsid w:val="007E02A7"/>
    <w:rsid w:val="007E0415"/>
    <w:rsid w:val="007E04F3"/>
    <w:rsid w:val="007E089B"/>
    <w:rsid w:val="007E08BC"/>
    <w:rsid w:val="007E0991"/>
    <w:rsid w:val="007E0B2C"/>
    <w:rsid w:val="007E0BA1"/>
    <w:rsid w:val="007E107F"/>
    <w:rsid w:val="007E1184"/>
    <w:rsid w:val="007E1BC4"/>
    <w:rsid w:val="007E1C84"/>
    <w:rsid w:val="007E21FA"/>
    <w:rsid w:val="007E22B5"/>
    <w:rsid w:val="007E247F"/>
    <w:rsid w:val="007E25ED"/>
    <w:rsid w:val="007E26AE"/>
    <w:rsid w:val="007E289E"/>
    <w:rsid w:val="007E2DF2"/>
    <w:rsid w:val="007E2F1E"/>
    <w:rsid w:val="007E2FA9"/>
    <w:rsid w:val="007E2FD7"/>
    <w:rsid w:val="007E310B"/>
    <w:rsid w:val="007E3373"/>
    <w:rsid w:val="007E38DA"/>
    <w:rsid w:val="007E3C81"/>
    <w:rsid w:val="007E3D65"/>
    <w:rsid w:val="007E3D6E"/>
    <w:rsid w:val="007E3EE2"/>
    <w:rsid w:val="007E40B7"/>
    <w:rsid w:val="007E42C6"/>
    <w:rsid w:val="007E464F"/>
    <w:rsid w:val="007E468E"/>
    <w:rsid w:val="007E47E7"/>
    <w:rsid w:val="007E4929"/>
    <w:rsid w:val="007E4A5E"/>
    <w:rsid w:val="007E4A98"/>
    <w:rsid w:val="007E4EA1"/>
    <w:rsid w:val="007E4EB6"/>
    <w:rsid w:val="007E50AA"/>
    <w:rsid w:val="007E5369"/>
    <w:rsid w:val="007E5693"/>
    <w:rsid w:val="007E5DD7"/>
    <w:rsid w:val="007E5E05"/>
    <w:rsid w:val="007E6CA4"/>
    <w:rsid w:val="007E7139"/>
    <w:rsid w:val="007E7366"/>
    <w:rsid w:val="007E7EA1"/>
    <w:rsid w:val="007E7EA4"/>
    <w:rsid w:val="007F01EE"/>
    <w:rsid w:val="007F03CE"/>
    <w:rsid w:val="007F04D3"/>
    <w:rsid w:val="007F0690"/>
    <w:rsid w:val="007F06A4"/>
    <w:rsid w:val="007F0DB7"/>
    <w:rsid w:val="007F0E95"/>
    <w:rsid w:val="007F0EE6"/>
    <w:rsid w:val="007F107D"/>
    <w:rsid w:val="007F124D"/>
    <w:rsid w:val="007F137D"/>
    <w:rsid w:val="007F19F1"/>
    <w:rsid w:val="007F1EEB"/>
    <w:rsid w:val="007F1EFF"/>
    <w:rsid w:val="007F1F25"/>
    <w:rsid w:val="007F21AC"/>
    <w:rsid w:val="007F2A1D"/>
    <w:rsid w:val="007F2A9F"/>
    <w:rsid w:val="007F2AAE"/>
    <w:rsid w:val="007F2D8D"/>
    <w:rsid w:val="007F2DCE"/>
    <w:rsid w:val="007F2EBF"/>
    <w:rsid w:val="007F3044"/>
    <w:rsid w:val="007F3249"/>
    <w:rsid w:val="007F3898"/>
    <w:rsid w:val="007F3A6C"/>
    <w:rsid w:val="007F3BB0"/>
    <w:rsid w:val="007F3E1A"/>
    <w:rsid w:val="007F416E"/>
    <w:rsid w:val="007F4657"/>
    <w:rsid w:val="007F49E6"/>
    <w:rsid w:val="007F4AFC"/>
    <w:rsid w:val="007F4CE9"/>
    <w:rsid w:val="007F5609"/>
    <w:rsid w:val="007F5625"/>
    <w:rsid w:val="007F568A"/>
    <w:rsid w:val="007F58E7"/>
    <w:rsid w:val="007F59F7"/>
    <w:rsid w:val="007F5A7D"/>
    <w:rsid w:val="007F5D13"/>
    <w:rsid w:val="007F5E21"/>
    <w:rsid w:val="007F619D"/>
    <w:rsid w:val="007F6335"/>
    <w:rsid w:val="007F640C"/>
    <w:rsid w:val="007F6413"/>
    <w:rsid w:val="007F676E"/>
    <w:rsid w:val="007F6B11"/>
    <w:rsid w:val="007F6C91"/>
    <w:rsid w:val="007F6E2B"/>
    <w:rsid w:val="007F6F3C"/>
    <w:rsid w:val="007F6F73"/>
    <w:rsid w:val="007F70A5"/>
    <w:rsid w:val="007F78F2"/>
    <w:rsid w:val="007F7B4F"/>
    <w:rsid w:val="007F7BD5"/>
    <w:rsid w:val="007F7D12"/>
    <w:rsid w:val="007F7F02"/>
    <w:rsid w:val="00800258"/>
    <w:rsid w:val="00800562"/>
    <w:rsid w:val="00800842"/>
    <w:rsid w:val="00800C97"/>
    <w:rsid w:val="00800E69"/>
    <w:rsid w:val="00800E9D"/>
    <w:rsid w:val="00800EB8"/>
    <w:rsid w:val="008014C0"/>
    <w:rsid w:val="008014EC"/>
    <w:rsid w:val="008015BF"/>
    <w:rsid w:val="0080190B"/>
    <w:rsid w:val="00801DAE"/>
    <w:rsid w:val="0080220F"/>
    <w:rsid w:val="00802735"/>
    <w:rsid w:val="00802739"/>
    <w:rsid w:val="008028C2"/>
    <w:rsid w:val="00802A1B"/>
    <w:rsid w:val="00802C28"/>
    <w:rsid w:val="00802DDB"/>
    <w:rsid w:val="00803043"/>
    <w:rsid w:val="00803156"/>
    <w:rsid w:val="00803165"/>
    <w:rsid w:val="00803547"/>
    <w:rsid w:val="008037D8"/>
    <w:rsid w:val="00803979"/>
    <w:rsid w:val="00803B7E"/>
    <w:rsid w:val="00803DA6"/>
    <w:rsid w:val="00804098"/>
    <w:rsid w:val="008040D9"/>
    <w:rsid w:val="00804197"/>
    <w:rsid w:val="0080436E"/>
    <w:rsid w:val="0080441D"/>
    <w:rsid w:val="00804937"/>
    <w:rsid w:val="008049CF"/>
    <w:rsid w:val="00804E1E"/>
    <w:rsid w:val="00804E43"/>
    <w:rsid w:val="008050B7"/>
    <w:rsid w:val="008050F5"/>
    <w:rsid w:val="00805112"/>
    <w:rsid w:val="0080512F"/>
    <w:rsid w:val="0080519C"/>
    <w:rsid w:val="00805345"/>
    <w:rsid w:val="00805720"/>
    <w:rsid w:val="00805C71"/>
    <w:rsid w:val="00806606"/>
    <w:rsid w:val="00806779"/>
    <w:rsid w:val="008068F7"/>
    <w:rsid w:val="0080702E"/>
    <w:rsid w:val="00807247"/>
    <w:rsid w:val="0080792D"/>
    <w:rsid w:val="008079A7"/>
    <w:rsid w:val="008104A3"/>
    <w:rsid w:val="00810710"/>
    <w:rsid w:val="0081072A"/>
    <w:rsid w:val="00810BC2"/>
    <w:rsid w:val="00811683"/>
    <w:rsid w:val="00811AFF"/>
    <w:rsid w:val="0081209A"/>
    <w:rsid w:val="00812102"/>
    <w:rsid w:val="00812195"/>
    <w:rsid w:val="00812373"/>
    <w:rsid w:val="00812C24"/>
    <w:rsid w:val="0081322C"/>
    <w:rsid w:val="00813F3A"/>
    <w:rsid w:val="008140E8"/>
    <w:rsid w:val="00814271"/>
    <w:rsid w:val="0081429C"/>
    <w:rsid w:val="008142EA"/>
    <w:rsid w:val="00814388"/>
    <w:rsid w:val="008143DD"/>
    <w:rsid w:val="0081464E"/>
    <w:rsid w:val="0081465B"/>
    <w:rsid w:val="0081478F"/>
    <w:rsid w:val="00814941"/>
    <w:rsid w:val="00814955"/>
    <w:rsid w:val="00814A65"/>
    <w:rsid w:val="00814BD9"/>
    <w:rsid w:val="00814D0E"/>
    <w:rsid w:val="008152B3"/>
    <w:rsid w:val="0081532C"/>
    <w:rsid w:val="008158AC"/>
    <w:rsid w:val="00816805"/>
    <w:rsid w:val="00816BE8"/>
    <w:rsid w:val="00816CD5"/>
    <w:rsid w:val="00816DBD"/>
    <w:rsid w:val="00816EAC"/>
    <w:rsid w:val="00816FE2"/>
    <w:rsid w:val="00817062"/>
    <w:rsid w:val="00817135"/>
    <w:rsid w:val="0081725E"/>
    <w:rsid w:val="0081767D"/>
    <w:rsid w:val="0081797B"/>
    <w:rsid w:val="00817991"/>
    <w:rsid w:val="00817B48"/>
    <w:rsid w:val="00817F30"/>
    <w:rsid w:val="00817F58"/>
    <w:rsid w:val="0082003A"/>
    <w:rsid w:val="008203C5"/>
    <w:rsid w:val="00820622"/>
    <w:rsid w:val="00820A86"/>
    <w:rsid w:val="00820B84"/>
    <w:rsid w:val="00820BE3"/>
    <w:rsid w:val="00820BF6"/>
    <w:rsid w:val="00820D32"/>
    <w:rsid w:val="00821324"/>
    <w:rsid w:val="0082199B"/>
    <w:rsid w:val="008219B2"/>
    <w:rsid w:val="00821BD3"/>
    <w:rsid w:val="00821C2A"/>
    <w:rsid w:val="008227B7"/>
    <w:rsid w:val="0082286F"/>
    <w:rsid w:val="00822879"/>
    <w:rsid w:val="00822D07"/>
    <w:rsid w:val="008230EA"/>
    <w:rsid w:val="00823681"/>
    <w:rsid w:val="00823925"/>
    <w:rsid w:val="00823CB3"/>
    <w:rsid w:val="00823CE5"/>
    <w:rsid w:val="0082429A"/>
    <w:rsid w:val="0082439A"/>
    <w:rsid w:val="008243A8"/>
    <w:rsid w:val="008246A0"/>
    <w:rsid w:val="00824782"/>
    <w:rsid w:val="00824925"/>
    <w:rsid w:val="00824BB5"/>
    <w:rsid w:val="00824C8B"/>
    <w:rsid w:val="00824EA9"/>
    <w:rsid w:val="008252E8"/>
    <w:rsid w:val="0082561B"/>
    <w:rsid w:val="00825BA8"/>
    <w:rsid w:val="00825BD1"/>
    <w:rsid w:val="00825C14"/>
    <w:rsid w:val="00825F4F"/>
    <w:rsid w:val="00825FAF"/>
    <w:rsid w:val="00825FD5"/>
    <w:rsid w:val="0082641D"/>
    <w:rsid w:val="00826442"/>
    <w:rsid w:val="008267CA"/>
    <w:rsid w:val="00826821"/>
    <w:rsid w:val="00826BA5"/>
    <w:rsid w:val="00826C53"/>
    <w:rsid w:val="0082722B"/>
    <w:rsid w:val="00827456"/>
    <w:rsid w:val="008275D3"/>
    <w:rsid w:val="00827C1B"/>
    <w:rsid w:val="00827E58"/>
    <w:rsid w:val="00827FC5"/>
    <w:rsid w:val="008300C7"/>
    <w:rsid w:val="0083016B"/>
    <w:rsid w:val="008301F1"/>
    <w:rsid w:val="00830C0E"/>
    <w:rsid w:val="008311B6"/>
    <w:rsid w:val="008313E0"/>
    <w:rsid w:val="00831742"/>
    <w:rsid w:val="008317EC"/>
    <w:rsid w:val="0083195D"/>
    <w:rsid w:val="00831B7B"/>
    <w:rsid w:val="00831D90"/>
    <w:rsid w:val="00831DA8"/>
    <w:rsid w:val="00832411"/>
    <w:rsid w:val="008324F3"/>
    <w:rsid w:val="00832691"/>
    <w:rsid w:val="0083296B"/>
    <w:rsid w:val="0083305E"/>
    <w:rsid w:val="00833396"/>
    <w:rsid w:val="00833547"/>
    <w:rsid w:val="00833852"/>
    <w:rsid w:val="00833AB9"/>
    <w:rsid w:val="00834247"/>
    <w:rsid w:val="00834493"/>
    <w:rsid w:val="008344EC"/>
    <w:rsid w:val="00834820"/>
    <w:rsid w:val="00834B6D"/>
    <w:rsid w:val="00834C82"/>
    <w:rsid w:val="00834DB6"/>
    <w:rsid w:val="00834F93"/>
    <w:rsid w:val="008354DB"/>
    <w:rsid w:val="008357C6"/>
    <w:rsid w:val="0083580A"/>
    <w:rsid w:val="0083593C"/>
    <w:rsid w:val="00836798"/>
    <w:rsid w:val="0083692A"/>
    <w:rsid w:val="00836B54"/>
    <w:rsid w:val="00836B8E"/>
    <w:rsid w:val="00836C32"/>
    <w:rsid w:val="0083704B"/>
    <w:rsid w:val="008371F8"/>
    <w:rsid w:val="00837273"/>
    <w:rsid w:val="008379BA"/>
    <w:rsid w:val="00837E1D"/>
    <w:rsid w:val="008402FB"/>
    <w:rsid w:val="0084052E"/>
    <w:rsid w:val="008407B7"/>
    <w:rsid w:val="00840C4A"/>
    <w:rsid w:val="0084108C"/>
    <w:rsid w:val="008410D2"/>
    <w:rsid w:val="008411B9"/>
    <w:rsid w:val="0084122F"/>
    <w:rsid w:val="0084151F"/>
    <w:rsid w:val="00841573"/>
    <w:rsid w:val="0084175D"/>
    <w:rsid w:val="00841946"/>
    <w:rsid w:val="00841D08"/>
    <w:rsid w:val="008422DA"/>
    <w:rsid w:val="008423CA"/>
    <w:rsid w:val="008424DA"/>
    <w:rsid w:val="00842624"/>
    <w:rsid w:val="008426F1"/>
    <w:rsid w:val="0084273D"/>
    <w:rsid w:val="00842D43"/>
    <w:rsid w:val="00842DA4"/>
    <w:rsid w:val="00843072"/>
    <w:rsid w:val="00843145"/>
    <w:rsid w:val="0084323E"/>
    <w:rsid w:val="008435BA"/>
    <w:rsid w:val="0084375D"/>
    <w:rsid w:val="008439F1"/>
    <w:rsid w:val="00843AC3"/>
    <w:rsid w:val="00843B35"/>
    <w:rsid w:val="00843D50"/>
    <w:rsid w:val="00843D6C"/>
    <w:rsid w:val="00843E04"/>
    <w:rsid w:val="00843EEB"/>
    <w:rsid w:val="0084464E"/>
    <w:rsid w:val="008455AC"/>
    <w:rsid w:val="00845650"/>
    <w:rsid w:val="008458BF"/>
    <w:rsid w:val="0084594A"/>
    <w:rsid w:val="00845D46"/>
    <w:rsid w:val="00846262"/>
    <w:rsid w:val="0084627A"/>
    <w:rsid w:val="00846370"/>
    <w:rsid w:val="00846DA2"/>
    <w:rsid w:val="00846DCD"/>
    <w:rsid w:val="00846EC0"/>
    <w:rsid w:val="00847665"/>
    <w:rsid w:val="00847AE9"/>
    <w:rsid w:val="00847BC5"/>
    <w:rsid w:val="00847C38"/>
    <w:rsid w:val="00847DEE"/>
    <w:rsid w:val="00847F11"/>
    <w:rsid w:val="00850010"/>
    <w:rsid w:val="008500EB"/>
    <w:rsid w:val="008503F4"/>
    <w:rsid w:val="008504A0"/>
    <w:rsid w:val="00850555"/>
    <w:rsid w:val="00850613"/>
    <w:rsid w:val="008507D5"/>
    <w:rsid w:val="00850AC1"/>
    <w:rsid w:val="00850C2A"/>
    <w:rsid w:val="00850DE2"/>
    <w:rsid w:val="00850DFA"/>
    <w:rsid w:val="00851331"/>
    <w:rsid w:val="008514C7"/>
    <w:rsid w:val="008516A3"/>
    <w:rsid w:val="008516D1"/>
    <w:rsid w:val="00851DEA"/>
    <w:rsid w:val="00851E90"/>
    <w:rsid w:val="00852003"/>
    <w:rsid w:val="0085212C"/>
    <w:rsid w:val="008526A5"/>
    <w:rsid w:val="008526DC"/>
    <w:rsid w:val="00852E7A"/>
    <w:rsid w:val="00852F9E"/>
    <w:rsid w:val="0085390F"/>
    <w:rsid w:val="00853913"/>
    <w:rsid w:val="00853A43"/>
    <w:rsid w:val="00853C35"/>
    <w:rsid w:val="00853F61"/>
    <w:rsid w:val="00854053"/>
    <w:rsid w:val="008540CD"/>
    <w:rsid w:val="00854372"/>
    <w:rsid w:val="008543AC"/>
    <w:rsid w:val="008544E6"/>
    <w:rsid w:val="008548B8"/>
    <w:rsid w:val="008548BE"/>
    <w:rsid w:val="00854965"/>
    <w:rsid w:val="00855001"/>
    <w:rsid w:val="0085519E"/>
    <w:rsid w:val="00855314"/>
    <w:rsid w:val="008554D1"/>
    <w:rsid w:val="008558E0"/>
    <w:rsid w:val="00855DB0"/>
    <w:rsid w:val="00857264"/>
    <w:rsid w:val="0085745E"/>
    <w:rsid w:val="0085770B"/>
    <w:rsid w:val="00857AF7"/>
    <w:rsid w:val="00857F51"/>
    <w:rsid w:val="00860109"/>
    <w:rsid w:val="008601BD"/>
    <w:rsid w:val="00860359"/>
    <w:rsid w:val="008603E7"/>
    <w:rsid w:val="00860700"/>
    <w:rsid w:val="00860C0C"/>
    <w:rsid w:val="00860C47"/>
    <w:rsid w:val="00860E43"/>
    <w:rsid w:val="00860EE9"/>
    <w:rsid w:val="00861075"/>
    <w:rsid w:val="00861252"/>
    <w:rsid w:val="00861465"/>
    <w:rsid w:val="008615FE"/>
    <w:rsid w:val="0086171A"/>
    <w:rsid w:val="0086187D"/>
    <w:rsid w:val="0086190F"/>
    <w:rsid w:val="00861B89"/>
    <w:rsid w:val="0086226C"/>
    <w:rsid w:val="0086245B"/>
    <w:rsid w:val="00862C71"/>
    <w:rsid w:val="00862C76"/>
    <w:rsid w:val="00862D3C"/>
    <w:rsid w:val="00863229"/>
    <w:rsid w:val="008638F5"/>
    <w:rsid w:val="00863968"/>
    <w:rsid w:val="00863A9D"/>
    <w:rsid w:val="00863C08"/>
    <w:rsid w:val="008640E9"/>
    <w:rsid w:val="00864491"/>
    <w:rsid w:val="008644A4"/>
    <w:rsid w:val="008644EF"/>
    <w:rsid w:val="008645B7"/>
    <w:rsid w:val="00864A6C"/>
    <w:rsid w:val="00864B97"/>
    <w:rsid w:val="00864BB1"/>
    <w:rsid w:val="00864DF7"/>
    <w:rsid w:val="00864FDB"/>
    <w:rsid w:val="00865278"/>
    <w:rsid w:val="008654F9"/>
    <w:rsid w:val="008657DA"/>
    <w:rsid w:val="008658C0"/>
    <w:rsid w:val="00865CB4"/>
    <w:rsid w:val="0086623E"/>
    <w:rsid w:val="00866388"/>
    <w:rsid w:val="00866395"/>
    <w:rsid w:val="00866773"/>
    <w:rsid w:val="00866E6B"/>
    <w:rsid w:val="00866FE3"/>
    <w:rsid w:val="0086722D"/>
    <w:rsid w:val="008672C7"/>
    <w:rsid w:val="0086776E"/>
    <w:rsid w:val="00867D56"/>
    <w:rsid w:val="008701DE"/>
    <w:rsid w:val="0087028A"/>
    <w:rsid w:val="008707AB"/>
    <w:rsid w:val="00870BAA"/>
    <w:rsid w:val="00870C1D"/>
    <w:rsid w:val="00870D91"/>
    <w:rsid w:val="00870F54"/>
    <w:rsid w:val="008716D1"/>
    <w:rsid w:val="008716ED"/>
    <w:rsid w:val="0087193F"/>
    <w:rsid w:val="00871A52"/>
    <w:rsid w:val="00872440"/>
    <w:rsid w:val="008724E6"/>
    <w:rsid w:val="00872706"/>
    <w:rsid w:val="00872767"/>
    <w:rsid w:val="008728C8"/>
    <w:rsid w:val="00872975"/>
    <w:rsid w:val="00873205"/>
    <w:rsid w:val="008735E8"/>
    <w:rsid w:val="008736B6"/>
    <w:rsid w:val="0087377E"/>
    <w:rsid w:val="008737F6"/>
    <w:rsid w:val="008739AB"/>
    <w:rsid w:val="00873C71"/>
    <w:rsid w:val="00873D38"/>
    <w:rsid w:val="00873D5F"/>
    <w:rsid w:val="00873DEF"/>
    <w:rsid w:val="00873FB1"/>
    <w:rsid w:val="00874043"/>
    <w:rsid w:val="00874594"/>
    <w:rsid w:val="0087473D"/>
    <w:rsid w:val="00874776"/>
    <w:rsid w:val="0087487C"/>
    <w:rsid w:val="00874A07"/>
    <w:rsid w:val="00874B75"/>
    <w:rsid w:val="00874D96"/>
    <w:rsid w:val="00874FE3"/>
    <w:rsid w:val="00875007"/>
    <w:rsid w:val="008750DB"/>
    <w:rsid w:val="00875144"/>
    <w:rsid w:val="008751B4"/>
    <w:rsid w:val="0087527F"/>
    <w:rsid w:val="0087543F"/>
    <w:rsid w:val="008754B5"/>
    <w:rsid w:val="008757FB"/>
    <w:rsid w:val="008758A8"/>
    <w:rsid w:val="00875AF3"/>
    <w:rsid w:val="00875EA4"/>
    <w:rsid w:val="00875FD6"/>
    <w:rsid w:val="008764B9"/>
    <w:rsid w:val="008765B4"/>
    <w:rsid w:val="008765E9"/>
    <w:rsid w:val="00876605"/>
    <w:rsid w:val="00876B13"/>
    <w:rsid w:val="00876BAD"/>
    <w:rsid w:val="00877321"/>
    <w:rsid w:val="008777DF"/>
    <w:rsid w:val="0087799F"/>
    <w:rsid w:val="00877AFF"/>
    <w:rsid w:val="00877B92"/>
    <w:rsid w:val="00880017"/>
    <w:rsid w:val="00880062"/>
    <w:rsid w:val="00880305"/>
    <w:rsid w:val="00880315"/>
    <w:rsid w:val="0088031C"/>
    <w:rsid w:val="00880574"/>
    <w:rsid w:val="008805D1"/>
    <w:rsid w:val="0088088A"/>
    <w:rsid w:val="00880A3F"/>
    <w:rsid w:val="00880B53"/>
    <w:rsid w:val="00880E1B"/>
    <w:rsid w:val="00880E33"/>
    <w:rsid w:val="00880EC1"/>
    <w:rsid w:val="00880EE2"/>
    <w:rsid w:val="00880FE9"/>
    <w:rsid w:val="00881318"/>
    <w:rsid w:val="00881732"/>
    <w:rsid w:val="008818A2"/>
    <w:rsid w:val="008820FB"/>
    <w:rsid w:val="0088213D"/>
    <w:rsid w:val="008821C6"/>
    <w:rsid w:val="0088243C"/>
    <w:rsid w:val="0088243D"/>
    <w:rsid w:val="0088251A"/>
    <w:rsid w:val="00882676"/>
    <w:rsid w:val="0088284A"/>
    <w:rsid w:val="008828E5"/>
    <w:rsid w:val="008829BB"/>
    <w:rsid w:val="00882D28"/>
    <w:rsid w:val="00882F4A"/>
    <w:rsid w:val="0088304B"/>
    <w:rsid w:val="008835BF"/>
    <w:rsid w:val="008837D2"/>
    <w:rsid w:val="00883A67"/>
    <w:rsid w:val="00883E19"/>
    <w:rsid w:val="00883F6B"/>
    <w:rsid w:val="0088400F"/>
    <w:rsid w:val="0088425A"/>
    <w:rsid w:val="008848E9"/>
    <w:rsid w:val="00884FD8"/>
    <w:rsid w:val="00885051"/>
    <w:rsid w:val="00885244"/>
    <w:rsid w:val="008857C7"/>
    <w:rsid w:val="008858B3"/>
    <w:rsid w:val="00885BC1"/>
    <w:rsid w:val="00885EB7"/>
    <w:rsid w:val="008861BF"/>
    <w:rsid w:val="008866CF"/>
    <w:rsid w:val="00886782"/>
    <w:rsid w:val="008869A1"/>
    <w:rsid w:val="00886B3F"/>
    <w:rsid w:val="00886DF3"/>
    <w:rsid w:val="00886F8E"/>
    <w:rsid w:val="00886FC9"/>
    <w:rsid w:val="008871F0"/>
    <w:rsid w:val="0088738B"/>
    <w:rsid w:val="0088747B"/>
    <w:rsid w:val="00887489"/>
    <w:rsid w:val="0088756B"/>
    <w:rsid w:val="00887642"/>
    <w:rsid w:val="008876A2"/>
    <w:rsid w:val="00887BD5"/>
    <w:rsid w:val="00887F8F"/>
    <w:rsid w:val="00887FD0"/>
    <w:rsid w:val="0089015D"/>
    <w:rsid w:val="0089021A"/>
    <w:rsid w:val="0089022E"/>
    <w:rsid w:val="0089030C"/>
    <w:rsid w:val="00890475"/>
    <w:rsid w:val="008907D1"/>
    <w:rsid w:val="00890A7C"/>
    <w:rsid w:val="00890D11"/>
    <w:rsid w:val="00890F1B"/>
    <w:rsid w:val="00890F88"/>
    <w:rsid w:val="008910EE"/>
    <w:rsid w:val="00891A26"/>
    <w:rsid w:val="00891AE0"/>
    <w:rsid w:val="00892014"/>
    <w:rsid w:val="0089210E"/>
    <w:rsid w:val="00892149"/>
    <w:rsid w:val="0089214C"/>
    <w:rsid w:val="008923F8"/>
    <w:rsid w:val="0089253F"/>
    <w:rsid w:val="008928F1"/>
    <w:rsid w:val="00892BBF"/>
    <w:rsid w:val="00892C3F"/>
    <w:rsid w:val="00892DB5"/>
    <w:rsid w:val="00892E92"/>
    <w:rsid w:val="00892EAB"/>
    <w:rsid w:val="00892F62"/>
    <w:rsid w:val="008932D7"/>
    <w:rsid w:val="00893668"/>
    <w:rsid w:val="00893791"/>
    <w:rsid w:val="00893884"/>
    <w:rsid w:val="0089389C"/>
    <w:rsid w:val="00893A7E"/>
    <w:rsid w:val="00893DBC"/>
    <w:rsid w:val="00893F75"/>
    <w:rsid w:val="0089414B"/>
    <w:rsid w:val="0089414C"/>
    <w:rsid w:val="008942BD"/>
    <w:rsid w:val="0089478A"/>
    <w:rsid w:val="0089479D"/>
    <w:rsid w:val="0089480A"/>
    <w:rsid w:val="0089481A"/>
    <w:rsid w:val="00894BEE"/>
    <w:rsid w:val="00894FE5"/>
    <w:rsid w:val="008954D2"/>
    <w:rsid w:val="00895658"/>
    <w:rsid w:val="008956DA"/>
    <w:rsid w:val="00895823"/>
    <w:rsid w:val="008959E5"/>
    <w:rsid w:val="00895BA9"/>
    <w:rsid w:val="00895D52"/>
    <w:rsid w:val="00895D79"/>
    <w:rsid w:val="0089601B"/>
    <w:rsid w:val="00896557"/>
    <w:rsid w:val="0089655D"/>
    <w:rsid w:val="00896784"/>
    <w:rsid w:val="00896DBD"/>
    <w:rsid w:val="00896F6C"/>
    <w:rsid w:val="008972EC"/>
    <w:rsid w:val="00897824"/>
    <w:rsid w:val="008979DB"/>
    <w:rsid w:val="00897AA0"/>
    <w:rsid w:val="00897BBF"/>
    <w:rsid w:val="00897BCB"/>
    <w:rsid w:val="00897C07"/>
    <w:rsid w:val="00897D19"/>
    <w:rsid w:val="00897DBA"/>
    <w:rsid w:val="00897F8F"/>
    <w:rsid w:val="008A000F"/>
    <w:rsid w:val="008A02FA"/>
    <w:rsid w:val="008A06A5"/>
    <w:rsid w:val="008A06A8"/>
    <w:rsid w:val="008A0B4D"/>
    <w:rsid w:val="008A0E6C"/>
    <w:rsid w:val="008A11E2"/>
    <w:rsid w:val="008A175E"/>
    <w:rsid w:val="008A18AE"/>
    <w:rsid w:val="008A1AAC"/>
    <w:rsid w:val="008A1C18"/>
    <w:rsid w:val="008A1D3C"/>
    <w:rsid w:val="008A20CA"/>
    <w:rsid w:val="008A22DD"/>
    <w:rsid w:val="008A2392"/>
    <w:rsid w:val="008A239B"/>
    <w:rsid w:val="008A2600"/>
    <w:rsid w:val="008A2675"/>
    <w:rsid w:val="008A2956"/>
    <w:rsid w:val="008A2EA1"/>
    <w:rsid w:val="008A2EF6"/>
    <w:rsid w:val="008A3480"/>
    <w:rsid w:val="008A3502"/>
    <w:rsid w:val="008A351C"/>
    <w:rsid w:val="008A354E"/>
    <w:rsid w:val="008A37B3"/>
    <w:rsid w:val="008A3C74"/>
    <w:rsid w:val="008A425D"/>
    <w:rsid w:val="008A44CA"/>
    <w:rsid w:val="008A48F7"/>
    <w:rsid w:val="008A4B88"/>
    <w:rsid w:val="008A4F3C"/>
    <w:rsid w:val="008A50DE"/>
    <w:rsid w:val="008A51AD"/>
    <w:rsid w:val="008A53BA"/>
    <w:rsid w:val="008A551D"/>
    <w:rsid w:val="008A5648"/>
    <w:rsid w:val="008A565B"/>
    <w:rsid w:val="008A56BA"/>
    <w:rsid w:val="008A570A"/>
    <w:rsid w:val="008A58E4"/>
    <w:rsid w:val="008A58E7"/>
    <w:rsid w:val="008A5926"/>
    <w:rsid w:val="008A5C1D"/>
    <w:rsid w:val="008A5D5F"/>
    <w:rsid w:val="008A5E92"/>
    <w:rsid w:val="008A60F4"/>
    <w:rsid w:val="008A615A"/>
    <w:rsid w:val="008A629D"/>
    <w:rsid w:val="008A648A"/>
    <w:rsid w:val="008A650C"/>
    <w:rsid w:val="008A6A36"/>
    <w:rsid w:val="008A6CB9"/>
    <w:rsid w:val="008A6DC1"/>
    <w:rsid w:val="008A7100"/>
    <w:rsid w:val="008A7139"/>
    <w:rsid w:val="008A776D"/>
    <w:rsid w:val="008A778F"/>
    <w:rsid w:val="008A7C74"/>
    <w:rsid w:val="008B0107"/>
    <w:rsid w:val="008B0282"/>
    <w:rsid w:val="008B04C0"/>
    <w:rsid w:val="008B04E0"/>
    <w:rsid w:val="008B0579"/>
    <w:rsid w:val="008B09F8"/>
    <w:rsid w:val="008B0A83"/>
    <w:rsid w:val="008B0E93"/>
    <w:rsid w:val="008B101B"/>
    <w:rsid w:val="008B1269"/>
    <w:rsid w:val="008B165B"/>
    <w:rsid w:val="008B198D"/>
    <w:rsid w:val="008B1A4F"/>
    <w:rsid w:val="008B1E97"/>
    <w:rsid w:val="008B27B8"/>
    <w:rsid w:val="008B29A4"/>
    <w:rsid w:val="008B2BB4"/>
    <w:rsid w:val="008B2C15"/>
    <w:rsid w:val="008B2C30"/>
    <w:rsid w:val="008B2D73"/>
    <w:rsid w:val="008B2F92"/>
    <w:rsid w:val="008B33B8"/>
    <w:rsid w:val="008B3482"/>
    <w:rsid w:val="008B3843"/>
    <w:rsid w:val="008B395E"/>
    <w:rsid w:val="008B3AB6"/>
    <w:rsid w:val="008B3C2B"/>
    <w:rsid w:val="008B3DBF"/>
    <w:rsid w:val="008B3E60"/>
    <w:rsid w:val="008B435A"/>
    <w:rsid w:val="008B4679"/>
    <w:rsid w:val="008B4A4A"/>
    <w:rsid w:val="008B4C99"/>
    <w:rsid w:val="008B4D00"/>
    <w:rsid w:val="008B4D13"/>
    <w:rsid w:val="008B4E78"/>
    <w:rsid w:val="008B4ED2"/>
    <w:rsid w:val="008B4EE8"/>
    <w:rsid w:val="008B4FE2"/>
    <w:rsid w:val="008B52EB"/>
    <w:rsid w:val="008B5B31"/>
    <w:rsid w:val="008B5F10"/>
    <w:rsid w:val="008B61A1"/>
    <w:rsid w:val="008B6525"/>
    <w:rsid w:val="008B66A1"/>
    <w:rsid w:val="008B66EE"/>
    <w:rsid w:val="008B6793"/>
    <w:rsid w:val="008B6E62"/>
    <w:rsid w:val="008B6E87"/>
    <w:rsid w:val="008B70C9"/>
    <w:rsid w:val="008B728A"/>
    <w:rsid w:val="008B7342"/>
    <w:rsid w:val="008B75C2"/>
    <w:rsid w:val="008B75FC"/>
    <w:rsid w:val="008B770F"/>
    <w:rsid w:val="008B787A"/>
    <w:rsid w:val="008B7B77"/>
    <w:rsid w:val="008B7BD8"/>
    <w:rsid w:val="008C04EF"/>
    <w:rsid w:val="008C04F3"/>
    <w:rsid w:val="008C0773"/>
    <w:rsid w:val="008C08E9"/>
    <w:rsid w:val="008C0A22"/>
    <w:rsid w:val="008C0A89"/>
    <w:rsid w:val="008C0E71"/>
    <w:rsid w:val="008C110D"/>
    <w:rsid w:val="008C1634"/>
    <w:rsid w:val="008C1852"/>
    <w:rsid w:val="008C1ECA"/>
    <w:rsid w:val="008C2672"/>
    <w:rsid w:val="008C27B4"/>
    <w:rsid w:val="008C280C"/>
    <w:rsid w:val="008C28B7"/>
    <w:rsid w:val="008C2992"/>
    <w:rsid w:val="008C2CFF"/>
    <w:rsid w:val="008C2DD0"/>
    <w:rsid w:val="008C2E1E"/>
    <w:rsid w:val="008C2E22"/>
    <w:rsid w:val="008C2ED2"/>
    <w:rsid w:val="008C311D"/>
    <w:rsid w:val="008C3352"/>
    <w:rsid w:val="008C371C"/>
    <w:rsid w:val="008C3D4D"/>
    <w:rsid w:val="008C4026"/>
    <w:rsid w:val="008C417E"/>
    <w:rsid w:val="008C41A5"/>
    <w:rsid w:val="008C4252"/>
    <w:rsid w:val="008C4533"/>
    <w:rsid w:val="008C4EBF"/>
    <w:rsid w:val="008C526C"/>
    <w:rsid w:val="008C5935"/>
    <w:rsid w:val="008C5A09"/>
    <w:rsid w:val="008C5B51"/>
    <w:rsid w:val="008C5F0A"/>
    <w:rsid w:val="008C6105"/>
    <w:rsid w:val="008C6124"/>
    <w:rsid w:val="008C613B"/>
    <w:rsid w:val="008C6334"/>
    <w:rsid w:val="008C63DF"/>
    <w:rsid w:val="008C655D"/>
    <w:rsid w:val="008C66BD"/>
    <w:rsid w:val="008C672D"/>
    <w:rsid w:val="008C6968"/>
    <w:rsid w:val="008C6F21"/>
    <w:rsid w:val="008C6FF1"/>
    <w:rsid w:val="008C742A"/>
    <w:rsid w:val="008C74C7"/>
    <w:rsid w:val="008C7714"/>
    <w:rsid w:val="008C78C7"/>
    <w:rsid w:val="008C7F4F"/>
    <w:rsid w:val="008D00F3"/>
    <w:rsid w:val="008D0564"/>
    <w:rsid w:val="008D08B7"/>
    <w:rsid w:val="008D0936"/>
    <w:rsid w:val="008D0A02"/>
    <w:rsid w:val="008D0A0C"/>
    <w:rsid w:val="008D0C19"/>
    <w:rsid w:val="008D0C3F"/>
    <w:rsid w:val="008D0E1D"/>
    <w:rsid w:val="008D0F27"/>
    <w:rsid w:val="008D11D5"/>
    <w:rsid w:val="008D1309"/>
    <w:rsid w:val="008D15A2"/>
    <w:rsid w:val="008D16E0"/>
    <w:rsid w:val="008D18CD"/>
    <w:rsid w:val="008D1AAE"/>
    <w:rsid w:val="008D1F86"/>
    <w:rsid w:val="008D1FA2"/>
    <w:rsid w:val="008D2025"/>
    <w:rsid w:val="008D20D3"/>
    <w:rsid w:val="008D20E0"/>
    <w:rsid w:val="008D2796"/>
    <w:rsid w:val="008D2B6E"/>
    <w:rsid w:val="008D335C"/>
    <w:rsid w:val="008D33BB"/>
    <w:rsid w:val="008D34AC"/>
    <w:rsid w:val="008D35B7"/>
    <w:rsid w:val="008D4007"/>
    <w:rsid w:val="008D4095"/>
    <w:rsid w:val="008D4128"/>
    <w:rsid w:val="008D436A"/>
    <w:rsid w:val="008D45DD"/>
    <w:rsid w:val="008D4955"/>
    <w:rsid w:val="008D4AC9"/>
    <w:rsid w:val="008D4B5C"/>
    <w:rsid w:val="008D4C72"/>
    <w:rsid w:val="008D50BA"/>
    <w:rsid w:val="008D5257"/>
    <w:rsid w:val="008D561B"/>
    <w:rsid w:val="008D582B"/>
    <w:rsid w:val="008D5931"/>
    <w:rsid w:val="008D5BCD"/>
    <w:rsid w:val="008D5CF1"/>
    <w:rsid w:val="008D5CF9"/>
    <w:rsid w:val="008D5D0A"/>
    <w:rsid w:val="008D60F7"/>
    <w:rsid w:val="008D6455"/>
    <w:rsid w:val="008D66D6"/>
    <w:rsid w:val="008D6794"/>
    <w:rsid w:val="008D68D7"/>
    <w:rsid w:val="008D69DA"/>
    <w:rsid w:val="008D6C4C"/>
    <w:rsid w:val="008D6E9B"/>
    <w:rsid w:val="008D7F65"/>
    <w:rsid w:val="008E0178"/>
    <w:rsid w:val="008E02F8"/>
    <w:rsid w:val="008E0A88"/>
    <w:rsid w:val="008E1189"/>
    <w:rsid w:val="008E12AF"/>
    <w:rsid w:val="008E12E6"/>
    <w:rsid w:val="008E147C"/>
    <w:rsid w:val="008E1592"/>
    <w:rsid w:val="008E15DD"/>
    <w:rsid w:val="008E211C"/>
    <w:rsid w:val="008E2182"/>
    <w:rsid w:val="008E2687"/>
    <w:rsid w:val="008E2735"/>
    <w:rsid w:val="008E2BB3"/>
    <w:rsid w:val="008E2BC5"/>
    <w:rsid w:val="008E2C79"/>
    <w:rsid w:val="008E3176"/>
    <w:rsid w:val="008E3564"/>
    <w:rsid w:val="008E3A0B"/>
    <w:rsid w:val="008E3A90"/>
    <w:rsid w:val="008E3AAB"/>
    <w:rsid w:val="008E3D76"/>
    <w:rsid w:val="008E3DBC"/>
    <w:rsid w:val="008E4043"/>
    <w:rsid w:val="008E4163"/>
    <w:rsid w:val="008E41E2"/>
    <w:rsid w:val="008E4412"/>
    <w:rsid w:val="008E4520"/>
    <w:rsid w:val="008E4C52"/>
    <w:rsid w:val="008E51B3"/>
    <w:rsid w:val="008E54E8"/>
    <w:rsid w:val="008E55A3"/>
    <w:rsid w:val="008E5740"/>
    <w:rsid w:val="008E5868"/>
    <w:rsid w:val="008E588B"/>
    <w:rsid w:val="008E5D2F"/>
    <w:rsid w:val="008E5DC8"/>
    <w:rsid w:val="008E60D9"/>
    <w:rsid w:val="008E6465"/>
    <w:rsid w:val="008E6ABC"/>
    <w:rsid w:val="008E6B3D"/>
    <w:rsid w:val="008E6C57"/>
    <w:rsid w:val="008E6E66"/>
    <w:rsid w:val="008E7082"/>
    <w:rsid w:val="008E7162"/>
    <w:rsid w:val="008E72AF"/>
    <w:rsid w:val="008F00B3"/>
    <w:rsid w:val="008F041E"/>
    <w:rsid w:val="008F0952"/>
    <w:rsid w:val="008F0CC7"/>
    <w:rsid w:val="008F0D3E"/>
    <w:rsid w:val="008F0F82"/>
    <w:rsid w:val="008F1064"/>
    <w:rsid w:val="008F1154"/>
    <w:rsid w:val="008F1192"/>
    <w:rsid w:val="008F15A1"/>
    <w:rsid w:val="008F1740"/>
    <w:rsid w:val="008F1B84"/>
    <w:rsid w:val="008F1B9D"/>
    <w:rsid w:val="008F1C97"/>
    <w:rsid w:val="008F1CBF"/>
    <w:rsid w:val="008F1D75"/>
    <w:rsid w:val="008F1DB6"/>
    <w:rsid w:val="008F1DDC"/>
    <w:rsid w:val="008F22D5"/>
    <w:rsid w:val="008F25FE"/>
    <w:rsid w:val="008F2FC3"/>
    <w:rsid w:val="008F323D"/>
    <w:rsid w:val="008F33EF"/>
    <w:rsid w:val="008F344D"/>
    <w:rsid w:val="008F3455"/>
    <w:rsid w:val="008F38B0"/>
    <w:rsid w:val="008F39C0"/>
    <w:rsid w:val="008F3A9F"/>
    <w:rsid w:val="008F3CC0"/>
    <w:rsid w:val="008F3E62"/>
    <w:rsid w:val="008F43A9"/>
    <w:rsid w:val="008F4E41"/>
    <w:rsid w:val="008F57CD"/>
    <w:rsid w:val="008F5960"/>
    <w:rsid w:val="008F5CD0"/>
    <w:rsid w:val="008F5E87"/>
    <w:rsid w:val="008F60E7"/>
    <w:rsid w:val="008F6100"/>
    <w:rsid w:val="008F615B"/>
    <w:rsid w:val="008F629A"/>
    <w:rsid w:val="008F6A27"/>
    <w:rsid w:val="008F6A9B"/>
    <w:rsid w:val="008F6C67"/>
    <w:rsid w:val="008F6F03"/>
    <w:rsid w:val="008F6F9D"/>
    <w:rsid w:val="008F74D2"/>
    <w:rsid w:val="008F75A5"/>
    <w:rsid w:val="008F7603"/>
    <w:rsid w:val="008F769D"/>
    <w:rsid w:val="008F76DC"/>
    <w:rsid w:val="008F782D"/>
    <w:rsid w:val="008F797D"/>
    <w:rsid w:val="008F7A06"/>
    <w:rsid w:val="008F7D2F"/>
    <w:rsid w:val="00900296"/>
    <w:rsid w:val="00900716"/>
    <w:rsid w:val="00900A22"/>
    <w:rsid w:val="00900E4C"/>
    <w:rsid w:val="00900F6D"/>
    <w:rsid w:val="009013C5"/>
    <w:rsid w:val="0090147B"/>
    <w:rsid w:val="00901649"/>
    <w:rsid w:val="00901B21"/>
    <w:rsid w:val="00901CBA"/>
    <w:rsid w:val="00901DC6"/>
    <w:rsid w:val="00901EF9"/>
    <w:rsid w:val="00902090"/>
    <w:rsid w:val="009021DC"/>
    <w:rsid w:val="00902343"/>
    <w:rsid w:val="009024D3"/>
    <w:rsid w:val="00902800"/>
    <w:rsid w:val="00903026"/>
    <w:rsid w:val="00903424"/>
    <w:rsid w:val="0090357B"/>
    <w:rsid w:val="00903832"/>
    <w:rsid w:val="00903D1A"/>
    <w:rsid w:val="00904279"/>
    <w:rsid w:val="009044BE"/>
    <w:rsid w:val="009048EB"/>
    <w:rsid w:val="00904913"/>
    <w:rsid w:val="00904D4B"/>
    <w:rsid w:val="00904D5E"/>
    <w:rsid w:val="00904E61"/>
    <w:rsid w:val="009050B3"/>
    <w:rsid w:val="00905409"/>
    <w:rsid w:val="009055D0"/>
    <w:rsid w:val="00905685"/>
    <w:rsid w:val="009058E2"/>
    <w:rsid w:val="00905945"/>
    <w:rsid w:val="00905996"/>
    <w:rsid w:val="00905B24"/>
    <w:rsid w:val="00905FEB"/>
    <w:rsid w:val="00906252"/>
    <w:rsid w:val="0090636D"/>
    <w:rsid w:val="0090672E"/>
    <w:rsid w:val="00906A4F"/>
    <w:rsid w:val="00906BD6"/>
    <w:rsid w:val="00907062"/>
    <w:rsid w:val="00907074"/>
    <w:rsid w:val="009070DC"/>
    <w:rsid w:val="009073C7"/>
    <w:rsid w:val="0090749E"/>
    <w:rsid w:val="009078BA"/>
    <w:rsid w:val="009079C7"/>
    <w:rsid w:val="009079F7"/>
    <w:rsid w:val="00907B1B"/>
    <w:rsid w:val="00907B44"/>
    <w:rsid w:val="00907BAA"/>
    <w:rsid w:val="00907C33"/>
    <w:rsid w:val="00910829"/>
    <w:rsid w:val="009108D2"/>
    <w:rsid w:val="0091098F"/>
    <w:rsid w:val="00910B10"/>
    <w:rsid w:val="00910C20"/>
    <w:rsid w:val="00910FE1"/>
    <w:rsid w:val="0091106A"/>
    <w:rsid w:val="009110FB"/>
    <w:rsid w:val="00911172"/>
    <w:rsid w:val="0091118F"/>
    <w:rsid w:val="009112E9"/>
    <w:rsid w:val="0091142D"/>
    <w:rsid w:val="0091166A"/>
    <w:rsid w:val="009117D0"/>
    <w:rsid w:val="00911809"/>
    <w:rsid w:val="00911A87"/>
    <w:rsid w:val="00911C77"/>
    <w:rsid w:val="00911D1C"/>
    <w:rsid w:val="009123EF"/>
    <w:rsid w:val="00912F38"/>
    <w:rsid w:val="009138D1"/>
    <w:rsid w:val="00913C58"/>
    <w:rsid w:val="00913DBC"/>
    <w:rsid w:val="00913FCD"/>
    <w:rsid w:val="009140B4"/>
    <w:rsid w:val="00914174"/>
    <w:rsid w:val="0091428A"/>
    <w:rsid w:val="00914733"/>
    <w:rsid w:val="00914A43"/>
    <w:rsid w:val="00914AA5"/>
    <w:rsid w:val="00914C0A"/>
    <w:rsid w:val="00914C83"/>
    <w:rsid w:val="00914D1F"/>
    <w:rsid w:val="009157DE"/>
    <w:rsid w:val="00915DAD"/>
    <w:rsid w:val="009162DD"/>
    <w:rsid w:val="009163E7"/>
    <w:rsid w:val="009165BC"/>
    <w:rsid w:val="00916668"/>
    <w:rsid w:val="009166C0"/>
    <w:rsid w:val="0091671A"/>
    <w:rsid w:val="009169F6"/>
    <w:rsid w:val="00916CFA"/>
    <w:rsid w:val="00916D5B"/>
    <w:rsid w:val="00916E1B"/>
    <w:rsid w:val="0091715C"/>
    <w:rsid w:val="0091719D"/>
    <w:rsid w:val="0091761E"/>
    <w:rsid w:val="00917903"/>
    <w:rsid w:val="00917AAF"/>
    <w:rsid w:val="00917C91"/>
    <w:rsid w:val="00917EBD"/>
    <w:rsid w:val="00917FE1"/>
    <w:rsid w:val="009200D3"/>
    <w:rsid w:val="00920222"/>
    <w:rsid w:val="009202DF"/>
    <w:rsid w:val="00920497"/>
    <w:rsid w:val="00920894"/>
    <w:rsid w:val="00920997"/>
    <w:rsid w:val="00920B1E"/>
    <w:rsid w:val="00920DD5"/>
    <w:rsid w:val="00921161"/>
    <w:rsid w:val="00921337"/>
    <w:rsid w:val="0092144E"/>
    <w:rsid w:val="0092158B"/>
    <w:rsid w:val="00921824"/>
    <w:rsid w:val="00921861"/>
    <w:rsid w:val="00921A34"/>
    <w:rsid w:val="00921BD4"/>
    <w:rsid w:val="00921C60"/>
    <w:rsid w:val="00921E0A"/>
    <w:rsid w:val="00921F2C"/>
    <w:rsid w:val="00922492"/>
    <w:rsid w:val="009224EB"/>
    <w:rsid w:val="0092272F"/>
    <w:rsid w:val="0092294E"/>
    <w:rsid w:val="00922BE2"/>
    <w:rsid w:val="00922EDE"/>
    <w:rsid w:val="0092337C"/>
    <w:rsid w:val="009233CC"/>
    <w:rsid w:val="009233CF"/>
    <w:rsid w:val="009237D9"/>
    <w:rsid w:val="009239D2"/>
    <w:rsid w:val="00923CDE"/>
    <w:rsid w:val="00923E86"/>
    <w:rsid w:val="00923FE0"/>
    <w:rsid w:val="0092406C"/>
    <w:rsid w:val="00924096"/>
    <w:rsid w:val="009243BC"/>
    <w:rsid w:val="0092444D"/>
    <w:rsid w:val="00924472"/>
    <w:rsid w:val="009244D5"/>
    <w:rsid w:val="00924C5B"/>
    <w:rsid w:val="00924EFD"/>
    <w:rsid w:val="0092506C"/>
    <w:rsid w:val="00925183"/>
    <w:rsid w:val="009251F5"/>
    <w:rsid w:val="009252F1"/>
    <w:rsid w:val="00925588"/>
    <w:rsid w:val="00925AF5"/>
    <w:rsid w:val="00925AFA"/>
    <w:rsid w:val="00925C76"/>
    <w:rsid w:val="00926268"/>
    <w:rsid w:val="009264A2"/>
    <w:rsid w:val="0092672B"/>
    <w:rsid w:val="009267E4"/>
    <w:rsid w:val="00926A89"/>
    <w:rsid w:val="00926C77"/>
    <w:rsid w:val="00926D96"/>
    <w:rsid w:val="00926F3D"/>
    <w:rsid w:val="00926FB6"/>
    <w:rsid w:val="0092715D"/>
    <w:rsid w:val="00927206"/>
    <w:rsid w:val="00927693"/>
    <w:rsid w:val="009276AE"/>
    <w:rsid w:val="0092787F"/>
    <w:rsid w:val="009278DB"/>
    <w:rsid w:val="009279FF"/>
    <w:rsid w:val="00927CE1"/>
    <w:rsid w:val="00927D86"/>
    <w:rsid w:val="00927DDB"/>
    <w:rsid w:val="00927EFC"/>
    <w:rsid w:val="00930057"/>
    <w:rsid w:val="00930592"/>
    <w:rsid w:val="00930632"/>
    <w:rsid w:val="0093087A"/>
    <w:rsid w:val="009308BB"/>
    <w:rsid w:val="00930B2B"/>
    <w:rsid w:val="00930FED"/>
    <w:rsid w:val="009310BC"/>
    <w:rsid w:val="009310EC"/>
    <w:rsid w:val="0093129F"/>
    <w:rsid w:val="0093177D"/>
    <w:rsid w:val="00931969"/>
    <w:rsid w:val="00931D3F"/>
    <w:rsid w:val="00932170"/>
    <w:rsid w:val="0093228F"/>
    <w:rsid w:val="009324C4"/>
    <w:rsid w:val="00932506"/>
    <w:rsid w:val="00932671"/>
    <w:rsid w:val="0093276C"/>
    <w:rsid w:val="00932A7A"/>
    <w:rsid w:val="009330BF"/>
    <w:rsid w:val="009336E1"/>
    <w:rsid w:val="00933817"/>
    <w:rsid w:val="00933C07"/>
    <w:rsid w:val="00933DBE"/>
    <w:rsid w:val="009340CF"/>
    <w:rsid w:val="009344A7"/>
    <w:rsid w:val="00934510"/>
    <w:rsid w:val="0093476C"/>
    <w:rsid w:val="00934858"/>
    <w:rsid w:val="00934FC0"/>
    <w:rsid w:val="00935772"/>
    <w:rsid w:val="00935A1E"/>
    <w:rsid w:val="00935B7C"/>
    <w:rsid w:val="00935E3A"/>
    <w:rsid w:val="00936005"/>
    <w:rsid w:val="0093607C"/>
    <w:rsid w:val="0093638A"/>
    <w:rsid w:val="00936713"/>
    <w:rsid w:val="0093699A"/>
    <w:rsid w:val="00936AC2"/>
    <w:rsid w:val="00936EEA"/>
    <w:rsid w:val="00937219"/>
    <w:rsid w:val="00937280"/>
    <w:rsid w:val="0093728D"/>
    <w:rsid w:val="00937538"/>
    <w:rsid w:val="00937849"/>
    <w:rsid w:val="009378DB"/>
    <w:rsid w:val="00937A83"/>
    <w:rsid w:val="00937ABF"/>
    <w:rsid w:val="00937B51"/>
    <w:rsid w:val="00937BA1"/>
    <w:rsid w:val="00937BF1"/>
    <w:rsid w:val="00940008"/>
    <w:rsid w:val="00940B6E"/>
    <w:rsid w:val="00940F3C"/>
    <w:rsid w:val="00940FC3"/>
    <w:rsid w:val="00940FFA"/>
    <w:rsid w:val="00941503"/>
    <w:rsid w:val="00941543"/>
    <w:rsid w:val="009415FD"/>
    <w:rsid w:val="009416D1"/>
    <w:rsid w:val="009417E3"/>
    <w:rsid w:val="0094187D"/>
    <w:rsid w:val="00941D4D"/>
    <w:rsid w:val="009424A2"/>
    <w:rsid w:val="00942564"/>
    <w:rsid w:val="009427C9"/>
    <w:rsid w:val="009427D0"/>
    <w:rsid w:val="009429EE"/>
    <w:rsid w:val="00942A82"/>
    <w:rsid w:val="00942C4D"/>
    <w:rsid w:val="00942C64"/>
    <w:rsid w:val="00942C90"/>
    <w:rsid w:val="00942D31"/>
    <w:rsid w:val="00942F29"/>
    <w:rsid w:val="00942FB6"/>
    <w:rsid w:val="00942FF7"/>
    <w:rsid w:val="009434EB"/>
    <w:rsid w:val="009439AF"/>
    <w:rsid w:val="00943D64"/>
    <w:rsid w:val="00943EA6"/>
    <w:rsid w:val="0094400C"/>
    <w:rsid w:val="00944400"/>
    <w:rsid w:val="00944428"/>
    <w:rsid w:val="009448F2"/>
    <w:rsid w:val="009448F3"/>
    <w:rsid w:val="0094524B"/>
    <w:rsid w:val="009456E3"/>
    <w:rsid w:val="00945759"/>
    <w:rsid w:val="00946370"/>
    <w:rsid w:val="009466E9"/>
    <w:rsid w:val="00946850"/>
    <w:rsid w:val="00946986"/>
    <w:rsid w:val="00946A96"/>
    <w:rsid w:val="00946BB2"/>
    <w:rsid w:val="00946CB3"/>
    <w:rsid w:val="00946D20"/>
    <w:rsid w:val="00946E51"/>
    <w:rsid w:val="00946FF2"/>
    <w:rsid w:val="009473F4"/>
    <w:rsid w:val="0094767D"/>
    <w:rsid w:val="009478EB"/>
    <w:rsid w:val="00947C21"/>
    <w:rsid w:val="00947FC7"/>
    <w:rsid w:val="00950231"/>
    <w:rsid w:val="009503A2"/>
    <w:rsid w:val="00950794"/>
    <w:rsid w:val="009507AA"/>
    <w:rsid w:val="009509EF"/>
    <w:rsid w:val="00950CDE"/>
    <w:rsid w:val="00951550"/>
    <w:rsid w:val="009515CA"/>
    <w:rsid w:val="00951691"/>
    <w:rsid w:val="009517EC"/>
    <w:rsid w:val="00951A1F"/>
    <w:rsid w:val="00951BF5"/>
    <w:rsid w:val="00951FCE"/>
    <w:rsid w:val="009521CC"/>
    <w:rsid w:val="00952242"/>
    <w:rsid w:val="0095226C"/>
    <w:rsid w:val="009524A4"/>
    <w:rsid w:val="00952548"/>
    <w:rsid w:val="00952712"/>
    <w:rsid w:val="00952C05"/>
    <w:rsid w:val="00952D52"/>
    <w:rsid w:val="00952D68"/>
    <w:rsid w:val="00953681"/>
    <w:rsid w:val="00953D31"/>
    <w:rsid w:val="009540B7"/>
    <w:rsid w:val="009543D0"/>
    <w:rsid w:val="009545B4"/>
    <w:rsid w:val="0095464E"/>
    <w:rsid w:val="00954D57"/>
    <w:rsid w:val="00954DAE"/>
    <w:rsid w:val="00954E1D"/>
    <w:rsid w:val="00955265"/>
    <w:rsid w:val="009552A9"/>
    <w:rsid w:val="00955410"/>
    <w:rsid w:val="0095555D"/>
    <w:rsid w:val="009558EE"/>
    <w:rsid w:val="009559D5"/>
    <w:rsid w:val="00955B4F"/>
    <w:rsid w:val="00955C17"/>
    <w:rsid w:val="00955D04"/>
    <w:rsid w:val="00955D82"/>
    <w:rsid w:val="00955FFA"/>
    <w:rsid w:val="009560D0"/>
    <w:rsid w:val="00956170"/>
    <w:rsid w:val="009562BC"/>
    <w:rsid w:val="00956336"/>
    <w:rsid w:val="00956381"/>
    <w:rsid w:val="00956989"/>
    <w:rsid w:val="00956BA1"/>
    <w:rsid w:val="00956D42"/>
    <w:rsid w:val="00956F0F"/>
    <w:rsid w:val="00957065"/>
    <w:rsid w:val="0095727F"/>
    <w:rsid w:val="009572AF"/>
    <w:rsid w:val="00957C78"/>
    <w:rsid w:val="00957E41"/>
    <w:rsid w:val="0096023A"/>
    <w:rsid w:val="0096036B"/>
    <w:rsid w:val="0096072E"/>
    <w:rsid w:val="009607AB"/>
    <w:rsid w:val="00960A9A"/>
    <w:rsid w:val="0096107C"/>
    <w:rsid w:val="0096107E"/>
    <w:rsid w:val="0096113C"/>
    <w:rsid w:val="00961457"/>
    <w:rsid w:val="009615DB"/>
    <w:rsid w:val="00961622"/>
    <w:rsid w:val="0096178F"/>
    <w:rsid w:val="00961AE1"/>
    <w:rsid w:val="00961E17"/>
    <w:rsid w:val="009621B8"/>
    <w:rsid w:val="0096240F"/>
    <w:rsid w:val="00962683"/>
    <w:rsid w:val="00962DB8"/>
    <w:rsid w:val="00962E23"/>
    <w:rsid w:val="00962ED0"/>
    <w:rsid w:val="00963149"/>
    <w:rsid w:val="009635F5"/>
    <w:rsid w:val="00963721"/>
    <w:rsid w:val="00964014"/>
    <w:rsid w:val="00964112"/>
    <w:rsid w:val="00964137"/>
    <w:rsid w:val="0096456D"/>
    <w:rsid w:val="0096464B"/>
    <w:rsid w:val="009646D2"/>
    <w:rsid w:val="0096487C"/>
    <w:rsid w:val="0096491A"/>
    <w:rsid w:val="00964BC2"/>
    <w:rsid w:val="00964BC4"/>
    <w:rsid w:val="00964D4A"/>
    <w:rsid w:val="00964E20"/>
    <w:rsid w:val="00964EAE"/>
    <w:rsid w:val="00965023"/>
    <w:rsid w:val="009650B7"/>
    <w:rsid w:val="0096515D"/>
    <w:rsid w:val="0096576E"/>
    <w:rsid w:val="00965841"/>
    <w:rsid w:val="00965A0D"/>
    <w:rsid w:val="00965D07"/>
    <w:rsid w:val="00965EE1"/>
    <w:rsid w:val="00966623"/>
    <w:rsid w:val="009668D5"/>
    <w:rsid w:val="00966D23"/>
    <w:rsid w:val="00966EA1"/>
    <w:rsid w:val="00967531"/>
    <w:rsid w:val="00967683"/>
    <w:rsid w:val="009678DB"/>
    <w:rsid w:val="00967C1E"/>
    <w:rsid w:val="00967CB5"/>
    <w:rsid w:val="009700B6"/>
    <w:rsid w:val="009701D0"/>
    <w:rsid w:val="00970233"/>
    <w:rsid w:val="00970728"/>
    <w:rsid w:val="009707C9"/>
    <w:rsid w:val="009707F8"/>
    <w:rsid w:val="0097082A"/>
    <w:rsid w:val="009708E6"/>
    <w:rsid w:val="00970F80"/>
    <w:rsid w:val="009714B6"/>
    <w:rsid w:val="0097152D"/>
    <w:rsid w:val="009715E0"/>
    <w:rsid w:val="009716C4"/>
    <w:rsid w:val="0097188E"/>
    <w:rsid w:val="00971A3C"/>
    <w:rsid w:val="00971D40"/>
    <w:rsid w:val="00971E0B"/>
    <w:rsid w:val="00972101"/>
    <w:rsid w:val="00972568"/>
    <w:rsid w:val="00972BF6"/>
    <w:rsid w:val="00972D22"/>
    <w:rsid w:val="00972F63"/>
    <w:rsid w:val="00972FB5"/>
    <w:rsid w:val="0097345F"/>
    <w:rsid w:val="00973510"/>
    <w:rsid w:val="00973669"/>
    <w:rsid w:val="009736FE"/>
    <w:rsid w:val="00973B96"/>
    <w:rsid w:val="00973BAA"/>
    <w:rsid w:val="00973C4E"/>
    <w:rsid w:val="00973E3C"/>
    <w:rsid w:val="009742EA"/>
    <w:rsid w:val="0097469B"/>
    <w:rsid w:val="00974717"/>
    <w:rsid w:val="00974763"/>
    <w:rsid w:val="0097493A"/>
    <w:rsid w:val="00974B4C"/>
    <w:rsid w:val="00974B73"/>
    <w:rsid w:val="00974ED0"/>
    <w:rsid w:val="00974F96"/>
    <w:rsid w:val="009750DB"/>
    <w:rsid w:val="0097563C"/>
    <w:rsid w:val="009757CA"/>
    <w:rsid w:val="00975C9D"/>
    <w:rsid w:val="00976D8D"/>
    <w:rsid w:val="00976E76"/>
    <w:rsid w:val="0097718F"/>
    <w:rsid w:val="009771B3"/>
    <w:rsid w:val="00977A14"/>
    <w:rsid w:val="00977C00"/>
    <w:rsid w:val="00977E9B"/>
    <w:rsid w:val="00977EA6"/>
    <w:rsid w:val="00977F35"/>
    <w:rsid w:val="0098036E"/>
    <w:rsid w:val="00980443"/>
    <w:rsid w:val="009804BE"/>
    <w:rsid w:val="009807BF"/>
    <w:rsid w:val="009808EF"/>
    <w:rsid w:val="009809CE"/>
    <w:rsid w:val="00980D42"/>
    <w:rsid w:val="009811BB"/>
    <w:rsid w:val="0098131F"/>
    <w:rsid w:val="00981479"/>
    <w:rsid w:val="00981CF9"/>
    <w:rsid w:val="00981D30"/>
    <w:rsid w:val="00982295"/>
    <w:rsid w:val="009825C7"/>
    <w:rsid w:val="009829B3"/>
    <w:rsid w:val="00982C31"/>
    <w:rsid w:val="00982D45"/>
    <w:rsid w:val="00982FE4"/>
    <w:rsid w:val="00983165"/>
    <w:rsid w:val="00983343"/>
    <w:rsid w:val="009833C4"/>
    <w:rsid w:val="009834E0"/>
    <w:rsid w:val="009837B6"/>
    <w:rsid w:val="009838FF"/>
    <w:rsid w:val="00983C5A"/>
    <w:rsid w:val="00983E33"/>
    <w:rsid w:val="00983FA9"/>
    <w:rsid w:val="00984149"/>
    <w:rsid w:val="00984195"/>
    <w:rsid w:val="0098447A"/>
    <w:rsid w:val="00984759"/>
    <w:rsid w:val="00984788"/>
    <w:rsid w:val="00984909"/>
    <w:rsid w:val="00984D7E"/>
    <w:rsid w:val="00984E69"/>
    <w:rsid w:val="00984FF3"/>
    <w:rsid w:val="00984FF9"/>
    <w:rsid w:val="009850B3"/>
    <w:rsid w:val="009850C5"/>
    <w:rsid w:val="0098527A"/>
    <w:rsid w:val="0098594C"/>
    <w:rsid w:val="00985BD2"/>
    <w:rsid w:val="00985D4C"/>
    <w:rsid w:val="00985EA0"/>
    <w:rsid w:val="009862B6"/>
    <w:rsid w:val="00986326"/>
    <w:rsid w:val="00986849"/>
    <w:rsid w:val="00986A25"/>
    <w:rsid w:val="00986BB7"/>
    <w:rsid w:val="00986D4B"/>
    <w:rsid w:val="00986E11"/>
    <w:rsid w:val="00986E1E"/>
    <w:rsid w:val="00986F36"/>
    <w:rsid w:val="00986F6D"/>
    <w:rsid w:val="009871C3"/>
    <w:rsid w:val="0098727C"/>
    <w:rsid w:val="009873B6"/>
    <w:rsid w:val="00987412"/>
    <w:rsid w:val="00987708"/>
    <w:rsid w:val="00987DDD"/>
    <w:rsid w:val="00987DF0"/>
    <w:rsid w:val="00987DF4"/>
    <w:rsid w:val="00987E2E"/>
    <w:rsid w:val="00987F14"/>
    <w:rsid w:val="0099008B"/>
    <w:rsid w:val="0099015F"/>
    <w:rsid w:val="00990D27"/>
    <w:rsid w:val="00990D3F"/>
    <w:rsid w:val="009911F3"/>
    <w:rsid w:val="00991202"/>
    <w:rsid w:val="0099173B"/>
    <w:rsid w:val="0099177B"/>
    <w:rsid w:val="009917E0"/>
    <w:rsid w:val="009919B7"/>
    <w:rsid w:val="00991D62"/>
    <w:rsid w:val="0099245E"/>
    <w:rsid w:val="00992489"/>
    <w:rsid w:val="0099256D"/>
    <w:rsid w:val="00992C1C"/>
    <w:rsid w:val="00992DEC"/>
    <w:rsid w:val="00993042"/>
    <w:rsid w:val="009931A3"/>
    <w:rsid w:val="00993497"/>
    <w:rsid w:val="0099367E"/>
    <w:rsid w:val="00993B7A"/>
    <w:rsid w:val="00993FE4"/>
    <w:rsid w:val="0099425E"/>
    <w:rsid w:val="0099482F"/>
    <w:rsid w:val="0099491B"/>
    <w:rsid w:val="009949D7"/>
    <w:rsid w:val="00994CDC"/>
    <w:rsid w:val="00994D6C"/>
    <w:rsid w:val="00994F5D"/>
    <w:rsid w:val="00995518"/>
    <w:rsid w:val="009969CD"/>
    <w:rsid w:val="00996CBA"/>
    <w:rsid w:val="00996CFC"/>
    <w:rsid w:val="00996D90"/>
    <w:rsid w:val="009974C3"/>
    <w:rsid w:val="009974F3"/>
    <w:rsid w:val="0099750A"/>
    <w:rsid w:val="0099756B"/>
    <w:rsid w:val="009975DB"/>
    <w:rsid w:val="0099770A"/>
    <w:rsid w:val="00997710"/>
    <w:rsid w:val="00997769"/>
    <w:rsid w:val="00997A2E"/>
    <w:rsid w:val="00997CB7"/>
    <w:rsid w:val="009A048E"/>
    <w:rsid w:val="009A0EA2"/>
    <w:rsid w:val="009A119F"/>
    <w:rsid w:val="009A14D7"/>
    <w:rsid w:val="009A15E6"/>
    <w:rsid w:val="009A1609"/>
    <w:rsid w:val="009A1A7E"/>
    <w:rsid w:val="009A1AF0"/>
    <w:rsid w:val="009A1C6F"/>
    <w:rsid w:val="009A20D7"/>
    <w:rsid w:val="009A21E7"/>
    <w:rsid w:val="009A238A"/>
    <w:rsid w:val="009A2A71"/>
    <w:rsid w:val="009A33D8"/>
    <w:rsid w:val="009A3480"/>
    <w:rsid w:val="009A3DB8"/>
    <w:rsid w:val="009A40E8"/>
    <w:rsid w:val="009A4356"/>
    <w:rsid w:val="009A438C"/>
    <w:rsid w:val="009A43B3"/>
    <w:rsid w:val="009A464D"/>
    <w:rsid w:val="009A4781"/>
    <w:rsid w:val="009A47D3"/>
    <w:rsid w:val="009A496F"/>
    <w:rsid w:val="009A4B78"/>
    <w:rsid w:val="009A4D73"/>
    <w:rsid w:val="009A4E41"/>
    <w:rsid w:val="009A4EFE"/>
    <w:rsid w:val="009A4F72"/>
    <w:rsid w:val="009A5297"/>
    <w:rsid w:val="009A5326"/>
    <w:rsid w:val="009A537A"/>
    <w:rsid w:val="009A5D40"/>
    <w:rsid w:val="009A5E10"/>
    <w:rsid w:val="009A5E7C"/>
    <w:rsid w:val="009A5E9E"/>
    <w:rsid w:val="009A6393"/>
    <w:rsid w:val="009A640F"/>
    <w:rsid w:val="009A64A8"/>
    <w:rsid w:val="009A6665"/>
    <w:rsid w:val="009A6785"/>
    <w:rsid w:val="009A6A19"/>
    <w:rsid w:val="009A6EE2"/>
    <w:rsid w:val="009A743F"/>
    <w:rsid w:val="009A74F7"/>
    <w:rsid w:val="009A76B0"/>
    <w:rsid w:val="009A76B2"/>
    <w:rsid w:val="009A7CF2"/>
    <w:rsid w:val="009A7FD7"/>
    <w:rsid w:val="009B00F2"/>
    <w:rsid w:val="009B028E"/>
    <w:rsid w:val="009B02A4"/>
    <w:rsid w:val="009B07A0"/>
    <w:rsid w:val="009B0B10"/>
    <w:rsid w:val="009B0FB2"/>
    <w:rsid w:val="009B1113"/>
    <w:rsid w:val="009B1285"/>
    <w:rsid w:val="009B1C34"/>
    <w:rsid w:val="009B1D22"/>
    <w:rsid w:val="009B1E86"/>
    <w:rsid w:val="009B2031"/>
    <w:rsid w:val="009B20FD"/>
    <w:rsid w:val="009B27C4"/>
    <w:rsid w:val="009B2C98"/>
    <w:rsid w:val="009B2D92"/>
    <w:rsid w:val="009B2E9F"/>
    <w:rsid w:val="009B2F4E"/>
    <w:rsid w:val="009B2FBF"/>
    <w:rsid w:val="009B3250"/>
    <w:rsid w:val="009B327E"/>
    <w:rsid w:val="009B3344"/>
    <w:rsid w:val="009B370D"/>
    <w:rsid w:val="009B3EDC"/>
    <w:rsid w:val="009B401A"/>
    <w:rsid w:val="009B40D1"/>
    <w:rsid w:val="009B42D2"/>
    <w:rsid w:val="009B42D4"/>
    <w:rsid w:val="009B439E"/>
    <w:rsid w:val="009B4A06"/>
    <w:rsid w:val="009B4FA1"/>
    <w:rsid w:val="009B51DB"/>
    <w:rsid w:val="009B53CF"/>
    <w:rsid w:val="009B53E8"/>
    <w:rsid w:val="009B5AFC"/>
    <w:rsid w:val="009B5E9C"/>
    <w:rsid w:val="009B609E"/>
    <w:rsid w:val="009B6A9E"/>
    <w:rsid w:val="009B6CF1"/>
    <w:rsid w:val="009B70C8"/>
    <w:rsid w:val="009B722F"/>
    <w:rsid w:val="009B737C"/>
    <w:rsid w:val="009B742E"/>
    <w:rsid w:val="009B75A4"/>
    <w:rsid w:val="009B75CD"/>
    <w:rsid w:val="009B7BCF"/>
    <w:rsid w:val="009B7E29"/>
    <w:rsid w:val="009C0138"/>
    <w:rsid w:val="009C098B"/>
    <w:rsid w:val="009C0AC6"/>
    <w:rsid w:val="009C0E66"/>
    <w:rsid w:val="009C0EC0"/>
    <w:rsid w:val="009C111D"/>
    <w:rsid w:val="009C11B2"/>
    <w:rsid w:val="009C11F2"/>
    <w:rsid w:val="009C125F"/>
    <w:rsid w:val="009C1456"/>
    <w:rsid w:val="009C164F"/>
    <w:rsid w:val="009C1871"/>
    <w:rsid w:val="009C1BC8"/>
    <w:rsid w:val="009C1C30"/>
    <w:rsid w:val="009C1CA3"/>
    <w:rsid w:val="009C1F0A"/>
    <w:rsid w:val="009C2219"/>
    <w:rsid w:val="009C22DD"/>
    <w:rsid w:val="009C2551"/>
    <w:rsid w:val="009C29D5"/>
    <w:rsid w:val="009C29FC"/>
    <w:rsid w:val="009C2D3F"/>
    <w:rsid w:val="009C30A0"/>
    <w:rsid w:val="009C30D0"/>
    <w:rsid w:val="009C32EF"/>
    <w:rsid w:val="009C335D"/>
    <w:rsid w:val="009C359E"/>
    <w:rsid w:val="009C3634"/>
    <w:rsid w:val="009C37FE"/>
    <w:rsid w:val="009C3827"/>
    <w:rsid w:val="009C3A70"/>
    <w:rsid w:val="009C3B3C"/>
    <w:rsid w:val="009C3D4E"/>
    <w:rsid w:val="009C4059"/>
    <w:rsid w:val="009C4082"/>
    <w:rsid w:val="009C47BF"/>
    <w:rsid w:val="009C4806"/>
    <w:rsid w:val="009C4A38"/>
    <w:rsid w:val="009C4AD8"/>
    <w:rsid w:val="009C4D3D"/>
    <w:rsid w:val="009C51D4"/>
    <w:rsid w:val="009C53FF"/>
    <w:rsid w:val="009C55E2"/>
    <w:rsid w:val="009C5692"/>
    <w:rsid w:val="009C5A4E"/>
    <w:rsid w:val="009C5EE5"/>
    <w:rsid w:val="009C61E3"/>
    <w:rsid w:val="009C638C"/>
    <w:rsid w:val="009C6760"/>
    <w:rsid w:val="009C6A82"/>
    <w:rsid w:val="009C6B56"/>
    <w:rsid w:val="009C6C93"/>
    <w:rsid w:val="009C722C"/>
    <w:rsid w:val="009C7636"/>
    <w:rsid w:val="009C76F9"/>
    <w:rsid w:val="009C7785"/>
    <w:rsid w:val="009C7C1B"/>
    <w:rsid w:val="009C7DB8"/>
    <w:rsid w:val="009C7FF0"/>
    <w:rsid w:val="009D010D"/>
    <w:rsid w:val="009D0244"/>
    <w:rsid w:val="009D050F"/>
    <w:rsid w:val="009D0612"/>
    <w:rsid w:val="009D0A23"/>
    <w:rsid w:val="009D0CCE"/>
    <w:rsid w:val="009D0D18"/>
    <w:rsid w:val="009D0E1A"/>
    <w:rsid w:val="009D0F71"/>
    <w:rsid w:val="009D0FB2"/>
    <w:rsid w:val="009D111C"/>
    <w:rsid w:val="009D13E4"/>
    <w:rsid w:val="009D141A"/>
    <w:rsid w:val="009D16C7"/>
    <w:rsid w:val="009D17A0"/>
    <w:rsid w:val="009D1A08"/>
    <w:rsid w:val="009D1E51"/>
    <w:rsid w:val="009D1F7A"/>
    <w:rsid w:val="009D2165"/>
    <w:rsid w:val="009D2873"/>
    <w:rsid w:val="009D28B1"/>
    <w:rsid w:val="009D2942"/>
    <w:rsid w:val="009D37C3"/>
    <w:rsid w:val="009D3816"/>
    <w:rsid w:val="009D3827"/>
    <w:rsid w:val="009D3A1A"/>
    <w:rsid w:val="009D3C06"/>
    <w:rsid w:val="009D40BE"/>
    <w:rsid w:val="009D426A"/>
    <w:rsid w:val="009D4602"/>
    <w:rsid w:val="009D4B7B"/>
    <w:rsid w:val="009D4D98"/>
    <w:rsid w:val="009D5181"/>
    <w:rsid w:val="009D5222"/>
    <w:rsid w:val="009D54E0"/>
    <w:rsid w:val="009D5BDB"/>
    <w:rsid w:val="009D5CB1"/>
    <w:rsid w:val="009D5CCA"/>
    <w:rsid w:val="009D6453"/>
    <w:rsid w:val="009D668B"/>
    <w:rsid w:val="009D6816"/>
    <w:rsid w:val="009D6942"/>
    <w:rsid w:val="009D69C7"/>
    <w:rsid w:val="009D6B03"/>
    <w:rsid w:val="009D6B2A"/>
    <w:rsid w:val="009D6B3D"/>
    <w:rsid w:val="009D6ED8"/>
    <w:rsid w:val="009D7422"/>
    <w:rsid w:val="009D77A4"/>
    <w:rsid w:val="009D78E7"/>
    <w:rsid w:val="009D7AF8"/>
    <w:rsid w:val="009D7E0E"/>
    <w:rsid w:val="009D7E65"/>
    <w:rsid w:val="009E0505"/>
    <w:rsid w:val="009E0742"/>
    <w:rsid w:val="009E092E"/>
    <w:rsid w:val="009E0C4D"/>
    <w:rsid w:val="009E11C3"/>
    <w:rsid w:val="009E125B"/>
    <w:rsid w:val="009E1291"/>
    <w:rsid w:val="009E12BC"/>
    <w:rsid w:val="009E1507"/>
    <w:rsid w:val="009E182B"/>
    <w:rsid w:val="009E1EB5"/>
    <w:rsid w:val="009E1F53"/>
    <w:rsid w:val="009E20FD"/>
    <w:rsid w:val="009E2163"/>
    <w:rsid w:val="009E224D"/>
    <w:rsid w:val="009E2415"/>
    <w:rsid w:val="009E2521"/>
    <w:rsid w:val="009E26D5"/>
    <w:rsid w:val="009E2742"/>
    <w:rsid w:val="009E276C"/>
    <w:rsid w:val="009E2775"/>
    <w:rsid w:val="009E27C1"/>
    <w:rsid w:val="009E289D"/>
    <w:rsid w:val="009E2A07"/>
    <w:rsid w:val="009E2A47"/>
    <w:rsid w:val="009E2C6D"/>
    <w:rsid w:val="009E2FFF"/>
    <w:rsid w:val="009E313F"/>
    <w:rsid w:val="009E3398"/>
    <w:rsid w:val="009E3577"/>
    <w:rsid w:val="009E39CB"/>
    <w:rsid w:val="009E3C18"/>
    <w:rsid w:val="009E3D2B"/>
    <w:rsid w:val="009E3E84"/>
    <w:rsid w:val="009E4097"/>
    <w:rsid w:val="009E4664"/>
    <w:rsid w:val="009E47C6"/>
    <w:rsid w:val="009E4D8E"/>
    <w:rsid w:val="009E4E90"/>
    <w:rsid w:val="009E4EB7"/>
    <w:rsid w:val="009E4F2C"/>
    <w:rsid w:val="009E5105"/>
    <w:rsid w:val="009E566B"/>
    <w:rsid w:val="009E56C7"/>
    <w:rsid w:val="009E57C1"/>
    <w:rsid w:val="009E624A"/>
    <w:rsid w:val="009E6346"/>
    <w:rsid w:val="009E6508"/>
    <w:rsid w:val="009E6522"/>
    <w:rsid w:val="009E6986"/>
    <w:rsid w:val="009E6AC2"/>
    <w:rsid w:val="009E6B32"/>
    <w:rsid w:val="009E70F3"/>
    <w:rsid w:val="009E7A91"/>
    <w:rsid w:val="009E7B46"/>
    <w:rsid w:val="009E7E98"/>
    <w:rsid w:val="009E7F64"/>
    <w:rsid w:val="009F00EE"/>
    <w:rsid w:val="009F00EF"/>
    <w:rsid w:val="009F0374"/>
    <w:rsid w:val="009F0406"/>
    <w:rsid w:val="009F053B"/>
    <w:rsid w:val="009F0827"/>
    <w:rsid w:val="009F0871"/>
    <w:rsid w:val="009F0BED"/>
    <w:rsid w:val="009F0C50"/>
    <w:rsid w:val="009F1514"/>
    <w:rsid w:val="009F15CF"/>
    <w:rsid w:val="009F1673"/>
    <w:rsid w:val="009F167D"/>
    <w:rsid w:val="009F16D7"/>
    <w:rsid w:val="009F16F4"/>
    <w:rsid w:val="009F1987"/>
    <w:rsid w:val="009F1A9A"/>
    <w:rsid w:val="009F1AC3"/>
    <w:rsid w:val="009F1EA5"/>
    <w:rsid w:val="009F22DB"/>
    <w:rsid w:val="009F25FA"/>
    <w:rsid w:val="009F29C8"/>
    <w:rsid w:val="009F2B75"/>
    <w:rsid w:val="009F2EF7"/>
    <w:rsid w:val="009F31AF"/>
    <w:rsid w:val="009F3255"/>
    <w:rsid w:val="009F34AA"/>
    <w:rsid w:val="009F3DCE"/>
    <w:rsid w:val="009F44FF"/>
    <w:rsid w:val="009F46E8"/>
    <w:rsid w:val="009F472D"/>
    <w:rsid w:val="009F49E4"/>
    <w:rsid w:val="009F4C16"/>
    <w:rsid w:val="009F4CF0"/>
    <w:rsid w:val="009F4E88"/>
    <w:rsid w:val="009F4F54"/>
    <w:rsid w:val="009F50D1"/>
    <w:rsid w:val="009F52BB"/>
    <w:rsid w:val="009F5472"/>
    <w:rsid w:val="009F568A"/>
    <w:rsid w:val="009F573B"/>
    <w:rsid w:val="009F5805"/>
    <w:rsid w:val="009F5918"/>
    <w:rsid w:val="009F596D"/>
    <w:rsid w:val="009F5D37"/>
    <w:rsid w:val="009F672E"/>
    <w:rsid w:val="009F689C"/>
    <w:rsid w:val="009F6A91"/>
    <w:rsid w:val="009F6B35"/>
    <w:rsid w:val="009F71A6"/>
    <w:rsid w:val="009F71AA"/>
    <w:rsid w:val="009F7326"/>
    <w:rsid w:val="009F7491"/>
    <w:rsid w:val="009F754A"/>
    <w:rsid w:val="009F75B2"/>
    <w:rsid w:val="009F791F"/>
    <w:rsid w:val="009F7EC0"/>
    <w:rsid w:val="009F7F86"/>
    <w:rsid w:val="00A002A7"/>
    <w:rsid w:val="00A0034D"/>
    <w:rsid w:val="00A005AF"/>
    <w:rsid w:val="00A0071A"/>
    <w:rsid w:val="00A007D7"/>
    <w:rsid w:val="00A00BFB"/>
    <w:rsid w:val="00A00DCF"/>
    <w:rsid w:val="00A00ED9"/>
    <w:rsid w:val="00A0126C"/>
    <w:rsid w:val="00A012DA"/>
    <w:rsid w:val="00A01688"/>
    <w:rsid w:val="00A0187E"/>
    <w:rsid w:val="00A018F9"/>
    <w:rsid w:val="00A01E70"/>
    <w:rsid w:val="00A02358"/>
    <w:rsid w:val="00A023AF"/>
    <w:rsid w:val="00A02450"/>
    <w:rsid w:val="00A026F0"/>
    <w:rsid w:val="00A0286B"/>
    <w:rsid w:val="00A02B64"/>
    <w:rsid w:val="00A02BED"/>
    <w:rsid w:val="00A02EDB"/>
    <w:rsid w:val="00A02F2D"/>
    <w:rsid w:val="00A02F61"/>
    <w:rsid w:val="00A037D6"/>
    <w:rsid w:val="00A03CD7"/>
    <w:rsid w:val="00A03E0E"/>
    <w:rsid w:val="00A03F01"/>
    <w:rsid w:val="00A04088"/>
    <w:rsid w:val="00A040D1"/>
    <w:rsid w:val="00A04325"/>
    <w:rsid w:val="00A04424"/>
    <w:rsid w:val="00A04A0A"/>
    <w:rsid w:val="00A04E54"/>
    <w:rsid w:val="00A050A8"/>
    <w:rsid w:val="00A0521D"/>
    <w:rsid w:val="00A056A3"/>
    <w:rsid w:val="00A056AA"/>
    <w:rsid w:val="00A057DF"/>
    <w:rsid w:val="00A0583F"/>
    <w:rsid w:val="00A05B51"/>
    <w:rsid w:val="00A05C29"/>
    <w:rsid w:val="00A06286"/>
    <w:rsid w:val="00A06318"/>
    <w:rsid w:val="00A063BC"/>
    <w:rsid w:val="00A068E1"/>
    <w:rsid w:val="00A06A80"/>
    <w:rsid w:val="00A06CC5"/>
    <w:rsid w:val="00A06D8A"/>
    <w:rsid w:val="00A06FB0"/>
    <w:rsid w:val="00A0711F"/>
    <w:rsid w:val="00A0762A"/>
    <w:rsid w:val="00A07B0B"/>
    <w:rsid w:val="00A1000E"/>
    <w:rsid w:val="00A102A0"/>
    <w:rsid w:val="00A104AE"/>
    <w:rsid w:val="00A108C2"/>
    <w:rsid w:val="00A109CD"/>
    <w:rsid w:val="00A10BB1"/>
    <w:rsid w:val="00A10E23"/>
    <w:rsid w:val="00A10E90"/>
    <w:rsid w:val="00A11004"/>
    <w:rsid w:val="00A110DD"/>
    <w:rsid w:val="00A11201"/>
    <w:rsid w:val="00A112E6"/>
    <w:rsid w:val="00A114FA"/>
    <w:rsid w:val="00A1169C"/>
    <w:rsid w:val="00A1174E"/>
    <w:rsid w:val="00A11AF3"/>
    <w:rsid w:val="00A11DE0"/>
    <w:rsid w:val="00A1256B"/>
    <w:rsid w:val="00A12798"/>
    <w:rsid w:val="00A12AED"/>
    <w:rsid w:val="00A12C09"/>
    <w:rsid w:val="00A12E40"/>
    <w:rsid w:val="00A13084"/>
    <w:rsid w:val="00A1327F"/>
    <w:rsid w:val="00A135A9"/>
    <w:rsid w:val="00A13817"/>
    <w:rsid w:val="00A138D3"/>
    <w:rsid w:val="00A13E0F"/>
    <w:rsid w:val="00A13F2A"/>
    <w:rsid w:val="00A144B7"/>
    <w:rsid w:val="00A1499D"/>
    <w:rsid w:val="00A149B4"/>
    <w:rsid w:val="00A14E9E"/>
    <w:rsid w:val="00A14F63"/>
    <w:rsid w:val="00A15600"/>
    <w:rsid w:val="00A15646"/>
    <w:rsid w:val="00A15698"/>
    <w:rsid w:val="00A157E1"/>
    <w:rsid w:val="00A158C9"/>
    <w:rsid w:val="00A15A4E"/>
    <w:rsid w:val="00A15AE3"/>
    <w:rsid w:val="00A15C8D"/>
    <w:rsid w:val="00A15E5A"/>
    <w:rsid w:val="00A15F4F"/>
    <w:rsid w:val="00A160AB"/>
    <w:rsid w:val="00A160F0"/>
    <w:rsid w:val="00A162E4"/>
    <w:rsid w:val="00A16745"/>
    <w:rsid w:val="00A16747"/>
    <w:rsid w:val="00A16AB4"/>
    <w:rsid w:val="00A1719F"/>
    <w:rsid w:val="00A17A6F"/>
    <w:rsid w:val="00A17C1D"/>
    <w:rsid w:val="00A20013"/>
    <w:rsid w:val="00A20582"/>
    <w:rsid w:val="00A2097E"/>
    <w:rsid w:val="00A20C65"/>
    <w:rsid w:val="00A213EE"/>
    <w:rsid w:val="00A214B2"/>
    <w:rsid w:val="00A21767"/>
    <w:rsid w:val="00A21B4F"/>
    <w:rsid w:val="00A21D84"/>
    <w:rsid w:val="00A21FD5"/>
    <w:rsid w:val="00A22046"/>
    <w:rsid w:val="00A22263"/>
    <w:rsid w:val="00A22434"/>
    <w:rsid w:val="00A22569"/>
    <w:rsid w:val="00A225B1"/>
    <w:rsid w:val="00A22614"/>
    <w:rsid w:val="00A22751"/>
    <w:rsid w:val="00A22940"/>
    <w:rsid w:val="00A23102"/>
    <w:rsid w:val="00A23284"/>
    <w:rsid w:val="00A2343F"/>
    <w:rsid w:val="00A23505"/>
    <w:rsid w:val="00A23598"/>
    <w:rsid w:val="00A23D17"/>
    <w:rsid w:val="00A2428B"/>
    <w:rsid w:val="00A244F1"/>
    <w:rsid w:val="00A2476B"/>
    <w:rsid w:val="00A247E5"/>
    <w:rsid w:val="00A24D81"/>
    <w:rsid w:val="00A24EA5"/>
    <w:rsid w:val="00A25173"/>
    <w:rsid w:val="00A252F0"/>
    <w:rsid w:val="00A256D6"/>
    <w:rsid w:val="00A259F2"/>
    <w:rsid w:val="00A25E0C"/>
    <w:rsid w:val="00A25FDB"/>
    <w:rsid w:val="00A26463"/>
    <w:rsid w:val="00A26608"/>
    <w:rsid w:val="00A2660E"/>
    <w:rsid w:val="00A26916"/>
    <w:rsid w:val="00A26A9D"/>
    <w:rsid w:val="00A26B09"/>
    <w:rsid w:val="00A26B47"/>
    <w:rsid w:val="00A26DD9"/>
    <w:rsid w:val="00A26FF1"/>
    <w:rsid w:val="00A27062"/>
    <w:rsid w:val="00A277CE"/>
    <w:rsid w:val="00A27806"/>
    <w:rsid w:val="00A30145"/>
    <w:rsid w:val="00A305E8"/>
    <w:rsid w:val="00A3068C"/>
    <w:rsid w:val="00A306EB"/>
    <w:rsid w:val="00A30D46"/>
    <w:rsid w:val="00A3127F"/>
    <w:rsid w:val="00A314EB"/>
    <w:rsid w:val="00A31509"/>
    <w:rsid w:val="00A316E6"/>
    <w:rsid w:val="00A31922"/>
    <w:rsid w:val="00A3199F"/>
    <w:rsid w:val="00A31BCC"/>
    <w:rsid w:val="00A31C70"/>
    <w:rsid w:val="00A32382"/>
    <w:rsid w:val="00A32407"/>
    <w:rsid w:val="00A3258B"/>
    <w:rsid w:val="00A325BB"/>
    <w:rsid w:val="00A3297A"/>
    <w:rsid w:val="00A32A58"/>
    <w:rsid w:val="00A32D1C"/>
    <w:rsid w:val="00A32EEC"/>
    <w:rsid w:val="00A3318D"/>
    <w:rsid w:val="00A336C5"/>
    <w:rsid w:val="00A338D6"/>
    <w:rsid w:val="00A33BAB"/>
    <w:rsid w:val="00A33E98"/>
    <w:rsid w:val="00A34011"/>
    <w:rsid w:val="00A3439C"/>
    <w:rsid w:val="00A344A6"/>
    <w:rsid w:val="00A34CFE"/>
    <w:rsid w:val="00A34FAB"/>
    <w:rsid w:val="00A3510A"/>
    <w:rsid w:val="00A3515F"/>
    <w:rsid w:val="00A3537D"/>
    <w:rsid w:val="00A35751"/>
    <w:rsid w:val="00A35762"/>
    <w:rsid w:val="00A3577F"/>
    <w:rsid w:val="00A35B52"/>
    <w:rsid w:val="00A35BBC"/>
    <w:rsid w:val="00A35DAB"/>
    <w:rsid w:val="00A35FAE"/>
    <w:rsid w:val="00A365F5"/>
    <w:rsid w:val="00A36679"/>
    <w:rsid w:val="00A36724"/>
    <w:rsid w:val="00A367AF"/>
    <w:rsid w:val="00A36AA0"/>
    <w:rsid w:val="00A36C13"/>
    <w:rsid w:val="00A3726D"/>
    <w:rsid w:val="00A37412"/>
    <w:rsid w:val="00A377C2"/>
    <w:rsid w:val="00A37A31"/>
    <w:rsid w:val="00A37C04"/>
    <w:rsid w:val="00A37D63"/>
    <w:rsid w:val="00A37F0E"/>
    <w:rsid w:val="00A4005A"/>
    <w:rsid w:val="00A40092"/>
    <w:rsid w:val="00A402EC"/>
    <w:rsid w:val="00A4061D"/>
    <w:rsid w:val="00A40B1F"/>
    <w:rsid w:val="00A40B4D"/>
    <w:rsid w:val="00A40B60"/>
    <w:rsid w:val="00A411E2"/>
    <w:rsid w:val="00A41302"/>
    <w:rsid w:val="00A41373"/>
    <w:rsid w:val="00A41552"/>
    <w:rsid w:val="00A415DF"/>
    <w:rsid w:val="00A415EF"/>
    <w:rsid w:val="00A41638"/>
    <w:rsid w:val="00A41961"/>
    <w:rsid w:val="00A41B15"/>
    <w:rsid w:val="00A421C9"/>
    <w:rsid w:val="00A4224E"/>
    <w:rsid w:val="00A4229F"/>
    <w:rsid w:val="00A4263C"/>
    <w:rsid w:val="00A4277E"/>
    <w:rsid w:val="00A428A9"/>
    <w:rsid w:val="00A42A3A"/>
    <w:rsid w:val="00A42ACA"/>
    <w:rsid w:val="00A436C0"/>
    <w:rsid w:val="00A43880"/>
    <w:rsid w:val="00A43AAB"/>
    <w:rsid w:val="00A43AFE"/>
    <w:rsid w:val="00A43C50"/>
    <w:rsid w:val="00A43F38"/>
    <w:rsid w:val="00A440CD"/>
    <w:rsid w:val="00A449C8"/>
    <w:rsid w:val="00A44A37"/>
    <w:rsid w:val="00A44AAD"/>
    <w:rsid w:val="00A44CC6"/>
    <w:rsid w:val="00A44E8A"/>
    <w:rsid w:val="00A44EE6"/>
    <w:rsid w:val="00A45280"/>
    <w:rsid w:val="00A4562B"/>
    <w:rsid w:val="00A45647"/>
    <w:rsid w:val="00A458E1"/>
    <w:rsid w:val="00A45BF7"/>
    <w:rsid w:val="00A45DBB"/>
    <w:rsid w:val="00A45F01"/>
    <w:rsid w:val="00A46317"/>
    <w:rsid w:val="00A46323"/>
    <w:rsid w:val="00A463B5"/>
    <w:rsid w:val="00A463BA"/>
    <w:rsid w:val="00A46415"/>
    <w:rsid w:val="00A464D3"/>
    <w:rsid w:val="00A464F0"/>
    <w:rsid w:val="00A46675"/>
    <w:rsid w:val="00A471A3"/>
    <w:rsid w:val="00A47597"/>
    <w:rsid w:val="00A47CB5"/>
    <w:rsid w:val="00A47E08"/>
    <w:rsid w:val="00A47E44"/>
    <w:rsid w:val="00A47F91"/>
    <w:rsid w:val="00A50385"/>
    <w:rsid w:val="00A507D7"/>
    <w:rsid w:val="00A508D0"/>
    <w:rsid w:val="00A50A5C"/>
    <w:rsid w:val="00A50BE2"/>
    <w:rsid w:val="00A50CC6"/>
    <w:rsid w:val="00A50CE0"/>
    <w:rsid w:val="00A50E40"/>
    <w:rsid w:val="00A510C2"/>
    <w:rsid w:val="00A51135"/>
    <w:rsid w:val="00A51462"/>
    <w:rsid w:val="00A515CE"/>
    <w:rsid w:val="00A51946"/>
    <w:rsid w:val="00A51C1F"/>
    <w:rsid w:val="00A51FF7"/>
    <w:rsid w:val="00A52079"/>
    <w:rsid w:val="00A52143"/>
    <w:rsid w:val="00A521A4"/>
    <w:rsid w:val="00A521E9"/>
    <w:rsid w:val="00A5298E"/>
    <w:rsid w:val="00A52B3E"/>
    <w:rsid w:val="00A52DD5"/>
    <w:rsid w:val="00A5306B"/>
    <w:rsid w:val="00A530F4"/>
    <w:rsid w:val="00A5313B"/>
    <w:rsid w:val="00A5320E"/>
    <w:rsid w:val="00A5397B"/>
    <w:rsid w:val="00A53D6A"/>
    <w:rsid w:val="00A53F7B"/>
    <w:rsid w:val="00A54090"/>
    <w:rsid w:val="00A54282"/>
    <w:rsid w:val="00A54481"/>
    <w:rsid w:val="00A547E4"/>
    <w:rsid w:val="00A549A8"/>
    <w:rsid w:val="00A549D3"/>
    <w:rsid w:val="00A54BC5"/>
    <w:rsid w:val="00A54BE2"/>
    <w:rsid w:val="00A54DF0"/>
    <w:rsid w:val="00A554C8"/>
    <w:rsid w:val="00A55CB9"/>
    <w:rsid w:val="00A55CD1"/>
    <w:rsid w:val="00A55E09"/>
    <w:rsid w:val="00A5654A"/>
    <w:rsid w:val="00A56BCA"/>
    <w:rsid w:val="00A56E99"/>
    <w:rsid w:val="00A571C2"/>
    <w:rsid w:val="00A57212"/>
    <w:rsid w:val="00A5762E"/>
    <w:rsid w:val="00A57657"/>
    <w:rsid w:val="00A576CB"/>
    <w:rsid w:val="00A57880"/>
    <w:rsid w:val="00A578F8"/>
    <w:rsid w:val="00A57D36"/>
    <w:rsid w:val="00A57E98"/>
    <w:rsid w:val="00A6016D"/>
    <w:rsid w:val="00A602C2"/>
    <w:rsid w:val="00A60849"/>
    <w:rsid w:val="00A60DDD"/>
    <w:rsid w:val="00A60E33"/>
    <w:rsid w:val="00A6105B"/>
    <w:rsid w:val="00A61117"/>
    <w:rsid w:val="00A61355"/>
    <w:rsid w:val="00A614D6"/>
    <w:rsid w:val="00A61668"/>
    <w:rsid w:val="00A61BB9"/>
    <w:rsid w:val="00A61E1F"/>
    <w:rsid w:val="00A61F11"/>
    <w:rsid w:val="00A6200C"/>
    <w:rsid w:val="00A621CF"/>
    <w:rsid w:val="00A621D3"/>
    <w:rsid w:val="00A626B0"/>
    <w:rsid w:val="00A628F8"/>
    <w:rsid w:val="00A62B7A"/>
    <w:rsid w:val="00A62D72"/>
    <w:rsid w:val="00A6306E"/>
    <w:rsid w:val="00A63140"/>
    <w:rsid w:val="00A632EA"/>
    <w:rsid w:val="00A634BE"/>
    <w:rsid w:val="00A634CD"/>
    <w:rsid w:val="00A639B9"/>
    <w:rsid w:val="00A63AD7"/>
    <w:rsid w:val="00A63BFD"/>
    <w:rsid w:val="00A64024"/>
    <w:rsid w:val="00A6422A"/>
    <w:rsid w:val="00A643E3"/>
    <w:rsid w:val="00A6444A"/>
    <w:rsid w:val="00A6491F"/>
    <w:rsid w:val="00A64C72"/>
    <w:rsid w:val="00A64D1A"/>
    <w:rsid w:val="00A64F00"/>
    <w:rsid w:val="00A65320"/>
    <w:rsid w:val="00A6580C"/>
    <w:rsid w:val="00A658E0"/>
    <w:rsid w:val="00A65A84"/>
    <w:rsid w:val="00A65BA5"/>
    <w:rsid w:val="00A65C52"/>
    <w:rsid w:val="00A66006"/>
    <w:rsid w:val="00A660F5"/>
    <w:rsid w:val="00A66288"/>
    <w:rsid w:val="00A66354"/>
    <w:rsid w:val="00A663C7"/>
    <w:rsid w:val="00A6668D"/>
    <w:rsid w:val="00A667B9"/>
    <w:rsid w:val="00A669B2"/>
    <w:rsid w:val="00A66E37"/>
    <w:rsid w:val="00A66ECF"/>
    <w:rsid w:val="00A672CE"/>
    <w:rsid w:val="00A67319"/>
    <w:rsid w:val="00A67A08"/>
    <w:rsid w:val="00A67E38"/>
    <w:rsid w:val="00A703E4"/>
    <w:rsid w:val="00A70A2E"/>
    <w:rsid w:val="00A70AC8"/>
    <w:rsid w:val="00A70DC6"/>
    <w:rsid w:val="00A70FFC"/>
    <w:rsid w:val="00A71058"/>
    <w:rsid w:val="00A71080"/>
    <w:rsid w:val="00A713B3"/>
    <w:rsid w:val="00A71986"/>
    <w:rsid w:val="00A71AD6"/>
    <w:rsid w:val="00A71E73"/>
    <w:rsid w:val="00A71F4E"/>
    <w:rsid w:val="00A71F7E"/>
    <w:rsid w:val="00A71FBA"/>
    <w:rsid w:val="00A72740"/>
    <w:rsid w:val="00A7280C"/>
    <w:rsid w:val="00A7288A"/>
    <w:rsid w:val="00A72A7A"/>
    <w:rsid w:val="00A72D09"/>
    <w:rsid w:val="00A7317C"/>
    <w:rsid w:val="00A73596"/>
    <w:rsid w:val="00A73A64"/>
    <w:rsid w:val="00A73AD9"/>
    <w:rsid w:val="00A73B6C"/>
    <w:rsid w:val="00A73DD8"/>
    <w:rsid w:val="00A742AD"/>
    <w:rsid w:val="00A74430"/>
    <w:rsid w:val="00A746D7"/>
    <w:rsid w:val="00A74914"/>
    <w:rsid w:val="00A74AB2"/>
    <w:rsid w:val="00A75124"/>
    <w:rsid w:val="00A75729"/>
    <w:rsid w:val="00A75A46"/>
    <w:rsid w:val="00A75B36"/>
    <w:rsid w:val="00A75C78"/>
    <w:rsid w:val="00A75CB0"/>
    <w:rsid w:val="00A762F1"/>
    <w:rsid w:val="00A7663A"/>
    <w:rsid w:val="00A7696B"/>
    <w:rsid w:val="00A769D4"/>
    <w:rsid w:val="00A769E7"/>
    <w:rsid w:val="00A76A42"/>
    <w:rsid w:val="00A76EB4"/>
    <w:rsid w:val="00A76FA7"/>
    <w:rsid w:val="00A7701F"/>
    <w:rsid w:val="00A774AD"/>
    <w:rsid w:val="00A775FB"/>
    <w:rsid w:val="00A77658"/>
    <w:rsid w:val="00A77887"/>
    <w:rsid w:val="00A77FCD"/>
    <w:rsid w:val="00A80268"/>
    <w:rsid w:val="00A803C3"/>
    <w:rsid w:val="00A804C7"/>
    <w:rsid w:val="00A80857"/>
    <w:rsid w:val="00A80A39"/>
    <w:rsid w:val="00A80DF0"/>
    <w:rsid w:val="00A80E64"/>
    <w:rsid w:val="00A81121"/>
    <w:rsid w:val="00A8126A"/>
    <w:rsid w:val="00A81A16"/>
    <w:rsid w:val="00A823A7"/>
    <w:rsid w:val="00A825C8"/>
    <w:rsid w:val="00A8265B"/>
    <w:rsid w:val="00A82692"/>
    <w:rsid w:val="00A82742"/>
    <w:rsid w:val="00A828C6"/>
    <w:rsid w:val="00A829B8"/>
    <w:rsid w:val="00A82DD3"/>
    <w:rsid w:val="00A8396C"/>
    <w:rsid w:val="00A83984"/>
    <w:rsid w:val="00A83A1E"/>
    <w:rsid w:val="00A84198"/>
    <w:rsid w:val="00A841AB"/>
    <w:rsid w:val="00A84219"/>
    <w:rsid w:val="00A842BE"/>
    <w:rsid w:val="00A84FFD"/>
    <w:rsid w:val="00A85026"/>
    <w:rsid w:val="00A85191"/>
    <w:rsid w:val="00A85265"/>
    <w:rsid w:val="00A85B24"/>
    <w:rsid w:val="00A85B2F"/>
    <w:rsid w:val="00A86104"/>
    <w:rsid w:val="00A862A9"/>
    <w:rsid w:val="00A863FD"/>
    <w:rsid w:val="00A8655A"/>
    <w:rsid w:val="00A866EC"/>
    <w:rsid w:val="00A86955"/>
    <w:rsid w:val="00A86C42"/>
    <w:rsid w:val="00A86EB0"/>
    <w:rsid w:val="00A87203"/>
    <w:rsid w:val="00A872C7"/>
    <w:rsid w:val="00A87744"/>
    <w:rsid w:val="00A87AE6"/>
    <w:rsid w:val="00A87B09"/>
    <w:rsid w:val="00A87C22"/>
    <w:rsid w:val="00A87E0A"/>
    <w:rsid w:val="00A90590"/>
    <w:rsid w:val="00A905B3"/>
    <w:rsid w:val="00A906F7"/>
    <w:rsid w:val="00A90A97"/>
    <w:rsid w:val="00A90BE9"/>
    <w:rsid w:val="00A90CB4"/>
    <w:rsid w:val="00A90D97"/>
    <w:rsid w:val="00A90DD0"/>
    <w:rsid w:val="00A910DA"/>
    <w:rsid w:val="00A912D4"/>
    <w:rsid w:val="00A91654"/>
    <w:rsid w:val="00A9184E"/>
    <w:rsid w:val="00A91E73"/>
    <w:rsid w:val="00A91EDF"/>
    <w:rsid w:val="00A92044"/>
    <w:rsid w:val="00A920E1"/>
    <w:rsid w:val="00A923D6"/>
    <w:rsid w:val="00A92B42"/>
    <w:rsid w:val="00A930A4"/>
    <w:rsid w:val="00A932AD"/>
    <w:rsid w:val="00A933AE"/>
    <w:rsid w:val="00A93863"/>
    <w:rsid w:val="00A9393C"/>
    <w:rsid w:val="00A9415E"/>
    <w:rsid w:val="00A9423F"/>
    <w:rsid w:val="00A942D0"/>
    <w:rsid w:val="00A94AD0"/>
    <w:rsid w:val="00A94B22"/>
    <w:rsid w:val="00A94D93"/>
    <w:rsid w:val="00A94EBD"/>
    <w:rsid w:val="00A950B3"/>
    <w:rsid w:val="00A9510D"/>
    <w:rsid w:val="00A9519C"/>
    <w:rsid w:val="00A95474"/>
    <w:rsid w:val="00A954DE"/>
    <w:rsid w:val="00A955CC"/>
    <w:rsid w:val="00A956AC"/>
    <w:rsid w:val="00A95AD2"/>
    <w:rsid w:val="00A95B09"/>
    <w:rsid w:val="00A95D2A"/>
    <w:rsid w:val="00A95D7D"/>
    <w:rsid w:val="00A95E79"/>
    <w:rsid w:val="00A96214"/>
    <w:rsid w:val="00A9656D"/>
    <w:rsid w:val="00A96684"/>
    <w:rsid w:val="00A9669B"/>
    <w:rsid w:val="00A967E8"/>
    <w:rsid w:val="00A96BA8"/>
    <w:rsid w:val="00A970CB"/>
    <w:rsid w:val="00A970EB"/>
    <w:rsid w:val="00A9793B"/>
    <w:rsid w:val="00A979BD"/>
    <w:rsid w:val="00A979D6"/>
    <w:rsid w:val="00A97AF8"/>
    <w:rsid w:val="00A97C63"/>
    <w:rsid w:val="00A97D38"/>
    <w:rsid w:val="00A97F4B"/>
    <w:rsid w:val="00A97FE3"/>
    <w:rsid w:val="00AA04C5"/>
    <w:rsid w:val="00AA0758"/>
    <w:rsid w:val="00AA077D"/>
    <w:rsid w:val="00AA08A9"/>
    <w:rsid w:val="00AA0978"/>
    <w:rsid w:val="00AA1008"/>
    <w:rsid w:val="00AA1044"/>
    <w:rsid w:val="00AA10B1"/>
    <w:rsid w:val="00AA1769"/>
    <w:rsid w:val="00AA1810"/>
    <w:rsid w:val="00AA1F41"/>
    <w:rsid w:val="00AA20A8"/>
    <w:rsid w:val="00AA239B"/>
    <w:rsid w:val="00AA276B"/>
    <w:rsid w:val="00AA2803"/>
    <w:rsid w:val="00AA2BF2"/>
    <w:rsid w:val="00AA2D65"/>
    <w:rsid w:val="00AA2D68"/>
    <w:rsid w:val="00AA2D6F"/>
    <w:rsid w:val="00AA3987"/>
    <w:rsid w:val="00AA39F4"/>
    <w:rsid w:val="00AA3B68"/>
    <w:rsid w:val="00AA3E79"/>
    <w:rsid w:val="00AA3F37"/>
    <w:rsid w:val="00AA447C"/>
    <w:rsid w:val="00AA49B9"/>
    <w:rsid w:val="00AA4FB4"/>
    <w:rsid w:val="00AA5C0B"/>
    <w:rsid w:val="00AA5E3B"/>
    <w:rsid w:val="00AA63AD"/>
    <w:rsid w:val="00AA65B4"/>
    <w:rsid w:val="00AA65DC"/>
    <w:rsid w:val="00AA7002"/>
    <w:rsid w:val="00AA745E"/>
    <w:rsid w:val="00AA77EC"/>
    <w:rsid w:val="00AA7999"/>
    <w:rsid w:val="00AA7B41"/>
    <w:rsid w:val="00AA7E43"/>
    <w:rsid w:val="00AB015E"/>
    <w:rsid w:val="00AB0352"/>
    <w:rsid w:val="00AB047A"/>
    <w:rsid w:val="00AB04AA"/>
    <w:rsid w:val="00AB04AB"/>
    <w:rsid w:val="00AB06F1"/>
    <w:rsid w:val="00AB0733"/>
    <w:rsid w:val="00AB082F"/>
    <w:rsid w:val="00AB09D2"/>
    <w:rsid w:val="00AB0A49"/>
    <w:rsid w:val="00AB0B64"/>
    <w:rsid w:val="00AB0C30"/>
    <w:rsid w:val="00AB0CC4"/>
    <w:rsid w:val="00AB0ECD"/>
    <w:rsid w:val="00AB161B"/>
    <w:rsid w:val="00AB173A"/>
    <w:rsid w:val="00AB176B"/>
    <w:rsid w:val="00AB1BAB"/>
    <w:rsid w:val="00AB2012"/>
    <w:rsid w:val="00AB2A24"/>
    <w:rsid w:val="00AB2BDB"/>
    <w:rsid w:val="00AB3110"/>
    <w:rsid w:val="00AB3172"/>
    <w:rsid w:val="00AB3234"/>
    <w:rsid w:val="00AB37E6"/>
    <w:rsid w:val="00AB3949"/>
    <w:rsid w:val="00AB3D7B"/>
    <w:rsid w:val="00AB3DBA"/>
    <w:rsid w:val="00AB405A"/>
    <w:rsid w:val="00AB4138"/>
    <w:rsid w:val="00AB431C"/>
    <w:rsid w:val="00AB470E"/>
    <w:rsid w:val="00AB475F"/>
    <w:rsid w:val="00AB5427"/>
    <w:rsid w:val="00AB54E3"/>
    <w:rsid w:val="00AB56C6"/>
    <w:rsid w:val="00AB5728"/>
    <w:rsid w:val="00AB5950"/>
    <w:rsid w:val="00AB5A7E"/>
    <w:rsid w:val="00AB5DFF"/>
    <w:rsid w:val="00AB5EDC"/>
    <w:rsid w:val="00AB5F9A"/>
    <w:rsid w:val="00AB6181"/>
    <w:rsid w:val="00AB6677"/>
    <w:rsid w:val="00AB66E7"/>
    <w:rsid w:val="00AB7538"/>
    <w:rsid w:val="00AB75A7"/>
    <w:rsid w:val="00AB77F3"/>
    <w:rsid w:val="00AB7BE7"/>
    <w:rsid w:val="00AB7C1D"/>
    <w:rsid w:val="00AC000E"/>
    <w:rsid w:val="00AC001F"/>
    <w:rsid w:val="00AC0AAD"/>
    <w:rsid w:val="00AC0C2A"/>
    <w:rsid w:val="00AC1231"/>
    <w:rsid w:val="00AC1269"/>
    <w:rsid w:val="00AC15D4"/>
    <w:rsid w:val="00AC1992"/>
    <w:rsid w:val="00AC1C97"/>
    <w:rsid w:val="00AC1D61"/>
    <w:rsid w:val="00AC1E14"/>
    <w:rsid w:val="00AC201F"/>
    <w:rsid w:val="00AC2745"/>
    <w:rsid w:val="00AC2896"/>
    <w:rsid w:val="00AC2C4A"/>
    <w:rsid w:val="00AC2CFA"/>
    <w:rsid w:val="00AC2FC5"/>
    <w:rsid w:val="00AC3247"/>
    <w:rsid w:val="00AC3263"/>
    <w:rsid w:val="00AC3A6E"/>
    <w:rsid w:val="00AC3E12"/>
    <w:rsid w:val="00AC406E"/>
    <w:rsid w:val="00AC430C"/>
    <w:rsid w:val="00AC4706"/>
    <w:rsid w:val="00AC489A"/>
    <w:rsid w:val="00AC4A6B"/>
    <w:rsid w:val="00AC5334"/>
    <w:rsid w:val="00AC5535"/>
    <w:rsid w:val="00AC58E4"/>
    <w:rsid w:val="00AC5AFC"/>
    <w:rsid w:val="00AC5C19"/>
    <w:rsid w:val="00AC5C24"/>
    <w:rsid w:val="00AC5DF8"/>
    <w:rsid w:val="00AC5EFF"/>
    <w:rsid w:val="00AC60F0"/>
    <w:rsid w:val="00AC638B"/>
    <w:rsid w:val="00AC6657"/>
    <w:rsid w:val="00AC6A24"/>
    <w:rsid w:val="00AC6D7A"/>
    <w:rsid w:val="00AC7140"/>
    <w:rsid w:val="00AC72B0"/>
    <w:rsid w:val="00AC7363"/>
    <w:rsid w:val="00AC73D3"/>
    <w:rsid w:val="00AC7401"/>
    <w:rsid w:val="00AC75FD"/>
    <w:rsid w:val="00AC7901"/>
    <w:rsid w:val="00AC79F3"/>
    <w:rsid w:val="00AC7F15"/>
    <w:rsid w:val="00AC7FDD"/>
    <w:rsid w:val="00AD0140"/>
    <w:rsid w:val="00AD06D5"/>
    <w:rsid w:val="00AD08F5"/>
    <w:rsid w:val="00AD0949"/>
    <w:rsid w:val="00AD0F1D"/>
    <w:rsid w:val="00AD1179"/>
    <w:rsid w:val="00AD1359"/>
    <w:rsid w:val="00AD138E"/>
    <w:rsid w:val="00AD15FD"/>
    <w:rsid w:val="00AD194B"/>
    <w:rsid w:val="00AD19F0"/>
    <w:rsid w:val="00AD1CF3"/>
    <w:rsid w:val="00AD1EA7"/>
    <w:rsid w:val="00AD1FCE"/>
    <w:rsid w:val="00AD211F"/>
    <w:rsid w:val="00AD2566"/>
    <w:rsid w:val="00AD26E1"/>
    <w:rsid w:val="00AD29CC"/>
    <w:rsid w:val="00AD3268"/>
    <w:rsid w:val="00AD3584"/>
    <w:rsid w:val="00AD3DE2"/>
    <w:rsid w:val="00AD4261"/>
    <w:rsid w:val="00AD4473"/>
    <w:rsid w:val="00AD46F5"/>
    <w:rsid w:val="00AD4841"/>
    <w:rsid w:val="00AD48E3"/>
    <w:rsid w:val="00AD4CC9"/>
    <w:rsid w:val="00AD4E1D"/>
    <w:rsid w:val="00AD4E5B"/>
    <w:rsid w:val="00AD50C6"/>
    <w:rsid w:val="00AD51A3"/>
    <w:rsid w:val="00AD598B"/>
    <w:rsid w:val="00AD5B25"/>
    <w:rsid w:val="00AD5BF1"/>
    <w:rsid w:val="00AD5C65"/>
    <w:rsid w:val="00AD60B4"/>
    <w:rsid w:val="00AD684D"/>
    <w:rsid w:val="00AD7154"/>
    <w:rsid w:val="00AD7183"/>
    <w:rsid w:val="00AD7399"/>
    <w:rsid w:val="00AD73A3"/>
    <w:rsid w:val="00AD7499"/>
    <w:rsid w:val="00AD7844"/>
    <w:rsid w:val="00AD797D"/>
    <w:rsid w:val="00AD7C94"/>
    <w:rsid w:val="00AD7C9F"/>
    <w:rsid w:val="00AD7E02"/>
    <w:rsid w:val="00AD7EB0"/>
    <w:rsid w:val="00AE0076"/>
    <w:rsid w:val="00AE014B"/>
    <w:rsid w:val="00AE01BB"/>
    <w:rsid w:val="00AE0483"/>
    <w:rsid w:val="00AE05DE"/>
    <w:rsid w:val="00AE08DD"/>
    <w:rsid w:val="00AE0A20"/>
    <w:rsid w:val="00AE13BD"/>
    <w:rsid w:val="00AE1681"/>
    <w:rsid w:val="00AE1AF9"/>
    <w:rsid w:val="00AE1E60"/>
    <w:rsid w:val="00AE2068"/>
    <w:rsid w:val="00AE2258"/>
    <w:rsid w:val="00AE24AE"/>
    <w:rsid w:val="00AE272A"/>
    <w:rsid w:val="00AE277E"/>
    <w:rsid w:val="00AE2A36"/>
    <w:rsid w:val="00AE2B6C"/>
    <w:rsid w:val="00AE2BC6"/>
    <w:rsid w:val="00AE2FC0"/>
    <w:rsid w:val="00AE3206"/>
    <w:rsid w:val="00AE3251"/>
    <w:rsid w:val="00AE382C"/>
    <w:rsid w:val="00AE3AE6"/>
    <w:rsid w:val="00AE3FE0"/>
    <w:rsid w:val="00AE44A2"/>
    <w:rsid w:val="00AE4893"/>
    <w:rsid w:val="00AE4A71"/>
    <w:rsid w:val="00AE4BD3"/>
    <w:rsid w:val="00AE4C9E"/>
    <w:rsid w:val="00AE4E11"/>
    <w:rsid w:val="00AE5058"/>
    <w:rsid w:val="00AE5079"/>
    <w:rsid w:val="00AE5135"/>
    <w:rsid w:val="00AE5167"/>
    <w:rsid w:val="00AE5170"/>
    <w:rsid w:val="00AE51CD"/>
    <w:rsid w:val="00AE5471"/>
    <w:rsid w:val="00AE54AA"/>
    <w:rsid w:val="00AE5697"/>
    <w:rsid w:val="00AE57C9"/>
    <w:rsid w:val="00AE5A35"/>
    <w:rsid w:val="00AE5E76"/>
    <w:rsid w:val="00AE5EF4"/>
    <w:rsid w:val="00AE60BD"/>
    <w:rsid w:val="00AE60E4"/>
    <w:rsid w:val="00AE6872"/>
    <w:rsid w:val="00AE6C58"/>
    <w:rsid w:val="00AE707C"/>
    <w:rsid w:val="00AE72C4"/>
    <w:rsid w:val="00AE7AFA"/>
    <w:rsid w:val="00AE7F05"/>
    <w:rsid w:val="00AE7F38"/>
    <w:rsid w:val="00AF054D"/>
    <w:rsid w:val="00AF0939"/>
    <w:rsid w:val="00AF0A7C"/>
    <w:rsid w:val="00AF0E17"/>
    <w:rsid w:val="00AF10B8"/>
    <w:rsid w:val="00AF16D5"/>
    <w:rsid w:val="00AF1813"/>
    <w:rsid w:val="00AF182A"/>
    <w:rsid w:val="00AF1E83"/>
    <w:rsid w:val="00AF24E7"/>
    <w:rsid w:val="00AF272B"/>
    <w:rsid w:val="00AF291B"/>
    <w:rsid w:val="00AF2DAA"/>
    <w:rsid w:val="00AF2EBD"/>
    <w:rsid w:val="00AF3081"/>
    <w:rsid w:val="00AF31C2"/>
    <w:rsid w:val="00AF3256"/>
    <w:rsid w:val="00AF336A"/>
    <w:rsid w:val="00AF33AE"/>
    <w:rsid w:val="00AF369D"/>
    <w:rsid w:val="00AF3EA6"/>
    <w:rsid w:val="00AF409A"/>
    <w:rsid w:val="00AF443C"/>
    <w:rsid w:val="00AF44B1"/>
    <w:rsid w:val="00AF460F"/>
    <w:rsid w:val="00AF4797"/>
    <w:rsid w:val="00AF4817"/>
    <w:rsid w:val="00AF4F68"/>
    <w:rsid w:val="00AF4FD4"/>
    <w:rsid w:val="00AF50C8"/>
    <w:rsid w:val="00AF575F"/>
    <w:rsid w:val="00AF5800"/>
    <w:rsid w:val="00AF5DF1"/>
    <w:rsid w:val="00AF61A9"/>
    <w:rsid w:val="00AF61D1"/>
    <w:rsid w:val="00AF6793"/>
    <w:rsid w:val="00AF6986"/>
    <w:rsid w:val="00AF6C88"/>
    <w:rsid w:val="00AF6D1B"/>
    <w:rsid w:val="00AF6E73"/>
    <w:rsid w:val="00AF6FFD"/>
    <w:rsid w:val="00AF73ED"/>
    <w:rsid w:val="00AF782E"/>
    <w:rsid w:val="00AF7D02"/>
    <w:rsid w:val="00AF7D69"/>
    <w:rsid w:val="00AF7ED2"/>
    <w:rsid w:val="00B004D8"/>
    <w:rsid w:val="00B007D0"/>
    <w:rsid w:val="00B00830"/>
    <w:rsid w:val="00B009D9"/>
    <w:rsid w:val="00B00B94"/>
    <w:rsid w:val="00B00CC5"/>
    <w:rsid w:val="00B00E50"/>
    <w:rsid w:val="00B00EE2"/>
    <w:rsid w:val="00B012C8"/>
    <w:rsid w:val="00B0131E"/>
    <w:rsid w:val="00B014D1"/>
    <w:rsid w:val="00B016D2"/>
    <w:rsid w:val="00B0177A"/>
    <w:rsid w:val="00B018E3"/>
    <w:rsid w:val="00B01E41"/>
    <w:rsid w:val="00B02091"/>
    <w:rsid w:val="00B02851"/>
    <w:rsid w:val="00B02B3F"/>
    <w:rsid w:val="00B02B43"/>
    <w:rsid w:val="00B02BCB"/>
    <w:rsid w:val="00B02F12"/>
    <w:rsid w:val="00B03099"/>
    <w:rsid w:val="00B03140"/>
    <w:rsid w:val="00B0357E"/>
    <w:rsid w:val="00B03A03"/>
    <w:rsid w:val="00B03D36"/>
    <w:rsid w:val="00B03E02"/>
    <w:rsid w:val="00B03F3D"/>
    <w:rsid w:val="00B040D0"/>
    <w:rsid w:val="00B0414F"/>
    <w:rsid w:val="00B04384"/>
    <w:rsid w:val="00B043A4"/>
    <w:rsid w:val="00B04540"/>
    <w:rsid w:val="00B046E7"/>
    <w:rsid w:val="00B04A14"/>
    <w:rsid w:val="00B04F5E"/>
    <w:rsid w:val="00B04F88"/>
    <w:rsid w:val="00B05116"/>
    <w:rsid w:val="00B05180"/>
    <w:rsid w:val="00B051A7"/>
    <w:rsid w:val="00B051DB"/>
    <w:rsid w:val="00B05500"/>
    <w:rsid w:val="00B05574"/>
    <w:rsid w:val="00B0581C"/>
    <w:rsid w:val="00B05BB8"/>
    <w:rsid w:val="00B05EC7"/>
    <w:rsid w:val="00B05F1A"/>
    <w:rsid w:val="00B0601E"/>
    <w:rsid w:val="00B065FB"/>
    <w:rsid w:val="00B06E2E"/>
    <w:rsid w:val="00B06EC5"/>
    <w:rsid w:val="00B072AF"/>
    <w:rsid w:val="00B07B33"/>
    <w:rsid w:val="00B07FA2"/>
    <w:rsid w:val="00B100CF"/>
    <w:rsid w:val="00B1042A"/>
    <w:rsid w:val="00B109CC"/>
    <w:rsid w:val="00B10A66"/>
    <w:rsid w:val="00B10E82"/>
    <w:rsid w:val="00B10ED1"/>
    <w:rsid w:val="00B111A6"/>
    <w:rsid w:val="00B1121F"/>
    <w:rsid w:val="00B1128F"/>
    <w:rsid w:val="00B11499"/>
    <w:rsid w:val="00B115E5"/>
    <w:rsid w:val="00B117D4"/>
    <w:rsid w:val="00B118EE"/>
    <w:rsid w:val="00B11B03"/>
    <w:rsid w:val="00B11C5B"/>
    <w:rsid w:val="00B1214F"/>
    <w:rsid w:val="00B121CD"/>
    <w:rsid w:val="00B12343"/>
    <w:rsid w:val="00B12529"/>
    <w:rsid w:val="00B128C5"/>
    <w:rsid w:val="00B12977"/>
    <w:rsid w:val="00B12B11"/>
    <w:rsid w:val="00B12BF9"/>
    <w:rsid w:val="00B12C94"/>
    <w:rsid w:val="00B12D00"/>
    <w:rsid w:val="00B12FAE"/>
    <w:rsid w:val="00B132FF"/>
    <w:rsid w:val="00B1332B"/>
    <w:rsid w:val="00B13548"/>
    <w:rsid w:val="00B135AB"/>
    <w:rsid w:val="00B137BF"/>
    <w:rsid w:val="00B13A1B"/>
    <w:rsid w:val="00B13A59"/>
    <w:rsid w:val="00B13AED"/>
    <w:rsid w:val="00B1406F"/>
    <w:rsid w:val="00B142D9"/>
    <w:rsid w:val="00B14343"/>
    <w:rsid w:val="00B148E0"/>
    <w:rsid w:val="00B14BC4"/>
    <w:rsid w:val="00B14EFA"/>
    <w:rsid w:val="00B1535B"/>
    <w:rsid w:val="00B154CF"/>
    <w:rsid w:val="00B156C8"/>
    <w:rsid w:val="00B158A3"/>
    <w:rsid w:val="00B15B25"/>
    <w:rsid w:val="00B15EA0"/>
    <w:rsid w:val="00B16585"/>
    <w:rsid w:val="00B166DA"/>
    <w:rsid w:val="00B1708D"/>
    <w:rsid w:val="00B172EC"/>
    <w:rsid w:val="00B17A4E"/>
    <w:rsid w:val="00B17B30"/>
    <w:rsid w:val="00B17C2F"/>
    <w:rsid w:val="00B17D47"/>
    <w:rsid w:val="00B200FF"/>
    <w:rsid w:val="00B209AB"/>
    <w:rsid w:val="00B20CDC"/>
    <w:rsid w:val="00B210B5"/>
    <w:rsid w:val="00B2112F"/>
    <w:rsid w:val="00B21175"/>
    <w:rsid w:val="00B2153E"/>
    <w:rsid w:val="00B2159B"/>
    <w:rsid w:val="00B21FA7"/>
    <w:rsid w:val="00B22022"/>
    <w:rsid w:val="00B2226D"/>
    <w:rsid w:val="00B2243A"/>
    <w:rsid w:val="00B225E4"/>
    <w:rsid w:val="00B2265B"/>
    <w:rsid w:val="00B22825"/>
    <w:rsid w:val="00B23512"/>
    <w:rsid w:val="00B235C0"/>
    <w:rsid w:val="00B23782"/>
    <w:rsid w:val="00B23837"/>
    <w:rsid w:val="00B23F7A"/>
    <w:rsid w:val="00B24065"/>
    <w:rsid w:val="00B240B1"/>
    <w:rsid w:val="00B24208"/>
    <w:rsid w:val="00B24562"/>
    <w:rsid w:val="00B24728"/>
    <w:rsid w:val="00B248A9"/>
    <w:rsid w:val="00B24BC4"/>
    <w:rsid w:val="00B24D28"/>
    <w:rsid w:val="00B24F1C"/>
    <w:rsid w:val="00B252BC"/>
    <w:rsid w:val="00B25890"/>
    <w:rsid w:val="00B25D76"/>
    <w:rsid w:val="00B26051"/>
    <w:rsid w:val="00B26876"/>
    <w:rsid w:val="00B26A9F"/>
    <w:rsid w:val="00B27032"/>
    <w:rsid w:val="00B27040"/>
    <w:rsid w:val="00B271E5"/>
    <w:rsid w:val="00B27E19"/>
    <w:rsid w:val="00B30003"/>
    <w:rsid w:val="00B30572"/>
    <w:rsid w:val="00B307A3"/>
    <w:rsid w:val="00B30989"/>
    <w:rsid w:val="00B30BAD"/>
    <w:rsid w:val="00B30D1B"/>
    <w:rsid w:val="00B30E06"/>
    <w:rsid w:val="00B311E9"/>
    <w:rsid w:val="00B31201"/>
    <w:rsid w:val="00B3167E"/>
    <w:rsid w:val="00B319F7"/>
    <w:rsid w:val="00B31A9F"/>
    <w:rsid w:val="00B31B4B"/>
    <w:rsid w:val="00B31CD5"/>
    <w:rsid w:val="00B31E36"/>
    <w:rsid w:val="00B32403"/>
    <w:rsid w:val="00B32475"/>
    <w:rsid w:val="00B32E26"/>
    <w:rsid w:val="00B33257"/>
    <w:rsid w:val="00B338B7"/>
    <w:rsid w:val="00B33B7F"/>
    <w:rsid w:val="00B33F36"/>
    <w:rsid w:val="00B34051"/>
    <w:rsid w:val="00B34061"/>
    <w:rsid w:val="00B34306"/>
    <w:rsid w:val="00B343E9"/>
    <w:rsid w:val="00B3440A"/>
    <w:rsid w:val="00B34441"/>
    <w:rsid w:val="00B3447B"/>
    <w:rsid w:val="00B345EF"/>
    <w:rsid w:val="00B34C44"/>
    <w:rsid w:val="00B35534"/>
    <w:rsid w:val="00B35578"/>
    <w:rsid w:val="00B35A87"/>
    <w:rsid w:val="00B35AB6"/>
    <w:rsid w:val="00B35AFD"/>
    <w:rsid w:val="00B35EDC"/>
    <w:rsid w:val="00B35F9A"/>
    <w:rsid w:val="00B36236"/>
    <w:rsid w:val="00B362E9"/>
    <w:rsid w:val="00B3642D"/>
    <w:rsid w:val="00B3662E"/>
    <w:rsid w:val="00B366D2"/>
    <w:rsid w:val="00B366FA"/>
    <w:rsid w:val="00B36A1D"/>
    <w:rsid w:val="00B36A70"/>
    <w:rsid w:val="00B36C85"/>
    <w:rsid w:val="00B36CC8"/>
    <w:rsid w:val="00B36E86"/>
    <w:rsid w:val="00B36FC2"/>
    <w:rsid w:val="00B37122"/>
    <w:rsid w:val="00B371F4"/>
    <w:rsid w:val="00B373D9"/>
    <w:rsid w:val="00B3741E"/>
    <w:rsid w:val="00B3751B"/>
    <w:rsid w:val="00B379BA"/>
    <w:rsid w:val="00B37E3C"/>
    <w:rsid w:val="00B37E56"/>
    <w:rsid w:val="00B40139"/>
    <w:rsid w:val="00B401B7"/>
    <w:rsid w:val="00B40278"/>
    <w:rsid w:val="00B403CF"/>
    <w:rsid w:val="00B406C9"/>
    <w:rsid w:val="00B41045"/>
    <w:rsid w:val="00B410E1"/>
    <w:rsid w:val="00B4115B"/>
    <w:rsid w:val="00B412FD"/>
    <w:rsid w:val="00B41572"/>
    <w:rsid w:val="00B41573"/>
    <w:rsid w:val="00B4185C"/>
    <w:rsid w:val="00B422BE"/>
    <w:rsid w:val="00B4241D"/>
    <w:rsid w:val="00B424E7"/>
    <w:rsid w:val="00B426BB"/>
    <w:rsid w:val="00B42CBF"/>
    <w:rsid w:val="00B42EB9"/>
    <w:rsid w:val="00B42FAE"/>
    <w:rsid w:val="00B432FA"/>
    <w:rsid w:val="00B43303"/>
    <w:rsid w:val="00B434B8"/>
    <w:rsid w:val="00B434E9"/>
    <w:rsid w:val="00B43724"/>
    <w:rsid w:val="00B43729"/>
    <w:rsid w:val="00B43DEA"/>
    <w:rsid w:val="00B4402F"/>
    <w:rsid w:val="00B440B5"/>
    <w:rsid w:val="00B441FE"/>
    <w:rsid w:val="00B44821"/>
    <w:rsid w:val="00B44AD3"/>
    <w:rsid w:val="00B44BDC"/>
    <w:rsid w:val="00B45152"/>
    <w:rsid w:val="00B451DA"/>
    <w:rsid w:val="00B4578D"/>
    <w:rsid w:val="00B45A2E"/>
    <w:rsid w:val="00B45A5E"/>
    <w:rsid w:val="00B45D8A"/>
    <w:rsid w:val="00B45E1A"/>
    <w:rsid w:val="00B45E54"/>
    <w:rsid w:val="00B45F37"/>
    <w:rsid w:val="00B460F5"/>
    <w:rsid w:val="00B461E5"/>
    <w:rsid w:val="00B46298"/>
    <w:rsid w:val="00B464E4"/>
    <w:rsid w:val="00B4689A"/>
    <w:rsid w:val="00B46D5F"/>
    <w:rsid w:val="00B46E7B"/>
    <w:rsid w:val="00B46ED8"/>
    <w:rsid w:val="00B470E7"/>
    <w:rsid w:val="00B4728A"/>
    <w:rsid w:val="00B474A0"/>
    <w:rsid w:val="00B47502"/>
    <w:rsid w:val="00B47CBA"/>
    <w:rsid w:val="00B47DC5"/>
    <w:rsid w:val="00B501D3"/>
    <w:rsid w:val="00B5047D"/>
    <w:rsid w:val="00B5051D"/>
    <w:rsid w:val="00B505B3"/>
    <w:rsid w:val="00B50620"/>
    <w:rsid w:val="00B506EC"/>
    <w:rsid w:val="00B50A74"/>
    <w:rsid w:val="00B50AFA"/>
    <w:rsid w:val="00B50CBE"/>
    <w:rsid w:val="00B50E49"/>
    <w:rsid w:val="00B51EF5"/>
    <w:rsid w:val="00B520A0"/>
    <w:rsid w:val="00B521B1"/>
    <w:rsid w:val="00B521DC"/>
    <w:rsid w:val="00B5257E"/>
    <w:rsid w:val="00B525CE"/>
    <w:rsid w:val="00B52686"/>
    <w:rsid w:val="00B527AB"/>
    <w:rsid w:val="00B52BF6"/>
    <w:rsid w:val="00B52CFD"/>
    <w:rsid w:val="00B5335B"/>
    <w:rsid w:val="00B53377"/>
    <w:rsid w:val="00B543A8"/>
    <w:rsid w:val="00B545A8"/>
    <w:rsid w:val="00B5465A"/>
    <w:rsid w:val="00B546FC"/>
    <w:rsid w:val="00B547E8"/>
    <w:rsid w:val="00B548E8"/>
    <w:rsid w:val="00B54950"/>
    <w:rsid w:val="00B54A8E"/>
    <w:rsid w:val="00B55C3A"/>
    <w:rsid w:val="00B55D72"/>
    <w:rsid w:val="00B55D8D"/>
    <w:rsid w:val="00B55DD2"/>
    <w:rsid w:val="00B55F29"/>
    <w:rsid w:val="00B56355"/>
    <w:rsid w:val="00B56527"/>
    <w:rsid w:val="00B5669F"/>
    <w:rsid w:val="00B56918"/>
    <w:rsid w:val="00B56921"/>
    <w:rsid w:val="00B56E78"/>
    <w:rsid w:val="00B56EC2"/>
    <w:rsid w:val="00B56F1E"/>
    <w:rsid w:val="00B57027"/>
    <w:rsid w:val="00B57469"/>
    <w:rsid w:val="00B576DA"/>
    <w:rsid w:val="00B57710"/>
    <w:rsid w:val="00B57AD2"/>
    <w:rsid w:val="00B57B93"/>
    <w:rsid w:val="00B57D7D"/>
    <w:rsid w:val="00B601C9"/>
    <w:rsid w:val="00B60357"/>
    <w:rsid w:val="00B60450"/>
    <w:rsid w:val="00B60640"/>
    <w:rsid w:val="00B60C71"/>
    <w:rsid w:val="00B60D04"/>
    <w:rsid w:val="00B612A9"/>
    <w:rsid w:val="00B614C8"/>
    <w:rsid w:val="00B61517"/>
    <w:rsid w:val="00B6153A"/>
    <w:rsid w:val="00B61702"/>
    <w:rsid w:val="00B61EE8"/>
    <w:rsid w:val="00B62D9B"/>
    <w:rsid w:val="00B62FFA"/>
    <w:rsid w:val="00B633A3"/>
    <w:rsid w:val="00B63533"/>
    <w:rsid w:val="00B6382C"/>
    <w:rsid w:val="00B63A14"/>
    <w:rsid w:val="00B63A7E"/>
    <w:rsid w:val="00B63BDB"/>
    <w:rsid w:val="00B63C0D"/>
    <w:rsid w:val="00B63FA1"/>
    <w:rsid w:val="00B642F8"/>
    <w:rsid w:val="00B644D7"/>
    <w:rsid w:val="00B647B3"/>
    <w:rsid w:val="00B64A0D"/>
    <w:rsid w:val="00B64A0E"/>
    <w:rsid w:val="00B64CC6"/>
    <w:rsid w:val="00B64DDF"/>
    <w:rsid w:val="00B65015"/>
    <w:rsid w:val="00B65312"/>
    <w:rsid w:val="00B65728"/>
    <w:rsid w:val="00B65742"/>
    <w:rsid w:val="00B65776"/>
    <w:rsid w:val="00B65A46"/>
    <w:rsid w:val="00B6601E"/>
    <w:rsid w:val="00B6603E"/>
    <w:rsid w:val="00B660F7"/>
    <w:rsid w:val="00B66315"/>
    <w:rsid w:val="00B663AA"/>
    <w:rsid w:val="00B664A5"/>
    <w:rsid w:val="00B665E1"/>
    <w:rsid w:val="00B66DA2"/>
    <w:rsid w:val="00B66DD5"/>
    <w:rsid w:val="00B66F46"/>
    <w:rsid w:val="00B6715C"/>
    <w:rsid w:val="00B676B1"/>
    <w:rsid w:val="00B67B97"/>
    <w:rsid w:val="00B67F01"/>
    <w:rsid w:val="00B701FA"/>
    <w:rsid w:val="00B7059A"/>
    <w:rsid w:val="00B707D4"/>
    <w:rsid w:val="00B70CDC"/>
    <w:rsid w:val="00B70F8E"/>
    <w:rsid w:val="00B711AB"/>
    <w:rsid w:val="00B714E9"/>
    <w:rsid w:val="00B714F0"/>
    <w:rsid w:val="00B7160D"/>
    <w:rsid w:val="00B71A40"/>
    <w:rsid w:val="00B71BFA"/>
    <w:rsid w:val="00B71C8C"/>
    <w:rsid w:val="00B71CB4"/>
    <w:rsid w:val="00B71CD8"/>
    <w:rsid w:val="00B71FD7"/>
    <w:rsid w:val="00B72003"/>
    <w:rsid w:val="00B7210F"/>
    <w:rsid w:val="00B7243C"/>
    <w:rsid w:val="00B72510"/>
    <w:rsid w:val="00B725E7"/>
    <w:rsid w:val="00B729D7"/>
    <w:rsid w:val="00B729DA"/>
    <w:rsid w:val="00B72A16"/>
    <w:rsid w:val="00B72C07"/>
    <w:rsid w:val="00B72C7F"/>
    <w:rsid w:val="00B72DF7"/>
    <w:rsid w:val="00B72F42"/>
    <w:rsid w:val="00B73E44"/>
    <w:rsid w:val="00B73F51"/>
    <w:rsid w:val="00B740F8"/>
    <w:rsid w:val="00B74164"/>
    <w:rsid w:val="00B7421D"/>
    <w:rsid w:val="00B74251"/>
    <w:rsid w:val="00B74290"/>
    <w:rsid w:val="00B74510"/>
    <w:rsid w:val="00B746B7"/>
    <w:rsid w:val="00B74822"/>
    <w:rsid w:val="00B748DF"/>
    <w:rsid w:val="00B7492A"/>
    <w:rsid w:val="00B7499C"/>
    <w:rsid w:val="00B749F4"/>
    <w:rsid w:val="00B74A7E"/>
    <w:rsid w:val="00B74BD4"/>
    <w:rsid w:val="00B74BF7"/>
    <w:rsid w:val="00B74C91"/>
    <w:rsid w:val="00B75370"/>
    <w:rsid w:val="00B75EDD"/>
    <w:rsid w:val="00B760C4"/>
    <w:rsid w:val="00B76185"/>
    <w:rsid w:val="00B7676C"/>
    <w:rsid w:val="00B76840"/>
    <w:rsid w:val="00B768BE"/>
    <w:rsid w:val="00B76BCD"/>
    <w:rsid w:val="00B76FBC"/>
    <w:rsid w:val="00B7782B"/>
    <w:rsid w:val="00B779E6"/>
    <w:rsid w:val="00B77E31"/>
    <w:rsid w:val="00B8009A"/>
    <w:rsid w:val="00B804E2"/>
    <w:rsid w:val="00B80514"/>
    <w:rsid w:val="00B8052A"/>
    <w:rsid w:val="00B8105C"/>
    <w:rsid w:val="00B811B2"/>
    <w:rsid w:val="00B81636"/>
    <w:rsid w:val="00B818E2"/>
    <w:rsid w:val="00B81BDE"/>
    <w:rsid w:val="00B81BF3"/>
    <w:rsid w:val="00B82024"/>
    <w:rsid w:val="00B82212"/>
    <w:rsid w:val="00B8234B"/>
    <w:rsid w:val="00B8267E"/>
    <w:rsid w:val="00B826FB"/>
    <w:rsid w:val="00B8276E"/>
    <w:rsid w:val="00B82CF3"/>
    <w:rsid w:val="00B82F8C"/>
    <w:rsid w:val="00B83006"/>
    <w:rsid w:val="00B832CE"/>
    <w:rsid w:val="00B834B5"/>
    <w:rsid w:val="00B83565"/>
    <w:rsid w:val="00B83997"/>
    <w:rsid w:val="00B83A62"/>
    <w:rsid w:val="00B83B59"/>
    <w:rsid w:val="00B83F43"/>
    <w:rsid w:val="00B84252"/>
    <w:rsid w:val="00B84677"/>
    <w:rsid w:val="00B8468F"/>
    <w:rsid w:val="00B84B3C"/>
    <w:rsid w:val="00B84FC6"/>
    <w:rsid w:val="00B854AB"/>
    <w:rsid w:val="00B85721"/>
    <w:rsid w:val="00B85747"/>
    <w:rsid w:val="00B857F5"/>
    <w:rsid w:val="00B85A56"/>
    <w:rsid w:val="00B85B2C"/>
    <w:rsid w:val="00B85E17"/>
    <w:rsid w:val="00B85F45"/>
    <w:rsid w:val="00B8608B"/>
    <w:rsid w:val="00B8685D"/>
    <w:rsid w:val="00B86D6C"/>
    <w:rsid w:val="00B86F47"/>
    <w:rsid w:val="00B86FF2"/>
    <w:rsid w:val="00B874B4"/>
    <w:rsid w:val="00B8757B"/>
    <w:rsid w:val="00B875E9"/>
    <w:rsid w:val="00B87729"/>
    <w:rsid w:val="00B877B9"/>
    <w:rsid w:val="00B87873"/>
    <w:rsid w:val="00B8787A"/>
    <w:rsid w:val="00B87887"/>
    <w:rsid w:val="00B87C10"/>
    <w:rsid w:val="00B9003A"/>
    <w:rsid w:val="00B90123"/>
    <w:rsid w:val="00B90196"/>
    <w:rsid w:val="00B902B1"/>
    <w:rsid w:val="00B90330"/>
    <w:rsid w:val="00B90FBE"/>
    <w:rsid w:val="00B911C1"/>
    <w:rsid w:val="00B914D2"/>
    <w:rsid w:val="00B91550"/>
    <w:rsid w:val="00B91881"/>
    <w:rsid w:val="00B9197F"/>
    <w:rsid w:val="00B91A09"/>
    <w:rsid w:val="00B92008"/>
    <w:rsid w:val="00B922C3"/>
    <w:rsid w:val="00B922FA"/>
    <w:rsid w:val="00B92715"/>
    <w:rsid w:val="00B9272E"/>
    <w:rsid w:val="00B927A7"/>
    <w:rsid w:val="00B92B9E"/>
    <w:rsid w:val="00B93150"/>
    <w:rsid w:val="00B93315"/>
    <w:rsid w:val="00B93430"/>
    <w:rsid w:val="00B93519"/>
    <w:rsid w:val="00B93662"/>
    <w:rsid w:val="00B9372A"/>
    <w:rsid w:val="00B93802"/>
    <w:rsid w:val="00B93E6A"/>
    <w:rsid w:val="00B93E6C"/>
    <w:rsid w:val="00B93FD0"/>
    <w:rsid w:val="00B9425C"/>
    <w:rsid w:val="00B94487"/>
    <w:rsid w:val="00B94908"/>
    <w:rsid w:val="00B94AAF"/>
    <w:rsid w:val="00B94DB1"/>
    <w:rsid w:val="00B94E6D"/>
    <w:rsid w:val="00B94FC0"/>
    <w:rsid w:val="00B953FF"/>
    <w:rsid w:val="00B956B7"/>
    <w:rsid w:val="00B96141"/>
    <w:rsid w:val="00B9622D"/>
    <w:rsid w:val="00B96263"/>
    <w:rsid w:val="00B96452"/>
    <w:rsid w:val="00B968A5"/>
    <w:rsid w:val="00B969EF"/>
    <w:rsid w:val="00B96A5D"/>
    <w:rsid w:val="00B972CD"/>
    <w:rsid w:val="00B9769B"/>
    <w:rsid w:val="00B97D02"/>
    <w:rsid w:val="00B97D3D"/>
    <w:rsid w:val="00BA0186"/>
    <w:rsid w:val="00BA0304"/>
    <w:rsid w:val="00BA0557"/>
    <w:rsid w:val="00BA060E"/>
    <w:rsid w:val="00BA0D49"/>
    <w:rsid w:val="00BA12C0"/>
    <w:rsid w:val="00BA144D"/>
    <w:rsid w:val="00BA1823"/>
    <w:rsid w:val="00BA1BE1"/>
    <w:rsid w:val="00BA1F68"/>
    <w:rsid w:val="00BA2101"/>
    <w:rsid w:val="00BA2A34"/>
    <w:rsid w:val="00BA3038"/>
    <w:rsid w:val="00BA3163"/>
    <w:rsid w:val="00BA3319"/>
    <w:rsid w:val="00BA3482"/>
    <w:rsid w:val="00BA370A"/>
    <w:rsid w:val="00BA3826"/>
    <w:rsid w:val="00BA45B0"/>
    <w:rsid w:val="00BA48BC"/>
    <w:rsid w:val="00BA4990"/>
    <w:rsid w:val="00BA4A29"/>
    <w:rsid w:val="00BA4BB9"/>
    <w:rsid w:val="00BA4BE7"/>
    <w:rsid w:val="00BA52BC"/>
    <w:rsid w:val="00BA5345"/>
    <w:rsid w:val="00BA53F1"/>
    <w:rsid w:val="00BA5592"/>
    <w:rsid w:val="00BA5663"/>
    <w:rsid w:val="00BA58BA"/>
    <w:rsid w:val="00BA5BDB"/>
    <w:rsid w:val="00BA5D49"/>
    <w:rsid w:val="00BA5F20"/>
    <w:rsid w:val="00BA5F7A"/>
    <w:rsid w:val="00BA68D9"/>
    <w:rsid w:val="00BA7172"/>
    <w:rsid w:val="00BA7207"/>
    <w:rsid w:val="00BA772D"/>
    <w:rsid w:val="00BA7B01"/>
    <w:rsid w:val="00BA7BAD"/>
    <w:rsid w:val="00BA7C21"/>
    <w:rsid w:val="00BA7F56"/>
    <w:rsid w:val="00BB02D7"/>
    <w:rsid w:val="00BB0543"/>
    <w:rsid w:val="00BB098D"/>
    <w:rsid w:val="00BB0D9F"/>
    <w:rsid w:val="00BB0DEE"/>
    <w:rsid w:val="00BB1031"/>
    <w:rsid w:val="00BB1881"/>
    <w:rsid w:val="00BB1B33"/>
    <w:rsid w:val="00BB1D73"/>
    <w:rsid w:val="00BB1EB3"/>
    <w:rsid w:val="00BB1F17"/>
    <w:rsid w:val="00BB236C"/>
    <w:rsid w:val="00BB2480"/>
    <w:rsid w:val="00BB2881"/>
    <w:rsid w:val="00BB2C4E"/>
    <w:rsid w:val="00BB2E29"/>
    <w:rsid w:val="00BB2F74"/>
    <w:rsid w:val="00BB3169"/>
    <w:rsid w:val="00BB3206"/>
    <w:rsid w:val="00BB3269"/>
    <w:rsid w:val="00BB32C2"/>
    <w:rsid w:val="00BB36B7"/>
    <w:rsid w:val="00BB371A"/>
    <w:rsid w:val="00BB3B0D"/>
    <w:rsid w:val="00BB3BD9"/>
    <w:rsid w:val="00BB421E"/>
    <w:rsid w:val="00BB42FA"/>
    <w:rsid w:val="00BB463B"/>
    <w:rsid w:val="00BB46C1"/>
    <w:rsid w:val="00BB4B8C"/>
    <w:rsid w:val="00BB4E20"/>
    <w:rsid w:val="00BB524C"/>
    <w:rsid w:val="00BB57E3"/>
    <w:rsid w:val="00BB5ACC"/>
    <w:rsid w:val="00BB5DAB"/>
    <w:rsid w:val="00BB6195"/>
    <w:rsid w:val="00BB61A3"/>
    <w:rsid w:val="00BB6DD0"/>
    <w:rsid w:val="00BB707E"/>
    <w:rsid w:val="00BB7385"/>
    <w:rsid w:val="00BB7568"/>
    <w:rsid w:val="00BB7DB9"/>
    <w:rsid w:val="00BB7F82"/>
    <w:rsid w:val="00BC0058"/>
    <w:rsid w:val="00BC007C"/>
    <w:rsid w:val="00BC032F"/>
    <w:rsid w:val="00BC0AB2"/>
    <w:rsid w:val="00BC1308"/>
    <w:rsid w:val="00BC150D"/>
    <w:rsid w:val="00BC1871"/>
    <w:rsid w:val="00BC1BF4"/>
    <w:rsid w:val="00BC1D07"/>
    <w:rsid w:val="00BC1F66"/>
    <w:rsid w:val="00BC2477"/>
    <w:rsid w:val="00BC2600"/>
    <w:rsid w:val="00BC270A"/>
    <w:rsid w:val="00BC2881"/>
    <w:rsid w:val="00BC2DD1"/>
    <w:rsid w:val="00BC2F0F"/>
    <w:rsid w:val="00BC2F1B"/>
    <w:rsid w:val="00BC2F24"/>
    <w:rsid w:val="00BC32D0"/>
    <w:rsid w:val="00BC33BE"/>
    <w:rsid w:val="00BC33DD"/>
    <w:rsid w:val="00BC3A47"/>
    <w:rsid w:val="00BC3BAC"/>
    <w:rsid w:val="00BC3DE4"/>
    <w:rsid w:val="00BC3EBB"/>
    <w:rsid w:val="00BC3EEB"/>
    <w:rsid w:val="00BC4219"/>
    <w:rsid w:val="00BC4780"/>
    <w:rsid w:val="00BC479C"/>
    <w:rsid w:val="00BC4C10"/>
    <w:rsid w:val="00BC4DD7"/>
    <w:rsid w:val="00BC4EE4"/>
    <w:rsid w:val="00BC4F46"/>
    <w:rsid w:val="00BC5255"/>
    <w:rsid w:val="00BC52C8"/>
    <w:rsid w:val="00BC5485"/>
    <w:rsid w:val="00BC549C"/>
    <w:rsid w:val="00BC5648"/>
    <w:rsid w:val="00BC5697"/>
    <w:rsid w:val="00BC570E"/>
    <w:rsid w:val="00BC58AC"/>
    <w:rsid w:val="00BC58AF"/>
    <w:rsid w:val="00BC5A6C"/>
    <w:rsid w:val="00BC5A85"/>
    <w:rsid w:val="00BC5AF6"/>
    <w:rsid w:val="00BC5B4B"/>
    <w:rsid w:val="00BC5C22"/>
    <w:rsid w:val="00BC5CC2"/>
    <w:rsid w:val="00BC5EDB"/>
    <w:rsid w:val="00BC5FED"/>
    <w:rsid w:val="00BC6392"/>
    <w:rsid w:val="00BC63A8"/>
    <w:rsid w:val="00BC6723"/>
    <w:rsid w:val="00BC6727"/>
    <w:rsid w:val="00BC6778"/>
    <w:rsid w:val="00BC69A2"/>
    <w:rsid w:val="00BC6ED6"/>
    <w:rsid w:val="00BC6F03"/>
    <w:rsid w:val="00BC6F4B"/>
    <w:rsid w:val="00BC6FA1"/>
    <w:rsid w:val="00BC7072"/>
    <w:rsid w:val="00BC7083"/>
    <w:rsid w:val="00BC72DD"/>
    <w:rsid w:val="00BC74AF"/>
    <w:rsid w:val="00BC76B1"/>
    <w:rsid w:val="00BC77F7"/>
    <w:rsid w:val="00BC794C"/>
    <w:rsid w:val="00BC7C85"/>
    <w:rsid w:val="00BD024F"/>
    <w:rsid w:val="00BD03BF"/>
    <w:rsid w:val="00BD0570"/>
    <w:rsid w:val="00BD0853"/>
    <w:rsid w:val="00BD10A7"/>
    <w:rsid w:val="00BD112D"/>
    <w:rsid w:val="00BD180B"/>
    <w:rsid w:val="00BD1B11"/>
    <w:rsid w:val="00BD1C4F"/>
    <w:rsid w:val="00BD1FBA"/>
    <w:rsid w:val="00BD214E"/>
    <w:rsid w:val="00BD2176"/>
    <w:rsid w:val="00BD22F7"/>
    <w:rsid w:val="00BD2395"/>
    <w:rsid w:val="00BD25B8"/>
    <w:rsid w:val="00BD2842"/>
    <w:rsid w:val="00BD2892"/>
    <w:rsid w:val="00BD30D7"/>
    <w:rsid w:val="00BD3120"/>
    <w:rsid w:val="00BD321A"/>
    <w:rsid w:val="00BD3354"/>
    <w:rsid w:val="00BD34D2"/>
    <w:rsid w:val="00BD3640"/>
    <w:rsid w:val="00BD368C"/>
    <w:rsid w:val="00BD384E"/>
    <w:rsid w:val="00BD3AC4"/>
    <w:rsid w:val="00BD3B8E"/>
    <w:rsid w:val="00BD3E76"/>
    <w:rsid w:val="00BD3EE2"/>
    <w:rsid w:val="00BD3EFB"/>
    <w:rsid w:val="00BD3F9E"/>
    <w:rsid w:val="00BD3FCF"/>
    <w:rsid w:val="00BD42D2"/>
    <w:rsid w:val="00BD47AB"/>
    <w:rsid w:val="00BD47D7"/>
    <w:rsid w:val="00BD4860"/>
    <w:rsid w:val="00BD488A"/>
    <w:rsid w:val="00BD4EFB"/>
    <w:rsid w:val="00BD5076"/>
    <w:rsid w:val="00BD5551"/>
    <w:rsid w:val="00BD565E"/>
    <w:rsid w:val="00BD5AF1"/>
    <w:rsid w:val="00BD5D6D"/>
    <w:rsid w:val="00BD619B"/>
    <w:rsid w:val="00BD6443"/>
    <w:rsid w:val="00BD66A4"/>
    <w:rsid w:val="00BD6CE9"/>
    <w:rsid w:val="00BD6D43"/>
    <w:rsid w:val="00BD7090"/>
    <w:rsid w:val="00BD72BF"/>
    <w:rsid w:val="00BD7490"/>
    <w:rsid w:val="00BD767F"/>
    <w:rsid w:val="00BD7D65"/>
    <w:rsid w:val="00BE09C3"/>
    <w:rsid w:val="00BE0C27"/>
    <w:rsid w:val="00BE0F44"/>
    <w:rsid w:val="00BE0F9C"/>
    <w:rsid w:val="00BE15B8"/>
    <w:rsid w:val="00BE15BB"/>
    <w:rsid w:val="00BE198F"/>
    <w:rsid w:val="00BE1A78"/>
    <w:rsid w:val="00BE1C29"/>
    <w:rsid w:val="00BE23F1"/>
    <w:rsid w:val="00BE296A"/>
    <w:rsid w:val="00BE2F15"/>
    <w:rsid w:val="00BE301D"/>
    <w:rsid w:val="00BE3143"/>
    <w:rsid w:val="00BE326F"/>
    <w:rsid w:val="00BE333A"/>
    <w:rsid w:val="00BE335C"/>
    <w:rsid w:val="00BE33C1"/>
    <w:rsid w:val="00BE39DA"/>
    <w:rsid w:val="00BE4006"/>
    <w:rsid w:val="00BE421A"/>
    <w:rsid w:val="00BE42F4"/>
    <w:rsid w:val="00BE452A"/>
    <w:rsid w:val="00BE473E"/>
    <w:rsid w:val="00BE4D8F"/>
    <w:rsid w:val="00BE5135"/>
    <w:rsid w:val="00BE5245"/>
    <w:rsid w:val="00BE5596"/>
    <w:rsid w:val="00BE5964"/>
    <w:rsid w:val="00BE5F2B"/>
    <w:rsid w:val="00BE5FC4"/>
    <w:rsid w:val="00BE660B"/>
    <w:rsid w:val="00BE664E"/>
    <w:rsid w:val="00BE6AC2"/>
    <w:rsid w:val="00BE6AFE"/>
    <w:rsid w:val="00BE6BBE"/>
    <w:rsid w:val="00BE6D07"/>
    <w:rsid w:val="00BE6FDA"/>
    <w:rsid w:val="00BE7021"/>
    <w:rsid w:val="00BE715A"/>
    <w:rsid w:val="00BE7300"/>
    <w:rsid w:val="00BE75FA"/>
    <w:rsid w:val="00BE784F"/>
    <w:rsid w:val="00BE78CE"/>
    <w:rsid w:val="00BF0238"/>
    <w:rsid w:val="00BF0717"/>
    <w:rsid w:val="00BF071D"/>
    <w:rsid w:val="00BF1750"/>
    <w:rsid w:val="00BF178E"/>
    <w:rsid w:val="00BF189F"/>
    <w:rsid w:val="00BF1AB9"/>
    <w:rsid w:val="00BF1B44"/>
    <w:rsid w:val="00BF1F01"/>
    <w:rsid w:val="00BF1F6D"/>
    <w:rsid w:val="00BF21FF"/>
    <w:rsid w:val="00BF222E"/>
    <w:rsid w:val="00BF22E2"/>
    <w:rsid w:val="00BF232C"/>
    <w:rsid w:val="00BF23CC"/>
    <w:rsid w:val="00BF243F"/>
    <w:rsid w:val="00BF2683"/>
    <w:rsid w:val="00BF2807"/>
    <w:rsid w:val="00BF284E"/>
    <w:rsid w:val="00BF2DE3"/>
    <w:rsid w:val="00BF2F93"/>
    <w:rsid w:val="00BF30BC"/>
    <w:rsid w:val="00BF39CB"/>
    <w:rsid w:val="00BF3ACF"/>
    <w:rsid w:val="00BF3C2A"/>
    <w:rsid w:val="00BF3C65"/>
    <w:rsid w:val="00BF4403"/>
    <w:rsid w:val="00BF4596"/>
    <w:rsid w:val="00BF494B"/>
    <w:rsid w:val="00BF4C2B"/>
    <w:rsid w:val="00BF507A"/>
    <w:rsid w:val="00BF53A5"/>
    <w:rsid w:val="00BF53F1"/>
    <w:rsid w:val="00BF5717"/>
    <w:rsid w:val="00BF589F"/>
    <w:rsid w:val="00BF595D"/>
    <w:rsid w:val="00BF5B9D"/>
    <w:rsid w:val="00BF5CD8"/>
    <w:rsid w:val="00BF5FA3"/>
    <w:rsid w:val="00BF6053"/>
    <w:rsid w:val="00BF61CF"/>
    <w:rsid w:val="00BF6220"/>
    <w:rsid w:val="00BF62F2"/>
    <w:rsid w:val="00BF63A5"/>
    <w:rsid w:val="00BF6C65"/>
    <w:rsid w:val="00BF6D2B"/>
    <w:rsid w:val="00BF6D6A"/>
    <w:rsid w:val="00BF6EE8"/>
    <w:rsid w:val="00BF72A7"/>
    <w:rsid w:val="00BF7537"/>
    <w:rsid w:val="00BF7558"/>
    <w:rsid w:val="00BF76E9"/>
    <w:rsid w:val="00BF7F2F"/>
    <w:rsid w:val="00C00134"/>
    <w:rsid w:val="00C002E3"/>
    <w:rsid w:val="00C0045C"/>
    <w:rsid w:val="00C00769"/>
    <w:rsid w:val="00C0111E"/>
    <w:rsid w:val="00C01163"/>
    <w:rsid w:val="00C017CB"/>
    <w:rsid w:val="00C01A7B"/>
    <w:rsid w:val="00C022BD"/>
    <w:rsid w:val="00C024EE"/>
    <w:rsid w:val="00C02676"/>
    <w:rsid w:val="00C02728"/>
    <w:rsid w:val="00C029AB"/>
    <w:rsid w:val="00C02AB3"/>
    <w:rsid w:val="00C02BE6"/>
    <w:rsid w:val="00C02EEC"/>
    <w:rsid w:val="00C0321B"/>
    <w:rsid w:val="00C032F1"/>
    <w:rsid w:val="00C03B48"/>
    <w:rsid w:val="00C03BD5"/>
    <w:rsid w:val="00C03C8B"/>
    <w:rsid w:val="00C03CB2"/>
    <w:rsid w:val="00C03E69"/>
    <w:rsid w:val="00C03F3C"/>
    <w:rsid w:val="00C03F76"/>
    <w:rsid w:val="00C043A2"/>
    <w:rsid w:val="00C047DC"/>
    <w:rsid w:val="00C04923"/>
    <w:rsid w:val="00C049BE"/>
    <w:rsid w:val="00C04A71"/>
    <w:rsid w:val="00C04D21"/>
    <w:rsid w:val="00C04DF0"/>
    <w:rsid w:val="00C053FD"/>
    <w:rsid w:val="00C05793"/>
    <w:rsid w:val="00C05A4C"/>
    <w:rsid w:val="00C05A67"/>
    <w:rsid w:val="00C05AE1"/>
    <w:rsid w:val="00C06494"/>
    <w:rsid w:val="00C06589"/>
    <w:rsid w:val="00C068B0"/>
    <w:rsid w:val="00C06CD5"/>
    <w:rsid w:val="00C0714C"/>
    <w:rsid w:val="00C073E0"/>
    <w:rsid w:val="00C07620"/>
    <w:rsid w:val="00C07623"/>
    <w:rsid w:val="00C07645"/>
    <w:rsid w:val="00C07BFE"/>
    <w:rsid w:val="00C07F76"/>
    <w:rsid w:val="00C1001D"/>
    <w:rsid w:val="00C10119"/>
    <w:rsid w:val="00C10275"/>
    <w:rsid w:val="00C1087E"/>
    <w:rsid w:val="00C108A4"/>
    <w:rsid w:val="00C10AA8"/>
    <w:rsid w:val="00C10B5A"/>
    <w:rsid w:val="00C11113"/>
    <w:rsid w:val="00C111B1"/>
    <w:rsid w:val="00C112F3"/>
    <w:rsid w:val="00C11687"/>
    <w:rsid w:val="00C117BE"/>
    <w:rsid w:val="00C11E28"/>
    <w:rsid w:val="00C1225B"/>
    <w:rsid w:val="00C122A6"/>
    <w:rsid w:val="00C122F9"/>
    <w:rsid w:val="00C12459"/>
    <w:rsid w:val="00C124E1"/>
    <w:rsid w:val="00C1253A"/>
    <w:rsid w:val="00C128C9"/>
    <w:rsid w:val="00C12B4F"/>
    <w:rsid w:val="00C12C9B"/>
    <w:rsid w:val="00C12CF3"/>
    <w:rsid w:val="00C12F88"/>
    <w:rsid w:val="00C130A1"/>
    <w:rsid w:val="00C1314B"/>
    <w:rsid w:val="00C131A8"/>
    <w:rsid w:val="00C1322D"/>
    <w:rsid w:val="00C133EF"/>
    <w:rsid w:val="00C135A3"/>
    <w:rsid w:val="00C13664"/>
    <w:rsid w:val="00C13BF6"/>
    <w:rsid w:val="00C1477A"/>
    <w:rsid w:val="00C14A62"/>
    <w:rsid w:val="00C14A87"/>
    <w:rsid w:val="00C14C55"/>
    <w:rsid w:val="00C14D8F"/>
    <w:rsid w:val="00C14E66"/>
    <w:rsid w:val="00C14E99"/>
    <w:rsid w:val="00C15766"/>
    <w:rsid w:val="00C158EB"/>
    <w:rsid w:val="00C15967"/>
    <w:rsid w:val="00C159B1"/>
    <w:rsid w:val="00C16161"/>
    <w:rsid w:val="00C161B1"/>
    <w:rsid w:val="00C161F5"/>
    <w:rsid w:val="00C16224"/>
    <w:rsid w:val="00C1630A"/>
    <w:rsid w:val="00C16473"/>
    <w:rsid w:val="00C168FB"/>
    <w:rsid w:val="00C16C92"/>
    <w:rsid w:val="00C16CF6"/>
    <w:rsid w:val="00C1706B"/>
    <w:rsid w:val="00C173B1"/>
    <w:rsid w:val="00C173D9"/>
    <w:rsid w:val="00C17530"/>
    <w:rsid w:val="00C1754B"/>
    <w:rsid w:val="00C17648"/>
    <w:rsid w:val="00C177A9"/>
    <w:rsid w:val="00C17ADF"/>
    <w:rsid w:val="00C17DB7"/>
    <w:rsid w:val="00C17E48"/>
    <w:rsid w:val="00C17E81"/>
    <w:rsid w:val="00C17FC3"/>
    <w:rsid w:val="00C17FF5"/>
    <w:rsid w:val="00C201E7"/>
    <w:rsid w:val="00C20382"/>
    <w:rsid w:val="00C20A60"/>
    <w:rsid w:val="00C20AA2"/>
    <w:rsid w:val="00C20B62"/>
    <w:rsid w:val="00C20B91"/>
    <w:rsid w:val="00C21084"/>
    <w:rsid w:val="00C21155"/>
    <w:rsid w:val="00C21180"/>
    <w:rsid w:val="00C21188"/>
    <w:rsid w:val="00C212FF"/>
    <w:rsid w:val="00C2146C"/>
    <w:rsid w:val="00C214D7"/>
    <w:rsid w:val="00C21561"/>
    <w:rsid w:val="00C2175A"/>
    <w:rsid w:val="00C217EE"/>
    <w:rsid w:val="00C21CBC"/>
    <w:rsid w:val="00C21CBF"/>
    <w:rsid w:val="00C22784"/>
    <w:rsid w:val="00C227D6"/>
    <w:rsid w:val="00C228A6"/>
    <w:rsid w:val="00C228DA"/>
    <w:rsid w:val="00C232E2"/>
    <w:rsid w:val="00C2337B"/>
    <w:rsid w:val="00C2350A"/>
    <w:rsid w:val="00C2395D"/>
    <w:rsid w:val="00C23A4C"/>
    <w:rsid w:val="00C23D37"/>
    <w:rsid w:val="00C23DEA"/>
    <w:rsid w:val="00C2419D"/>
    <w:rsid w:val="00C243A4"/>
    <w:rsid w:val="00C24416"/>
    <w:rsid w:val="00C2443F"/>
    <w:rsid w:val="00C248DB"/>
    <w:rsid w:val="00C249DB"/>
    <w:rsid w:val="00C24FE4"/>
    <w:rsid w:val="00C25419"/>
    <w:rsid w:val="00C26170"/>
    <w:rsid w:val="00C261EF"/>
    <w:rsid w:val="00C26B5A"/>
    <w:rsid w:val="00C26D52"/>
    <w:rsid w:val="00C26F21"/>
    <w:rsid w:val="00C277DA"/>
    <w:rsid w:val="00C27E95"/>
    <w:rsid w:val="00C30020"/>
    <w:rsid w:val="00C303E4"/>
    <w:rsid w:val="00C3049A"/>
    <w:rsid w:val="00C30775"/>
    <w:rsid w:val="00C30B8D"/>
    <w:rsid w:val="00C310BA"/>
    <w:rsid w:val="00C3134E"/>
    <w:rsid w:val="00C315D8"/>
    <w:rsid w:val="00C317C4"/>
    <w:rsid w:val="00C318CD"/>
    <w:rsid w:val="00C31BEC"/>
    <w:rsid w:val="00C31C4A"/>
    <w:rsid w:val="00C31D18"/>
    <w:rsid w:val="00C31D2D"/>
    <w:rsid w:val="00C31E32"/>
    <w:rsid w:val="00C31F44"/>
    <w:rsid w:val="00C32639"/>
    <w:rsid w:val="00C329D8"/>
    <w:rsid w:val="00C32AD2"/>
    <w:rsid w:val="00C32B9D"/>
    <w:rsid w:val="00C333F7"/>
    <w:rsid w:val="00C33D0D"/>
    <w:rsid w:val="00C34193"/>
    <w:rsid w:val="00C3429B"/>
    <w:rsid w:val="00C347EE"/>
    <w:rsid w:val="00C347FD"/>
    <w:rsid w:val="00C34DAE"/>
    <w:rsid w:val="00C34E1E"/>
    <w:rsid w:val="00C34E5A"/>
    <w:rsid w:val="00C35006"/>
    <w:rsid w:val="00C35172"/>
    <w:rsid w:val="00C3582B"/>
    <w:rsid w:val="00C35A4C"/>
    <w:rsid w:val="00C35A84"/>
    <w:rsid w:val="00C35B49"/>
    <w:rsid w:val="00C35B5B"/>
    <w:rsid w:val="00C35E84"/>
    <w:rsid w:val="00C36145"/>
    <w:rsid w:val="00C36219"/>
    <w:rsid w:val="00C368A5"/>
    <w:rsid w:val="00C3698E"/>
    <w:rsid w:val="00C36CCA"/>
    <w:rsid w:val="00C36E1C"/>
    <w:rsid w:val="00C36F42"/>
    <w:rsid w:val="00C37127"/>
    <w:rsid w:val="00C3714C"/>
    <w:rsid w:val="00C3718A"/>
    <w:rsid w:val="00C37446"/>
    <w:rsid w:val="00C377B1"/>
    <w:rsid w:val="00C37969"/>
    <w:rsid w:val="00C379C5"/>
    <w:rsid w:val="00C37E84"/>
    <w:rsid w:val="00C37EEE"/>
    <w:rsid w:val="00C40453"/>
    <w:rsid w:val="00C408B8"/>
    <w:rsid w:val="00C40E71"/>
    <w:rsid w:val="00C40EA6"/>
    <w:rsid w:val="00C40F1E"/>
    <w:rsid w:val="00C41352"/>
    <w:rsid w:val="00C4147D"/>
    <w:rsid w:val="00C41879"/>
    <w:rsid w:val="00C41A7C"/>
    <w:rsid w:val="00C41D0C"/>
    <w:rsid w:val="00C42452"/>
    <w:rsid w:val="00C42651"/>
    <w:rsid w:val="00C42694"/>
    <w:rsid w:val="00C42B6B"/>
    <w:rsid w:val="00C42CEF"/>
    <w:rsid w:val="00C42D55"/>
    <w:rsid w:val="00C4302F"/>
    <w:rsid w:val="00C43080"/>
    <w:rsid w:val="00C4315F"/>
    <w:rsid w:val="00C433A7"/>
    <w:rsid w:val="00C43459"/>
    <w:rsid w:val="00C434F1"/>
    <w:rsid w:val="00C4370E"/>
    <w:rsid w:val="00C43823"/>
    <w:rsid w:val="00C4384B"/>
    <w:rsid w:val="00C4393C"/>
    <w:rsid w:val="00C43C4D"/>
    <w:rsid w:val="00C43F8C"/>
    <w:rsid w:val="00C44068"/>
    <w:rsid w:val="00C442AE"/>
    <w:rsid w:val="00C4448B"/>
    <w:rsid w:val="00C44838"/>
    <w:rsid w:val="00C44BAE"/>
    <w:rsid w:val="00C44C91"/>
    <w:rsid w:val="00C44D31"/>
    <w:rsid w:val="00C44FAB"/>
    <w:rsid w:val="00C4518B"/>
    <w:rsid w:val="00C4527C"/>
    <w:rsid w:val="00C45687"/>
    <w:rsid w:val="00C45780"/>
    <w:rsid w:val="00C458D6"/>
    <w:rsid w:val="00C46268"/>
    <w:rsid w:val="00C4655A"/>
    <w:rsid w:val="00C466BF"/>
    <w:rsid w:val="00C4685C"/>
    <w:rsid w:val="00C46A4D"/>
    <w:rsid w:val="00C46CEE"/>
    <w:rsid w:val="00C46FFD"/>
    <w:rsid w:val="00C47020"/>
    <w:rsid w:val="00C47385"/>
    <w:rsid w:val="00C474D9"/>
    <w:rsid w:val="00C47555"/>
    <w:rsid w:val="00C476AC"/>
    <w:rsid w:val="00C47954"/>
    <w:rsid w:val="00C47AC4"/>
    <w:rsid w:val="00C47C84"/>
    <w:rsid w:val="00C47E67"/>
    <w:rsid w:val="00C47FD9"/>
    <w:rsid w:val="00C50387"/>
    <w:rsid w:val="00C5045B"/>
    <w:rsid w:val="00C50498"/>
    <w:rsid w:val="00C5077F"/>
    <w:rsid w:val="00C50C00"/>
    <w:rsid w:val="00C50C1A"/>
    <w:rsid w:val="00C5122B"/>
    <w:rsid w:val="00C51508"/>
    <w:rsid w:val="00C51595"/>
    <w:rsid w:val="00C51644"/>
    <w:rsid w:val="00C51B57"/>
    <w:rsid w:val="00C51D73"/>
    <w:rsid w:val="00C51D80"/>
    <w:rsid w:val="00C51DEB"/>
    <w:rsid w:val="00C51E23"/>
    <w:rsid w:val="00C51FAE"/>
    <w:rsid w:val="00C52128"/>
    <w:rsid w:val="00C522BF"/>
    <w:rsid w:val="00C524E0"/>
    <w:rsid w:val="00C524E3"/>
    <w:rsid w:val="00C52551"/>
    <w:rsid w:val="00C52821"/>
    <w:rsid w:val="00C52A05"/>
    <w:rsid w:val="00C52AC6"/>
    <w:rsid w:val="00C52B40"/>
    <w:rsid w:val="00C52E8A"/>
    <w:rsid w:val="00C52E97"/>
    <w:rsid w:val="00C52EAF"/>
    <w:rsid w:val="00C53189"/>
    <w:rsid w:val="00C53211"/>
    <w:rsid w:val="00C534E5"/>
    <w:rsid w:val="00C534F4"/>
    <w:rsid w:val="00C5375B"/>
    <w:rsid w:val="00C53B15"/>
    <w:rsid w:val="00C53B1B"/>
    <w:rsid w:val="00C53BCE"/>
    <w:rsid w:val="00C53DA9"/>
    <w:rsid w:val="00C53EF7"/>
    <w:rsid w:val="00C54280"/>
    <w:rsid w:val="00C54836"/>
    <w:rsid w:val="00C54929"/>
    <w:rsid w:val="00C54A07"/>
    <w:rsid w:val="00C55301"/>
    <w:rsid w:val="00C554A3"/>
    <w:rsid w:val="00C5553F"/>
    <w:rsid w:val="00C556B1"/>
    <w:rsid w:val="00C558FF"/>
    <w:rsid w:val="00C55946"/>
    <w:rsid w:val="00C55A05"/>
    <w:rsid w:val="00C55A12"/>
    <w:rsid w:val="00C55AEC"/>
    <w:rsid w:val="00C55D02"/>
    <w:rsid w:val="00C56061"/>
    <w:rsid w:val="00C56101"/>
    <w:rsid w:val="00C563D0"/>
    <w:rsid w:val="00C565F2"/>
    <w:rsid w:val="00C5697B"/>
    <w:rsid w:val="00C56A2D"/>
    <w:rsid w:val="00C56C45"/>
    <w:rsid w:val="00C573CC"/>
    <w:rsid w:val="00C57973"/>
    <w:rsid w:val="00C57B81"/>
    <w:rsid w:val="00C57FB9"/>
    <w:rsid w:val="00C60145"/>
    <w:rsid w:val="00C6077B"/>
    <w:rsid w:val="00C60950"/>
    <w:rsid w:val="00C609FD"/>
    <w:rsid w:val="00C60B04"/>
    <w:rsid w:val="00C60DD1"/>
    <w:rsid w:val="00C61299"/>
    <w:rsid w:val="00C61397"/>
    <w:rsid w:val="00C61565"/>
    <w:rsid w:val="00C61574"/>
    <w:rsid w:val="00C615B4"/>
    <w:rsid w:val="00C616FE"/>
    <w:rsid w:val="00C61765"/>
    <w:rsid w:val="00C61A90"/>
    <w:rsid w:val="00C61C39"/>
    <w:rsid w:val="00C62082"/>
    <w:rsid w:val="00C6211D"/>
    <w:rsid w:val="00C623B0"/>
    <w:rsid w:val="00C6243A"/>
    <w:rsid w:val="00C62470"/>
    <w:rsid w:val="00C625E9"/>
    <w:rsid w:val="00C62964"/>
    <w:rsid w:val="00C62A67"/>
    <w:rsid w:val="00C62B32"/>
    <w:rsid w:val="00C63029"/>
    <w:rsid w:val="00C637D8"/>
    <w:rsid w:val="00C63941"/>
    <w:rsid w:val="00C63AE8"/>
    <w:rsid w:val="00C63B04"/>
    <w:rsid w:val="00C63DED"/>
    <w:rsid w:val="00C63E88"/>
    <w:rsid w:val="00C641AC"/>
    <w:rsid w:val="00C64C66"/>
    <w:rsid w:val="00C64EBE"/>
    <w:rsid w:val="00C64F97"/>
    <w:rsid w:val="00C65585"/>
    <w:rsid w:val="00C656EB"/>
    <w:rsid w:val="00C65A73"/>
    <w:rsid w:val="00C65AB3"/>
    <w:rsid w:val="00C65C5A"/>
    <w:rsid w:val="00C65CD1"/>
    <w:rsid w:val="00C65D7B"/>
    <w:rsid w:val="00C65DF4"/>
    <w:rsid w:val="00C65E99"/>
    <w:rsid w:val="00C660E6"/>
    <w:rsid w:val="00C66380"/>
    <w:rsid w:val="00C6650F"/>
    <w:rsid w:val="00C66D38"/>
    <w:rsid w:val="00C6762C"/>
    <w:rsid w:val="00C67B49"/>
    <w:rsid w:val="00C67E61"/>
    <w:rsid w:val="00C70942"/>
    <w:rsid w:val="00C70D9F"/>
    <w:rsid w:val="00C71099"/>
    <w:rsid w:val="00C711F5"/>
    <w:rsid w:val="00C713A1"/>
    <w:rsid w:val="00C71828"/>
    <w:rsid w:val="00C7191A"/>
    <w:rsid w:val="00C71B7B"/>
    <w:rsid w:val="00C71DAA"/>
    <w:rsid w:val="00C7205E"/>
    <w:rsid w:val="00C72105"/>
    <w:rsid w:val="00C7232F"/>
    <w:rsid w:val="00C728D0"/>
    <w:rsid w:val="00C72BCE"/>
    <w:rsid w:val="00C72EC0"/>
    <w:rsid w:val="00C7334F"/>
    <w:rsid w:val="00C7439D"/>
    <w:rsid w:val="00C745F7"/>
    <w:rsid w:val="00C74839"/>
    <w:rsid w:val="00C74919"/>
    <w:rsid w:val="00C74954"/>
    <w:rsid w:val="00C74BFD"/>
    <w:rsid w:val="00C74D4B"/>
    <w:rsid w:val="00C7531B"/>
    <w:rsid w:val="00C75847"/>
    <w:rsid w:val="00C7597C"/>
    <w:rsid w:val="00C75DCA"/>
    <w:rsid w:val="00C75E49"/>
    <w:rsid w:val="00C76028"/>
    <w:rsid w:val="00C7611F"/>
    <w:rsid w:val="00C76184"/>
    <w:rsid w:val="00C761DB"/>
    <w:rsid w:val="00C7620E"/>
    <w:rsid w:val="00C766FF"/>
    <w:rsid w:val="00C7673D"/>
    <w:rsid w:val="00C76A80"/>
    <w:rsid w:val="00C76C27"/>
    <w:rsid w:val="00C76F07"/>
    <w:rsid w:val="00C76F87"/>
    <w:rsid w:val="00C772CA"/>
    <w:rsid w:val="00C7758E"/>
    <w:rsid w:val="00C779CD"/>
    <w:rsid w:val="00C77B2D"/>
    <w:rsid w:val="00C77EF6"/>
    <w:rsid w:val="00C80358"/>
    <w:rsid w:val="00C80B4B"/>
    <w:rsid w:val="00C80D63"/>
    <w:rsid w:val="00C8108D"/>
    <w:rsid w:val="00C812D5"/>
    <w:rsid w:val="00C81616"/>
    <w:rsid w:val="00C816BA"/>
    <w:rsid w:val="00C818D0"/>
    <w:rsid w:val="00C81BEA"/>
    <w:rsid w:val="00C81DF5"/>
    <w:rsid w:val="00C82188"/>
    <w:rsid w:val="00C8222D"/>
    <w:rsid w:val="00C82413"/>
    <w:rsid w:val="00C8242B"/>
    <w:rsid w:val="00C82713"/>
    <w:rsid w:val="00C8271B"/>
    <w:rsid w:val="00C829FA"/>
    <w:rsid w:val="00C82A50"/>
    <w:rsid w:val="00C83240"/>
    <w:rsid w:val="00C832E7"/>
    <w:rsid w:val="00C83381"/>
    <w:rsid w:val="00C83580"/>
    <w:rsid w:val="00C83585"/>
    <w:rsid w:val="00C83607"/>
    <w:rsid w:val="00C83768"/>
    <w:rsid w:val="00C83A53"/>
    <w:rsid w:val="00C83B18"/>
    <w:rsid w:val="00C840B2"/>
    <w:rsid w:val="00C840C3"/>
    <w:rsid w:val="00C841B4"/>
    <w:rsid w:val="00C84266"/>
    <w:rsid w:val="00C844C2"/>
    <w:rsid w:val="00C846E7"/>
    <w:rsid w:val="00C8470A"/>
    <w:rsid w:val="00C849E0"/>
    <w:rsid w:val="00C84A38"/>
    <w:rsid w:val="00C84B74"/>
    <w:rsid w:val="00C84DD5"/>
    <w:rsid w:val="00C84E6B"/>
    <w:rsid w:val="00C8512A"/>
    <w:rsid w:val="00C85444"/>
    <w:rsid w:val="00C8560C"/>
    <w:rsid w:val="00C85938"/>
    <w:rsid w:val="00C85970"/>
    <w:rsid w:val="00C85C4A"/>
    <w:rsid w:val="00C85D12"/>
    <w:rsid w:val="00C85E9B"/>
    <w:rsid w:val="00C86234"/>
    <w:rsid w:val="00C86EB5"/>
    <w:rsid w:val="00C874C8"/>
    <w:rsid w:val="00C87AA2"/>
    <w:rsid w:val="00C87AF4"/>
    <w:rsid w:val="00C87BAD"/>
    <w:rsid w:val="00C90165"/>
    <w:rsid w:val="00C904E1"/>
    <w:rsid w:val="00C90700"/>
    <w:rsid w:val="00C90733"/>
    <w:rsid w:val="00C90A3E"/>
    <w:rsid w:val="00C90B36"/>
    <w:rsid w:val="00C90C38"/>
    <w:rsid w:val="00C90DCF"/>
    <w:rsid w:val="00C918EB"/>
    <w:rsid w:val="00C919B3"/>
    <w:rsid w:val="00C91AB3"/>
    <w:rsid w:val="00C91F33"/>
    <w:rsid w:val="00C921C4"/>
    <w:rsid w:val="00C921FA"/>
    <w:rsid w:val="00C9235F"/>
    <w:rsid w:val="00C9257F"/>
    <w:rsid w:val="00C92600"/>
    <w:rsid w:val="00C92888"/>
    <w:rsid w:val="00C92992"/>
    <w:rsid w:val="00C93035"/>
    <w:rsid w:val="00C9319C"/>
    <w:rsid w:val="00C934F6"/>
    <w:rsid w:val="00C93874"/>
    <w:rsid w:val="00C93A4C"/>
    <w:rsid w:val="00C9448D"/>
    <w:rsid w:val="00C9494A"/>
    <w:rsid w:val="00C94A91"/>
    <w:rsid w:val="00C94FD2"/>
    <w:rsid w:val="00C95046"/>
    <w:rsid w:val="00C9514C"/>
    <w:rsid w:val="00C95341"/>
    <w:rsid w:val="00C95439"/>
    <w:rsid w:val="00C9570D"/>
    <w:rsid w:val="00C95836"/>
    <w:rsid w:val="00C95987"/>
    <w:rsid w:val="00C95AE3"/>
    <w:rsid w:val="00C95B76"/>
    <w:rsid w:val="00C964C3"/>
    <w:rsid w:val="00C965F5"/>
    <w:rsid w:val="00C96635"/>
    <w:rsid w:val="00C966B7"/>
    <w:rsid w:val="00C966ED"/>
    <w:rsid w:val="00C969DB"/>
    <w:rsid w:val="00C96A6F"/>
    <w:rsid w:val="00C96D96"/>
    <w:rsid w:val="00C96E64"/>
    <w:rsid w:val="00C970F6"/>
    <w:rsid w:val="00C9716E"/>
    <w:rsid w:val="00C97A4A"/>
    <w:rsid w:val="00C97DC9"/>
    <w:rsid w:val="00C97EE3"/>
    <w:rsid w:val="00CA00ED"/>
    <w:rsid w:val="00CA0305"/>
    <w:rsid w:val="00CA0705"/>
    <w:rsid w:val="00CA0953"/>
    <w:rsid w:val="00CA0A87"/>
    <w:rsid w:val="00CA12BA"/>
    <w:rsid w:val="00CA165C"/>
    <w:rsid w:val="00CA1C0D"/>
    <w:rsid w:val="00CA1C60"/>
    <w:rsid w:val="00CA1D3E"/>
    <w:rsid w:val="00CA1DAE"/>
    <w:rsid w:val="00CA2267"/>
    <w:rsid w:val="00CA2714"/>
    <w:rsid w:val="00CA2AB6"/>
    <w:rsid w:val="00CA2E0B"/>
    <w:rsid w:val="00CA2F19"/>
    <w:rsid w:val="00CA2FB0"/>
    <w:rsid w:val="00CA30DE"/>
    <w:rsid w:val="00CA38AD"/>
    <w:rsid w:val="00CA3BE1"/>
    <w:rsid w:val="00CA413F"/>
    <w:rsid w:val="00CA43AB"/>
    <w:rsid w:val="00CA477E"/>
    <w:rsid w:val="00CA5083"/>
    <w:rsid w:val="00CA5098"/>
    <w:rsid w:val="00CA5503"/>
    <w:rsid w:val="00CA55C3"/>
    <w:rsid w:val="00CA57DC"/>
    <w:rsid w:val="00CA58FC"/>
    <w:rsid w:val="00CA59B1"/>
    <w:rsid w:val="00CA5A38"/>
    <w:rsid w:val="00CA5D2A"/>
    <w:rsid w:val="00CA5DC8"/>
    <w:rsid w:val="00CA5E6F"/>
    <w:rsid w:val="00CA5EEF"/>
    <w:rsid w:val="00CA64F6"/>
    <w:rsid w:val="00CA65B3"/>
    <w:rsid w:val="00CA6620"/>
    <w:rsid w:val="00CA66C3"/>
    <w:rsid w:val="00CA68C0"/>
    <w:rsid w:val="00CA6BAC"/>
    <w:rsid w:val="00CA6CAD"/>
    <w:rsid w:val="00CA70A8"/>
    <w:rsid w:val="00CA70D0"/>
    <w:rsid w:val="00CA71EC"/>
    <w:rsid w:val="00CA749C"/>
    <w:rsid w:val="00CA74A4"/>
    <w:rsid w:val="00CA7683"/>
    <w:rsid w:val="00CA7EA1"/>
    <w:rsid w:val="00CA7EEB"/>
    <w:rsid w:val="00CB009B"/>
    <w:rsid w:val="00CB0231"/>
    <w:rsid w:val="00CB04BE"/>
    <w:rsid w:val="00CB0813"/>
    <w:rsid w:val="00CB0838"/>
    <w:rsid w:val="00CB0ACA"/>
    <w:rsid w:val="00CB0DA9"/>
    <w:rsid w:val="00CB1112"/>
    <w:rsid w:val="00CB11D2"/>
    <w:rsid w:val="00CB1242"/>
    <w:rsid w:val="00CB12A9"/>
    <w:rsid w:val="00CB1670"/>
    <w:rsid w:val="00CB1AFD"/>
    <w:rsid w:val="00CB1B7C"/>
    <w:rsid w:val="00CB1D64"/>
    <w:rsid w:val="00CB1E7F"/>
    <w:rsid w:val="00CB1EB3"/>
    <w:rsid w:val="00CB2126"/>
    <w:rsid w:val="00CB213C"/>
    <w:rsid w:val="00CB2451"/>
    <w:rsid w:val="00CB248E"/>
    <w:rsid w:val="00CB24AD"/>
    <w:rsid w:val="00CB26D5"/>
    <w:rsid w:val="00CB296F"/>
    <w:rsid w:val="00CB2C59"/>
    <w:rsid w:val="00CB2D9C"/>
    <w:rsid w:val="00CB33D6"/>
    <w:rsid w:val="00CB34AB"/>
    <w:rsid w:val="00CB3501"/>
    <w:rsid w:val="00CB3529"/>
    <w:rsid w:val="00CB3562"/>
    <w:rsid w:val="00CB372F"/>
    <w:rsid w:val="00CB3843"/>
    <w:rsid w:val="00CB38A9"/>
    <w:rsid w:val="00CB3A44"/>
    <w:rsid w:val="00CB3C0A"/>
    <w:rsid w:val="00CB3C65"/>
    <w:rsid w:val="00CB4728"/>
    <w:rsid w:val="00CB472E"/>
    <w:rsid w:val="00CB4994"/>
    <w:rsid w:val="00CB4C0B"/>
    <w:rsid w:val="00CB523B"/>
    <w:rsid w:val="00CB556C"/>
    <w:rsid w:val="00CB587C"/>
    <w:rsid w:val="00CB59E7"/>
    <w:rsid w:val="00CB5CD6"/>
    <w:rsid w:val="00CB5E4A"/>
    <w:rsid w:val="00CB5F86"/>
    <w:rsid w:val="00CB5FAF"/>
    <w:rsid w:val="00CB6546"/>
    <w:rsid w:val="00CB668A"/>
    <w:rsid w:val="00CB6791"/>
    <w:rsid w:val="00CB6976"/>
    <w:rsid w:val="00CB6FCA"/>
    <w:rsid w:val="00CB7041"/>
    <w:rsid w:val="00CB719B"/>
    <w:rsid w:val="00CB71B1"/>
    <w:rsid w:val="00CB71CB"/>
    <w:rsid w:val="00CB724D"/>
    <w:rsid w:val="00CB73EA"/>
    <w:rsid w:val="00CB7D4E"/>
    <w:rsid w:val="00CB7F49"/>
    <w:rsid w:val="00CC002B"/>
    <w:rsid w:val="00CC01CC"/>
    <w:rsid w:val="00CC0386"/>
    <w:rsid w:val="00CC07E5"/>
    <w:rsid w:val="00CC09F0"/>
    <w:rsid w:val="00CC0C11"/>
    <w:rsid w:val="00CC0EFE"/>
    <w:rsid w:val="00CC15B5"/>
    <w:rsid w:val="00CC1671"/>
    <w:rsid w:val="00CC1B03"/>
    <w:rsid w:val="00CC1EC3"/>
    <w:rsid w:val="00CC1F52"/>
    <w:rsid w:val="00CC233F"/>
    <w:rsid w:val="00CC2412"/>
    <w:rsid w:val="00CC2755"/>
    <w:rsid w:val="00CC27FD"/>
    <w:rsid w:val="00CC2AAF"/>
    <w:rsid w:val="00CC2CAA"/>
    <w:rsid w:val="00CC2E7E"/>
    <w:rsid w:val="00CC3073"/>
    <w:rsid w:val="00CC31E8"/>
    <w:rsid w:val="00CC33C6"/>
    <w:rsid w:val="00CC3686"/>
    <w:rsid w:val="00CC3A6F"/>
    <w:rsid w:val="00CC3AB9"/>
    <w:rsid w:val="00CC3C9E"/>
    <w:rsid w:val="00CC3E13"/>
    <w:rsid w:val="00CC3FAB"/>
    <w:rsid w:val="00CC410E"/>
    <w:rsid w:val="00CC45E0"/>
    <w:rsid w:val="00CC4BBE"/>
    <w:rsid w:val="00CC4BC3"/>
    <w:rsid w:val="00CC4C84"/>
    <w:rsid w:val="00CC4E3E"/>
    <w:rsid w:val="00CC4EBB"/>
    <w:rsid w:val="00CC4F43"/>
    <w:rsid w:val="00CC502F"/>
    <w:rsid w:val="00CC5045"/>
    <w:rsid w:val="00CC50C7"/>
    <w:rsid w:val="00CC5218"/>
    <w:rsid w:val="00CC55AC"/>
    <w:rsid w:val="00CC5859"/>
    <w:rsid w:val="00CC5C37"/>
    <w:rsid w:val="00CC6159"/>
    <w:rsid w:val="00CC623F"/>
    <w:rsid w:val="00CC65A8"/>
    <w:rsid w:val="00CC6686"/>
    <w:rsid w:val="00CC6761"/>
    <w:rsid w:val="00CC6825"/>
    <w:rsid w:val="00CC6F48"/>
    <w:rsid w:val="00CC6FF2"/>
    <w:rsid w:val="00CC7012"/>
    <w:rsid w:val="00CC7061"/>
    <w:rsid w:val="00CC71F3"/>
    <w:rsid w:val="00CC72C0"/>
    <w:rsid w:val="00CC72FD"/>
    <w:rsid w:val="00CC736F"/>
    <w:rsid w:val="00CC757D"/>
    <w:rsid w:val="00CC7A5C"/>
    <w:rsid w:val="00CC7C74"/>
    <w:rsid w:val="00CD00DB"/>
    <w:rsid w:val="00CD0119"/>
    <w:rsid w:val="00CD07FD"/>
    <w:rsid w:val="00CD0866"/>
    <w:rsid w:val="00CD0B84"/>
    <w:rsid w:val="00CD0F23"/>
    <w:rsid w:val="00CD0FCB"/>
    <w:rsid w:val="00CD0FEE"/>
    <w:rsid w:val="00CD1169"/>
    <w:rsid w:val="00CD121F"/>
    <w:rsid w:val="00CD1299"/>
    <w:rsid w:val="00CD16C7"/>
    <w:rsid w:val="00CD182B"/>
    <w:rsid w:val="00CD1A40"/>
    <w:rsid w:val="00CD1B33"/>
    <w:rsid w:val="00CD1C70"/>
    <w:rsid w:val="00CD1F5A"/>
    <w:rsid w:val="00CD25E4"/>
    <w:rsid w:val="00CD25F3"/>
    <w:rsid w:val="00CD27FF"/>
    <w:rsid w:val="00CD2BB8"/>
    <w:rsid w:val="00CD2BDD"/>
    <w:rsid w:val="00CD2C48"/>
    <w:rsid w:val="00CD2CFA"/>
    <w:rsid w:val="00CD305C"/>
    <w:rsid w:val="00CD31AC"/>
    <w:rsid w:val="00CD3256"/>
    <w:rsid w:val="00CD35E6"/>
    <w:rsid w:val="00CD3A6D"/>
    <w:rsid w:val="00CD3E5A"/>
    <w:rsid w:val="00CD3E63"/>
    <w:rsid w:val="00CD40A3"/>
    <w:rsid w:val="00CD4ACE"/>
    <w:rsid w:val="00CD4B90"/>
    <w:rsid w:val="00CD4CD3"/>
    <w:rsid w:val="00CD510F"/>
    <w:rsid w:val="00CD5179"/>
    <w:rsid w:val="00CD578C"/>
    <w:rsid w:val="00CD589F"/>
    <w:rsid w:val="00CD5F91"/>
    <w:rsid w:val="00CD60C9"/>
    <w:rsid w:val="00CD6345"/>
    <w:rsid w:val="00CD656D"/>
    <w:rsid w:val="00CD6A1E"/>
    <w:rsid w:val="00CD6BBB"/>
    <w:rsid w:val="00CD6C19"/>
    <w:rsid w:val="00CD6E47"/>
    <w:rsid w:val="00CD744D"/>
    <w:rsid w:val="00CD7482"/>
    <w:rsid w:val="00CD7635"/>
    <w:rsid w:val="00CE03D8"/>
    <w:rsid w:val="00CE052A"/>
    <w:rsid w:val="00CE0700"/>
    <w:rsid w:val="00CE07C1"/>
    <w:rsid w:val="00CE0926"/>
    <w:rsid w:val="00CE0E5B"/>
    <w:rsid w:val="00CE12EF"/>
    <w:rsid w:val="00CE1567"/>
    <w:rsid w:val="00CE166F"/>
    <w:rsid w:val="00CE1743"/>
    <w:rsid w:val="00CE186F"/>
    <w:rsid w:val="00CE1BC4"/>
    <w:rsid w:val="00CE1C09"/>
    <w:rsid w:val="00CE1C6F"/>
    <w:rsid w:val="00CE1D82"/>
    <w:rsid w:val="00CE1F38"/>
    <w:rsid w:val="00CE20E3"/>
    <w:rsid w:val="00CE24B7"/>
    <w:rsid w:val="00CE273A"/>
    <w:rsid w:val="00CE28DF"/>
    <w:rsid w:val="00CE2C8C"/>
    <w:rsid w:val="00CE321C"/>
    <w:rsid w:val="00CE3261"/>
    <w:rsid w:val="00CE32E8"/>
    <w:rsid w:val="00CE3319"/>
    <w:rsid w:val="00CE3700"/>
    <w:rsid w:val="00CE3B69"/>
    <w:rsid w:val="00CE3B77"/>
    <w:rsid w:val="00CE4042"/>
    <w:rsid w:val="00CE406D"/>
    <w:rsid w:val="00CE44C5"/>
    <w:rsid w:val="00CE4559"/>
    <w:rsid w:val="00CE4903"/>
    <w:rsid w:val="00CE4A1E"/>
    <w:rsid w:val="00CE4BA6"/>
    <w:rsid w:val="00CE5118"/>
    <w:rsid w:val="00CE53EF"/>
    <w:rsid w:val="00CE5487"/>
    <w:rsid w:val="00CE569B"/>
    <w:rsid w:val="00CE575E"/>
    <w:rsid w:val="00CE585E"/>
    <w:rsid w:val="00CE59B5"/>
    <w:rsid w:val="00CE59DB"/>
    <w:rsid w:val="00CE5D3A"/>
    <w:rsid w:val="00CE5DFA"/>
    <w:rsid w:val="00CE6641"/>
    <w:rsid w:val="00CE6CEB"/>
    <w:rsid w:val="00CE7381"/>
    <w:rsid w:val="00CE73F8"/>
    <w:rsid w:val="00CE7447"/>
    <w:rsid w:val="00CE74CE"/>
    <w:rsid w:val="00CE799B"/>
    <w:rsid w:val="00CE7B47"/>
    <w:rsid w:val="00CE7F36"/>
    <w:rsid w:val="00CF079D"/>
    <w:rsid w:val="00CF0829"/>
    <w:rsid w:val="00CF0AB1"/>
    <w:rsid w:val="00CF0E74"/>
    <w:rsid w:val="00CF1833"/>
    <w:rsid w:val="00CF1AEA"/>
    <w:rsid w:val="00CF1B4F"/>
    <w:rsid w:val="00CF1BF3"/>
    <w:rsid w:val="00CF1C8C"/>
    <w:rsid w:val="00CF1D6B"/>
    <w:rsid w:val="00CF2091"/>
    <w:rsid w:val="00CF2130"/>
    <w:rsid w:val="00CF21F6"/>
    <w:rsid w:val="00CF2278"/>
    <w:rsid w:val="00CF2916"/>
    <w:rsid w:val="00CF2A08"/>
    <w:rsid w:val="00CF2A4F"/>
    <w:rsid w:val="00CF2BBB"/>
    <w:rsid w:val="00CF2C62"/>
    <w:rsid w:val="00CF2F66"/>
    <w:rsid w:val="00CF337B"/>
    <w:rsid w:val="00CF348E"/>
    <w:rsid w:val="00CF3FE7"/>
    <w:rsid w:val="00CF4059"/>
    <w:rsid w:val="00CF41B0"/>
    <w:rsid w:val="00CF4416"/>
    <w:rsid w:val="00CF4A50"/>
    <w:rsid w:val="00CF5035"/>
    <w:rsid w:val="00CF5466"/>
    <w:rsid w:val="00CF5762"/>
    <w:rsid w:val="00CF5D0C"/>
    <w:rsid w:val="00CF5E3A"/>
    <w:rsid w:val="00CF5FF9"/>
    <w:rsid w:val="00CF6146"/>
    <w:rsid w:val="00CF65B4"/>
    <w:rsid w:val="00CF6846"/>
    <w:rsid w:val="00CF69B0"/>
    <w:rsid w:val="00CF6BD8"/>
    <w:rsid w:val="00CF6C05"/>
    <w:rsid w:val="00CF724C"/>
    <w:rsid w:val="00CF7485"/>
    <w:rsid w:val="00CF77B0"/>
    <w:rsid w:val="00CF793F"/>
    <w:rsid w:val="00CF7E56"/>
    <w:rsid w:val="00D0097A"/>
    <w:rsid w:val="00D00A78"/>
    <w:rsid w:val="00D00C0C"/>
    <w:rsid w:val="00D00D15"/>
    <w:rsid w:val="00D00E33"/>
    <w:rsid w:val="00D0139C"/>
    <w:rsid w:val="00D015F9"/>
    <w:rsid w:val="00D016BA"/>
    <w:rsid w:val="00D01744"/>
    <w:rsid w:val="00D01928"/>
    <w:rsid w:val="00D01AC9"/>
    <w:rsid w:val="00D025CE"/>
    <w:rsid w:val="00D026DF"/>
    <w:rsid w:val="00D027CE"/>
    <w:rsid w:val="00D02A0F"/>
    <w:rsid w:val="00D02DF3"/>
    <w:rsid w:val="00D02FB3"/>
    <w:rsid w:val="00D03181"/>
    <w:rsid w:val="00D037DC"/>
    <w:rsid w:val="00D0383B"/>
    <w:rsid w:val="00D03A8A"/>
    <w:rsid w:val="00D03B23"/>
    <w:rsid w:val="00D03D35"/>
    <w:rsid w:val="00D03D71"/>
    <w:rsid w:val="00D03DA4"/>
    <w:rsid w:val="00D03DA5"/>
    <w:rsid w:val="00D03F27"/>
    <w:rsid w:val="00D03F7E"/>
    <w:rsid w:val="00D043B7"/>
    <w:rsid w:val="00D043EE"/>
    <w:rsid w:val="00D0470D"/>
    <w:rsid w:val="00D04716"/>
    <w:rsid w:val="00D04CC8"/>
    <w:rsid w:val="00D05249"/>
    <w:rsid w:val="00D05455"/>
    <w:rsid w:val="00D055CA"/>
    <w:rsid w:val="00D059FC"/>
    <w:rsid w:val="00D05D8E"/>
    <w:rsid w:val="00D05DEF"/>
    <w:rsid w:val="00D063E4"/>
    <w:rsid w:val="00D0674B"/>
    <w:rsid w:val="00D06861"/>
    <w:rsid w:val="00D0688A"/>
    <w:rsid w:val="00D06F22"/>
    <w:rsid w:val="00D0715C"/>
    <w:rsid w:val="00D0724C"/>
    <w:rsid w:val="00D07316"/>
    <w:rsid w:val="00D07A9C"/>
    <w:rsid w:val="00D10053"/>
    <w:rsid w:val="00D10076"/>
    <w:rsid w:val="00D1033B"/>
    <w:rsid w:val="00D10477"/>
    <w:rsid w:val="00D10508"/>
    <w:rsid w:val="00D107E2"/>
    <w:rsid w:val="00D10852"/>
    <w:rsid w:val="00D10BDC"/>
    <w:rsid w:val="00D11931"/>
    <w:rsid w:val="00D11977"/>
    <w:rsid w:val="00D11AAE"/>
    <w:rsid w:val="00D11D76"/>
    <w:rsid w:val="00D11E70"/>
    <w:rsid w:val="00D11E73"/>
    <w:rsid w:val="00D121F5"/>
    <w:rsid w:val="00D126E4"/>
    <w:rsid w:val="00D131BF"/>
    <w:rsid w:val="00D132EB"/>
    <w:rsid w:val="00D134CD"/>
    <w:rsid w:val="00D13DE1"/>
    <w:rsid w:val="00D140E6"/>
    <w:rsid w:val="00D1415C"/>
    <w:rsid w:val="00D14F18"/>
    <w:rsid w:val="00D1511C"/>
    <w:rsid w:val="00D1557E"/>
    <w:rsid w:val="00D15720"/>
    <w:rsid w:val="00D158EF"/>
    <w:rsid w:val="00D15A3F"/>
    <w:rsid w:val="00D15C14"/>
    <w:rsid w:val="00D15E74"/>
    <w:rsid w:val="00D15E9F"/>
    <w:rsid w:val="00D15FAA"/>
    <w:rsid w:val="00D15FE1"/>
    <w:rsid w:val="00D16261"/>
    <w:rsid w:val="00D1677C"/>
    <w:rsid w:val="00D16929"/>
    <w:rsid w:val="00D169EA"/>
    <w:rsid w:val="00D16B54"/>
    <w:rsid w:val="00D16CC3"/>
    <w:rsid w:val="00D16CDF"/>
    <w:rsid w:val="00D16ECB"/>
    <w:rsid w:val="00D16EEE"/>
    <w:rsid w:val="00D17167"/>
    <w:rsid w:val="00D1794C"/>
    <w:rsid w:val="00D17B83"/>
    <w:rsid w:val="00D17BA5"/>
    <w:rsid w:val="00D17D86"/>
    <w:rsid w:val="00D17D8D"/>
    <w:rsid w:val="00D17EC9"/>
    <w:rsid w:val="00D201CE"/>
    <w:rsid w:val="00D201FF"/>
    <w:rsid w:val="00D2058D"/>
    <w:rsid w:val="00D2062C"/>
    <w:rsid w:val="00D20782"/>
    <w:rsid w:val="00D21479"/>
    <w:rsid w:val="00D21628"/>
    <w:rsid w:val="00D2176E"/>
    <w:rsid w:val="00D2182A"/>
    <w:rsid w:val="00D219FD"/>
    <w:rsid w:val="00D21AD0"/>
    <w:rsid w:val="00D220A7"/>
    <w:rsid w:val="00D22105"/>
    <w:rsid w:val="00D2211C"/>
    <w:rsid w:val="00D2240B"/>
    <w:rsid w:val="00D224C7"/>
    <w:rsid w:val="00D22716"/>
    <w:rsid w:val="00D22945"/>
    <w:rsid w:val="00D22B55"/>
    <w:rsid w:val="00D22C64"/>
    <w:rsid w:val="00D22DA2"/>
    <w:rsid w:val="00D22E15"/>
    <w:rsid w:val="00D23055"/>
    <w:rsid w:val="00D230AD"/>
    <w:rsid w:val="00D23443"/>
    <w:rsid w:val="00D2355B"/>
    <w:rsid w:val="00D23763"/>
    <w:rsid w:val="00D23AA6"/>
    <w:rsid w:val="00D240CC"/>
    <w:rsid w:val="00D24192"/>
    <w:rsid w:val="00D24745"/>
    <w:rsid w:val="00D24F81"/>
    <w:rsid w:val="00D251AB"/>
    <w:rsid w:val="00D2575E"/>
    <w:rsid w:val="00D25923"/>
    <w:rsid w:val="00D25AC6"/>
    <w:rsid w:val="00D261D3"/>
    <w:rsid w:val="00D2622A"/>
    <w:rsid w:val="00D26698"/>
    <w:rsid w:val="00D26C0A"/>
    <w:rsid w:val="00D2747E"/>
    <w:rsid w:val="00D27B3C"/>
    <w:rsid w:val="00D27C05"/>
    <w:rsid w:val="00D27C06"/>
    <w:rsid w:val="00D3005A"/>
    <w:rsid w:val="00D303A5"/>
    <w:rsid w:val="00D3051A"/>
    <w:rsid w:val="00D305CB"/>
    <w:rsid w:val="00D306D5"/>
    <w:rsid w:val="00D30952"/>
    <w:rsid w:val="00D310DF"/>
    <w:rsid w:val="00D31255"/>
    <w:rsid w:val="00D31486"/>
    <w:rsid w:val="00D3153B"/>
    <w:rsid w:val="00D315F7"/>
    <w:rsid w:val="00D31905"/>
    <w:rsid w:val="00D319DF"/>
    <w:rsid w:val="00D3225E"/>
    <w:rsid w:val="00D32433"/>
    <w:rsid w:val="00D324BC"/>
    <w:rsid w:val="00D329F0"/>
    <w:rsid w:val="00D3303D"/>
    <w:rsid w:val="00D33565"/>
    <w:rsid w:val="00D33741"/>
    <w:rsid w:val="00D33762"/>
    <w:rsid w:val="00D33807"/>
    <w:rsid w:val="00D33E71"/>
    <w:rsid w:val="00D34025"/>
    <w:rsid w:val="00D3413A"/>
    <w:rsid w:val="00D34357"/>
    <w:rsid w:val="00D345E1"/>
    <w:rsid w:val="00D3488B"/>
    <w:rsid w:val="00D34AED"/>
    <w:rsid w:val="00D34BD1"/>
    <w:rsid w:val="00D35177"/>
    <w:rsid w:val="00D354D5"/>
    <w:rsid w:val="00D356E1"/>
    <w:rsid w:val="00D35F08"/>
    <w:rsid w:val="00D35FB8"/>
    <w:rsid w:val="00D365D2"/>
    <w:rsid w:val="00D36772"/>
    <w:rsid w:val="00D3678C"/>
    <w:rsid w:val="00D36F58"/>
    <w:rsid w:val="00D37006"/>
    <w:rsid w:val="00D37770"/>
    <w:rsid w:val="00D378EC"/>
    <w:rsid w:val="00D37DDB"/>
    <w:rsid w:val="00D40609"/>
    <w:rsid w:val="00D406B1"/>
    <w:rsid w:val="00D40983"/>
    <w:rsid w:val="00D409CE"/>
    <w:rsid w:val="00D40E5F"/>
    <w:rsid w:val="00D41188"/>
    <w:rsid w:val="00D4144B"/>
    <w:rsid w:val="00D417D3"/>
    <w:rsid w:val="00D418D5"/>
    <w:rsid w:val="00D41A6B"/>
    <w:rsid w:val="00D41B4C"/>
    <w:rsid w:val="00D41DB1"/>
    <w:rsid w:val="00D42045"/>
    <w:rsid w:val="00D420C9"/>
    <w:rsid w:val="00D42166"/>
    <w:rsid w:val="00D42227"/>
    <w:rsid w:val="00D4276D"/>
    <w:rsid w:val="00D42798"/>
    <w:rsid w:val="00D428E8"/>
    <w:rsid w:val="00D42970"/>
    <w:rsid w:val="00D42C02"/>
    <w:rsid w:val="00D43039"/>
    <w:rsid w:val="00D4317D"/>
    <w:rsid w:val="00D43492"/>
    <w:rsid w:val="00D43551"/>
    <w:rsid w:val="00D4364E"/>
    <w:rsid w:val="00D438A3"/>
    <w:rsid w:val="00D43A39"/>
    <w:rsid w:val="00D43AED"/>
    <w:rsid w:val="00D43F46"/>
    <w:rsid w:val="00D43FF9"/>
    <w:rsid w:val="00D44916"/>
    <w:rsid w:val="00D451C6"/>
    <w:rsid w:val="00D4533D"/>
    <w:rsid w:val="00D4582E"/>
    <w:rsid w:val="00D458CA"/>
    <w:rsid w:val="00D45935"/>
    <w:rsid w:val="00D45CA4"/>
    <w:rsid w:val="00D45EA7"/>
    <w:rsid w:val="00D45F22"/>
    <w:rsid w:val="00D45F50"/>
    <w:rsid w:val="00D45FAD"/>
    <w:rsid w:val="00D461DD"/>
    <w:rsid w:val="00D46408"/>
    <w:rsid w:val="00D46485"/>
    <w:rsid w:val="00D464FD"/>
    <w:rsid w:val="00D4695C"/>
    <w:rsid w:val="00D47178"/>
    <w:rsid w:val="00D4752E"/>
    <w:rsid w:val="00D47842"/>
    <w:rsid w:val="00D478A8"/>
    <w:rsid w:val="00D47BEF"/>
    <w:rsid w:val="00D50103"/>
    <w:rsid w:val="00D5065B"/>
    <w:rsid w:val="00D50826"/>
    <w:rsid w:val="00D509C5"/>
    <w:rsid w:val="00D50A4A"/>
    <w:rsid w:val="00D50CBD"/>
    <w:rsid w:val="00D515E8"/>
    <w:rsid w:val="00D51675"/>
    <w:rsid w:val="00D51691"/>
    <w:rsid w:val="00D51800"/>
    <w:rsid w:val="00D51A75"/>
    <w:rsid w:val="00D51D39"/>
    <w:rsid w:val="00D51F73"/>
    <w:rsid w:val="00D521A1"/>
    <w:rsid w:val="00D5223D"/>
    <w:rsid w:val="00D523BA"/>
    <w:rsid w:val="00D5257B"/>
    <w:rsid w:val="00D52747"/>
    <w:rsid w:val="00D52827"/>
    <w:rsid w:val="00D529BE"/>
    <w:rsid w:val="00D52B0E"/>
    <w:rsid w:val="00D52CF6"/>
    <w:rsid w:val="00D53198"/>
    <w:rsid w:val="00D5322E"/>
    <w:rsid w:val="00D532DC"/>
    <w:rsid w:val="00D53593"/>
    <w:rsid w:val="00D538B8"/>
    <w:rsid w:val="00D53B19"/>
    <w:rsid w:val="00D53C1E"/>
    <w:rsid w:val="00D53D3E"/>
    <w:rsid w:val="00D53F7B"/>
    <w:rsid w:val="00D54393"/>
    <w:rsid w:val="00D547E0"/>
    <w:rsid w:val="00D5495D"/>
    <w:rsid w:val="00D54992"/>
    <w:rsid w:val="00D54BF4"/>
    <w:rsid w:val="00D551A4"/>
    <w:rsid w:val="00D55291"/>
    <w:rsid w:val="00D5537A"/>
    <w:rsid w:val="00D55A8F"/>
    <w:rsid w:val="00D55C48"/>
    <w:rsid w:val="00D55E47"/>
    <w:rsid w:val="00D5602A"/>
    <w:rsid w:val="00D560FA"/>
    <w:rsid w:val="00D565C6"/>
    <w:rsid w:val="00D568A3"/>
    <w:rsid w:val="00D56997"/>
    <w:rsid w:val="00D56CB5"/>
    <w:rsid w:val="00D570E6"/>
    <w:rsid w:val="00D5730F"/>
    <w:rsid w:val="00D5774F"/>
    <w:rsid w:val="00D578A0"/>
    <w:rsid w:val="00D578B1"/>
    <w:rsid w:val="00D57945"/>
    <w:rsid w:val="00D57A52"/>
    <w:rsid w:val="00D57FDF"/>
    <w:rsid w:val="00D60809"/>
    <w:rsid w:val="00D608A4"/>
    <w:rsid w:val="00D60C15"/>
    <w:rsid w:val="00D60D3A"/>
    <w:rsid w:val="00D60D57"/>
    <w:rsid w:val="00D60D7F"/>
    <w:rsid w:val="00D60DF8"/>
    <w:rsid w:val="00D61797"/>
    <w:rsid w:val="00D6186E"/>
    <w:rsid w:val="00D61899"/>
    <w:rsid w:val="00D61C9C"/>
    <w:rsid w:val="00D61D86"/>
    <w:rsid w:val="00D62111"/>
    <w:rsid w:val="00D62229"/>
    <w:rsid w:val="00D625B8"/>
    <w:rsid w:val="00D62648"/>
    <w:rsid w:val="00D626F8"/>
    <w:rsid w:val="00D634CD"/>
    <w:rsid w:val="00D6366C"/>
    <w:rsid w:val="00D636DC"/>
    <w:rsid w:val="00D637BE"/>
    <w:rsid w:val="00D63941"/>
    <w:rsid w:val="00D63D55"/>
    <w:rsid w:val="00D63F4C"/>
    <w:rsid w:val="00D64265"/>
    <w:rsid w:val="00D6433E"/>
    <w:rsid w:val="00D64613"/>
    <w:rsid w:val="00D64702"/>
    <w:rsid w:val="00D66450"/>
    <w:rsid w:val="00D66747"/>
    <w:rsid w:val="00D667D1"/>
    <w:rsid w:val="00D66BD9"/>
    <w:rsid w:val="00D66BFD"/>
    <w:rsid w:val="00D66C76"/>
    <w:rsid w:val="00D66C91"/>
    <w:rsid w:val="00D66E36"/>
    <w:rsid w:val="00D66E84"/>
    <w:rsid w:val="00D66FEC"/>
    <w:rsid w:val="00D6713D"/>
    <w:rsid w:val="00D671BB"/>
    <w:rsid w:val="00D674EE"/>
    <w:rsid w:val="00D67535"/>
    <w:rsid w:val="00D675E9"/>
    <w:rsid w:val="00D67756"/>
    <w:rsid w:val="00D677BC"/>
    <w:rsid w:val="00D67855"/>
    <w:rsid w:val="00D67B2A"/>
    <w:rsid w:val="00D67BC9"/>
    <w:rsid w:val="00D67CB7"/>
    <w:rsid w:val="00D67DBC"/>
    <w:rsid w:val="00D704D9"/>
    <w:rsid w:val="00D708AB"/>
    <w:rsid w:val="00D70B30"/>
    <w:rsid w:val="00D70BD2"/>
    <w:rsid w:val="00D70C99"/>
    <w:rsid w:val="00D713F2"/>
    <w:rsid w:val="00D715FF"/>
    <w:rsid w:val="00D717E4"/>
    <w:rsid w:val="00D7208F"/>
    <w:rsid w:val="00D721AA"/>
    <w:rsid w:val="00D724F2"/>
    <w:rsid w:val="00D7257D"/>
    <w:rsid w:val="00D72705"/>
    <w:rsid w:val="00D72E0A"/>
    <w:rsid w:val="00D7342C"/>
    <w:rsid w:val="00D738BF"/>
    <w:rsid w:val="00D73B3D"/>
    <w:rsid w:val="00D73B93"/>
    <w:rsid w:val="00D73C95"/>
    <w:rsid w:val="00D73F29"/>
    <w:rsid w:val="00D73F44"/>
    <w:rsid w:val="00D73F99"/>
    <w:rsid w:val="00D74192"/>
    <w:rsid w:val="00D744BD"/>
    <w:rsid w:val="00D745C1"/>
    <w:rsid w:val="00D74799"/>
    <w:rsid w:val="00D7483E"/>
    <w:rsid w:val="00D749CF"/>
    <w:rsid w:val="00D74B6E"/>
    <w:rsid w:val="00D74D95"/>
    <w:rsid w:val="00D750A4"/>
    <w:rsid w:val="00D75185"/>
    <w:rsid w:val="00D753AF"/>
    <w:rsid w:val="00D75676"/>
    <w:rsid w:val="00D7570F"/>
    <w:rsid w:val="00D75731"/>
    <w:rsid w:val="00D75B45"/>
    <w:rsid w:val="00D75B5C"/>
    <w:rsid w:val="00D75F48"/>
    <w:rsid w:val="00D75F6E"/>
    <w:rsid w:val="00D75F8C"/>
    <w:rsid w:val="00D76050"/>
    <w:rsid w:val="00D76105"/>
    <w:rsid w:val="00D76309"/>
    <w:rsid w:val="00D76423"/>
    <w:rsid w:val="00D767BF"/>
    <w:rsid w:val="00D767DF"/>
    <w:rsid w:val="00D76CB4"/>
    <w:rsid w:val="00D76D77"/>
    <w:rsid w:val="00D77278"/>
    <w:rsid w:val="00D775B5"/>
    <w:rsid w:val="00D7772F"/>
    <w:rsid w:val="00D7789B"/>
    <w:rsid w:val="00D77961"/>
    <w:rsid w:val="00D77B20"/>
    <w:rsid w:val="00D77B33"/>
    <w:rsid w:val="00D77B3B"/>
    <w:rsid w:val="00D8007C"/>
    <w:rsid w:val="00D804B9"/>
    <w:rsid w:val="00D8079F"/>
    <w:rsid w:val="00D8082D"/>
    <w:rsid w:val="00D80BA5"/>
    <w:rsid w:val="00D80C7A"/>
    <w:rsid w:val="00D8103B"/>
    <w:rsid w:val="00D8111B"/>
    <w:rsid w:val="00D81242"/>
    <w:rsid w:val="00D812D2"/>
    <w:rsid w:val="00D81B2C"/>
    <w:rsid w:val="00D81CE2"/>
    <w:rsid w:val="00D822FA"/>
    <w:rsid w:val="00D823E3"/>
    <w:rsid w:val="00D826C2"/>
    <w:rsid w:val="00D827F3"/>
    <w:rsid w:val="00D82939"/>
    <w:rsid w:val="00D82D02"/>
    <w:rsid w:val="00D82D0F"/>
    <w:rsid w:val="00D82EE5"/>
    <w:rsid w:val="00D83079"/>
    <w:rsid w:val="00D83105"/>
    <w:rsid w:val="00D832DA"/>
    <w:rsid w:val="00D83556"/>
    <w:rsid w:val="00D83925"/>
    <w:rsid w:val="00D83A5A"/>
    <w:rsid w:val="00D83A79"/>
    <w:rsid w:val="00D83C3D"/>
    <w:rsid w:val="00D83F9A"/>
    <w:rsid w:val="00D84157"/>
    <w:rsid w:val="00D845EF"/>
    <w:rsid w:val="00D848D8"/>
    <w:rsid w:val="00D84BD7"/>
    <w:rsid w:val="00D84DCA"/>
    <w:rsid w:val="00D84EEE"/>
    <w:rsid w:val="00D84F77"/>
    <w:rsid w:val="00D850FC"/>
    <w:rsid w:val="00D85114"/>
    <w:rsid w:val="00D855E3"/>
    <w:rsid w:val="00D857BC"/>
    <w:rsid w:val="00D86144"/>
    <w:rsid w:val="00D8622E"/>
    <w:rsid w:val="00D8626E"/>
    <w:rsid w:val="00D866AC"/>
    <w:rsid w:val="00D86EE9"/>
    <w:rsid w:val="00D8718F"/>
    <w:rsid w:val="00D871B6"/>
    <w:rsid w:val="00D8741A"/>
    <w:rsid w:val="00D87435"/>
    <w:rsid w:val="00D875E1"/>
    <w:rsid w:val="00D87609"/>
    <w:rsid w:val="00D8772C"/>
    <w:rsid w:val="00D878A1"/>
    <w:rsid w:val="00D87D94"/>
    <w:rsid w:val="00D9000B"/>
    <w:rsid w:val="00D90275"/>
    <w:rsid w:val="00D902F5"/>
    <w:rsid w:val="00D90303"/>
    <w:rsid w:val="00D90347"/>
    <w:rsid w:val="00D90678"/>
    <w:rsid w:val="00D9075D"/>
    <w:rsid w:val="00D90959"/>
    <w:rsid w:val="00D90B3E"/>
    <w:rsid w:val="00D9102B"/>
    <w:rsid w:val="00D912A5"/>
    <w:rsid w:val="00D91378"/>
    <w:rsid w:val="00D913AF"/>
    <w:rsid w:val="00D91410"/>
    <w:rsid w:val="00D91438"/>
    <w:rsid w:val="00D91594"/>
    <w:rsid w:val="00D9171C"/>
    <w:rsid w:val="00D91A21"/>
    <w:rsid w:val="00D91A8F"/>
    <w:rsid w:val="00D91A9B"/>
    <w:rsid w:val="00D91ABE"/>
    <w:rsid w:val="00D91B02"/>
    <w:rsid w:val="00D91B8B"/>
    <w:rsid w:val="00D91CF0"/>
    <w:rsid w:val="00D91DFB"/>
    <w:rsid w:val="00D921DA"/>
    <w:rsid w:val="00D92227"/>
    <w:rsid w:val="00D926C4"/>
    <w:rsid w:val="00D92C2F"/>
    <w:rsid w:val="00D92E50"/>
    <w:rsid w:val="00D92F7F"/>
    <w:rsid w:val="00D93329"/>
    <w:rsid w:val="00D9333C"/>
    <w:rsid w:val="00D9342F"/>
    <w:rsid w:val="00D934D2"/>
    <w:rsid w:val="00D93514"/>
    <w:rsid w:val="00D93B3C"/>
    <w:rsid w:val="00D93B97"/>
    <w:rsid w:val="00D93D0E"/>
    <w:rsid w:val="00D940D6"/>
    <w:rsid w:val="00D940FD"/>
    <w:rsid w:val="00D9459D"/>
    <w:rsid w:val="00D94730"/>
    <w:rsid w:val="00D94765"/>
    <w:rsid w:val="00D947BB"/>
    <w:rsid w:val="00D94858"/>
    <w:rsid w:val="00D94972"/>
    <w:rsid w:val="00D94BEC"/>
    <w:rsid w:val="00D94EC5"/>
    <w:rsid w:val="00D954A1"/>
    <w:rsid w:val="00D95519"/>
    <w:rsid w:val="00D95613"/>
    <w:rsid w:val="00D95744"/>
    <w:rsid w:val="00D958FC"/>
    <w:rsid w:val="00D9594F"/>
    <w:rsid w:val="00D959AE"/>
    <w:rsid w:val="00D95DC2"/>
    <w:rsid w:val="00D960BD"/>
    <w:rsid w:val="00D96636"/>
    <w:rsid w:val="00D96662"/>
    <w:rsid w:val="00D96678"/>
    <w:rsid w:val="00D966E3"/>
    <w:rsid w:val="00D96AB2"/>
    <w:rsid w:val="00D96C73"/>
    <w:rsid w:val="00D96D46"/>
    <w:rsid w:val="00D9752E"/>
    <w:rsid w:val="00D97A99"/>
    <w:rsid w:val="00D97C27"/>
    <w:rsid w:val="00DA04A9"/>
    <w:rsid w:val="00DA0526"/>
    <w:rsid w:val="00DA0639"/>
    <w:rsid w:val="00DA08CB"/>
    <w:rsid w:val="00DA0CF7"/>
    <w:rsid w:val="00DA0E96"/>
    <w:rsid w:val="00DA1203"/>
    <w:rsid w:val="00DA13BE"/>
    <w:rsid w:val="00DA15FA"/>
    <w:rsid w:val="00DA1825"/>
    <w:rsid w:val="00DA18DA"/>
    <w:rsid w:val="00DA19EC"/>
    <w:rsid w:val="00DA1A9C"/>
    <w:rsid w:val="00DA1B45"/>
    <w:rsid w:val="00DA1BCE"/>
    <w:rsid w:val="00DA1F0C"/>
    <w:rsid w:val="00DA1F38"/>
    <w:rsid w:val="00DA23C5"/>
    <w:rsid w:val="00DA2413"/>
    <w:rsid w:val="00DA2752"/>
    <w:rsid w:val="00DA2D6C"/>
    <w:rsid w:val="00DA2F0F"/>
    <w:rsid w:val="00DA3399"/>
    <w:rsid w:val="00DA3474"/>
    <w:rsid w:val="00DA349E"/>
    <w:rsid w:val="00DA3565"/>
    <w:rsid w:val="00DA384D"/>
    <w:rsid w:val="00DA38D7"/>
    <w:rsid w:val="00DA3A5B"/>
    <w:rsid w:val="00DA3D0B"/>
    <w:rsid w:val="00DA3E15"/>
    <w:rsid w:val="00DA3F51"/>
    <w:rsid w:val="00DA3FDC"/>
    <w:rsid w:val="00DA4336"/>
    <w:rsid w:val="00DA43C6"/>
    <w:rsid w:val="00DA4597"/>
    <w:rsid w:val="00DA45DB"/>
    <w:rsid w:val="00DA48D9"/>
    <w:rsid w:val="00DA49F8"/>
    <w:rsid w:val="00DA4AAE"/>
    <w:rsid w:val="00DA51BF"/>
    <w:rsid w:val="00DA5354"/>
    <w:rsid w:val="00DA5572"/>
    <w:rsid w:val="00DA5B43"/>
    <w:rsid w:val="00DA5C70"/>
    <w:rsid w:val="00DA5CFA"/>
    <w:rsid w:val="00DA629D"/>
    <w:rsid w:val="00DA66DA"/>
    <w:rsid w:val="00DA66EC"/>
    <w:rsid w:val="00DA691E"/>
    <w:rsid w:val="00DA6A15"/>
    <w:rsid w:val="00DA6BC9"/>
    <w:rsid w:val="00DA6CC2"/>
    <w:rsid w:val="00DA6D2F"/>
    <w:rsid w:val="00DA7023"/>
    <w:rsid w:val="00DA7029"/>
    <w:rsid w:val="00DA71AF"/>
    <w:rsid w:val="00DA731C"/>
    <w:rsid w:val="00DA74D1"/>
    <w:rsid w:val="00DA77A0"/>
    <w:rsid w:val="00DA7C0A"/>
    <w:rsid w:val="00DA7CE5"/>
    <w:rsid w:val="00DA7EAD"/>
    <w:rsid w:val="00DB02CC"/>
    <w:rsid w:val="00DB0401"/>
    <w:rsid w:val="00DB0736"/>
    <w:rsid w:val="00DB076A"/>
    <w:rsid w:val="00DB09A2"/>
    <w:rsid w:val="00DB0ABE"/>
    <w:rsid w:val="00DB0C79"/>
    <w:rsid w:val="00DB0FFB"/>
    <w:rsid w:val="00DB103D"/>
    <w:rsid w:val="00DB10A0"/>
    <w:rsid w:val="00DB1448"/>
    <w:rsid w:val="00DB1512"/>
    <w:rsid w:val="00DB158A"/>
    <w:rsid w:val="00DB1767"/>
    <w:rsid w:val="00DB1998"/>
    <w:rsid w:val="00DB1E3E"/>
    <w:rsid w:val="00DB1FC4"/>
    <w:rsid w:val="00DB21F0"/>
    <w:rsid w:val="00DB24C0"/>
    <w:rsid w:val="00DB26EB"/>
    <w:rsid w:val="00DB2834"/>
    <w:rsid w:val="00DB2947"/>
    <w:rsid w:val="00DB2C5F"/>
    <w:rsid w:val="00DB2E52"/>
    <w:rsid w:val="00DB2EB6"/>
    <w:rsid w:val="00DB3A58"/>
    <w:rsid w:val="00DB3BDF"/>
    <w:rsid w:val="00DB3C58"/>
    <w:rsid w:val="00DB3D46"/>
    <w:rsid w:val="00DB401C"/>
    <w:rsid w:val="00DB40EE"/>
    <w:rsid w:val="00DB4219"/>
    <w:rsid w:val="00DB46C8"/>
    <w:rsid w:val="00DB48DE"/>
    <w:rsid w:val="00DB4BF5"/>
    <w:rsid w:val="00DB540E"/>
    <w:rsid w:val="00DB5A63"/>
    <w:rsid w:val="00DB6166"/>
    <w:rsid w:val="00DB6173"/>
    <w:rsid w:val="00DB6227"/>
    <w:rsid w:val="00DB6559"/>
    <w:rsid w:val="00DB656B"/>
    <w:rsid w:val="00DB691E"/>
    <w:rsid w:val="00DB6F9A"/>
    <w:rsid w:val="00DB75A3"/>
    <w:rsid w:val="00DB75DA"/>
    <w:rsid w:val="00DB7625"/>
    <w:rsid w:val="00DB7692"/>
    <w:rsid w:val="00DB799D"/>
    <w:rsid w:val="00DB79C8"/>
    <w:rsid w:val="00DB7A42"/>
    <w:rsid w:val="00DB7BEF"/>
    <w:rsid w:val="00DB7C49"/>
    <w:rsid w:val="00DB7F2C"/>
    <w:rsid w:val="00DC01C1"/>
    <w:rsid w:val="00DC0574"/>
    <w:rsid w:val="00DC0595"/>
    <w:rsid w:val="00DC0617"/>
    <w:rsid w:val="00DC0711"/>
    <w:rsid w:val="00DC07EE"/>
    <w:rsid w:val="00DC0A82"/>
    <w:rsid w:val="00DC0C65"/>
    <w:rsid w:val="00DC0CD6"/>
    <w:rsid w:val="00DC1302"/>
    <w:rsid w:val="00DC1424"/>
    <w:rsid w:val="00DC16BF"/>
    <w:rsid w:val="00DC16E1"/>
    <w:rsid w:val="00DC16FC"/>
    <w:rsid w:val="00DC17F3"/>
    <w:rsid w:val="00DC1881"/>
    <w:rsid w:val="00DC1ED7"/>
    <w:rsid w:val="00DC22C6"/>
    <w:rsid w:val="00DC2524"/>
    <w:rsid w:val="00DC3082"/>
    <w:rsid w:val="00DC315A"/>
    <w:rsid w:val="00DC31D8"/>
    <w:rsid w:val="00DC37B9"/>
    <w:rsid w:val="00DC37EE"/>
    <w:rsid w:val="00DC3A6F"/>
    <w:rsid w:val="00DC3D1C"/>
    <w:rsid w:val="00DC3F69"/>
    <w:rsid w:val="00DC409F"/>
    <w:rsid w:val="00DC43B5"/>
    <w:rsid w:val="00DC43E1"/>
    <w:rsid w:val="00DC4653"/>
    <w:rsid w:val="00DC47B7"/>
    <w:rsid w:val="00DC49EA"/>
    <w:rsid w:val="00DC4EE7"/>
    <w:rsid w:val="00DC5199"/>
    <w:rsid w:val="00DC5272"/>
    <w:rsid w:val="00DC5779"/>
    <w:rsid w:val="00DC58EF"/>
    <w:rsid w:val="00DC5A32"/>
    <w:rsid w:val="00DC5BC0"/>
    <w:rsid w:val="00DC5DC5"/>
    <w:rsid w:val="00DC5E4E"/>
    <w:rsid w:val="00DC603F"/>
    <w:rsid w:val="00DC63B3"/>
    <w:rsid w:val="00DC651B"/>
    <w:rsid w:val="00DC662F"/>
    <w:rsid w:val="00DC66FB"/>
    <w:rsid w:val="00DC67CD"/>
    <w:rsid w:val="00DC6E78"/>
    <w:rsid w:val="00DC7143"/>
    <w:rsid w:val="00DC7239"/>
    <w:rsid w:val="00DC729A"/>
    <w:rsid w:val="00DC731D"/>
    <w:rsid w:val="00DC7328"/>
    <w:rsid w:val="00DC73B1"/>
    <w:rsid w:val="00DC7519"/>
    <w:rsid w:val="00DC75C6"/>
    <w:rsid w:val="00DC7630"/>
    <w:rsid w:val="00DC7707"/>
    <w:rsid w:val="00DC7A23"/>
    <w:rsid w:val="00DC7A4D"/>
    <w:rsid w:val="00DC7AB5"/>
    <w:rsid w:val="00DC7EB5"/>
    <w:rsid w:val="00DC7F17"/>
    <w:rsid w:val="00DD0023"/>
    <w:rsid w:val="00DD010A"/>
    <w:rsid w:val="00DD01A0"/>
    <w:rsid w:val="00DD04AC"/>
    <w:rsid w:val="00DD04DD"/>
    <w:rsid w:val="00DD0507"/>
    <w:rsid w:val="00DD0576"/>
    <w:rsid w:val="00DD0891"/>
    <w:rsid w:val="00DD0B35"/>
    <w:rsid w:val="00DD0E77"/>
    <w:rsid w:val="00DD0F9F"/>
    <w:rsid w:val="00DD1054"/>
    <w:rsid w:val="00DD11A7"/>
    <w:rsid w:val="00DD1298"/>
    <w:rsid w:val="00DD1733"/>
    <w:rsid w:val="00DD1A51"/>
    <w:rsid w:val="00DD1C53"/>
    <w:rsid w:val="00DD2300"/>
    <w:rsid w:val="00DD2309"/>
    <w:rsid w:val="00DD28B3"/>
    <w:rsid w:val="00DD2CDF"/>
    <w:rsid w:val="00DD2DE3"/>
    <w:rsid w:val="00DD2DE8"/>
    <w:rsid w:val="00DD316F"/>
    <w:rsid w:val="00DD33B5"/>
    <w:rsid w:val="00DD357C"/>
    <w:rsid w:val="00DD37CA"/>
    <w:rsid w:val="00DD382E"/>
    <w:rsid w:val="00DD3A90"/>
    <w:rsid w:val="00DD3D55"/>
    <w:rsid w:val="00DD3DF7"/>
    <w:rsid w:val="00DD3ED6"/>
    <w:rsid w:val="00DD45CF"/>
    <w:rsid w:val="00DD47B8"/>
    <w:rsid w:val="00DD4AE2"/>
    <w:rsid w:val="00DD4BFA"/>
    <w:rsid w:val="00DD4F1C"/>
    <w:rsid w:val="00DD5064"/>
    <w:rsid w:val="00DD51F8"/>
    <w:rsid w:val="00DD5624"/>
    <w:rsid w:val="00DD5795"/>
    <w:rsid w:val="00DD5F56"/>
    <w:rsid w:val="00DD6388"/>
    <w:rsid w:val="00DD6571"/>
    <w:rsid w:val="00DD675D"/>
    <w:rsid w:val="00DD6832"/>
    <w:rsid w:val="00DD6C53"/>
    <w:rsid w:val="00DD7039"/>
    <w:rsid w:val="00DD7198"/>
    <w:rsid w:val="00DD7199"/>
    <w:rsid w:val="00DD7756"/>
    <w:rsid w:val="00DD7B04"/>
    <w:rsid w:val="00DD7C44"/>
    <w:rsid w:val="00DD7CB6"/>
    <w:rsid w:val="00DD7E55"/>
    <w:rsid w:val="00DE0077"/>
    <w:rsid w:val="00DE0137"/>
    <w:rsid w:val="00DE01BA"/>
    <w:rsid w:val="00DE0DCF"/>
    <w:rsid w:val="00DE1177"/>
    <w:rsid w:val="00DE137B"/>
    <w:rsid w:val="00DE13D4"/>
    <w:rsid w:val="00DE13FD"/>
    <w:rsid w:val="00DE146B"/>
    <w:rsid w:val="00DE15EC"/>
    <w:rsid w:val="00DE19D9"/>
    <w:rsid w:val="00DE1C18"/>
    <w:rsid w:val="00DE1DC6"/>
    <w:rsid w:val="00DE1F59"/>
    <w:rsid w:val="00DE1F77"/>
    <w:rsid w:val="00DE2025"/>
    <w:rsid w:val="00DE21C6"/>
    <w:rsid w:val="00DE22AA"/>
    <w:rsid w:val="00DE25BB"/>
    <w:rsid w:val="00DE27B8"/>
    <w:rsid w:val="00DE288F"/>
    <w:rsid w:val="00DE2D49"/>
    <w:rsid w:val="00DE2F2B"/>
    <w:rsid w:val="00DE2F82"/>
    <w:rsid w:val="00DE2F94"/>
    <w:rsid w:val="00DE388A"/>
    <w:rsid w:val="00DE3E66"/>
    <w:rsid w:val="00DE3F75"/>
    <w:rsid w:val="00DE41F9"/>
    <w:rsid w:val="00DE45F5"/>
    <w:rsid w:val="00DE4828"/>
    <w:rsid w:val="00DE4AAD"/>
    <w:rsid w:val="00DE4C0C"/>
    <w:rsid w:val="00DE4FC8"/>
    <w:rsid w:val="00DE53B5"/>
    <w:rsid w:val="00DE5622"/>
    <w:rsid w:val="00DE5974"/>
    <w:rsid w:val="00DE5A50"/>
    <w:rsid w:val="00DE5AEC"/>
    <w:rsid w:val="00DE5D01"/>
    <w:rsid w:val="00DE60C5"/>
    <w:rsid w:val="00DE6204"/>
    <w:rsid w:val="00DE6507"/>
    <w:rsid w:val="00DE6F2C"/>
    <w:rsid w:val="00DE71CB"/>
    <w:rsid w:val="00DE7323"/>
    <w:rsid w:val="00DE75F0"/>
    <w:rsid w:val="00DE77CB"/>
    <w:rsid w:val="00DE77FE"/>
    <w:rsid w:val="00DE7EBA"/>
    <w:rsid w:val="00DF04BD"/>
    <w:rsid w:val="00DF068D"/>
    <w:rsid w:val="00DF0D3A"/>
    <w:rsid w:val="00DF0E72"/>
    <w:rsid w:val="00DF1A9A"/>
    <w:rsid w:val="00DF1C20"/>
    <w:rsid w:val="00DF1C2D"/>
    <w:rsid w:val="00DF1DB6"/>
    <w:rsid w:val="00DF1F8A"/>
    <w:rsid w:val="00DF20DC"/>
    <w:rsid w:val="00DF2170"/>
    <w:rsid w:val="00DF226A"/>
    <w:rsid w:val="00DF2333"/>
    <w:rsid w:val="00DF248E"/>
    <w:rsid w:val="00DF253D"/>
    <w:rsid w:val="00DF2681"/>
    <w:rsid w:val="00DF2E17"/>
    <w:rsid w:val="00DF2F9D"/>
    <w:rsid w:val="00DF30D1"/>
    <w:rsid w:val="00DF3222"/>
    <w:rsid w:val="00DF3577"/>
    <w:rsid w:val="00DF3C97"/>
    <w:rsid w:val="00DF3D03"/>
    <w:rsid w:val="00DF4063"/>
    <w:rsid w:val="00DF4165"/>
    <w:rsid w:val="00DF4417"/>
    <w:rsid w:val="00DF474E"/>
    <w:rsid w:val="00DF5110"/>
    <w:rsid w:val="00DF5A2D"/>
    <w:rsid w:val="00DF5DEB"/>
    <w:rsid w:val="00DF5F13"/>
    <w:rsid w:val="00DF61A5"/>
    <w:rsid w:val="00DF63DD"/>
    <w:rsid w:val="00DF6A73"/>
    <w:rsid w:val="00DF6B62"/>
    <w:rsid w:val="00DF76BA"/>
    <w:rsid w:val="00DF77E8"/>
    <w:rsid w:val="00DF7828"/>
    <w:rsid w:val="00DF7B4A"/>
    <w:rsid w:val="00DF7B6B"/>
    <w:rsid w:val="00DF7BD0"/>
    <w:rsid w:val="00DF7BDF"/>
    <w:rsid w:val="00DF7D39"/>
    <w:rsid w:val="00E002D5"/>
    <w:rsid w:val="00E00303"/>
    <w:rsid w:val="00E00489"/>
    <w:rsid w:val="00E00608"/>
    <w:rsid w:val="00E0060E"/>
    <w:rsid w:val="00E009A1"/>
    <w:rsid w:val="00E00A62"/>
    <w:rsid w:val="00E00CDE"/>
    <w:rsid w:val="00E00F4E"/>
    <w:rsid w:val="00E010A0"/>
    <w:rsid w:val="00E0125E"/>
    <w:rsid w:val="00E01474"/>
    <w:rsid w:val="00E0162A"/>
    <w:rsid w:val="00E01668"/>
    <w:rsid w:val="00E0173A"/>
    <w:rsid w:val="00E01849"/>
    <w:rsid w:val="00E01D56"/>
    <w:rsid w:val="00E01EAE"/>
    <w:rsid w:val="00E020D1"/>
    <w:rsid w:val="00E028E4"/>
    <w:rsid w:val="00E02B21"/>
    <w:rsid w:val="00E02B64"/>
    <w:rsid w:val="00E02BC9"/>
    <w:rsid w:val="00E02EAD"/>
    <w:rsid w:val="00E02FEC"/>
    <w:rsid w:val="00E03D3F"/>
    <w:rsid w:val="00E03E6A"/>
    <w:rsid w:val="00E040A4"/>
    <w:rsid w:val="00E0437C"/>
    <w:rsid w:val="00E0452C"/>
    <w:rsid w:val="00E04D61"/>
    <w:rsid w:val="00E0504C"/>
    <w:rsid w:val="00E05074"/>
    <w:rsid w:val="00E05489"/>
    <w:rsid w:val="00E05741"/>
    <w:rsid w:val="00E05929"/>
    <w:rsid w:val="00E05F7F"/>
    <w:rsid w:val="00E06930"/>
    <w:rsid w:val="00E06971"/>
    <w:rsid w:val="00E06B43"/>
    <w:rsid w:val="00E06BDB"/>
    <w:rsid w:val="00E06E32"/>
    <w:rsid w:val="00E06EC4"/>
    <w:rsid w:val="00E06F8C"/>
    <w:rsid w:val="00E070D9"/>
    <w:rsid w:val="00E07456"/>
    <w:rsid w:val="00E076B7"/>
    <w:rsid w:val="00E0781C"/>
    <w:rsid w:val="00E07A5B"/>
    <w:rsid w:val="00E07C6B"/>
    <w:rsid w:val="00E07E39"/>
    <w:rsid w:val="00E10278"/>
    <w:rsid w:val="00E105B3"/>
    <w:rsid w:val="00E106CF"/>
    <w:rsid w:val="00E10846"/>
    <w:rsid w:val="00E108F4"/>
    <w:rsid w:val="00E10A4B"/>
    <w:rsid w:val="00E10D0E"/>
    <w:rsid w:val="00E10D4E"/>
    <w:rsid w:val="00E10E85"/>
    <w:rsid w:val="00E1100C"/>
    <w:rsid w:val="00E1112D"/>
    <w:rsid w:val="00E11486"/>
    <w:rsid w:val="00E11489"/>
    <w:rsid w:val="00E11711"/>
    <w:rsid w:val="00E11E63"/>
    <w:rsid w:val="00E121E0"/>
    <w:rsid w:val="00E1249D"/>
    <w:rsid w:val="00E12514"/>
    <w:rsid w:val="00E12696"/>
    <w:rsid w:val="00E12840"/>
    <w:rsid w:val="00E12975"/>
    <w:rsid w:val="00E12C23"/>
    <w:rsid w:val="00E12DEE"/>
    <w:rsid w:val="00E1310D"/>
    <w:rsid w:val="00E13352"/>
    <w:rsid w:val="00E13359"/>
    <w:rsid w:val="00E138BF"/>
    <w:rsid w:val="00E138CE"/>
    <w:rsid w:val="00E13A98"/>
    <w:rsid w:val="00E13AB0"/>
    <w:rsid w:val="00E13FBF"/>
    <w:rsid w:val="00E14534"/>
    <w:rsid w:val="00E1473A"/>
    <w:rsid w:val="00E149C9"/>
    <w:rsid w:val="00E14AF6"/>
    <w:rsid w:val="00E14E94"/>
    <w:rsid w:val="00E14EFA"/>
    <w:rsid w:val="00E151B9"/>
    <w:rsid w:val="00E154DC"/>
    <w:rsid w:val="00E1560D"/>
    <w:rsid w:val="00E1566E"/>
    <w:rsid w:val="00E15783"/>
    <w:rsid w:val="00E158C4"/>
    <w:rsid w:val="00E15B09"/>
    <w:rsid w:val="00E15D10"/>
    <w:rsid w:val="00E161E6"/>
    <w:rsid w:val="00E162F9"/>
    <w:rsid w:val="00E167C9"/>
    <w:rsid w:val="00E1689B"/>
    <w:rsid w:val="00E1698C"/>
    <w:rsid w:val="00E16CF6"/>
    <w:rsid w:val="00E16EE6"/>
    <w:rsid w:val="00E16FEA"/>
    <w:rsid w:val="00E170C8"/>
    <w:rsid w:val="00E172BE"/>
    <w:rsid w:val="00E17869"/>
    <w:rsid w:val="00E17CF7"/>
    <w:rsid w:val="00E17E3F"/>
    <w:rsid w:val="00E200F1"/>
    <w:rsid w:val="00E20377"/>
    <w:rsid w:val="00E20441"/>
    <w:rsid w:val="00E205D6"/>
    <w:rsid w:val="00E20917"/>
    <w:rsid w:val="00E20944"/>
    <w:rsid w:val="00E20A7D"/>
    <w:rsid w:val="00E20B42"/>
    <w:rsid w:val="00E216EC"/>
    <w:rsid w:val="00E2189A"/>
    <w:rsid w:val="00E21A32"/>
    <w:rsid w:val="00E22A54"/>
    <w:rsid w:val="00E22B5A"/>
    <w:rsid w:val="00E22B68"/>
    <w:rsid w:val="00E22BE8"/>
    <w:rsid w:val="00E22C1D"/>
    <w:rsid w:val="00E22C99"/>
    <w:rsid w:val="00E22D10"/>
    <w:rsid w:val="00E231C9"/>
    <w:rsid w:val="00E23379"/>
    <w:rsid w:val="00E235D1"/>
    <w:rsid w:val="00E23738"/>
    <w:rsid w:val="00E23805"/>
    <w:rsid w:val="00E238A8"/>
    <w:rsid w:val="00E23B73"/>
    <w:rsid w:val="00E23EBF"/>
    <w:rsid w:val="00E23FD5"/>
    <w:rsid w:val="00E240BA"/>
    <w:rsid w:val="00E24669"/>
    <w:rsid w:val="00E246C7"/>
    <w:rsid w:val="00E2487F"/>
    <w:rsid w:val="00E248B2"/>
    <w:rsid w:val="00E24AE5"/>
    <w:rsid w:val="00E24C48"/>
    <w:rsid w:val="00E24D50"/>
    <w:rsid w:val="00E24DF8"/>
    <w:rsid w:val="00E24F0B"/>
    <w:rsid w:val="00E258FA"/>
    <w:rsid w:val="00E25981"/>
    <w:rsid w:val="00E25BC1"/>
    <w:rsid w:val="00E26141"/>
    <w:rsid w:val="00E26525"/>
    <w:rsid w:val="00E26563"/>
    <w:rsid w:val="00E266F5"/>
    <w:rsid w:val="00E26C4C"/>
    <w:rsid w:val="00E26F02"/>
    <w:rsid w:val="00E26F90"/>
    <w:rsid w:val="00E270D3"/>
    <w:rsid w:val="00E27FC7"/>
    <w:rsid w:val="00E30656"/>
    <w:rsid w:val="00E30700"/>
    <w:rsid w:val="00E30767"/>
    <w:rsid w:val="00E30A26"/>
    <w:rsid w:val="00E30BE0"/>
    <w:rsid w:val="00E30D84"/>
    <w:rsid w:val="00E30D87"/>
    <w:rsid w:val="00E30E57"/>
    <w:rsid w:val="00E311B1"/>
    <w:rsid w:val="00E31236"/>
    <w:rsid w:val="00E31360"/>
    <w:rsid w:val="00E3155A"/>
    <w:rsid w:val="00E316A2"/>
    <w:rsid w:val="00E31D28"/>
    <w:rsid w:val="00E32192"/>
    <w:rsid w:val="00E321C5"/>
    <w:rsid w:val="00E325FF"/>
    <w:rsid w:val="00E32C63"/>
    <w:rsid w:val="00E32CB8"/>
    <w:rsid w:val="00E32FC2"/>
    <w:rsid w:val="00E334C3"/>
    <w:rsid w:val="00E33668"/>
    <w:rsid w:val="00E33893"/>
    <w:rsid w:val="00E33B01"/>
    <w:rsid w:val="00E33BD5"/>
    <w:rsid w:val="00E33C15"/>
    <w:rsid w:val="00E3419B"/>
    <w:rsid w:val="00E3440F"/>
    <w:rsid w:val="00E344A3"/>
    <w:rsid w:val="00E34810"/>
    <w:rsid w:val="00E34B52"/>
    <w:rsid w:val="00E34BAA"/>
    <w:rsid w:val="00E34E98"/>
    <w:rsid w:val="00E34F3A"/>
    <w:rsid w:val="00E35030"/>
    <w:rsid w:val="00E3554B"/>
    <w:rsid w:val="00E35CE0"/>
    <w:rsid w:val="00E35F99"/>
    <w:rsid w:val="00E35F9A"/>
    <w:rsid w:val="00E36165"/>
    <w:rsid w:val="00E361A8"/>
    <w:rsid w:val="00E3637F"/>
    <w:rsid w:val="00E364B6"/>
    <w:rsid w:val="00E366E7"/>
    <w:rsid w:val="00E36723"/>
    <w:rsid w:val="00E36DF1"/>
    <w:rsid w:val="00E3713C"/>
    <w:rsid w:val="00E371AD"/>
    <w:rsid w:val="00E37626"/>
    <w:rsid w:val="00E37679"/>
    <w:rsid w:val="00E3767B"/>
    <w:rsid w:val="00E37979"/>
    <w:rsid w:val="00E37A3D"/>
    <w:rsid w:val="00E37E1C"/>
    <w:rsid w:val="00E40126"/>
    <w:rsid w:val="00E40C2E"/>
    <w:rsid w:val="00E40CBF"/>
    <w:rsid w:val="00E40E7D"/>
    <w:rsid w:val="00E40EE4"/>
    <w:rsid w:val="00E413C6"/>
    <w:rsid w:val="00E41C4E"/>
    <w:rsid w:val="00E41CE4"/>
    <w:rsid w:val="00E41EB7"/>
    <w:rsid w:val="00E42010"/>
    <w:rsid w:val="00E420D5"/>
    <w:rsid w:val="00E42517"/>
    <w:rsid w:val="00E42D55"/>
    <w:rsid w:val="00E42D6C"/>
    <w:rsid w:val="00E42FFE"/>
    <w:rsid w:val="00E4316E"/>
    <w:rsid w:val="00E43236"/>
    <w:rsid w:val="00E435AB"/>
    <w:rsid w:val="00E43778"/>
    <w:rsid w:val="00E439D2"/>
    <w:rsid w:val="00E43DC4"/>
    <w:rsid w:val="00E44275"/>
    <w:rsid w:val="00E44777"/>
    <w:rsid w:val="00E447B6"/>
    <w:rsid w:val="00E44C4D"/>
    <w:rsid w:val="00E44D24"/>
    <w:rsid w:val="00E45314"/>
    <w:rsid w:val="00E4535F"/>
    <w:rsid w:val="00E454EF"/>
    <w:rsid w:val="00E4570F"/>
    <w:rsid w:val="00E46030"/>
    <w:rsid w:val="00E46044"/>
    <w:rsid w:val="00E46144"/>
    <w:rsid w:val="00E466BC"/>
    <w:rsid w:val="00E4686A"/>
    <w:rsid w:val="00E46FD4"/>
    <w:rsid w:val="00E47538"/>
    <w:rsid w:val="00E479FD"/>
    <w:rsid w:val="00E50115"/>
    <w:rsid w:val="00E5029A"/>
    <w:rsid w:val="00E50342"/>
    <w:rsid w:val="00E50483"/>
    <w:rsid w:val="00E504D6"/>
    <w:rsid w:val="00E50687"/>
    <w:rsid w:val="00E50B6F"/>
    <w:rsid w:val="00E50DF1"/>
    <w:rsid w:val="00E50EBE"/>
    <w:rsid w:val="00E50F69"/>
    <w:rsid w:val="00E50FC6"/>
    <w:rsid w:val="00E511BA"/>
    <w:rsid w:val="00E5145E"/>
    <w:rsid w:val="00E517CD"/>
    <w:rsid w:val="00E51940"/>
    <w:rsid w:val="00E52185"/>
    <w:rsid w:val="00E52334"/>
    <w:rsid w:val="00E52372"/>
    <w:rsid w:val="00E52466"/>
    <w:rsid w:val="00E5259F"/>
    <w:rsid w:val="00E52691"/>
    <w:rsid w:val="00E52786"/>
    <w:rsid w:val="00E52AFC"/>
    <w:rsid w:val="00E52B6D"/>
    <w:rsid w:val="00E52C21"/>
    <w:rsid w:val="00E52D43"/>
    <w:rsid w:val="00E52E9A"/>
    <w:rsid w:val="00E52F05"/>
    <w:rsid w:val="00E535A0"/>
    <w:rsid w:val="00E5377E"/>
    <w:rsid w:val="00E53785"/>
    <w:rsid w:val="00E537EA"/>
    <w:rsid w:val="00E53DB1"/>
    <w:rsid w:val="00E540CA"/>
    <w:rsid w:val="00E54430"/>
    <w:rsid w:val="00E54B37"/>
    <w:rsid w:val="00E54DE9"/>
    <w:rsid w:val="00E551A2"/>
    <w:rsid w:val="00E552D5"/>
    <w:rsid w:val="00E55ADC"/>
    <w:rsid w:val="00E55B28"/>
    <w:rsid w:val="00E55C1F"/>
    <w:rsid w:val="00E55C3B"/>
    <w:rsid w:val="00E55E7E"/>
    <w:rsid w:val="00E55F00"/>
    <w:rsid w:val="00E56134"/>
    <w:rsid w:val="00E5627B"/>
    <w:rsid w:val="00E564EF"/>
    <w:rsid w:val="00E56588"/>
    <w:rsid w:val="00E565FE"/>
    <w:rsid w:val="00E56B8B"/>
    <w:rsid w:val="00E56D4A"/>
    <w:rsid w:val="00E57119"/>
    <w:rsid w:val="00E5719E"/>
    <w:rsid w:val="00E57563"/>
    <w:rsid w:val="00E57733"/>
    <w:rsid w:val="00E57D7B"/>
    <w:rsid w:val="00E57E49"/>
    <w:rsid w:val="00E57F4B"/>
    <w:rsid w:val="00E602E5"/>
    <w:rsid w:val="00E602F8"/>
    <w:rsid w:val="00E605CE"/>
    <w:rsid w:val="00E6085B"/>
    <w:rsid w:val="00E60AB2"/>
    <w:rsid w:val="00E60BD5"/>
    <w:rsid w:val="00E60FBA"/>
    <w:rsid w:val="00E60FBF"/>
    <w:rsid w:val="00E615CB"/>
    <w:rsid w:val="00E616AD"/>
    <w:rsid w:val="00E616F9"/>
    <w:rsid w:val="00E61852"/>
    <w:rsid w:val="00E61A0C"/>
    <w:rsid w:val="00E61D22"/>
    <w:rsid w:val="00E61D96"/>
    <w:rsid w:val="00E61E4B"/>
    <w:rsid w:val="00E61F14"/>
    <w:rsid w:val="00E6231E"/>
    <w:rsid w:val="00E6279B"/>
    <w:rsid w:val="00E62849"/>
    <w:rsid w:val="00E6342F"/>
    <w:rsid w:val="00E636E2"/>
    <w:rsid w:val="00E63D55"/>
    <w:rsid w:val="00E63DA2"/>
    <w:rsid w:val="00E63F9B"/>
    <w:rsid w:val="00E642AF"/>
    <w:rsid w:val="00E644C6"/>
    <w:rsid w:val="00E64555"/>
    <w:rsid w:val="00E64595"/>
    <w:rsid w:val="00E646BB"/>
    <w:rsid w:val="00E64BCF"/>
    <w:rsid w:val="00E64D24"/>
    <w:rsid w:val="00E64D53"/>
    <w:rsid w:val="00E64E69"/>
    <w:rsid w:val="00E64EEB"/>
    <w:rsid w:val="00E651B5"/>
    <w:rsid w:val="00E65351"/>
    <w:rsid w:val="00E653E4"/>
    <w:rsid w:val="00E6549C"/>
    <w:rsid w:val="00E654B9"/>
    <w:rsid w:val="00E65528"/>
    <w:rsid w:val="00E6589D"/>
    <w:rsid w:val="00E65E8C"/>
    <w:rsid w:val="00E65FF2"/>
    <w:rsid w:val="00E665E7"/>
    <w:rsid w:val="00E66784"/>
    <w:rsid w:val="00E667D6"/>
    <w:rsid w:val="00E66C96"/>
    <w:rsid w:val="00E66EBE"/>
    <w:rsid w:val="00E66F7C"/>
    <w:rsid w:val="00E67036"/>
    <w:rsid w:val="00E6703E"/>
    <w:rsid w:val="00E670CC"/>
    <w:rsid w:val="00E673C0"/>
    <w:rsid w:val="00E67499"/>
    <w:rsid w:val="00E6778E"/>
    <w:rsid w:val="00E678DA"/>
    <w:rsid w:val="00E67C3A"/>
    <w:rsid w:val="00E67ED9"/>
    <w:rsid w:val="00E67EE7"/>
    <w:rsid w:val="00E70130"/>
    <w:rsid w:val="00E704DB"/>
    <w:rsid w:val="00E7063F"/>
    <w:rsid w:val="00E707FD"/>
    <w:rsid w:val="00E70DE9"/>
    <w:rsid w:val="00E715FC"/>
    <w:rsid w:val="00E71796"/>
    <w:rsid w:val="00E717BB"/>
    <w:rsid w:val="00E71A45"/>
    <w:rsid w:val="00E71B2D"/>
    <w:rsid w:val="00E71C21"/>
    <w:rsid w:val="00E7210C"/>
    <w:rsid w:val="00E72D84"/>
    <w:rsid w:val="00E730FC"/>
    <w:rsid w:val="00E7310A"/>
    <w:rsid w:val="00E7318D"/>
    <w:rsid w:val="00E731E0"/>
    <w:rsid w:val="00E734F6"/>
    <w:rsid w:val="00E736FB"/>
    <w:rsid w:val="00E7385A"/>
    <w:rsid w:val="00E73CE6"/>
    <w:rsid w:val="00E743F0"/>
    <w:rsid w:val="00E74423"/>
    <w:rsid w:val="00E745D9"/>
    <w:rsid w:val="00E7467B"/>
    <w:rsid w:val="00E74780"/>
    <w:rsid w:val="00E74783"/>
    <w:rsid w:val="00E7487D"/>
    <w:rsid w:val="00E74893"/>
    <w:rsid w:val="00E74919"/>
    <w:rsid w:val="00E74956"/>
    <w:rsid w:val="00E751D5"/>
    <w:rsid w:val="00E752E0"/>
    <w:rsid w:val="00E752F7"/>
    <w:rsid w:val="00E75830"/>
    <w:rsid w:val="00E75848"/>
    <w:rsid w:val="00E759D4"/>
    <w:rsid w:val="00E75D99"/>
    <w:rsid w:val="00E76A3C"/>
    <w:rsid w:val="00E76C8C"/>
    <w:rsid w:val="00E76F9B"/>
    <w:rsid w:val="00E771FC"/>
    <w:rsid w:val="00E772BC"/>
    <w:rsid w:val="00E773E5"/>
    <w:rsid w:val="00E77511"/>
    <w:rsid w:val="00E777B0"/>
    <w:rsid w:val="00E7799A"/>
    <w:rsid w:val="00E77A54"/>
    <w:rsid w:val="00E77BDD"/>
    <w:rsid w:val="00E77BEC"/>
    <w:rsid w:val="00E806D3"/>
    <w:rsid w:val="00E81BC7"/>
    <w:rsid w:val="00E81C34"/>
    <w:rsid w:val="00E81D83"/>
    <w:rsid w:val="00E821BB"/>
    <w:rsid w:val="00E822E9"/>
    <w:rsid w:val="00E82419"/>
    <w:rsid w:val="00E826FE"/>
    <w:rsid w:val="00E8275E"/>
    <w:rsid w:val="00E827AF"/>
    <w:rsid w:val="00E828E3"/>
    <w:rsid w:val="00E82DE9"/>
    <w:rsid w:val="00E83253"/>
    <w:rsid w:val="00E836BE"/>
    <w:rsid w:val="00E83B69"/>
    <w:rsid w:val="00E842C5"/>
    <w:rsid w:val="00E844AB"/>
    <w:rsid w:val="00E84BDF"/>
    <w:rsid w:val="00E84C97"/>
    <w:rsid w:val="00E85005"/>
    <w:rsid w:val="00E85296"/>
    <w:rsid w:val="00E8530D"/>
    <w:rsid w:val="00E8533B"/>
    <w:rsid w:val="00E853EB"/>
    <w:rsid w:val="00E85505"/>
    <w:rsid w:val="00E8575B"/>
    <w:rsid w:val="00E85931"/>
    <w:rsid w:val="00E8594C"/>
    <w:rsid w:val="00E85E4E"/>
    <w:rsid w:val="00E8618B"/>
    <w:rsid w:val="00E862BB"/>
    <w:rsid w:val="00E86327"/>
    <w:rsid w:val="00E86DF0"/>
    <w:rsid w:val="00E86E18"/>
    <w:rsid w:val="00E8709E"/>
    <w:rsid w:val="00E871E7"/>
    <w:rsid w:val="00E873C1"/>
    <w:rsid w:val="00E8748C"/>
    <w:rsid w:val="00E877EA"/>
    <w:rsid w:val="00E8785D"/>
    <w:rsid w:val="00E87B3D"/>
    <w:rsid w:val="00E87BD2"/>
    <w:rsid w:val="00E87CDC"/>
    <w:rsid w:val="00E906E0"/>
    <w:rsid w:val="00E90910"/>
    <w:rsid w:val="00E90A7D"/>
    <w:rsid w:val="00E90B33"/>
    <w:rsid w:val="00E90F53"/>
    <w:rsid w:val="00E91103"/>
    <w:rsid w:val="00E911E0"/>
    <w:rsid w:val="00E91E81"/>
    <w:rsid w:val="00E92001"/>
    <w:rsid w:val="00E921B8"/>
    <w:rsid w:val="00E93407"/>
    <w:rsid w:val="00E93543"/>
    <w:rsid w:val="00E937E7"/>
    <w:rsid w:val="00E940A8"/>
    <w:rsid w:val="00E9446C"/>
    <w:rsid w:val="00E94759"/>
    <w:rsid w:val="00E947E8"/>
    <w:rsid w:val="00E94B0F"/>
    <w:rsid w:val="00E9503F"/>
    <w:rsid w:val="00E95384"/>
    <w:rsid w:val="00E956AD"/>
    <w:rsid w:val="00E9592A"/>
    <w:rsid w:val="00E96502"/>
    <w:rsid w:val="00E966CB"/>
    <w:rsid w:val="00E96726"/>
    <w:rsid w:val="00E96760"/>
    <w:rsid w:val="00E96818"/>
    <w:rsid w:val="00E96CC4"/>
    <w:rsid w:val="00E96E68"/>
    <w:rsid w:val="00E973BA"/>
    <w:rsid w:val="00E973C0"/>
    <w:rsid w:val="00E97EA1"/>
    <w:rsid w:val="00E97EEC"/>
    <w:rsid w:val="00EA0032"/>
    <w:rsid w:val="00EA00EF"/>
    <w:rsid w:val="00EA0BBE"/>
    <w:rsid w:val="00EA173B"/>
    <w:rsid w:val="00EA1934"/>
    <w:rsid w:val="00EA1FBC"/>
    <w:rsid w:val="00EA20A1"/>
    <w:rsid w:val="00EA212B"/>
    <w:rsid w:val="00EA24FB"/>
    <w:rsid w:val="00EA2D44"/>
    <w:rsid w:val="00EA306E"/>
    <w:rsid w:val="00EA3182"/>
    <w:rsid w:val="00EA32F4"/>
    <w:rsid w:val="00EA33FA"/>
    <w:rsid w:val="00EA36D3"/>
    <w:rsid w:val="00EA3A1D"/>
    <w:rsid w:val="00EA3B78"/>
    <w:rsid w:val="00EA3BFC"/>
    <w:rsid w:val="00EA3CD7"/>
    <w:rsid w:val="00EA3E2D"/>
    <w:rsid w:val="00EA3F5F"/>
    <w:rsid w:val="00EA429D"/>
    <w:rsid w:val="00EA43AF"/>
    <w:rsid w:val="00EA452C"/>
    <w:rsid w:val="00EA4676"/>
    <w:rsid w:val="00EA4A0B"/>
    <w:rsid w:val="00EA4C7C"/>
    <w:rsid w:val="00EA4D4C"/>
    <w:rsid w:val="00EA542C"/>
    <w:rsid w:val="00EA554F"/>
    <w:rsid w:val="00EA5B44"/>
    <w:rsid w:val="00EA6250"/>
    <w:rsid w:val="00EA6539"/>
    <w:rsid w:val="00EA66A4"/>
    <w:rsid w:val="00EA6819"/>
    <w:rsid w:val="00EA69E1"/>
    <w:rsid w:val="00EA69E4"/>
    <w:rsid w:val="00EA6A1E"/>
    <w:rsid w:val="00EA75BD"/>
    <w:rsid w:val="00EA760C"/>
    <w:rsid w:val="00EA7726"/>
    <w:rsid w:val="00EA79E3"/>
    <w:rsid w:val="00EA7A8B"/>
    <w:rsid w:val="00EA7C47"/>
    <w:rsid w:val="00EB0327"/>
    <w:rsid w:val="00EB04A1"/>
    <w:rsid w:val="00EB0738"/>
    <w:rsid w:val="00EB0C01"/>
    <w:rsid w:val="00EB0C9A"/>
    <w:rsid w:val="00EB0F0F"/>
    <w:rsid w:val="00EB1053"/>
    <w:rsid w:val="00EB12A5"/>
    <w:rsid w:val="00EB12E1"/>
    <w:rsid w:val="00EB136A"/>
    <w:rsid w:val="00EB139D"/>
    <w:rsid w:val="00EB1451"/>
    <w:rsid w:val="00EB1785"/>
    <w:rsid w:val="00EB1A69"/>
    <w:rsid w:val="00EB1BDE"/>
    <w:rsid w:val="00EB1FA1"/>
    <w:rsid w:val="00EB2097"/>
    <w:rsid w:val="00EB2200"/>
    <w:rsid w:val="00EB22DA"/>
    <w:rsid w:val="00EB24D8"/>
    <w:rsid w:val="00EB256A"/>
    <w:rsid w:val="00EB277B"/>
    <w:rsid w:val="00EB2F20"/>
    <w:rsid w:val="00EB2F35"/>
    <w:rsid w:val="00EB300E"/>
    <w:rsid w:val="00EB31DB"/>
    <w:rsid w:val="00EB3422"/>
    <w:rsid w:val="00EB3A31"/>
    <w:rsid w:val="00EB3A76"/>
    <w:rsid w:val="00EB4103"/>
    <w:rsid w:val="00EB42DA"/>
    <w:rsid w:val="00EB42F1"/>
    <w:rsid w:val="00EB444D"/>
    <w:rsid w:val="00EB4C34"/>
    <w:rsid w:val="00EB4EAF"/>
    <w:rsid w:val="00EB548E"/>
    <w:rsid w:val="00EB5500"/>
    <w:rsid w:val="00EB571D"/>
    <w:rsid w:val="00EB5982"/>
    <w:rsid w:val="00EB5A96"/>
    <w:rsid w:val="00EB5C41"/>
    <w:rsid w:val="00EB5F5A"/>
    <w:rsid w:val="00EB62C4"/>
    <w:rsid w:val="00EB657E"/>
    <w:rsid w:val="00EB6846"/>
    <w:rsid w:val="00EB694A"/>
    <w:rsid w:val="00EB695E"/>
    <w:rsid w:val="00EB69D1"/>
    <w:rsid w:val="00EB6F1C"/>
    <w:rsid w:val="00EB6FE9"/>
    <w:rsid w:val="00EB725D"/>
    <w:rsid w:val="00EB72FF"/>
    <w:rsid w:val="00EB74E6"/>
    <w:rsid w:val="00EB756F"/>
    <w:rsid w:val="00EB7684"/>
    <w:rsid w:val="00EB790D"/>
    <w:rsid w:val="00EB798F"/>
    <w:rsid w:val="00EB79C8"/>
    <w:rsid w:val="00EB7B66"/>
    <w:rsid w:val="00EB7D5F"/>
    <w:rsid w:val="00EB7E78"/>
    <w:rsid w:val="00EC0051"/>
    <w:rsid w:val="00EC0301"/>
    <w:rsid w:val="00EC0379"/>
    <w:rsid w:val="00EC0648"/>
    <w:rsid w:val="00EC09C6"/>
    <w:rsid w:val="00EC0D24"/>
    <w:rsid w:val="00EC0EA5"/>
    <w:rsid w:val="00EC1056"/>
    <w:rsid w:val="00EC1401"/>
    <w:rsid w:val="00EC1470"/>
    <w:rsid w:val="00EC1F95"/>
    <w:rsid w:val="00EC2216"/>
    <w:rsid w:val="00EC222E"/>
    <w:rsid w:val="00EC25CD"/>
    <w:rsid w:val="00EC2716"/>
    <w:rsid w:val="00EC2B3D"/>
    <w:rsid w:val="00EC2B58"/>
    <w:rsid w:val="00EC2C27"/>
    <w:rsid w:val="00EC2DBB"/>
    <w:rsid w:val="00EC3107"/>
    <w:rsid w:val="00EC358E"/>
    <w:rsid w:val="00EC36EE"/>
    <w:rsid w:val="00EC38A4"/>
    <w:rsid w:val="00EC3914"/>
    <w:rsid w:val="00EC3B60"/>
    <w:rsid w:val="00EC3F3F"/>
    <w:rsid w:val="00EC3FD2"/>
    <w:rsid w:val="00EC4095"/>
    <w:rsid w:val="00EC43B5"/>
    <w:rsid w:val="00EC4537"/>
    <w:rsid w:val="00EC4763"/>
    <w:rsid w:val="00EC4960"/>
    <w:rsid w:val="00EC4AE3"/>
    <w:rsid w:val="00EC522B"/>
    <w:rsid w:val="00EC54EE"/>
    <w:rsid w:val="00EC59B2"/>
    <w:rsid w:val="00EC5A3B"/>
    <w:rsid w:val="00EC5C09"/>
    <w:rsid w:val="00EC5DCD"/>
    <w:rsid w:val="00EC5E4A"/>
    <w:rsid w:val="00EC62E2"/>
    <w:rsid w:val="00EC682E"/>
    <w:rsid w:val="00EC686F"/>
    <w:rsid w:val="00EC6BA8"/>
    <w:rsid w:val="00EC6BCB"/>
    <w:rsid w:val="00EC70EC"/>
    <w:rsid w:val="00EC7214"/>
    <w:rsid w:val="00EC774E"/>
    <w:rsid w:val="00EC786C"/>
    <w:rsid w:val="00EC7ADD"/>
    <w:rsid w:val="00EC7BAE"/>
    <w:rsid w:val="00ED04FE"/>
    <w:rsid w:val="00ED0DD0"/>
    <w:rsid w:val="00ED1523"/>
    <w:rsid w:val="00ED1919"/>
    <w:rsid w:val="00ED1989"/>
    <w:rsid w:val="00ED1AC6"/>
    <w:rsid w:val="00ED1D4F"/>
    <w:rsid w:val="00ED28F2"/>
    <w:rsid w:val="00ED3145"/>
    <w:rsid w:val="00ED316B"/>
    <w:rsid w:val="00ED3309"/>
    <w:rsid w:val="00ED3384"/>
    <w:rsid w:val="00ED356E"/>
    <w:rsid w:val="00ED3B0D"/>
    <w:rsid w:val="00ED3BDA"/>
    <w:rsid w:val="00ED3DA4"/>
    <w:rsid w:val="00ED3EC2"/>
    <w:rsid w:val="00ED3ED6"/>
    <w:rsid w:val="00ED4064"/>
    <w:rsid w:val="00ED485E"/>
    <w:rsid w:val="00ED48BC"/>
    <w:rsid w:val="00ED4B67"/>
    <w:rsid w:val="00ED4B69"/>
    <w:rsid w:val="00ED507B"/>
    <w:rsid w:val="00ED5632"/>
    <w:rsid w:val="00ED5812"/>
    <w:rsid w:val="00ED5A3B"/>
    <w:rsid w:val="00ED5A49"/>
    <w:rsid w:val="00ED5C30"/>
    <w:rsid w:val="00ED5E02"/>
    <w:rsid w:val="00ED5EED"/>
    <w:rsid w:val="00ED6B1C"/>
    <w:rsid w:val="00ED6C5C"/>
    <w:rsid w:val="00ED6CF7"/>
    <w:rsid w:val="00ED6F33"/>
    <w:rsid w:val="00ED741E"/>
    <w:rsid w:val="00ED75E9"/>
    <w:rsid w:val="00ED7716"/>
    <w:rsid w:val="00ED7737"/>
    <w:rsid w:val="00ED7747"/>
    <w:rsid w:val="00ED7BB8"/>
    <w:rsid w:val="00ED7CF4"/>
    <w:rsid w:val="00ED7E74"/>
    <w:rsid w:val="00EE0495"/>
    <w:rsid w:val="00EE0503"/>
    <w:rsid w:val="00EE067A"/>
    <w:rsid w:val="00EE08E9"/>
    <w:rsid w:val="00EE09AA"/>
    <w:rsid w:val="00EE0E1D"/>
    <w:rsid w:val="00EE0EA8"/>
    <w:rsid w:val="00EE1615"/>
    <w:rsid w:val="00EE18D7"/>
    <w:rsid w:val="00EE1B0E"/>
    <w:rsid w:val="00EE21BE"/>
    <w:rsid w:val="00EE22EF"/>
    <w:rsid w:val="00EE22FB"/>
    <w:rsid w:val="00EE2336"/>
    <w:rsid w:val="00EE2407"/>
    <w:rsid w:val="00EE2629"/>
    <w:rsid w:val="00EE26AE"/>
    <w:rsid w:val="00EE29C8"/>
    <w:rsid w:val="00EE2A41"/>
    <w:rsid w:val="00EE2A54"/>
    <w:rsid w:val="00EE2FC2"/>
    <w:rsid w:val="00EE3266"/>
    <w:rsid w:val="00EE3384"/>
    <w:rsid w:val="00EE37D0"/>
    <w:rsid w:val="00EE3B88"/>
    <w:rsid w:val="00EE3BEE"/>
    <w:rsid w:val="00EE4750"/>
    <w:rsid w:val="00EE4B75"/>
    <w:rsid w:val="00EE4BF3"/>
    <w:rsid w:val="00EE4DBD"/>
    <w:rsid w:val="00EE50BB"/>
    <w:rsid w:val="00EE57D6"/>
    <w:rsid w:val="00EE6025"/>
    <w:rsid w:val="00EE60BC"/>
    <w:rsid w:val="00EE659B"/>
    <w:rsid w:val="00EE691B"/>
    <w:rsid w:val="00EE6AC6"/>
    <w:rsid w:val="00EE6E26"/>
    <w:rsid w:val="00EE6F15"/>
    <w:rsid w:val="00EE772C"/>
    <w:rsid w:val="00EE784F"/>
    <w:rsid w:val="00EE7A1D"/>
    <w:rsid w:val="00EE7BF7"/>
    <w:rsid w:val="00EE7DF4"/>
    <w:rsid w:val="00EF009C"/>
    <w:rsid w:val="00EF0255"/>
    <w:rsid w:val="00EF0360"/>
    <w:rsid w:val="00EF0500"/>
    <w:rsid w:val="00EF06AA"/>
    <w:rsid w:val="00EF0B66"/>
    <w:rsid w:val="00EF0C9A"/>
    <w:rsid w:val="00EF0DDC"/>
    <w:rsid w:val="00EF0E9E"/>
    <w:rsid w:val="00EF1002"/>
    <w:rsid w:val="00EF143F"/>
    <w:rsid w:val="00EF147B"/>
    <w:rsid w:val="00EF18AC"/>
    <w:rsid w:val="00EF1DD7"/>
    <w:rsid w:val="00EF23D8"/>
    <w:rsid w:val="00EF25B0"/>
    <w:rsid w:val="00EF2A5A"/>
    <w:rsid w:val="00EF2A87"/>
    <w:rsid w:val="00EF2CB7"/>
    <w:rsid w:val="00EF2DB5"/>
    <w:rsid w:val="00EF2F87"/>
    <w:rsid w:val="00EF3735"/>
    <w:rsid w:val="00EF3746"/>
    <w:rsid w:val="00EF3A74"/>
    <w:rsid w:val="00EF3AE9"/>
    <w:rsid w:val="00EF3EA5"/>
    <w:rsid w:val="00EF40DC"/>
    <w:rsid w:val="00EF46AF"/>
    <w:rsid w:val="00EF480A"/>
    <w:rsid w:val="00EF49FB"/>
    <w:rsid w:val="00EF4D23"/>
    <w:rsid w:val="00EF4E31"/>
    <w:rsid w:val="00EF50D7"/>
    <w:rsid w:val="00EF50DE"/>
    <w:rsid w:val="00EF55D6"/>
    <w:rsid w:val="00EF585B"/>
    <w:rsid w:val="00EF58F2"/>
    <w:rsid w:val="00EF59F0"/>
    <w:rsid w:val="00EF5A85"/>
    <w:rsid w:val="00EF5BF1"/>
    <w:rsid w:val="00EF5F60"/>
    <w:rsid w:val="00EF5F8E"/>
    <w:rsid w:val="00EF6419"/>
    <w:rsid w:val="00EF644D"/>
    <w:rsid w:val="00EF69B5"/>
    <w:rsid w:val="00EF69C0"/>
    <w:rsid w:val="00EF6D29"/>
    <w:rsid w:val="00EF6FBD"/>
    <w:rsid w:val="00EF7138"/>
    <w:rsid w:val="00EF7149"/>
    <w:rsid w:val="00EF7357"/>
    <w:rsid w:val="00EF7DB5"/>
    <w:rsid w:val="00F0015A"/>
    <w:rsid w:val="00F0063F"/>
    <w:rsid w:val="00F00817"/>
    <w:rsid w:val="00F00881"/>
    <w:rsid w:val="00F008C0"/>
    <w:rsid w:val="00F00917"/>
    <w:rsid w:val="00F00A19"/>
    <w:rsid w:val="00F01032"/>
    <w:rsid w:val="00F010BB"/>
    <w:rsid w:val="00F012C1"/>
    <w:rsid w:val="00F012C3"/>
    <w:rsid w:val="00F0175F"/>
    <w:rsid w:val="00F017D1"/>
    <w:rsid w:val="00F01C5B"/>
    <w:rsid w:val="00F01CEB"/>
    <w:rsid w:val="00F01E44"/>
    <w:rsid w:val="00F02274"/>
    <w:rsid w:val="00F028DA"/>
    <w:rsid w:val="00F029BD"/>
    <w:rsid w:val="00F02D97"/>
    <w:rsid w:val="00F03280"/>
    <w:rsid w:val="00F03466"/>
    <w:rsid w:val="00F0362A"/>
    <w:rsid w:val="00F036B5"/>
    <w:rsid w:val="00F0385C"/>
    <w:rsid w:val="00F03A25"/>
    <w:rsid w:val="00F03ABE"/>
    <w:rsid w:val="00F04345"/>
    <w:rsid w:val="00F047A4"/>
    <w:rsid w:val="00F04ABD"/>
    <w:rsid w:val="00F04C05"/>
    <w:rsid w:val="00F04F52"/>
    <w:rsid w:val="00F04FF7"/>
    <w:rsid w:val="00F0510F"/>
    <w:rsid w:val="00F05568"/>
    <w:rsid w:val="00F05574"/>
    <w:rsid w:val="00F055AD"/>
    <w:rsid w:val="00F0563F"/>
    <w:rsid w:val="00F058C2"/>
    <w:rsid w:val="00F05CE0"/>
    <w:rsid w:val="00F05F58"/>
    <w:rsid w:val="00F061B3"/>
    <w:rsid w:val="00F061CF"/>
    <w:rsid w:val="00F06239"/>
    <w:rsid w:val="00F064EF"/>
    <w:rsid w:val="00F06521"/>
    <w:rsid w:val="00F06558"/>
    <w:rsid w:val="00F06587"/>
    <w:rsid w:val="00F069E1"/>
    <w:rsid w:val="00F06D2F"/>
    <w:rsid w:val="00F06E0B"/>
    <w:rsid w:val="00F06F42"/>
    <w:rsid w:val="00F07122"/>
    <w:rsid w:val="00F074C9"/>
    <w:rsid w:val="00F07C82"/>
    <w:rsid w:val="00F07F5E"/>
    <w:rsid w:val="00F1001E"/>
    <w:rsid w:val="00F100D4"/>
    <w:rsid w:val="00F106BB"/>
    <w:rsid w:val="00F11027"/>
    <w:rsid w:val="00F1106C"/>
    <w:rsid w:val="00F111BA"/>
    <w:rsid w:val="00F116DD"/>
    <w:rsid w:val="00F11912"/>
    <w:rsid w:val="00F11D45"/>
    <w:rsid w:val="00F11D9F"/>
    <w:rsid w:val="00F11E31"/>
    <w:rsid w:val="00F12488"/>
    <w:rsid w:val="00F128FC"/>
    <w:rsid w:val="00F13137"/>
    <w:rsid w:val="00F13617"/>
    <w:rsid w:val="00F136F1"/>
    <w:rsid w:val="00F13AA1"/>
    <w:rsid w:val="00F13F2A"/>
    <w:rsid w:val="00F140EC"/>
    <w:rsid w:val="00F1448F"/>
    <w:rsid w:val="00F147A1"/>
    <w:rsid w:val="00F14B9D"/>
    <w:rsid w:val="00F15097"/>
    <w:rsid w:val="00F150DF"/>
    <w:rsid w:val="00F155C9"/>
    <w:rsid w:val="00F15671"/>
    <w:rsid w:val="00F15BA6"/>
    <w:rsid w:val="00F15DC7"/>
    <w:rsid w:val="00F16564"/>
    <w:rsid w:val="00F16695"/>
    <w:rsid w:val="00F16B89"/>
    <w:rsid w:val="00F17009"/>
    <w:rsid w:val="00F17081"/>
    <w:rsid w:val="00F17829"/>
    <w:rsid w:val="00F17BEF"/>
    <w:rsid w:val="00F202E3"/>
    <w:rsid w:val="00F205EB"/>
    <w:rsid w:val="00F20BCC"/>
    <w:rsid w:val="00F20C1E"/>
    <w:rsid w:val="00F20C6E"/>
    <w:rsid w:val="00F20D6C"/>
    <w:rsid w:val="00F21713"/>
    <w:rsid w:val="00F2242D"/>
    <w:rsid w:val="00F2255F"/>
    <w:rsid w:val="00F225CF"/>
    <w:rsid w:val="00F22778"/>
    <w:rsid w:val="00F22882"/>
    <w:rsid w:val="00F22985"/>
    <w:rsid w:val="00F22AC7"/>
    <w:rsid w:val="00F22AD0"/>
    <w:rsid w:val="00F22AEF"/>
    <w:rsid w:val="00F22F7A"/>
    <w:rsid w:val="00F231B5"/>
    <w:rsid w:val="00F2322E"/>
    <w:rsid w:val="00F2343C"/>
    <w:rsid w:val="00F23443"/>
    <w:rsid w:val="00F238CF"/>
    <w:rsid w:val="00F23937"/>
    <w:rsid w:val="00F239F7"/>
    <w:rsid w:val="00F23CFC"/>
    <w:rsid w:val="00F23D02"/>
    <w:rsid w:val="00F23DD1"/>
    <w:rsid w:val="00F24012"/>
    <w:rsid w:val="00F24076"/>
    <w:rsid w:val="00F240CB"/>
    <w:rsid w:val="00F2490E"/>
    <w:rsid w:val="00F2492F"/>
    <w:rsid w:val="00F24989"/>
    <w:rsid w:val="00F249B0"/>
    <w:rsid w:val="00F24A21"/>
    <w:rsid w:val="00F24E2B"/>
    <w:rsid w:val="00F24E2C"/>
    <w:rsid w:val="00F2500D"/>
    <w:rsid w:val="00F2544F"/>
    <w:rsid w:val="00F2565D"/>
    <w:rsid w:val="00F256DA"/>
    <w:rsid w:val="00F25742"/>
    <w:rsid w:val="00F257DA"/>
    <w:rsid w:val="00F2596D"/>
    <w:rsid w:val="00F25CAA"/>
    <w:rsid w:val="00F25DCD"/>
    <w:rsid w:val="00F25EE1"/>
    <w:rsid w:val="00F2601F"/>
    <w:rsid w:val="00F261C9"/>
    <w:rsid w:val="00F26510"/>
    <w:rsid w:val="00F2697A"/>
    <w:rsid w:val="00F26AD6"/>
    <w:rsid w:val="00F27039"/>
    <w:rsid w:val="00F27084"/>
    <w:rsid w:val="00F2711C"/>
    <w:rsid w:val="00F276BF"/>
    <w:rsid w:val="00F277E1"/>
    <w:rsid w:val="00F277E8"/>
    <w:rsid w:val="00F27B04"/>
    <w:rsid w:val="00F27E3D"/>
    <w:rsid w:val="00F30016"/>
    <w:rsid w:val="00F301D0"/>
    <w:rsid w:val="00F3063A"/>
    <w:rsid w:val="00F3069F"/>
    <w:rsid w:val="00F309DC"/>
    <w:rsid w:val="00F30B8C"/>
    <w:rsid w:val="00F30BA9"/>
    <w:rsid w:val="00F30C3F"/>
    <w:rsid w:val="00F30C60"/>
    <w:rsid w:val="00F30EFB"/>
    <w:rsid w:val="00F30F38"/>
    <w:rsid w:val="00F311D1"/>
    <w:rsid w:val="00F313DA"/>
    <w:rsid w:val="00F3158A"/>
    <w:rsid w:val="00F3161C"/>
    <w:rsid w:val="00F318DB"/>
    <w:rsid w:val="00F31992"/>
    <w:rsid w:val="00F3199C"/>
    <w:rsid w:val="00F31B67"/>
    <w:rsid w:val="00F31F7D"/>
    <w:rsid w:val="00F325EA"/>
    <w:rsid w:val="00F3263B"/>
    <w:rsid w:val="00F3272D"/>
    <w:rsid w:val="00F32AFF"/>
    <w:rsid w:val="00F32F2E"/>
    <w:rsid w:val="00F334A0"/>
    <w:rsid w:val="00F33825"/>
    <w:rsid w:val="00F33A8B"/>
    <w:rsid w:val="00F33C90"/>
    <w:rsid w:val="00F33D3B"/>
    <w:rsid w:val="00F341D4"/>
    <w:rsid w:val="00F341E0"/>
    <w:rsid w:val="00F342EC"/>
    <w:rsid w:val="00F34411"/>
    <w:rsid w:val="00F344B1"/>
    <w:rsid w:val="00F344EC"/>
    <w:rsid w:val="00F34A96"/>
    <w:rsid w:val="00F34BA1"/>
    <w:rsid w:val="00F34BCA"/>
    <w:rsid w:val="00F34CA9"/>
    <w:rsid w:val="00F34EBF"/>
    <w:rsid w:val="00F34F05"/>
    <w:rsid w:val="00F34F85"/>
    <w:rsid w:val="00F353B0"/>
    <w:rsid w:val="00F356D5"/>
    <w:rsid w:val="00F357D7"/>
    <w:rsid w:val="00F35BD9"/>
    <w:rsid w:val="00F3603B"/>
    <w:rsid w:val="00F361AE"/>
    <w:rsid w:val="00F36240"/>
    <w:rsid w:val="00F363EB"/>
    <w:rsid w:val="00F365DE"/>
    <w:rsid w:val="00F3672B"/>
    <w:rsid w:val="00F36764"/>
    <w:rsid w:val="00F367CF"/>
    <w:rsid w:val="00F36D37"/>
    <w:rsid w:val="00F36E66"/>
    <w:rsid w:val="00F3710A"/>
    <w:rsid w:val="00F3719A"/>
    <w:rsid w:val="00F37296"/>
    <w:rsid w:val="00F375FF"/>
    <w:rsid w:val="00F37634"/>
    <w:rsid w:val="00F37782"/>
    <w:rsid w:val="00F37831"/>
    <w:rsid w:val="00F3783C"/>
    <w:rsid w:val="00F379BF"/>
    <w:rsid w:val="00F37EA7"/>
    <w:rsid w:val="00F403BC"/>
    <w:rsid w:val="00F4051C"/>
    <w:rsid w:val="00F40644"/>
    <w:rsid w:val="00F40805"/>
    <w:rsid w:val="00F40C5E"/>
    <w:rsid w:val="00F40E3E"/>
    <w:rsid w:val="00F4154B"/>
    <w:rsid w:val="00F4163A"/>
    <w:rsid w:val="00F416D2"/>
    <w:rsid w:val="00F41873"/>
    <w:rsid w:val="00F419C3"/>
    <w:rsid w:val="00F41A0D"/>
    <w:rsid w:val="00F41D91"/>
    <w:rsid w:val="00F41E2B"/>
    <w:rsid w:val="00F423BE"/>
    <w:rsid w:val="00F424A5"/>
    <w:rsid w:val="00F425EF"/>
    <w:rsid w:val="00F428AC"/>
    <w:rsid w:val="00F42910"/>
    <w:rsid w:val="00F4299C"/>
    <w:rsid w:val="00F42EE3"/>
    <w:rsid w:val="00F4304C"/>
    <w:rsid w:val="00F43660"/>
    <w:rsid w:val="00F43C53"/>
    <w:rsid w:val="00F43E30"/>
    <w:rsid w:val="00F4403A"/>
    <w:rsid w:val="00F44148"/>
    <w:rsid w:val="00F442E7"/>
    <w:rsid w:val="00F44432"/>
    <w:rsid w:val="00F44542"/>
    <w:rsid w:val="00F44886"/>
    <w:rsid w:val="00F448DD"/>
    <w:rsid w:val="00F44937"/>
    <w:rsid w:val="00F44C5F"/>
    <w:rsid w:val="00F44DB8"/>
    <w:rsid w:val="00F450CC"/>
    <w:rsid w:val="00F454A7"/>
    <w:rsid w:val="00F45760"/>
    <w:rsid w:val="00F45925"/>
    <w:rsid w:val="00F45A28"/>
    <w:rsid w:val="00F469E6"/>
    <w:rsid w:val="00F46BA6"/>
    <w:rsid w:val="00F46C97"/>
    <w:rsid w:val="00F46D2E"/>
    <w:rsid w:val="00F46FD0"/>
    <w:rsid w:val="00F4703E"/>
    <w:rsid w:val="00F47436"/>
    <w:rsid w:val="00F476E1"/>
    <w:rsid w:val="00F501AB"/>
    <w:rsid w:val="00F503C6"/>
    <w:rsid w:val="00F50511"/>
    <w:rsid w:val="00F50781"/>
    <w:rsid w:val="00F50CA3"/>
    <w:rsid w:val="00F50EE1"/>
    <w:rsid w:val="00F50FED"/>
    <w:rsid w:val="00F51136"/>
    <w:rsid w:val="00F517ED"/>
    <w:rsid w:val="00F51A08"/>
    <w:rsid w:val="00F51A81"/>
    <w:rsid w:val="00F51F3F"/>
    <w:rsid w:val="00F51FAC"/>
    <w:rsid w:val="00F52133"/>
    <w:rsid w:val="00F52461"/>
    <w:rsid w:val="00F528B5"/>
    <w:rsid w:val="00F528E7"/>
    <w:rsid w:val="00F52BF0"/>
    <w:rsid w:val="00F52C8A"/>
    <w:rsid w:val="00F52CB2"/>
    <w:rsid w:val="00F52F3D"/>
    <w:rsid w:val="00F52F3F"/>
    <w:rsid w:val="00F53615"/>
    <w:rsid w:val="00F53A91"/>
    <w:rsid w:val="00F53AAB"/>
    <w:rsid w:val="00F53E6B"/>
    <w:rsid w:val="00F53FFE"/>
    <w:rsid w:val="00F54496"/>
    <w:rsid w:val="00F54783"/>
    <w:rsid w:val="00F547E9"/>
    <w:rsid w:val="00F5494E"/>
    <w:rsid w:val="00F549F9"/>
    <w:rsid w:val="00F54ABE"/>
    <w:rsid w:val="00F553D2"/>
    <w:rsid w:val="00F5564F"/>
    <w:rsid w:val="00F556AE"/>
    <w:rsid w:val="00F55804"/>
    <w:rsid w:val="00F55F01"/>
    <w:rsid w:val="00F55F1A"/>
    <w:rsid w:val="00F561E5"/>
    <w:rsid w:val="00F5626F"/>
    <w:rsid w:val="00F56310"/>
    <w:rsid w:val="00F5648D"/>
    <w:rsid w:val="00F5684C"/>
    <w:rsid w:val="00F570A0"/>
    <w:rsid w:val="00F57143"/>
    <w:rsid w:val="00F57210"/>
    <w:rsid w:val="00F574DA"/>
    <w:rsid w:val="00F577FC"/>
    <w:rsid w:val="00F57907"/>
    <w:rsid w:val="00F57B10"/>
    <w:rsid w:val="00F57FC9"/>
    <w:rsid w:val="00F601B9"/>
    <w:rsid w:val="00F602F0"/>
    <w:rsid w:val="00F60843"/>
    <w:rsid w:val="00F6098E"/>
    <w:rsid w:val="00F60C90"/>
    <w:rsid w:val="00F619EE"/>
    <w:rsid w:val="00F61CF5"/>
    <w:rsid w:val="00F61FF9"/>
    <w:rsid w:val="00F62069"/>
    <w:rsid w:val="00F62159"/>
    <w:rsid w:val="00F62286"/>
    <w:rsid w:val="00F62A7C"/>
    <w:rsid w:val="00F62B93"/>
    <w:rsid w:val="00F62EDA"/>
    <w:rsid w:val="00F6303E"/>
    <w:rsid w:val="00F632B7"/>
    <w:rsid w:val="00F633E5"/>
    <w:rsid w:val="00F63652"/>
    <w:rsid w:val="00F637C2"/>
    <w:rsid w:val="00F63A07"/>
    <w:rsid w:val="00F63A6A"/>
    <w:rsid w:val="00F63BDB"/>
    <w:rsid w:val="00F63C89"/>
    <w:rsid w:val="00F63F80"/>
    <w:rsid w:val="00F641FC"/>
    <w:rsid w:val="00F643CA"/>
    <w:rsid w:val="00F6454E"/>
    <w:rsid w:val="00F647EC"/>
    <w:rsid w:val="00F64BF8"/>
    <w:rsid w:val="00F64D57"/>
    <w:rsid w:val="00F64FAB"/>
    <w:rsid w:val="00F65329"/>
    <w:rsid w:val="00F6546A"/>
    <w:rsid w:val="00F654DC"/>
    <w:rsid w:val="00F654F2"/>
    <w:rsid w:val="00F65CEA"/>
    <w:rsid w:val="00F65F15"/>
    <w:rsid w:val="00F65F9B"/>
    <w:rsid w:val="00F66443"/>
    <w:rsid w:val="00F668EF"/>
    <w:rsid w:val="00F66D69"/>
    <w:rsid w:val="00F66F9F"/>
    <w:rsid w:val="00F6705A"/>
    <w:rsid w:val="00F671EB"/>
    <w:rsid w:val="00F675D4"/>
    <w:rsid w:val="00F675EA"/>
    <w:rsid w:val="00F6764D"/>
    <w:rsid w:val="00F6791D"/>
    <w:rsid w:val="00F679A0"/>
    <w:rsid w:val="00F67BEB"/>
    <w:rsid w:val="00F67DFF"/>
    <w:rsid w:val="00F67E75"/>
    <w:rsid w:val="00F70263"/>
    <w:rsid w:val="00F7074A"/>
    <w:rsid w:val="00F70B94"/>
    <w:rsid w:val="00F7113B"/>
    <w:rsid w:val="00F711A0"/>
    <w:rsid w:val="00F712BA"/>
    <w:rsid w:val="00F71687"/>
    <w:rsid w:val="00F71708"/>
    <w:rsid w:val="00F717C1"/>
    <w:rsid w:val="00F719C6"/>
    <w:rsid w:val="00F71AB3"/>
    <w:rsid w:val="00F71B4E"/>
    <w:rsid w:val="00F71C5A"/>
    <w:rsid w:val="00F71DB4"/>
    <w:rsid w:val="00F725D3"/>
    <w:rsid w:val="00F7281E"/>
    <w:rsid w:val="00F72925"/>
    <w:rsid w:val="00F72C1A"/>
    <w:rsid w:val="00F72C3D"/>
    <w:rsid w:val="00F72FAE"/>
    <w:rsid w:val="00F73269"/>
    <w:rsid w:val="00F734E5"/>
    <w:rsid w:val="00F735E6"/>
    <w:rsid w:val="00F737AB"/>
    <w:rsid w:val="00F739DC"/>
    <w:rsid w:val="00F73D9D"/>
    <w:rsid w:val="00F73F1D"/>
    <w:rsid w:val="00F7400D"/>
    <w:rsid w:val="00F741AD"/>
    <w:rsid w:val="00F741DA"/>
    <w:rsid w:val="00F74216"/>
    <w:rsid w:val="00F74781"/>
    <w:rsid w:val="00F747DC"/>
    <w:rsid w:val="00F74E7B"/>
    <w:rsid w:val="00F74F0F"/>
    <w:rsid w:val="00F74F67"/>
    <w:rsid w:val="00F75018"/>
    <w:rsid w:val="00F751A4"/>
    <w:rsid w:val="00F75731"/>
    <w:rsid w:val="00F7576D"/>
    <w:rsid w:val="00F75841"/>
    <w:rsid w:val="00F75B74"/>
    <w:rsid w:val="00F7627B"/>
    <w:rsid w:val="00F76333"/>
    <w:rsid w:val="00F763F7"/>
    <w:rsid w:val="00F768D8"/>
    <w:rsid w:val="00F77100"/>
    <w:rsid w:val="00F779C8"/>
    <w:rsid w:val="00F77C84"/>
    <w:rsid w:val="00F77E4C"/>
    <w:rsid w:val="00F77F68"/>
    <w:rsid w:val="00F80298"/>
    <w:rsid w:val="00F802A3"/>
    <w:rsid w:val="00F806E0"/>
    <w:rsid w:val="00F8090F"/>
    <w:rsid w:val="00F80BCA"/>
    <w:rsid w:val="00F8139A"/>
    <w:rsid w:val="00F81785"/>
    <w:rsid w:val="00F81D3B"/>
    <w:rsid w:val="00F81DAF"/>
    <w:rsid w:val="00F8200C"/>
    <w:rsid w:val="00F820C7"/>
    <w:rsid w:val="00F820ED"/>
    <w:rsid w:val="00F82431"/>
    <w:rsid w:val="00F828C1"/>
    <w:rsid w:val="00F82A04"/>
    <w:rsid w:val="00F82AAE"/>
    <w:rsid w:val="00F82F1D"/>
    <w:rsid w:val="00F8319B"/>
    <w:rsid w:val="00F8322D"/>
    <w:rsid w:val="00F834BE"/>
    <w:rsid w:val="00F834EE"/>
    <w:rsid w:val="00F83681"/>
    <w:rsid w:val="00F838A9"/>
    <w:rsid w:val="00F839FB"/>
    <w:rsid w:val="00F83AF4"/>
    <w:rsid w:val="00F842A3"/>
    <w:rsid w:val="00F8435C"/>
    <w:rsid w:val="00F844C4"/>
    <w:rsid w:val="00F849E3"/>
    <w:rsid w:val="00F84B4E"/>
    <w:rsid w:val="00F84C44"/>
    <w:rsid w:val="00F84CD5"/>
    <w:rsid w:val="00F851B7"/>
    <w:rsid w:val="00F8526C"/>
    <w:rsid w:val="00F8566C"/>
    <w:rsid w:val="00F858D4"/>
    <w:rsid w:val="00F85B97"/>
    <w:rsid w:val="00F85C45"/>
    <w:rsid w:val="00F85C65"/>
    <w:rsid w:val="00F8602C"/>
    <w:rsid w:val="00F8608A"/>
    <w:rsid w:val="00F860EB"/>
    <w:rsid w:val="00F861DD"/>
    <w:rsid w:val="00F86268"/>
    <w:rsid w:val="00F868B6"/>
    <w:rsid w:val="00F8695C"/>
    <w:rsid w:val="00F86968"/>
    <w:rsid w:val="00F86B4C"/>
    <w:rsid w:val="00F86C37"/>
    <w:rsid w:val="00F86E21"/>
    <w:rsid w:val="00F86E42"/>
    <w:rsid w:val="00F86FD9"/>
    <w:rsid w:val="00F8718F"/>
    <w:rsid w:val="00F872A9"/>
    <w:rsid w:val="00F875A9"/>
    <w:rsid w:val="00F876E6"/>
    <w:rsid w:val="00F87825"/>
    <w:rsid w:val="00F87838"/>
    <w:rsid w:val="00F879A9"/>
    <w:rsid w:val="00F879E8"/>
    <w:rsid w:val="00F87CA5"/>
    <w:rsid w:val="00F87FCE"/>
    <w:rsid w:val="00F9008B"/>
    <w:rsid w:val="00F900B8"/>
    <w:rsid w:val="00F9015E"/>
    <w:rsid w:val="00F903B2"/>
    <w:rsid w:val="00F906EA"/>
    <w:rsid w:val="00F90C58"/>
    <w:rsid w:val="00F914CC"/>
    <w:rsid w:val="00F91669"/>
    <w:rsid w:val="00F9184F"/>
    <w:rsid w:val="00F91943"/>
    <w:rsid w:val="00F9194F"/>
    <w:rsid w:val="00F919C6"/>
    <w:rsid w:val="00F922A5"/>
    <w:rsid w:val="00F9278E"/>
    <w:rsid w:val="00F927E0"/>
    <w:rsid w:val="00F92914"/>
    <w:rsid w:val="00F92A66"/>
    <w:rsid w:val="00F92B27"/>
    <w:rsid w:val="00F92FAF"/>
    <w:rsid w:val="00F931CF"/>
    <w:rsid w:val="00F9336C"/>
    <w:rsid w:val="00F93529"/>
    <w:rsid w:val="00F93675"/>
    <w:rsid w:val="00F93A31"/>
    <w:rsid w:val="00F93A8F"/>
    <w:rsid w:val="00F93BA1"/>
    <w:rsid w:val="00F93C1F"/>
    <w:rsid w:val="00F93D6E"/>
    <w:rsid w:val="00F9423D"/>
    <w:rsid w:val="00F9426B"/>
    <w:rsid w:val="00F944B1"/>
    <w:rsid w:val="00F94609"/>
    <w:rsid w:val="00F946B2"/>
    <w:rsid w:val="00F94F07"/>
    <w:rsid w:val="00F95182"/>
    <w:rsid w:val="00F95483"/>
    <w:rsid w:val="00F95566"/>
    <w:rsid w:val="00F95591"/>
    <w:rsid w:val="00F957D2"/>
    <w:rsid w:val="00F95A0C"/>
    <w:rsid w:val="00F95D94"/>
    <w:rsid w:val="00F9663D"/>
    <w:rsid w:val="00F96739"/>
    <w:rsid w:val="00F9679E"/>
    <w:rsid w:val="00F96F86"/>
    <w:rsid w:val="00F96FD7"/>
    <w:rsid w:val="00F9751C"/>
    <w:rsid w:val="00F97711"/>
    <w:rsid w:val="00F97A2A"/>
    <w:rsid w:val="00F97E93"/>
    <w:rsid w:val="00F97F9D"/>
    <w:rsid w:val="00FA0097"/>
    <w:rsid w:val="00FA02B8"/>
    <w:rsid w:val="00FA07A1"/>
    <w:rsid w:val="00FA0832"/>
    <w:rsid w:val="00FA0980"/>
    <w:rsid w:val="00FA0E52"/>
    <w:rsid w:val="00FA0E53"/>
    <w:rsid w:val="00FA0EFB"/>
    <w:rsid w:val="00FA0F8F"/>
    <w:rsid w:val="00FA1028"/>
    <w:rsid w:val="00FA10F7"/>
    <w:rsid w:val="00FA157E"/>
    <w:rsid w:val="00FA178F"/>
    <w:rsid w:val="00FA181F"/>
    <w:rsid w:val="00FA19AA"/>
    <w:rsid w:val="00FA1C1F"/>
    <w:rsid w:val="00FA1C36"/>
    <w:rsid w:val="00FA1E82"/>
    <w:rsid w:val="00FA1ED4"/>
    <w:rsid w:val="00FA1F2C"/>
    <w:rsid w:val="00FA1FF6"/>
    <w:rsid w:val="00FA20D0"/>
    <w:rsid w:val="00FA2137"/>
    <w:rsid w:val="00FA21B0"/>
    <w:rsid w:val="00FA272C"/>
    <w:rsid w:val="00FA272D"/>
    <w:rsid w:val="00FA2A27"/>
    <w:rsid w:val="00FA2C40"/>
    <w:rsid w:val="00FA2CC6"/>
    <w:rsid w:val="00FA338D"/>
    <w:rsid w:val="00FA34A2"/>
    <w:rsid w:val="00FA351F"/>
    <w:rsid w:val="00FA3629"/>
    <w:rsid w:val="00FA3742"/>
    <w:rsid w:val="00FA3837"/>
    <w:rsid w:val="00FA38E9"/>
    <w:rsid w:val="00FA39FC"/>
    <w:rsid w:val="00FA3D8D"/>
    <w:rsid w:val="00FA44B4"/>
    <w:rsid w:val="00FA44FD"/>
    <w:rsid w:val="00FA4538"/>
    <w:rsid w:val="00FA4713"/>
    <w:rsid w:val="00FA482B"/>
    <w:rsid w:val="00FA486C"/>
    <w:rsid w:val="00FA4998"/>
    <w:rsid w:val="00FA4A94"/>
    <w:rsid w:val="00FA4DC2"/>
    <w:rsid w:val="00FA5043"/>
    <w:rsid w:val="00FA55E9"/>
    <w:rsid w:val="00FA5BE4"/>
    <w:rsid w:val="00FA5C87"/>
    <w:rsid w:val="00FA5EA3"/>
    <w:rsid w:val="00FA6017"/>
    <w:rsid w:val="00FA6272"/>
    <w:rsid w:val="00FA6645"/>
    <w:rsid w:val="00FA67E3"/>
    <w:rsid w:val="00FA6BC7"/>
    <w:rsid w:val="00FA6EE5"/>
    <w:rsid w:val="00FA6FEC"/>
    <w:rsid w:val="00FA7157"/>
    <w:rsid w:val="00FA733B"/>
    <w:rsid w:val="00FA73A6"/>
    <w:rsid w:val="00FA7698"/>
    <w:rsid w:val="00FA78C2"/>
    <w:rsid w:val="00FA7A2D"/>
    <w:rsid w:val="00FA7B4F"/>
    <w:rsid w:val="00FA7DC2"/>
    <w:rsid w:val="00FA7DD8"/>
    <w:rsid w:val="00FA7F36"/>
    <w:rsid w:val="00FB00F7"/>
    <w:rsid w:val="00FB06E7"/>
    <w:rsid w:val="00FB06E9"/>
    <w:rsid w:val="00FB0725"/>
    <w:rsid w:val="00FB0822"/>
    <w:rsid w:val="00FB0975"/>
    <w:rsid w:val="00FB09AA"/>
    <w:rsid w:val="00FB0A7E"/>
    <w:rsid w:val="00FB0E8C"/>
    <w:rsid w:val="00FB1093"/>
    <w:rsid w:val="00FB13A0"/>
    <w:rsid w:val="00FB153E"/>
    <w:rsid w:val="00FB1574"/>
    <w:rsid w:val="00FB227E"/>
    <w:rsid w:val="00FB23F3"/>
    <w:rsid w:val="00FB267D"/>
    <w:rsid w:val="00FB2A18"/>
    <w:rsid w:val="00FB2BF4"/>
    <w:rsid w:val="00FB2C8D"/>
    <w:rsid w:val="00FB2DC6"/>
    <w:rsid w:val="00FB2F96"/>
    <w:rsid w:val="00FB3505"/>
    <w:rsid w:val="00FB351A"/>
    <w:rsid w:val="00FB38F6"/>
    <w:rsid w:val="00FB4CC2"/>
    <w:rsid w:val="00FB4DB1"/>
    <w:rsid w:val="00FB4DBA"/>
    <w:rsid w:val="00FB4FDE"/>
    <w:rsid w:val="00FB50A8"/>
    <w:rsid w:val="00FB51B7"/>
    <w:rsid w:val="00FB5DD6"/>
    <w:rsid w:val="00FB5E81"/>
    <w:rsid w:val="00FB63FE"/>
    <w:rsid w:val="00FB64F6"/>
    <w:rsid w:val="00FB692D"/>
    <w:rsid w:val="00FB6E39"/>
    <w:rsid w:val="00FB6E6C"/>
    <w:rsid w:val="00FB6EA2"/>
    <w:rsid w:val="00FB70F0"/>
    <w:rsid w:val="00FB71B0"/>
    <w:rsid w:val="00FB723A"/>
    <w:rsid w:val="00FB7ABA"/>
    <w:rsid w:val="00FB7C21"/>
    <w:rsid w:val="00FB7C3F"/>
    <w:rsid w:val="00FB7C46"/>
    <w:rsid w:val="00FB7CF0"/>
    <w:rsid w:val="00FC0298"/>
    <w:rsid w:val="00FC04E0"/>
    <w:rsid w:val="00FC08FD"/>
    <w:rsid w:val="00FC0AA9"/>
    <w:rsid w:val="00FC0D98"/>
    <w:rsid w:val="00FC0F19"/>
    <w:rsid w:val="00FC1042"/>
    <w:rsid w:val="00FC11C6"/>
    <w:rsid w:val="00FC1473"/>
    <w:rsid w:val="00FC17D8"/>
    <w:rsid w:val="00FC1DC0"/>
    <w:rsid w:val="00FC1E6D"/>
    <w:rsid w:val="00FC2340"/>
    <w:rsid w:val="00FC24A6"/>
    <w:rsid w:val="00FC25A7"/>
    <w:rsid w:val="00FC279A"/>
    <w:rsid w:val="00FC288C"/>
    <w:rsid w:val="00FC2EF2"/>
    <w:rsid w:val="00FC324D"/>
    <w:rsid w:val="00FC38AF"/>
    <w:rsid w:val="00FC39A1"/>
    <w:rsid w:val="00FC3BC3"/>
    <w:rsid w:val="00FC3E47"/>
    <w:rsid w:val="00FC4015"/>
    <w:rsid w:val="00FC44C2"/>
    <w:rsid w:val="00FC4B53"/>
    <w:rsid w:val="00FC4B66"/>
    <w:rsid w:val="00FC4B90"/>
    <w:rsid w:val="00FC4BAE"/>
    <w:rsid w:val="00FC4BFE"/>
    <w:rsid w:val="00FC4C8B"/>
    <w:rsid w:val="00FC5046"/>
    <w:rsid w:val="00FC5160"/>
    <w:rsid w:val="00FC52CE"/>
    <w:rsid w:val="00FC5A36"/>
    <w:rsid w:val="00FC60F9"/>
    <w:rsid w:val="00FC61D4"/>
    <w:rsid w:val="00FC6254"/>
    <w:rsid w:val="00FC679A"/>
    <w:rsid w:val="00FC69CF"/>
    <w:rsid w:val="00FC6B0B"/>
    <w:rsid w:val="00FC6F4F"/>
    <w:rsid w:val="00FC7004"/>
    <w:rsid w:val="00FC713B"/>
    <w:rsid w:val="00FC761B"/>
    <w:rsid w:val="00FC7862"/>
    <w:rsid w:val="00FC798F"/>
    <w:rsid w:val="00FC79D5"/>
    <w:rsid w:val="00FC7B35"/>
    <w:rsid w:val="00FC7B53"/>
    <w:rsid w:val="00FC7EDE"/>
    <w:rsid w:val="00FD016E"/>
    <w:rsid w:val="00FD0177"/>
    <w:rsid w:val="00FD02BD"/>
    <w:rsid w:val="00FD0480"/>
    <w:rsid w:val="00FD051A"/>
    <w:rsid w:val="00FD0545"/>
    <w:rsid w:val="00FD06FA"/>
    <w:rsid w:val="00FD0AE7"/>
    <w:rsid w:val="00FD0B44"/>
    <w:rsid w:val="00FD0F70"/>
    <w:rsid w:val="00FD1092"/>
    <w:rsid w:val="00FD13D0"/>
    <w:rsid w:val="00FD1568"/>
    <w:rsid w:val="00FD2315"/>
    <w:rsid w:val="00FD23B0"/>
    <w:rsid w:val="00FD2725"/>
    <w:rsid w:val="00FD29A7"/>
    <w:rsid w:val="00FD2B15"/>
    <w:rsid w:val="00FD3092"/>
    <w:rsid w:val="00FD35A1"/>
    <w:rsid w:val="00FD3AEA"/>
    <w:rsid w:val="00FD3C61"/>
    <w:rsid w:val="00FD3FAB"/>
    <w:rsid w:val="00FD40FC"/>
    <w:rsid w:val="00FD412E"/>
    <w:rsid w:val="00FD420F"/>
    <w:rsid w:val="00FD42EB"/>
    <w:rsid w:val="00FD4503"/>
    <w:rsid w:val="00FD4578"/>
    <w:rsid w:val="00FD46C1"/>
    <w:rsid w:val="00FD491E"/>
    <w:rsid w:val="00FD4BFB"/>
    <w:rsid w:val="00FD4C63"/>
    <w:rsid w:val="00FD4E34"/>
    <w:rsid w:val="00FD4F2F"/>
    <w:rsid w:val="00FD506A"/>
    <w:rsid w:val="00FD51F7"/>
    <w:rsid w:val="00FD523A"/>
    <w:rsid w:val="00FD5258"/>
    <w:rsid w:val="00FD52BF"/>
    <w:rsid w:val="00FD53D4"/>
    <w:rsid w:val="00FD5602"/>
    <w:rsid w:val="00FD5A2A"/>
    <w:rsid w:val="00FD5AAB"/>
    <w:rsid w:val="00FD5AE2"/>
    <w:rsid w:val="00FD5C3A"/>
    <w:rsid w:val="00FD5D4D"/>
    <w:rsid w:val="00FD601F"/>
    <w:rsid w:val="00FD61A8"/>
    <w:rsid w:val="00FD62B4"/>
    <w:rsid w:val="00FD6352"/>
    <w:rsid w:val="00FD66C4"/>
    <w:rsid w:val="00FD6AE9"/>
    <w:rsid w:val="00FD6D0A"/>
    <w:rsid w:val="00FD6FC2"/>
    <w:rsid w:val="00FD7106"/>
    <w:rsid w:val="00FD7142"/>
    <w:rsid w:val="00FD750F"/>
    <w:rsid w:val="00FD7836"/>
    <w:rsid w:val="00FD7FCC"/>
    <w:rsid w:val="00FD7FED"/>
    <w:rsid w:val="00FE011C"/>
    <w:rsid w:val="00FE07DC"/>
    <w:rsid w:val="00FE0A3F"/>
    <w:rsid w:val="00FE0ABA"/>
    <w:rsid w:val="00FE0BDD"/>
    <w:rsid w:val="00FE0F7B"/>
    <w:rsid w:val="00FE1116"/>
    <w:rsid w:val="00FE188E"/>
    <w:rsid w:val="00FE1E64"/>
    <w:rsid w:val="00FE1F13"/>
    <w:rsid w:val="00FE2075"/>
    <w:rsid w:val="00FE2080"/>
    <w:rsid w:val="00FE2647"/>
    <w:rsid w:val="00FE279E"/>
    <w:rsid w:val="00FE27B9"/>
    <w:rsid w:val="00FE28C8"/>
    <w:rsid w:val="00FE2A43"/>
    <w:rsid w:val="00FE2E37"/>
    <w:rsid w:val="00FE3156"/>
    <w:rsid w:val="00FE315D"/>
    <w:rsid w:val="00FE3640"/>
    <w:rsid w:val="00FE3780"/>
    <w:rsid w:val="00FE3954"/>
    <w:rsid w:val="00FE3CF7"/>
    <w:rsid w:val="00FE4071"/>
    <w:rsid w:val="00FE41BD"/>
    <w:rsid w:val="00FE41F3"/>
    <w:rsid w:val="00FE42E3"/>
    <w:rsid w:val="00FE4421"/>
    <w:rsid w:val="00FE4BBB"/>
    <w:rsid w:val="00FE4CBD"/>
    <w:rsid w:val="00FE4DF4"/>
    <w:rsid w:val="00FE4E71"/>
    <w:rsid w:val="00FE4ECD"/>
    <w:rsid w:val="00FE52A9"/>
    <w:rsid w:val="00FE52B7"/>
    <w:rsid w:val="00FE53C5"/>
    <w:rsid w:val="00FE53D5"/>
    <w:rsid w:val="00FE5588"/>
    <w:rsid w:val="00FE5678"/>
    <w:rsid w:val="00FE5807"/>
    <w:rsid w:val="00FE5BAC"/>
    <w:rsid w:val="00FE5C39"/>
    <w:rsid w:val="00FE5C57"/>
    <w:rsid w:val="00FE5F6A"/>
    <w:rsid w:val="00FE5FBA"/>
    <w:rsid w:val="00FE6064"/>
    <w:rsid w:val="00FE624E"/>
    <w:rsid w:val="00FE6415"/>
    <w:rsid w:val="00FE651D"/>
    <w:rsid w:val="00FE6535"/>
    <w:rsid w:val="00FE6648"/>
    <w:rsid w:val="00FE6901"/>
    <w:rsid w:val="00FE69E7"/>
    <w:rsid w:val="00FE6BB8"/>
    <w:rsid w:val="00FE6E76"/>
    <w:rsid w:val="00FE786E"/>
    <w:rsid w:val="00FE79AD"/>
    <w:rsid w:val="00FE7ACF"/>
    <w:rsid w:val="00FE7B94"/>
    <w:rsid w:val="00FE7F1E"/>
    <w:rsid w:val="00FF027B"/>
    <w:rsid w:val="00FF06DD"/>
    <w:rsid w:val="00FF07FB"/>
    <w:rsid w:val="00FF0C6A"/>
    <w:rsid w:val="00FF0E1A"/>
    <w:rsid w:val="00FF0FFE"/>
    <w:rsid w:val="00FF10D8"/>
    <w:rsid w:val="00FF1174"/>
    <w:rsid w:val="00FF14D9"/>
    <w:rsid w:val="00FF165A"/>
    <w:rsid w:val="00FF1A9F"/>
    <w:rsid w:val="00FF1B72"/>
    <w:rsid w:val="00FF1C58"/>
    <w:rsid w:val="00FF1C84"/>
    <w:rsid w:val="00FF1CE1"/>
    <w:rsid w:val="00FF1CF1"/>
    <w:rsid w:val="00FF1F4C"/>
    <w:rsid w:val="00FF200B"/>
    <w:rsid w:val="00FF2153"/>
    <w:rsid w:val="00FF22F1"/>
    <w:rsid w:val="00FF2654"/>
    <w:rsid w:val="00FF2E9D"/>
    <w:rsid w:val="00FF3255"/>
    <w:rsid w:val="00FF35DC"/>
    <w:rsid w:val="00FF3975"/>
    <w:rsid w:val="00FF3A6A"/>
    <w:rsid w:val="00FF3C7A"/>
    <w:rsid w:val="00FF3E09"/>
    <w:rsid w:val="00FF4004"/>
    <w:rsid w:val="00FF411C"/>
    <w:rsid w:val="00FF456F"/>
    <w:rsid w:val="00FF4594"/>
    <w:rsid w:val="00FF49D7"/>
    <w:rsid w:val="00FF4AA8"/>
    <w:rsid w:val="00FF4B2E"/>
    <w:rsid w:val="00FF4C38"/>
    <w:rsid w:val="00FF4E4B"/>
    <w:rsid w:val="00FF4E4E"/>
    <w:rsid w:val="00FF5049"/>
    <w:rsid w:val="00FF5266"/>
    <w:rsid w:val="00FF5816"/>
    <w:rsid w:val="00FF588A"/>
    <w:rsid w:val="00FF59E9"/>
    <w:rsid w:val="00FF5AEC"/>
    <w:rsid w:val="00FF5C2D"/>
    <w:rsid w:val="00FF5D1F"/>
    <w:rsid w:val="00FF5F95"/>
    <w:rsid w:val="00FF5FDA"/>
    <w:rsid w:val="00FF600D"/>
    <w:rsid w:val="00FF6126"/>
    <w:rsid w:val="00FF61F5"/>
    <w:rsid w:val="00FF62AA"/>
    <w:rsid w:val="00FF64D7"/>
    <w:rsid w:val="00FF6B6C"/>
    <w:rsid w:val="00FF6CA5"/>
    <w:rsid w:val="00FF70A0"/>
    <w:rsid w:val="00FF7A00"/>
    <w:rsid w:val="01420B2A"/>
    <w:rsid w:val="01AA2C10"/>
    <w:rsid w:val="02753756"/>
    <w:rsid w:val="02782986"/>
    <w:rsid w:val="02C170CB"/>
    <w:rsid w:val="02CB76A6"/>
    <w:rsid w:val="02D7201B"/>
    <w:rsid w:val="03575C81"/>
    <w:rsid w:val="036E10E4"/>
    <w:rsid w:val="037738D8"/>
    <w:rsid w:val="037C5803"/>
    <w:rsid w:val="03EE579D"/>
    <w:rsid w:val="05A96137"/>
    <w:rsid w:val="05B53FF0"/>
    <w:rsid w:val="06CA1758"/>
    <w:rsid w:val="075F0692"/>
    <w:rsid w:val="078C4CEE"/>
    <w:rsid w:val="085F7B47"/>
    <w:rsid w:val="08F53B23"/>
    <w:rsid w:val="0A070656"/>
    <w:rsid w:val="0A913ED8"/>
    <w:rsid w:val="0AFC0491"/>
    <w:rsid w:val="0B24171E"/>
    <w:rsid w:val="0BB33687"/>
    <w:rsid w:val="0C653393"/>
    <w:rsid w:val="0C863C7A"/>
    <w:rsid w:val="0CE54E13"/>
    <w:rsid w:val="0D081F34"/>
    <w:rsid w:val="0D295F98"/>
    <w:rsid w:val="0D584403"/>
    <w:rsid w:val="0DA90E87"/>
    <w:rsid w:val="0DDA523F"/>
    <w:rsid w:val="0EA7186A"/>
    <w:rsid w:val="0F3322F6"/>
    <w:rsid w:val="0F333B7C"/>
    <w:rsid w:val="0FAA496F"/>
    <w:rsid w:val="101C0A97"/>
    <w:rsid w:val="10F67974"/>
    <w:rsid w:val="110B1B91"/>
    <w:rsid w:val="116353E3"/>
    <w:rsid w:val="116F58E5"/>
    <w:rsid w:val="117C7228"/>
    <w:rsid w:val="12105979"/>
    <w:rsid w:val="121543C9"/>
    <w:rsid w:val="12D6790A"/>
    <w:rsid w:val="12F438A7"/>
    <w:rsid w:val="13977E74"/>
    <w:rsid w:val="141B7F51"/>
    <w:rsid w:val="1433594E"/>
    <w:rsid w:val="146F2C7A"/>
    <w:rsid w:val="149E4992"/>
    <w:rsid w:val="15222F00"/>
    <w:rsid w:val="157128C7"/>
    <w:rsid w:val="159F2329"/>
    <w:rsid w:val="15A217AD"/>
    <w:rsid w:val="15C026F1"/>
    <w:rsid w:val="16375AAD"/>
    <w:rsid w:val="17064457"/>
    <w:rsid w:val="17D73287"/>
    <w:rsid w:val="189439F5"/>
    <w:rsid w:val="18C643E3"/>
    <w:rsid w:val="192E0D28"/>
    <w:rsid w:val="19410103"/>
    <w:rsid w:val="1A442DE9"/>
    <w:rsid w:val="1AB766AF"/>
    <w:rsid w:val="1BC3580A"/>
    <w:rsid w:val="1D321E13"/>
    <w:rsid w:val="1D70551D"/>
    <w:rsid w:val="1E043956"/>
    <w:rsid w:val="1E977502"/>
    <w:rsid w:val="1F462152"/>
    <w:rsid w:val="1F6B6784"/>
    <w:rsid w:val="1FD95859"/>
    <w:rsid w:val="20780ECB"/>
    <w:rsid w:val="213F695C"/>
    <w:rsid w:val="21455F84"/>
    <w:rsid w:val="224176AA"/>
    <w:rsid w:val="228C1199"/>
    <w:rsid w:val="235634BB"/>
    <w:rsid w:val="235F050E"/>
    <w:rsid w:val="242D24F6"/>
    <w:rsid w:val="245E0E06"/>
    <w:rsid w:val="246833F2"/>
    <w:rsid w:val="24801EBF"/>
    <w:rsid w:val="24977600"/>
    <w:rsid w:val="25A170D7"/>
    <w:rsid w:val="26AA0F6E"/>
    <w:rsid w:val="26E870EA"/>
    <w:rsid w:val="272F1A96"/>
    <w:rsid w:val="27AC0841"/>
    <w:rsid w:val="27F4381D"/>
    <w:rsid w:val="2848646B"/>
    <w:rsid w:val="297B0CF7"/>
    <w:rsid w:val="2A0C041E"/>
    <w:rsid w:val="2A51423E"/>
    <w:rsid w:val="2AB3056F"/>
    <w:rsid w:val="2B1E0D76"/>
    <w:rsid w:val="2BE23A8A"/>
    <w:rsid w:val="2E14293E"/>
    <w:rsid w:val="2E224612"/>
    <w:rsid w:val="2E7D3F3E"/>
    <w:rsid w:val="2EB74487"/>
    <w:rsid w:val="2EDD2DD9"/>
    <w:rsid w:val="2EFA61AC"/>
    <w:rsid w:val="2F2A3766"/>
    <w:rsid w:val="2F723467"/>
    <w:rsid w:val="2FEE6EA1"/>
    <w:rsid w:val="30B64A7B"/>
    <w:rsid w:val="313369ED"/>
    <w:rsid w:val="32A02B99"/>
    <w:rsid w:val="337130CD"/>
    <w:rsid w:val="33D414D0"/>
    <w:rsid w:val="340F1255"/>
    <w:rsid w:val="35CD358A"/>
    <w:rsid w:val="362A09EF"/>
    <w:rsid w:val="369C1105"/>
    <w:rsid w:val="37467D39"/>
    <w:rsid w:val="374F171D"/>
    <w:rsid w:val="38082ACA"/>
    <w:rsid w:val="385F359C"/>
    <w:rsid w:val="38C626B9"/>
    <w:rsid w:val="38EC1936"/>
    <w:rsid w:val="39932EF5"/>
    <w:rsid w:val="3A9864C7"/>
    <w:rsid w:val="3AF11C2B"/>
    <w:rsid w:val="3BA80B19"/>
    <w:rsid w:val="3C4240EC"/>
    <w:rsid w:val="3E997760"/>
    <w:rsid w:val="3F3A1FEB"/>
    <w:rsid w:val="3F4D7CE5"/>
    <w:rsid w:val="405F6B9A"/>
    <w:rsid w:val="40885740"/>
    <w:rsid w:val="413A623A"/>
    <w:rsid w:val="41CB5019"/>
    <w:rsid w:val="42253D73"/>
    <w:rsid w:val="42D6222B"/>
    <w:rsid w:val="42DC0426"/>
    <w:rsid w:val="4374370A"/>
    <w:rsid w:val="437E6337"/>
    <w:rsid w:val="43BF32E9"/>
    <w:rsid w:val="43C76649"/>
    <w:rsid w:val="44B91A5D"/>
    <w:rsid w:val="44FF7998"/>
    <w:rsid w:val="452F03D4"/>
    <w:rsid w:val="459A3BBF"/>
    <w:rsid w:val="45B21572"/>
    <w:rsid w:val="45BD3146"/>
    <w:rsid w:val="47212F2D"/>
    <w:rsid w:val="47843179"/>
    <w:rsid w:val="4A72166D"/>
    <w:rsid w:val="4AF875FC"/>
    <w:rsid w:val="4DA55E26"/>
    <w:rsid w:val="4E6268C7"/>
    <w:rsid w:val="4EA618CF"/>
    <w:rsid w:val="4EAC5711"/>
    <w:rsid w:val="4EDA0D8F"/>
    <w:rsid w:val="4EED136E"/>
    <w:rsid w:val="505C7478"/>
    <w:rsid w:val="50801AEF"/>
    <w:rsid w:val="51B2004B"/>
    <w:rsid w:val="527C2D46"/>
    <w:rsid w:val="53F50F2E"/>
    <w:rsid w:val="543C3EA2"/>
    <w:rsid w:val="54BB3575"/>
    <w:rsid w:val="54D01BEB"/>
    <w:rsid w:val="55622629"/>
    <w:rsid w:val="557701D2"/>
    <w:rsid w:val="5594498E"/>
    <w:rsid w:val="57C25773"/>
    <w:rsid w:val="57ED0501"/>
    <w:rsid w:val="581E2406"/>
    <w:rsid w:val="5A3A2DDD"/>
    <w:rsid w:val="5A603305"/>
    <w:rsid w:val="5ADC59C5"/>
    <w:rsid w:val="5B856190"/>
    <w:rsid w:val="5C265019"/>
    <w:rsid w:val="5D201747"/>
    <w:rsid w:val="5D67336D"/>
    <w:rsid w:val="5D7874FB"/>
    <w:rsid w:val="5DA31D4F"/>
    <w:rsid w:val="5DF76D59"/>
    <w:rsid w:val="5E2D6169"/>
    <w:rsid w:val="5E846B2F"/>
    <w:rsid w:val="60447752"/>
    <w:rsid w:val="61501C31"/>
    <w:rsid w:val="615514EA"/>
    <w:rsid w:val="618C78A6"/>
    <w:rsid w:val="61CE1DDF"/>
    <w:rsid w:val="62A108C2"/>
    <w:rsid w:val="63A14D89"/>
    <w:rsid w:val="64441196"/>
    <w:rsid w:val="646978EA"/>
    <w:rsid w:val="64E95A2C"/>
    <w:rsid w:val="655B0B17"/>
    <w:rsid w:val="675D60DF"/>
    <w:rsid w:val="68357A9E"/>
    <w:rsid w:val="68C70FC8"/>
    <w:rsid w:val="692A0243"/>
    <w:rsid w:val="69BD3298"/>
    <w:rsid w:val="6AA47A54"/>
    <w:rsid w:val="6B241A17"/>
    <w:rsid w:val="6B28556D"/>
    <w:rsid w:val="6B673089"/>
    <w:rsid w:val="6B7A2359"/>
    <w:rsid w:val="6C5F1FB2"/>
    <w:rsid w:val="6C9D2ADA"/>
    <w:rsid w:val="6CB71DEE"/>
    <w:rsid w:val="6CFD3AF4"/>
    <w:rsid w:val="6DBF657D"/>
    <w:rsid w:val="6E9C0F6F"/>
    <w:rsid w:val="6F983C7A"/>
    <w:rsid w:val="6FC13B19"/>
    <w:rsid w:val="70507E63"/>
    <w:rsid w:val="70BF74C3"/>
    <w:rsid w:val="70DB7549"/>
    <w:rsid w:val="7103031A"/>
    <w:rsid w:val="71121F70"/>
    <w:rsid w:val="71AD7318"/>
    <w:rsid w:val="726D70E7"/>
    <w:rsid w:val="734450E0"/>
    <w:rsid w:val="744D5EC9"/>
    <w:rsid w:val="751C00D9"/>
    <w:rsid w:val="75297601"/>
    <w:rsid w:val="76275962"/>
    <w:rsid w:val="76315255"/>
    <w:rsid w:val="763A4E0C"/>
    <w:rsid w:val="76A66583"/>
    <w:rsid w:val="77CC74DE"/>
    <w:rsid w:val="7832651E"/>
    <w:rsid w:val="79E65A52"/>
    <w:rsid w:val="7A3538A9"/>
    <w:rsid w:val="7A7C4102"/>
    <w:rsid w:val="7B1403CC"/>
    <w:rsid w:val="7C744EE5"/>
    <w:rsid w:val="7C9C4E59"/>
    <w:rsid w:val="7E1700E3"/>
    <w:rsid w:val="7E286107"/>
    <w:rsid w:val="7E3370AA"/>
    <w:rsid w:val="7E477448"/>
    <w:rsid w:val="7E85231D"/>
    <w:rsid w:val="7E8830FA"/>
    <w:rsid w:val="7EBA43C2"/>
    <w:rsid w:val="7ED2669B"/>
    <w:rsid w:val="7EFF1A7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0"/>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1"/>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62"/>
    <w:qFormat/>
    <w:uiPriority w:val="9"/>
    <w:pPr>
      <w:keepNext/>
      <w:keepLines/>
      <w:spacing w:before="280" w:after="290" w:line="376" w:lineRule="auto"/>
      <w:outlineLvl w:val="3"/>
    </w:pPr>
    <w:rPr>
      <w:rFonts w:ascii="Calibri Light" w:hAnsi="Calibri Light"/>
      <w:b/>
      <w:bCs/>
      <w:sz w:val="28"/>
      <w:szCs w:val="28"/>
    </w:rPr>
  </w:style>
  <w:style w:type="paragraph" w:styleId="6">
    <w:name w:val="heading 5"/>
    <w:basedOn w:val="1"/>
    <w:next w:val="7"/>
    <w:link w:val="63"/>
    <w:qFormat/>
    <w:uiPriority w:val="9"/>
    <w:pPr>
      <w:keepNext/>
      <w:keepLines/>
      <w:numPr>
        <w:ilvl w:val="4"/>
        <w:numId w:val="1"/>
      </w:numPr>
      <w:spacing w:before="280" w:after="290" w:line="376" w:lineRule="auto"/>
      <w:outlineLvl w:val="4"/>
    </w:pPr>
    <w:rPr>
      <w:b/>
      <w:sz w:val="28"/>
    </w:rPr>
  </w:style>
  <w:style w:type="paragraph" w:styleId="8">
    <w:name w:val="heading 6"/>
    <w:basedOn w:val="1"/>
    <w:next w:val="7"/>
    <w:link w:val="65"/>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66"/>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7"/>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8"/>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unhideWhenUsed/>
    <w:qFormat/>
    <w:uiPriority w:val="1"/>
  </w:style>
  <w:style w:type="table" w:default="1" w:styleId="49">
    <w:name w:val="Normal Table"/>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link w:val="69"/>
    <w:qFormat/>
    <w:uiPriority w:val="0"/>
    <w:pPr>
      <w:spacing w:before="152" w:after="160"/>
    </w:pPr>
    <w:rPr>
      <w:rFonts w:ascii="Arial" w:hAnsi="Arial" w:eastAsia="黑体" w:cs="Arial"/>
      <w:sz w:val="20"/>
      <w:szCs w:val="20"/>
    </w:rPr>
  </w:style>
  <w:style w:type="paragraph" w:styleId="15">
    <w:name w:val="Document Map"/>
    <w:basedOn w:val="1"/>
    <w:link w:val="70"/>
    <w:unhideWhenUsed/>
    <w:qFormat/>
    <w:uiPriority w:val="0"/>
    <w:pPr>
      <w:shd w:val="clear" w:color="auto" w:fill="000080"/>
    </w:pPr>
    <w:rPr>
      <w:rFonts w:ascii="宋体" w:hAnsi="宋体"/>
      <w:kern w:val="0"/>
      <w:sz w:val="20"/>
      <w:szCs w:val="20"/>
    </w:rPr>
  </w:style>
  <w:style w:type="paragraph" w:styleId="16">
    <w:name w:val="annotation text"/>
    <w:basedOn w:val="1"/>
    <w:link w:val="71"/>
    <w:unhideWhenUsed/>
    <w:qFormat/>
    <w:uiPriority w:val="0"/>
    <w:pPr>
      <w:jc w:val="left"/>
    </w:pPr>
  </w:style>
  <w:style w:type="paragraph" w:styleId="17">
    <w:name w:val="Body Text 3"/>
    <w:basedOn w:val="1"/>
    <w:link w:val="72"/>
    <w:qFormat/>
    <w:uiPriority w:val="0"/>
    <w:pPr>
      <w:spacing w:line="500" w:lineRule="exact"/>
    </w:pPr>
    <w:rPr>
      <w:b/>
      <w:bCs/>
      <w:kern w:val="0"/>
      <w:sz w:val="24"/>
    </w:rPr>
  </w:style>
  <w:style w:type="paragraph" w:styleId="18">
    <w:name w:val="Body Text"/>
    <w:basedOn w:val="1"/>
    <w:link w:val="73"/>
    <w:qFormat/>
    <w:uiPriority w:val="0"/>
    <w:pPr>
      <w:spacing w:line="380" w:lineRule="exact"/>
    </w:pPr>
    <w:rPr>
      <w:kern w:val="0"/>
      <w:sz w:val="24"/>
    </w:rPr>
  </w:style>
  <w:style w:type="paragraph" w:styleId="19">
    <w:name w:val="Body Text Indent"/>
    <w:basedOn w:val="1"/>
    <w:link w:val="74"/>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eastAsia="宋体" w:cs="Times New Roman"/>
      <w:szCs w:val="22"/>
    </w:rPr>
  </w:style>
  <w:style w:type="paragraph" w:styleId="23">
    <w:name w:val="toc 3"/>
    <w:basedOn w:val="1"/>
    <w:next w:val="1"/>
    <w:unhideWhenUsed/>
    <w:qFormat/>
    <w:uiPriority w:val="39"/>
    <w:pPr>
      <w:ind w:left="840" w:leftChars="400"/>
    </w:pPr>
    <w:rPr>
      <w:rFonts w:ascii="Calibri" w:hAnsi="Calibri" w:eastAsia="宋体" w:cs="Times New Roman"/>
      <w:szCs w:val="22"/>
    </w:rPr>
  </w:style>
  <w:style w:type="paragraph" w:styleId="24">
    <w:name w:val="Plain Text"/>
    <w:basedOn w:val="1"/>
    <w:link w:val="75"/>
    <w:qFormat/>
    <w:uiPriority w:val="0"/>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eastAsia="宋体" w:cs="Times New Roman"/>
      <w:szCs w:val="22"/>
    </w:rPr>
  </w:style>
  <w:style w:type="paragraph" w:styleId="26">
    <w:name w:val="Date"/>
    <w:basedOn w:val="1"/>
    <w:next w:val="1"/>
    <w:link w:val="76"/>
    <w:qFormat/>
    <w:uiPriority w:val="0"/>
    <w:pPr>
      <w:ind w:left="100" w:leftChars="2500"/>
    </w:pPr>
    <w:rPr>
      <w:rFonts w:ascii="宋体" w:hAnsi="Courier New"/>
      <w:kern w:val="0"/>
      <w:sz w:val="20"/>
      <w:szCs w:val="21"/>
    </w:rPr>
  </w:style>
  <w:style w:type="paragraph" w:styleId="27">
    <w:name w:val="Body Text Indent 2"/>
    <w:basedOn w:val="1"/>
    <w:link w:val="77"/>
    <w:qFormat/>
    <w:uiPriority w:val="0"/>
    <w:pPr>
      <w:ind w:firstLine="630"/>
    </w:pPr>
    <w:rPr>
      <w:kern w:val="0"/>
      <w:sz w:val="32"/>
      <w:szCs w:val="20"/>
    </w:rPr>
  </w:style>
  <w:style w:type="paragraph" w:styleId="28">
    <w:name w:val="endnote text"/>
    <w:basedOn w:val="1"/>
    <w:link w:val="78"/>
    <w:unhideWhenUsed/>
    <w:qFormat/>
    <w:uiPriority w:val="99"/>
    <w:pPr>
      <w:snapToGrid w:val="0"/>
      <w:jc w:val="left"/>
    </w:pPr>
  </w:style>
  <w:style w:type="paragraph" w:styleId="29">
    <w:name w:val="Balloon Text"/>
    <w:basedOn w:val="1"/>
    <w:link w:val="79"/>
    <w:semiHidden/>
    <w:qFormat/>
    <w:uiPriority w:val="0"/>
    <w:rPr>
      <w:kern w:val="0"/>
      <w:sz w:val="18"/>
      <w:szCs w:val="18"/>
    </w:rPr>
  </w:style>
  <w:style w:type="paragraph" w:styleId="30">
    <w:name w:val="footer"/>
    <w:basedOn w:val="1"/>
    <w:link w:val="80"/>
    <w:unhideWhenUsed/>
    <w:qFormat/>
    <w:uiPriority w:val="99"/>
    <w:pPr>
      <w:tabs>
        <w:tab w:val="center" w:pos="4153"/>
        <w:tab w:val="right" w:pos="8306"/>
      </w:tabs>
      <w:snapToGrid w:val="0"/>
      <w:jc w:val="left"/>
    </w:pPr>
    <w:rPr>
      <w:kern w:val="0"/>
      <w:sz w:val="18"/>
      <w:szCs w:val="18"/>
    </w:rPr>
  </w:style>
  <w:style w:type="paragraph" w:styleId="31">
    <w:name w:val="header"/>
    <w:basedOn w:val="1"/>
    <w:link w:val="81"/>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eastAsia="宋体" w:cs="Times New Roman"/>
      <w:szCs w:val="22"/>
    </w:rPr>
  </w:style>
  <w:style w:type="paragraph" w:styleId="34">
    <w:name w:val="Subtitle"/>
    <w:basedOn w:val="1"/>
    <w:next w:val="1"/>
    <w:link w:val="82"/>
    <w:qFormat/>
    <w:uiPriority w:val="11"/>
    <w:pPr>
      <w:overflowPunct w:val="0"/>
      <w:spacing w:before="240" w:after="60" w:line="312" w:lineRule="auto"/>
      <w:jc w:val="center"/>
    </w:pPr>
    <w:rPr>
      <w:rFonts w:ascii="Calibri" w:hAnsi="Calibri"/>
      <w:b/>
      <w:bCs/>
      <w:kern w:val="28"/>
      <w:sz w:val="44"/>
      <w:szCs w:val="32"/>
    </w:rPr>
  </w:style>
  <w:style w:type="paragraph" w:styleId="35">
    <w:name w:val="List"/>
    <w:basedOn w:val="1"/>
    <w:qFormat/>
    <w:uiPriority w:val="0"/>
    <w:pPr>
      <w:ind w:left="200" w:hanging="200" w:hangingChars="200"/>
    </w:pPr>
    <w:rPr>
      <w:sz w:val="28"/>
    </w:rPr>
  </w:style>
  <w:style w:type="paragraph" w:styleId="36">
    <w:name w:val="footnote text"/>
    <w:basedOn w:val="1"/>
    <w:link w:val="83"/>
    <w:unhideWhenUsed/>
    <w:qFormat/>
    <w:uiPriority w:val="99"/>
    <w:pPr>
      <w:snapToGrid w:val="0"/>
      <w:jc w:val="left"/>
    </w:pPr>
    <w:rPr>
      <w:sz w:val="18"/>
      <w:szCs w:val="18"/>
    </w:rPr>
  </w:style>
  <w:style w:type="paragraph" w:styleId="37">
    <w:name w:val="toc 6"/>
    <w:basedOn w:val="1"/>
    <w:next w:val="1"/>
    <w:unhideWhenUsed/>
    <w:qFormat/>
    <w:uiPriority w:val="39"/>
    <w:pPr>
      <w:ind w:left="2100" w:leftChars="1000"/>
    </w:pPr>
    <w:rPr>
      <w:rFonts w:ascii="Calibri" w:hAnsi="Calibri" w:eastAsia="宋体" w:cs="Times New Roman"/>
      <w:szCs w:val="22"/>
    </w:rPr>
  </w:style>
  <w:style w:type="paragraph" w:styleId="38">
    <w:name w:val="Body Text Indent 3"/>
    <w:basedOn w:val="1"/>
    <w:link w:val="84"/>
    <w:qFormat/>
    <w:uiPriority w:val="0"/>
    <w:pPr>
      <w:spacing w:after="120"/>
      <w:ind w:left="420" w:leftChars="200"/>
    </w:pPr>
    <w:rPr>
      <w:kern w:val="0"/>
      <w:sz w:val="16"/>
      <w:szCs w:val="16"/>
    </w:rPr>
  </w:style>
  <w:style w:type="paragraph" w:styleId="39">
    <w:name w:val="table of figures"/>
    <w:basedOn w:val="1"/>
    <w:next w:val="1"/>
    <w:unhideWhenUsed/>
    <w:qFormat/>
    <w:uiPriority w:val="99"/>
    <w:pPr>
      <w:overflowPunct w:val="0"/>
      <w:ind w:left="200" w:hanging="200" w:hangingChars="200"/>
    </w:pPr>
    <w:rPr>
      <w:rFonts w:ascii="宋体" w:hAnsi="Calibri" w:cs="Times New Roman"/>
      <w:sz w:val="24"/>
      <w:szCs w:val="21"/>
    </w:rPr>
  </w:style>
  <w:style w:type="paragraph" w:styleId="40">
    <w:name w:val="toc 2"/>
    <w:basedOn w:val="1"/>
    <w:next w:val="1"/>
    <w:unhideWhenUsed/>
    <w:qFormat/>
    <w:uiPriority w:val="39"/>
    <w:pPr>
      <w:ind w:left="420" w:leftChars="200"/>
    </w:pPr>
  </w:style>
  <w:style w:type="paragraph" w:styleId="41">
    <w:name w:val="toc 9"/>
    <w:basedOn w:val="1"/>
    <w:next w:val="1"/>
    <w:unhideWhenUsed/>
    <w:qFormat/>
    <w:uiPriority w:val="39"/>
    <w:pPr>
      <w:ind w:left="3360" w:leftChars="1600"/>
    </w:pPr>
    <w:rPr>
      <w:rFonts w:ascii="Calibri" w:hAnsi="Calibri" w:eastAsia="宋体" w:cs="Times New Roman"/>
      <w:szCs w:val="22"/>
    </w:rPr>
  </w:style>
  <w:style w:type="paragraph" w:styleId="42">
    <w:name w:val="Body Text 2"/>
    <w:basedOn w:val="1"/>
    <w:link w:val="85"/>
    <w:qFormat/>
    <w:uiPriority w:val="0"/>
    <w:pPr>
      <w:spacing w:after="120" w:line="480" w:lineRule="auto"/>
    </w:pPr>
    <w:rPr>
      <w:kern w:val="0"/>
      <w:sz w:val="20"/>
    </w:rPr>
  </w:style>
  <w:style w:type="paragraph" w:styleId="43">
    <w:name w:val="Normal (Web)"/>
    <w:basedOn w:val="1"/>
    <w:qFormat/>
    <w:uiPriority w:val="0"/>
    <w:pPr>
      <w:widowControl/>
      <w:spacing w:before="100" w:beforeAutospacing="1" w:after="100" w:afterAutospacing="1"/>
      <w:jc w:val="left"/>
    </w:pPr>
    <w:rPr>
      <w:rFonts w:ascii="宋体" w:hAnsi="宋体"/>
      <w:kern w:val="0"/>
      <w:sz w:val="24"/>
    </w:rPr>
  </w:style>
  <w:style w:type="paragraph" w:styleId="44">
    <w:name w:val="index 1"/>
    <w:basedOn w:val="1"/>
    <w:next w:val="1"/>
    <w:semiHidden/>
    <w:qFormat/>
    <w:uiPriority w:val="0"/>
    <w:pPr>
      <w:spacing w:line="400" w:lineRule="exact"/>
      <w:ind w:firstLine="420" w:firstLineChars="200"/>
    </w:pPr>
    <w:rPr>
      <w:rFonts w:ascii="宋体" w:hAnsi="Courier New"/>
      <w:b/>
      <w:szCs w:val="20"/>
    </w:rPr>
  </w:style>
  <w:style w:type="paragraph" w:styleId="45">
    <w:name w:val="Title"/>
    <w:basedOn w:val="1"/>
    <w:next w:val="1"/>
    <w:link w:val="86"/>
    <w:qFormat/>
    <w:uiPriority w:val="10"/>
    <w:pPr>
      <w:spacing w:before="240" w:after="60"/>
      <w:jc w:val="center"/>
      <w:outlineLvl w:val="0"/>
    </w:pPr>
    <w:rPr>
      <w:rFonts w:ascii="Cambria" w:hAnsi="Cambria"/>
      <w:b/>
      <w:bCs/>
      <w:sz w:val="32"/>
      <w:szCs w:val="32"/>
    </w:rPr>
  </w:style>
  <w:style w:type="paragraph" w:styleId="46">
    <w:name w:val="annotation subject"/>
    <w:basedOn w:val="16"/>
    <w:next w:val="16"/>
    <w:link w:val="87"/>
    <w:unhideWhenUsed/>
    <w:qFormat/>
    <w:uiPriority w:val="99"/>
    <w:rPr>
      <w:b/>
      <w:bCs/>
    </w:rPr>
  </w:style>
  <w:style w:type="paragraph" w:styleId="47">
    <w:name w:val="Body Text First Indent"/>
    <w:basedOn w:val="18"/>
    <w:link w:val="88"/>
    <w:unhideWhenUsed/>
    <w:qFormat/>
    <w:uiPriority w:val="99"/>
    <w:pPr>
      <w:spacing w:after="120" w:line="240" w:lineRule="auto"/>
      <w:ind w:firstLine="420" w:firstLineChars="100"/>
    </w:pPr>
    <w:rPr>
      <w:kern w:val="2"/>
      <w:sz w:val="21"/>
    </w:rPr>
  </w:style>
  <w:style w:type="paragraph" w:styleId="48">
    <w:name w:val="Body Text First Indent 2"/>
    <w:basedOn w:val="19"/>
    <w:link w:val="89"/>
    <w:unhideWhenUsed/>
    <w:qFormat/>
    <w:uiPriority w:val="99"/>
    <w:pPr>
      <w:spacing w:after="120"/>
      <w:ind w:left="420" w:leftChars="200" w:firstLine="420" w:firstLineChars="200"/>
    </w:pPr>
    <w:rPr>
      <w:kern w:val="2"/>
      <w:sz w:val="21"/>
      <w:szCs w:val="24"/>
    </w:rPr>
  </w:style>
  <w:style w:type="table" w:styleId="50">
    <w:name w:val="Table Grid"/>
    <w:basedOn w:val="49"/>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22"/>
    <w:rPr>
      <w:b/>
      <w:bCs/>
    </w:rPr>
  </w:style>
  <w:style w:type="character" w:styleId="53">
    <w:name w:val="endnote reference"/>
    <w:unhideWhenUsed/>
    <w:qFormat/>
    <w:uiPriority w:val="99"/>
    <w:rPr>
      <w:vertAlign w:val="superscript"/>
    </w:rPr>
  </w:style>
  <w:style w:type="character" w:styleId="54">
    <w:name w:val="page number"/>
    <w:qFormat/>
    <w:uiPriority w:val="0"/>
  </w:style>
  <w:style w:type="character" w:styleId="55">
    <w:name w:val="FollowedHyperlink"/>
    <w:qFormat/>
    <w:uiPriority w:val="99"/>
    <w:rPr>
      <w:color w:val="800080"/>
      <w:u w:val="single"/>
    </w:rPr>
  </w:style>
  <w:style w:type="character" w:styleId="56">
    <w:name w:val="Hyperlink"/>
    <w:qFormat/>
    <w:uiPriority w:val="99"/>
    <w:rPr>
      <w:color w:val="0000FF"/>
      <w:u w:val="single"/>
    </w:rPr>
  </w:style>
  <w:style w:type="character" w:styleId="57">
    <w:name w:val="annotation reference"/>
    <w:unhideWhenUsed/>
    <w:qFormat/>
    <w:uiPriority w:val="0"/>
    <w:rPr>
      <w:sz w:val="21"/>
      <w:szCs w:val="21"/>
    </w:rPr>
  </w:style>
  <w:style w:type="character" w:styleId="58">
    <w:name w:val="footnote reference"/>
    <w:unhideWhenUsed/>
    <w:qFormat/>
    <w:uiPriority w:val="99"/>
    <w:rPr>
      <w:vertAlign w:val="superscript"/>
    </w:rPr>
  </w:style>
  <w:style w:type="character" w:customStyle="1" w:styleId="59">
    <w:name w:val="标题 1 字符1"/>
    <w:link w:val="2"/>
    <w:qFormat/>
    <w:uiPriority w:val="9"/>
    <w:rPr>
      <w:rFonts w:ascii="Times New Roman" w:hAnsi="Times New Roman" w:eastAsia="宋体" w:cs="Times New Roman"/>
      <w:b/>
      <w:bCs/>
      <w:kern w:val="44"/>
      <w:sz w:val="44"/>
      <w:szCs w:val="44"/>
    </w:rPr>
  </w:style>
  <w:style w:type="character" w:customStyle="1" w:styleId="60">
    <w:name w:val="标题 2 字符1"/>
    <w:link w:val="3"/>
    <w:qFormat/>
    <w:uiPriority w:val="0"/>
    <w:rPr>
      <w:rFonts w:ascii="Arial" w:hAnsi="Arial" w:eastAsia="黑体" w:cs="Times New Roman"/>
      <w:b/>
      <w:bCs/>
      <w:sz w:val="32"/>
      <w:szCs w:val="32"/>
    </w:rPr>
  </w:style>
  <w:style w:type="character" w:customStyle="1" w:styleId="61">
    <w:name w:val="标题 3 字符1"/>
    <w:link w:val="4"/>
    <w:qFormat/>
    <w:uiPriority w:val="0"/>
    <w:rPr>
      <w:rFonts w:ascii="Times New Roman" w:hAnsi="Times New Roman" w:eastAsia="宋体" w:cs="Times New Roman"/>
      <w:b/>
      <w:bCs/>
      <w:sz w:val="32"/>
      <w:szCs w:val="32"/>
    </w:rPr>
  </w:style>
  <w:style w:type="character" w:customStyle="1" w:styleId="62">
    <w:name w:val="标题 4 字符"/>
    <w:link w:val="5"/>
    <w:qFormat/>
    <w:uiPriority w:val="9"/>
    <w:rPr>
      <w:rFonts w:ascii="Calibri Light" w:hAnsi="Calibri Light" w:eastAsia="宋体" w:cs="Times New Roman"/>
      <w:b/>
      <w:bCs/>
      <w:kern w:val="2"/>
      <w:sz w:val="28"/>
      <w:szCs w:val="28"/>
    </w:rPr>
  </w:style>
  <w:style w:type="character" w:customStyle="1" w:styleId="63">
    <w:name w:val="标题 5 字符1"/>
    <w:link w:val="6"/>
    <w:qFormat/>
    <w:uiPriority w:val="0"/>
    <w:rPr>
      <w:b/>
      <w:kern w:val="2"/>
      <w:sz w:val="28"/>
      <w:szCs w:val="24"/>
    </w:rPr>
  </w:style>
  <w:style w:type="character" w:customStyle="1" w:styleId="64">
    <w:name w:val="正文缩进 字符"/>
    <w:link w:val="7"/>
    <w:qFormat/>
    <w:uiPriority w:val="0"/>
    <w:rPr>
      <w:kern w:val="2"/>
      <w:sz w:val="21"/>
    </w:rPr>
  </w:style>
  <w:style w:type="character" w:customStyle="1" w:styleId="65">
    <w:name w:val="标题 6 字符1"/>
    <w:link w:val="8"/>
    <w:qFormat/>
    <w:uiPriority w:val="0"/>
    <w:rPr>
      <w:rFonts w:ascii="Arial" w:hAnsi="Arial" w:eastAsia="黑体"/>
      <w:b/>
      <w:kern w:val="2"/>
      <w:sz w:val="24"/>
      <w:szCs w:val="24"/>
    </w:rPr>
  </w:style>
  <w:style w:type="character" w:customStyle="1" w:styleId="66">
    <w:name w:val="标题 7 字符1"/>
    <w:link w:val="9"/>
    <w:qFormat/>
    <w:uiPriority w:val="0"/>
    <w:rPr>
      <w:b/>
      <w:kern w:val="2"/>
      <w:sz w:val="24"/>
      <w:szCs w:val="24"/>
    </w:rPr>
  </w:style>
  <w:style w:type="character" w:customStyle="1" w:styleId="67">
    <w:name w:val="标题 8 字符1"/>
    <w:link w:val="10"/>
    <w:qFormat/>
    <w:uiPriority w:val="0"/>
    <w:rPr>
      <w:rFonts w:ascii="Arial" w:hAnsi="Arial" w:eastAsia="黑体"/>
      <w:kern w:val="2"/>
      <w:sz w:val="24"/>
      <w:szCs w:val="24"/>
    </w:rPr>
  </w:style>
  <w:style w:type="character" w:customStyle="1" w:styleId="68">
    <w:name w:val="标题 9 字符1"/>
    <w:link w:val="11"/>
    <w:qFormat/>
    <w:uiPriority w:val="0"/>
    <w:rPr>
      <w:rFonts w:ascii="Arial" w:hAnsi="Arial" w:eastAsia="黑体"/>
      <w:kern w:val="2"/>
      <w:sz w:val="21"/>
      <w:szCs w:val="24"/>
    </w:rPr>
  </w:style>
  <w:style w:type="character" w:customStyle="1" w:styleId="69">
    <w:name w:val="题注 字符"/>
    <w:link w:val="14"/>
    <w:qFormat/>
    <w:uiPriority w:val="0"/>
    <w:rPr>
      <w:rFonts w:ascii="Arial" w:hAnsi="Arial" w:eastAsia="黑体" w:cs="Arial"/>
      <w:kern w:val="2"/>
    </w:rPr>
  </w:style>
  <w:style w:type="character" w:customStyle="1" w:styleId="70">
    <w:name w:val="文档结构图 字符1"/>
    <w:link w:val="15"/>
    <w:qFormat/>
    <w:uiPriority w:val="0"/>
    <w:rPr>
      <w:rFonts w:ascii="宋体" w:hAnsi="宋体"/>
      <w:shd w:val="clear" w:color="auto" w:fill="000080"/>
    </w:rPr>
  </w:style>
  <w:style w:type="character" w:customStyle="1" w:styleId="71">
    <w:name w:val="批注文字 字符8"/>
    <w:link w:val="16"/>
    <w:qFormat/>
    <w:uiPriority w:val="0"/>
    <w:rPr>
      <w:rFonts w:ascii="Times New Roman" w:hAnsi="Times New Roman"/>
      <w:kern w:val="2"/>
      <w:sz w:val="21"/>
      <w:szCs w:val="24"/>
    </w:rPr>
  </w:style>
  <w:style w:type="character" w:customStyle="1" w:styleId="72">
    <w:name w:val="正文文本 3 字符1"/>
    <w:link w:val="17"/>
    <w:qFormat/>
    <w:uiPriority w:val="0"/>
    <w:rPr>
      <w:rFonts w:ascii="Times New Roman" w:hAnsi="Times New Roman" w:eastAsia="宋体" w:cs="Times New Roman"/>
      <w:b/>
      <w:bCs/>
      <w:sz w:val="24"/>
      <w:szCs w:val="24"/>
    </w:rPr>
  </w:style>
  <w:style w:type="character" w:customStyle="1" w:styleId="73">
    <w:name w:val="正文文本 字符2"/>
    <w:link w:val="18"/>
    <w:qFormat/>
    <w:uiPriority w:val="0"/>
    <w:rPr>
      <w:rFonts w:ascii="Times New Roman" w:hAnsi="Times New Roman" w:eastAsia="宋体" w:cs="Times New Roman"/>
      <w:sz w:val="24"/>
      <w:szCs w:val="24"/>
    </w:rPr>
  </w:style>
  <w:style w:type="character" w:customStyle="1" w:styleId="74">
    <w:name w:val="正文文本缩进 字符1"/>
    <w:link w:val="19"/>
    <w:qFormat/>
    <w:uiPriority w:val="0"/>
    <w:rPr>
      <w:rFonts w:ascii="仿宋_GB2312" w:hAnsi="Times New Roman" w:eastAsia="仿宋_GB2312" w:cs="Times New Roman"/>
      <w:sz w:val="32"/>
      <w:szCs w:val="20"/>
    </w:rPr>
  </w:style>
  <w:style w:type="character" w:customStyle="1" w:styleId="75">
    <w:name w:val="纯文本 字符3"/>
    <w:link w:val="24"/>
    <w:qFormat/>
    <w:uiPriority w:val="0"/>
    <w:rPr>
      <w:rFonts w:ascii="宋体" w:hAnsi="Courier New" w:eastAsia="宋体" w:cs="Courier New"/>
      <w:szCs w:val="21"/>
    </w:rPr>
  </w:style>
  <w:style w:type="character" w:customStyle="1" w:styleId="76">
    <w:name w:val="日期 字符1"/>
    <w:link w:val="26"/>
    <w:qFormat/>
    <w:uiPriority w:val="0"/>
    <w:rPr>
      <w:rFonts w:ascii="宋体" w:hAnsi="Courier New" w:eastAsia="宋体" w:cs="Courier New"/>
      <w:szCs w:val="21"/>
    </w:rPr>
  </w:style>
  <w:style w:type="character" w:customStyle="1" w:styleId="77">
    <w:name w:val="正文文本缩进 2 字符1"/>
    <w:link w:val="27"/>
    <w:qFormat/>
    <w:uiPriority w:val="0"/>
    <w:rPr>
      <w:rFonts w:ascii="Times New Roman" w:hAnsi="Times New Roman" w:eastAsia="宋体" w:cs="Times New Roman"/>
      <w:sz w:val="32"/>
      <w:szCs w:val="20"/>
    </w:rPr>
  </w:style>
  <w:style w:type="character" w:customStyle="1" w:styleId="78">
    <w:name w:val="尾注文本 字符1"/>
    <w:link w:val="28"/>
    <w:qFormat/>
    <w:uiPriority w:val="99"/>
    <w:rPr>
      <w:rFonts w:ascii="Times New Roman" w:hAnsi="Times New Roman"/>
      <w:kern w:val="2"/>
      <w:sz w:val="21"/>
      <w:szCs w:val="24"/>
    </w:rPr>
  </w:style>
  <w:style w:type="character" w:customStyle="1" w:styleId="79">
    <w:name w:val="批注框文本 字符1"/>
    <w:link w:val="29"/>
    <w:semiHidden/>
    <w:qFormat/>
    <w:uiPriority w:val="0"/>
    <w:rPr>
      <w:rFonts w:ascii="Times New Roman" w:hAnsi="Times New Roman" w:eastAsia="宋体" w:cs="Times New Roman"/>
      <w:sz w:val="18"/>
      <w:szCs w:val="18"/>
    </w:rPr>
  </w:style>
  <w:style w:type="character" w:customStyle="1" w:styleId="80">
    <w:name w:val="页脚 字符1"/>
    <w:link w:val="30"/>
    <w:qFormat/>
    <w:uiPriority w:val="99"/>
    <w:rPr>
      <w:sz w:val="18"/>
      <w:szCs w:val="18"/>
    </w:rPr>
  </w:style>
  <w:style w:type="character" w:customStyle="1" w:styleId="81">
    <w:name w:val="页眉 字符1"/>
    <w:link w:val="31"/>
    <w:qFormat/>
    <w:uiPriority w:val="99"/>
    <w:rPr>
      <w:rFonts w:ascii="Times New Roman" w:hAnsi="Times New Roman"/>
      <w:kern w:val="2"/>
      <w:sz w:val="18"/>
      <w:szCs w:val="18"/>
    </w:rPr>
  </w:style>
  <w:style w:type="character" w:customStyle="1" w:styleId="82">
    <w:name w:val="副标题 字符"/>
    <w:link w:val="34"/>
    <w:qFormat/>
    <w:uiPriority w:val="11"/>
    <w:rPr>
      <w:rFonts w:ascii="Calibri" w:hAnsi="Calibri" w:cs="Times New Roman"/>
      <w:b/>
      <w:bCs/>
      <w:kern w:val="28"/>
      <w:sz w:val="44"/>
      <w:szCs w:val="32"/>
    </w:rPr>
  </w:style>
  <w:style w:type="character" w:customStyle="1" w:styleId="83">
    <w:name w:val="脚注文本 字符1"/>
    <w:link w:val="36"/>
    <w:qFormat/>
    <w:uiPriority w:val="99"/>
    <w:rPr>
      <w:rFonts w:ascii="Times New Roman" w:hAnsi="Times New Roman"/>
      <w:kern w:val="2"/>
      <w:sz w:val="18"/>
      <w:szCs w:val="18"/>
    </w:rPr>
  </w:style>
  <w:style w:type="character" w:customStyle="1" w:styleId="84">
    <w:name w:val="正文文本缩进 3 字符1"/>
    <w:link w:val="38"/>
    <w:qFormat/>
    <w:uiPriority w:val="0"/>
    <w:rPr>
      <w:rFonts w:ascii="Times New Roman" w:hAnsi="Times New Roman" w:eastAsia="宋体" w:cs="Times New Roman"/>
      <w:sz w:val="16"/>
      <w:szCs w:val="16"/>
    </w:rPr>
  </w:style>
  <w:style w:type="character" w:customStyle="1" w:styleId="85">
    <w:name w:val="正文文本 2 字符1"/>
    <w:link w:val="42"/>
    <w:qFormat/>
    <w:uiPriority w:val="0"/>
    <w:rPr>
      <w:rFonts w:ascii="Times New Roman" w:hAnsi="Times New Roman" w:eastAsia="宋体" w:cs="Times New Roman"/>
      <w:szCs w:val="24"/>
    </w:rPr>
  </w:style>
  <w:style w:type="character" w:customStyle="1" w:styleId="86">
    <w:name w:val="标题 字符1"/>
    <w:link w:val="45"/>
    <w:qFormat/>
    <w:uiPriority w:val="10"/>
    <w:rPr>
      <w:rFonts w:ascii="Cambria" w:hAnsi="Cambria" w:cs="Times New Roman"/>
      <w:b/>
      <w:bCs/>
      <w:kern w:val="2"/>
      <w:sz w:val="32"/>
      <w:szCs w:val="32"/>
    </w:rPr>
  </w:style>
  <w:style w:type="character" w:customStyle="1" w:styleId="87">
    <w:name w:val="批注主题 字符1"/>
    <w:link w:val="46"/>
    <w:qFormat/>
    <w:uiPriority w:val="99"/>
    <w:rPr>
      <w:rFonts w:ascii="Times New Roman" w:hAnsi="Times New Roman"/>
      <w:b/>
      <w:bCs/>
      <w:kern w:val="2"/>
      <w:sz w:val="21"/>
      <w:szCs w:val="24"/>
    </w:rPr>
  </w:style>
  <w:style w:type="character" w:customStyle="1" w:styleId="88">
    <w:name w:val="正文首行缩进 字符"/>
    <w:link w:val="47"/>
    <w:semiHidden/>
    <w:qFormat/>
    <w:uiPriority w:val="99"/>
    <w:rPr>
      <w:rFonts w:ascii="Times New Roman" w:hAnsi="Times New Roman" w:eastAsia="宋体" w:cs="Times New Roman"/>
      <w:kern w:val="2"/>
      <w:sz w:val="21"/>
      <w:szCs w:val="24"/>
    </w:rPr>
  </w:style>
  <w:style w:type="character" w:customStyle="1" w:styleId="89">
    <w:name w:val="正文首行缩进 2 字符"/>
    <w:link w:val="48"/>
    <w:semiHidden/>
    <w:qFormat/>
    <w:uiPriority w:val="99"/>
    <w:rPr>
      <w:rFonts w:ascii="仿宋_GB2312" w:hAnsi="Times New Roman" w:eastAsia="仿宋_GB2312" w:cs="Times New Roman"/>
      <w:kern w:val="2"/>
      <w:sz w:val="21"/>
      <w:szCs w:val="24"/>
    </w:rPr>
  </w:style>
  <w:style w:type="character" w:customStyle="1" w:styleId="90">
    <w:name w:val="纯文本 字符1"/>
    <w:qFormat/>
    <w:uiPriority w:val="0"/>
    <w:rPr>
      <w:rFonts w:ascii="宋体" w:hAnsi="Courier New"/>
    </w:rPr>
  </w:style>
  <w:style w:type="character" w:customStyle="1" w:styleId="91">
    <w:name w:val="批注文字 Char1"/>
    <w:qFormat/>
    <w:locked/>
    <w:uiPriority w:val="0"/>
    <w:rPr>
      <w:rFonts w:ascii="Times New Roman" w:hAnsi="Times New Roman"/>
      <w:kern w:val="2"/>
      <w:sz w:val="21"/>
      <w:szCs w:val="24"/>
    </w:rPr>
  </w:style>
  <w:style w:type="character" w:customStyle="1" w:styleId="92">
    <w:name w:val="headline-content4"/>
    <w:qFormat/>
    <w:uiPriority w:val="0"/>
  </w:style>
  <w:style w:type="character" w:customStyle="1" w:styleId="93">
    <w:name w:val="批注文字 字符"/>
    <w:qFormat/>
    <w:uiPriority w:val="0"/>
    <w:rPr>
      <w:rFonts w:ascii="Times New Roman" w:hAnsi="Times New Roman"/>
      <w:kern w:val="2"/>
      <w:sz w:val="21"/>
      <w:szCs w:val="24"/>
    </w:rPr>
  </w:style>
  <w:style w:type="character" w:customStyle="1" w:styleId="94">
    <w:name w:val="标题 5 Char"/>
    <w:qFormat/>
    <w:uiPriority w:val="0"/>
    <w:rPr>
      <w:b/>
      <w:kern w:val="2"/>
      <w:sz w:val="28"/>
      <w:szCs w:val="24"/>
    </w:rPr>
  </w:style>
  <w:style w:type="character" w:customStyle="1" w:styleId="9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6">
    <w:name w:val="批注文字 Char"/>
    <w:qFormat/>
    <w:uiPriority w:val="0"/>
    <w:rPr>
      <w:rFonts w:ascii="Times New Roman" w:hAnsi="Times New Roman"/>
      <w:kern w:val="2"/>
      <w:sz w:val="21"/>
      <w:szCs w:val="24"/>
    </w:rPr>
  </w:style>
  <w:style w:type="character" w:customStyle="1" w:styleId="97">
    <w:name w:val="标题 1 字符"/>
    <w:qFormat/>
    <w:uiPriority w:val="9"/>
    <w:rPr>
      <w:rFonts w:ascii="Times New Roman" w:hAnsi="Times New Roman" w:eastAsia="宋体" w:cs="Times New Roman"/>
      <w:b/>
      <w:bCs/>
      <w:kern w:val="44"/>
      <w:sz w:val="44"/>
      <w:szCs w:val="44"/>
    </w:rPr>
  </w:style>
  <w:style w:type="character" w:customStyle="1" w:styleId="98">
    <w:name w:val="apple-style-span"/>
    <w:qFormat/>
    <w:uiPriority w:val="0"/>
  </w:style>
  <w:style w:type="character" w:customStyle="1" w:styleId="99">
    <w:name w:val="正文文本缩进 字符"/>
    <w:qFormat/>
    <w:uiPriority w:val="0"/>
    <w:rPr>
      <w:rFonts w:ascii="仿宋_GB2312" w:hAnsi="Times New Roman" w:eastAsia="仿宋_GB2312" w:cs="Times New Roman"/>
      <w:sz w:val="32"/>
      <w:szCs w:val="20"/>
    </w:rPr>
  </w:style>
  <w:style w:type="character" w:customStyle="1" w:styleId="100">
    <w:name w:val="case31"/>
    <w:qFormat/>
    <w:uiPriority w:val="0"/>
    <w:rPr>
      <w:rFonts w:hint="default" w:ascii="_x000B__x000C_" w:hAnsi="_x000B__x000C_"/>
      <w:sz w:val="21"/>
      <w:szCs w:val="21"/>
    </w:rPr>
  </w:style>
  <w:style w:type="character" w:customStyle="1" w:styleId="101">
    <w:name w:val="纯文本 字符"/>
    <w:qFormat/>
    <w:uiPriority w:val="0"/>
    <w:rPr>
      <w:rFonts w:ascii="宋体" w:hAnsi="Courier New" w:eastAsia="宋体" w:cs="Courier New"/>
      <w:szCs w:val="21"/>
    </w:rPr>
  </w:style>
  <w:style w:type="character" w:customStyle="1" w:styleId="102">
    <w:name w:val="textcontents"/>
    <w:qFormat/>
    <w:uiPriority w:val="0"/>
  </w:style>
  <w:style w:type="character" w:customStyle="1" w:styleId="103">
    <w:name w:val="普通文字 Char Char2"/>
    <w:qFormat/>
    <w:uiPriority w:val="0"/>
    <w:rPr>
      <w:rFonts w:ascii="宋体" w:hAnsi="Courier New" w:eastAsia="宋体"/>
      <w:kern w:val="2"/>
      <w:sz w:val="21"/>
      <w:lang w:val="en-US" w:eastAsia="zh-CN" w:bidi="ar-SA"/>
    </w:rPr>
  </w:style>
  <w:style w:type="paragraph" w:customStyle="1" w:styleId="104">
    <w:name w:val="正文段"/>
    <w:basedOn w:val="1"/>
    <w:qFormat/>
    <w:uiPriority w:val="0"/>
    <w:pPr>
      <w:widowControl/>
      <w:snapToGrid w:val="0"/>
      <w:spacing w:after="50" w:afterLines="50"/>
      <w:ind w:firstLine="200" w:firstLineChars="200"/>
    </w:pPr>
    <w:rPr>
      <w:kern w:val="0"/>
      <w:sz w:val="24"/>
      <w:szCs w:val="20"/>
    </w:rPr>
  </w:style>
  <w:style w:type="paragraph" w:customStyle="1" w:styleId="10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6">
    <w:name w:val="默认段落字体 Para Char Char Char Char Char Char Char Char Char1 Char Char Char Char"/>
    <w:basedOn w:val="1"/>
    <w:qFormat/>
    <w:uiPriority w:val="0"/>
    <w:rPr>
      <w:rFonts w:ascii="Tahoma" w:hAnsi="Tahoma"/>
      <w:sz w:val="24"/>
      <w:szCs w:val="20"/>
    </w:rPr>
  </w:style>
  <w:style w:type="paragraph" w:customStyle="1" w:styleId="107">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8">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9">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10">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11">
    <w:name w:val="Char1"/>
    <w:basedOn w:val="1"/>
    <w:qFormat/>
    <w:uiPriority w:val="0"/>
    <w:rPr>
      <w:szCs w:val="21"/>
    </w:rPr>
  </w:style>
  <w:style w:type="paragraph" w:customStyle="1" w:styleId="112">
    <w:name w:val="正文首行缩进两字符"/>
    <w:basedOn w:val="1"/>
    <w:qFormat/>
    <w:uiPriority w:val="0"/>
    <w:pPr>
      <w:spacing w:line="360" w:lineRule="auto"/>
      <w:ind w:firstLine="200" w:firstLineChars="200"/>
    </w:pPr>
  </w:style>
  <w:style w:type="paragraph" w:customStyle="1" w:styleId="113">
    <w:name w:val="表格"/>
    <w:basedOn w:val="1"/>
    <w:qFormat/>
    <w:uiPriority w:val="0"/>
    <w:pPr>
      <w:spacing w:line="400" w:lineRule="exact"/>
    </w:pPr>
    <w:rPr>
      <w:sz w:val="24"/>
    </w:rPr>
  </w:style>
  <w:style w:type="paragraph" w:customStyle="1" w:styleId="114">
    <w:name w:val="样式 首行缩进:  2 字符"/>
    <w:basedOn w:val="1"/>
    <w:qFormat/>
    <w:uiPriority w:val="0"/>
    <w:pPr>
      <w:spacing w:line="400" w:lineRule="exact"/>
      <w:ind w:firstLine="200" w:firstLineChars="200"/>
    </w:pPr>
    <w:rPr>
      <w:rFonts w:cs="宋体"/>
      <w:sz w:val="24"/>
    </w:rPr>
  </w:style>
  <w:style w:type="paragraph" w:customStyle="1" w:styleId="115">
    <w:name w:val="Plain Text"/>
    <w:basedOn w:val="1"/>
    <w:qFormat/>
    <w:uiPriority w:val="0"/>
    <w:rPr>
      <w:rFonts w:ascii="宋体" w:hAnsi="Courier New" w:cs="Century"/>
      <w:szCs w:val="21"/>
    </w:rPr>
  </w:style>
  <w:style w:type="paragraph" w:customStyle="1" w:styleId="116">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117">
    <w:name w:val="List Paragraph"/>
    <w:basedOn w:val="1"/>
    <w:qFormat/>
    <w:uiPriority w:val="34"/>
    <w:pPr>
      <w:ind w:firstLine="420" w:firstLineChars="200"/>
    </w:pPr>
  </w:style>
  <w:style w:type="table" w:customStyle="1" w:styleId="118">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 w:type="character" w:customStyle="1" w:styleId="119">
    <w:name w:val="纯文本 Char1"/>
    <w:qFormat/>
    <w:uiPriority w:val="0"/>
    <w:rPr>
      <w:rFonts w:ascii="宋体" w:hAnsi="Courier New" w:eastAsia="宋体" w:cs="Courier New"/>
      <w:szCs w:val="21"/>
    </w:rPr>
  </w:style>
  <w:style w:type="character" w:customStyle="1" w:styleId="120">
    <w:name w:val="标题 5 Char1"/>
    <w:qFormat/>
    <w:uiPriority w:val="0"/>
    <w:rPr>
      <w:b/>
      <w:kern w:val="2"/>
      <w:sz w:val="28"/>
      <w:szCs w:val="24"/>
    </w:rPr>
  </w:style>
  <w:style w:type="character" w:customStyle="1" w:styleId="121">
    <w:name w:val="批注文字 字符2"/>
    <w:qFormat/>
    <w:uiPriority w:val="0"/>
    <w:rPr>
      <w:rFonts w:ascii="Times New Roman" w:hAnsi="Times New Roman"/>
      <w:kern w:val="2"/>
      <w:sz w:val="21"/>
      <w:szCs w:val="24"/>
    </w:rPr>
  </w:style>
  <w:style w:type="character" w:customStyle="1" w:styleId="122">
    <w:name w:val="纯文本 Char"/>
    <w:qFormat/>
    <w:uiPriority w:val="99"/>
    <w:rPr>
      <w:rFonts w:ascii="宋体" w:hAnsi="Courier New" w:eastAsia="宋体" w:cs="Courier New"/>
      <w:szCs w:val="21"/>
    </w:rPr>
  </w:style>
  <w:style w:type="paragraph" w:customStyle="1" w:styleId="123">
    <w:name w:val="正文2"/>
    <w:basedOn w:val="1"/>
    <w:link w:val="124"/>
    <w:qFormat/>
    <w:uiPriority w:val="0"/>
    <w:pPr>
      <w:adjustRightInd w:val="0"/>
      <w:spacing w:before="156" w:line="360" w:lineRule="auto"/>
      <w:ind w:firstLine="510" w:firstLineChars="200"/>
    </w:pPr>
    <w:rPr>
      <w:sz w:val="24"/>
      <w:szCs w:val="20"/>
    </w:rPr>
  </w:style>
  <w:style w:type="character" w:customStyle="1" w:styleId="124">
    <w:name w:val="正文2 Char Char"/>
    <w:link w:val="123"/>
    <w:qFormat/>
    <w:uiPriority w:val="0"/>
    <w:rPr>
      <w:kern w:val="2"/>
      <w:sz w:val="24"/>
    </w:rPr>
  </w:style>
  <w:style w:type="paragraph" w:customStyle="1" w:styleId="125">
    <w:name w:val="文章正文"/>
    <w:basedOn w:val="1"/>
    <w:link w:val="126"/>
    <w:qFormat/>
    <w:uiPriority w:val="0"/>
    <w:pPr>
      <w:spacing w:line="360" w:lineRule="auto"/>
      <w:ind w:firstLine="200" w:firstLineChars="200"/>
    </w:pPr>
    <w:rPr>
      <w:rFonts w:ascii="Calibri" w:hAnsi="Calibri" w:eastAsia="仿宋"/>
      <w:sz w:val="28"/>
      <w:szCs w:val="22"/>
    </w:rPr>
  </w:style>
  <w:style w:type="character" w:customStyle="1" w:styleId="126">
    <w:name w:val="文章正文 Char"/>
    <w:link w:val="125"/>
    <w:qFormat/>
    <w:uiPriority w:val="0"/>
    <w:rPr>
      <w:rFonts w:ascii="Calibri" w:hAnsi="Calibri" w:eastAsia="仿宋"/>
      <w:kern w:val="2"/>
      <w:sz w:val="28"/>
      <w:szCs w:val="22"/>
    </w:rPr>
  </w:style>
  <w:style w:type="paragraph" w:customStyle="1" w:styleId="127">
    <w:name w:val="正文_0_0"/>
    <w:qFormat/>
    <w:uiPriority w:val="0"/>
    <w:pPr>
      <w:widowControl w:val="0"/>
      <w:jc w:val="both"/>
    </w:pPr>
    <w:rPr>
      <w:rFonts w:ascii="Calibri" w:hAnsi="Calibri" w:eastAsia="宋体" w:cs="Calibri"/>
      <w:kern w:val="2"/>
      <w:sz w:val="21"/>
      <w:szCs w:val="21"/>
      <w:lang w:val="en-US" w:eastAsia="zh-CN" w:bidi="ar-SA"/>
    </w:rPr>
  </w:style>
  <w:style w:type="paragraph" w:customStyle="1" w:styleId="128">
    <w:name w:val="Indent Normal"/>
    <w:basedOn w:val="1"/>
    <w:qFormat/>
    <w:uiPriority w:val="0"/>
    <w:pPr>
      <w:ind w:firstLine="150" w:firstLineChars="150"/>
    </w:pPr>
    <w:rPr>
      <w:rFonts w:ascii="Calibri" w:hAnsi="Calibri" w:eastAsia="宋体" w:cs="Times New Roman"/>
      <w:sz w:val="24"/>
    </w:rPr>
  </w:style>
  <w:style w:type="paragraph" w:customStyle="1" w:styleId="129">
    <w:name w:val="正文-首行缩进-自定义"/>
    <w:basedOn w:val="1"/>
    <w:qFormat/>
    <w:uiPriority w:val="0"/>
    <w:pPr>
      <w:overflowPunct w:val="0"/>
      <w:spacing w:line="360" w:lineRule="auto"/>
      <w:ind w:firstLine="200" w:firstLineChars="200"/>
    </w:pPr>
    <w:rPr>
      <w:rFonts w:ascii="宋体" w:hAnsi="Calibri" w:cs="Times New Roman"/>
      <w:sz w:val="24"/>
      <w:szCs w:val="21"/>
    </w:rPr>
  </w:style>
  <w:style w:type="paragraph" w:customStyle="1" w:styleId="130">
    <w:name w:val="表格-文稿-标题"/>
    <w:qFormat/>
    <w:uiPriority w:val="0"/>
    <w:pPr>
      <w:jc w:val="center"/>
    </w:pPr>
    <w:rPr>
      <w:rFonts w:ascii="宋体" w:hAnsi="Calibri" w:eastAsia="宋体" w:cs="Times New Roman"/>
      <w:b/>
      <w:kern w:val="2"/>
      <w:sz w:val="24"/>
      <w:szCs w:val="21"/>
      <w:lang w:val="en-US" w:eastAsia="zh-CN" w:bidi="ar-SA"/>
    </w:rPr>
  </w:style>
  <w:style w:type="paragraph" w:customStyle="1" w:styleId="131">
    <w:name w:val="表格-文稿-内容"/>
    <w:qFormat/>
    <w:uiPriority w:val="0"/>
    <w:pPr>
      <w:jc w:val="both"/>
    </w:pPr>
    <w:rPr>
      <w:rFonts w:ascii="宋体" w:hAnsi="Calibri" w:eastAsia="宋体" w:cs="Times New Roman"/>
      <w:kern w:val="2"/>
      <w:sz w:val="24"/>
      <w:szCs w:val="21"/>
      <w:lang w:val="en-US" w:eastAsia="zh-CN" w:bidi="ar-SA"/>
    </w:rPr>
  </w:style>
  <w:style w:type="paragraph" w:customStyle="1" w:styleId="132">
    <w:name w:val="正文-首行缩进-强调-自定义"/>
    <w:basedOn w:val="129"/>
    <w:next w:val="129"/>
    <w:qFormat/>
    <w:uiPriority w:val="0"/>
    <w:pPr>
      <w:ind w:firstLine="480"/>
    </w:pPr>
    <w:rPr>
      <w:rFonts w:hAnsi="Calibri" w:cs="Times New Roman"/>
      <w:b/>
    </w:rPr>
  </w:style>
  <w:style w:type="table" w:customStyle="1" w:styleId="133">
    <w:name w:val="无格式表格 11"/>
    <w:basedOn w:val="49"/>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34">
    <w:name w:val="网格型浅色1"/>
    <w:basedOn w:val="49"/>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135">
    <w:name w:val="正文-横线-自定义"/>
    <w:basedOn w:val="1"/>
    <w:next w:val="1"/>
    <w:qFormat/>
    <w:uiPriority w:val="0"/>
    <w:pPr>
      <w:pBdr>
        <w:bottom w:val="thinThickSmallGap" w:color="auto" w:sz="36" w:space="1"/>
      </w:pBdr>
      <w:overflowPunct w:val="0"/>
      <w:spacing w:line="360" w:lineRule="auto"/>
      <w:jc w:val="center"/>
    </w:pPr>
    <w:rPr>
      <w:rFonts w:ascii="宋体" w:hAnsi="Calibri" w:cs="Times New Roman"/>
      <w:sz w:val="24"/>
      <w:szCs w:val="21"/>
    </w:rPr>
  </w:style>
  <w:style w:type="paragraph" w:customStyle="1" w:styleId="136">
    <w:name w:val="正文-嵌入式图片-自定义"/>
    <w:basedOn w:val="135"/>
    <w:next w:val="129"/>
    <w:qFormat/>
    <w:uiPriority w:val="0"/>
    <w:pPr>
      <w:pBdr>
        <w:bottom w:val="none" w:color="auto" w:sz="0" w:space="0"/>
      </w:pBdr>
    </w:pPr>
  </w:style>
  <w:style w:type="paragraph" w:customStyle="1" w:styleId="137">
    <w:name w:val="正文-编号列表-1、-首行缩进-自定义"/>
    <w:basedOn w:val="1"/>
    <w:next w:val="129"/>
    <w:qFormat/>
    <w:uiPriority w:val="0"/>
    <w:pPr>
      <w:numPr>
        <w:ilvl w:val="0"/>
        <w:numId w:val="3"/>
      </w:numPr>
      <w:overflowPunct w:val="0"/>
      <w:spacing w:line="360" w:lineRule="auto"/>
    </w:pPr>
    <w:rPr>
      <w:rFonts w:ascii="宋体" w:hAnsi="Calibri" w:cs="Times New Roman"/>
      <w:sz w:val="24"/>
      <w:szCs w:val="21"/>
    </w:rPr>
  </w:style>
  <w:style w:type="paragraph" w:customStyle="1" w:styleId="138">
    <w:name w:val="正文-编号列表-（一）-首行缩进-自定义"/>
    <w:basedOn w:val="1"/>
    <w:next w:val="129"/>
    <w:qFormat/>
    <w:uiPriority w:val="0"/>
    <w:pPr>
      <w:numPr>
        <w:ilvl w:val="0"/>
        <w:numId w:val="4"/>
      </w:numPr>
      <w:overflowPunct w:val="0"/>
      <w:spacing w:line="360" w:lineRule="auto"/>
      <w:ind w:firstLine="200" w:firstLineChars="200"/>
    </w:pPr>
    <w:rPr>
      <w:rFonts w:ascii="宋体" w:hAnsi="Calibri" w:cs="Times New Roman"/>
      <w:b/>
      <w:sz w:val="24"/>
      <w:szCs w:val="21"/>
    </w:rPr>
  </w:style>
  <w:style w:type="paragraph" w:customStyle="1" w:styleId="139">
    <w:name w:val="正文-编号列表-（1）-首行缩进-自定义"/>
    <w:basedOn w:val="1"/>
    <w:next w:val="129"/>
    <w:qFormat/>
    <w:uiPriority w:val="0"/>
    <w:pPr>
      <w:numPr>
        <w:ilvl w:val="0"/>
        <w:numId w:val="5"/>
      </w:numPr>
      <w:overflowPunct w:val="0"/>
      <w:spacing w:line="360" w:lineRule="auto"/>
    </w:pPr>
    <w:rPr>
      <w:rFonts w:ascii="宋体" w:hAnsi="Calibri" w:cs="Times New Roman"/>
      <w:sz w:val="24"/>
      <w:szCs w:val="21"/>
    </w:rPr>
  </w:style>
  <w:style w:type="paragraph" w:customStyle="1" w:styleId="140">
    <w:name w:val="正文-编号列表-1）-首行缩进-自定义"/>
    <w:basedOn w:val="1"/>
    <w:next w:val="129"/>
    <w:qFormat/>
    <w:uiPriority w:val="0"/>
    <w:pPr>
      <w:numPr>
        <w:ilvl w:val="0"/>
        <w:numId w:val="6"/>
      </w:numPr>
      <w:overflowPunct w:val="0"/>
      <w:spacing w:line="360" w:lineRule="auto"/>
    </w:pPr>
    <w:rPr>
      <w:rFonts w:ascii="宋体" w:hAnsi="Calibri" w:cs="Times New Roman"/>
      <w:sz w:val="24"/>
      <w:szCs w:val="21"/>
    </w:rPr>
  </w:style>
  <w:style w:type="paragraph" w:customStyle="1" w:styleId="141">
    <w:name w:val="正文-编号列表-1.-首行缩进-自定义"/>
    <w:basedOn w:val="1"/>
    <w:next w:val="129"/>
    <w:qFormat/>
    <w:uiPriority w:val="0"/>
    <w:pPr>
      <w:numPr>
        <w:ilvl w:val="0"/>
        <w:numId w:val="7"/>
      </w:numPr>
      <w:overflowPunct w:val="0"/>
      <w:spacing w:line="360" w:lineRule="auto"/>
    </w:pPr>
    <w:rPr>
      <w:rFonts w:ascii="宋体" w:hAnsi="Calibri" w:cs="Times New Roman"/>
      <w:sz w:val="24"/>
      <w:szCs w:val="21"/>
    </w:rPr>
  </w:style>
  <w:style w:type="paragraph" w:customStyle="1" w:styleId="142">
    <w:name w:val="表格-清单-内容"/>
    <w:qFormat/>
    <w:uiPriority w:val="0"/>
    <w:pPr>
      <w:autoSpaceDE w:val="0"/>
      <w:autoSpaceDN w:val="0"/>
      <w:adjustRightInd w:val="0"/>
      <w:jc w:val="both"/>
    </w:pPr>
    <w:rPr>
      <w:rFonts w:ascii="等线" w:hAnsi="Calibri" w:eastAsia="等线" w:cs="等线"/>
      <w:bCs/>
      <w:color w:val="000000"/>
      <w:lang w:val="en-US" w:eastAsia="zh-CN" w:bidi="ar-SA"/>
    </w:rPr>
  </w:style>
  <w:style w:type="paragraph" w:customStyle="1" w:styleId="143">
    <w:name w:val="表格-清单-标题"/>
    <w:qFormat/>
    <w:uiPriority w:val="0"/>
    <w:pPr>
      <w:jc w:val="center"/>
    </w:pPr>
    <w:rPr>
      <w:rFonts w:ascii="等线" w:hAnsi="Calibri" w:eastAsia="等线" w:cs="等线"/>
      <w:b/>
      <w:bCs/>
      <w:color w:val="000000"/>
      <w:lang w:val="en-US" w:eastAsia="zh-CN" w:bidi="ar-SA"/>
    </w:rPr>
  </w:style>
  <w:style w:type="paragraph" w:customStyle="1" w:styleId="144">
    <w:name w:val="正文-编号列表-一、-首行缩进--自定义"/>
    <w:basedOn w:val="1"/>
    <w:next w:val="129"/>
    <w:qFormat/>
    <w:uiPriority w:val="0"/>
    <w:pPr>
      <w:widowControl/>
      <w:numPr>
        <w:ilvl w:val="0"/>
        <w:numId w:val="8"/>
      </w:numPr>
      <w:spacing w:line="360" w:lineRule="auto"/>
      <w:ind w:firstLine="200" w:firstLineChars="200"/>
      <w:jc w:val="left"/>
    </w:pPr>
    <w:rPr>
      <w:rFonts w:ascii="宋体" w:hAnsi="宋体"/>
      <w:b/>
      <w:bCs/>
      <w:kern w:val="0"/>
      <w:sz w:val="24"/>
    </w:rPr>
  </w:style>
  <w:style w:type="table" w:customStyle="1" w:styleId="145">
    <w:name w:val="网格型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网格型1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7">
    <w:name w:val="正文-编号列表-（1）-悬挂缩进-自定义"/>
    <w:basedOn w:val="1"/>
    <w:next w:val="129"/>
    <w:qFormat/>
    <w:uiPriority w:val="0"/>
    <w:pPr>
      <w:numPr>
        <w:ilvl w:val="0"/>
        <w:numId w:val="9"/>
      </w:numPr>
      <w:overflowPunct w:val="0"/>
      <w:spacing w:line="360" w:lineRule="auto"/>
    </w:pPr>
    <w:rPr>
      <w:rFonts w:ascii="宋体" w:hAnsi="Calibri" w:cs="Times New Roman"/>
      <w:sz w:val="24"/>
      <w:szCs w:val="21"/>
    </w:rPr>
  </w:style>
  <w:style w:type="table" w:customStyle="1" w:styleId="148">
    <w:name w:val="网格型2"/>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修订1"/>
    <w:semiHidden/>
    <w:qFormat/>
    <w:uiPriority w:val="99"/>
    <w:rPr>
      <w:rFonts w:ascii="宋体" w:hAnsi="Calibri" w:eastAsia="宋体" w:cs="Times New Roman"/>
      <w:kern w:val="2"/>
      <w:sz w:val="24"/>
      <w:szCs w:val="21"/>
      <w:lang w:val="en-US" w:eastAsia="zh-CN" w:bidi="ar-SA"/>
    </w:rPr>
  </w:style>
  <w:style w:type="table" w:customStyle="1" w:styleId="150">
    <w:name w:val="网格型2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网格型11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
    <w:name w:val="网格型211"/>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正文-编号列表-1）-悬挂缩进-自定义"/>
    <w:basedOn w:val="1"/>
    <w:next w:val="129"/>
    <w:qFormat/>
    <w:uiPriority w:val="0"/>
    <w:pPr>
      <w:numPr>
        <w:ilvl w:val="0"/>
        <w:numId w:val="10"/>
      </w:numPr>
      <w:overflowPunct w:val="0"/>
      <w:spacing w:line="360" w:lineRule="auto"/>
    </w:pPr>
    <w:rPr>
      <w:rFonts w:ascii="宋体" w:hAnsi="Calibri" w:cs="Times New Roman"/>
      <w:sz w:val="24"/>
      <w:szCs w:val="21"/>
    </w:rPr>
  </w:style>
  <w:style w:type="paragraph" w:customStyle="1" w:styleId="154">
    <w:name w:val="副标题-黑体-三号-自定义"/>
    <w:basedOn w:val="34"/>
    <w:qFormat/>
    <w:uiPriority w:val="0"/>
    <w:rPr>
      <w:rFonts w:ascii="Times New Roman" w:hAnsi="Times New Roman" w:eastAsia="黑体"/>
      <w:sz w:val="32"/>
    </w:rPr>
  </w:style>
  <w:style w:type="paragraph" w:customStyle="1" w:styleId="155">
    <w:name w:val="TOC 标题1"/>
    <w:basedOn w:val="2"/>
    <w:next w:val="1"/>
    <w:unhideWhenUsed/>
    <w:qFormat/>
    <w:uiPriority w:val="39"/>
    <w:pPr>
      <w:widowControl/>
      <w:spacing w:before="240" w:after="0" w:line="259" w:lineRule="auto"/>
      <w:jc w:val="left"/>
      <w:outlineLvl w:val="9"/>
    </w:pPr>
    <w:rPr>
      <w:rFonts w:ascii="Cambria" w:hAnsi="Cambria" w:eastAsia="黑体" w:cs="Times New Roman"/>
      <w:bCs w:val="0"/>
      <w:kern w:val="0"/>
      <w:sz w:val="32"/>
      <w:szCs w:val="32"/>
      <w:lang w:val="en-US" w:eastAsia="zh-CN"/>
    </w:rPr>
  </w:style>
  <w:style w:type="character" w:customStyle="1" w:styleId="156">
    <w:name w:val="FC正文 Char"/>
    <w:link w:val="157"/>
    <w:qFormat/>
    <w:locked/>
    <w:uiPriority w:val="0"/>
    <w:rPr>
      <w:sz w:val="24"/>
      <w:szCs w:val="28"/>
    </w:rPr>
  </w:style>
  <w:style w:type="paragraph" w:customStyle="1" w:styleId="157">
    <w:name w:val="FC正文"/>
    <w:basedOn w:val="1"/>
    <w:link w:val="156"/>
    <w:qFormat/>
    <w:uiPriority w:val="0"/>
    <w:pPr>
      <w:autoSpaceDE w:val="0"/>
      <w:autoSpaceDN w:val="0"/>
      <w:adjustRightInd w:val="0"/>
      <w:spacing w:line="360" w:lineRule="auto"/>
      <w:ind w:firstLine="200" w:firstLineChars="200"/>
    </w:pPr>
    <w:rPr>
      <w:kern w:val="0"/>
      <w:sz w:val="24"/>
      <w:szCs w:val="28"/>
    </w:rPr>
  </w:style>
  <w:style w:type="table" w:customStyle="1" w:styleId="158">
    <w:name w:val="网格型3"/>
    <w:basedOn w:val="49"/>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9">
    <w:name w:val="纯文本 字符4"/>
    <w:qFormat/>
    <w:uiPriority w:val="0"/>
    <w:rPr>
      <w:rFonts w:ascii="宋体" w:hAnsi="Courier New" w:eastAsia="宋体" w:cs="Courier New"/>
      <w:szCs w:val="21"/>
    </w:rPr>
  </w:style>
  <w:style w:type="character" w:customStyle="1" w:styleId="160">
    <w:name w:val="批注文字 字符3"/>
    <w:qFormat/>
    <w:uiPriority w:val="0"/>
    <w:rPr>
      <w:rFonts w:ascii="Times New Roman" w:hAnsi="Times New Roman"/>
      <w:kern w:val="2"/>
      <w:sz w:val="21"/>
      <w:szCs w:val="24"/>
    </w:rPr>
  </w:style>
  <w:style w:type="character" w:customStyle="1" w:styleId="161">
    <w:name w:val="批注主题 字符"/>
    <w:qFormat/>
    <w:uiPriority w:val="99"/>
    <w:rPr>
      <w:rFonts w:ascii="Times New Roman" w:hAnsi="Times New Roman"/>
      <w:b/>
      <w:bCs/>
      <w:kern w:val="2"/>
      <w:sz w:val="21"/>
      <w:szCs w:val="24"/>
    </w:rPr>
  </w:style>
  <w:style w:type="character" w:customStyle="1" w:styleId="162">
    <w:name w:val="批注文字 字符1"/>
    <w:qFormat/>
    <w:uiPriority w:val="0"/>
    <w:rPr>
      <w:rFonts w:ascii="Times New Roman" w:hAnsi="Times New Roman"/>
      <w:kern w:val="2"/>
      <w:sz w:val="21"/>
      <w:szCs w:val="24"/>
    </w:rPr>
  </w:style>
  <w:style w:type="character" w:customStyle="1" w:styleId="163">
    <w:name w:val="页脚 字符"/>
    <w:qFormat/>
    <w:uiPriority w:val="99"/>
  </w:style>
  <w:style w:type="character" w:customStyle="1" w:styleId="164">
    <w:name w:val="font31"/>
    <w:qFormat/>
    <w:uiPriority w:val="0"/>
    <w:rPr>
      <w:rFonts w:hint="eastAsia" w:ascii="宋体" w:hAnsi="宋体" w:eastAsia="宋体" w:cs="宋体"/>
      <w:color w:val="000000"/>
      <w:sz w:val="20"/>
      <w:szCs w:val="20"/>
      <w:u w:val="none"/>
    </w:rPr>
  </w:style>
  <w:style w:type="character" w:customStyle="1" w:styleId="165">
    <w:name w:val="批注文字 字符4"/>
    <w:qFormat/>
    <w:uiPriority w:val="0"/>
    <w:rPr>
      <w:rFonts w:ascii="Times New Roman" w:hAnsi="Times New Roman"/>
      <w:kern w:val="2"/>
      <w:sz w:val="21"/>
      <w:szCs w:val="24"/>
    </w:rPr>
  </w:style>
  <w:style w:type="character" w:customStyle="1" w:styleId="166">
    <w:name w:val="标题 2 字符"/>
    <w:semiHidden/>
    <w:qFormat/>
    <w:uiPriority w:val="0"/>
    <w:rPr>
      <w:rFonts w:ascii="等线 Light" w:hAnsi="等线 Light" w:eastAsia="等线 Light" w:cs="Times New Roman"/>
      <w:b/>
      <w:bCs/>
      <w:kern w:val="2"/>
      <w:sz w:val="32"/>
      <w:szCs w:val="32"/>
    </w:rPr>
  </w:style>
  <w:style w:type="character" w:customStyle="1" w:styleId="167">
    <w:name w:val="标题 3 字符"/>
    <w:semiHidden/>
    <w:qFormat/>
    <w:uiPriority w:val="9"/>
    <w:rPr>
      <w:b/>
      <w:bCs/>
      <w:kern w:val="2"/>
      <w:sz w:val="32"/>
      <w:szCs w:val="32"/>
    </w:rPr>
  </w:style>
  <w:style w:type="character" w:customStyle="1" w:styleId="168">
    <w:name w:val="标题 5 字符"/>
    <w:qFormat/>
    <w:uiPriority w:val="9"/>
    <w:rPr>
      <w:b/>
      <w:bCs/>
      <w:kern w:val="2"/>
      <w:sz w:val="28"/>
      <w:szCs w:val="28"/>
    </w:rPr>
  </w:style>
  <w:style w:type="character" w:customStyle="1" w:styleId="169">
    <w:name w:val="标题 6 字符"/>
    <w:semiHidden/>
    <w:qFormat/>
    <w:uiPriority w:val="0"/>
    <w:rPr>
      <w:rFonts w:ascii="等线 Light" w:hAnsi="等线 Light" w:eastAsia="等线 Light" w:cs="Times New Roman"/>
      <w:b/>
      <w:bCs/>
      <w:kern w:val="2"/>
      <w:sz w:val="24"/>
      <w:szCs w:val="24"/>
    </w:rPr>
  </w:style>
  <w:style w:type="character" w:customStyle="1" w:styleId="170">
    <w:name w:val="标题 7 字符"/>
    <w:semiHidden/>
    <w:qFormat/>
    <w:uiPriority w:val="0"/>
    <w:rPr>
      <w:b/>
      <w:bCs/>
      <w:kern w:val="2"/>
      <w:sz w:val="24"/>
      <w:szCs w:val="24"/>
    </w:rPr>
  </w:style>
  <w:style w:type="character" w:customStyle="1" w:styleId="171">
    <w:name w:val="标题 8 字符"/>
    <w:semiHidden/>
    <w:qFormat/>
    <w:uiPriority w:val="0"/>
    <w:rPr>
      <w:rFonts w:ascii="等线 Light" w:hAnsi="等线 Light" w:eastAsia="等线 Light" w:cs="Times New Roman"/>
      <w:kern w:val="2"/>
      <w:sz w:val="24"/>
      <w:szCs w:val="24"/>
    </w:rPr>
  </w:style>
  <w:style w:type="character" w:customStyle="1" w:styleId="172">
    <w:name w:val="标题 9 字符"/>
    <w:semiHidden/>
    <w:qFormat/>
    <w:uiPriority w:val="0"/>
    <w:rPr>
      <w:rFonts w:ascii="等线 Light" w:hAnsi="等线 Light" w:eastAsia="等线 Light" w:cs="Times New Roman"/>
      <w:kern w:val="2"/>
      <w:sz w:val="21"/>
      <w:szCs w:val="21"/>
    </w:rPr>
  </w:style>
  <w:style w:type="character" w:customStyle="1" w:styleId="173">
    <w:name w:val="正文文本 字符"/>
    <w:semiHidden/>
    <w:qFormat/>
    <w:uiPriority w:val="99"/>
    <w:rPr>
      <w:kern w:val="2"/>
      <w:sz w:val="21"/>
      <w:szCs w:val="24"/>
    </w:rPr>
  </w:style>
  <w:style w:type="paragraph" w:customStyle="1" w:styleId="174">
    <w:name w:val="_Style 166"/>
    <w:basedOn w:val="19"/>
    <w:next w:val="48"/>
    <w:unhideWhenUsed/>
    <w:qFormat/>
    <w:uiPriority w:val="0"/>
    <w:pPr>
      <w:spacing w:after="120"/>
      <w:ind w:left="420" w:leftChars="200" w:firstLine="420" w:firstLineChars="200"/>
    </w:pPr>
    <w:rPr>
      <w:rFonts w:ascii="宋体" w:hAnsi="Courier New"/>
      <w:kern w:val="2"/>
      <w:sz w:val="21"/>
      <w:lang w:val="en-US" w:eastAsia="zh-CN"/>
    </w:rPr>
  </w:style>
  <w:style w:type="character" w:customStyle="1" w:styleId="175">
    <w:name w:val="文档结构图 字符"/>
    <w:semiHidden/>
    <w:qFormat/>
    <w:uiPriority w:val="0"/>
    <w:rPr>
      <w:rFonts w:ascii="Microsoft YaHei UI" w:eastAsia="Microsoft YaHei UI"/>
      <w:kern w:val="2"/>
      <w:sz w:val="18"/>
      <w:szCs w:val="18"/>
    </w:rPr>
  </w:style>
  <w:style w:type="character" w:customStyle="1" w:styleId="176">
    <w:name w:val="正文文本 3 字符"/>
    <w:qFormat/>
    <w:uiPriority w:val="0"/>
    <w:rPr>
      <w:kern w:val="2"/>
      <w:sz w:val="16"/>
      <w:szCs w:val="16"/>
    </w:rPr>
  </w:style>
  <w:style w:type="character" w:customStyle="1" w:styleId="177">
    <w:name w:val="日期 字符"/>
    <w:semiHidden/>
    <w:qFormat/>
    <w:uiPriority w:val="99"/>
    <w:rPr>
      <w:kern w:val="2"/>
      <w:sz w:val="21"/>
      <w:szCs w:val="24"/>
    </w:rPr>
  </w:style>
  <w:style w:type="character" w:customStyle="1" w:styleId="178">
    <w:name w:val="正文文本缩进 2 字符"/>
    <w:semiHidden/>
    <w:qFormat/>
    <w:uiPriority w:val="0"/>
    <w:rPr>
      <w:kern w:val="2"/>
      <w:sz w:val="21"/>
      <w:szCs w:val="24"/>
    </w:rPr>
  </w:style>
  <w:style w:type="character" w:customStyle="1" w:styleId="179">
    <w:name w:val="尾注文本 字符"/>
    <w:semiHidden/>
    <w:qFormat/>
    <w:uiPriority w:val="99"/>
    <w:rPr>
      <w:kern w:val="2"/>
      <w:sz w:val="21"/>
      <w:szCs w:val="24"/>
    </w:rPr>
  </w:style>
  <w:style w:type="character" w:customStyle="1" w:styleId="180">
    <w:name w:val="批注框文本 字符"/>
    <w:semiHidden/>
    <w:qFormat/>
    <w:uiPriority w:val="0"/>
    <w:rPr>
      <w:kern w:val="2"/>
      <w:sz w:val="18"/>
      <w:szCs w:val="18"/>
    </w:rPr>
  </w:style>
  <w:style w:type="character" w:customStyle="1" w:styleId="181">
    <w:name w:val="页眉 字符"/>
    <w:semiHidden/>
    <w:qFormat/>
    <w:uiPriority w:val="99"/>
    <w:rPr>
      <w:kern w:val="2"/>
      <w:sz w:val="18"/>
      <w:szCs w:val="18"/>
    </w:rPr>
  </w:style>
  <w:style w:type="character" w:customStyle="1" w:styleId="182">
    <w:name w:val="脚注文本 字符"/>
    <w:semiHidden/>
    <w:qFormat/>
    <w:uiPriority w:val="99"/>
    <w:rPr>
      <w:kern w:val="2"/>
      <w:sz w:val="18"/>
      <w:szCs w:val="18"/>
    </w:rPr>
  </w:style>
  <w:style w:type="character" w:customStyle="1" w:styleId="183">
    <w:name w:val="正文文本缩进 3 字符"/>
    <w:semiHidden/>
    <w:qFormat/>
    <w:uiPriority w:val="0"/>
    <w:rPr>
      <w:kern w:val="2"/>
      <w:sz w:val="16"/>
      <w:szCs w:val="16"/>
    </w:rPr>
  </w:style>
  <w:style w:type="character" w:customStyle="1" w:styleId="184">
    <w:name w:val="正文文本 2 字符"/>
    <w:semiHidden/>
    <w:qFormat/>
    <w:uiPriority w:val="0"/>
    <w:rPr>
      <w:kern w:val="2"/>
      <w:sz w:val="21"/>
      <w:szCs w:val="24"/>
    </w:rPr>
  </w:style>
  <w:style w:type="character" w:customStyle="1" w:styleId="185">
    <w:name w:val="标题 字符"/>
    <w:qFormat/>
    <w:uiPriority w:val="10"/>
    <w:rPr>
      <w:rFonts w:ascii="等线 Light" w:hAnsi="等线 Light" w:eastAsia="等线 Light" w:cs="Times New Roman"/>
      <w:b/>
      <w:bCs/>
      <w:kern w:val="2"/>
      <w:sz w:val="32"/>
      <w:szCs w:val="32"/>
    </w:rPr>
  </w:style>
  <w:style w:type="character" w:customStyle="1" w:styleId="186">
    <w:name w:val="正文文本 Char1"/>
    <w:semiHidden/>
    <w:qFormat/>
    <w:locked/>
    <w:uiPriority w:val="99"/>
    <w:rPr>
      <w:sz w:val="24"/>
      <w:szCs w:val="24"/>
    </w:rPr>
  </w:style>
  <w:style w:type="paragraph" w:customStyle="1" w:styleId="187">
    <w:name w:val="_Style 186"/>
    <w:unhideWhenUsed/>
    <w:qFormat/>
    <w:uiPriority w:val="99"/>
    <w:rPr>
      <w:rFonts w:ascii="Times New Roman" w:hAnsi="Times New Roman" w:eastAsia="宋体" w:cs="Times New Roman"/>
      <w:kern w:val="2"/>
      <w:sz w:val="21"/>
      <w:szCs w:val="24"/>
      <w:lang w:val="en-US" w:eastAsia="zh-CN" w:bidi="ar-SA"/>
    </w:rPr>
  </w:style>
  <w:style w:type="paragraph" w:customStyle="1" w:styleId="188">
    <w:name w:val="Default"/>
    <w:basedOn w:val="45"/>
    <w:qFormat/>
    <w:uiPriority w:val="0"/>
    <w:pPr>
      <w:autoSpaceDE w:val="0"/>
      <w:autoSpaceDN w:val="0"/>
      <w:adjustRightInd w:val="0"/>
      <w:jc w:val="left"/>
    </w:pPr>
    <w:rPr>
      <w:rFonts w:ascii="仿宋_GB2312" w:hAnsi="宋体" w:eastAsia="仿宋_GB2312"/>
      <w:color w:val="000000"/>
      <w:kern w:val="0"/>
      <w:sz w:val="24"/>
    </w:rPr>
  </w:style>
  <w:style w:type="character" w:customStyle="1" w:styleId="189">
    <w:name w:val="font41"/>
    <w:qFormat/>
    <w:uiPriority w:val="0"/>
    <w:rPr>
      <w:rFonts w:hint="eastAsia" w:ascii="宋体" w:hAnsi="宋体" w:eastAsia="宋体" w:cs="宋体"/>
      <w:color w:val="000000"/>
      <w:sz w:val="18"/>
      <w:szCs w:val="18"/>
      <w:u w:val="none"/>
    </w:rPr>
  </w:style>
  <w:style w:type="character" w:customStyle="1" w:styleId="190">
    <w:name w:val="font51"/>
    <w:qFormat/>
    <w:uiPriority w:val="0"/>
    <w:rPr>
      <w:rFonts w:hint="eastAsia" w:ascii="宋体" w:hAnsi="宋体" w:eastAsia="宋体" w:cs="宋体"/>
      <w:color w:val="000000"/>
      <w:sz w:val="21"/>
      <w:szCs w:val="21"/>
      <w:u w:val="none"/>
    </w:rPr>
  </w:style>
  <w:style w:type="character" w:customStyle="1" w:styleId="191">
    <w:name w:val="font01"/>
    <w:qFormat/>
    <w:uiPriority w:val="0"/>
    <w:rPr>
      <w:rFonts w:hint="eastAsia" w:ascii="宋体" w:hAnsi="宋体" w:eastAsia="宋体" w:cs="宋体"/>
      <w:color w:val="000000"/>
      <w:sz w:val="22"/>
      <w:szCs w:val="22"/>
      <w:u w:val="none"/>
    </w:rPr>
  </w:style>
  <w:style w:type="character" w:customStyle="1" w:styleId="192">
    <w:name w:val="font81"/>
    <w:qFormat/>
    <w:uiPriority w:val="0"/>
    <w:rPr>
      <w:rFonts w:ascii="微软雅黑" w:hAnsi="微软雅黑" w:eastAsia="微软雅黑" w:cs="微软雅黑"/>
      <w:color w:val="000000"/>
      <w:sz w:val="18"/>
      <w:szCs w:val="18"/>
      <w:u w:val="none"/>
    </w:rPr>
  </w:style>
  <w:style w:type="character" w:customStyle="1" w:styleId="193">
    <w:name w:val="font21"/>
    <w:qFormat/>
    <w:uiPriority w:val="0"/>
    <w:rPr>
      <w:rFonts w:hint="eastAsia" w:ascii="微软雅黑" w:hAnsi="微软雅黑" w:eastAsia="微软雅黑" w:cs="微软雅黑"/>
      <w:color w:val="000000"/>
      <w:sz w:val="18"/>
      <w:szCs w:val="18"/>
      <w:u w:val="none"/>
    </w:rPr>
  </w:style>
  <w:style w:type="paragraph" w:customStyle="1" w:styleId="194">
    <w:name w:val="首行缩进"/>
    <w:basedOn w:val="1"/>
    <w:qFormat/>
    <w:uiPriority w:val="0"/>
    <w:pPr>
      <w:ind w:firstLine="480" w:firstLineChars="200"/>
    </w:pPr>
    <w:rPr>
      <w:rFonts w:ascii="Calibri" w:hAnsi="Calibri"/>
    </w:rPr>
  </w:style>
  <w:style w:type="character" w:customStyle="1" w:styleId="195">
    <w:name w:val="正文首行缩进 Char"/>
    <w:semiHidden/>
    <w:qFormat/>
    <w:uiPriority w:val="99"/>
    <w:rPr>
      <w:rFonts w:ascii="Times New Roman" w:hAnsi="Times New Roman" w:eastAsia="宋体" w:cs="Times New Roman"/>
      <w:kern w:val="2"/>
      <w:sz w:val="21"/>
      <w:szCs w:val="24"/>
    </w:rPr>
  </w:style>
  <w:style w:type="paragraph" w:customStyle="1" w:styleId="196">
    <w:name w:val="BodyText1I"/>
    <w:basedOn w:val="1"/>
    <w:qFormat/>
    <w:uiPriority w:val="99"/>
    <w:pPr>
      <w:spacing w:after="120"/>
      <w:ind w:firstLine="420" w:firstLineChars="100"/>
    </w:pPr>
  </w:style>
  <w:style w:type="character" w:customStyle="1" w:styleId="197">
    <w:name w:val="NormalCharacter"/>
    <w:semiHidden/>
    <w:qFormat/>
    <w:uiPriority w:val="0"/>
    <w:rPr>
      <w:rFonts w:hint="default" w:ascii="Calibri" w:hAnsi="Calibri" w:eastAsia="宋体" w:cs="Times New Roman"/>
      <w:kern w:val="2"/>
      <w:sz w:val="21"/>
      <w:szCs w:val="22"/>
      <w:lang w:val="en-US" w:eastAsia="zh-CN" w:bidi="ar-SA"/>
    </w:rPr>
  </w:style>
  <w:style w:type="paragraph" w:customStyle="1" w:styleId="198">
    <w:name w:val="PlainText"/>
    <w:basedOn w:val="1"/>
    <w:qFormat/>
    <w:uiPriority w:val="0"/>
    <w:pPr>
      <w:widowControl/>
      <w:textAlignment w:val="baseline"/>
    </w:pPr>
    <w:rPr>
      <w:rFonts w:ascii="宋体" w:hAnsi="Courier New"/>
      <w:szCs w:val="21"/>
    </w:rPr>
  </w:style>
  <w:style w:type="character" w:customStyle="1" w:styleId="199">
    <w:name w:val="正文首行缩进 2 Char"/>
    <w:link w:val="200"/>
    <w:qFormat/>
    <w:uiPriority w:val="0"/>
    <w:rPr>
      <w:rFonts w:ascii="宋体" w:hAnsi="Courier New" w:eastAsia="仿宋_GB2312"/>
      <w:kern w:val="2"/>
      <w:sz w:val="21"/>
    </w:rPr>
  </w:style>
  <w:style w:type="paragraph" w:customStyle="1" w:styleId="200">
    <w:name w:val="_Style 200"/>
    <w:basedOn w:val="19"/>
    <w:next w:val="48"/>
    <w:link w:val="199"/>
    <w:unhideWhenUsed/>
    <w:qFormat/>
    <w:uiPriority w:val="0"/>
    <w:pPr>
      <w:spacing w:after="120"/>
      <w:ind w:left="420" w:leftChars="200" w:firstLine="420" w:firstLineChars="200"/>
    </w:pPr>
    <w:rPr>
      <w:rFonts w:ascii="宋体" w:hAnsi="Courier New"/>
      <w:kern w:val="2"/>
      <w:sz w:val="21"/>
    </w:rPr>
  </w:style>
  <w:style w:type="character" w:customStyle="1" w:styleId="201">
    <w:name w:val="批注文字 字符5"/>
    <w:qFormat/>
    <w:uiPriority w:val="0"/>
    <w:rPr>
      <w:rFonts w:ascii="Times New Roman" w:hAnsi="Times New Roman"/>
      <w:kern w:val="2"/>
      <w:sz w:val="21"/>
      <w:szCs w:val="24"/>
    </w:rPr>
  </w:style>
  <w:style w:type="character" w:customStyle="1" w:styleId="202">
    <w:name w:val="批注文字 字符6"/>
    <w:qFormat/>
    <w:uiPriority w:val="0"/>
    <w:rPr>
      <w:rFonts w:ascii="Times New Roman" w:hAnsi="Times New Roman"/>
      <w:kern w:val="2"/>
      <w:sz w:val="21"/>
      <w:szCs w:val="24"/>
    </w:rPr>
  </w:style>
  <w:style w:type="character" w:customStyle="1" w:styleId="203">
    <w:name w:val="未处理的提及"/>
    <w:unhideWhenUsed/>
    <w:qFormat/>
    <w:uiPriority w:val="99"/>
    <w:rPr>
      <w:color w:val="605E5C"/>
      <w:shd w:val="clear" w:color="auto" w:fill="E1DFDD"/>
    </w:rPr>
  </w:style>
  <w:style w:type="character" w:customStyle="1" w:styleId="204">
    <w:name w:val="纯文本 字符2"/>
    <w:qFormat/>
    <w:uiPriority w:val="0"/>
    <w:rPr>
      <w:rFonts w:ascii="宋体" w:hAnsi="Courier New" w:eastAsia="宋体" w:cs="Courier New"/>
      <w:szCs w:val="21"/>
    </w:rPr>
  </w:style>
  <w:style w:type="character" w:customStyle="1" w:styleId="205">
    <w:name w:val="正文文本 字符1"/>
    <w:qFormat/>
    <w:uiPriority w:val="0"/>
    <w:rPr>
      <w:rFonts w:ascii="Times New Roman" w:hAnsi="Times New Roman" w:eastAsia="宋体" w:cs="Times New Roman"/>
      <w:sz w:val="24"/>
      <w:szCs w:val="24"/>
    </w:rPr>
  </w:style>
  <w:style w:type="character" w:customStyle="1" w:styleId="206">
    <w:name w:val="批注文字 字符7"/>
    <w:qFormat/>
    <w:uiPriority w:val="0"/>
    <w:rPr>
      <w:rFonts w:ascii="Times New Roman" w:hAnsi="Times New Roman"/>
      <w:kern w:val="2"/>
      <w:sz w:val="21"/>
      <w:szCs w:val="24"/>
    </w:rPr>
  </w:style>
  <w:style w:type="paragraph" w:customStyle="1" w:styleId="207">
    <w:name w:val="WPSOffice手动目录 1"/>
    <w:qFormat/>
    <w:uiPriority w:val="0"/>
    <w:rPr>
      <w:rFonts w:ascii="Times New Roman" w:hAnsi="Times New Roman" w:eastAsia="宋体" w:cs="Times New Roman"/>
      <w:lang w:val="en-US" w:eastAsia="zh-CN" w:bidi="ar-SA"/>
    </w:rPr>
  </w:style>
  <w:style w:type="paragraph" w:customStyle="1" w:styleId="208">
    <w:name w:val="WPSOffice手动目录 2"/>
    <w:qFormat/>
    <w:uiPriority w:val="0"/>
    <w:pPr>
      <w:ind w:leftChars="200"/>
    </w:pPr>
    <w:rPr>
      <w:rFonts w:ascii="Times New Roman" w:hAnsi="Times New Roman" w:eastAsia="宋体" w:cs="Times New Roman"/>
      <w:lang w:val="en-US" w:eastAsia="zh-CN" w:bidi="ar-SA"/>
    </w:rPr>
  </w:style>
  <w:style w:type="paragraph" w:customStyle="1" w:styleId="209">
    <w:name w:val="WPSOffice手动目录 3"/>
    <w:qFormat/>
    <w:uiPriority w:val="0"/>
    <w:pPr>
      <w:ind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2371</Words>
  <Characters>2984</Characters>
  <Lines>629</Lines>
  <Paragraphs>177</Paragraphs>
  <TotalTime>68</TotalTime>
  <ScaleCrop>false</ScaleCrop>
  <LinksUpToDate>false</LinksUpToDate>
  <CharactersWithSpaces>3264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2026-03-20T09:25:00Z</dcterms:created>
  <dc:creator>番茄花园</dc:creator>
  <cp:lastModifiedBy>啦啦</cp:lastModifiedBy>
  <cp:lastPrinted>2023-07-27T07:32:00Z</cp:lastPrinted>
  <dcterms:modified xsi:type="dcterms:W3CDTF">2026-05-09T07:02:56Z</dcterms:modified>
  <dc:title>公开招标采购文件范本</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EE0CE4B9707C41E8B6D604B9A3B081D6_13</vt:lpwstr>
  </property>
  <property fmtid="{D5CDD505-2E9C-101B-9397-08002B2CF9AE}" pid="4" name="KSOTemplateDocerSaveRecord">
    <vt:lpwstr>eyJoZGlkIjoiZWMwMDg3ZWIxNzQ4ZGYyMTJkNjZmZGFhZjhlNGM5NDYiLCJ1c2VySWQiOiI2OTc2MDI5MDQifQ==</vt:lpwstr>
  </property>
</Properties>
</file>