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F22400">
      <w:pPr>
        <w:jc w:val="left"/>
        <w:rPr>
          <w:rFonts w:ascii="宋体" w:hAnsi="宋体"/>
          <w:b/>
          <w:color w:val="auto"/>
          <w:sz w:val="52"/>
          <w:szCs w:val="52"/>
          <w:highlight w:val="none"/>
        </w:rPr>
      </w:pPr>
      <w:r>
        <w:rPr>
          <w:color w:val="auto"/>
          <w:highlight w:val="none"/>
        </w:rPr>
        <w:drawing>
          <wp:anchor distT="0" distB="0" distL="114300" distR="114300" simplePos="0" relativeHeight="251659264" behindDoc="0" locked="0" layoutInCell="1" allowOverlap="0">
            <wp:simplePos x="0" y="0"/>
            <wp:positionH relativeFrom="column">
              <wp:posOffset>2514600</wp:posOffset>
            </wp:positionH>
            <wp:positionV relativeFrom="line">
              <wp:posOffset>-66675</wp:posOffset>
            </wp:positionV>
            <wp:extent cx="561975" cy="561975"/>
            <wp:effectExtent l="0" t="0" r="9525" b="9525"/>
            <wp:wrapSquare wrapText="bothSides"/>
            <wp:docPr id="1" name="图片 3"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wps1"/>
                    <pic:cNvPicPr>
                      <a:picLocks noChangeAspect="1"/>
                    </pic:cNvPicPr>
                  </pic:nvPicPr>
                  <pic:blipFill>
                    <a:blip r:embed="rId10"/>
                    <a:stretch>
                      <a:fillRect/>
                    </a:stretch>
                  </pic:blipFill>
                  <pic:spPr>
                    <a:xfrm>
                      <a:off x="0" y="0"/>
                      <a:ext cx="561975" cy="561975"/>
                    </a:xfrm>
                    <a:prstGeom prst="rect">
                      <a:avLst/>
                    </a:prstGeom>
                    <a:noFill/>
                    <a:ln>
                      <a:noFill/>
                    </a:ln>
                  </pic:spPr>
                </pic:pic>
              </a:graphicData>
            </a:graphic>
          </wp:anchor>
        </w:drawing>
      </w:r>
    </w:p>
    <w:p w14:paraId="41A5A97A">
      <w:pPr>
        <w:jc w:val="center"/>
        <w:rPr>
          <w:rFonts w:hint="eastAsia" w:ascii="宋体" w:hAnsi="宋体"/>
          <w:b/>
          <w:color w:val="auto"/>
          <w:sz w:val="48"/>
          <w:szCs w:val="48"/>
          <w:highlight w:val="none"/>
        </w:rPr>
      </w:pPr>
      <w:r>
        <w:rPr>
          <w:rFonts w:hint="eastAsia" w:ascii="宋体" w:hAnsi="宋体"/>
          <w:b/>
          <w:color w:val="auto"/>
          <w:sz w:val="48"/>
          <w:szCs w:val="48"/>
          <w:highlight w:val="none"/>
        </w:rPr>
        <w:t>广西中信恒泰工程顾问有限公司</w:t>
      </w:r>
    </w:p>
    <w:p w14:paraId="4F0A2E46">
      <w:pPr>
        <w:jc w:val="center"/>
        <w:rPr>
          <w:rFonts w:hint="eastAsia" w:ascii="宋体" w:hAnsi="宋体"/>
          <w:b/>
          <w:color w:val="auto"/>
          <w:sz w:val="30"/>
          <w:szCs w:val="30"/>
          <w:highlight w:val="none"/>
        </w:rPr>
      </w:pPr>
      <w:r>
        <w:rPr>
          <w:rFonts w:hint="eastAsia" w:ascii="宋体" w:hAnsi="宋体"/>
          <w:b/>
          <w:color w:val="auto"/>
          <w:sz w:val="30"/>
          <w:szCs w:val="30"/>
          <w:highlight w:val="none"/>
        </w:rPr>
        <w:t>Guangxi Zhongxinhengtai Engineering Consulting Co.,Ltd</w:t>
      </w:r>
    </w:p>
    <w:p w14:paraId="1862030B">
      <w:pPr>
        <w:spacing w:line="360" w:lineRule="auto"/>
        <w:jc w:val="center"/>
        <w:rPr>
          <w:rFonts w:hint="eastAsia" w:ascii="宋体" w:hAnsi="宋体"/>
          <w:b/>
          <w:color w:val="auto"/>
          <w:sz w:val="36"/>
          <w:szCs w:val="36"/>
          <w:highlight w:val="none"/>
        </w:rPr>
      </w:pPr>
      <w:r>
        <w:rPr>
          <w:color w:val="auto"/>
          <w:highlight w:val="none"/>
        </w:rPr>
        <w:drawing>
          <wp:inline distT="0" distB="0" distL="114300" distR="114300">
            <wp:extent cx="5952490" cy="38100"/>
            <wp:effectExtent l="0" t="0" r="10160" b="0"/>
            <wp:docPr id="2" name="图片 1" descr="wp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wps2"/>
                    <pic:cNvPicPr>
                      <a:picLocks noChangeAspect="1"/>
                    </pic:cNvPicPr>
                  </pic:nvPicPr>
                  <pic:blipFill>
                    <a:blip r:embed="rId11"/>
                    <a:stretch>
                      <a:fillRect/>
                    </a:stretch>
                  </pic:blipFill>
                  <pic:spPr>
                    <a:xfrm>
                      <a:off x="0" y="0"/>
                      <a:ext cx="5952490" cy="38100"/>
                    </a:xfrm>
                    <a:prstGeom prst="rect">
                      <a:avLst/>
                    </a:prstGeom>
                    <a:noFill/>
                    <a:ln>
                      <a:noFill/>
                    </a:ln>
                  </pic:spPr>
                </pic:pic>
              </a:graphicData>
            </a:graphic>
          </wp:inline>
        </w:drawing>
      </w:r>
    </w:p>
    <w:p w14:paraId="06170019">
      <w:pPr>
        <w:pStyle w:val="27"/>
        <w:jc w:val="center"/>
        <w:rPr>
          <w:rFonts w:hint="eastAsia" w:ascii="宋体" w:hAnsi="宋体"/>
          <w:color w:val="auto"/>
          <w:sz w:val="96"/>
          <w:szCs w:val="96"/>
          <w:highlight w:val="none"/>
        </w:rPr>
      </w:pPr>
    </w:p>
    <w:p w14:paraId="24C4B135">
      <w:pPr>
        <w:pStyle w:val="27"/>
        <w:jc w:val="center"/>
        <w:rPr>
          <w:rFonts w:hint="eastAsia" w:ascii="宋体" w:hAnsi="宋体"/>
          <w:color w:val="auto"/>
          <w:sz w:val="96"/>
          <w:szCs w:val="96"/>
          <w:highlight w:val="none"/>
        </w:rPr>
      </w:pPr>
    </w:p>
    <w:p w14:paraId="0973AB02">
      <w:pPr>
        <w:pStyle w:val="27"/>
        <w:jc w:val="center"/>
        <w:rPr>
          <w:rFonts w:hint="eastAsia" w:eastAsia="宋体"/>
          <w:b/>
          <w:color w:val="auto"/>
          <w:sz w:val="72"/>
          <w:szCs w:val="72"/>
          <w:highlight w:val="none"/>
          <w:lang w:eastAsia="zh-CN"/>
        </w:rPr>
      </w:pPr>
      <w:r>
        <w:rPr>
          <w:rFonts w:hint="eastAsia" w:cs="Courier New"/>
          <w:color w:val="auto"/>
          <w:kern w:val="2"/>
          <w:sz w:val="96"/>
          <w:szCs w:val="96"/>
          <w:highlight w:val="none"/>
          <w:lang w:eastAsia="zh-CN"/>
        </w:rPr>
        <w:t>竞争性磋商文件</w:t>
      </w:r>
    </w:p>
    <w:p w14:paraId="512337BA">
      <w:pPr>
        <w:jc w:val="center"/>
        <w:rPr>
          <w:rFonts w:hint="eastAsia" w:ascii="宋体" w:hAnsi="宋体"/>
          <w:b/>
          <w:color w:val="auto"/>
          <w:sz w:val="36"/>
          <w:szCs w:val="36"/>
          <w:highlight w:val="none"/>
        </w:rPr>
      </w:pPr>
      <w:r>
        <w:rPr>
          <w:rFonts w:hint="eastAsia" w:ascii="宋体" w:hAnsi="宋体"/>
          <w:b/>
          <w:color w:val="auto"/>
          <w:sz w:val="36"/>
          <w:szCs w:val="36"/>
          <w:highlight w:val="none"/>
        </w:rPr>
        <w:t>（全流程电子化项目）</w:t>
      </w:r>
    </w:p>
    <w:p w14:paraId="34624D23">
      <w:pPr>
        <w:pStyle w:val="27"/>
        <w:rPr>
          <w:rFonts w:hint="eastAsia" w:ascii="宋体" w:hAnsi="宋体"/>
          <w:color w:val="auto"/>
          <w:highlight w:val="none"/>
        </w:rPr>
      </w:pPr>
    </w:p>
    <w:p w14:paraId="7D3316E3">
      <w:pPr>
        <w:pStyle w:val="27"/>
        <w:rPr>
          <w:rFonts w:hint="eastAsia"/>
          <w:color w:val="auto"/>
          <w:highlight w:val="none"/>
        </w:rPr>
      </w:pPr>
    </w:p>
    <w:p w14:paraId="25641194">
      <w:pPr>
        <w:pStyle w:val="27"/>
        <w:rPr>
          <w:rFonts w:hint="eastAsia"/>
          <w:color w:val="auto"/>
          <w:highlight w:val="none"/>
        </w:rPr>
      </w:pPr>
    </w:p>
    <w:p w14:paraId="7CCAF351">
      <w:pPr>
        <w:pStyle w:val="27"/>
        <w:rPr>
          <w:rFonts w:hint="eastAsia"/>
          <w:color w:val="auto"/>
          <w:highlight w:val="none"/>
        </w:rPr>
      </w:pPr>
    </w:p>
    <w:p w14:paraId="586989B2">
      <w:pPr>
        <w:pStyle w:val="27"/>
        <w:spacing w:line="360" w:lineRule="auto"/>
        <w:ind w:firstLine="803" w:firstLineChars="250"/>
        <w:rPr>
          <w:rFonts w:hint="eastAsia"/>
          <w:b/>
          <w:color w:val="auto"/>
          <w:sz w:val="32"/>
          <w:szCs w:val="32"/>
          <w:highlight w:val="none"/>
        </w:rPr>
      </w:pPr>
    </w:p>
    <w:p w14:paraId="106B9F45">
      <w:pPr>
        <w:pStyle w:val="27"/>
        <w:spacing w:line="360" w:lineRule="auto"/>
        <w:ind w:firstLine="1285" w:firstLineChars="400"/>
        <w:rPr>
          <w:rFonts w:hint="eastAsia" w:eastAsia="宋体" w:cs="Courier New"/>
          <w:b/>
          <w:color w:val="auto"/>
          <w:kern w:val="2"/>
          <w:sz w:val="32"/>
          <w:szCs w:val="32"/>
          <w:highlight w:val="none"/>
          <w:lang w:eastAsia="zh-CN"/>
        </w:rPr>
      </w:pPr>
      <w:r>
        <w:rPr>
          <w:rFonts w:hint="eastAsia" w:cs="Courier New"/>
          <w:b/>
          <w:color w:val="auto"/>
          <w:kern w:val="2"/>
          <w:sz w:val="32"/>
          <w:szCs w:val="32"/>
          <w:highlight w:val="none"/>
        </w:rPr>
        <w:t>项目名称：</w:t>
      </w:r>
      <w:r>
        <w:rPr>
          <w:rFonts w:hint="eastAsia" w:cs="Courier New"/>
          <w:b/>
          <w:color w:val="auto"/>
          <w:kern w:val="2"/>
          <w:sz w:val="32"/>
          <w:szCs w:val="32"/>
          <w:highlight w:val="none"/>
          <w:lang w:eastAsia="zh-CN"/>
        </w:rPr>
        <w:t>营养健康食堂建设提升项目</w:t>
      </w:r>
    </w:p>
    <w:p w14:paraId="7DF79CC1">
      <w:pPr>
        <w:pStyle w:val="27"/>
        <w:spacing w:line="360" w:lineRule="auto"/>
        <w:ind w:firstLine="1285" w:firstLineChars="400"/>
        <w:rPr>
          <w:rFonts w:hint="eastAsia" w:ascii="宋体" w:hAnsi="宋体" w:eastAsia="宋体" w:cs="宋体"/>
          <w:b/>
          <w:color w:val="auto"/>
          <w:sz w:val="32"/>
          <w:szCs w:val="32"/>
          <w:highlight w:val="none"/>
          <w:lang w:eastAsia="zh-CN"/>
        </w:rPr>
      </w:pPr>
      <w:r>
        <w:rPr>
          <w:rFonts w:hint="eastAsia" w:ascii="宋体" w:hAnsi="宋体" w:cs="宋体"/>
          <w:b/>
          <w:color w:val="auto"/>
          <w:kern w:val="2"/>
          <w:sz w:val="32"/>
          <w:szCs w:val="32"/>
          <w:highlight w:val="none"/>
        </w:rPr>
        <w:t>项目编号：</w:t>
      </w:r>
      <w:r>
        <w:rPr>
          <w:rFonts w:hint="eastAsia" w:ascii="宋体" w:hAnsi="宋体" w:cs="宋体"/>
          <w:b/>
          <w:color w:val="auto"/>
          <w:kern w:val="2"/>
          <w:sz w:val="32"/>
          <w:szCs w:val="32"/>
          <w:highlight w:val="none"/>
          <w:lang w:eastAsia="zh-CN"/>
        </w:rPr>
        <w:t>GXZC2026-C3-001565-GXZX</w:t>
      </w:r>
    </w:p>
    <w:p w14:paraId="7F69E1AE">
      <w:pPr>
        <w:spacing w:line="600" w:lineRule="exact"/>
        <w:ind w:left="2"/>
        <w:jc w:val="center"/>
        <w:rPr>
          <w:rFonts w:hint="eastAsia" w:ascii="宋体" w:hAnsi="宋体"/>
          <w:b/>
          <w:color w:val="auto"/>
          <w:sz w:val="32"/>
          <w:szCs w:val="32"/>
          <w:highlight w:val="none"/>
        </w:rPr>
      </w:pPr>
      <w:r>
        <w:rPr>
          <w:color w:val="auto"/>
          <w:highlight w:val="none"/>
        </w:rPr>
        <w:drawing>
          <wp:inline distT="0" distB="0" distL="114300" distR="114300">
            <wp:extent cx="5952490" cy="38100"/>
            <wp:effectExtent l="0" t="0" r="10160" b="0"/>
            <wp:docPr id="3" name="图片 2" descr="wp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wps3"/>
                    <pic:cNvPicPr>
                      <a:picLocks noChangeAspect="1"/>
                    </pic:cNvPicPr>
                  </pic:nvPicPr>
                  <pic:blipFill>
                    <a:blip r:embed="rId11"/>
                    <a:stretch>
                      <a:fillRect/>
                    </a:stretch>
                  </pic:blipFill>
                  <pic:spPr>
                    <a:xfrm>
                      <a:off x="0" y="0"/>
                      <a:ext cx="5952490" cy="38100"/>
                    </a:xfrm>
                    <a:prstGeom prst="rect">
                      <a:avLst/>
                    </a:prstGeom>
                    <a:noFill/>
                    <a:ln>
                      <a:noFill/>
                    </a:ln>
                  </pic:spPr>
                </pic:pic>
              </a:graphicData>
            </a:graphic>
          </wp:inline>
        </w:drawing>
      </w:r>
    </w:p>
    <w:p w14:paraId="667BDDBB">
      <w:pPr>
        <w:spacing w:line="600" w:lineRule="exact"/>
        <w:ind w:firstLine="1285" w:firstLineChars="400"/>
        <w:rPr>
          <w:rFonts w:hint="eastAsia" w:ascii="宋体" w:hAnsi="宋体"/>
          <w:b/>
          <w:color w:val="auto"/>
          <w:sz w:val="32"/>
          <w:szCs w:val="32"/>
          <w:highlight w:val="none"/>
        </w:rPr>
      </w:pPr>
    </w:p>
    <w:p w14:paraId="5AFB56C7">
      <w:pPr>
        <w:spacing w:line="600" w:lineRule="exact"/>
        <w:ind w:firstLine="1285" w:firstLineChars="400"/>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rPr>
        <w:t>采购人：</w:t>
      </w:r>
      <w:r>
        <w:rPr>
          <w:rFonts w:hint="eastAsia" w:ascii="宋体" w:hAnsi="宋体"/>
          <w:b/>
          <w:color w:val="auto"/>
          <w:sz w:val="32"/>
          <w:szCs w:val="32"/>
          <w:highlight w:val="none"/>
          <w:lang w:eastAsia="zh-CN"/>
        </w:rPr>
        <w:t>广西壮族自治区卫生健康委员会幼儿园</w:t>
      </w:r>
    </w:p>
    <w:p w14:paraId="0D5E27C9">
      <w:pPr>
        <w:spacing w:line="600" w:lineRule="exact"/>
        <w:ind w:firstLine="1285" w:firstLineChars="400"/>
        <w:rPr>
          <w:rFonts w:hint="eastAsia" w:ascii="宋体" w:hAnsi="宋体"/>
          <w:b/>
          <w:bCs/>
          <w:color w:val="auto"/>
          <w:sz w:val="32"/>
          <w:szCs w:val="32"/>
          <w:highlight w:val="none"/>
        </w:rPr>
      </w:pPr>
      <w:r>
        <w:rPr>
          <w:rFonts w:hint="eastAsia" w:ascii="宋体" w:hAnsi="宋体"/>
          <w:b/>
          <w:color w:val="auto"/>
          <w:sz w:val="32"/>
          <w:szCs w:val="32"/>
          <w:highlight w:val="none"/>
        </w:rPr>
        <w:t>采购代理机构：</w:t>
      </w:r>
      <w:r>
        <w:rPr>
          <w:rFonts w:hint="eastAsia" w:ascii="宋体" w:hAnsi="宋体"/>
          <w:b/>
          <w:bCs/>
          <w:color w:val="auto"/>
          <w:sz w:val="32"/>
          <w:szCs w:val="32"/>
          <w:highlight w:val="none"/>
        </w:rPr>
        <w:t>广西中信恒泰工程顾问有限公司</w:t>
      </w:r>
    </w:p>
    <w:p w14:paraId="514EF463">
      <w:pPr>
        <w:spacing w:line="600" w:lineRule="exact"/>
        <w:jc w:val="center"/>
        <w:rPr>
          <w:rFonts w:hint="eastAsia" w:ascii="仿宋_GB2312" w:hAnsi="宋体" w:eastAsia="仿宋_GB2312"/>
          <w:b/>
          <w:bCs/>
          <w:color w:val="auto"/>
          <w:w w:val="95"/>
          <w:sz w:val="30"/>
          <w:szCs w:val="30"/>
          <w:highlight w:val="none"/>
        </w:rPr>
      </w:pPr>
      <w:r>
        <w:rPr>
          <w:rFonts w:hint="eastAsia" w:ascii="宋体" w:hAnsi="宋体"/>
          <w:b/>
          <w:color w:val="auto"/>
          <w:sz w:val="32"/>
          <w:szCs w:val="32"/>
          <w:highlight w:val="none"/>
        </w:rPr>
        <w:t>202</w:t>
      </w:r>
      <w:r>
        <w:rPr>
          <w:rFonts w:hint="eastAsia" w:ascii="宋体" w:hAnsi="宋体"/>
          <w:b/>
          <w:color w:val="auto"/>
          <w:sz w:val="32"/>
          <w:szCs w:val="32"/>
          <w:highlight w:val="none"/>
          <w:lang w:val="en-US" w:eastAsia="zh-CN"/>
        </w:rPr>
        <w:t>6</w:t>
      </w:r>
      <w:r>
        <w:rPr>
          <w:rFonts w:hint="eastAsia" w:ascii="宋体" w:hAnsi="宋体"/>
          <w:b/>
          <w:color w:val="auto"/>
          <w:sz w:val="32"/>
          <w:szCs w:val="32"/>
          <w:highlight w:val="none"/>
        </w:rPr>
        <w:t>年</w:t>
      </w:r>
      <w:r>
        <w:rPr>
          <w:rFonts w:hint="eastAsia" w:ascii="宋体" w:hAnsi="宋体"/>
          <w:b/>
          <w:color w:val="auto"/>
          <w:sz w:val="32"/>
          <w:szCs w:val="32"/>
          <w:highlight w:val="none"/>
          <w:lang w:val="en-US" w:eastAsia="zh-CN"/>
        </w:rPr>
        <w:t>5</w:t>
      </w:r>
      <w:r>
        <w:rPr>
          <w:rFonts w:hint="eastAsia" w:ascii="宋体" w:hAnsi="宋体"/>
          <w:b/>
          <w:color w:val="auto"/>
          <w:sz w:val="32"/>
          <w:szCs w:val="32"/>
          <w:highlight w:val="none"/>
        </w:rPr>
        <w:t>月</w:t>
      </w:r>
    </w:p>
    <w:p w14:paraId="0663F0F5">
      <w:pPr>
        <w:tabs>
          <w:tab w:val="left" w:pos="1080"/>
        </w:tabs>
        <w:spacing w:line="360" w:lineRule="auto"/>
        <w:ind w:firstLine="643" w:firstLineChars="200"/>
        <w:rPr>
          <w:rFonts w:hint="eastAsia" w:ascii="宋体" w:hAnsi="宋体"/>
          <w:b/>
          <w:color w:val="auto"/>
          <w:sz w:val="44"/>
          <w:szCs w:val="44"/>
          <w:highlight w:val="none"/>
        </w:rPr>
      </w:pPr>
      <w:r>
        <w:rPr>
          <w:rFonts w:ascii="黑体" w:hAnsi="黑体" w:eastAsia="黑体" w:cs="宋体"/>
          <w:b/>
          <w:bCs/>
          <w:color w:val="auto"/>
          <w:kern w:val="0"/>
          <w:sz w:val="32"/>
          <w:szCs w:val="32"/>
          <w:highlight w:val="none"/>
        </w:rPr>
        <w:br w:type="page"/>
      </w:r>
    </w:p>
    <w:p w14:paraId="1DD49379">
      <w:pPr>
        <w:spacing w:line="360" w:lineRule="auto"/>
        <w:jc w:val="center"/>
        <w:rPr>
          <w:rFonts w:hint="eastAsia" w:ascii="宋体" w:hAnsi="宋体"/>
          <w:b/>
          <w:color w:val="auto"/>
          <w:sz w:val="44"/>
          <w:szCs w:val="44"/>
          <w:highlight w:val="none"/>
        </w:rPr>
      </w:pPr>
      <w:r>
        <w:rPr>
          <w:rFonts w:hint="eastAsia" w:ascii="宋体" w:hAnsi="宋体"/>
          <w:b/>
          <w:color w:val="auto"/>
          <w:sz w:val="44"/>
          <w:szCs w:val="44"/>
          <w:highlight w:val="none"/>
        </w:rPr>
        <w:t>目  录</w:t>
      </w:r>
    </w:p>
    <w:p w14:paraId="36747FE5">
      <w:pPr>
        <w:spacing w:line="400" w:lineRule="exact"/>
        <w:jc w:val="center"/>
        <w:rPr>
          <w:rFonts w:hint="eastAsia" w:ascii="宋体" w:hAnsi="宋体"/>
          <w:b/>
          <w:color w:val="auto"/>
          <w:sz w:val="44"/>
          <w:szCs w:val="44"/>
          <w:highlight w:val="none"/>
        </w:rPr>
      </w:pPr>
    </w:p>
    <w:p w14:paraId="69B6A5D3">
      <w:pPr>
        <w:pStyle w:val="24"/>
        <w:tabs>
          <w:tab w:val="right" w:leader="dot" w:pos="8869"/>
        </w:tabs>
        <w:spacing w:line="360" w:lineRule="auto"/>
        <w:rPr>
          <w:rFonts w:ascii="宋体" w:hAnsi="宋体"/>
          <w:color w:val="auto"/>
          <w:szCs w:val="21"/>
          <w:highlight w:val="none"/>
        </w:rPr>
      </w:pPr>
      <w:r>
        <w:rPr>
          <w:rFonts w:ascii="宋体" w:hAnsi="宋体"/>
          <w:b/>
          <w:color w:val="auto"/>
          <w:szCs w:val="21"/>
          <w:highlight w:val="none"/>
        </w:rPr>
        <w:fldChar w:fldCharType="begin"/>
      </w:r>
      <w:r>
        <w:rPr>
          <w:rFonts w:ascii="宋体" w:hAnsi="宋体"/>
          <w:b/>
          <w:color w:val="auto"/>
          <w:szCs w:val="21"/>
          <w:highlight w:val="none"/>
        </w:rPr>
        <w:instrText xml:space="preserve"> </w:instrText>
      </w:r>
      <w:r>
        <w:rPr>
          <w:rFonts w:hint="eastAsia" w:ascii="宋体" w:hAnsi="宋体"/>
          <w:b/>
          <w:color w:val="auto"/>
          <w:szCs w:val="21"/>
          <w:highlight w:val="none"/>
        </w:rPr>
        <w:instrText xml:space="preserve">TOC \o "1-3" \h \z \u</w:instrText>
      </w:r>
      <w:r>
        <w:rPr>
          <w:rFonts w:ascii="宋体" w:hAnsi="宋体"/>
          <w:b/>
          <w:color w:val="auto"/>
          <w:szCs w:val="21"/>
          <w:highlight w:val="none"/>
        </w:rPr>
        <w:instrText xml:space="preserve"> </w:instrText>
      </w:r>
      <w:r>
        <w:rPr>
          <w:rFonts w:ascii="宋体" w:hAnsi="宋体"/>
          <w:b/>
          <w:color w:val="auto"/>
          <w:szCs w:val="21"/>
          <w:highlight w:val="none"/>
        </w:rPr>
        <w:fldChar w:fldCharType="separate"/>
      </w:r>
      <w:r>
        <w:rPr>
          <w:rStyle w:val="36"/>
          <w:rFonts w:ascii="宋体" w:hAnsi="宋体"/>
          <w:color w:val="auto"/>
          <w:szCs w:val="21"/>
          <w:highlight w:val="none"/>
        </w:rPr>
        <w:fldChar w:fldCharType="begin"/>
      </w:r>
      <w:r>
        <w:rPr>
          <w:rStyle w:val="36"/>
          <w:rFonts w:ascii="宋体" w:hAnsi="宋体"/>
          <w:color w:val="auto"/>
          <w:szCs w:val="21"/>
          <w:highlight w:val="none"/>
        </w:rPr>
        <w:instrText xml:space="preserve"> </w:instrText>
      </w:r>
      <w:r>
        <w:rPr>
          <w:rFonts w:ascii="宋体" w:hAnsi="宋体"/>
          <w:color w:val="auto"/>
          <w:szCs w:val="21"/>
          <w:highlight w:val="none"/>
        </w:rPr>
        <w:instrText xml:space="preserve">HYPERLINK \l "_Toc170496348"</w:instrText>
      </w:r>
      <w:r>
        <w:rPr>
          <w:rStyle w:val="36"/>
          <w:rFonts w:ascii="宋体" w:hAnsi="宋体"/>
          <w:color w:val="auto"/>
          <w:szCs w:val="21"/>
          <w:highlight w:val="none"/>
        </w:rPr>
        <w:instrText xml:space="preserve"> </w:instrText>
      </w:r>
      <w:r>
        <w:rPr>
          <w:rStyle w:val="36"/>
          <w:rFonts w:ascii="宋体" w:hAnsi="宋体"/>
          <w:color w:val="auto"/>
          <w:szCs w:val="21"/>
          <w:highlight w:val="none"/>
        </w:rPr>
        <w:fldChar w:fldCharType="separate"/>
      </w:r>
      <w:r>
        <w:rPr>
          <w:rStyle w:val="36"/>
          <w:rFonts w:hint="eastAsia" w:ascii="宋体" w:hAnsi="宋体"/>
          <w:color w:val="auto"/>
          <w:szCs w:val="21"/>
          <w:highlight w:val="none"/>
        </w:rPr>
        <w:t>第一章</w:t>
      </w:r>
      <w:r>
        <w:rPr>
          <w:rStyle w:val="36"/>
          <w:rFonts w:ascii="宋体" w:hAnsi="宋体"/>
          <w:color w:val="auto"/>
          <w:szCs w:val="21"/>
          <w:highlight w:val="none"/>
        </w:rPr>
        <w:t xml:space="preserve"> </w:t>
      </w:r>
      <w:r>
        <w:rPr>
          <w:rStyle w:val="36"/>
          <w:rFonts w:hint="eastAsia" w:ascii="宋体" w:hAnsi="宋体"/>
          <w:color w:val="auto"/>
          <w:szCs w:val="21"/>
          <w:highlight w:val="none"/>
        </w:rPr>
        <w:t>竞争性磋商公告</w:t>
      </w:r>
      <w:r>
        <w:rPr>
          <w:rFonts w:ascii="宋体" w:hAnsi="宋体"/>
          <w:color w:val="auto"/>
          <w:szCs w:val="21"/>
          <w:highlight w:val="none"/>
        </w:rPr>
        <w:tab/>
      </w:r>
      <w:r>
        <w:rPr>
          <w:rFonts w:ascii="宋体" w:hAnsi="宋体"/>
          <w:color w:val="auto"/>
          <w:szCs w:val="21"/>
          <w:highlight w:val="none"/>
        </w:rPr>
        <w:fldChar w:fldCharType="begin"/>
      </w:r>
      <w:r>
        <w:rPr>
          <w:rFonts w:ascii="宋体" w:hAnsi="宋体"/>
          <w:color w:val="auto"/>
          <w:szCs w:val="21"/>
          <w:highlight w:val="none"/>
        </w:rPr>
        <w:instrText xml:space="preserve"> PAGEREF _Toc170496348 \h </w:instrText>
      </w:r>
      <w:r>
        <w:rPr>
          <w:rFonts w:ascii="宋体" w:hAnsi="宋体"/>
          <w:color w:val="auto"/>
          <w:szCs w:val="21"/>
          <w:highlight w:val="none"/>
        </w:rPr>
        <w:fldChar w:fldCharType="separate"/>
      </w:r>
      <w:r>
        <w:rPr>
          <w:rFonts w:ascii="宋体" w:hAnsi="宋体"/>
          <w:color w:val="auto"/>
          <w:szCs w:val="21"/>
          <w:highlight w:val="none"/>
        </w:rPr>
        <w:t>2</w:t>
      </w:r>
      <w:r>
        <w:rPr>
          <w:rFonts w:ascii="宋体" w:hAnsi="宋体"/>
          <w:color w:val="auto"/>
          <w:szCs w:val="21"/>
          <w:highlight w:val="none"/>
        </w:rPr>
        <w:fldChar w:fldCharType="end"/>
      </w:r>
      <w:r>
        <w:rPr>
          <w:rStyle w:val="36"/>
          <w:rFonts w:ascii="宋体" w:hAnsi="宋体"/>
          <w:color w:val="auto"/>
          <w:szCs w:val="21"/>
          <w:highlight w:val="none"/>
        </w:rPr>
        <w:fldChar w:fldCharType="end"/>
      </w:r>
    </w:p>
    <w:p w14:paraId="1C239F0F">
      <w:pPr>
        <w:pStyle w:val="24"/>
        <w:tabs>
          <w:tab w:val="right" w:leader="dot" w:pos="8869"/>
        </w:tabs>
        <w:spacing w:line="360" w:lineRule="auto"/>
        <w:rPr>
          <w:rFonts w:ascii="宋体" w:hAnsi="宋体"/>
          <w:color w:val="auto"/>
          <w:szCs w:val="21"/>
          <w:highlight w:val="none"/>
        </w:rPr>
      </w:pPr>
      <w:r>
        <w:rPr>
          <w:rStyle w:val="36"/>
          <w:rFonts w:ascii="宋体" w:hAnsi="宋体"/>
          <w:color w:val="auto"/>
          <w:szCs w:val="21"/>
          <w:highlight w:val="none"/>
        </w:rPr>
        <w:fldChar w:fldCharType="begin"/>
      </w:r>
      <w:r>
        <w:rPr>
          <w:rStyle w:val="36"/>
          <w:rFonts w:ascii="宋体" w:hAnsi="宋体"/>
          <w:color w:val="auto"/>
          <w:szCs w:val="21"/>
          <w:highlight w:val="none"/>
        </w:rPr>
        <w:instrText xml:space="preserve"> </w:instrText>
      </w:r>
      <w:r>
        <w:rPr>
          <w:rFonts w:ascii="宋体" w:hAnsi="宋体"/>
          <w:color w:val="auto"/>
          <w:szCs w:val="21"/>
          <w:highlight w:val="none"/>
        </w:rPr>
        <w:instrText xml:space="preserve">HYPERLINK \l "_Toc170496350"</w:instrText>
      </w:r>
      <w:r>
        <w:rPr>
          <w:rStyle w:val="36"/>
          <w:rFonts w:ascii="宋体" w:hAnsi="宋体"/>
          <w:color w:val="auto"/>
          <w:szCs w:val="21"/>
          <w:highlight w:val="none"/>
        </w:rPr>
        <w:instrText xml:space="preserve"> </w:instrText>
      </w:r>
      <w:r>
        <w:rPr>
          <w:rStyle w:val="36"/>
          <w:rFonts w:ascii="宋体" w:hAnsi="宋体"/>
          <w:color w:val="auto"/>
          <w:szCs w:val="21"/>
          <w:highlight w:val="none"/>
        </w:rPr>
        <w:fldChar w:fldCharType="separate"/>
      </w:r>
      <w:r>
        <w:rPr>
          <w:rStyle w:val="36"/>
          <w:rFonts w:hint="eastAsia" w:ascii="宋体" w:hAnsi="宋体"/>
          <w:color w:val="auto"/>
          <w:szCs w:val="21"/>
          <w:highlight w:val="none"/>
        </w:rPr>
        <w:t>第二章</w:t>
      </w:r>
      <w:r>
        <w:rPr>
          <w:rStyle w:val="36"/>
          <w:rFonts w:ascii="宋体" w:hAnsi="宋体"/>
          <w:color w:val="auto"/>
          <w:szCs w:val="21"/>
          <w:highlight w:val="none"/>
        </w:rPr>
        <w:t xml:space="preserve"> </w:t>
      </w:r>
      <w:r>
        <w:rPr>
          <w:rStyle w:val="36"/>
          <w:rFonts w:hint="eastAsia" w:ascii="宋体" w:hAnsi="宋体"/>
          <w:color w:val="auto"/>
          <w:szCs w:val="21"/>
          <w:highlight w:val="none"/>
        </w:rPr>
        <w:t>采购需求</w:t>
      </w:r>
      <w:r>
        <w:rPr>
          <w:rFonts w:ascii="宋体" w:hAnsi="宋体"/>
          <w:color w:val="auto"/>
          <w:szCs w:val="21"/>
          <w:highlight w:val="none"/>
        </w:rPr>
        <w:tab/>
      </w:r>
      <w:r>
        <w:rPr>
          <w:rFonts w:ascii="宋体" w:hAnsi="宋体"/>
          <w:color w:val="auto"/>
          <w:szCs w:val="21"/>
          <w:highlight w:val="none"/>
        </w:rPr>
        <w:fldChar w:fldCharType="begin"/>
      </w:r>
      <w:r>
        <w:rPr>
          <w:rFonts w:ascii="宋体" w:hAnsi="宋体"/>
          <w:color w:val="auto"/>
          <w:szCs w:val="21"/>
          <w:highlight w:val="none"/>
        </w:rPr>
        <w:instrText xml:space="preserve"> PAGEREF _Toc170496350 \h </w:instrText>
      </w:r>
      <w:r>
        <w:rPr>
          <w:rFonts w:ascii="宋体" w:hAnsi="宋体"/>
          <w:color w:val="auto"/>
          <w:szCs w:val="21"/>
          <w:highlight w:val="none"/>
        </w:rPr>
        <w:fldChar w:fldCharType="separate"/>
      </w:r>
      <w:r>
        <w:rPr>
          <w:rFonts w:ascii="宋体" w:hAnsi="宋体"/>
          <w:color w:val="auto"/>
          <w:szCs w:val="21"/>
          <w:highlight w:val="none"/>
        </w:rPr>
        <w:t>6</w:t>
      </w:r>
      <w:r>
        <w:rPr>
          <w:rFonts w:ascii="宋体" w:hAnsi="宋体"/>
          <w:color w:val="auto"/>
          <w:szCs w:val="21"/>
          <w:highlight w:val="none"/>
        </w:rPr>
        <w:fldChar w:fldCharType="end"/>
      </w:r>
      <w:r>
        <w:rPr>
          <w:rStyle w:val="36"/>
          <w:rFonts w:ascii="宋体" w:hAnsi="宋体"/>
          <w:color w:val="auto"/>
          <w:szCs w:val="21"/>
          <w:highlight w:val="none"/>
        </w:rPr>
        <w:fldChar w:fldCharType="end"/>
      </w:r>
    </w:p>
    <w:p w14:paraId="70E085E8">
      <w:pPr>
        <w:pStyle w:val="24"/>
        <w:tabs>
          <w:tab w:val="right" w:leader="dot" w:pos="8869"/>
        </w:tabs>
        <w:spacing w:line="360" w:lineRule="auto"/>
        <w:rPr>
          <w:rFonts w:ascii="宋体" w:hAnsi="宋体"/>
          <w:color w:val="auto"/>
          <w:szCs w:val="21"/>
          <w:highlight w:val="none"/>
        </w:rPr>
      </w:pPr>
      <w:r>
        <w:rPr>
          <w:rStyle w:val="36"/>
          <w:rFonts w:ascii="宋体" w:hAnsi="宋体"/>
          <w:color w:val="auto"/>
          <w:szCs w:val="21"/>
          <w:highlight w:val="none"/>
        </w:rPr>
        <w:fldChar w:fldCharType="begin"/>
      </w:r>
      <w:r>
        <w:rPr>
          <w:rStyle w:val="36"/>
          <w:rFonts w:ascii="宋体" w:hAnsi="宋体"/>
          <w:color w:val="auto"/>
          <w:szCs w:val="21"/>
          <w:highlight w:val="none"/>
        </w:rPr>
        <w:instrText xml:space="preserve"> </w:instrText>
      </w:r>
      <w:r>
        <w:rPr>
          <w:rFonts w:ascii="宋体" w:hAnsi="宋体"/>
          <w:color w:val="auto"/>
          <w:szCs w:val="21"/>
          <w:highlight w:val="none"/>
        </w:rPr>
        <w:instrText xml:space="preserve">HYPERLINK \l "_Toc170496362"</w:instrText>
      </w:r>
      <w:r>
        <w:rPr>
          <w:rStyle w:val="36"/>
          <w:rFonts w:ascii="宋体" w:hAnsi="宋体"/>
          <w:color w:val="auto"/>
          <w:szCs w:val="21"/>
          <w:highlight w:val="none"/>
        </w:rPr>
        <w:instrText xml:space="preserve"> </w:instrText>
      </w:r>
      <w:r>
        <w:rPr>
          <w:rStyle w:val="36"/>
          <w:rFonts w:ascii="宋体" w:hAnsi="宋体"/>
          <w:color w:val="auto"/>
          <w:szCs w:val="21"/>
          <w:highlight w:val="none"/>
        </w:rPr>
        <w:fldChar w:fldCharType="separate"/>
      </w:r>
      <w:r>
        <w:rPr>
          <w:rStyle w:val="36"/>
          <w:rFonts w:hint="eastAsia" w:ascii="宋体" w:hAnsi="宋体"/>
          <w:color w:val="auto"/>
          <w:szCs w:val="21"/>
          <w:highlight w:val="none"/>
        </w:rPr>
        <w:t>第三章</w:t>
      </w:r>
      <w:r>
        <w:rPr>
          <w:rStyle w:val="36"/>
          <w:rFonts w:ascii="宋体" w:hAnsi="宋体"/>
          <w:color w:val="auto"/>
          <w:szCs w:val="21"/>
          <w:highlight w:val="none"/>
        </w:rPr>
        <w:t xml:space="preserve"> </w:t>
      </w:r>
      <w:r>
        <w:rPr>
          <w:rStyle w:val="36"/>
          <w:rFonts w:hint="eastAsia" w:ascii="宋体" w:hAnsi="宋体"/>
          <w:color w:val="auto"/>
          <w:szCs w:val="21"/>
          <w:highlight w:val="none"/>
        </w:rPr>
        <w:t>供应商须知</w:t>
      </w:r>
      <w:r>
        <w:rPr>
          <w:rFonts w:ascii="宋体" w:hAnsi="宋体"/>
          <w:color w:val="auto"/>
          <w:szCs w:val="21"/>
          <w:highlight w:val="none"/>
        </w:rPr>
        <w:tab/>
      </w:r>
      <w:r>
        <w:rPr>
          <w:rFonts w:ascii="宋体" w:hAnsi="宋体"/>
          <w:color w:val="auto"/>
          <w:szCs w:val="21"/>
          <w:highlight w:val="none"/>
        </w:rPr>
        <w:fldChar w:fldCharType="begin"/>
      </w:r>
      <w:r>
        <w:rPr>
          <w:rFonts w:ascii="宋体" w:hAnsi="宋体"/>
          <w:color w:val="auto"/>
          <w:szCs w:val="21"/>
          <w:highlight w:val="none"/>
        </w:rPr>
        <w:instrText xml:space="preserve"> PAGEREF _Toc170496362 \h </w:instrText>
      </w:r>
      <w:r>
        <w:rPr>
          <w:rFonts w:ascii="宋体" w:hAnsi="宋体"/>
          <w:color w:val="auto"/>
          <w:szCs w:val="21"/>
          <w:highlight w:val="none"/>
        </w:rPr>
        <w:fldChar w:fldCharType="separate"/>
      </w:r>
      <w:r>
        <w:rPr>
          <w:rFonts w:ascii="宋体" w:hAnsi="宋体"/>
          <w:color w:val="auto"/>
          <w:szCs w:val="21"/>
          <w:highlight w:val="none"/>
        </w:rPr>
        <w:t>21</w:t>
      </w:r>
      <w:r>
        <w:rPr>
          <w:rFonts w:ascii="宋体" w:hAnsi="宋体"/>
          <w:color w:val="auto"/>
          <w:szCs w:val="21"/>
          <w:highlight w:val="none"/>
        </w:rPr>
        <w:fldChar w:fldCharType="end"/>
      </w:r>
      <w:r>
        <w:rPr>
          <w:rStyle w:val="36"/>
          <w:rFonts w:ascii="宋体" w:hAnsi="宋体"/>
          <w:color w:val="auto"/>
          <w:szCs w:val="21"/>
          <w:highlight w:val="none"/>
        </w:rPr>
        <w:fldChar w:fldCharType="end"/>
      </w:r>
    </w:p>
    <w:p w14:paraId="7DA5D9B1">
      <w:pPr>
        <w:pStyle w:val="24"/>
        <w:tabs>
          <w:tab w:val="right" w:leader="dot" w:pos="8869"/>
        </w:tabs>
        <w:spacing w:line="360" w:lineRule="auto"/>
        <w:rPr>
          <w:rFonts w:ascii="宋体" w:hAnsi="宋体"/>
          <w:color w:val="auto"/>
          <w:szCs w:val="21"/>
          <w:highlight w:val="none"/>
        </w:rPr>
      </w:pPr>
      <w:r>
        <w:rPr>
          <w:rStyle w:val="36"/>
          <w:rFonts w:ascii="宋体" w:hAnsi="宋体"/>
          <w:color w:val="auto"/>
          <w:szCs w:val="21"/>
          <w:highlight w:val="none"/>
        </w:rPr>
        <w:fldChar w:fldCharType="begin"/>
      </w:r>
      <w:r>
        <w:rPr>
          <w:rStyle w:val="36"/>
          <w:rFonts w:ascii="宋体" w:hAnsi="宋体"/>
          <w:color w:val="auto"/>
          <w:szCs w:val="21"/>
          <w:highlight w:val="none"/>
        </w:rPr>
        <w:instrText xml:space="preserve"> </w:instrText>
      </w:r>
      <w:r>
        <w:rPr>
          <w:rFonts w:ascii="宋体" w:hAnsi="宋体"/>
          <w:color w:val="auto"/>
          <w:szCs w:val="21"/>
          <w:highlight w:val="none"/>
        </w:rPr>
        <w:instrText xml:space="preserve">HYPERLINK \l "_Toc170496363"</w:instrText>
      </w:r>
      <w:r>
        <w:rPr>
          <w:rStyle w:val="36"/>
          <w:rFonts w:ascii="宋体" w:hAnsi="宋体"/>
          <w:color w:val="auto"/>
          <w:szCs w:val="21"/>
          <w:highlight w:val="none"/>
        </w:rPr>
        <w:instrText xml:space="preserve"> </w:instrText>
      </w:r>
      <w:r>
        <w:rPr>
          <w:rStyle w:val="36"/>
          <w:rFonts w:ascii="宋体" w:hAnsi="宋体"/>
          <w:color w:val="auto"/>
          <w:szCs w:val="21"/>
          <w:highlight w:val="none"/>
        </w:rPr>
        <w:fldChar w:fldCharType="separate"/>
      </w:r>
      <w:r>
        <w:rPr>
          <w:rStyle w:val="36"/>
          <w:rFonts w:hint="eastAsia" w:ascii="宋体" w:hAnsi="宋体"/>
          <w:color w:val="auto"/>
          <w:szCs w:val="21"/>
          <w:highlight w:val="none"/>
        </w:rPr>
        <w:t>第四章</w:t>
      </w:r>
      <w:r>
        <w:rPr>
          <w:rStyle w:val="36"/>
          <w:rFonts w:ascii="宋体" w:hAnsi="宋体"/>
          <w:color w:val="auto"/>
          <w:szCs w:val="21"/>
          <w:highlight w:val="none"/>
        </w:rPr>
        <w:t xml:space="preserve"> </w:t>
      </w:r>
      <w:r>
        <w:rPr>
          <w:rStyle w:val="36"/>
          <w:rFonts w:hint="eastAsia" w:ascii="宋体" w:hAnsi="宋体"/>
          <w:color w:val="auto"/>
          <w:szCs w:val="21"/>
          <w:highlight w:val="none"/>
        </w:rPr>
        <w:t>评审程序、评审方法和评审标准</w:t>
      </w:r>
      <w:r>
        <w:rPr>
          <w:rFonts w:ascii="宋体" w:hAnsi="宋体"/>
          <w:color w:val="auto"/>
          <w:szCs w:val="21"/>
          <w:highlight w:val="none"/>
        </w:rPr>
        <w:tab/>
      </w:r>
      <w:r>
        <w:rPr>
          <w:rFonts w:ascii="宋体" w:hAnsi="宋体"/>
          <w:color w:val="auto"/>
          <w:szCs w:val="21"/>
          <w:highlight w:val="none"/>
        </w:rPr>
        <w:fldChar w:fldCharType="begin"/>
      </w:r>
      <w:r>
        <w:rPr>
          <w:rFonts w:ascii="宋体" w:hAnsi="宋体"/>
          <w:color w:val="auto"/>
          <w:szCs w:val="21"/>
          <w:highlight w:val="none"/>
        </w:rPr>
        <w:instrText xml:space="preserve"> PAGEREF _Toc170496363 \h </w:instrText>
      </w:r>
      <w:r>
        <w:rPr>
          <w:rFonts w:ascii="宋体" w:hAnsi="宋体"/>
          <w:color w:val="auto"/>
          <w:szCs w:val="21"/>
          <w:highlight w:val="none"/>
        </w:rPr>
        <w:fldChar w:fldCharType="separate"/>
      </w:r>
      <w:r>
        <w:rPr>
          <w:rFonts w:ascii="宋体" w:hAnsi="宋体"/>
          <w:color w:val="auto"/>
          <w:szCs w:val="21"/>
          <w:highlight w:val="none"/>
        </w:rPr>
        <w:t>42</w:t>
      </w:r>
      <w:r>
        <w:rPr>
          <w:rFonts w:ascii="宋体" w:hAnsi="宋体"/>
          <w:color w:val="auto"/>
          <w:szCs w:val="21"/>
          <w:highlight w:val="none"/>
        </w:rPr>
        <w:fldChar w:fldCharType="end"/>
      </w:r>
      <w:r>
        <w:rPr>
          <w:rStyle w:val="36"/>
          <w:rFonts w:ascii="宋体" w:hAnsi="宋体"/>
          <w:color w:val="auto"/>
          <w:szCs w:val="21"/>
          <w:highlight w:val="none"/>
        </w:rPr>
        <w:fldChar w:fldCharType="end"/>
      </w:r>
    </w:p>
    <w:p w14:paraId="6AF17661">
      <w:pPr>
        <w:pStyle w:val="24"/>
        <w:tabs>
          <w:tab w:val="right" w:leader="dot" w:pos="8869"/>
        </w:tabs>
        <w:spacing w:line="360" w:lineRule="auto"/>
        <w:rPr>
          <w:rFonts w:ascii="宋体" w:hAnsi="宋体"/>
          <w:color w:val="auto"/>
          <w:szCs w:val="21"/>
          <w:highlight w:val="none"/>
        </w:rPr>
      </w:pPr>
      <w:r>
        <w:rPr>
          <w:rStyle w:val="36"/>
          <w:rFonts w:ascii="宋体" w:hAnsi="宋体"/>
          <w:color w:val="auto"/>
          <w:szCs w:val="21"/>
          <w:highlight w:val="none"/>
        </w:rPr>
        <w:fldChar w:fldCharType="begin"/>
      </w:r>
      <w:r>
        <w:rPr>
          <w:rStyle w:val="36"/>
          <w:rFonts w:ascii="宋体" w:hAnsi="宋体"/>
          <w:color w:val="auto"/>
          <w:szCs w:val="21"/>
          <w:highlight w:val="none"/>
        </w:rPr>
        <w:instrText xml:space="preserve"> </w:instrText>
      </w:r>
      <w:r>
        <w:rPr>
          <w:rFonts w:ascii="宋体" w:hAnsi="宋体"/>
          <w:color w:val="auto"/>
          <w:szCs w:val="21"/>
          <w:highlight w:val="none"/>
        </w:rPr>
        <w:instrText xml:space="preserve">HYPERLINK \l "_Toc170496364"</w:instrText>
      </w:r>
      <w:r>
        <w:rPr>
          <w:rStyle w:val="36"/>
          <w:rFonts w:ascii="宋体" w:hAnsi="宋体"/>
          <w:color w:val="auto"/>
          <w:szCs w:val="21"/>
          <w:highlight w:val="none"/>
        </w:rPr>
        <w:instrText xml:space="preserve"> </w:instrText>
      </w:r>
      <w:r>
        <w:rPr>
          <w:rStyle w:val="36"/>
          <w:rFonts w:ascii="宋体" w:hAnsi="宋体"/>
          <w:color w:val="auto"/>
          <w:szCs w:val="21"/>
          <w:highlight w:val="none"/>
        </w:rPr>
        <w:fldChar w:fldCharType="separate"/>
      </w:r>
      <w:r>
        <w:rPr>
          <w:rStyle w:val="36"/>
          <w:rFonts w:hint="eastAsia" w:ascii="宋体" w:hAnsi="宋体"/>
          <w:color w:val="auto"/>
          <w:szCs w:val="21"/>
          <w:highlight w:val="none"/>
        </w:rPr>
        <w:t>第五章</w:t>
      </w:r>
      <w:r>
        <w:rPr>
          <w:rStyle w:val="36"/>
          <w:rFonts w:ascii="宋体" w:hAnsi="宋体"/>
          <w:color w:val="auto"/>
          <w:szCs w:val="21"/>
          <w:highlight w:val="none"/>
        </w:rPr>
        <w:t xml:space="preserve"> </w:t>
      </w:r>
      <w:r>
        <w:rPr>
          <w:rStyle w:val="36"/>
          <w:rFonts w:hint="eastAsia" w:ascii="宋体" w:hAnsi="宋体"/>
          <w:color w:val="auto"/>
          <w:szCs w:val="21"/>
          <w:highlight w:val="none"/>
        </w:rPr>
        <w:t>响应文件格式</w:t>
      </w:r>
      <w:r>
        <w:rPr>
          <w:rFonts w:ascii="宋体" w:hAnsi="宋体"/>
          <w:color w:val="auto"/>
          <w:szCs w:val="21"/>
          <w:highlight w:val="none"/>
        </w:rPr>
        <w:tab/>
      </w:r>
      <w:r>
        <w:rPr>
          <w:rFonts w:ascii="宋体" w:hAnsi="宋体"/>
          <w:color w:val="auto"/>
          <w:szCs w:val="21"/>
          <w:highlight w:val="none"/>
        </w:rPr>
        <w:fldChar w:fldCharType="begin"/>
      </w:r>
      <w:r>
        <w:rPr>
          <w:rFonts w:ascii="宋体" w:hAnsi="宋体"/>
          <w:color w:val="auto"/>
          <w:szCs w:val="21"/>
          <w:highlight w:val="none"/>
        </w:rPr>
        <w:instrText xml:space="preserve"> PAGEREF _Toc170496364 \h </w:instrText>
      </w:r>
      <w:r>
        <w:rPr>
          <w:rFonts w:ascii="宋体" w:hAnsi="宋体"/>
          <w:color w:val="auto"/>
          <w:szCs w:val="21"/>
          <w:highlight w:val="none"/>
        </w:rPr>
        <w:fldChar w:fldCharType="separate"/>
      </w:r>
      <w:r>
        <w:rPr>
          <w:rFonts w:ascii="宋体" w:hAnsi="宋体"/>
          <w:color w:val="auto"/>
          <w:szCs w:val="21"/>
          <w:highlight w:val="none"/>
        </w:rPr>
        <w:t>53</w:t>
      </w:r>
      <w:r>
        <w:rPr>
          <w:rFonts w:ascii="宋体" w:hAnsi="宋体"/>
          <w:color w:val="auto"/>
          <w:szCs w:val="21"/>
          <w:highlight w:val="none"/>
        </w:rPr>
        <w:fldChar w:fldCharType="end"/>
      </w:r>
      <w:r>
        <w:rPr>
          <w:rStyle w:val="36"/>
          <w:rFonts w:ascii="宋体" w:hAnsi="宋体"/>
          <w:color w:val="auto"/>
          <w:szCs w:val="21"/>
          <w:highlight w:val="none"/>
        </w:rPr>
        <w:fldChar w:fldCharType="end"/>
      </w:r>
    </w:p>
    <w:p w14:paraId="456E9FA3">
      <w:pPr>
        <w:pStyle w:val="24"/>
        <w:tabs>
          <w:tab w:val="right" w:leader="dot" w:pos="8869"/>
        </w:tabs>
        <w:spacing w:line="360" w:lineRule="auto"/>
        <w:rPr>
          <w:rFonts w:ascii="宋体" w:hAnsi="宋体"/>
          <w:color w:val="auto"/>
          <w:szCs w:val="21"/>
          <w:highlight w:val="none"/>
        </w:rPr>
      </w:pPr>
      <w:r>
        <w:rPr>
          <w:rStyle w:val="36"/>
          <w:rFonts w:ascii="宋体" w:hAnsi="宋体"/>
          <w:color w:val="auto"/>
          <w:szCs w:val="21"/>
          <w:highlight w:val="none"/>
        </w:rPr>
        <w:fldChar w:fldCharType="begin"/>
      </w:r>
      <w:r>
        <w:rPr>
          <w:rStyle w:val="36"/>
          <w:rFonts w:ascii="宋体" w:hAnsi="宋体"/>
          <w:color w:val="auto"/>
          <w:szCs w:val="21"/>
          <w:highlight w:val="none"/>
        </w:rPr>
        <w:instrText xml:space="preserve"> </w:instrText>
      </w:r>
      <w:r>
        <w:rPr>
          <w:rFonts w:ascii="宋体" w:hAnsi="宋体"/>
          <w:color w:val="auto"/>
          <w:szCs w:val="21"/>
          <w:highlight w:val="none"/>
        </w:rPr>
        <w:instrText xml:space="preserve">HYPERLINK \l "_Toc170496365"</w:instrText>
      </w:r>
      <w:r>
        <w:rPr>
          <w:rStyle w:val="36"/>
          <w:rFonts w:ascii="宋体" w:hAnsi="宋体"/>
          <w:color w:val="auto"/>
          <w:szCs w:val="21"/>
          <w:highlight w:val="none"/>
        </w:rPr>
        <w:instrText xml:space="preserve"> </w:instrText>
      </w:r>
      <w:r>
        <w:rPr>
          <w:rStyle w:val="36"/>
          <w:rFonts w:ascii="宋体" w:hAnsi="宋体"/>
          <w:color w:val="auto"/>
          <w:szCs w:val="21"/>
          <w:highlight w:val="none"/>
        </w:rPr>
        <w:fldChar w:fldCharType="separate"/>
      </w:r>
      <w:r>
        <w:rPr>
          <w:rStyle w:val="36"/>
          <w:rFonts w:hint="eastAsia" w:ascii="宋体" w:hAnsi="宋体"/>
          <w:color w:val="auto"/>
          <w:szCs w:val="21"/>
          <w:highlight w:val="none"/>
        </w:rPr>
        <w:t>第六章</w:t>
      </w:r>
      <w:r>
        <w:rPr>
          <w:rStyle w:val="36"/>
          <w:rFonts w:ascii="宋体" w:hAnsi="宋体"/>
          <w:color w:val="auto"/>
          <w:szCs w:val="21"/>
          <w:highlight w:val="none"/>
        </w:rPr>
        <w:t xml:space="preserve"> </w:t>
      </w:r>
      <w:r>
        <w:rPr>
          <w:rStyle w:val="36"/>
          <w:rFonts w:hint="eastAsia" w:ascii="宋体" w:hAnsi="宋体"/>
          <w:color w:val="auto"/>
          <w:szCs w:val="21"/>
          <w:highlight w:val="none"/>
        </w:rPr>
        <w:t>合同</w:t>
      </w:r>
      <w:bookmarkStart w:id="0" w:name="_Hlt170496456"/>
      <w:r>
        <w:rPr>
          <w:rStyle w:val="36"/>
          <w:rFonts w:hint="eastAsia" w:ascii="宋体" w:hAnsi="宋体"/>
          <w:color w:val="auto"/>
          <w:szCs w:val="21"/>
          <w:highlight w:val="none"/>
        </w:rPr>
        <w:t>文</w:t>
      </w:r>
      <w:bookmarkEnd w:id="0"/>
      <w:r>
        <w:rPr>
          <w:rStyle w:val="36"/>
          <w:rFonts w:hint="eastAsia" w:ascii="宋体" w:hAnsi="宋体"/>
          <w:color w:val="auto"/>
          <w:szCs w:val="21"/>
          <w:highlight w:val="none"/>
        </w:rPr>
        <w:t>本</w:t>
      </w:r>
      <w:r>
        <w:rPr>
          <w:rFonts w:ascii="宋体" w:hAnsi="宋体"/>
          <w:color w:val="auto"/>
          <w:szCs w:val="21"/>
          <w:highlight w:val="none"/>
        </w:rPr>
        <w:tab/>
      </w:r>
      <w:r>
        <w:rPr>
          <w:rFonts w:ascii="宋体" w:hAnsi="宋体"/>
          <w:color w:val="auto"/>
          <w:szCs w:val="21"/>
          <w:highlight w:val="none"/>
        </w:rPr>
        <w:fldChar w:fldCharType="begin"/>
      </w:r>
      <w:r>
        <w:rPr>
          <w:rFonts w:ascii="宋体" w:hAnsi="宋体"/>
          <w:color w:val="auto"/>
          <w:szCs w:val="21"/>
          <w:highlight w:val="none"/>
        </w:rPr>
        <w:instrText xml:space="preserve"> PAGEREF _Toc170496365 \h </w:instrText>
      </w:r>
      <w:r>
        <w:rPr>
          <w:rFonts w:ascii="宋体" w:hAnsi="宋体"/>
          <w:color w:val="auto"/>
          <w:szCs w:val="21"/>
          <w:highlight w:val="none"/>
        </w:rPr>
        <w:fldChar w:fldCharType="separate"/>
      </w:r>
      <w:r>
        <w:rPr>
          <w:rFonts w:ascii="宋体" w:hAnsi="宋体"/>
          <w:color w:val="auto"/>
          <w:szCs w:val="21"/>
          <w:highlight w:val="none"/>
        </w:rPr>
        <w:t>80</w:t>
      </w:r>
      <w:r>
        <w:rPr>
          <w:rFonts w:ascii="宋体" w:hAnsi="宋体"/>
          <w:color w:val="auto"/>
          <w:szCs w:val="21"/>
          <w:highlight w:val="none"/>
        </w:rPr>
        <w:fldChar w:fldCharType="end"/>
      </w:r>
      <w:r>
        <w:rPr>
          <w:rStyle w:val="36"/>
          <w:rFonts w:ascii="宋体" w:hAnsi="宋体"/>
          <w:color w:val="auto"/>
          <w:szCs w:val="21"/>
          <w:highlight w:val="none"/>
        </w:rPr>
        <w:fldChar w:fldCharType="end"/>
      </w:r>
    </w:p>
    <w:p w14:paraId="33B67FC6">
      <w:pPr>
        <w:pStyle w:val="25"/>
        <w:tabs>
          <w:tab w:val="right" w:leader="dot" w:pos="8931"/>
          <w:tab w:val="clear" w:pos="8296"/>
        </w:tabs>
        <w:snapToGrid w:val="0"/>
        <w:spacing w:line="360" w:lineRule="auto"/>
        <w:ind w:left="0" w:leftChars="0"/>
        <w:rPr>
          <w:rFonts w:hint="eastAsia" w:ascii="宋体" w:hAnsi="宋体"/>
          <w:b/>
          <w:color w:val="auto"/>
          <w:sz w:val="24"/>
          <w:highlight w:val="none"/>
        </w:rPr>
      </w:pPr>
      <w:r>
        <w:rPr>
          <w:rFonts w:ascii="宋体" w:hAnsi="宋体"/>
          <w:b/>
          <w:color w:val="auto"/>
          <w:szCs w:val="21"/>
          <w:highlight w:val="none"/>
        </w:rPr>
        <w:fldChar w:fldCharType="end"/>
      </w:r>
    </w:p>
    <w:p w14:paraId="2131CB70">
      <w:pPr>
        <w:spacing w:line="400" w:lineRule="exact"/>
        <w:jc w:val="left"/>
        <w:rPr>
          <w:rFonts w:hint="eastAsia" w:ascii="宋体" w:hAnsi="宋体"/>
          <w:b/>
          <w:color w:val="auto"/>
          <w:sz w:val="32"/>
          <w:szCs w:val="32"/>
          <w:highlight w:val="none"/>
        </w:rPr>
      </w:pPr>
    </w:p>
    <w:p w14:paraId="6408E718">
      <w:pPr>
        <w:spacing w:line="400" w:lineRule="exact"/>
        <w:jc w:val="center"/>
        <w:rPr>
          <w:rFonts w:hint="eastAsia" w:ascii="宋体" w:hAnsi="宋体"/>
          <w:b/>
          <w:color w:val="auto"/>
          <w:sz w:val="32"/>
          <w:szCs w:val="32"/>
          <w:highlight w:val="none"/>
        </w:rPr>
      </w:pPr>
    </w:p>
    <w:p w14:paraId="6BAE6E0B">
      <w:pPr>
        <w:spacing w:line="400" w:lineRule="exact"/>
        <w:jc w:val="center"/>
        <w:rPr>
          <w:rFonts w:hint="eastAsia" w:ascii="宋体" w:hAnsi="宋体"/>
          <w:b/>
          <w:color w:val="auto"/>
          <w:sz w:val="32"/>
          <w:szCs w:val="32"/>
          <w:highlight w:val="none"/>
        </w:rPr>
      </w:pPr>
    </w:p>
    <w:p w14:paraId="77410192">
      <w:pPr>
        <w:spacing w:line="400" w:lineRule="exact"/>
        <w:jc w:val="center"/>
        <w:rPr>
          <w:rFonts w:hint="eastAsia" w:ascii="宋体" w:hAnsi="宋体"/>
          <w:b/>
          <w:color w:val="auto"/>
          <w:sz w:val="32"/>
          <w:szCs w:val="32"/>
          <w:highlight w:val="none"/>
        </w:rPr>
      </w:pPr>
    </w:p>
    <w:p w14:paraId="5F9AC853">
      <w:pPr>
        <w:spacing w:line="400" w:lineRule="exact"/>
        <w:jc w:val="center"/>
        <w:rPr>
          <w:rFonts w:hint="eastAsia" w:ascii="宋体" w:hAnsi="宋体"/>
          <w:b/>
          <w:color w:val="auto"/>
          <w:sz w:val="32"/>
          <w:szCs w:val="32"/>
          <w:highlight w:val="none"/>
        </w:rPr>
      </w:pPr>
    </w:p>
    <w:p w14:paraId="25431E46">
      <w:pPr>
        <w:spacing w:line="400" w:lineRule="exact"/>
        <w:rPr>
          <w:rFonts w:hint="eastAsia" w:ascii="宋体" w:hAnsi="宋体"/>
          <w:b/>
          <w:color w:val="auto"/>
          <w:sz w:val="32"/>
          <w:szCs w:val="32"/>
          <w:highlight w:val="none"/>
        </w:rPr>
        <w:sectPr>
          <w:headerReference r:id="rId4" w:type="first"/>
          <w:footerReference r:id="rId6" w:type="first"/>
          <w:headerReference r:id="rId3" w:type="default"/>
          <w:footerReference r:id="rId5" w:type="default"/>
          <w:pgSz w:w="11906" w:h="16838"/>
          <w:pgMar w:top="1440" w:right="1440" w:bottom="1440" w:left="1587" w:header="851" w:footer="992" w:gutter="0"/>
          <w:pgNumType w:start="0"/>
          <w:cols w:space="720" w:num="1"/>
          <w:titlePg/>
          <w:docGrid w:type="lines" w:linePitch="312" w:charSpace="0"/>
        </w:sectPr>
      </w:pPr>
    </w:p>
    <w:p w14:paraId="04531DA5">
      <w:pPr>
        <w:pStyle w:val="2"/>
        <w:spacing w:line="360" w:lineRule="auto"/>
        <w:jc w:val="center"/>
        <w:rPr>
          <w:color w:val="auto"/>
          <w:highlight w:val="none"/>
        </w:rPr>
      </w:pPr>
      <w:bookmarkStart w:id="1" w:name="_Toc170496348"/>
      <w:r>
        <w:rPr>
          <w:rFonts w:hint="eastAsia"/>
          <w:color w:val="auto"/>
          <w:highlight w:val="none"/>
        </w:rPr>
        <w:t>第一章 竞争性磋商公告</w:t>
      </w:r>
      <w:bookmarkEnd w:id="1"/>
    </w:p>
    <w:p w14:paraId="50BDA28F">
      <w:pPr>
        <w:pStyle w:val="19"/>
        <w:keepNext w:val="0"/>
        <w:keepLines w:val="0"/>
        <w:pageBreakBefore w:val="0"/>
        <w:kinsoku/>
        <w:overflowPunct/>
        <w:topLinePunct w:val="0"/>
        <w:autoSpaceDE/>
        <w:autoSpaceDN/>
        <w:bidi w:val="0"/>
        <w:adjustRightInd/>
        <w:snapToGrid/>
        <w:spacing w:line="440" w:lineRule="exact"/>
        <w:jc w:val="center"/>
        <w:textAlignment w:val="auto"/>
        <w:rPr>
          <w:rFonts w:hint="eastAsia"/>
          <w:b/>
          <w:color w:val="auto"/>
          <w:sz w:val="28"/>
          <w:szCs w:val="28"/>
          <w:highlight w:val="none"/>
        </w:rPr>
      </w:pPr>
      <w:r>
        <w:rPr>
          <w:rFonts w:hint="eastAsia"/>
          <w:b/>
          <w:color w:val="auto"/>
          <w:sz w:val="28"/>
          <w:szCs w:val="28"/>
          <w:highlight w:val="none"/>
        </w:rPr>
        <w:t>广西中信恒泰工程顾问有限公司关于</w:t>
      </w:r>
      <w:r>
        <w:rPr>
          <w:rFonts w:hint="eastAsia"/>
          <w:b/>
          <w:color w:val="auto"/>
          <w:sz w:val="28"/>
          <w:szCs w:val="28"/>
          <w:highlight w:val="none"/>
          <w:lang w:eastAsia="zh-CN"/>
        </w:rPr>
        <w:t>营养健康食堂建设提升项目</w:t>
      </w:r>
      <w:r>
        <w:rPr>
          <w:rFonts w:hint="eastAsia"/>
          <w:b/>
          <w:color w:val="auto"/>
          <w:sz w:val="28"/>
          <w:szCs w:val="28"/>
          <w:highlight w:val="none"/>
        </w:rPr>
        <w:t>（</w:t>
      </w:r>
      <w:r>
        <w:rPr>
          <w:rFonts w:hint="eastAsia"/>
          <w:b/>
          <w:color w:val="auto"/>
          <w:sz w:val="28"/>
          <w:szCs w:val="28"/>
          <w:highlight w:val="none"/>
          <w:lang w:eastAsia="zh-CN"/>
        </w:rPr>
        <w:t>GXZC2026-C3-001565-GXZX</w:t>
      </w:r>
      <w:r>
        <w:rPr>
          <w:rFonts w:hint="eastAsia"/>
          <w:b/>
          <w:color w:val="auto"/>
          <w:sz w:val="28"/>
          <w:szCs w:val="28"/>
          <w:highlight w:val="none"/>
        </w:rPr>
        <w:t>）</w:t>
      </w:r>
    </w:p>
    <w:p w14:paraId="02D69601">
      <w:pPr>
        <w:pStyle w:val="19"/>
        <w:keepNext w:val="0"/>
        <w:keepLines w:val="0"/>
        <w:pageBreakBefore w:val="0"/>
        <w:kinsoku/>
        <w:overflowPunct/>
        <w:topLinePunct w:val="0"/>
        <w:autoSpaceDE/>
        <w:autoSpaceDN/>
        <w:bidi w:val="0"/>
        <w:adjustRightInd/>
        <w:snapToGrid/>
        <w:spacing w:line="440" w:lineRule="exact"/>
        <w:jc w:val="center"/>
        <w:textAlignment w:val="auto"/>
        <w:rPr>
          <w:rFonts w:hint="eastAsia" w:ascii="宋体" w:hAnsi="Courier New"/>
          <w:b/>
          <w:color w:val="auto"/>
          <w:kern w:val="0"/>
          <w:sz w:val="28"/>
          <w:szCs w:val="28"/>
          <w:highlight w:val="none"/>
        </w:rPr>
      </w:pPr>
      <w:r>
        <w:rPr>
          <w:rFonts w:hint="eastAsia" w:ascii="宋体" w:hAnsi="Courier New"/>
          <w:b/>
          <w:color w:val="auto"/>
          <w:kern w:val="0"/>
          <w:sz w:val="28"/>
          <w:szCs w:val="28"/>
          <w:highlight w:val="none"/>
        </w:rPr>
        <w:t>竞争性磋商公告</w:t>
      </w:r>
    </w:p>
    <w:p w14:paraId="7E128392">
      <w:pPr>
        <w:keepNext w:val="0"/>
        <w:keepLines w:val="0"/>
        <w:pageBreakBefore w:val="0"/>
        <w:pBdr>
          <w:top w:val="single" w:color="auto" w:sz="4" w:space="1"/>
          <w:left w:val="single" w:color="auto" w:sz="4" w:space="4"/>
          <w:bottom w:val="single" w:color="auto" w:sz="4" w:space="1"/>
          <w:right w:val="single" w:color="auto" w:sz="4" w:space="4"/>
        </w:pBdr>
        <w:kinsoku/>
        <w:overflowPunct/>
        <w:topLinePunct w:val="0"/>
        <w:autoSpaceDE/>
        <w:autoSpaceDN/>
        <w:bidi w:val="0"/>
        <w:adjustRightInd/>
        <w:snapToGrid/>
        <w:spacing w:line="440" w:lineRule="exact"/>
        <w:ind w:firstLine="420" w:firstLineChars="200"/>
        <w:textAlignment w:val="auto"/>
        <w:rPr>
          <w:rFonts w:ascii="宋体" w:hAnsi="宋体"/>
          <w:color w:val="auto"/>
          <w:szCs w:val="21"/>
          <w:highlight w:val="none"/>
        </w:rPr>
      </w:pPr>
      <w:bookmarkStart w:id="2" w:name="_Hlk37430271"/>
      <w:r>
        <w:rPr>
          <w:rFonts w:hint="eastAsia" w:ascii="宋体" w:hAnsi="宋体"/>
          <w:color w:val="auto"/>
          <w:szCs w:val="21"/>
          <w:highlight w:val="none"/>
        </w:rPr>
        <w:t>项目概况</w:t>
      </w:r>
    </w:p>
    <w:p w14:paraId="0C2B1A72">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44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u w:val="single"/>
          <w:lang w:eastAsia="zh-CN"/>
        </w:rPr>
        <w:t>营养健康食堂建设提升项目</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rPr>
        <w:t>项目的潜在供应商应在广西政府采购云平台（https://www.gcy.zfcg.gxzf.gov.cn）获取</w:t>
      </w:r>
      <w:r>
        <w:rPr>
          <w:rFonts w:hint="eastAsia" w:ascii="宋体" w:hAnsi="宋体"/>
          <w:color w:val="auto"/>
          <w:szCs w:val="21"/>
          <w:highlight w:val="none"/>
          <w:lang w:val="en-US" w:eastAsia="zh-CN"/>
        </w:rPr>
        <w:t>采购</w:t>
      </w:r>
      <w:r>
        <w:rPr>
          <w:rFonts w:hint="eastAsia" w:ascii="宋体" w:hAnsi="宋体"/>
          <w:color w:val="auto"/>
          <w:szCs w:val="21"/>
          <w:highlight w:val="none"/>
        </w:rPr>
        <w:t>文件，并于202</w:t>
      </w:r>
      <w:r>
        <w:rPr>
          <w:rFonts w:hint="eastAsia" w:ascii="宋体" w:hAnsi="宋体"/>
          <w:color w:val="auto"/>
          <w:szCs w:val="21"/>
          <w:highlight w:val="none"/>
          <w:lang w:val="en-US" w:eastAsia="zh-CN"/>
        </w:rPr>
        <w:t>6</w:t>
      </w:r>
      <w:r>
        <w:rPr>
          <w:rFonts w:hint="eastAsia" w:ascii="宋体" w:hAnsi="宋体"/>
          <w:color w:val="auto"/>
          <w:szCs w:val="21"/>
          <w:highlight w:val="none"/>
        </w:rPr>
        <w:t>年</w:t>
      </w:r>
      <w:r>
        <w:rPr>
          <w:rFonts w:hint="eastAsia" w:ascii="宋体" w:hAnsi="宋体"/>
          <w:color w:val="auto"/>
          <w:szCs w:val="21"/>
          <w:highlight w:val="none"/>
          <w:lang w:val="en-US" w:eastAsia="zh-CN"/>
        </w:rPr>
        <w:t>6</w:t>
      </w:r>
      <w:r>
        <w:rPr>
          <w:rFonts w:hint="eastAsia" w:ascii="宋体" w:hAnsi="宋体"/>
          <w:color w:val="auto"/>
          <w:szCs w:val="21"/>
          <w:highlight w:val="none"/>
        </w:rPr>
        <w:t>月</w:t>
      </w:r>
      <w:r>
        <w:rPr>
          <w:rFonts w:hint="eastAsia" w:ascii="宋体" w:hAnsi="宋体"/>
          <w:color w:val="auto"/>
          <w:szCs w:val="21"/>
          <w:highlight w:val="none"/>
          <w:lang w:val="en-US" w:eastAsia="zh-CN"/>
        </w:rPr>
        <w:t>9</w:t>
      </w:r>
      <w:r>
        <w:rPr>
          <w:rFonts w:hint="eastAsia" w:ascii="宋体" w:hAnsi="宋体"/>
          <w:color w:val="auto"/>
          <w:szCs w:val="21"/>
          <w:highlight w:val="none"/>
        </w:rPr>
        <w:t>日</w:t>
      </w:r>
      <w:r>
        <w:rPr>
          <w:rFonts w:hint="eastAsia" w:ascii="宋体" w:hAnsi="宋体"/>
          <w:color w:val="auto"/>
          <w:szCs w:val="21"/>
          <w:highlight w:val="none"/>
          <w:lang w:val="en-US" w:eastAsia="zh-CN"/>
        </w:rPr>
        <w:t>09:30</w:t>
      </w:r>
      <w:r>
        <w:rPr>
          <w:rFonts w:hint="eastAsia" w:ascii="宋体" w:hAnsi="宋体"/>
          <w:bCs/>
          <w:color w:val="auto"/>
          <w:szCs w:val="21"/>
          <w:highlight w:val="none"/>
        </w:rPr>
        <w:t>（北京时间）前提交响应</w:t>
      </w:r>
      <w:r>
        <w:rPr>
          <w:rFonts w:ascii="宋体" w:hAnsi="宋体"/>
          <w:bCs/>
          <w:color w:val="auto"/>
          <w:szCs w:val="21"/>
          <w:highlight w:val="none"/>
        </w:rPr>
        <w:t>文件</w:t>
      </w:r>
      <w:r>
        <w:rPr>
          <w:rFonts w:hint="eastAsia" w:ascii="宋体" w:hAnsi="宋体"/>
          <w:color w:val="auto"/>
          <w:szCs w:val="21"/>
          <w:highlight w:val="none"/>
        </w:rPr>
        <w:t>。</w:t>
      </w:r>
    </w:p>
    <w:p w14:paraId="2FF39D83">
      <w:pPr>
        <w:keepNext w:val="0"/>
        <w:keepLines w:val="0"/>
        <w:pageBreakBefore w:val="0"/>
        <w:kinsoku/>
        <w:overflowPunct/>
        <w:topLinePunct w:val="0"/>
        <w:autoSpaceDE/>
        <w:autoSpaceDN/>
        <w:bidi w:val="0"/>
        <w:adjustRightInd/>
        <w:snapToGrid/>
        <w:spacing w:line="440" w:lineRule="exact"/>
        <w:ind w:firstLine="310" w:firstLineChars="147"/>
        <w:textAlignment w:val="auto"/>
        <w:rPr>
          <w:rFonts w:ascii="宋体" w:hAnsi="宋体"/>
          <w:b/>
          <w:color w:val="auto"/>
          <w:szCs w:val="21"/>
          <w:highlight w:val="none"/>
        </w:rPr>
      </w:pPr>
      <w:bookmarkStart w:id="3" w:name="_Hlk37429674"/>
      <w:bookmarkStart w:id="4" w:name="_Toc28359095"/>
      <w:bookmarkStart w:id="5" w:name="_Toc35393805"/>
      <w:bookmarkStart w:id="6" w:name="_Toc35393636"/>
      <w:bookmarkStart w:id="7" w:name="_Toc28359018"/>
      <w:bookmarkStart w:id="8" w:name="_Toc44229885"/>
      <w:r>
        <w:rPr>
          <w:rFonts w:hint="eastAsia" w:ascii="宋体" w:hAnsi="宋体"/>
          <w:b/>
          <w:color w:val="auto"/>
          <w:szCs w:val="21"/>
          <w:highlight w:val="none"/>
        </w:rPr>
        <w:t>一、项目基本情况</w:t>
      </w:r>
    </w:p>
    <w:p w14:paraId="387BDAED">
      <w:pPr>
        <w:keepNext w:val="0"/>
        <w:keepLines w:val="0"/>
        <w:pageBreakBefore w:val="0"/>
        <w:kinsoku/>
        <w:overflowPunct/>
        <w:topLinePunct w:val="0"/>
        <w:autoSpaceDE/>
        <w:autoSpaceDN/>
        <w:bidi w:val="0"/>
        <w:adjustRightInd/>
        <w:snapToGrid/>
        <w:spacing w:line="440" w:lineRule="exact"/>
        <w:ind w:firstLine="420" w:firstLineChars="200"/>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项目编号：</w:t>
      </w:r>
      <w:r>
        <w:rPr>
          <w:rFonts w:hint="eastAsia" w:ascii="宋体" w:hAnsi="宋体"/>
          <w:color w:val="auto"/>
          <w:szCs w:val="21"/>
          <w:highlight w:val="none"/>
          <w:lang w:eastAsia="zh-CN"/>
        </w:rPr>
        <w:t>GXZC2026-C3-001565-GXZX</w:t>
      </w:r>
    </w:p>
    <w:p w14:paraId="136D7E61">
      <w:pPr>
        <w:keepNext w:val="0"/>
        <w:keepLines w:val="0"/>
        <w:pageBreakBefore w:val="0"/>
        <w:kinsoku/>
        <w:overflowPunct/>
        <w:topLinePunct w:val="0"/>
        <w:autoSpaceDE/>
        <w:autoSpaceDN/>
        <w:bidi w:val="0"/>
        <w:adjustRightInd/>
        <w:snapToGrid/>
        <w:spacing w:line="440" w:lineRule="exact"/>
        <w:ind w:firstLine="420" w:firstLineChars="200"/>
        <w:textAlignment w:val="auto"/>
        <w:rPr>
          <w:rFonts w:hint="eastAsia" w:ascii="宋体" w:hAnsi="宋体" w:eastAsia="宋体"/>
          <w:color w:val="auto"/>
          <w:szCs w:val="21"/>
          <w:highlight w:val="none"/>
          <w:u w:val="single"/>
          <w:lang w:eastAsia="zh-CN"/>
        </w:rPr>
      </w:pPr>
      <w:r>
        <w:rPr>
          <w:rFonts w:hint="eastAsia" w:ascii="宋体" w:hAnsi="宋体"/>
          <w:color w:val="auto"/>
          <w:szCs w:val="21"/>
          <w:highlight w:val="none"/>
        </w:rPr>
        <w:t>项目名称：</w:t>
      </w:r>
      <w:r>
        <w:rPr>
          <w:rFonts w:hint="eastAsia" w:ascii="宋体" w:hAnsi="宋体"/>
          <w:color w:val="auto"/>
          <w:szCs w:val="21"/>
          <w:highlight w:val="none"/>
          <w:lang w:eastAsia="zh-CN"/>
        </w:rPr>
        <w:t>营养健康食堂建设提升项目</w:t>
      </w:r>
    </w:p>
    <w:p w14:paraId="046ED1C6">
      <w:pPr>
        <w:keepNext w:val="0"/>
        <w:keepLines w:val="0"/>
        <w:pageBreakBefore w:val="0"/>
        <w:kinsoku/>
        <w:overflowPunct/>
        <w:topLinePunct w:val="0"/>
        <w:autoSpaceDE/>
        <w:autoSpaceDN/>
        <w:bidi w:val="0"/>
        <w:adjustRightInd/>
        <w:snapToGrid/>
        <w:spacing w:line="44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采购方式：竞争性磋商</w:t>
      </w:r>
    </w:p>
    <w:p w14:paraId="7A6CAAEB">
      <w:pPr>
        <w:keepNext w:val="0"/>
        <w:keepLines w:val="0"/>
        <w:pageBreakBefore w:val="0"/>
        <w:kinsoku/>
        <w:overflowPunct/>
        <w:topLinePunct w:val="0"/>
        <w:autoSpaceDE/>
        <w:autoSpaceDN/>
        <w:bidi w:val="0"/>
        <w:adjustRightInd/>
        <w:snapToGrid/>
        <w:spacing w:line="440" w:lineRule="exact"/>
        <w:ind w:firstLine="420" w:firstLineChars="200"/>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rPr>
        <w:t>预算总金额（元）：</w:t>
      </w:r>
      <w:r>
        <w:rPr>
          <w:rFonts w:hint="eastAsia" w:ascii="宋体" w:hAnsi="宋体"/>
          <w:color w:val="auto"/>
          <w:szCs w:val="21"/>
          <w:highlight w:val="none"/>
          <w:lang w:val="en-US" w:eastAsia="zh-CN"/>
        </w:rPr>
        <w:t>1000000.00</w:t>
      </w:r>
    </w:p>
    <w:p w14:paraId="2A695C3D">
      <w:pPr>
        <w:keepNext w:val="0"/>
        <w:keepLines w:val="0"/>
        <w:pageBreakBefore w:val="0"/>
        <w:kinsoku/>
        <w:overflowPunct/>
        <w:topLinePunct w:val="0"/>
        <w:autoSpaceDE/>
        <w:autoSpaceDN/>
        <w:bidi w:val="0"/>
        <w:adjustRightInd/>
        <w:snapToGrid/>
        <w:spacing w:line="44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采购需求：</w:t>
      </w:r>
    </w:p>
    <w:p w14:paraId="418D0202">
      <w:pPr>
        <w:keepNext w:val="0"/>
        <w:keepLines w:val="0"/>
        <w:pageBreakBefore w:val="0"/>
        <w:kinsoku/>
        <w:overflowPunct/>
        <w:topLinePunct w:val="0"/>
        <w:autoSpaceDE/>
        <w:autoSpaceDN/>
        <w:bidi w:val="0"/>
        <w:adjustRightInd/>
        <w:snapToGrid/>
        <w:spacing w:line="44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标项名称：</w:t>
      </w:r>
      <w:r>
        <w:rPr>
          <w:rFonts w:hint="eastAsia" w:ascii="宋体" w:hAnsi="宋体"/>
          <w:color w:val="auto"/>
          <w:szCs w:val="21"/>
          <w:highlight w:val="none"/>
          <w:lang w:eastAsia="zh-CN"/>
        </w:rPr>
        <w:t>营养健康食堂建设提升项目</w:t>
      </w:r>
    </w:p>
    <w:p w14:paraId="046795E2">
      <w:pPr>
        <w:keepNext w:val="0"/>
        <w:keepLines w:val="0"/>
        <w:pageBreakBefore w:val="0"/>
        <w:kinsoku/>
        <w:overflowPunct/>
        <w:topLinePunct w:val="0"/>
        <w:autoSpaceDE/>
        <w:autoSpaceDN/>
        <w:bidi w:val="0"/>
        <w:adjustRightInd/>
        <w:snapToGrid/>
        <w:spacing w:line="44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数量：1</w:t>
      </w:r>
    </w:p>
    <w:p w14:paraId="2C247DAD">
      <w:pPr>
        <w:keepNext w:val="0"/>
        <w:keepLines w:val="0"/>
        <w:pageBreakBefore w:val="0"/>
        <w:kinsoku/>
        <w:overflowPunct/>
        <w:topLinePunct w:val="0"/>
        <w:autoSpaceDE/>
        <w:autoSpaceDN/>
        <w:bidi w:val="0"/>
        <w:adjustRightInd/>
        <w:snapToGrid/>
        <w:spacing w:line="440" w:lineRule="exact"/>
        <w:ind w:firstLine="420" w:firstLineChars="200"/>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预算金额（元）：</w:t>
      </w:r>
      <w:r>
        <w:rPr>
          <w:rFonts w:hint="eastAsia" w:ascii="宋体" w:hAnsi="宋体"/>
          <w:color w:val="auto"/>
          <w:szCs w:val="21"/>
          <w:highlight w:val="none"/>
          <w:lang w:eastAsia="zh-CN"/>
        </w:rPr>
        <w:t>1000000.00</w:t>
      </w:r>
    </w:p>
    <w:p w14:paraId="4ECF70ED">
      <w:pPr>
        <w:keepNext w:val="0"/>
        <w:keepLines w:val="0"/>
        <w:pageBreakBefore w:val="0"/>
        <w:kinsoku/>
        <w:overflowPunct/>
        <w:topLinePunct w:val="0"/>
        <w:autoSpaceDE/>
        <w:autoSpaceDN/>
        <w:bidi w:val="0"/>
        <w:adjustRightInd/>
        <w:snapToGrid/>
        <w:spacing w:line="44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简要规格描述或项目基本概况介绍、用途：</w:t>
      </w:r>
      <w:r>
        <w:rPr>
          <w:rFonts w:hint="eastAsia" w:ascii="宋体" w:hAnsi="宋体"/>
          <w:color w:val="auto"/>
          <w:szCs w:val="21"/>
          <w:highlight w:val="none"/>
          <w:lang w:val="en-US" w:eastAsia="zh-CN"/>
        </w:rPr>
        <w:t>拟采购</w:t>
      </w:r>
      <w:r>
        <w:rPr>
          <w:rFonts w:hint="eastAsia" w:ascii="宋体" w:hAnsi="宋体"/>
          <w:color w:val="auto"/>
          <w:szCs w:val="21"/>
          <w:highlight w:val="none"/>
          <w:lang w:eastAsia="zh-CN"/>
        </w:rPr>
        <w:t>营养健康食堂建设提升项目</w:t>
      </w:r>
      <w:r>
        <w:rPr>
          <w:rFonts w:hint="eastAsia" w:ascii="宋体" w:hAnsi="宋体"/>
          <w:color w:val="auto"/>
          <w:szCs w:val="21"/>
          <w:highlight w:val="none"/>
          <w:lang w:val="en-US" w:eastAsia="zh-CN"/>
        </w:rPr>
        <w:t>1项；如需进一步了解，详见竞争性磋商文件第二章《采购需求》</w:t>
      </w:r>
      <w:r>
        <w:rPr>
          <w:rFonts w:hint="eastAsia" w:ascii="宋体" w:hAnsi="宋体"/>
          <w:color w:val="auto"/>
          <w:szCs w:val="21"/>
          <w:highlight w:val="none"/>
        </w:rPr>
        <w:t>。</w:t>
      </w:r>
    </w:p>
    <w:p w14:paraId="7EFE78E3">
      <w:pPr>
        <w:keepNext w:val="0"/>
        <w:keepLines w:val="0"/>
        <w:pageBreakBefore w:val="0"/>
        <w:kinsoku/>
        <w:overflowPunct/>
        <w:topLinePunct w:val="0"/>
        <w:autoSpaceDE/>
        <w:autoSpaceDN/>
        <w:bidi w:val="0"/>
        <w:adjustRightInd/>
        <w:snapToGrid/>
        <w:spacing w:line="440" w:lineRule="exact"/>
        <w:ind w:firstLine="420" w:firstLineChars="200"/>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最高限价（</w:t>
      </w:r>
      <w:r>
        <w:rPr>
          <w:rFonts w:hint="eastAsia" w:ascii="宋体" w:hAnsi="宋体"/>
          <w:color w:val="auto"/>
          <w:szCs w:val="21"/>
          <w:highlight w:val="none"/>
          <w:lang w:val="en-US" w:eastAsia="zh-CN"/>
        </w:rPr>
        <w:t>元</w:t>
      </w:r>
      <w:r>
        <w:rPr>
          <w:rFonts w:hint="eastAsia" w:ascii="宋体" w:hAnsi="宋体"/>
          <w:color w:val="auto"/>
          <w:szCs w:val="21"/>
          <w:highlight w:val="none"/>
        </w:rPr>
        <w:t>）：</w:t>
      </w:r>
      <w:r>
        <w:rPr>
          <w:rFonts w:hint="eastAsia" w:ascii="宋体" w:hAnsi="宋体"/>
          <w:color w:val="auto"/>
          <w:szCs w:val="21"/>
          <w:highlight w:val="none"/>
          <w:lang w:eastAsia="zh-CN"/>
        </w:rPr>
        <w:t>1000000.00</w:t>
      </w:r>
    </w:p>
    <w:p w14:paraId="710B653B">
      <w:pPr>
        <w:keepNext w:val="0"/>
        <w:keepLines w:val="0"/>
        <w:pageBreakBefore w:val="0"/>
        <w:kinsoku/>
        <w:overflowPunct/>
        <w:topLinePunct w:val="0"/>
        <w:autoSpaceDE/>
        <w:autoSpaceDN/>
        <w:bidi w:val="0"/>
        <w:adjustRightInd/>
        <w:snapToGrid/>
        <w:spacing w:line="440" w:lineRule="exact"/>
        <w:ind w:firstLine="420" w:firstLineChars="200"/>
        <w:textAlignment w:val="auto"/>
        <w:rPr>
          <w:rFonts w:ascii="宋体" w:hAnsi="宋体"/>
          <w:color w:val="auto"/>
          <w:szCs w:val="21"/>
          <w:highlight w:val="none"/>
          <w:u w:val="single"/>
        </w:rPr>
      </w:pPr>
      <w:r>
        <w:rPr>
          <w:rFonts w:hint="eastAsia" w:ascii="宋体" w:hAnsi="宋体"/>
          <w:color w:val="auto"/>
          <w:szCs w:val="21"/>
          <w:highlight w:val="none"/>
        </w:rPr>
        <w:t>合同履行期限：具体详见</w:t>
      </w:r>
      <w:r>
        <w:rPr>
          <w:rFonts w:hint="eastAsia" w:ascii="宋体" w:hAnsi="宋体"/>
          <w:color w:val="auto"/>
          <w:szCs w:val="21"/>
          <w:highlight w:val="none"/>
          <w:lang w:val="en-US" w:eastAsia="zh-CN"/>
        </w:rPr>
        <w:t>竞争性磋商文件第二章采购</w:t>
      </w:r>
      <w:r>
        <w:rPr>
          <w:rFonts w:hint="eastAsia" w:ascii="宋体" w:hAnsi="宋体"/>
          <w:color w:val="auto"/>
          <w:szCs w:val="21"/>
          <w:highlight w:val="none"/>
        </w:rPr>
        <w:t>需求。</w:t>
      </w:r>
    </w:p>
    <w:p w14:paraId="77C65389">
      <w:pPr>
        <w:keepNext w:val="0"/>
        <w:keepLines w:val="0"/>
        <w:pageBreakBefore w:val="0"/>
        <w:kinsoku/>
        <w:overflowPunct/>
        <w:topLinePunct w:val="0"/>
        <w:autoSpaceDE/>
        <w:autoSpaceDN/>
        <w:bidi w:val="0"/>
        <w:adjustRightInd/>
        <w:snapToGrid/>
        <w:spacing w:line="440" w:lineRule="exact"/>
        <w:ind w:firstLine="420" w:firstLineChars="200"/>
        <w:textAlignment w:val="auto"/>
        <w:rPr>
          <w:rFonts w:hint="eastAsia" w:ascii="宋体" w:hAnsi="宋体"/>
          <w:color w:val="auto"/>
          <w:szCs w:val="21"/>
          <w:highlight w:val="none"/>
        </w:rPr>
      </w:pPr>
      <w:r>
        <w:rPr>
          <w:rFonts w:hint="eastAsia" w:ascii="宋体" w:hAnsi="宋体" w:cs="宋体"/>
          <w:color w:val="auto"/>
          <w:szCs w:val="21"/>
          <w:highlight w:val="none"/>
        </w:rPr>
        <w:t>本标项（</w:t>
      </w:r>
      <w:r>
        <w:rPr>
          <w:rFonts w:hint="eastAsia" w:ascii="宋体" w:hAnsi="宋体" w:cs="宋体"/>
          <w:color w:val="auto"/>
          <w:szCs w:val="21"/>
          <w:highlight w:val="none"/>
          <w:lang w:val="en-US" w:eastAsia="zh-CN"/>
        </w:rPr>
        <w:t>否</w:t>
      </w:r>
      <w:r>
        <w:rPr>
          <w:rFonts w:hint="eastAsia" w:ascii="宋体" w:hAnsi="宋体" w:cs="宋体"/>
          <w:color w:val="auto"/>
          <w:szCs w:val="21"/>
          <w:highlight w:val="none"/>
        </w:rPr>
        <w:t>）接受联合体投标</w:t>
      </w:r>
      <w:r>
        <w:rPr>
          <w:rFonts w:hint="eastAsia" w:ascii="宋体" w:hAnsi="宋体"/>
          <w:color w:val="auto"/>
          <w:szCs w:val="21"/>
          <w:highlight w:val="none"/>
        </w:rPr>
        <w:t>。</w:t>
      </w:r>
    </w:p>
    <w:p w14:paraId="3062385A">
      <w:pPr>
        <w:keepNext w:val="0"/>
        <w:keepLines w:val="0"/>
        <w:pageBreakBefore w:val="0"/>
        <w:kinsoku/>
        <w:overflowPunct/>
        <w:topLinePunct w:val="0"/>
        <w:autoSpaceDE/>
        <w:autoSpaceDN/>
        <w:bidi w:val="0"/>
        <w:adjustRightInd/>
        <w:snapToGrid/>
        <w:spacing w:line="44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备注：无</w:t>
      </w:r>
    </w:p>
    <w:p w14:paraId="5AF5C916">
      <w:pPr>
        <w:keepNext w:val="0"/>
        <w:keepLines w:val="0"/>
        <w:pageBreakBefore w:val="0"/>
        <w:kinsoku/>
        <w:overflowPunct/>
        <w:topLinePunct w:val="0"/>
        <w:autoSpaceDE/>
        <w:autoSpaceDN/>
        <w:bidi w:val="0"/>
        <w:adjustRightInd/>
        <w:snapToGrid/>
        <w:spacing w:line="440" w:lineRule="exact"/>
        <w:ind w:firstLine="310" w:firstLineChars="147"/>
        <w:textAlignment w:val="auto"/>
        <w:rPr>
          <w:rFonts w:ascii="宋体" w:hAnsi="宋体"/>
          <w:b/>
          <w:color w:val="auto"/>
          <w:szCs w:val="21"/>
          <w:highlight w:val="none"/>
        </w:rPr>
      </w:pPr>
      <w:r>
        <w:rPr>
          <w:rFonts w:hint="eastAsia" w:ascii="宋体" w:hAnsi="宋体"/>
          <w:b/>
          <w:color w:val="auto"/>
          <w:szCs w:val="21"/>
          <w:highlight w:val="none"/>
        </w:rPr>
        <w:t>二、申请人的资格条件：</w:t>
      </w:r>
    </w:p>
    <w:p w14:paraId="434C89F4">
      <w:pPr>
        <w:keepNext w:val="0"/>
        <w:keepLines w:val="0"/>
        <w:pageBreakBefore w:val="0"/>
        <w:kinsoku/>
        <w:overflowPunct/>
        <w:topLinePunct w:val="0"/>
        <w:autoSpaceDE/>
        <w:autoSpaceDN/>
        <w:bidi w:val="0"/>
        <w:adjustRightInd/>
        <w:snapToGrid/>
        <w:spacing w:line="44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w:t>
      </w:r>
      <w:r>
        <w:rPr>
          <w:rFonts w:hint="eastAsia" w:ascii="宋体" w:hAnsi="宋体"/>
          <w:color w:val="auto"/>
          <w:szCs w:val="21"/>
          <w:highlight w:val="none"/>
        </w:rPr>
        <w:t>满足《中华人民共和国政府采购法》第二十二条规定；</w:t>
      </w:r>
    </w:p>
    <w:p w14:paraId="4AAA6EDA">
      <w:pPr>
        <w:keepNext w:val="0"/>
        <w:keepLines w:val="0"/>
        <w:pageBreakBefore w:val="0"/>
        <w:kinsoku/>
        <w:overflowPunct/>
        <w:topLinePunct w:val="0"/>
        <w:autoSpaceDE/>
        <w:autoSpaceDN/>
        <w:bidi w:val="0"/>
        <w:adjustRightInd/>
        <w:snapToGrid/>
        <w:spacing w:line="440" w:lineRule="exact"/>
        <w:ind w:firstLine="420" w:firstLineChars="200"/>
        <w:textAlignment w:val="auto"/>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val="en-US" w:eastAsia="zh-CN"/>
        </w:rPr>
        <w:t>.</w:t>
      </w:r>
      <w:r>
        <w:rPr>
          <w:rFonts w:hint="eastAsia" w:ascii="宋体" w:hAnsi="宋体"/>
          <w:color w:val="auto"/>
          <w:szCs w:val="21"/>
          <w:highlight w:val="none"/>
        </w:rPr>
        <w:t>落实政府采购政策需满足的资格要求：本项目属于专门面向中小</w:t>
      </w:r>
      <w:r>
        <w:rPr>
          <w:rFonts w:hint="eastAsia" w:ascii="宋体" w:hAnsi="宋体"/>
          <w:color w:val="auto"/>
          <w:szCs w:val="21"/>
          <w:highlight w:val="none"/>
          <w:lang w:val="en-US" w:eastAsia="zh-CN"/>
        </w:rPr>
        <w:t>微</w:t>
      </w:r>
      <w:r>
        <w:rPr>
          <w:rFonts w:hint="eastAsia" w:ascii="宋体" w:hAnsi="宋体"/>
          <w:color w:val="auto"/>
          <w:szCs w:val="21"/>
          <w:highlight w:val="none"/>
        </w:rPr>
        <w:t>企业采购的项目，供应商应为中小微企业或监狱企业或残疾人福利性单位。</w:t>
      </w:r>
    </w:p>
    <w:p w14:paraId="5B448277">
      <w:pPr>
        <w:keepNext w:val="0"/>
        <w:keepLines w:val="0"/>
        <w:pageBreakBefore w:val="0"/>
        <w:kinsoku/>
        <w:overflowPunct/>
        <w:topLinePunct w:val="0"/>
        <w:autoSpaceDE/>
        <w:autoSpaceDN/>
        <w:bidi w:val="0"/>
        <w:adjustRightInd/>
        <w:snapToGrid/>
        <w:spacing w:line="440" w:lineRule="exact"/>
        <w:ind w:firstLine="420" w:firstLineChars="200"/>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3</w:t>
      </w:r>
      <w:r>
        <w:rPr>
          <w:rFonts w:hint="eastAsia" w:ascii="宋体" w:hAnsi="宋体"/>
          <w:color w:val="auto"/>
          <w:szCs w:val="21"/>
          <w:highlight w:val="none"/>
          <w:lang w:val="en-US" w:eastAsia="zh-CN"/>
        </w:rPr>
        <w:t>.</w:t>
      </w:r>
      <w:r>
        <w:rPr>
          <w:rFonts w:hint="eastAsia" w:ascii="宋体" w:hAnsi="宋体"/>
          <w:color w:val="auto"/>
          <w:szCs w:val="21"/>
          <w:highlight w:val="none"/>
        </w:rPr>
        <w:t>本项目的特定资格要求：</w:t>
      </w:r>
      <w:r>
        <w:rPr>
          <w:rFonts w:hint="eastAsia" w:ascii="宋体" w:hAnsi="宋体" w:cs="宋体"/>
          <w:color w:val="auto"/>
          <w:szCs w:val="21"/>
          <w:highlight w:val="none"/>
        </w:rPr>
        <w:t>须具备有效的《食品经营许可证》</w:t>
      </w:r>
      <w:r>
        <w:rPr>
          <w:rFonts w:hint="eastAsia" w:ascii="宋体" w:hAnsi="宋体"/>
          <w:color w:val="auto"/>
          <w:szCs w:val="21"/>
          <w:highlight w:val="none"/>
          <w:lang w:eastAsia="zh-CN"/>
        </w:rPr>
        <w:t>。</w:t>
      </w:r>
    </w:p>
    <w:p w14:paraId="09D3F40D">
      <w:pPr>
        <w:keepNext w:val="0"/>
        <w:keepLines w:val="0"/>
        <w:pageBreakBefore w:val="0"/>
        <w:kinsoku/>
        <w:overflowPunct/>
        <w:topLinePunct w:val="0"/>
        <w:autoSpaceDE/>
        <w:autoSpaceDN/>
        <w:bidi w:val="0"/>
        <w:adjustRightInd/>
        <w:snapToGrid/>
        <w:spacing w:line="440" w:lineRule="exact"/>
        <w:ind w:firstLine="310" w:firstLineChars="147"/>
        <w:textAlignment w:val="auto"/>
        <w:rPr>
          <w:rFonts w:ascii="宋体" w:hAnsi="宋体"/>
          <w:b/>
          <w:color w:val="auto"/>
          <w:szCs w:val="21"/>
          <w:highlight w:val="none"/>
        </w:rPr>
      </w:pPr>
      <w:r>
        <w:rPr>
          <w:rFonts w:hint="eastAsia" w:ascii="宋体" w:hAnsi="宋体"/>
          <w:b/>
          <w:color w:val="auto"/>
          <w:szCs w:val="21"/>
          <w:highlight w:val="none"/>
        </w:rPr>
        <w:t>三、获取竞争性磋商文件</w:t>
      </w:r>
    </w:p>
    <w:p w14:paraId="311987F3">
      <w:pPr>
        <w:keepNext w:val="0"/>
        <w:keepLines w:val="0"/>
        <w:pageBreakBefore w:val="0"/>
        <w:kinsoku/>
        <w:overflowPunct/>
        <w:topLinePunct w:val="0"/>
        <w:autoSpaceDE/>
        <w:autoSpaceDN/>
        <w:bidi w:val="0"/>
        <w:adjustRightInd/>
        <w:snapToGrid/>
        <w:spacing w:line="440" w:lineRule="exact"/>
        <w:ind w:firstLine="420" w:firstLineChars="20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时间：</w:t>
      </w:r>
      <w:r>
        <w:rPr>
          <w:rFonts w:hint="eastAsia" w:ascii="宋体" w:hAnsi="宋体" w:cs="Arial"/>
          <w:color w:val="auto"/>
          <w:szCs w:val="21"/>
          <w:highlight w:val="none"/>
        </w:rPr>
        <w:t>202</w:t>
      </w:r>
      <w:r>
        <w:rPr>
          <w:rFonts w:hint="eastAsia" w:ascii="宋体" w:hAnsi="宋体" w:cs="Arial"/>
          <w:color w:val="auto"/>
          <w:szCs w:val="21"/>
          <w:highlight w:val="none"/>
          <w:lang w:val="en-US" w:eastAsia="zh-CN"/>
        </w:rPr>
        <w:t>6</w:t>
      </w:r>
      <w:r>
        <w:rPr>
          <w:rFonts w:hint="eastAsia" w:ascii="宋体" w:hAnsi="宋体" w:cs="Arial"/>
          <w:color w:val="auto"/>
          <w:szCs w:val="21"/>
          <w:highlight w:val="none"/>
        </w:rPr>
        <w:t>年</w:t>
      </w:r>
      <w:r>
        <w:rPr>
          <w:rFonts w:hint="eastAsia" w:ascii="宋体" w:hAnsi="宋体" w:cs="Arial"/>
          <w:color w:val="auto"/>
          <w:szCs w:val="21"/>
          <w:highlight w:val="none"/>
          <w:lang w:val="en-US" w:eastAsia="zh-CN"/>
        </w:rPr>
        <w:t>5</w:t>
      </w:r>
      <w:r>
        <w:rPr>
          <w:rFonts w:hint="eastAsia" w:ascii="宋体" w:hAnsi="宋体" w:cs="Arial"/>
          <w:color w:val="auto"/>
          <w:szCs w:val="21"/>
          <w:highlight w:val="none"/>
        </w:rPr>
        <w:t>月</w:t>
      </w:r>
      <w:r>
        <w:rPr>
          <w:rFonts w:hint="eastAsia" w:ascii="宋体" w:hAnsi="宋体" w:cs="Arial"/>
          <w:color w:val="auto"/>
          <w:szCs w:val="21"/>
          <w:highlight w:val="none"/>
          <w:lang w:val="en-US" w:eastAsia="zh-CN"/>
        </w:rPr>
        <w:t>29</w:t>
      </w:r>
      <w:r>
        <w:rPr>
          <w:rFonts w:hint="eastAsia" w:ascii="宋体" w:hAnsi="宋体" w:cs="Arial"/>
          <w:color w:val="auto"/>
          <w:szCs w:val="21"/>
          <w:highlight w:val="none"/>
        </w:rPr>
        <w:t>日至202</w:t>
      </w:r>
      <w:r>
        <w:rPr>
          <w:rFonts w:hint="eastAsia" w:ascii="宋体" w:hAnsi="宋体" w:cs="Arial"/>
          <w:color w:val="auto"/>
          <w:szCs w:val="21"/>
          <w:highlight w:val="none"/>
          <w:lang w:val="en-US" w:eastAsia="zh-CN"/>
        </w:rPr>
        <w:t>6</w:t>
      </w:r>
      <w:r>
        <w:rPr>
          <w:rFonts w:hint="eastAsia" w:ascii="宋体" w:hAnsi="宋体" w:cs="Arial"/>
          <w:color w:val="auto"/>
          <w:szCs w:val="21"/>
          <w:highlight w:val="none"/>
        </w:rPr>
        <w:t>年</w:t>
      </w:r>
      <w:r>
        <w:rPr>
          <w:rFonts w:hint="eastAsia" w:ascii="宋体" w:hAnsi="宋体" w:cs="Arial"/>
          <w:color w:val="auto"/>
          <w:szCs w:val="21"/>
          <w:highlight w:val="none"/>
          <w:lang w:val="en-US" w:eastAsia="zh-CN"/>
        </w:rPr>
        <w:t>6</w:t>
      </w:r>
      <w:r>
        <w:rPr>
          <w:rFonts w:hint="eastAsia" w:ascii="宋体" w:hAnsi="宋体" w:cs="Arial"/>
          <w:color w:val="auto"/>
          <w:szCs w:val="21"/>
          <w:highlight w:val="none"/>
        </w:rPr>
        <w:t>月</w:t>
      </w:r>
      <w:r>
        <w:rPr>
          <w:rFonts w:hint="eastAsia" w:ascii="宋体" w:hAnsi="宋体" w:cs="Arial"/>
          <w:color w:val="auto"/>
          <w:szCs w:val="21"/>
          <w:highlight w:val="none"/>
          <w:lang w:val="en-US" w:eastAsia="zh-CN"/>
        </w:rPr>
        <w:t>5</w:t>
      </w:r>
      <w:r>
        <w:rPr>
          <w:rFonts w:hint="eastAsia" w:ascii="宋体" w:hAnsi="宋体" w:cs="Arial"/>
          <w:color w:val="auto"/>
          <w:szCs w:val="21"/>
          <w:highlight w:val="none"/>
        </w:rPr>
        <w:t>日，每天上午00:00-1</w:t>
      </w:r>
      <w:r>
        <w:rPr>
          <w:rFonts w:hint="eastAsia" w:ascii="宋体" w:hAnsi="宋体" w:cs="Arial"/>
          <w:color w:val="auto"/>
          <w:szCs w:val="21"/>
          <w:highlight w:val="none"/>
          <w:lang w:val="en-US" w:eastAsia="zh-CN"/>
        </w:rPr>
        <w:t>1</w:t>
      </w:r>
      <w:r>
        <w:rPr>
          <w:rFonts w:hint="eastAsia" w:ascii="宋体" w:hAnsi="宋体" w:cs="Arial"/>
          <w:color w:val="auto"/>
          <w:szCs w:val="21"/>
          <w:highlight w:val="none"/>
        </w:rPr>
        <w:t>:</w:t>
      </w:r>
      <w:r>
        <w:rPr>
          <w:rFonts w:hint="eastAsia" w:ascii="宋体" w:hAnsi="宋体" w:cs="Arial"/>
          <w:color w:val="auto"/>
          <w:szCs w:val="21"/>
          <w:highlight w:val="none"/>
          <w:lang w:val="en-US" w:eastAsia="zh-CN"/>
        </w:rPr>
        <w:t>59</w:t>
      </w:r>
      <w:r>
        <w:rPr>
          <w:rFonts w:hint="eastAsia" w:ascii="宋体" w:hAnsi="宋体" w:cs="Arial"/>
          <w:color w:val="auto"/>
          <w:szCs w:val="21"/>
          <w:highlight w:val="none"/>
        </w:rPr>
        <w:t>；下午12:00-23:59（北京时间，</w:t>
      </w:r>
      <w:r>
        <w:rPr>
          <w:rFonts w:ascii="宋体" w:hAnsi="宋体" w:cs="Arial"/>
          <w:color w:val="auto"/>
          <w:szCs w:val="21"/>
          <w:highlight w:val="none"/>
        </w:rPr>
        <w:t>法定节假日</w:t>
      </w:r>
      <w:r>
        <w:rPr>
          <w:rFonts w:hint="eastAsia" w:ascii="宋体" w:hAnsi="宋体" w:cs="Arial"/>
          <w:color w:val="auto"/>
          <w:szCs w:val="21"/>
          <w:highlight w:val="none"/>
        </w:rPr>
        <w:t>除外）</w:t>
      </w:r>
      <w:r>
        <w:rPr>
          <w:rFonts w:hint="eastAsia" w:ascii="宋体" w:hAnsi="宋体" w:cs="宋体"/>
          <w:bCs/>
          <w:color w:val="auto"/>
          <w:kern w:val="0"/>
          <w:szCs w:val="21"/>
          <w:highlight w:val="none"/>
        </w:rPr>
        <w:t>。</w:t>
      </w:r>
    </w:p>
    <w:p w14:paraId="41A22393">
      <w:pPr>
        <w:keepNext w:val="0"/>
        <w:keepLines w:val="0"/>
        <w:pageBreakBefore w:val="0"/>
        <w:kinsoku/>
        <w:overflowPunct/>
        <w:topLinePunct w:val="0"/>
        <w:autoSpaceDE/>
        <w:autoSpaceDN/>
        <w:bidi w:val="0"/>
        <w:adjustRightInd/>
        <w:snapToGrid/>
        <w:spacing w:line="440" w:lineRule="exact"/>
        <w:ind w:firstLine="420" w:firstLineChars="20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地点</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lang w:val="en-US" w:eastAsia="zh-CN"/>
        </w:rPr>
        <w:t>网址</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：广西政府采购云平台（https://www.gcy.zfcg.gxzf.gov.cn）</w:t>
      </w:r>
    </w:p>
    <w:p w14:paraId="1547A9E2">
      <w:pPr>
        <w:keepNext w:val="0"/>
        <w:keepLines w:val="0"/>
        <w:pageBreakBefore w:val="0"/>
        <w:kinsoku/>
        <w:overflowPunct/>
        <w:topLinePunct w:val="0"/>
        <w:autoSpaceDE/>
        <w:autoSpaceDN/>
        <w:bidi w:val="0"/>
        <w:adjustRightInd/>
        <w:snapToGrid/>
        <w:spacing w:line="440" w:lineRule="exact"/>
        <w:ind w:firstLine="420" w:firstLineChars="20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方式：请登录广西政府采购云平台（https://www.gcy.zfcg.gxzf.gov.cn/）进行报名并获取竞争性磋商文件；未注册的供应商可在广西政府采购云平台完成注册后再行报名。如在操作过程中遇到问题或需技术支持，请致电广西政府采购云平台客服热线：95763。提示：供应商只有在“广西政府采购云平台”完成获取竞争性磋商文件申请并下载了竞争性磋商文件后才视作依法获取竞争性磋商文件（法律法规所指的供应商获取竞争性磋商文件时间以供应商完成获取竞争性磋商文件申请后下载竞争性磋商文件的时间为准）。</w:t>
      </w:r>
    </w:p>
    <w:p w14:paraId="5AE6FDA9">
      <w:pPr>
        <w:keepNext w:val="0"/>
        <w:keepLines w:val="0"/>
        <w:pageBreakBefore w:val="0"/>
        <w:kinsoku/>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bCs/>
          <w:color w:val="auto"/>
          <w:kern w:val="0"/>
          <w:szCs w:val="21"/>
          <w:highlight w:val="none"/>
        </w:rPr>
        <w:t>售价</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lang w:val="en-US" w:eastAsia="zh-CN"/>
        </w:rPr>
        <w:t>元</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：0</w:t>
      </w:r>
    </w:p>
    <w:p w14:paraId="784A1A52">
      <w:pPr>
        <w:keepNext w:val="0"/>
        <w:keepLines w:val="0"/>
        <w:pageBreakBefore w:val="0"/>
        <w:kinsoku/>
        <w:overflowPunct/>
        <w:topLinePunct w:val="0"/>
        <w:autoSpaceDE/>
        <w:autoSpaceDN/>
        <w:bidi w:val="0"/>
        <w:adjustRightInd/>
        <w:snapToGrid/>
        <w:spacing w:line="440" w:lineRule="exact"/>
        <w:ind w:firstLine="310" w:firstLineChars="147"/>
        <w:textAlignment w:val="auto"/>
        <w:rPr>
          <w:rFonts w:ascii="宋体" w:hAnsi="宋体"/>
          <w:b/>
          <w:color w:val="auto"/>
          <w:szCs w:val="21"/>
          <w:highlight w:val="none"/>
        </w:rPr>
      </w:pPr>
      <w:r>
        <w:rPr>
          <w:rFonts w:hint="eastAsia" w:ascii="宋体" w:hAnsi="宋体"/>
          <w:b/>
          <w:color w:val="auto"/>
          <w:szCs w:val="21"/>
          <w:highlight w:val="none"/>
        </w:rPr>
        <w:t>四、响应文件提交</w:t>
      </w:r>
    </w:p>
    <w:p w14:paraId="1F4919F1">
      <w:pPr>
        <w:keepNext w:val="0"/>
        <w:keepLines w:val="0"/>
        <w:pageBreakBefore w:val="0"/>
        <w:kinsoku/>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u w:val="single"/>
          <w:lang w:eastAsia="zh-CN"/>
        </w:rPr>
      </w:pPr>
      <w:r>
        <w:rPr>
          <w:rFonts w:hint="eastAsia" w:ascii="宋体" w:hAnsi="宋体"/>
          <w:color w:val="auto"/>
          <w:szCs w:val="21"/>
          <w:highlight w:val="none"/>
        </w:rPr>
        <w:t>截止时间：</w:t>
      </w:r>
      <w:r>
        <w:rPr>
          <w:rFonts w:hint="eastAsia" w:ascii="宋体" w:hAnsi="宋体" w:cs="宋体"/>
          <w:bCs/>
          <w:color w:val="auto"/>
          <w:kern w:val="0"/>
          <w:szCs w:val="21"/>
          <w:highlight w:val="none"/>
        </w:rPr>
        <w:t>202</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9</w:t>
      </w:r>
      <w:r>
        <w:rPr>
          <w:rFonts w:hint="eastAsia" w:ascii="宋体" w:hAnsi="宋体" w:cs="宋体"/>
          <w:bCs/>
          <w:color w:val="auto"/>
          <w:kern w:val="0"/>
          <w:szCs w:val="21"/>
          <w:highlight w:val="none"/>
        </w:rPr>
        <w:t>日09:30（北京时间</w:t>
      </w:r>
      <w:r>
        <w:rPr>
          <w:rFonts w:hint="eastAsia" w:ascii="宋体" w:hAnsi="宋体" w:cs="宋体"/>
          <w:bCs/>
          <w:color w:val="auto"/>
          <w:kern w:val="0"/>
          <w:szCs w:val="21"/>
          <w:highlight w:val="none"/>
          <w:lang w:eastAsia="zh-CN"/>
        </w:rPr>
        <w:t>）</w:t>
      </w:r>
    </w:p>
    <w:p w14:paraId="2BBF8666">
      <w:pPr>
        <w:keepNext w:val="0"/>
        <w:keepLines w:val="0"/>
        <w:pageBreakBefore w:val="0"/>
        <w:kinsoku/>
        <w:overflowPunct/>
        <w:topLinePunct w:val="0"/>
        <w:autoSpaceDE/>
        <w:autoSpaceDN/>
        <w:bidi w:val="0"/>
        <w:adjustRightInd/>
        <w:snapToGrid/>
        <w:spacing w:line="44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地点</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网址</w:t>
      </w:r>
      <w:r>
        <w:rPr>
          <w:rFonts w:hint="eastAsia" w:ascii="宋体" w:hAnsi="宋体"/>
          <w:color w:val="auto"/>
          <w:szCs w:val="21"/>
          <w:highlight w:val="none"/>
          <w:lang w:eastAsia="zh-CN"/>
        </w:rPr>
        <w:t>）</w:t>
      </w:r>
      <w:r>
        <w:rPr>
          <w:rFonts w:hint="eastAsia" w:ascii="宋体" w:hAnsi="宋体"/>
          <w:color w:val="auto"/>
          <w:szCs w:val="21"/>
          <w:highlight w:val="none"/>
        </w:rPr>
        <w:t>：广西政府采购云平台（https://www.gcy.zfcg.gxzf.gov.cn/）</w:t>
      </w:r>
    </w:p>
    <w:p w14:paraId="7C543C49">
      <w:pPr>
        <w:keepNext w:val="0"/>
        <w:keepLines w:val="0"/>
        <w:pageBreakBefore w:val="0"/>
        <w:kinsoku/>
        <w:overflowPunct/>
        <w:topLinePunct w:val="0"/>
        <w:autoSpaceDE/>
        <w:autoSpaceDN/>
        <w:bidi w:val="0"/>
        <w:adjustRightInd/>
        <w:snapToGrid/>
        <w:spacing w:line="440" w:lineRule="exact"/>
        <w:ind w:firstLine="310" w:firstLineChars="147"/>
        <w:textAlignment w:val="auto"/>
        <w:rPr>
          <w:rFonts w:ascii="宋体" w:hAnsi="宋体"/>
          <w:b/>
          <w:color w:val="auto"/>
          <w:szCs w:val="21"/>
          <w:highlight w:val="none"/>
        </w:rPr>
      </w:pPr>
      <w:r>
        <w:rPr>
          <w:rFonts w:hint="eastAsia" w:ascii="宋体" w:hAnsi="宋体"/>
          <w:b/>
          <w:color w:val="auto"/>
          <w:szCs w:val="21"/>
          <w:highlight w:val="none"/>
        </w:rPr>
        <w:t>五、响应文件开启</w:t>
      </w:r>
    </w:p>
    <w:p w14:paraId="1E36867C">
      <w:pPr>
        <w:keepNext w:val="0"/>
        <w:keepLines w:val="0"/>
        <w:pageBreakBefore w:val="0"/>
        <w:kinsoku/>
        <w:overflowPunct/>
        <w:topLinePunct w:val="0"/>
        <w:autoSpaceDE/>
        <w:autoSpaceDN/>
        <w:bidi w:val="0"/>
        <w:adjustRightInd/>
        <w:snapToGrid/>
        <w:spacing w:line="440" w:lineRule="exact"/>
        <w:ind w:firstLine="420" w:firstLineChars="200"/>
        <w:textAlignment w:val="auto"/>
        <w:rPr>
          <w:rFonts w:ascii="宋体" w:hAnsi="宋体"/>
          <w:bCs/>
          <w:color w:val="auto"/>
          <w:szCs w:val="21"/>
          <w:highlight w:val="none"/>
          <w:u w:val="single"/>
        </w:rPr>
      </w:pPr>
      <w:r>
        <w:rPr>
          <w:rFonts w:hint="eastAsia" w:ascii="宋体" w:hAnsi="宋体"/>
          <w:color w:val="auto"/>
          <w:szCs w:val="21"/>
          <w:highlight w:val="none"/>
        </w:rPr>
        <w:t>开启时间：</w:t>
      </w:r>
      <w:r>
        <w:rPr>
          <w:rFonts w:hint="eastAsia" w:ascii="宋体" w:hAnsi="宋体" w:cs="宋体"/>
          <w:bCs/>
          <w:color w:val="auto"/>
          <w:kern w:val="0"/>
          <w:szCs w:val="21"/>
          <w:highlight w:val="none"/>
        </w:rPr>
        <w:t>202</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9</w:t>
      </w:r>
      <w:r>
        <w:rPr>
          <w:rFonts w:hint="eastAsia" w:ascii="宋体" w:hAnsi="宋体" w:cs="宋体"/>
          <w:bCs/>
          <w:color w:val="auto"/>
          <w:kern w:val="0"/>
          <w:szCs w:val="21"/>
          <w:highlight w:val="none"/>
        </w:rPr>
        <w:t>日09:30（北京时间</w:t>
      </w:r>
      <w:r>
        <w:rPr>
          <w:rFonts w:hint="eastAsia" w:ascii="宋体" w:hAnsi="宋体" w:cs="宋体"/>
          <w:bCs/>
          <w:color w:val="auto"/>
          <w:kern w:val="0"/>
          <w:szCs w:val="21"/>
          <w:highlight w:val="none"/>
          <w:lang w:eastAsia="zh-CN"/>
        </w:rPr>
        <w:t>）</w:t>
      </w:r>
    </w:p>
    <w:p w14:paraId="65DDBD30">
      <w:pPr>
        <w:keepNext w:val="0"/>
        <w:keepLines w:val="0"/>
        <w:pageBreakBefore w:val="0"/>
        <w:kinsoku/>
        <w:overflowPunct/>
        <w:topLinePunct w:val="0"/>
        <w:autoSpaceDE/>
        <w:autoSpaceDN/>
        <w:bidi w:val="0"/>
        <w:adjustRightInd/>
        <w:snapToGrid/>
        <w:spacing w:line="44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地点：广西政府采购云平台（https://www.gcy.zfcg.gxzf.gov.cn/）</w:t>
      </w:r>
    </w:p>
    <w:p w14:paraId="5B460DEC">
      <w:pPr>
        <w:keepNext w:val="0"/>
        <w:keepLines w:val="0"/>
        <w:pageBreakBefore w:val="0"/>
        <w:kinsoku/>
        <w:overflowPunct/>
        <w:topLinePunct w:val="0"/>
        <w:autoSpaceDE/>
        <w:autoSpaceDN/>
        <w:bidi w:val="0"/>
        <w:adjustRightInd/>
        <w:snapToGrid/>
        <w:spacing w:line="440" w:lineRule="exact"/>
        <w:ind w:firstLine="310" w:firstLineChars="147"/>
        <w:textAlignment w:val="auto"/>
        <w:rPr>
          <w:rFonts w:ascii="宋体" w:hAnsi="宋体"/>
          <w:b/>
          <w:color w:val="auto"/>
          <w:szCs w:val="21"/>
          <w:highlight w:val="none"/>
        </w:rPr>
      </w:pPr>
      <w:r>
        <w:rPr>
          <w:rFonts w:hint="eastAsia" w:ascii="宋体" w:hAnsi="宋体"/>
          <w:b/>
          <w:color w:val="auto"/>
          <w:szCs w:val="21"/>
          <w:highlight w:val="none"/>
        </w:rPr>
        <w:t>六、公告期限</w:t>
      </w:r>
    </w:p>
    <w:p w14:paraId="1B87320B">
      <w:pPr>
        <w:keepNext w:val="0"/>
        <w:keepLines w:val="0"/>
        <w:pageBreakBefore w:val="0"/>
        <w:kinsoku/>
        <w:overflowPunct/>
        <w:topLinePunct w:val="0"/>
        <w:autoSpaceDE/>
        <w:autoSpaceDN/>
        <w:bidi w:val="0"/>
        <w:adjustRightInd/>
        <w:snapToGrid/>
        <w:spacing w:line="44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4E572AE9">
      <w:pPr>
        <w:keepNext w:val="0"/>
        <w:keepLines w:val="0"/>
        <w:pageBreakBefore w:val="0"/>
        <w:kinsoku/>
        <w:overflowPunct/>
        <w:topLinePunct w:val="0"/>
        <w:autoSpaceDE/>
        <w:autoSpaceDN/>
        <w:bidi w:val="0"/>
        <w:adjustRightInd/>
        <w:snapToGrid/>
        <w:spacing w:line="440" w:lineRule="exact"/>
        <w:ind w:firstLine="310" w:firstLineChars="147"/>
        <w:textAlignment w:val="auto"/>
        <w:rPr>
          <w:rFonts w:ascii="宋体" w:hAnsi="宋体"/>
          <w:b/>
          <w:color w:val="auto"/>
          <w:szCs w:val="21"/>
          <w:highlight w:val="none"/>
        </w:rPr>
      </w:pPr>
      <w:r>
        <w:rPr>
          <w:rFonts w:hint="eastAsia" w:ascii="宋体" w:hAnsi="宋体"/>
          <w:b/>
          <w:color w:val="auto"/>
          <w:szCs w:val="21"/>
          <w:highlight w:val="none"/>
        </w:rPr>
        <w:t>七、其他补充事宜</w:t>
      </w:r>
    </w:p>
    <w:p w14:paraId="41FDA01E">
      <w:pPr>
        <w:keepNext w:val="0"/>
        <w:keepLines w:val="0"/>
        <w:pageBreakBefore w:val="0"/>
        <w:widowControl/>
        <w:kinsoku/>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lang w:bidi="ar"/>
        </w:rPr>
      </w:pPr>
      <w:r>
        <w:rPr>
          <w:rFonts w:hint="eastAsia" w:ascii="宋体" w:hAnsi="宋体" w:cs="宋体"/>
          <w:color w:val="auto"/>
          <w:szCs w:val="21"/>
          <w:highlight w:val="none"/>
          <w:lang w:bidi="ar"/>
        </w:rPr>
        <w:t>1</w:t>
      </w:r>
      <w:r>
        <w:rPr>
          <w:rFonts w:hint="eastAsia" w:ascii="宋体" w:hAnsi="宋体" w:cs="宋体"/>
          <w:color w:val="auto"/>
          <w:szCs w:val="21"/>
          <w:highlight w:val="none"/>
          <w:lang w:val="en-US" w:eastAsia="zh-CN" w:bidi="ar"/>
        </w:rPr>
        <w:t>.</w:t>
      </w:r>
      <w:r>
        <w:rPr>
          <w:rFonts w:hint="eastAsia" w:ascii="宋体" w:hAnsi="宋体" w:cs="宋体"/>
          <w:color w:val="auto"/>
          <w:szCs w:val="21"/>
          <w:highlight w:val="none"/>
          <w:lang w:bidi="ar"/>
        </w:rPr>
        <w:t>磋商保证金（人民币）：</w:t>
      </w:r>
      <w:r>
        <w:rPr>
          <w:rFonts w:hint="eastAsia" w:ascii="宋体" w:hAnsi="宋体" w:cs="宋体"/>
          <w:color w:val="auto"/>
          <w:szCs w:val="21"/>
          <w:highlight w:val="none"/>
          <w:lang w:val="en-US" w:eastAsia="zh-CN" w:bidi="ar"/>
        </w:rPr>
        <w:t>5000.00</w:t>
      </w:r>
      <w:r>
        <w:rPr>
          <w:rFonts w:hint="eastAsia" w:ascii="宋体" w:hAnsi="宋体" w:cs="宋体"/>
          <w:color w:val="auto"/>
          <w:szCs w:val="21"/>
          <w:highlight w:val="none"/>
          <w:lang w:bidi="ar"/>
        </w:rPr>
        <w:t>元。</w:t>
      </w:r>
    </w:p>
    <w:p w14:paraId="5BCE6CAD">
      <w:pPr>
        <w:keepNext w:val="0"/>
        <w:keepLines w:val="0"/>
        <w:pageBreakBefore w:val="0"/>
        <w:widowControl/>
        <w:kinsoku/>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lang w:bidi="ar"/>
        </w:rPr>
      </w:pPr>
      <w:r>
        <w:rPr>
          <w:rFonts w:hint="eastAsia" w:ascii="宋体" w:hAnsi="宋体" w:cs="宋体"/>
          <w:color w:val="auto"/>
          <w:szCs w:val="21"/>
          <w:highlight w:val="none"/>
          <w:lang w:bidi="ar"/>
        </w:rPr>
        <w:t>2</w:t>
      </w:r>
      <w:r>
        <w:rPr>
          <w:rFonts w:hint="eastAsia" w:ascii="宋体" w:hAnsi="宋体" w:cs="宋体"/>
          <w:color w:val="auto"/>
          <w:szCs w:val="21"/>
          <w:highlight w:val="none"/>
          <w:lang w:val="en-US" w:eastAsia="zh-CN" w:bidi="ar"/>
        </w:rPr>
        <w:t>.</w:t>
      </w:r>
      <w:r>
        <w:rPr>
          <w:rFonts w:hint="eastAsia" w:ascii="宋体" w:hAnsi="宋体" w:cs="宋体"/>
          <w:color w:val="auto"/>
          <w:szCs w:val="21"/>
          <w:highlight w:val="none"/>
          <w:lang w:bidi="ar"/>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620D25A">
      <w:pPr>
        <w:keepNext w:val="0"/>
        <w:keepLines w:val="0"/>
        <w:pageBreakBefore w:val="0"/>
        <w:widowControl/>
        <w:kinsoku/>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lang w:bidi="ar"/>
        </w:rPr>
      </w:pPr>
      <w:r>
        <w:rPr>
          <w:rFonts w:hint="eastAsia" w:ascii="宋体" w:hAnsi="宋体" w:cs="宋体"/>
          <w:color w:val="auto"/>
          <w:szCs w:val="21"/>
          <w:highlight w:val="none"/>
          <w:lang w:bidi="ar"/>
        </w:rPr>
        <w:t>3</w:t>
      </w:r>
      <w:r>
        <w:rPr>
          <w:rFonts w:hint="eastAsia" w:ascii="宋体" w:hAnsi="宋体" w:cs="宋体"/>
          <w:color w:val="auto"/>
          <w:szCs w:val="21"/>
          <w:highlight w:val="none"/>
          <w:lang w:val="en-US" w:eastAsia="zh-CN" w:bidi="ar"/>
        </w:rPr>
        <w:t>.</w:t>
      </w:r>
      <w:r>
        <w:rPr>
          <w:rFonts w:hint="eastAsia" w:ascii="宋体" w:hAnsi="宋体" w:cs="宋体"/>
          <w:color w:val="auto"/>
          <w:szCs w:val="21"/>
          <w:highlight w:val="none"/>
          <w:lang w:bidi="ar"/>
        </w:rPr>
        <w:t>根据财政部《关于在政府采购活动中查询及使用信用记录有关问题的通知》（财库〔2016〕125号）的规定，对在“信用中国”网站</w:t>
      </w:r>
      <w:r>
        <w:rPr>
          <w:rFonts w:hint="eastAsia" w:ascii="宋体" w:hAnsi="宋体" w:cs="宋体"/>
          <w:color w:val="auto"/>
          <w:szCs w:val="21"/>
          <w:highlight w:val="none"/>
          <w:lang w:eastAsia="zh-CN" w:bidi="ar"/>
        </w:rPr>
        <w:t>（</w:t>
      </w:r>
      <w:r>
        <w:rPr>
          <w:rFonts w:hint="eastAsia" w:ascii="宋体" w:hAnsi="宋体" w:cs="宋体"/>
          <w:color w:val="auto"/>
          <w:szCs w:val="21"/>
          <w:highlight w:val="none"/>
          <w:lang w:bidi="ar"/>
        </w:rPr>
        <w:t>www.creditchina.gov.cn</w:t>
      </w:r>
      <w:r>
        <w:rPr>
          <w:rFonts w:hint="eastAsia" w:ascii="宋体" w:hAnsi="宋体" w:cs="宋体"/>
          <w:color w:val="auto"/>
          <w:szCs w:val="21"/>
          <w:highlight w:val="none"/>
          <w:lang w:eastAsia="zh-CN" w:bidi="ar"/>
        </w:rPr>
        <w:t>）</w:t>
      </w:r>
      <w:r>
        <w:rPr>
          <w:rFonts w:hint="eastAsia" w:ascii="宋体" w:hAnsi="宋体" w:cs="宋体"/>
          <w:color w:val="auto"/>
          <w:szCs w:val="21"/>
          <w:highlight w:val="none"/>
          <w:lang w:bidi="ar"/>
        </w:rPr>
        <w:t>、中国政府采购网</w:t>
      </w:r>
      <w:r>
        <w:rPr>
          <w:rFonts w:hint="eastAsia" w:ascii="宋体" w:hAnsi="宋体" w:cs="宋体"/>
          <w:color w:val="auto"/>
          <w:szCs w:val="21"/>
          <w:highlight w:val="none"/>
          <w:lang w:eastAsia="zh-CN" w:bidi="ar"/>
        </w:rPr>
        <w:t>（</w:t>
      </w:r>
      <w:r>
        <w:rPr>
          <w:rFonts w:hint="eastAsia" w:ascii="宋体" w:hAnsi="宋体" w:cs="宋体"/>
          <w:color w:val="auto"/>
          <w:szCs w:val="21"/>
          <w:highlight w:val="none"/>
          <w:lang w:bidi="ar"/>
        </w:rPr>
        <w:t>www.ccgp.gov.cn</w:t>
      </w:r>
      <w:r>
        <w:rPr>
          <w:rFonts w:hint="eastAsia" w:ascii="宋体" w:hAnsi="宋体" w:cs="宋体"/>
          <w:color w:val="auto"/>
          <w:szCs w:val="21"/>
          <w:highlight w:val="none"/>
          <w:lang w:eastAsia="zh-CN" w:bidi="ar"/>
        </w:rPr>
        <w:t>）</w:t>
      </w:r>
      <w:r>
        <w:rPr>
          <w:rFonts w:hint="eastAsia" w:ascii="宋体" w:hAnsi="宋体" w:cs="宋体"/>
          <w:color w:val="auto"/>
          <w:szCs w:val="21"/>
          <w:highlight w:val="none"/>
          <w:lang w:bidi="ar"/>
        </w:rPr>
        <w:t>被列入失信被执行人、重大税收违法失信主体、政府采购严重违法失信行为记录名单及其他不符合《中华人民共和国政府采购法》第二十二条规定条件的供应商，不得参与政府采购活动。</w:t>
      </w:r>
    </w:p>
    <w:p w14:paraId="2E2C90C2">
      <w:pPr>
        <w:keepNext w:val="0"/>
        <w:keepLines w:val="0"/>
        <w:pageBreakBefore w:val="0"/>
        <w:widowControl/>
        <w:kinsoku/>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lang w:bidi="ar"/>
        </w:rPr>
      </w:pPr>
      <w:r>
        <w:rPr>
          <w:rFonts w:hint="eastAsia" w:ascii="宋体" w:hAnsi="宋体" w:cs="宋体"/>
          <w:color w:val="auto"/>
          <w:szCs w:val="21"/>
          <w:highlight w:val="none"/>
          <w:lang w:bidi="ar"/>
        </w:rPr>
        <w:t>4</w:t>
      </w:r>
      <w:r>
        <w:rPr>
          <w:rFonts w:hint="eastAsia" w:ascii="宋体" w:hAnsi="宋体" w:cs="宋体"/>
          <w:color w:val="auto"/>
          <w:szCs w:val="21"/>
          <w:highlight w:val="none"/>
          <w:lang w:val="en-US" w:eastAsia="zh-CN" w:bidi="ar"/>
        </w:rPr>
        <w:t>.</w:t>
      </w:r>
      <w:r>
        <w:rPr>
          <w:rFonts w:hint="eastAsia" w:ascii="宋体" w:hAnsi="宋体" w:cs="宋体"/>
          <w:color w:val="auto"/>
          <w:szCs w:val="21"/>
          <w:highlight w:val="none"/>
          <w:lang w:bidi="ar"/>
        </w:rPr>
        <w:t>网上查询地址：中国政府采购网（www.ccgp.gov.cn）、广西政府采购网（zfcg.gxzf.gov.cn）。</w:t>
      </w:r>
    </w:p>
    <w:p w14:paraId="2F8288EC">
      <w:pPr>
        <w:keepNext w:val="0"/>
        <w:keepLines w:val="0"/>
        <w:pageBreakBefore w:val="0"/>
        <w:widowControl/>
        <w:kinsoku/>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lang w:bidi="ar"/>
        </w:rPr>
      </w:pPr>
      <w:r>
        <w:rPr>
          <w:rFonts w:hint="eastAsia" w:ascii="宋体" w:hAnsi="宋体" w:cs="宋体"/>
          <w:color w:val="auto"/>
          <w:szCs w:val="21"/>
          <w:highlight w:val="none"/>
          <w:lang w:bidi="ar"/>
        </w:rPr>
        <w:t>5</w:t>
      </w:r>
      <w:r>
        <w:rPr>
          <w:rFonts w:hint="eastAsia" w:ascii="宋体" w:hAnsi="宋体" w:cs="宋体"/>
          <w:color w:val="auto"/>
          <w:szCs w:val="21"/>
          <w:highlight w:val="none"/>
          <w:lang w:val="en-US" w:eastAsia="zh-CN" w:bidi="ar"/>
        </w:rPr>
        <w:t>.</w:t>
      </w:r>
      <w:r>
        <w:rPr>
          <w:rFonts w:hint="eastAsia" w:ascii="宋体" w:hAnsi="宋体" w:cs="宋体"/>
          <w:color w:val="auto"/>
          <w:szCs w:val="21"/>
          <w:highlight w:val="none"/>
          <w:lang w:bidi="ar"/>
        </w:rPr>
        <w:t>本项目需要落实的政府采购政策：</w:t>
      </w:r>
    </w:p>
    <w:p w14:paraId="3552588A">
      <w:pPr>
        <w:keepNext w:val="0"/>
        <w:keepLines w:val="0"/>
        <w:pageBreakBefore w:val="0"/>
        <w:widowControl/>
        <w:kinsoku/>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lang w:bidi="ar"/>
        </w:rPr>
      </w:pPr>
      <w:r>
        <w:rPr>
          <w:rFonts w:hint="eastAsia" w:ascii="宋体" w:hAnsi="宋体" w:cs="宋体"/>
          <w:color w:val="auto"/>
          <w:szCs w:val="21"/>
          <w:highlight w:val="none"/>
          <w:lang w:bidi="ar"/>
        </w:rPr>
        <w:t>（1）政府采购促进中小企业发展。</w:t>
      </w:r>
    </w:p>
    <w:p w14:paraId="658DC72C">
      <w:pPr>
        <w:keepNext w:val="0"/>
        <w:keepLines w:val="0"/>
        <w:pageBreakBefore w:val="0"/>
        <w:widowControl/>
        <w:kinsoku/>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lang w:bidi="ar"/>
        </w:rPr>
      </w:pPr>
      <w:r>
        <w:rPr>
          <w:rFonts w:hint="eastAsia" w:ascii="宋体" w:hAnsi="宋体" w:cs="宋体"/>
          <w:color w:val="auto"/>
          <w:szCs w:val="21"/>
          <w:highlight w:val="none"/>
          <w:lang w:bidi="ar"/>
        </w:rPr>
        <w:t>（2）政府采购支持采用本国产品的政策。</w:t>
      </w:r>
    </w:p>
    <w:p w14:paraId="6061DB8E">
      <w:pPr>
        <w:keepNext w:val="0"/>
        <w:keepLines w:val="0"/>
        <w:pageBreakBefore w:val="0"/>
        <w:widowControl/>
        <w:kinsoku/>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lang w:bidi="ar"/>
        </w:rPr>
      </w:pPr>
      <w:r>
        <w:rPr>
          <w:rFonts w:hint="eastAsia" w:ascii="宋体" w:hAnsi="宋体" w:cs="宋体"/>
          <w:color w:val="auto"/>
          <w:szCs w:val="21"/>
          <w:highlight w:val="none"/>
          <w:lang w:bidi="ar"/>
        </w:rPr>
        <w:t>（3）强制采购节能产品；优先采购节能产品、环境标志产品。</w:t>
      </w:r>
    </w:p>
    <w:p w14:paraId="66F4B774">
      <w:pPr>
        <w:keepNext w:val="0"/>
        <w:keepLines w:val="0"/>
        <w:pageBreakBefore w:val="0"/>
        <w:widowControl/>
        <w:kinsoku/>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lang w:bidi="ar"/>
        </w:rPr>
      </w:pPr>
      <w:r>
        <w:rPr>
          <w:rFonts w:hint="eastAsia" w:ascii="宋体" w:hAnsi="宋体" w:cs="宋体"/>
          <w:color w:val="auto"/>
          <w:szCs w:val="21"/>
          <w:highlight w:val="none"/>
          <w:lang w:bidi="ar"/>
        </w:rPr>
        <w:t>（4）政府采购促进残疾人就业政策。</w:t>
      </w:r>
    </w:p>
    <w:p w14:paraId="1A5341C7">
      <w:pPr>
        <w:keepNext w:val="0"/>
        <w:keepLines w:val="0"/>
        <w:pageBreakBefore w:val="0"/>
        <w:widowControl/>
        <w:kinsoku/>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lang w:bidi="ar"/>
        </w:rPr>
      </w:pPr>
      <w:r>
        <w:rPr>
          <w:rFonts w:hint="eastAsia" w:ascii="宋体" w:hAnsi="宋体" w:cs="宋体"/>
          <w:color w:val="auto"/>
          <w:szCs w:val="21"/>
          <w:highlight w:val="none"/>
          <w:lang w:bidi="ar"/>
        </w:rPr>
        <w:t>（5）政府采购支持监狱企业发展。</w:t>
      </w:r>
    </w:p>
    <w:p w14:paraId="0189C06A">
      <w:pPr>
        <w:keepNext w:val="0"/>
        <w:keepLines w:val="0"/>
        <w:pageBreakBefore w:val="0"/>
        <w:widowControl/>
        <w:kinsoku/>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lang w:bidi="ar"/>
        </w:rPr>
      </w:pPr>
      <w:r>
        <w:rPr>
          <w:rFonts w:hint="eastAsia" w:ascii="宋体" w:hAnsi="宋体" w:cs="宋体"/>
          <w:color w:val="auto"/>
          <w:szCs w:val="21"/>
          <w:highlight w:val="none"/>
          <w:lang w:bidi="ar"/>
        </w:rPr>
        <w:t>6</w:t>
      </w:r>
      <w:r>
        <w:rPr>
          <w:rFonts w:hint="eastAsia" w:ascii="宋体" w:hAnsi="宋体" w:cs="宋体"/>
          <w:color w:val="auto"/>
          <w:szCs w:val="21"/>
          <w:highlight w:val="none"/>
          <w:lang w:val="en-US" w:eastAsia="zh-CN" w:bidi="ar"/>
        </w:rPr>
        <w:t>.其他</w:t>
      </w:r>
      <w:r>
        <w:rPr>
          <w:rFonts w:hint="eastAsia" w:ascii="宋体" w:hAnsi="宋体" w:cs="宋体"/>
          <w:color w:val="auto"/>
          <w:szCs w:val="21"/>
          <w:highlight w:val="none"/>
          <w:lang w:bidi="ar"/>
        </w:rPr>
        <w:t>注意事项：</w:t>
      </w:r>
    </w:p>
    <w:p w14:paraId="18C3908C">
      <w:pPr>
        <w:keepNext w:val="0"/>
        <w:keepLines w:val="0"/>
        <w:pageBreakBefore w:val="0"/>
        <w:widowControl/>
        <w:kinsoku/>
        <w:wordWrap w:val="0"/>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lang w:bidi="ar"/>
        </w:rPr>
      </w:pPr>
      <w:r>
        <w:rPr>
          <w:rFonts w:hint="eastAsia" w:ascii="宋体" w:hAnsi="宋体" w:cs="宋体"/>
          <w:color w:val="auto"/>
          <w:szCs w:val="21"/>
          <w:highlight w:val="none"/>
          <w:lang w:bidi="ar"/>
        </w:rPr>
        <w:t>（1）本项目实行电子竞标，供应商应按照本项目</w:t>
      </w:r>
      <w:r>
        <w:rPr>
          <w:rFonts w:hint="eastAsia" w:ascii="宋体" w:hAnsi="宋体" w:cs="宋体"/>
          <w:color w:val="auto"/>
          <w:szCs w:val="21"/>
          <w:highlight w:val="none"/>
          <w:lang w:val="en-US" w:eastAsia="zh-CN" w:bidi="ar"/>
        </w:rPr>
        <w:t>竞争性磋商</w:t>
      </w:r>
      <w:r>
        <w:rPr>
          <w:rFonts w:hint="eastAsia" w:ascii="宋体" w:hAnsi="宋体" w:cs="宋体"/>
          <w:color w:val="auto"/>
          <w:szCs w:val="21"/>
          <w:highlight w:val="none"/>
          <w:lang w:bidi="ar"/>
        </w:rPr>
        <w:t>文件和广西政府采购云平台的要求编制、加密并提交响应文件。供应商在使用系统参与竞标过程中遇到涉及平台使用的任何问题，可致电广西政府采购云平台技术支持热线咨询，联系方式：95763。</w:t>
      </w:r>
    </w:p>
    <w:p w14:paraId="29513614">
      <w:pPr>
        <w:keepNext w:val="0"/>
        <w:keepLines w:val="0"/>
        <w:pageBreakBefore w:val="0"/>
        <w:widowControl/>
        <w:kinsoku/>
        <w:wordWrap w:val="0"/>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lang w:bidi="ar"/>
        </w:rPr>
      </w:pPr>
      <w:r>
        <w:rPr>
          <w:rFonts w:hint="eastAsia" w:ascii="宋体" w:hAnsi="宋体" w:cs="宋体"/>
          <w:color w:val="auto"/>
          <w:szCs w:val="21"/>
          <w:highlight w:val="none"/>
          <w:lang w:bidi="ar"/>
        </w:rPr>
        <w:t>（2）供应商应及时熟悉掌握电子标系统操作指南（见广西政府采购云平台电子卖场首页右上角—服务中心—帮助中心—项目采购）。</w:t>
      </w:r>
    </w:p>
    <w:p w14:paraId="35B98E71">
      <w:pPr>
        <w:keepNext w:val="0"/>
        <w:keepLines w:val="0"/>
        <w:pageBreakBefore w:val="0"/>
        <w:widowControl/>
        <w:kinsoku/>
        <w:wordWrap w:val="0"/>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lang w:bidi="ar"/>
        </w:rPr>
      </w:pPr>
      <w:r>
        <w:rPr>
          <w:rFonts w:hint="eastAsia" w:ascii="宋体" w:hAnsi="宋体" w:cs="宋体"/>
          <w:color w:val="auto"/>
          <w:szCs w:val="21"/>
          <w:highlight w:val="none"/>
          <w:lang w:bidi="ar"/>
        </w:rPr>
        <w:t>（3）供应商应及时完成CA申领和绑定（见广西壮族自治区政府采购网—办事服务—下载专区-政采云CA证书办理操作指南）；</w:t>
      </w:r>
    </w:p>
    <w:p w14:paraId="301C1021">
      <w:pPr>
        <w:keepNext w:val="0"/>
        <w:keepLines w:val="0"/>
        <w:pageBreakBefore w:val="0"/>
        <w:widowControl/>
        <w:kinsoku/>
        <w:wordWrap w:val="0"/>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lang w:bidi="ar"/>
        </w:rPr>
      </w:pPr>
      <w:r>
        <w:rPr>
          <w:rFonts w:hint="eastAsia" w:ascii="宋体" w:hAnsi="宋体" w:cs="宋体"/>
          <w:color w:val="auto"/>
          <w:szCs w:val="21"/>
          <w:highlight w:val="none"/>
          <w:lang w:bidi="ar"/>
        </w:rPr>
        <w:t>（4）供应商通过广西政府采购云平台投标客户端软件制作响应文件，广西政府采购云平台投标客户端软件请供应商自行前往下载并安装（见广西壮族自治区政府采购网—办事服务—下载专区</w:t>
      </w:r>
      <w:r>
        <w:rPr>
          <w:rFonts w:hint="eastAsia" w:ascii="宋体" w:hAnsi="宋体" w:cs="宋体"/>
          <w:color w:val="auto"/>
          <w:szCs w:val="21"/>
          <w:highlight w:val="none"/>
          <w:lang w:eastAsia="zh-CN" w:bidi="ar"/>
        </w:rPr>
        <w:t>－</w:t>
      </w:r>
      <w:r>
        <w:rPr>
          <w:rFonts w:hint="eastAsia" w:ascii="宋体" w:hAnsi="宋体" w:cs="宋体"/>
          <w:color w:val="auto"/>
          <w:szCs w:val="21"/>
          <w:highlight w:val="none"/>
          <w:lang w:bidi="ar"/>
        </w:rPr>
        <w:t>广西壮族自治区全流程电子招投标项目管理系统</w:t>
      </w:r>
      <w:r>
        <w:rPr>
          <w:rFonts w:hint="eastAsia" w:ascii="宋体" w:hAnsi="宋体" w:cs="宋体"/>
          <w:color w:val="auto"/>
          <w:szCs w:val="21"/>
          <w:highlight w:val="none"/>
          <w:lang w:eastAsia="zh-CN" w:bidi="ar"/>
        </w:rPr>
        <w:t>－－</w:t>
      </w:r>
      <w:r>
        <w:rPr>
          <w:rFonts w:hint="eastAsia" w:ascii="宋体" w:hAnsi="宋体" w:cs="宋体"/>
          <w:color w:val="auto"/>
          <w:szCs w:val="21"/>
          <w:highlight w:val="none"/>
          <w:lang w:bidi="ar"/>
        </w:rPr>
        <w:t>供应商客户端）。</w:t>
      </w:r>
    </w:p>
    <w:p w14:paraId="0A258099">
      <w:pPr>
        <w:keepNext w:val="0"/>
        <w:keepLines w:val="0"/>
        <w:pageBreakBefore w:val="0"/>
        <w:widowControl/>
        <w:kinsoku/>
        <w:wordWrap w:val="0"/>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lang w:bidi="ar"/>
        </w:rPr>
      </w:pPr>
      <w:r>
        <w:rPr>
          <w:rFonts w:hint="eastAsia" w:ascii="宋体" w:hAnsi="宋体" w:cs="宋体"/>
          <w:color w:val="auto"/>
          <w:szCs w:val="21"/>
          <w:highlight w:val="none"/>
          <w:lang w:bidi="ar"/>
        </w:rPr>
        <w:t>（5）因未注册入库、未办理CA数字证书、CA证书故障、操作不当等原因造成无法投标或投标失败等后果由供应商自行承担。</w:t>
      </w:r>
    </w:p>
    <w:p w14:paraId="2D6FA625">
      <w:pPr>
        <w:keepNext w:val="0"/>
        <w:keepLines w:val="0"/>
        <w:pageBreakBefore w:val="0"/>
        <w:widowControl/>
        <w:kinsoku/>
        <w:wordWrap w:val="0"/>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lang w:bidi="ar"/>
        </w:rPr>
      </w:pPr>
      <w:r>
        <w:rPr>
          <w:rFonts w:hint="eastAsia" w:ascii="宋体" w:hAnsi="宋体" w:cs="宋体"/>
          <w:color w:val="auto"/>
          <w:szCs w:val="21"/>
          <w:highlight w:val="none"/>
          <w:lang w:bidi="ar"/>
        </w:rPr>
        <w:t>（6）响应文件网上提交截止后，广西政府采购云平台（电子标系统）自动提取所有响应文件，各供应商须在</w:t>
      </w:r>
      <w:r>
        <w:rPr>
          <w:rFonts w:hint="eastAsia" w:ascii="宋体" w:hAnsi="宋体" w:cs="宋体"/>
          <w:color w:val="auto"/>
          <w:szCs w:val="21"/>
          <w:highlight w:val="none"/>
          <w:lang w:val="en-US" w:eastAsia="zh-CN" w:bidi="ar"/>
        </w:rPr>
        <w:t>采购代理机构发起解密</w:t>
      </w:r>
      <w:r>
        <w:rPr>
          <w:rFonts w:hint="eastAsia" w:ascii="宋体" w:hAnsi="宋体" w:cs="宋体"/>
          <w:color w:val="auto"/>
          <w:szCs w:val="21"/>
          <w:highlight w:val="none"/>
          <w:lang w:bidi="ar"/>
        </w:rPr>
        <w:t>后30分钟内对上传广西政府采购云平台的响应文件进行解密，所有供应商在规定的解密时限内解密完成或解密时限结束后，</w:t>
      </w:r>
      <w:r>
        <w:rPr>
          <w:rFonts w:hint="eastAsia" w:ascii="宋体" w:hAnsi="宋体" w:cs="宋体"/>
          <w:color w:val="auto"/>
          <w:szCs w:val="21"/>
          <w:highlight w:val="none"/>
          <w:lang w:val="en-US" w:eastAsia="zh-CN" w:bidi="ar"/>
        </w:rPr>
        <w:t>采购代理机构</w:t>
      </w:r>
      <w:r>
        <w:rPr>
          <w:rFonts w:hint="eastAsia" w:ascii="宋体" w:hAnsi="宋体" w:cs="宋体"/>
          <w:color w:val="auto"/>
          <w:szCs w:val="21"/>
          <w:highlight w:val="none"/>
          <w:lang w:bidi="ar"/>
        </w:rPr>
        <w:t>开启响应文件；供应商超过解密时限的，系统默认自动放弃。</w:t>
      </w:r>
    </w:p>
    <w:p w14:paraId="35E635AC">
      <w:pPr>
        <w:pStyle w:val="28"/>
        <w:rPr>
          <w:rFonts w:hint="default" w:eastAsia="宋体"/>
          <w:b w:val="0"/>
          <w:bCs/>
          <w:color w:val="auto"/>
          <w:lang w:val="en-US" w:eastAsia="zh-CN"/>
        </w:rPr>
      </w:pPr>
      <w:r>
        <w:rPr>
          <w:rFonts w:hint="eastAsia"/>
          <w:b w:val="0"/>
          <w:bCs/>
          <w:color w:val="auto"/>
          <w:lang w:val="en-US" w:eastAsia="zh-CN"/>
        </w:rPr>
        <w:t>（7）本项目意向公示链接：</w:t>
      </w:r>
    </w:p>
    <w:p w14:paraId="1CBF3530">
      <w:pPr>
        <w:pStyle w:val="28"/>
        <w:rPr>
          <w:rFonts w:hint="eastAsia"/>
          <w:b w:val="0"/>
          <w:bCs/>
          <w:color w:val="auto"/>
        </w:rPr>
      </w:pPr>
      <w:r>
        <w:rPr>
          <w:rFonts w:hint="eastAsia"/>
          <w:b w:val="0"/>
          <w:bCs/>
          <w:color w:val="auto"/>
        </w:rPr>
        <w:t>http://www.ccgp-guangxi.gov.cn/site/detail?parentId=66485&amp;articleId=yrr/1bN+mmtzH5s6wEo8XQ==</w:t>
      </w:r>
    </w:p>
    <w:bookmarkEnd w:id="3"/>
    <w:p w14:paraId="5FE7CA47">
      <w:pPr>
        <w:keepNext w:val="0"/>
        <w:keepLines w:val="0"/>
        <w:pageBreakBefore w:val="0"/>
        <w:kinsoku/>
        <w:overflowPunct/>
        <w:topLinePunct w:val="0"/>
        <w:autoSpaceDE/>
        <w:autoSpaceDN/>
        <w:bidi w:val="0"/>
        <w:adjustRightInd/>
        <w:snapToGrid/>
        <w:spacing w:line="440" w:lineRule="exact"/>
        <w:ind w:firstLine="310" w:firstLineChars="147"/>
        <w:textAlignment w:val="auto"/>
        <w:rPr>
          <w:rFonts w:ascii="宋体" w:hAnsi="宋体"/>
          <w:b/>
          <w:color w:val="auto"/>
          <w:szCs w:val="21"/>
          <w:highlight w:val="none"/>
        </w:rPr>
      </w:pPr>
      <w:r>
        <w:rPr>
          <w:rFonts w:hint="eastAsia" w:ascii="宋体" w:hAnsi="宋体"/>
          <w:b/>
          <w:color w:val="auto"/>
          <w:szCs w:val="21"/>
          <w:highlight w:val="none"/>
        </w:rPr>
        <w:t>八、凡对本次采购提出询问，请按</w:t>
      </w:r>
      <w:r>
        <w:rPr>
          <w:rFonts w:ascii="宋体" w:hAnsi="宋体"/>
          <w:b/>
          <w:color w:val="auto"/>
          <w:szCs w:val="21"/>
          <w:highlight w:val="none"/>
        </w:rPr>
        <w:t>以下方式</w:t>
      </w:r>
      <w:r>
        <w:rPr>
          <w:rFonts w:hint="eastAsia" w:ascii="宋体" w:hAnsi="宋体"/>
          <w:b/>
          <w:color w:val="auto"/>
          <w:szCs w:val="21"/>
          <w:highlight w:val="none"/>
        </w:rPr>
        <w:t>联系。</w:t>
      </w:r>
      <w:bookmarkEnd w:id="4"/>
      <w:bookmarkEnd w:id="5"/>
      <w:bookmarkEnd w:id="6"/>
      <w:bookmarkEnd w:id="7"/>
      <w:bookmarkEnd w:id="8"/>
    </w:p>
    <w:p w14:paraId="14A5E017">
      <w:pPr>
        <w:keepNext w:val="0"/>
        <w:keepLines w:val="0"/>
        <w:pageBreakBefore w:val="0"/>
        <w:kinsoku/>
        <w:overflowPunct/>
        <w:topLinePunct w:val="0"/>
        <w:autoSpaceDE/>
        <w:autoSpaceDN/>
        <w:bidi w:val="0"/>
        <w:adjustRightInd/>
        <w:snapToGrid/>
        <w:spacing w:line="440" w:lineRule="exact"/>
        <w:ind w:firstLine="567" w:firstLineChars="270"/>
        <w:jc w:val="left"/>
        <w:textAlignment w:val="auto"/>
        <w:rPr>
          <w:rFonts w:hint="eastAsia" w:ascii="宋体" w:hAnsi="宋体" w:cs="宋体"/>
          <w:color w:val="auto"/>
          <w:szCs w:val="21"/>
          <w:highlight w:val="none"/>
        </w:rPr>
      </w:pPr>
      <w:bookmarkStart w:id="9" w:name="_Toc35393806"/>
      <w:bookmarkStart w:id="10" w:name="_Toc28359019"/>
      <w:bookmarkStart w:id="11" w:name="_Toc35393637"/>
      <w:bookmarkStart w:id="12" w:name="_Toc28359096"/>
      <w:r>
        <w:rPr>
          <w:rFonts w:hint="eastAsia" w:ascii="宋体" w:hAnsi="宋体" w:cs="宋体"/>
          <w:color w:val="auto"/>
          <w:szCs w:val="21"/>
          <w:highlight w:val="none"/>
        </w:rPr>
        <w:t>1.采购人信息</w:t>
      </w:r>
    </w:p>
    <w:p w14:paraId="2B9F4A9E">
      <w:pPr>
        <w:keepNext w:val="0"/>
        <w:keepLines w:val="0"/>
        <w:pageBreakBefore w:val="0"/>
        <w:kinsoku/>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名称：</w:t>
      </w:r>
      <w:r>
        <w:rPr>
          <w:rFonts w:hint="eastAsia" w:ascii="宋体" w:hAnsi="宋体" w:cs="宋体"/>
          <w:color w:val="auto"/>
          <w:szCs w:val="21"/>
          <w:highlight w:val="none"/>
          <w:lang w:eastAsia="zh-CN"/>
        </w:rPr>
        <w:t>广西壮族自治区卫生健康委员会幼儿园</w:t>
      </w:r>
    </w:p>
    <w:p w14:paraId="38E7C752">
      <w:pPr>
        <w:keepNext w:val="0"/>
        <w:keepLines w:val="0"/>
        <w:pageBreakBefore w:val="0"/>
        <w:kinsoku/>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地址：南宁市双拥路14号</w:t>
      </w:r>
    </w:p>
    <w:p w14:paraId="0869B2B8">
      <w:pPr>
        <w:keepNext w:val="0"/>
        <w:keepLines w:val="0"/>
        <w:pageBreakBefore w:val="0"/>
        <w:kinsoku/>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woUserID w:val="1"/>
        </w:rPr>
      </w:pPr>
      <w:r>
        <w:rPr>
          <w:rFonts w:hint="eastAsia" w:ascii="宋体" w:hAnsi="宋体" w:cs="宋体"/>
          <w:color w:val="auto"/>
          <w:szCs w:val="21"/>
          <w:highlight w:val="none"/>
        </w:rPr>
        <w:t>项目联系人：</w:t>
      </w:r>
      <w:r>
        <w:rPr>
          <w:rFonts w:hint="default" w:ascii="宋体" w:hAnsi="宋体" w:cs="宋体"/>
          <w:color w:val="auto"/>
          <w:szCs w:val="21"/>
          <w:highlight w:val="none"/>
          <w:woUserID w:val="1"/>
        </w:rPr>
        <w:t>杨师傅</w:t>
      </w:r>
    </w:p>
    <w:p w14:paraId="2E5931D8">
      <w:pPr>
        <w:keepNext w:val="0"/>
        <w:keepLines w:val="0"/>
        <w:pageBreakBefore w:val="0"/>
        <w:kinsoku/>
        <w:overflowPunct/>
        <w:topLinePunct w:val="0"/>
        <w:autoSpaceDE/>
        <w:autoSpaceDN/>
        <w:bidi w:val="0"/>
        <w:adjustRightInd/>
        <w:snapToGrid/>
        <w:spacing w:line="440" w:lineRule="exact"/>
        <w:ind w:firstLine="420" w:firstLineChars="200"/>
        <w:textAlignment w:val="auto"/>
        <w:rPr>
          <w:rFonts w:hint="default" w:ascii="宋体" w:hAnsi="宋体" w:eastAsia="宋体" w:cs="宋体"/>
          <w:color w:val="auto"/>
          <w:szCs w:val="21"/>
          <w:highlight w:val="none"/>
          <w:lang w:eastAsia="zh-CN"/>
          <w:woUserID w:val="1"/>
        </w:rPr>
      </w:pPr>
      <w:r>
        <w:rPr>
          <w:rFonts w:hint="eastAsia" w:ascii="宋体" w:hAnsi="宋体" w:cs="宋体"/>
          <w:color w:val="auto"/>
          <w:szCs w:val="21"/>
          <w:highlight w:val="none"/>
          <w:lang w:val="en-US" w:eastAsia="zh-CN"/>
        </w:rPr>
        <w:t>项目</w:t>
      </w:r>
      <w:r>
        <w:rPr>
          <w:rFonts w:hint="eastAsia" w:ascii="宋体" w:hAnsi="宋体" w:cs="宋体"/>
          <w:color w:val="auto"/>
          <w:szCs w:val="21"/>
          <w:highlight w:val="none"/>
        </w:rPr>
        <w:t>联系</w:t>
      </w:r>
      <w:r>
        <w:rPr>
          <w:rFonts w:hint="eastAsia" w:ascii="宋体" w:hAnsi="宋体" w:cs="宋体"/>
          <w:color w:val="auto"/>
          <w:szCs w:val="21"/>
          <w:highlight w:val="none"/>
          <w:lang w:val="en-US" w:eastAsia="zh-CN"/>
        </w:rPr>
        <w:t>方式</w:t>
      </w:r>
      <w:r>
        <w:rPr>
          <w:rFonts w:hint="eastAsia" w:ascii="宋体" w:hAnsi="宋体" w:cs="宋体"/>
          <w:color w:val="auto"/>
          <w:szCs w:val="21"/>
          <w:highlight w:val="none"/>
        </w:rPr>
        <w:t>：0771-</w:t>
      </w:r>
      <w:r>
        <w:rPr>
          <w:rFonts w:hint="default" w:ascii="宋体" w:hAnsi="宋体" w:cs="宋体"/>
          <w:color w:val="auto"/>
          <w:szCs w:val="21"/>
          <w:highlight w:val="none"/>
          <w:woUserID w:val="1"/>
        </w:rPr>
        <w:t>2801453</w:t>
      </w:r>
    </w:p>
    <w:p w14:paraId="30785D49">
      <w:pPr>
        <w:keepNext w:val="0"/>
        <w:keepLines w:val="0"/>
        <w:pageBreakBefore w:val="0"/>
        <w:kinsoku/>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2.采购代理机构信息</w:t>
      </w:r>
    </w:p>
    <w:p w14:paraId="5D316B66">
      <w:pPr>
        <w:keepNext w:val="0"/>
        <w:keepLines w:val="0"/>
        <w:pageBreakBefore w:val="0"/>
        <w:kinsoku/>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名称：广西中信恒泰工程顾问有限公司</w:t>
      </w:r>
    </w:p>
    <w:p w14:paraId="4304FE56">
      <w:pPr>
        <w:keepNext w:val="0"/>
        <w:keepLines w:val="0"/>
        <w:pageBreakBefore w:val="0"/>
        <w:kinsoku/>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地址：广西南宁市青秀区云景路69号南宁轨道大厦B座</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楼</w:t>
      </w:r>
    </w:p>
    <w:p w14:paraId="4A0AFF3A">
      <w:pPr>
        <w:keepNext w:val="0"/>
        <w:keepLines w:val="0"/>
        <w:pageBreakBefore w:val="0"/>
        <w:kinsoku/>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项目联系人：</w:t>
      </w:r>
      <w:r>
        <w:rPr>
          <w:rFonts w:hint="eastAsia" w:ascii="宋体" w:hAnsi="宋体" w:cs="宋体"/>
          <w:color w:val="auto"/>
          <w:szCs w:val="21"/>
          <w:highlight w:val="none"/>
          <w:lang w:eastAsia="zh-CN"/>
        </w:rPr>
        <w:t>陈燕英、龙蔚麟、田甜</w:t>
      </w:r>
    </w:p>
    <w:p w14:paraId="77C07214">
      <w:pPr>
        <w:keepNext w:val="0"/>
        <w:keepLines w:val="0"/>
        <w:pageBreakBefore w:val="0"/>
        <w:kinsoku/>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项目</w:t>
      </w:r>
      <w:r>
        <w:rPr>
          <w:rFonts w:hint="eastAsia" w:ascii="宋体" w:hAnsi="宋体" w:cs="宋体"/>
          <w:color w:val="auto"/>
          <w:szCs w:val="21"/>
          <w:highlight w:val="none"/>
        </w:rPr>
        <w:t>联系</w:t>
      </w:r>
      <w:r>
        <w:rPr>
          <w:rFonts w:hint="eastAsia" w:ascii="宋体" w:hAnsi="宋体" w:cs="宋体"/>
          <w:color w:val="auto"/>
          <w:szCs w:val="21"/>
          <w:highlight w:val="none"/>
          <w:lang w:val="en-US" w:eastAsia="zh-CN"/>
        </w:rPr>
        <w:t>方式</w:t>
      </w:r>
      <w:r>
        <w:rPr>
          <w:rFonts w:hint="eastAsia" w:ascii="宋体" w:hAnsi="宋体" w:cs="宋体"/>
          <w:color w:val="auto"/>
          <w:szCs w:val="21"/>
          <w:highlight w:val="none"/>
        </w:rPr>
        <w:t>：</w:t>
      </w:r>
      <w:r>
        <w:rPr>
          <w:rFonts w:hint="eastAsia" w:ascii="宋体" w:hAnsi="宋体" w:cs="宋体"/>
          <w:color w:val="auto"/>
          <w:szCs w:val="21"/>
          <w:highlight w:val="none"/>
          <w:lang w:eastAsia="zh-CN"/>
        </w:rPr>
        <w:t>0771-5776251</w:t>
      </w:r>
    </w:p>
    <w:p w14:paraId="2BD9DCE9">
      <w:pPr>
        <w:keepNext w:val="0"/>
        <w:keepLines w:val="0"/>
        <w:pageBreakBefore w:val="0"/>
        <w:kinsoku/>
        <w:overflowPunct/>
        <w:topLinePunct w:val="0"/>
        <w:autoSpaceDE/>
        <w:autoSpaceDN/>
        <w:bidi w:val="0"/>
        <w:adjustRightInd/>
        <w:snapToGrid/>
        <w:spacing w:line="440" w:lineRule="exact"/>
        <w:ind w:firstLine="0" w:firstLineChars="0"/>
        <w:textAlignment w:val="auto"/>
        <w:rPr>
          <w:rFonts w:hint="eastAsia" w:ascii="宋体" w:hAnsi="宋体" w:cs="Arial"/>
          <w:color w:val="auto"/>
          <w:szCs w:val="21"/>
          <w:highlight w:val="none"/>
        </w:rPr>
      </w:pPr>
    </w:p>
    <w:p w14:paraId="491CDDF4">
      <w:pPr>
        <w:keepNext w:val="0"/>
        <w:keepLines w:val="0"/>
        <w:pageBreakBefore w:val="0"/>
        <w:kinsoku/>
        <w:overflowPunct/>
        <w:topLinePunct w:val="0"/>
        <w:autoSpaceDE/>
        <w:autoSpaceDN/>
        <w:bidi w:val="0"/>
        <w:adjustRightInd/>
        <w:snapToGrid/>
        <w:spacing w:line="440" w:lineRule="exact"/>
        <w:ind w:right="420"/>
        <w:jc w:val="right"/>
        <w:textAlignment w:val="auto"/>
        <w:rPr>
          <w:rFonts w:hint="eastAsia" w:ascii="宋体" w:hAnsi="宋体" w:cs="Arial"/>
          <w:color w:val="auto"/>
          <w:szCs w:val="21"/>
          <w:highlight w:val="none"/>
        </w:rPr>
      </w:pPr>
      <w:r>
        <w:rPr>
          <w:rFonts w:hint="eastAsia" w:ascii="宋体" w:hAnsi="宋体" w:cs="Arial"/>
          <w:color w:val="auto"/>
          <w:szCs w:val="21"/>
          <w:highlight w:val="none"/>
        </w:rPr>
        <w:t>广西中信恒泰工程顾问有限公司</w:t>
      </w:r>
      <w:bookmarkEnd w:id="2"/>
      <w:bookmarkEnd w:id="9"/>
      <w:bookmarkEnd w:id="10"/>
      <w:bookmarkEnd w:id="11"/>
      <w:bookmarkEnd w:id="12"/>
    </w:p>
    <w:p w14:paraId="19C7497B">
      <w:pPr>
        <w:keepNext w:val="0"/>
        <w:keepLines w:val="0"/>
        <w:pageBreakBefore w:val="0"/>
        <w:kinsoku/>
        <w:overflowPunct/>
        <w:topLinePunct w:val="0"/>
        <w:autoSpaceDE/>
        <w:autoSpaceDN/>
        <w:bidi w:val="0"/>
        <w:adjustRightInd/>
        <w:snapToGrid/>
        <w:spacing w:line="440" w:lineRule="exact"/>
        <w:ind w:right="420"/>
        <w:jc w:val="right"/>
        <w:textAlignment w:val="auto"/>
        <w:rPr>
          <w:rFonts w:hint="eastAsia" w:ascii="宋体" w:hAnsi="宋体"/>
          <w:b/>
          <w:bCs/>
          <w:color w:val="auto"/>
          <w:sz w:val="32"/>
          <w:szCs w:val="32"/>
          <w:highlight w:val="none"/>
        </w:rPr>
      </w:pPr>
      <w:r>
        <w:rPr>
          <w:rFonts w:hint="eastAsia" w:ascii="宋体" w:hAnsi="宋体"/>
          <w:color w:val="auto"/>
          <w:szCs w:val="21"/>
          <w:highlight w:val="none"/>
        </w:rPr>
        <w:t>202</w:t>
      </w:r>
      <w:r>
        <w:rPr>
          <w:rFonts w:hint="eastAsia" w:ascii="宋体" w:hAnsi="宋体"/>
          <w:color w:val="auto"/>
          <w:szCs w:val="21"/>
          <w:highlight w:val="none"/>
          <w:lang w:val="en-US" w:eastAsia="zh-CN"/>
        </w:rPr>
        <w:t>6</w:t>
      </w:r>
      <w:r>
        <w:rPr>
          <w:rFonts w:hint="eastAsia" w:ascii="宋体" w:hAnsi="宋体"/>
          <w:color w:val="auto"/>
          <w:szCs w:val="21"/>
          <w:highlight w:val="none"/>
        </w:rPr>
        <w:t>年</w:t>
      </w:r>
      <w:r>
        <w:rPr>
          <w:rFonts w:hint="eastAsia" w:ascii="宋体" w:hAnsi="宋体"/>
          <w:color w:val="auto"/>
          <w:szCs w:val="21"/>
          <w:highlight w:val="none"/>
          <w:lang w:val="en-US" w:eastAsia="zh-CN"/>
        </w:rPr>
        <w:t>5</w:t>
      </w:r>
      <w:r>
        <w:rPr>
          <w:rFonts w:hint="eastAsia" w:ascii="宋体" w:hAnsi="宋体"/>
          <w:color w:val="auto"/>
          <w:szCs w:val="21"/>
          <w:highlight w:val="none"/>
        </w:rPr>
        <w:t>月</w:t>
      </w:r>
      <w:r>
        <w:rPr>
          <w:rFonts w:hint="eastAsia" w:ascii="宋体" w:hAnsi="宋体"/>
          <w:color w:val="auto"/>
          <w:szCs w:val="21"/>
          <w:highlight w:val="none"/>
          <w:lang w:val="en-US" w:eastAsia="zh-CN"/>
        </w:rPr>
        <w:t>29</w:t>
      </w:r>
      <w:r>
        <w:rPr>
          <w:rFonts w:hint="eastAsia" w:ascii="宋体" w:hAnsi="宋体"/>
          <w:color w:val="auto"/>
          <w:szCs w:val="21"/>
          <w:highlight w:val="none"/>
        </w:rPr>
        <w:t>日</w:t>
      </w:r>
    </w:p>
    <w:p w14:paraId="72A59809">
      <w:pPr>
        <w:pStyle w:val="2"/>
        <w:spacing w:line="360" w:lineRule="auto"/>
        <w:jc w:val="center"/>
        <w:rPr>
          <w:rFonts w:hint="eastAsia"/>
          <w:color w:val="auto"/>
          <w:highlight w:val="none"/>
        </w:rPr>
      </w:pPr>
      <w:r>
        <w:rPr>
          <w:color w:val="auto"/>
          <w:highlight w:val="none"/>
        </w:rPr>
        <w:br w:type="page"/>
      </w:r>
      <w:bookmarkStart w:id="13" w:name="_Toc170496350"/>
      <w:r>
        <w:rPr>
          <w:rFonts w:hint="eastAsia"/>
          <w:color w:val="auto"/>
          <w:highlight w:val="none"/>
        </w:rPr>
        <w:t>第二章 采购需求</w:t>
      </w:r>
      <w:bookmarkEnd w:id="13"/>
    </w:p>
    <w:p w14:paraId="1DC9C50E">
      <w:pPr>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说明：</w:t>
      </w:r>
    </w:p>
    <w:p w14:paraId="003BE167">
      <w:pPr>
        <w:spacing w:line="360" w:lineRule="auto"/>
        <w:ind w:left="-10" w:leftChars="-5" w:right="2" w:rightChars="1" w:firstLine="420" w:firstLineChars="200"/>
        <w:rPr>
          <w:rFonts w:hint="eastAsia" w:ascii="宋体" w:hAnsi="宋体"/>
          <w:b/>
          <w:bCs/>
          <w:color w:val="auto"/>
          <w:highlight w:val="none"/>
        </w:rPr>
      </w:pPr>
      <w:r>
        <w:rPr>
          <w:rFonts w:hint="eastAsia" w:ascii="宋体" w:hAnsi="宋体"/>
          <w:color w:val="auto"/>
          <w:highlight w:val="none"/>
        </w:rPr>
        <w:t>1</w:t>
      </w:r>
      <w:r>
        <w:rPr>
          <w:rFonts w:hint="eastAsia" w:ascii="宋体" w:hAnsi="宋体"/>
          <w:color w:val="auto"/>
          <w:highlight w:val="none"/>
          <w:lang w:val="en-US" w:eastAsia="zh-CN"/>
        </w:rPr>
        <w:t>.</w:t>
      </w:r>
      <w:r>
        <w:rPr>
          <w:rFonts w:hint="eastAsia" w:ascii="宋体" w:hAnsi="宋体"/>
          <w:color w:val="auto"/>
          <w:highlight w:val="none"/>
        </w:rPr>
        <w:t>“实质性要求”是指竞争性磋商文件中已经指明不满足则响应无效的条款，或者不能负偏离的条款，或者采购需求中带“▲”的条款。</w:t>
      </w:r>
      <w:r>
        <w:rPr>
          <w:rFonts w:hint="eastAsia" w:ascii="宋体" w:hAnsi="宋体"/>
          <w:b/>
          <w:bCs/>
          <w:color w:val="auto"/>
          <w:highlight w:val="none"/>
        </w:rPr>
        <w:t>本采购需求中所有条款均为实质性要求，任何一项不满足将导致竞标无效。</w:t>
      </w:r>
    </w:p>
    <w:p w14:paraId="0211438C">
      <w:pPr>
        <w:spacing w:line="360" w:lineRule="auto"/>
        <w:ind w:left="-10" w:leftChars="-5" w:right="2" w:rightChars="1" w:firstLine="420" w:firstLineChars="200"/>
        <w:rPr>
          <w:rFonts w:hint="eastAsia" w:ascii="宋体" w:hAnsi="宋体"/>
          <w:color w:val="auto"/>
          <w:highlight w:val="none"/>
        </w:rPr>
      </w:pPr>
      <w:r>
        <w:rPr>
          <w:rFonts w:hint="eastAsia" w:ascii="宋体" w:hAnsi="宋体"/>
          <w:color w:val="auto"/>
          <w:highlight w:val="none"/>
        </w:rPr>
        <w:t>2</w:t>
      </w:r>
      <w:r>
        <w:rPr>
          <w:rFonts w:hint="eastAsia" w:ascii="宋体" w:hAnsi="宋体"/>
          <w:color w:val="auto"/>
          <w:highlight w:val="none"/>
          <w:lang w:val="en-US" w:eastAsia="zh-CN"/>
        </w:rPr>
        <w:t>.</w:t>
      </w:r>
      <w:r>
        <w:rPr>
          <w:rFonts w:hint="eastAsia" w:ascii="宋体" w:hAnsi="宋体"/>
          <w:color w:val="auto"/>
          <w:highlight w:val="none"/>
        </w:rPr>
        <w:t>供应商必须自行为其竞标产品侵犯他人的知识产权或者专利成果的行为承担相应法律责任。</w:t>
      </w:r>
    </w:p>
    <w:p w14:paraId="24007218">
      <w:pPr>
        <w:spacing w:line="360" w:lineRule="auto"/>
        <w:ind w:left="-10" w:leftChars="-5" w:right="2" w:rightChars="1" w:firstLine="420" w:firstLineChars="200"/>
        <w:rPr>
          <w:rFonts w:hint="eastAsia" w:ascii="宋体" w:hAnsi="宋体"/>
          <w:color w:val="auto"/>
          <w:highlight w:val="none"/>
        </w:rPr>
      </w:pPr>
      <w:r>
        <w:rPr>
          <w:rFonts w:hint="eastAsia" w:ascii="宋体" w:hAnsi="宋体"/>
          <w:color w:val="auto"/>
          <w:highlight w:val="none"/>
          <w:lang w:val="en-US" w:eastAsia="zh-CN"/>
        </w:rPr>
        <w:t>3.供应商</w:t>
      </w:r>
      <w:r>
        <w:rPr>
          <w:rFonts w:hint="eastAsia" w:ascii="宋体" w:hAnsi="宋体"/>
          <w:color w:val="auto"/>
          <w:highlight w:val="none"/>
        </w:rPr>
        <w:t>所</w:t>
      </w:r>
      <w:r>
        <w:rPr>
          <w:rFonts w:hint="eastAsia" w:ascii="宋体" w:hAnsi="宋体"/>
          <w:color w:val="auto"/>
          <w:highlight w:val="none"/>
          <w:lang w:val="en-US" w:eastAsia="zh-CN"/>
        </w:rPr>
        <w:t>响应</w:t>
      </w:r>
      <w:r>
        <w:rPr>
          <w:rFonts w:hint="eastAsia" w:ascii="宋体" w:hAnsi="宋体"/>
          <w:color w:val="auto"/>
          <w:highlight w:val="none"/>
        </w:rPr>
        <w:t>货物或服务如有国家相关标准、行业标准、地方标准或者其他标准、规范要求的按相关规定执行，若执行标准有修改或更新按最新版本执行。</w:t>
      </w:r>
    </w:p>
    <w:tbl>
      <w:tblPr>
        <w:tblStyle w:val="31"/>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5"/>
        <w:gridCol w:w="475"/>
        <w:gridCol w:w="464"/>
        <w:gridCol w:w="2"/>
        <w:gridCol w:w="1192"/>
        <w:gridCol w:w="6718"/>
      </w:tblGrid>
      <w:tr w14:paraId="50FD9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jc w:val="center"/>
        </w:trPr>
        <w:tc>
          <w:tcPr>
            <w:tcW w:w="234" w:type="pct"/>
            <w:noWrap w:val="0"/>
            <w:vAlign w:val="center"/>
          </w:tcPr>
          <w:p w14:paraId="6D8FF53F">
            <w:pPr>
              <w:keepNext w:val="0"/>
              <w:keepLines w:val="0"/>
              <w:pageBreakBefore w:val="0"/>
              <w:tabs>
                <w:tab w:val="left" w:pos="180"/>
                <w:tab w:val="left" w:pos="1620"/>
              </w:tabs>
              <w:kinsoku/>
              <w:wordWrap/>
              <w:overflowPunct/>
              <w:topLinePunct w:val="0"/>
              <w:bidi w:val="0"/>
              <w:spacing w:line="360" w:lineRule="auto"/>
              <w:jc w:val="center"/>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255" w:type="pct"/>
            <w:noWrap w:val="0"/>
            <w:vAlign w:val="center"/>
          </w:tcPr>
          <w:p w14:paraId="70AA2132">
            <w:pPr>
              <w:keepNext w:val="0"/>
              <w:keepLines w:val="0"/>
              <w:pageBreakBefore w:val="0"/>
              <w:tabs>
                <w:tab w:val="left" w:pos="180"/>
                <w:tab w:val="left" w:pos="1620"/>
              </w:tabs>
              <w:kinsoku/>
              <w:wordWrap/>
              <w:overflowPunct/>
              <w:topLinePunct w:val="0"/>
              <w:bidi w:val="0"/>
              <w:spacing w:line="360" w:lineRule="auto"/>
              <w:jc w:val="center"/>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标的名称</w:t>
            </w:r>
          </w:p>
        </w:tc>
        <w:tc>
          <w:tcPr>
            <w:tcW w:w="250" w:type="pct"/>
            <w:gridSpan w:val="2"/>
            <w:noWrap w:val="0"/>
            <w:vAlign w:val="center"/>
          </w:tcPr>
          <w:p w14:paraId="4B40A20C">
            <w:pPr>
              <w:keepNext w:val="0"/>
              <w:keepLines w:val="0"/>
              <w:pageBreakBefore w:val="0"/>
              <w:tabs>
                <w:tab w:val="left" w:pos="180"/>
                <w:tab w:val="left" w:pos="1620"/>
              </w:tabs>
              <w:kinsoku/>
              <w:wordWrap/>
              <w:overflowPunct/>
              <w:topLinePunct w:val="0"/>
              <w:bidi w:val="0"/>
              <w:spacing w:line="360" w:lineRule="auto"/>
              <w:jc w:val="center"/>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数量及单位</w:t>
            </w:r>
          </w:p>
        </w:tc>
        <w:tc>
          <w:tcPr>
            <w:tcW w:w="641" w:type="pct"/>
            <w:noWrap w:val="0"/>
            <w:vAlign w:val="center"/>
          </w:tcPr>
          <w:p w14:paraId="262CBC70">
            <w:pPr>
              <w:keepNext w:val="0"/>
              <w:keepLines w:val="0"/>
              <w:pageBreakBefore w:val="0"/>
              <w:tabs>
                <w:tab w:val="left" w:pos="180"/>
                <w:tab w:val="left" w:pos="1620"/>
              </w:tabs>
              <w:kinsoku/>
              <w:wordWrap/>
              <w:overflowPunct/>
              <w:topLinePunct w:val="0"/>
              <w:bidi w:val="0"/>
              <w:spacing w:line="360" w:lineRule="auto"/>
              <w:jc w:val="center"/>
              <w:textAlignment w:val="auto"/>
              <w:rPr>
                <w:rFonts w:hint="eastAsia" w:ascii="宋体" w:hAnsi="宋体" w:cs="宋体"/>
                <w:b/>
                <w:bCs/>
                <w:color w:val="auto"/>
                <w:szCs w:val="21"/>
                <w:highlight w:val="none"/>
              </w:rPr>
            </w:pPr>
            <w:r>
              <w:rPr>
                <w:rFonts w:hint="eastAsia" w:ascii="宋体" w:hAnsi="宋体" w:eastAsia="宋体" w:cs="宋体"/>
                <w:b/>
                <w:bCs/>
                <w:color w:val="auto"/>
                <w:szCs w:val="21"/>
                <w:highlight w:val="none"/>
              </w:rPr>
              <w:t>中小企业划分标准所属行业名称（行业名称及划分见</w:t>
            </w:r>
            <w:r>
              <w:rPr>
                <w:rFonts w:hint="eastAsia" w:ascii="宋体" w:hAnsi="宋体" w:cs="宋体"/>
                <w:b/>
                <w:bCs/>
                <w:color w:val="auto"/>
                <w:szCs w:val="21"/>
                <w:highlight w:val="none"/>
                <w:lang w:val="en-US" w:eastAsia="zh-CN"/>
              </w:rPr>
              <w:t>响应文件格式部分</w:t>
            </w:r>
            <w:r>
              <w:rPr>
                <w:rFonts w:hint="eastAsia" w:ascii="宋体" w:hAnsi="宋体" w:eastAsia="宋体" w:cs="宋体"/>
                <w:b/>
                <w:bCs/>
                <w:color w:val="auto"/>
                <w:szCs w:val="21"/>
                <w:highlight w:val="none"/>
              </w:rPr>
              <w:t>）</w:t>
            </w:r>
          </w:p>
        </w:tc>
        <w:tc>
          <w:tcPr>
            <w:tcW w:w="3617" w:type="pct"/>
            <w:noWrap w:val="0"/>
            <w:vAlign w:val="center"/>
          </w:tcPr>
          <w:p w14:paraId="0AD82476">
            <w:pPr>
              <w:keepNext w:val="0"/>
              <w:keepLines w:val="0"/>
              <w:pageBreakBefore w:val="0"/>
              <w:tabs>
                <w:tab w:val="left" w:pos="180"/>
                <w:tab w:val="left" w:pos="1620"/>
              </w:tabs>
              <w:kinsoku/>
              <w:wordWrap/>
              <w:overflowPunct/>
              <w:topLinePunct w:val="0"/>
              <w:bidi w:val="0"/>
              <w:spacing w:line="360" w:lineRule="auto"/>
              <w:jc w:val="center"/>
              <w:textAlignment w:val="auto"/>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lang w:eastAsia="zh-CN"/>
              </w:rPr>
              <w:t>服务要求</w:t>
            </w:r>
          </w:p>
        </w:tc>
      </w:tr>
      <w:tr w14:paraId="11DF7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3" w:hRule="atLeast"/>
          <w:jc w:val="center"/>
        </w:trPr>
        <w:tc>
          <w:tcPr>
            <w:tcW w:w="234" w:type="pct"/>
            <w:noWrap w:val="0"/>
            <w:vAlign w:val="center"/>
          </w:tcPr>
          <w:p w14:paraId="05FF91D8">
            <w:pPr>
              <w:keepNext w:val="0"/>
              <w:keepLines w:val="0"/>
              <w:pageBreakBefore w:val="0"/>
              <w:tabs>
                <w:tab w:val="left" w:pos="180"/>
                <w:tab w:val="left" w:pos="1620"/>
              </w:tabs>
              <w:kinsoku/>
              <w:wordWrap/>
              <w:overflowPunct/>
              <w:topLinePunct w:val="0"/>
              <w:bidi w:val="0"/>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55" w:type="pct"/>
            <w:noWrap w:val="0"/>
            <w:vAlign w:val="center"/>
          </w:tcPr>
          <w:p w14:paraId="18BF16BF">
            <w:pPr>
              <w:widowControl/>
              <w:snapToGrid w:val="0"/>
              <w:spacing w:line="336" w:lineRule="auto"/>
              <w:jc w:val="center"/>
              <w:rPr>
                <w:rFonts w:hint="eastAsia" w:ascii="宋体" w:hAnsi="宋体"/>
                <w:color w:val="auto"/>
                <w:szCs w:val="21"/>
                <w:highlight w:val="none"/>
                <w:lang w:eastAsia="zh-CN"/>
              </w:rPr>
            </w:pPr>
            <w:r>
              <w:rPr>
                <w:rFonts w:hint="eastAsia" w:ascii="宋体" w:hAnsi="宋体"/>
                <w:color w:val="auto"/>
                <w:szCs w:val="21"/>
                <w:highlight w:val="none"/>
                <w:lang w:eastAsia="zh-CN"/>
              </w:rPr>
              <w:t>营养健康食堂建设提升项目</w:t>
            </w:r>
          </w:p>
          <w:p w14:paraId="6DF0CEB6">
            <w:pPr>
              <w:widowControl/>
              <w:snapToGrid w:val="0"/>
              <w:spacing w:line="336" w:lineRule="auto"/>
              <w:jc w:val="center"/>
              <w:rPr>
                <w:rFonts w:hint="eastAsia" w:ascii="宋体" w:hAnsi="宋体" w:eastAsia="宋体" w:cs="宋体"/>
                <w:color w:val="auto"/>
                <w:szCs w:val="21"/>
                <w:highlight w:val="none"/>
                <w:lang w:eastAsia="zh-CN"/>
              </w:rPr>
            </w:pPr>
          </w:p>
        </w:tc>
        <w:tc>
          <w:tcPr>
            <w:tcW w:w="250" w:type="pct"/>
            <w:gridSpan w:val="2"/>
            <w:noWrap w:val="0"/>
            <w:vAlign w:val="center"/>
          </w:tcPr>
          <w:p w14:paraId="0F38DA25">
            <w:pPr>
              <w:keepNext w:val="0"/>
              <w:keepLines w:val="0"/>
              <w:pageBreakBefore w:val="0"/>
              <w:tabs>
                <w:tab w:val="left" w:pos="180"/>
                <w:tab w:val="left" w:pos="1620"/>
              </w:tabs>
              <w:kinsoku/>
              <w:wordWrap/>
              <w:overflowPunct/>
              <w:topLinePunct w:val="0"/>
              <w:bidi w:val="0"/>
              <w:spacing w:line="360" w:lineRule="auto"/>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1项</w:t>
            </w:r>
          </w:p>
        </w:tc>
        <w:tc>
          <w:tcPr>
            <w:tcW w:w="641" w:type="pct"/>
            <w:noWrap w:val="0"/>
            <w:vAlign w:val="center"/>
          </w:tcPr>
          <w:p w14:paraId="79574B12">
            <w:pPr>
              <w:keepNext w:val="0"/>
              <w:keepLines w:val="0"/>
              <w:pageBreakBefore w:val="0"/>
              <w:tabs>
                <w:tab w:val="left" w:pos="180"/>
                <w:tab w:val="left" w:pos="1620"/>
              </w:tabs>
              <w:kinsoku/>
              <w:wordWrap/>
              <w:overflowPunct/>
              <w:topLinePunct w:val="0"/>
              <w:bidi w:val="0"/>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餐饮业</w:t>
            </w:r>
          </w:p>
        </w:tc>
        <w:tc>
          <w:tcPr>
            <w:tcW w:w="3617" w:type="pct"/>
            <w:noWrap w:val="0"/>
            <w:vAlign w:val="center"/>
          </w:tcPr>
          <w:p w14:paraId="508203C7">
            <w:pPr>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一、项目概况</w:t>
            </w:r>
          </w:p>
          <w:p w14:paraId="73481398">
            <w:pPr>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项目名称：</w:t>
            </w:r>
            <w:r>
              <w:rPr>
                <w:rFonts w:hint="eastAsia" w:ascii="宋体" w:hAnsi="宋体" w:cs="宋体"/>
                <w:color w:val="auto"/>
                <w:sz w:val="21"/>
                <w:szCs w:val="21"/>
                <w:highlight w:val="none"/>
                <w:lang w:eastAsia="zh-CN"/>
              </w:rPr>
              <w:t>营养健康食堂建设提升项目</w:t>
            </w:r>
            <w:r>
              <w:rPr>
                <w:rFonts w:hint="eastAsia" w:ascii="宋体" w:hAnsi="宋体" w:eastAsia="宋体" w:cs="宋体"/>
                <w:color w:val="auto"/>
                <w:sz w:val="21"/>
                <w:szCs w:val="21"/>
                <w:highlight w:val="none"/>
                <w:lang w:eastAsia="zh-CN"/>
              </w:rPr>
              <w:t>。</w:t>
            </w:r>
          </w:p>
          <w:p w14:paraId="691DCD57">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服务地点：</w:t>
            </w:r>
          </w:p>
          <w:p w14:paraId="3BB42090">
            <w:pPr>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总园：南宁市青秀区双拥路14号</w:t>
            </w:r>
            <w:r>
              <w:rPr>
                <w:rFonts w:hint="eastAsia" w:ascii="宋体" w:hAnsi="宋体" w:eastAsia="宋体" w:cs="宋体"/>
                <w:color w:val="auto"/>
                <w:sz w:val="21"/>
                <w:szCs w:val="21"/>
                <w:highlight w:val="none"/>
                <w:lang w:val="en-US" w:eastAsia="zh-CN"/>
              </w:rPr>
              <w:t>；</w:t>
            </w:r>
          </w:p>
          <w:p w14:paraId="77F1FF0D">
            <w:pPr>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凌铁分园：南宁市青秀区凌铁村105-1号</w:t>
            </w:r>
            <w:r>
              <w:rPr>
                <w:rFonts w:hint="eastAsia" w:ascii="宋体" w:hAnsi="宋体" w:eastAsia="宋体" w:cs="宋体"/>
                <w:color w:val="auto"/>
                <w:sz w:val="21"/>
                <w:szCs w:val="21"/>
                <w:highlight w:val="none"/>
                <w:lang w:val="en-US" w:eastAsia="zh-CN"/>
              </w:rPr>
              <w:t>；</w:t>
            </w:r>
          </w:p>
          <w:p w14:paraId="1292A078">
            <w:pPr>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卫职分园：南宁市兴宁区昆仑大道8号</w:t>
            </w:r>
            <w:r>
              <w:rPr>
                <w:rFonts w:hint="eastAsia" w:ascii="宋体" w:hAnsi="宋体" w:eastAsia="宋体" w:cs="宋体"/>
                <w:color w:val="auto"/>
                <w:sz w:val="21"/>
                <w:szCs w:val="21"/>
                <w:highlight w:val="none"/>
                <w:lang w:eastAsia="zh-CN"/>
              </w:rPr>
              <w:t>。</w:t>
            </w:r>
          </w:p>
          <w:p w14:paraId="57FB00D8">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服务规模：</w:t>
            </w:r>
          </w:p>
          <w:p w14:paraId="0F150ABF">
            <w:pPr>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总园：13个教学班，婴幼儿约292人，职工约73人</w:t>
            </w:r>
            <w:r>
              <w:rPr>
                <w:rFonts w:hint="eastAsia" w:ascii="宋体" w:hAnsi="宋体" w:eastAsia="宋体" w:cs="宋体"/>
                <w:color w:val="auto"/>
                <w:sz w:val="21"/>
                <w:szCs w:val="21"/>
                <w:highlight w:val="none"/>
                <w:lang w:eastAsia="zh-CN"/>
              </w:rPr>
              <w:t>；</w:t>
            </w:r>
          </w:p>
          <w:p w14:paraId="599CDFC8">
            <w:pPr>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凌铁分园：6个教学班，婴幼儿约97人，职工约34人</w:t>
            </w:r>
            <w:r>
              <w:rPr>
                <w:rFonts w:hint="eastAsia" w:ascii="宋体" w:hAnsi="宋体" w:eastAsia="宋体" w:cs="宋体"/>
                <w:color w:val="auto"/>
                <w:sz w:val="21"/>
                <w:szCs w:val="21"/>
                <w:highlight w:val="none"/>
                <w:lang w:eastAsia="zh-CN"/>
              </w:rPr>
              <w:t>；</w:t>
            </w:r>
          </w:p>
          <w:p w14:paraId="3ECEFD68">
            <w:pPr>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卫职分园：1个教学班，婴幼儿约12人，职工约9人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（以上人数浮动范围约±10%，寒暑假留园班人数另行通知）</w:t>
            </w:r>
            <w:r>
              <w:rPr>
                <w:rFonts w:hint="eastAsia" w:ascii="宋体" w:hAnsi="宋体" w:eastAsia="宋体" w:cs="宋体"/>
                <w:color w:val="auto"/>
                <w:sz w:val="21"/>
                <w:szCs w:val="21"/>
                <w:highlight w:val="none"/>
                <w:lang w:eastAsia="zh-CN"/>
              </w:rPr>
              <w:t>。</w:t>
            </w:r>
          </w:p>
          <w:p w14:paraId="1ED2512E">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服务期限：一年（</w:t>
            </w:r>
            <w:r>
              <w:rPr>
                <w:rFonts w:hint="eastAsia" w:ascii="宋体" w:hAnsi="宋体" w:eastAsia="宋体" w:cs="宋体"/>
                <w:color w:val="auto"/>
                <w:sz w:val="21"/>
                <w:szCs w:val="21"/>
                <w:highlight w:val="none"/>
                <w:lang w:val="en-US" w:eastAsia="zh-CN"/>
              </w:rPr>
              <w:t>从签订合同之日起</w:t>
            </w:r>
            <w:r>
              <w:rPr>
                <w:rFonts w:hint="eastAsia" w:ascii="宋体" w:hAnsi="宋体" w:eastAsia="宋体" w:cs="宋体"/>
                <w:color w:val="auto"/>
                <w:sz w:val="21"/>
                <w:szCs w:val="21"/>
                <w:highlight w:val="none"/>
              </w:rPr>
              <w:t>）。</w:t>
            </w:r>
          </w:p>
          <w:p w14:paraId="189E7687">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报价方式：本项目采用总价包干，包含人员工资、社保、保险、劳保用品、培训、管理、利润、税金等一切费用。</w:t>
            </w:r>
          </w:p>
          <w:p w14:paraId="2B97DE5E">
            <w:pPr>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二、采购依据</w:t>
            </w:r>
          </w:p>
          <w:p w14:paraId="709D9128">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《中华人民共和国政府采购法》《中华人民共和国食品安全法》《学校食品安全与营养健康管理规定》《餐饮服务食品安全操作规范》《广西壮族自治区学校食堂食品安全管理规范》等法律法规。</w:t>
            </w:r>
          </w:p>
          <w:p w14:paraId="28CB2898">
            <w:pPr>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三、服务内容及要求</w:t>
            </w:r>
          </w:p>
          <w:p w14:paraId="2EFE597F">
            <w:pPr>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（一）总体服务要求</w:t>
            </w:r>
          </w:p>
          <w:p w14:paraId="7A7BB515">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负责为采购人婴幼儿及职工提供全年的餐食服务（含工作日及寒暑假留园班），包括但不限于：食品烹饪、分餐、配送、餐后回收、餐具清洗消毒、厨房及餐厅环境卫生、食品安全管理、配合各类检查、完成临时用餐任务等。</w:t>
            </w:r>
          </w:p>
          <w:p w14:paraId="584BC1B9">
            <w:pPr>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（二）婴幼儿供餐服务（工作日及寒暑假留园班）</w:t>
            </w:r>
          </w:p>
          <w:p w14:paraId="516B0174">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日常餐次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早餐、早点/水果、午餐、营养水、营养餐（下午）。具体时间如下：</w:t>
            </w:r>
          </w:p>
          <w:tbl>
            <w:tblPr>
              <w:tblStyle w:val="3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048"/>
              <w:gridCol w:w="1340"/>
              <w:gridCol w:w="1156"/>
              <w:gridCol w:w="1156"/>
              <w:gridCol w:w="788"/>
            </w:tblGrid>
            <w:tr w14:paraId="3AC06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jc w:val="center"/>
              </w:trPr>
              <w:tc>
                <w:tcPr>
                  <w:tcW w:w="1578" w:type="pct"/>
                  <w:noWrap w:val="0"/>
                  <w:tcMar>
                    <w:top w:w="150" w:type="dxa"/>
                    <w:left w:w="0" w:type="dxa"/>
                    <w:bottom w:w="150" w:type="dxa"/>
                    <w:right w:w="240" w:type="dxa"/>
                  </w:tcMar>
                  <w:vAlign w:val="center"/>
                </w:tcPr>
                <w:p w14:paraId="39C109B9">
                  <w:pPr>
                    <w:ind w:firstLine="420" w:firstLineChars="2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时间</w:t>
                  </w:r>
                </w:p>
              </w:tc>
              <w:tc>
                <w:tcPr>
                  <w:tcW w:w="1032" w:type="pct"/>
                  <w:noWrap w:val="0"/>
                  <w:tcMar>
                    <w:top w:w="150" w:type="dxa"/>
                    <w:left w:w="240" w:type="dxa"/>
                    <w:bottom w:w="150" w:type="dxa"/>
                    <w:right w:w="240" w:type="dxa"/>
                  </w:tcMar>
                  <w:vAlign w:val="center"/>
                </w:tcPr>
                <w:p w14:paraId="2D89A22F">
                  <w:pPr>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餐次</w:t>
                  </w:r>
                </w:p>
              </w:tc>
              <w:tc>
                <w:tcPr>
                  <w:tcW w:w="890" w:type="pct"/>
                  <w:noWrap w:val="0"/>
                  <w:tcMar>
                    <w:top w:w="150" w:type="dxa"/>
                    <w:left w:w="240" w:type="dxa"/>
                    <w:bottom w:w="150" w:type="dxa"/>
                    <w:right w:w="240" w:type="dxa"/>
                  </w:tcMar>
                  <w:vAlign w:val="center"/>
                </w:tcPr>
                <w:p w14:paraId="08CE48E6">
                  <w:pPr>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送餐时间</w:t>
                  </w:r>
                </w:p>
              </w:tc>
              <w:tc>
                <w:tcPr>
                  <w:tcW w:w="890" w:type="pct"/>
                  <w:noWrap w:val="0"/>
                  <w:tcMar>
                    <w:top w:w="150" w:type="dxa"/>
                    <w:left w:w="240" w:type="dxa"/>
                    <w:bottom w:w="150" w:type="dxa"/>
                    <w:right w:w="240" w:type="dxa"/>
                  </w:tcMar>
                  <w:vAlign w:val="center"/>
                </w:tcPr>
                <w:p w14:paraId="3178B60C">
                  <w:pPr>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收餐时间</w:t>
                  </w:r>
                </w:p>
              </w:tc>
              <w:tc>
                <w:tcPr>
                  <w:tcW w:w="607" w:type="pct"/>
                  <w:noWrap w:val="0"/>
                  <w:tcMar>
                    <w:top w:w="150" w:type="dxa"/>
                    <w:left w:w="240" w:type="dxa"/>
                    <w:bottom w:w="150" w:type="dxa"/>
                    <w:right w:w="240" w:type="dxa"/>
                  </w:tcMar>
                  <w:vAlign w:val="center"/>
                </w:tcPr>
                <w:p w14:paraId="330FA6C7">
                  <w:pPr>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备注</w:t>
                  </w:r>
                </w:p>
              </w:tc>
            </w:tr>
            <w:tr w14:paraId="74A28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578" w:type="pct"/>
                  <w:noWrap w:val="0"/>
                  <w:tcMar>
                    <w:top w:w="150" w:type="dxa"/>
                    <w:left w:w="0" w:type="dxa"/>
                    <w:bottom w:w="150" w:type="dxa"/>
                    <w:right w:w="240" w:type="dxa"/>
                  </w:tcMar>
                  <w:vAlign w:val="center"/>
                </w:tcPr>
                <w:p w14:paraId="319CE687">
                  <w:pPr>
                    <w:ind w:firstLine="420" w:firstLineChars="2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周一至周五</w:t>
                  </w:r>
                </w:p>
              </w:tc>
              <w:tc>
                <w:tcPr>
                  <w:tcW w:w="1032" w:type="pct"/>
                  <w:noWrap w:val="0"/>
                  <w:tcMar>
                    <w:top w:w="150" w:type="dxa"/>
                    <w:left w:w="240" w:type="dxa"/>
                    <w:bottom w:w="150" w:type="dxa"/>
                    <w:right w:w="240" w:type="dxa"/>
                  </w:tcMar>
                  <w:vAlign w:val="center"/>
                </w:tcPr>
                <w:p w14:paraId="082AF484">
                  <w:pPr>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早餐</w:t>
                  </w:r>
                </w:p>
              </w:tc>
              <w:tc>
                <w:tcPr>
                  <w:tcW w:w="890" w:type="pct"/>
                  <w:noWrap w:val="0"/>
                  <w:tcMar>
                    <w:top w:w="150" w:type="dxa"/>
                    <w:left w:w="240" w:type="dxa"/>
                    <w:bottom w:w="150" w:type="dxa"/>
                    <w:right w:w="240" w:type="dxa"/>
                  </w:tcMar>
                  <w:vAlign w:val="center"/>
                </w:tcPr>
                <w:p w14:paraId="5A17D2E9">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8:00</w:t>
                  </w:r>
                </w:p>
              </w:tc>
              <w:tc>
                <w:tcPr>
                  <w:tcW w:w="890" w:type="pct"/>
                  <w:noWrap w:val="0"/>
                  <w:tcMar>
                    <w:top w:w="150" w:type="dxa"/>
                    <w:left w:w="240" w:type="dxa"/>
                    <w:bottom w:w="150" w:type="dxa"/>
                    <w:right w:w="240" w:type="dxa"/>
                  </w:tcMar>
                  <w:vAlign w:val="center"/>
                </w:tcPr>
                <w:p w14:paraId="68941171">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8:30</w:t>
                  </w:r>
                </w:p>
              </w:tc>
              <w:tc>
                <w:tcPr>
                  <w:tcW w:w="607" w:type="pct"/>
                  <w:noWrap w:val="0"/>
                  <w:tcMar>
                    <w:top w:w="150" w:type="dxa"/>
                    <w:left w:w="240" w:type="dxa"/>
                    <w:bottom w:w="150" w:type="dxa"/>
                    <w:right w:w="0" w:type="dxa"/>
                  </w:tcMar>
                  <w:vAlign w:val="center"/>
                </w:tcPr>
                <w:p w14:paraId="553BBDF6">
                  <w:pPr>
                    <w:ind w:firstLine="420" w:firstLineChars="200"/>
                    <w:jc w:val="center"/>
                    <w:rPr>
                      <w:rFonts w:hint="eastAsia" w:ascii="宋体" w:hAnsi="宋体" w:eastAsia="宋体" w:cs="宋体"/>
                      <w:color w:val="auto"/>
                      <w:sz w:val="21"/>
                      <w:szCs w:val="21"/>
                      <w:highlight w:val="none"/>
                    </w:rPr>
                  </w:pPr>
                </w:p>
              </w:tc>
            </w:tr>
            <w:tr w14:paraId="3AFC9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578" w:type="pct"/>
                  <w:noWrap w:val="0"/>
                  <w:tcMar>
                    <w:top w:w="150" w:type="dxa"/>
                    <w:left w:w="0" w:type="dxa"/>
                    <w:bottom w:w="150" w:type="dxa"/>
                    <w:right w:w="240" w:type="dxa"/>
                  </w:tcMar>
                  <w:vAlign w:val="center"/>
                </w:tcPr>
                <w:p w14:paraId="5B0AF240">
                  <w:pPr>
                    <w:ind w:firstLine="420" w:firstLineChars="200"/>
                    <w:jc w:val="center"/>
                    <w:rPr>
                      <w:rFonts w:hint="eastAsia" w:ascii="宋体" w:hAnsi="宋体" w:eastAsia="宋体" w:cs="宋体"/>
                      <w:color w:val="auto"/>
                      <w:sz w:val="21"/>
                      <w:szCs w:val="21"/>
                      <w:highlight w:val="none"/>
                    </w:rPr>
                  </w:pPr>
                </w:p>
              </w:tc>
              <w:tc>
                <w:tcPr>
                  <w:tcW w:w="1032" w:type="pct"/>
                  <w:noWrap w:val="0"/>
                  <w:tcMar>
                    <w:top w:w="150" w:type="dxa"/>
                    <w:left w:w="240" w:type="dxa"/>
                    <w:bottom w:w="150" w:type="dxa"/>
                    <w:right w:w="240" w:type="dxa"/>
                  </w:tcMar>
                  <w:vAlign w:val="center"/>
                </w:tcPr>
                <w:p w14:paraId="21833046">
                  <w:pPr>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早点、水果</w:t>
                  </w:r>
                </w:p>
              </w:tc>
              <w:tc>
                <w:tcPr>
                  <w:tcW w:w="890" w:type="pct"/>
                  <w:noWrap w:val="0"/>
                  <w:tcMar>
                    <w:top w:w="150" w:type="dxa"/>
                    <w:left w:w="240" w:type="dxa"/>
                    <w:bottom w:w="150" w:type="dxa"/>
                    <w:right w:w="240" w:type="dxa"/>
                  </w:tcMar>
                  <w:vAlign w:val="center"/>
                </w:tcPr>
                <w:p w14:paraId="586C8F3A">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9:00</w:t>
                  </w:r>
                </w:p>
              </w:tc>
              <w:tc>
                <w:tcPr>
                  <w:tcW w:w="890" w:type="pct"/>
                  <w:noWrap w:val="0"/>
                  <w:tcMar>
                    <w:top w:w="150" w:type="dxa"/>
                    <w:left w:w="240" w:type="dxa"/>
                    <w:bottom w:w="150" w:type="dxa"/>
                    <w:right w:w="240" w:type="dxa"/>
                  </w:tcMar>
                  <w:vAlign w:val="center"/>
                </w:tcPr>
                <w:p w14:paraId="4A16A5C8">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607" w:type="pct"/>
                  <w:noWrap w:val="0"/>
                  <w:tcMar>
                    <w:top w:w="150" w:type="dxa"/>
                    <w:left w:w="240" w:type="dxa"/>
                    <w:bottom w:w="150" w:type="dxa"/>
                    <w:right w:w="0" w:type="dxa"/>
                  </w:tcMar>
                  <w:vAlign w:val="center"/>
                </w:tcPr>
                <w:p w14:paraId="6FA51C87">
                  <w:pPr>
                    <w:ind w:firstLine="420" w:firstLineChars="200"/>
                    <w:jc w:val="center"/>
                    <w:rPr>
                      <w:rFonts w:hint="eastAsia" w:ascii="宋体" w:hAnsi="宋体" w:eastAsia="宋体" w:cs="宋体"/>
                      <w:color w:val="auto"/>
                      <w:sz w:val="21"/>
                      <w:szCs w:val="21"/>
                      <w:highlight w:val="none"/>
                    </w:rPr>
                  </w:pPr>
                </w:p>
              </w:tc>
            </w:tr>
            <w:tr w14:paraId="7CB27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578" w:type="pct"/>
                  <w:noWrap w:val="0"/>
                  <w:tcMar>
                    <w:top w:w="150" w:type="dxa"/>
                    <w:left w:w="0" w:type="dxa"/>
                    <w:bottom w:w="150" w:type="dxa"/>
                    <w:right w:w="240" w:type="dxa"/>
                  </w:tcMar>
                  <w:vAlign w:val="center"/>
                </w:tcPr>
                <w:p w14:paraId="676E92BE">
                  <w:pPr>
                    <w:ind w:firstLine="420" w:firstLineChars="200"/>
                    <w:jc w:val="center"/>
                    <w:rPr>
                      <w:rFonts w:hint="eastAsia" w:ascii="宋体" w:hAnsi="宋体" w:eastAsia="宋体" w:cs="宋体"/>
                      <w:color w:val="auto"/>
                      <w:sz w:val="21"/>
                      <w:szCs w:val="21"/>
                      <w:highlight w:val="none"/>
                    </w:rPr>
                  </w:pPr>
                </w:p>
              </w:tc>
              <w:tc>
                <w:tcPr>
                  <w:tcW w:w="1032" w:type="pct"/>
                  <w:noWrap w:val="0"/>
                  <w:tcMar>
                    <w:top w:w="150" w:type="dxa"/>
                    <w:left w:w="240" w:type="dxa"/>
                    <w:bottom w:w="150" w:type="dxa"/>
                    <w:right w:w="240" w:type="dxa"/>
                  </w:tcMar>
                  <w:vAlign w:val="center"/>
                </w:tcPr>
                <w:p w14:paraId="169F100F">
                  <w:pPr>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午餐</w:t>
                  </w:r>
                </w:p>
              </w:tc>
              <w:tc>
                <w:tcPr>
                  <w:tcW w:w="890" w:type="pct"/>
                  <w:noWrap w:val="0"/>
                  <w:tcMar>
                    <w:top w:w="150" w:type="dxa"/>
                    <w:left w:w="240" w:type="dxa"/>
                    <w:bottom w:w="150" w:type="dxa"/>
                    <w:right w:w="240" w:type="dxa"/>
                  </w:tcMar>
                  <w:vAlign w:val="center"/>
                </w:tcPr>
                <w:p w14:paraId="5EBC6C3A">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11:10</w:t>
                  </w:r>
                </w:p>
              </w:tc>
              <w:tc>
                <w:tcPr>
                  <w:tcW w:w="890" w:type="pct"/>
                  <w:noWrap w:val="0"/>
                  <w:tcMar>
                    <w:top w:w="150" w:type="dxa"/>
                    <w:left w:w="240" w:type="dxa"/>
                    <w:bottom w:w="150" w:type="dxa"/>
                    <w:right w:w="240" w:type="dxa"/>
                  </w:tcMar>
                  <w:vAlign w:val="center"/>
                </w:tcPr>
                <w:p w14:paraId="552DB431">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12:30</w:t>
                  </w:r>
                </w:p>
              </w:tc>
              <w:tc>
                <w:tcPr>
                  <w:tcW w:w="607" w:type="pct"/>
                  <w:noWrap w:val="0"/>
                  <w:tcMar>
                    <w:top w:w="150" w:type="dxa"/>
                    <w:left w:w="240" w:type="dxa"/>
                    <w:bottom w:w="150" w:type="dxa"/>
                    <w:right w:w="0" w:type="dxa"/>
                  </w:tcMar>
                  <w:vAlign w:val="center"/>
                </w:tcPr>
                <w:p w14:paraId="05EB123D">
                  <w:pPr>
                    <w:ind w:firstLine="420" w:firstLineChars="200"/>
                    <w:jc w:val="center"/>
                    <w:rPr>
                      <w:rFonts w:hint="eastAsia" w:ascii="宋体" w:hAnsi="宋体" w:eastAsia="宋体" w:cs="宋体"/>
                      <w:color w:val="auto"/>
                      <w:sz w:val="21"/>
                      <w:szCs w:val="21"/>
                      <w:highlight w:val="none"/>
                    </w:rPr>
                  </w:pPr>
                </w:p>
              </w:tc>
            </w:tr>
            <w:tr w14:paraId="3C021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578" w:type="pct"/>
                  <w:noWrap w:val="0"/>
                  <w:tcMar>
                    <w:top w:w="150" w:type="dxa"/>
                    <w:left w:w="0" w:type="dxa"/>
                    <w:bottom w:w="150" w:type="dxa"/>
                    <w:right w:w="240" w:type="dxa"/>
                  </w:tcMar>
                  <w:vAlign w:val="center"/>
                </w:tcPr>
                <w:p w14:paraId="2E27E5A8">
                  <w:pPr>
                    <w:ind w:firstLine="420" w:firstLineChars="200"/>
                    <w:jc w:val="center"/>
                    <w:rPr>
                      <w:rFonts w:hint="eastAsia" w:ascii="宋体" w:hAnsi="宋体" w:eastAsia="宋体" w:cs="宋体"/>
                      <w:color w:val="auto"/>
                      <w:sz w:val="21"/>
                      <w:szCs w:val="21"/>
                      <w:highlight w:val="none"/>
                    </w:rPr>
                  </w:pPr>
                </w:p>
              </w:tc>
              <w:tc>
                <w:tcPr>
                  <w:tcW w:w="1032" w:type="pct"/>
                  <w:noWrap w:val="0"/>
                  <w:tcMar>
                    <w:top w:w="150" w:type="dxa"/>
                    <w:left w:w="240" w:type="dxa"/>
                    <w:bottom w:w="150" w:type="dxa"/>
                    <w:right w:w="240" w:type="dxa"/>
                  </w:tcMar>
                  <w:vAlign w:val="center"/>
                </w:tcPr>
                <w:p w14:paraId="00E5E695">
                  <w:pPr>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营养水</w:t>
                  </w:r>
                </w:p>
              </w:tc>
              <w:tc>
                <w:tcPr>
                  <w:tcW w:w="890" w:type="pct"/>
                  <w:noWrap w:val="0"/>
                  <w:tcMar>
                    <w:top w:w="150" w:type="dxa"/>
                    <w:left w:w="240" w:type="dxa"/>
                    <w:bottom w:w="150" w:type="dxa"/>
                    <w:right w:w="240" w:type="dxa"/>
                  </w:tcMar>
                  <w:vAlign w:val="center"/>
                </w:tcPr>
                <w:p w14:paraId="40C0C9CA">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14:50</w:t>
                  </w:r>
                </w:p>
              </w:tc>
              <w:tc>
                <w:tcPr>
                  <w:tcW w:w="890" w:type="pct"/>
                  <w:noWrap w:val="0"/>
                  <w:tcMar>
                    <w:top w:w="150" w:type="dxa"/>
                    <w:left w:w="240" w:type="dxa"/>
                    <w:bottom w:w="150" w:type="dxa"/>
                    <w:right w:w="240" w:type="dxa"/>
                  </w:tcMar>
                  <w:vAlign w:val="center"/>
                </w:tcPr>
                <w:p w14:paraId="78B8521A">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607" w:type="pct"/>
                  <w:noWrap w:val="0"/>
                  <w:tcMar>
                    <w:top w:w="150" w:type="dxa"/>
                    <w:left w:w="240" w:type="dxa"/>
                    <w:bottom w:w="150" w:type="dxa"/>
                    <w:right w:w="0" w:type="dxa"/>
                  </w:tcMar>
                  <w:vAlign w:val="center"/>
                </w:tcPr>
                <w:p w14:paraId="5BAC7A85">
                  <w:pPr>
                    <w:ind w:firstLine="420" w:firstLineChars="200"/>
                    <w:jc w:val="center"/>
                    <w:rPr>
                      <w:rFonts w:hint="eastAsia" w:ascii="宋体" w:hAnsi="宋体" w:eastAsia="宋体" w:cs="宋体"/>
                      <w:color w:val="auto"/>
                      <w:sz w:val="21"/>
                      <w:szCs w:val="21"/>
                      <w:highlight w:val="none"/>
                    </w:rPr>
                  </w:pPr>
                </w:p>
              </w:tc>
            </w:tr>
            <w:tr w14:paraId="53B80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578" w:type="pct"/>
                  <w:noWrap w:val="0"/>
                  <w:tcMar>
                    <w:top w:w="150" w:type="dxa"/>
                    <w:left w:w="0" w:type="dxa"/>
                    <w:bottom w:w="150" w:type="dxa"/>
                    <w:right w:w="240" w:type="dxa"/>
                  </w:tcMar>
                  <w:vAlign w:val="center"/>
                </w:tcPr>
                <w:p w14:paraId="5E4145A2">
                  <w:pPr>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周一、二、四、五</w:t>
                  </w:r>
                </w:p>
              </w:tc>
              <w:tc>
                <w:tcPr>
                  <w:tcW w:w="1032" w:type="pct"/>
                  <w:noWrap w:val="0"/>
                  <w:tcMar>
                    <w:top w:w="150" w:type="dxa"/>
                    <w:left w:w="240" w:type="dxa"/>
                    <w:bottom w:w="150" w:type="dxa"/>
                    <w:right w:w="240" w:type="dxa"/>
                  </w:tcMar>
                  <w:vAlign w:val="center"/>
                </w:tcPr>
                <w:p w14:paraId="10BFE9A6">
                  <w:pPr>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营养餐</w:t>
                  </w:r>
                </w:p>
              </w:tc>
              <w:tc>
                <w:tcPr>
                  <w:tcW w:w="890" w:type="pct"/>
                  <w:noWrap w:val="0"/>
                  <w:tcMar>
                    <w:top w:w="150" w:type="dxa"/>
                    <w:left w:w="240" w:type="dxa"/>
                    <w:bottom w:w="150" w:type="dxa"/>
                    <w:right w:w="240" w:type="dxa"/>
                  </w:tcMar>
                  <w:vAlign w:val="center"/>
                </w:tcPr>
                <w:p w14:paraId="59F8BB08">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16:00</w:t>
                  </w:r>
                </w:p>
              </w:tc>
              <w:tc>
                <w:tcPr>
                  <w:tcW w:w="890" w:type="pct"/>
                  <w:noWrap w:val="0"/>
                  <w:tcMar>
                    <w:top w:w="150" w:type="dxa"/>
                    <w:left w:w="240" w:type="dxa"/>
                    <w:bottom w:w="150" w:type="dxa"/>
                    <w:right w:w="240" w:type="dxa"/>
                  </w:tcMar>
                  <w:vAlign w:val="center"/>
                </w:tcPr>
                <w:p w14:paraId="785C32B4">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16:50</w:t>
                  </w:r>
                </w:p>
              </w:tc>
              <w:tc>
                <w:tcPr>
                  <w:tcW w:w="607" w:type="pct"/>
                  <w:noWrap w:val="0"/>
                  <w:tcMar>
                    <w:top w:w="150" w:type="dxa"/>
                    <w:left w:w="240" w:type="dxa"/>
                    <w:bottom w:w="150" w:type="dxa"/>
                    <w:right w:w="0" w:type="dxa"/>
                  </w:tcMar>
                  <w:vAlign w:val="center"/>
                </w:tcPr>
                <w:p w14:paraId="5FB7023D">
                  <w:pPr>
                    <w:ind w:firstLine="420" w:firstLineChars="200"/>
                    <w:jc w:val="center"/>
                    <w:rPr>
                      <w:rFonts w:hint="eastAsia" w:ascii="宋体" w:hAnsi="宋体" w:eastAsia="宋体" w:cs="宋体"/>
                      <w:color w:val="auto"/>
                      <w:sz w:val="21"/>
                      <w:szCs w:val="21"/>
                      <w:highlight w:val="none"/>
                    </w:rPr>
                  </w:pPr>
                </w:p>
              </w:tc>
            </w:tr>
            <w:tr w14:paraId="63A00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578" w:type="pct"/>
                  <w:noWrap w:val="0"/>
                  <w:tcMar>
                    <w:top w:w="150" w:type="dxa"/>
                    <w:left w:w="0" w:type="dxa"/>
                    <w:bottom w:w="150" w:type="dxa"/>
                    <w:right w:w="240" w:type="dxa"/>
                  </w:tcMar>
                  <w:vAlign w:val="center"/>
                </w:tcPr>
                <w:p w14:paraId="5D8AF3CB">
                  <w:pPr>
                    <w:ind w:firstLine="420" w:firstLineChars="2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周三</w:t>
                  </w:r>
                </w:p>
              </w:tc>
              <w:tc>
                <w:tcPr>
                  <w:tcW w:w="1032" w:type="pct"/>
                  <w:noWrap w:val="0"/>
                  <w:tcMar>
                    <w:top w:w="150" w:type="dxa"/>
                    <w:left w:w="240" w:type="dxa"/>
                    <w:bottom w:w="150" w:type="dxa"/>
                    <w:right w:w="240" w:type="dxa"/>
                  </w:tcMar>
                  <w:vAlign w:val="center"/>
                </w:tcPr>
                <w:p w14:paraId="0AC83F8E">
                  <w:pPr>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营养餐</w:t>
                  </w:r>
                </w:p>
              </w:tc>
              <w:tc>
                <w:tcPr>
                  <w:tcW w:w="890" w:type="pct"/>
                  <w:noWrap w:val="0"/>
                  <w:tcMar>
                    <w:top w:w="150" w:type="dxa"/>
                    <w:left w:w="240" w:type="dxa"/>
                    <w:bottom w:w="150" w:type="dxa"/>
                    <w:right w:w="240" w:type="dxa"/>
                  </w:tcMar>
                  <w:vAlign w:val="center"/>
                </w:tcPr>
                <w:p w14:paraId="0F7345D8">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15:30</w:t>
                  </w:r>
                </w:p>
              </w:tc>
              <w:tc>
                <w:tcPr>
                  <w:tcW w:w="890" w:type="pct"/>
                  <w:noWrap w:val="0"/>
                  <w:tcMar>
                    <w:top w:w="150" w:type="dxa"/>
                    <w:left w:w="240" w:type="dxa"/>
                    <w:bottom w:w="150" w:type="dxa"/>
                    <w:right w:w="240" w:type="dxa"/>
                  </w:tcMar>
                  <w:vAlign w:val="center"/>
                </w:tcPr>
                <w:p w14:paraId="59B22DB7">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16:20</w:t>
                  </w:r>
                </w:p>
              </w:tc>
              <w:tc>
                <w:tcPr>
                  <w:tcW w:w="607" w:type="pct"/>
                  <w:noWrap w:val="0"/>
                  <w:tcMar>
                    <w:top w:w="150" w:type="dxa"/>
                    <w:left w:w="240" w:type="dxa"/>
                    <w:bottom w:w="150" w:type="dxa"/>
                    <w:right w:w="0" w:type="dxa"/>
                  </w:tcMar>
                  <w:vAlign w:val="center"/>
                </w:tcPr>
                <w:p w14:paraId="72740733">
                  <w:pPr>
                    <w:ind w:firstLine="420" w:firstLineChars="200"/>
                    <w:jc w:val="center"/>
                    <w:rPr>
                      <w:rFonts w:hint="eastAsia" w:ascii="宋体" w:hAnsi="宋体" w:eastAsia="宋体" w:cs="宋体"/>
                      <w:color w:val="auto"/>
                      <w:sz w:val="21"/>
                      <w:szCs w:val="21"/>
                      <w:highlight w:val="none"/>
                    </w:rPr>
                  </w:pPr>
                </w:p>
              </w:tc>
            </w:tr>
          </w:tbl>
          <w:p w14:paraId="2A0ABBCE">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w:t>
            </w:r>
            <w:r>
              <w:rPr>
                <w:rFonts w:hint="eastAsia" w:ascii="宋体" w:hAnsi="宋体" w:eastAsia="宋体" w:cs="Times New Roman"/>
                <w:color w:val="auto"/>
                <w:sz w:val="21"/>
                <w:szCs w:val="21"/>
                <w:highlight w:val="none"/>
                <w:lang w:val="en-US" w:eastAsia="zh-CN"/>
              </w:rPr>
              <w:t>采购</w:t>
            </w:r>
            <w:r>
              <w:rPr>
                <w:rFonts w:hint="eastAsia" w:ascii="宋体" w:hAnsi="宋体" w:eastAsia="宋体" w:cs="Times New Roman"/>
                <w:color w:val="auto"/>
                <w:szCs w:val="21"/>
                <w:highlight w:val="none"/>
                <w:lang w:val="en-US" w:eastAsia="zh-CN"/>
              </w:rPr>
              <w:t>人</w:t>
            </w:r>
            <w:r>
              <w:rPr>
                <w:rFonts w:hint="eastAsia" w:ascii="宋体" w:hAnsi="宋体" w:eastAsia="宋体" w:cs="宋体"/>
                <w:color w:val="auto"/>
                <w:sz w:val="21"/>
                <w:szCs w:val="21"/>
                <w:highlight w:val="none"/>
                <w:lang w:val="en-US" w:eastAsia="zh-CN"/>
              </w:rPr>
              <w:t>实际要求时间为准。</w:t>
            </w:r>
          </w:p>
          <w:p w14:paraId="67CBA45E">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自助餐：每月至少一次（以采购人当月方案为准）。由主厨与采购人营养师共同确定菜谱，不少于12个菜品，并符合主题装饰要求。</w:t>
            </w:r>
          </w:p>
          <w:p w14:paraId="1A7DC872">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圩日及班级食育活动：</w:t>
            </w:r>
          </w:p>
          <w:p w14:paraId="73955701">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①班级食育活动：单周周二、周四；双周周二、周三、周四（</w:t>
            </w:r>
            <w:r>
              <w:rPr>
                <w:rFonts w:hint="eastAsia" w:ascii="宋体" w:hAnsi="宋体" w:eastAsia="宋体" w:cs="宋体"/>
                <w:color w:val="auto"/>
                <w:sz w:val="21"/>
                <w:szCs w:val="21"/>
                <w:highlight w:val="none"/>
                <w:lang w:val="en-US" w:eastAsia="zh-CN"/>
              </w:rPr>
              <w:t>以教学部门计划为准</w:t>
            </w:r>
            <w:r>
              <w:rPr>
                <w:rFonts w:hint="eastAsia" w:ascii="宋体" w:hAnsi="宋体" w:eastAsia="宋体" w:cs="宋体"/>
                <w:color w:val="auto"/>
                <w:sz w:val="21"/>
                <w:szCs w:val="21"/>
                <w:highlight w:val="none"/>
              </w:rPr>
              <w:t>）。</w:t>
            </w:r>
          </w:p>
          <w:p w14:paraId="75F1AF99">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②悦悦主题圩日：单周周三（每月2次）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实际以教学部门计划为准</w:t>
            </w:r>
            <w:r>
              <w:rPr>
                <w:rFonts w:hint="eastAsia" w:ascii="宋体" w:hAnsi="宋体" w:eastAsia="宋体" w:cs="宋体"/>
                <w:color w:val="auto"/>
                <w:sz w:val="21"/>
                <w:szCs w:val="21"/>
                <w:highlight w:val="none"/>
              </w:rPr>
              <w:t>。</w:t>
            </w:r>
          </w:p>
          <w:p w14:paraId="62AAB460">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供应商需在活动日8:30前将食材按班级计划表分装好配送至各班级。</w:t>
            </w:r>
          </w:p>
          <w:p w14:paraId="0EC05A2F">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特殊儿童餐：</w:t>
            </w:r>
          </w:p>
          <w:p w14:paraId="5B9A1D55">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对有过敏体质或其他特殊需求的幼儿，按保健室提供的菜谱单独烹饪。</w:t>
            </w:r>
          </w:p>
          <w:p w14:paraId="27FBEAB5">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使用专用密闭容器，外贴标签（含班级、幼儿姓名、过敏原信息）。</w:t>
            </w:r>
          </w:p>
          <w:p w14:paraId="28EDB649">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配送员与班级教师当面核对并签字确认《特殊餐交接单》，双方各留存一份备查。</w:t>
            </w:r>
          </w:p>
          <w:p w14:paraId="5E644FD4">
            <w:pPr>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（三）职工供餐服务</w:t>
            </w:r>
          </w:p>
          <w:p w14:paraId="6FED8CEB">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早餐：7:10-8:00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午餐：11:30-13:00</w:t>
            </w:r>
          </w:p>
          <w:p w14:paraId="0C8F83A9">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临时加班用餐：供应商应在接到采购人通知后2小时内完成，按预定菜单供应。</w:t>
            </w:r>
          </w:p>
          <w:p w14:paraId="45701138">
            <w:pPr>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（四）5A食堂管理服务</w:t>
            </w:r>
          </w:p>
          <w:p w14:paraId="5BFC8A69">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供应商须按采购人“5A”食堂管理模式执行，每月组织一次5A管理培训，保留培训记录。相关制度、岗位职责、操作规范须上墙公示。</w:t>
            </w:r>
          </w:p>
          <w:p w14:paraId="6425EAD1">
            <w:pPr>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人员配备要求</w:t>
            </w:r>
          </w:p>
          <w:p w14:paraId="0C76B5A7">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供应商须组建不少于14人的专业厨师团队，具体配置如下（各园区岗位及证书要求）：</w:t>
            </w:r>
          </w:p>
          <w:p w14:paraId="432E4164">
            <w:pPr>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（一）双拥总园（</w:t>
            </w: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人）</w:t>
            </w:r>
          </w:p>
          <w:tbl>
            <w:tblPr>
              <w:tblStyle w:val="3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95"/>
              <w:gridCol w:w="1004"/>
              <w:gridCol w:w="909"/>
              <w:gridCol w:w="1290"/>
              <w:gridCol w:w="1798"/>
              <w:gridCol w:w="792"/>
            </w:tblGrid>
            <w:tr w14:paraId="64929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536" w:type="pct"/>
                  <w:noWrap w:val="0"/>
                  <w:tcMar>
                    <w:top w:w="150" w:type="dxa"/>
                    <w:left w:w="0" w:type="dxa"/>
                    <w:bottom w:w="150" w:type="dxa"/>
                    <w:right w:w="240" w:type="dxa"/>
                  </w:tcMar>
                  <w:vAlign w:val="center"/>
                </w:tcPr>
                <w:p w14:paraId="232C81CE">
                  <w:pPr>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序号</w:t>
                  </w:r>
                </w:p>
              </w:tc>
              <w:tc>
                <w:tcPr>
                  <w:tcW w:w="773" w:type="pct"/>
                  <w:noWrap w:val="0"/>
                  <w:tcMar>
                    <w:top w:w="150" w:type="dxa"/>
                    <w:left w:w="240" w:type="dxa"/>
                    <w:bottom w:w="150" w:type="dxa"/>
                    <w:right w:w="240" w:type="dxa"/>
                  </w:tcMar>
                  <w:vAlign w:val="center"/>
                </w:tcPr>
                <w:p w14:paraId="3E262ED2">
                  <w:pPr>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岗位</w:t>
                  </w:r>
                </w:p>
              </w:tc>
              <w:tc>
                <w:tcPr>
                  <w:tcW w:w="700" w:type="pct"/>
                  <w:noWrap w:val="0"/>
                  <w:tcMar>
                    <w:top w:w="150" w:type="dxa"/>
                    <w:left w:w="240" w:type="dxa"/>
                    <w:bottom w:w="150" w:type="dxa"/>
                    <w:right w:w="240" w:type="dxa"/>
                  </w:tcMar>
                  <w:vAlign w:val="center"/>
                </w:tcPr>
                <w:p w14:paraId="1033FC41">
                  <w:pPr>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人数</w:t>
                  </w:r>
                </w:p>
              </w:tc>
              <w:tc>
                <w:tcPr>
                  <w:tcW w:w="994" w:type="pct"/>
                  <w:noWrap w:val="0"/>
                  <w:tcMar>
                    <w:top w:w="150" w:type="dxa"/>
                    <w:left w:w="240" w:type="dxa"/>
                    <w:bottom w:w="150" w:type="dxa"/>
                    <w:right w:w="240" w:type="dxa"/>
                  </w:tcMar>
                  <w:vAlign w:val="center"/>
                </w:tcPr>
                <w:p w14:paraId="523D892B">
                  <w:pPr>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工作时间</w:t>
                  </w:r>
                </w:p>
              </w:tc>
              <w:tc>
                <w:tcPr>
                  <w:tcW w:w="1385" w:type="pct"/>
                  <w:noWrap w:val="0"/>
                  <w:tcMar>
                    <w:top w:w="150" w:type="dxa"/>
                    <w:left w:w="240" w:type="dxa"/>
                    <w:bottom w:w="150" w:type="dxa"/>
                    <w:right w:w="240" w:type="dxa"/>
                  </w:tcMar>
                  <w:vAlign w:val="center"/>
                </w:tcPr>
                <w:p w14:paraId="74F04B7D">
                  <w:pPr>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主要工作内容</w:t>
                  </w:r>
                </w:p>
              </w:tc>
              <w:tc>
                <w:tcPr>
                  <w:tcW w:w="610" w:type="pct"/>
                  <w:noWrap w:val="0"/>
                  <w:tcMar>
                    <w:top w:w="150" w:type="dxa"/>
                    <w:left w:w="240" w:type="dxa"/>
                    <w:bottom w:w="150" w:type="dxa"/>
                    <w:right w:w="240" w:type="dxa"/>
                  </w:tcMar>
                  <w:vAlign w:val="center"/>
                </w:tcPr>
                <w:p w14:paraId="53C4DAD0">
                  <w:pPr>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资格证书要求</w:t>
                  </w:r>
                </w:p>
              </w:tc>
            </w:tr>
            <w:tr w14:paraId="4F55C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36" w:type="pct"/>
                  <w:noWrap w:val="0"/>
                  <w:tcMar>
                    <w:top w:w="150" w:type="dxa"/>
                    <w:left w:w="0" w:type="dxa"/>
                    <w:bottom w:w="150" w:type="dxa"/>
                    <w:right w:w="240" w:type="dxa"/>
                  </w:tcMar>
                  <w:vAlign w:val="center"/>
                </w:tcPr>
                <w:p w14:paraId="2FBEDD81">
                  <w:pPr>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773" w:type="pct"/>
                  <w:noWrap w:val="0"/>
                  <w:tcMar>
                    <w:top w:w="150" w:type="dxa"/>
                    <w:left w:w="240" w:type="dxa"/>
                    <w:bottom w:w="150" w:type="dxa"/>
                    <w:right w:w="240" w:type="dxa"/>
                  </w:tcMar>
                  <w:vAlign w:val="center"/>
                </w:tcPr>
                <w:p w14:paraId="26DFAF9F">
                  <w:pPr>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食堂主管</w:t>
                  </w:r>
                </w:p>
              </w:tc>
              <w:tc>
                <w:tcPr>
                  <w:tcW w:w="700" w:type="pct"/>
                  <w:noWrap w:val="0"/>
                  <w:tcMar>
                    <w:top w:w="150" w:type="dxa"/>
                    <w:left w:w="240" w:type="dxa"/>
                    <w:bottom w:w="150" w:type="dxa"/>
                    <w:right w:w="240" w:type="dxa"/>
                  </w:tcMar>
                  <w:vAlign w:val="center"/>
                </w:tcPr>
                <w:p w14:paraId="6A90F908">
                  <w:pPr>
                    <w:ind w:firstLine="0" w:firstLineChars="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w:t>
                  </w:r>
                  <w:r>
                    <w:rPr>
                      <w:rFonts w:hint="eastAsia" w:ascii="宋体" w:hAnsi="宋体" w:eastAsia="宋体" w:cs="Times New Roman"/>
                      <w:color w:val="auto"/>
                      <w:sz w:val="21"/>
                      <w:szCs w:val="21"/>
                      <w:highlight w:val="none"/>
                      <w:lang w:val="en-US" w:eastAsia="zh-CN"/>
                    </w:rPr>
                    <w:t>人</w:t>
                  </w:r>
                </w:p>
              </w:tc>
              <w:tc>
                <w:tcPr>
                  <w:tcW w:w="994" w:type="pct"/>
                  <w:noWrap w:val="0"/>
                  <w:tcMar>
                    <w:top w:w="150" w:type="dxa"/>
                    <w:left w:w="240" w:type="dxa"/>
                    <w:bottom w:w="150" w:type="dxa"/>
                    <w:right w:w="240" w:type="dxa"/>
                  </w:tcMar>
                  <w:vAlign w:val="center"/>
                </w:tcPr>
                <w:p w14:paraId="1106E3EB">
                  <w:pPr>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7:00-12:30, 15:00-17:30</w:t>
                  </w:r>
                </w:p>
              </w:tc>
              <w:tc>
                <w:tcPr>
                  <w:tcW w:w="1385" w:type="pct"/>
                  <w:noWrap w:val="0"/>
                  <w:tcMar>
                    <w:top w:w="150" w:type="dxa"/>
                    <w:left w:w="240" w:type="dxa"/>
                    <w:bottom w:w="150" w:type="dxa"/>
                    <w:right w:w="240" w:type="dxa"/>
                  </w:tcMar>
                  <w:vAlign w:val="center"/>
                </w:tcPr>
                <w:p w14:paraId="3EE8C2CF">
                  <w:pPr>
                    <w:jc w:val="lef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管理好食堂工作人员，指导、监督并协助各项食品卫生安全生产工作开展。协助保健室制定幼儿膳食定量菜谱，统筹厨房的工作安排，掌握工作人员的思想动态。每天负责检查上岗员工的考勤、晨检记录，检查督促各区域的卫生及物品整理，必要时协助红案主厨做好膳食的烹饪工作。对生产安全和食品安全负有监管责任。</w:t>
                  </w:r>
                </w:p>
              </w:tc>
              <w:tc>
                <w:tcPr>
                  <w:tcW w:w="610" w:type="pct"/>
                  <w:noWrap w:val="0"/>
                  <w:tcMar>
                    <w:top w:w="150" w:type="dxa"/>
                    <w:left w:w="240" w:type="dxa"/>
                    <w:bottom w:w="150" w:type="dxa"/>
                    <w:right w:w="0" w:type="dxa"/>
                  </w:tcMar>
                  <w:vAlign w:val="center"/>
                </w:tcPr>
                <w:p w14:paraId="6B217C54">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食品安全管理员证书</w:t>
                  </w:r>
                </w:p>
              </w:tc>
            </w:tr>
            <w:tr w14:paraId="6EEFE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36" w:type="pct"/>
                  <w:noWrap w:val="0"/>
                  <w:tcMar>
                    <w:top w:w="150" w:type="dxa"/>
                    <w:left w:w="0" w:type="dxa"/>
                    <w:bottom w:w="150" w:type="dxa"/>
                    <w:right w:w="240" w:type="dxa"/>
                  </w:tcMar>
                  <w:vAlign w:val="center"/>
                </w:tcPr>
                <w:p w14:paraId="06B5AA13">
                  <w:pPr>
                    <w:ind w:firstLine="420" w:firstLineChars="2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p>
              </w:tc>
              <w:tc>
                <w:tcPr>
                  <w:tcW w:w="773" w:type="pct"/>
                  <w:noWrap w:val="0"/>
                  <w:tcMar>
                    <w:top w:w="150" w:type="dxa"/>
                    <w:left w:w="240" w:type="dxa"/>
                    <w:bottom w:w="150" w:type="dxa"/>
                    <w:right w:w="240" w:type="dxa"/>
                  </w:tcMar>
                  <w:vAlign w:val="center"/>
                </w:tcPr>
                <w:p w14:paraId="6FB95844">
                  <w:pPr>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红案厨师</w:t>
                  </w:r>
                </w:p>
              </w:tc>
              <w:tc>
                <w:tcPr>
                  <w:tcW w:w="700" w:type="pct"/>
                  <w:noWrap w:val="0"/>
                  <w:tcMar>
                    <w:top w:w="150" w:type="dxa"/>
                    <w:left w:w="240" w:type="dxa"/>
                    <w:bottom w:w="150" w:type="dxa"/>
                    <w:right w:w="240" w:type="dxa"/>
                  </w:tcMar>
                  <w:vAlign w:val="center"/>
                </w:tcPr>
                <w:p w14:paraId="5A401A5A">
                  <w:pPr>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Times New Roman"/>
                      <w:color w:val="auto"/>
                      <w:sz w:val="21"/>
                      <w:szCs w:val="21"/>
                      <w:highlight w:val="none"/>
                      <w:lang w:val="en-US" w:eastAsia="zh-CN"/>
                    </w:rPr>
                    <w:t>人</w:t>
                  </w:r>
                </w:p>
              </w:tc>
              <w:tc>
                <w:tcPr>
                  <w:tcW w:w="994" w:type="pct"/>
                  <w:noWrap w:val="0"/>
                  <w:tcMar>
                    <w:top w:w="150" w:type="dxa"/>
                    <w:left w:w="240" w:type="dxa"/>
                    <w:bottom w:w="150" w:type="dxa"/>
                    <w:right w:w="240" w:type="dxa"/>
                  </w:tcMar>
                  <w:vAlign w:val="center"/>
                </w:tcPr>
                <w:p w14:paraId="39CAC1CA">
                  <w:pPr>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7:00-12:30,15:00-17:30</w:t>
                  </w:r>
                </w:p>
              </w:tc>
              <w:tc>
                <w:tcPr>
                  <w:tcW w:w="1385" w:type="pct"/>
                  <w:noWrap w:val="0"/>
                  <w:tcMar>
                    <w:top w:w="150" w:type="dxa"/>
                    <w:left w:w="240" w:type="dxa"/>
                    <w:bottom w:w="150" w:type="dxa"/>
                    <w:right w:w="240" w:type="dxa"/>
                  </w:tcMar>
                  <w:vAlign w:val="center"/>
                </w:tcPr>
                <w:p w14:paraId="262FE3A6">
                  <w:pPr>
                    <w:jc w:val="lef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红案烹调各种花样菜肴，协助完成幼儿、职工餐分发及配送工作。以及配合完成</w:t>
                  </w:r>
                  <w:r>
                    <w:rPr>
                      <w:rFonts w:hint="eastAsia" w:ascii="宋体" w:hAnsi="宋体" w:eastAsia="宋体" w:cs="Times New Roman"/>
                      <w:color w:val="auto"/>
                      <w:sz w:val="21"/>
                      <w:szCs w:val="21"/>
                      <w:highlight w:val="none"/>
                      <w:lang w:val="en-US" w:eastAsia="zh-CN"/>
                    </w:rPr>
                    <w:t>采购</w:t>
                  </w:r>
                  <w:r>
                    <w:rPr>
                      <w:rFonts w:hint="eastAsia" w:ascii="宋体" w:hAnsi="宋体" w:eastAsia="宋体" w:cs="Times New Roman"/>
                      <w:color w:val="auto"/>
                      <w:szCs w:val="21"/>
                      <w:highlight w:val="none"/>
                      <w:lang w:val="en-US" w:eastAsia="zh-CN"/>
                    </w:rPr>
                    <w:t>人</w:t>
                  </w:r>
                  <w:r>
                    <w:rPr>
                      <w:rFonts w:hint="eastAsia" w:ascii="宋体" w:hAnsi="宋体" w:eastAsia="宋体" w:cs="宋体"/>
                      <w:color w:val="auto"/>
                      <w:kern w:val="2"/>
                      <w:sz w:val="21"/>
                      <w:szCs w:val="21"/>
                      <w:highlight w:val="none"/>
                    </w:rPr>
                    <w:t>布置的各种临时任务。各种餐饮设备保洁、保养、区域环境卫生消毒工作。</w:t>
                  </w:r>
                </w:p>
              </w:tc>
              <w:tc>
                <w:tcPr>
                  <w:tcW w:w="610" w:type="pct"/>
                  <w:noWrap w:val="0"/>
                  <w:tcMar>
                    <w:top w:w="150" w:type="dxa"/>
                    <w:left w:w="240" w:type="dxa"/>
                    <w:bottom w:w="150" w:type="dxa"/>
                    <w:right w:w="0" w:type="dxa"/>
                  </w:tcMar>
                  <w:vAlign w:val="center"/>
                </w:tcPr>
                <w:p w14:paraId="4A76FBAF">
                  <w:pPr>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中式烹调师初级及以上</w:t>
                  </w:r>
                </w:p>
              </w:tc>
            </w:tr>
            <w:tr w14:paraId="15CF4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84" w:hRule="atLeast"/>
              </w:trPr>
              <w:tc>
                <w:tcPr>
                  <w:tcW w:w="536" w:type="pct"/>
                  <w:noWrap w:val="0"/>
                  <w:tcMar>
                    <w:top w:w="150" w:type="dxa"/>
                    <w:left w:w="0" w:type="dxa"/>
                    <w:bottom w:w="150" w:type="dxa"/>
                    <w:right w:w="240" w:type="dxa"/>
                  </w:tcMar>
                  <w:vAlign w:val="center"/>
                </w:tcPr>
                <w:p w14:paraId="452221D0">
                  <w:pPr>
                    <w:ind w:firstLine="420" w:firstLineChars="20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773" w:type="pct"/>
                  <w:noWrap w:val="0"/>
                  <w:tcMar>
                    <w:top w:w="150" w:type="dxa"/>
                    <w:left w:w="240" w:type="dxa"/>
                    <w:bottom w:w="150" w:type="dxa"/>
                    <w:right w:w="240" w:type="dxa"/>
                  </w:tcMar>
                  <w:vAlign w:val="center"/>
                </w:tcPr>
                <w:p w14:paraId="59EB5A5A">
                  <w:pPr>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面点师</w:t>
                  </w:r>
                </w:p>
              </w:tc>
              <w:tc>
                <w:tcPr>
                  <w:tcW w:w="700" w:type="pct"/>
                  <w:noWrap w:val="0"/>
                  <w:tcMar>
                    <w:top w:w="150" w:type="dxa"/>
                    <w:left w:w="240" w:type="dxa"/>
                    <w:bottom w:w="150" w:type="dxa"/>
                    <w:right w:w="240" w:type="dxa"/>
                  </w:tcMar>
                  <w:vAlign w:val="center"/>
                </w:tcPr>
                <w:p w14:paraId="0FAFF905">
                  <w:pPr>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Times New Roman"/>
                      <w:color w:val="auto"/>
                      <w:sz w:val="21"/>
                      <w:szCs w:val="21"/>
                      <w:highlight w:val="none"/>
                      <w:lang w:val="en-US" w:eastAsia="zh-CN"/>
                    </w:rPr>
                    <w:t>人</w:t>
                  </w:r>
                </w:p>
              </w:tc>
              <w:tc>
                <w:tcPr>
                  <w:tcW w:w="994" w:type="pct"/>
                  <w:noWrap w:val="0"/>
                  <w:tcMar>
                    <w:top w:w="150" w:type="dxa"/>
                    <w:left w:w="240" w:type="dxa"/>
                    <w:bottom w:w="150" w:type="dxa"/>
                    <w:right w:w="240" w:type="dxa"/>
                  </w:tcMar>
                  <w:vAlign w:val="center"/>
                </w:tcPr>
                <w:p w14:paraId="4F1509C0">
                  <w:pPr>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5:00-12:30</w:t>
                  </w:r>
                </w:p>
              </w:tc>
              <w:tc>
                <w:tcPr>
                  <w:tcW w:w="1385" w:type="pct"/>
                  <w:noWrap w:val="0"/>
                  <w:tcMar>
                    <w:top w:w="150" w:type="dxa"/>
                    <w:left w:w="240" w:type="dxa"/>
                    <w:bottom w:w="150" w:type="dxa"/>
                    <w:right w:w="240" w:type="dxa"/>
                  </w:tcMar>
                  <w:vAlign w:val="center"/>
                </w:tcPr>
                <w:p w14:paraId="23567B82">
                  <w:pPr>
                    <w:jc w:val="lef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白案制作各种各样面食，协助完成幼儿、职工餐分发及配送工作。以及配合完成</w:t>
                  </w:r>
                  <w:r>
                    <w:rPr>
                      <w:rFonts w:hint="eastAsia" w:ascii="宋体" w:hAnsi="宋体" w:eastAsia="宋体" w:cs="Times New Roman"/>
                      <w:color w:val="auto"/>
                      <w:sz w:val="21"/>
                      <w:szCs w:val="21"/>
                      <w:highlight w:val="none"/>
                      <w:lang w:val="en-US" w:eastAsia="zh-CN"/>
                    </w:rPr>
                    <w:t>采购</w:t>
                  </w:r>
                  <w:r>
                    <w:rPr>
                      <w:rFonts w:hint="eastAsia" w:ascii="宋体" w:hAnsi="宋体" w:eastAsia="宋体" w:cs="Times New Roman"/>
                      <w:color w:val="auto"/>
                      <w:szCs w:val="21"/>
                      <w:highlight w:val="none"/>
                      <w:lang w:val="en-US" w:eastAsia="zh-CN"/>
                    </w:rPr>
                    <w:t>人</w:t>
                  </w:r>
                  <w:r>
                    <w:rPr>
                      <w:rFonts w:hint="eastAsia" w:ascii="宋体" w:hAnsi="宋体" w:eastAsia="宋体" w:cs="宋体"/>
                      <w:color w:val="auto"/>
                      <w:kern w:val="2"/>
                      <w:sz w:val="21"/>
                      <w:szCs w:val="21"/>
                      <w:highlight w:val="none"/>
                    </w:rPr>
                    <w:t>布置的各种临时任务。各种餐饮设备保洁、保养、区域环境卫生消毒工作。</w:t>
                  </w:r>
                </w:p>
              </w:tc>
              <w:tc>
                <w:tcPr>
                  <w:tcW w:w="610" w:type="pct"/>
                  <w:noWrap w:val="0"/>
                  <w:tcMar>
                    <w:top w:w="150" w:type="dxa"/>
                    <w:left w:w="240" w:type="dxa"/>
                    <w:bottom w:w="150" w:type="dxa"/>
                    <w:right w:w="0" w:type="dxa"/>
                  </w:tcMar>
                  <w:vAlign w:val="center"/>
                </w:tcPr>
                <w:p w14:paraId="63A8D492">
                  <w:pPr>
                    <w:ind w:firstLine="0" w:firstLineChars="0"/>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中式或西式面点师初级及以上</w:t>
                  </w:r>
                </w:p>
              </w:tc>
            </w:tr>
            <w:tr w14:paraId="68857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36" w:type="pct"/>
                  <w:noWrap w:val="0"/>
                  <w:tcMar>
                    <w:top w:w="150" w:type="dxa"/>
                    <w:left w:w="0" w:type="dxa"/>
                    <w:bottom w:w="150" w:type="dxa"/>
                    <w:right w:w="240" w:type="dxa"/>
                  </w:tcMar>
                  <w:vAlign w:val="center"/>
                </w:tcPr>
                <w:p w14:paraId="2B79C644">
                  <w:pPr>
                    <w:ind w:firstLine="420" w:firstLineChars="20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773" w:type="pct"/>
                  <w:noWrap w:val="0"/>
                  <w:tcMar>
                    <w:top w:w="150" w:type="dxa"/>
                    <w:left w:w="240" w:type="dxa"/>
                    <w:bottom w:w="150" w:type="dxa"/>
                    <w:right w:w="240" w:type="dxa"/>
                  </w:tcMar>
                  <w:vAlign w:val="center"/>
                </w:tcPr>
                <w:p w14:paraId="6740A3F7">
                  <w:pPr>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分餐员</w:t>
                  </w:r>
                </w:p>
              </w:tc>
              <w:tc>
                <w:tcPr>
                  <w:tcW w:w="700" w:type="pct"/>
                  <w:noWrap w:val="0"/>
                  <w:tcMar>
                    <w:top w:w="150" w:type="dxa"/>
                    <w:left w:w="240" w:type="dxa"/>
                    <w:bottom w:w="150" w:type="dxa"/>
                    <w:right w:w="240" w:type="dxa"/>
                  </w:tcMar>
                  <w:vAlign w:val="center"/>
                </w:tcPr>
                <w:p w14:paraId="0D9225BA">
                  <w:pPr>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Times New Roman"/>
                      <w:color w:val="auto"/>
                      <w:sz w:val="21"/>
                      <w:szCs w:val="21"/>
                      <w:highlight w:val="none"/>
                      <w:lang w:val="en-US" w:eastAsia="zh-CN"/>
                    </w:rPr>
                    <w:t>人</w:t>
                  </w:r>
                </w:p>
              </w:tc>
              <w:tc>
                <w:tcPr>
                  <w:tcW w:w="994" w:type="pct"/>
                  <w:noWrap w:val="0"/>
                  <w:tcMar>
                    <w:top w:w="150" w:type="dxa"/>
                    <w:left w:w="240" w:type="dxa"/>
                    <w:bottom w:w="150" w:type="dxa"/>
                    <w:right w:w="240" w:type="dxa"/>
                  </w:tcMar>
                  <w:vAlign w:val="center"/>
                </w:tcPr>
                <w:p w14:paraId="09C08D46">
                  <w:pPr>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7:00-12:30,15:00-17:30</w:t>
                  </w:r>
                </w:p>
              </w:tc>
              <w:tc>
                <w:tcPr>
                  <w:tcW w:w="1385" w:type="pct"/>
                  <w:noWrap w:val="0"/>
                  <w:tcMar>
                    <w:top w:w="150" w:type="dxa"/>
                    <w:left w:w="240" w:type="dxa"/>
                    <w:bottom w:w="150" w:type="dxa"/>
                    <w:right w:w="240" w:type="dxa"/>
                  </w:tcMar>
                  <w:vAlign w:val="center"/>
                </w:tcPr>
                <w:p w14:paraId="7FF052CC">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rPr>
                    <w:t>切配、洗消、分餐、送餐等工作。协助完成幼儿、职工餐分发及配送工作。以及配合完成</w:t>
                  </w:r>
                  <w:r>
                    <w:rPr>
                      <w:rFonts w:hint="eastAsia" w:ascii="宋体" w:hAnsi="宋体" w:eastAsia="宋体" w:cs="Times New Roman"/>
                      <w:color w:val="auto"/>
                      <w:sz w:val="21"/>
                      <w:szCs w:val="21"/>
                      <w:highlight w:val="none"/>
                      <w:lang w:val="en-US" w:eastAsia="zh-CN"/>
                    </w:rPr>
                    <w:t>采购</w:t>
                  </w:r>
                  <w:r>
                    <w:rPr>
                      <w:rFonts w:hint="eastAsia" w:ascii="宋体" w:hAnsi="宋体" w:eastAsia="宋体" w:cs="Times New Roman"/>
                      <w:color w:val="auto"/>
                      <w:szCs w:val="21"/>
                      <w:highlight w:val="none"/>
                      <w:lang w:val="en-US" w:eastAsia="zh-CN"/>
                    </w:rPr>
                    <w:t>人</w:t>
                  </w:r>
                  <w:r>
                    <w:rPr>
                      <w:rFonts w:hint="eastAsia" w:ascii="宋体" w:hAnsi="宋体" w:eastAsia="宋体" w:cs="宋体"/>
                      <w:color w:val="auto"/>
                      <w:kern w:val="2"/>
                      <w:sz w:val="21"/>
                      <w:szCs w:val="21"/>
                      <w:highlight w:val="none"/>
                    </w:rPr>
                    <w:t>布置的各种临时任务。负责包干区域环境卫生消毒、保洁、设备保养工作。</w:t>
                  </w:r>
                </w:p>
              </w:tc>
              <w:tc>
                <w:tcPr>
                  <w:tcW w:w="610" w:type="pct"/>
                  <w:noWrap w:val="0"/>
                  <w:tcMar>
                    <w:top w:w="150" w:type="dxa"/>
                    <w:left w:w="240" w:type="dxa"/>
                    <w:bottom w:w="150" w:type="dxa"/>
                    <w:right w:w="0" w:type="dxa"/>
                  </w:tcMar>
                  <w:vAlign w:val="center"/>
                </w:tcPr>
                <w:p w14:paraId="0EFC0533">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健康证</w:t>
                  </w:r>
                </w:p>
              </w:tc>
            </w:tr>
            <w:tr w14:paraId="7DBF8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36" w:type="pct"/>
                  <w:noWrap w:val="0"/>
                  <w:tcMar>
                    <w:top w:w="150" w:type="dxa"/>
                    <w:left w:w="0" w:type="dxa"/>
                    <w:bottom w:w="150" w:type="dxa"/>
                    <w:right w:w="240" w:type="dxa"/>
                  </w:tcMar>
                  <w:vAlign w:val="center"/>
                </w:tcPr>
                <w:p w14:paraId="2796954E">
                  <w:pPr>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773" w:type="pct"/>
                  <w:noWrap w:val="0"/>
                  <w:tcMar>
                    <w:top w:w="150" w:type="dxa"/>
                    <w:left w:w="240" w:type="dxa"/>
                    <w:bottom w:w="150" w:type="dxa"/>
                    <w:right w:w="240" w:type="dxa"/>
                  </w:tcMar>
                  <w:vAlign w:val="center"/>
                </w:tcPr>
                <w:p w14:paraId="304AA4EB">
                  <w:pPr>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切配员</w:t>
                  </w:r>
                </w:p>
              </w:tc>
              <w:tc>
                <w:tcPr>
                  <w:tcW w:w="700" w:type="pct"/>
                  <w:noWrap w:val="0"/>
                  <w:tcMar>
                    <w:top w:w="150" w:type="dxa"/>
                    <w:left w:w="240" w:type="dxa"/>
                    <w:bottom w:w="150" w:type="dxa"/>
                    <w:right w:w="240" w:type="dxa"/>
                  </w:tcMar>
                  <w:vAlign w:val="center"/>
                </w:tcPr>
                <w:p w14:paraId="461D62DB">
                  <w:pPr>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Times New Roman"/>
                      <w:color w:val="auto"/>
                      <w:sz w:val="21"/>
                      <w:szCs w:val="21"/>
                      <w:highlight w:val="none"/>
                      <w:lang w:val="en-US" w:eastAsia="zh-CN"/>
                    </w:rPr>
                    <w:t>人</w:t>
                  </w:r>
                </w:p>
              </w:tc>
              <w:tc>
                <w:tcPr>
                  <w:tcW w:w="994" w:type="pct"/>
                  <w:noWrap w:val="0"/>
                  <w:tcMar>
                    <w:top w:w="150" w:type="dxa"/>
                    <w:left w:w="240" w:type="dxa"/>
                    <w:bottom w:w="150" w:type="dxa"/>
                    <w:right w:w="240" w:type="dxa"/>
                  </w:tcMar>
                  <w:vAlign w:val="center"/>
                </w:tcPr>
                <w:p w14:paraId="60965189">
                  <w:pPr>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7:00-12:30,15:00-17:30</w:t>
                  </w:r>
                </w:p>
              </w:tc>
              <w:tc>
                <w:tcPr>
                  <w:tcW w:w="1385" w:type="pct"/>
                  <w:noWrap w:val="0"/>
                  <w:tcMar>
                    <w:top w:w="150" w:type="dxa"/>
                    <w:left w:w="240" w:type="dxa"/>
                    <w:bottom w:w="150" w:type="dxa"/>
                    <w:right w:w="240" w:type="dxa"/>
                  </w:tcMar>
                  <w:vAlign w:val="center"/>
                </w:tcPr>
                <w:p w14:paraId="2AEB216F">
                  <w:pPr>
                    <w:jc w:val="lef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切配、洗消、分餐、送餐等工作。协助完成幼儿、职工餐分发及配送工作。以及配合完成</w:t>
                  </w:r>
                  <w:r>
                    <w:rPr>
                      <w:rFonts w:hint="eastAsia" w:ascii="宋体" w:hAnsi="宋体" w:eastAsia="宋体" w:cs="Times New Roman"/>
                      <w:color w:val="auto"/>
                      <w:sz w:val="21"/>
                      <w:szCs w:val="21"/>
                      <w:highlight w:val="none"/>
                      <w:lang w:val="en-US" w:eastAsia="zh-CN"/>
                    </w:rPr>
                    <w:t>采购</w:t>
                  </w:r>
                  <w:r>
                    <w:rPr>
                      <w:rFonts w:hint="eastAsia" w:ascii="宋体" w:hAnsi="宋体" w:eastAsia="宋体" w:cs="Times New Roman"/>
                      <w:color w:val="auto"/>
                      <w:szCs w:val="21"/>
                      <w:highlight w:val="none"/>
                      <w:lang w:val="en-US" w:eastAsia="zh-CN"/>
                    </w:rPr>
                    <w:t>人</w:t>
                  </w:r>
                  <w:r>
                    <w:rPr>
                      <w:rFonts w:hint="eastAsia" w:ascii="宋体" w:hAnsi="宋体" w:eastAsia="宋体" w:cs="宋体"/>
                      <w:color w:val="auto"/>
                      <w:kern w:val="2"/>
                      <w:sz w:val="21"/>
                      <w:szCs w:val="21"/>
                      <w:highlight w:val="none"/>
                    </w:rPr>
                    <w:t>布置的各种临时任务。负责包干区域环境卫生消毒、保洁、设备保养工作</w:t>
                  </w:r>
                </w:p>
              </w:tc>
              <w:tc>
                <w:tcPr>
                  <w:tcW w:w="610" w:type="pct"/>
                  <w:noWrap w:val="0"/>
                  <w:tcMar>
                    <w:top w:w="150" w:type="dxa"/>
                    <w:left w:w="240" w:type="dxa"/>
                    <w:bottom w:w="150" w:type="dxa"/>
                    <w:right w:w="0" w:type="dxa"/>
                  </w:tcMar>
                  <w:vAlign w:val="center"/>
                </w:tcPr>
                <w:p w14:paraId="1AAE16D1">
                  <w:pPr>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健康证</w:t>
                  </w:r>
                </w:p>
              </w:tc>
            </w:tr>
            <w:tr w14:paraId="4A7DA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36" w:type="pct"/>
                  <w:noWrap w:val="0"/>
                  <w:tcMar>
                    <w:top w:w="150" w:type="dxa"/>
                    <w:left w:w="0" w:type="dxa"/>
                    <w:bottom w:w="150" w:type="dxa"/>
                    <w:right w:w="240" w:type="dxa"/>
                  </w:tcMar>
                  <w:vAlign w:val="center"/>
                </w:tcPr>
                <w:p w14:paraId="37CA4AFA">
                  <w:pPr>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773" w:type="pct"/>
                  <w:noWrap w:val="0"/>
                  <w:tcMar>
                    <w:top w:w="150" w:type="dxa"/>
                    <w:left w:w="240" w:type="dxa"/>
                    <w:bottom w:w="150" w:type="dxa"/>
                    <w:right w:w="240" w:type="dxa"/>
                  </w:tcMar>
                  <w:vAlign w:val="center"/>
                </w:tcPr>
                <w:p w14:paraId="5829AACC">
                  <w:pPr>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厨房杂工</w:t>
                  </w:r>
                </w:p>
              </w:tc>
              <w:tc>
                <w:tcPr>
                  <w:tcW w:w="700" w:type="pct"/>
                  <w:noWrap w:val="0"/>
                  <w:tcMar>
                    <w:top w:w="150" w:type="dxa"/>
                    <w:left w:w="240" w:type="dxa"/>
                    <w:bottom w:w="150" w:type="dxa"/>
                    <w:right w:w="240" w:type="dxa"/>
                  </w:tcMar>
                  <w:vAlign w:val="center"/>
                </w:tcPr>
                <w:p w14:paraId="7A9F817C">
                  <w:pPr>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Times New Roman"/>
                      <w:color w:val="auto"/>
                      <w:sz w:val="21"/>
                      <w:szCs w:val="21"/>
                      <w:highlight w:val="none"/>
                      <w:lang w:val="en-US" w:eastAsia="zh-CN"/>
                    </w:rPr>
                    <w:t>人</w:t>
                  </w:r>
                </w:p>
              </w:tc>
              <w:tc>
                <w:tcPr>
                  <w:tcW w:w="994" w:type="pct"/>
                  <w:noWrap w:val="0"/>
                  <w:tcMar>
                    <w:top w:w="150" w:type="dxa"/>
                    <w:left w:w="240" w:type="dxa"/>
                    <w:bottom w:w="150" w:type="dxa"/>
                    <w:right w:w="240" w:type="dxa"/>
                  </w:tcMar>
                  <w:vAlign w:val="center"/>
                </w:tcPr>
                <w:p w14:paraId="1FE96116">
                  <w:pPr>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7:00-12:30,15:00-17:30</w:t>
                  </w:r>
                </w:p>
              </w:tc>
              <w:tc>
                <w:tcPr>
                  <w:tcW w:w="1385" w:type="pct"/>
                  <w:noWrap w:val="0"/>
                  <w:tcMar>
                    <w:top w:w="150" w:type="dxa"/>
                    <w:left w:w="240" w:type="dxa"/>
                    <w:bottom w:w="150" w:type="dxa"/>
                    <w:right w:w="240" w:type="dxa"/>
                  </w:tcMar>
                  <w:vAlign w:val="center"/>
                </w:tcPr>
                <w:p w14:paraId="6A534E9A">
                  <w:pPr>
                    <w:jc w:val="lef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切配、洗消、分餐、送餐等工作。协助完成幼儿、职工餐分发及配送工作。以及配合完成</w:t>
                  </w:r>
                  <w:r>
                    <w:rPr>
                      <w:rFonts w:hint="eastAsia" w:ascii="宋体" w:hAnsi="宋体" w:eastAsia="宋体" w:cs="Times New Roman"/>
                      <w:color w:val="auto"/>
                      <w:sz w:val="21"/>
                      <w:szCs w:val="21"/>
                      <w:highlight w:val="none"/>
                      <w:lang w:val="en-US" w:eastAsia="zh-CN"/>
                    </w:rPr>
                    <w:t>采购</w:t>
                  </w:r>
                  <w:r>
                    <w:rPr>
                      <w:rFonts w:hint="eastAsia" w:ascii="宋体" w:hAnsi="宋体" w:eastAsia="宋体" w:cs="Times New Roman"/>
                      <w:color w:val="auto"/>
                      <w:szCs w:val="21"/>
                      <w:highlight w:val="none"/>
                      <w:lang w:val="en-US" w:eastAsia="zh-CN"/>
                    </w:rPr>
                    <w:t>人</w:t>
                  </w:r>
                  <w:r>
                    <w:rPr>
                      <w:rFonts w:hint="eastAsia" w:ascii="宋体" w:hAnsi="宋体" w:eastAsia="宋体" w:cs="宋体"/>
                      <w:color w:val="auto"/>
                      <w:kern w:val="2"/>
                      <w:sz w:val="21"/>
                      <w:szCs w:val="21"/>
                      <w:highlight w:val="none"/>
                    </w:rPr>
                    <w:t>布置的各种临时任务。负责包干区域环境卫生消毒、保洁、设备保养工作。</w:t>
                  </w:r>
                </w:p>
              </w:tc>
              <w:tc>
                <w:tcPr>
                  <w:tcW w:w="610" w:type="pct"/>
                  <w:noWrap w:val="0"/>
                  <w:tcMar>
                    <w:top w:w="150" w:type="dxa"/>
                    <w:left w:w="240" w:type="dxa"/>
                    <w:bottom w:w="150" w:type="dxa"/>
                    <w:right w:w="0" w:type="dxa"/>
                  </w:tcMar>
                  <w:vAlign w:val="center"/>
                </w:tcPr>
                <w:p w14:paraId="07664EED">
                  <w:pPr>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健康证</w:t>
                  </w:r>
                </w:p>
              </w:tc>
            </w:tr>
          </w:tbl>
          <w:p w14:paraId="33F45426">
            <w:pPr>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（二）凌铁分园（5人）</w:t>
            </w:r>
          </w:p>
          <w:tbl>
            <w:tblPr>
              <w:tblStyle w:val="31"/>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87"/>
              <w:gridCol w:w="1015"/>
              <w:gridCol w:w="916"/>
              <w:gridCol w:w="1244"/>
              <w:gridCol w:w="1833"/>
              <w:gridCol w:w="751"/>
            </w:tblGrid>
            <w:tr w14:paraId="798FE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687" w:type="dxa"/>
                  <w:noWrap w:val="0"/>
                  <w:tcMar>
                    <w:top w:w="150" w:type="dxa"/>
                    <w:left w:w="0" w:type="dxa"/>
                    <w:bottom w:w="150" w:type="dxa"/>
                    <w:right w:w="240" w:type="dxa"/>
                  </w:tcMar>
                  <w:vAlign w:val="center"/>
                </w:tcPr>
                <w:p w14:paraId="24569550">
                  <w:pPr>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序号</w:t>
                  </w:r>
                </w:p>
              </w:tc>
              <w:tc>
                <w:tcPr>
                  <w:tcW w:w="1015" w:type="dxa"/>
                  <w:noWrap w:val="0"/>
                  <w:tcMar>
                    <w:top w:w="150" w:type="dxa"/>
                    <w:left w:w="240" w:type="dxa"/>
                    <w:bottom w:w="150" w:type="dxa"/>
                    <w:right w:w="240" w:type="dxa"/>
                  </w:tcMar>
                  <w:vAlign w:val="center"/>
                </w:tcPr>
                <w:p w14:paraId="4CDB6A64">
                  <w:pPr>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岗位</w:t>
                  </w:r>
                </w:p>
              </w:tc>
              <w:tc>
                <w:tcPr>
                  <w:tcW w:w="916" w:type="dxa"/>
                  <w:noWrap w:val="0"/>
                  <w:tcMar>
                    <w:top w:w="150" w:type="dxa"/>
                    <w:left w:w="240" w:type="dxa"/>
                    <w:bottom w:w="150" w:type="dxa"/>
                    <w:right w:w="240" w:type="dxa"/>
                  </w:tcMar>
                  <w:vAlign w:val="center"/>
                </w:tcPr>
                <w:p w14:paraId="47C5FF8A">
                  <w:pPr>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人数</w:t>
                  </w:r>
                </w:p>
              </w:tc>
              <w:tc>
                <w:tcPr>
                  <w:tcW w:w="1244" w:type="dxa"/>
                  <w:noWrap w:val="0"/>
                  <w:tcMar>
                    <w:top w:w="150" w:type="dxa"/>
                    <w:left w:w="240" w:type="dxa"/>
                    <w:bottom w:w="150" w:type="dxa"/>
                    <w:right w:w="240" w:type="dxa"/>
                  </w:tcMar>
                  <w:vAlign w:val="center"/>
                </w:tcPr>
                <w:p w14:paraId="4E30B434">
                  <w:pPr>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工作时间</w:t>
                  </w:r>
                </w:p>
              </w:tc>
              <w:tc>
                <w:tcPr>
                  <w:tcW w:w="1833" w:type="dxa"/>
                  <w:noWrap w:val="0"/>
                  <w:tcMar>
                    <w:top w:w="150" w:type="dxa"/>
                    <w:left w:w="240" w:type="dxa"/>
                    <w:bottom w:w="150" w:type="dxa"/>
                    <w:right w:w="240" w:type="dxa"/>
                  </w:tcMar>
                  <w:vAlign w:val="center"/>
                </w:tcPr>
                <w:p w14:paraId="5FD3159A">
                  <w:pPr>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主要工作内容</w:t>
                  </w:r>
                </w:p>
              </w:tc>
              <w:tc>
                <w:tcPr>
                  <w:tcW w:w="751" w:type="dxa"/>
                  <w:noWrap w:val="0"/>
                  <w:tcMar>
                    <w:top w:w="150" w:type="dxa"/>
                    <w:left w:w="240" w:type="dxa"/>
                    <w:bottom w:w="150" w:type="dxa"/>
                    <w:right w:w="240" w:type="dxa"/>
                  </w:tcMar>
                  <w:vAlign w:val="center"/>
                </w:tcPr>
                <w:p w14:paraId="71EFE753">
                  <w:pPr>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资格证书要求</w:t>
                  </w:r>
                </w:p>
              </w:tc>
            </w:tr>
            <w:tr w14:paraId="4AD10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50" w:hRule="atLeast"/>
              </w:trPr>
              <w:tc>
                <w:tcPr>
                  <w:tcW w:w="687" w:type="dxa"/>
                  <w:noWrap w:val="0"/>
                  <w:tcMar>
                    <w:top w:w="150" w:type="dxa"/>
                    <w:left w:w="0" w:type="dxa"/>
                    <w:bottom w:w="150" w:type="dxa"/>
                    <w:right w:w="240" w:type="dxa"/>
                  </w:tcMar>
                  <w:vAlign w:val="center"/>
                </w:tcPr>
                <w:p w14:paraId="1972F303">
                  <w:pPr>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015" w:type="dxa"/>
                  <w:noWrap w:val="0"/>
                  <w:tcMar>
                    <w:top w:w="150" w:type="dxa"/>
                    <w:left w:w="240" w:type="dxa"/>
                    <w:bottom w:w="150" w:type="dxa"/>
                    <w:right w:w="240" w:type="dxa"/>
                  </w:tcMar>
                  <w:vAlign w:val="center"/>
                </w:tcPr>
                <w:p w14:paraId="591568D7">
                  <w:pPr>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红案厨师</w:t>
                  </w:r>
                </w:p>
              </w:tc>
              <w:tc>
                <w:tcPr>
                  <w:tcW w:w="916" w:type="dxa"/>
                  <w:noWrap w:val="0"/>
                  <w:tcMar>
                    <w:top w:w="150" w:type="dxa"/>
                    <w:left w:w="240" w:type="dxa"/>
                    <w:bottom w:w="150" w:type="dxa"/>
                    <w:right w:w="240" w:type="dxa"/>
                  </w:tcMar>
                  <w:vAlign w:val="center"/>
                </w:tcPr>
                <w:p w14:paraId="0C6CA54B">
                  <w:pPr>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Times New Roman"/>
                      <w:color w:val="auto"/>
                      <w:sz w:val="21"/>
                      <w:szCs w:val="21"/>
                      <w:highlight w:val="none"/>
                      <w:lang w:val="en-US" w:eastAsia="zh-CN"/>
                    </w:rPr>
                    <w:t>人</w:t>
                  </w:r>
                </w:p>
              </w:tc>
              <w:tc>
                <w:tcPr>
                  <w:tcW w:w="1244" w:type="dxa"/>
                  <w:noWrap w:val="0"/>
                  <w:tcMar>
                    <w:top w:w="150" w:type="dxa"/>
                    <w:left w:w="240" w:type="dxa"/>
                    <w:bottom w:w="150" w:type="dxa"/>
                    <w:right w:w="240" w:type="dxa"/>
                  </w:tcMar>
                  <w:vAlign w:val="center"/>
                </w:tcPr>
                <w:p w14:paraId="67CD2D79">
                  <w:pPr>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7:00-12:30,15:00-17:30</w:t>
                  </w:r>
                </w:p>
              </w:tc>
              <w:tc>
                <w:tcPr>
                  <w:tcW w:w="1833" w:type="dxa"/>
                  <w:noWrap w:val="0"/>
                  <w:tcMar>
                    <w:top w:w="150" w:type="dxa"/>
                    <w:left w:w="240" w:type="dxa"/>
                    <w:bottom w:w="150" w:type="dxa"/>
                    <w:right w:w="240" w:type="dxa"/>
                  </w:tcMar>
                  <w:vAlign w:val="center"/>
                </w:tcPr>
                <w:p w14:paraId="1C7138F0">
                  <w:pPr>
                    <w:jc w:val="lef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红案烹调各种花样菜肴，协助完成幼儿、职工餐分发及配送工作。以及配合完成</w:t>
                  </w:r>
                  <w:r>
                    <w:rPr>
                      <w:rFonts w:hint="eastAsia" w:ascii="宋体" w:hAnsi="宋体" w:eastAsia="宋体" w:cs="Times New Roman"/>
                      <w:color w:val="auto"/>
                      <w:sz w:val="21"/>
                      <w:szCs w:val="21"/>
                      <w:highlight w:val="none"/>
                      <w:lang w:val="en-US" w:eastAsia="zh-CN"/>
                    </w:rPr>
                    <w:t>采购</w:t>
                  </w:r>
                  <w:r>
                    <w:rPr>
                      <w:rFonts w:hint="eastAsia" w:ascii="宋体" w:hAnsi="宋体" w:eastAsia="宋体" w:cs="Times New Roman"/>
                      <w:color w:val="auto"/>
                      <w:szCs w:val="21"/>
                      <w:highlight w:val="none"/>
                      <w:lang w:val="en-US" w:eastAsia="zh-CN"/>
                    </w:rPr>
                    <w:t>人</w:t>
                  </w:r>
                  <w:r>
                    <w:rPr>
                      <w:rFonts w:hint="eastAsia" w:ascii="宋体" w:hAnsi="宋体" w:eastAsia="宋体" w:cs="宋体"/>
                      <w:color w:val="auto"/>
                      <w:kern w:val="2"/>
                      <w:sz w:val="21"/>
                      <w:szCs w:val="21"/>
                      <w:highlight w:val="none"/>
                    </w:rPr>
                    <w:t>布置的各种临时任务。各种餐饮设备保洁、保养、区域环境卫生消毒工作。</w:t>
                  </w:r>
                </w:p>
              </w:tc>
              <w:tc>
                <w:tcPr>
                  <w:tcW w:w="751" w:type="dxa"/>
                  <w:noWrap w:val="0"/>
                  <w:tcMar>
                    <w:top w:w="150" w:type="dxa"/>
                    <w:left w:w="240" w:type="dxa"/>
                    <w:bottom w:w="150" w:type="dxa"/>
                    <w:right w:w="0" w:type="dxa"/>
                  </w:tcMar>
                  <w:vAlign w:val="center"/>
                </w:tcPr>
                <w:p w14:paraId="074B3D4A">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中式烹调师初级及以上</w:t>
                  </w:r>
                </w:p>
              </w:tc>
            </w:tr>
            <w:tr w14:paraId="17EC2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87" w:type="dxa"/>
                  <w:noWrap w:val="0"/>
                  <w:tcMar>
                    <w:top w:w="150" w:type="dxa"/>
                    <w:left w:w="0" w:type="dxa"/>
                    <w:bottom w:w="150" w:type="dxa"/>
                    <w:right w:w="240" w:type="dxa"/>
                  </w:tcMar>
                  <w:vAlign w:val="center"/>
                </w:tcPr>
                <w:p w14:paraId="305B994A">
                  <w:pPr>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p>
              </w:tc>
              <w:tc>
                <w:tcPr>
                  <w:tcW w:w="1015" w:type="dxa"/>
                  <w:noWrap w:val="0"/>
                  <w:tcMar>
                    <w:top w:w="150" w:type="dxa"/>
                    <w:left w:w="240" w:type="dxa"/>
                    <w:bottom w:w="150" w:type="dxa"/>
                    <w:right w:w="240" w:type="dxa"/>
                  </w:tcMar>
                  <w:vAlign w:val="center"/>
                </w:tcPr>
                <w:p w14:paraId="4576D9DF">
                  <w:pPr>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面点师</w:t>
                  </w:r>
                </w:p>
              </w:tc>
              <w:tc>
                <w:tcPr>
                  <w:tcW w:w="916" w:type="dxa"/>
                  <w:noWrap w:val="0"/>
                  <w:tcMar>
                    <w:top w:w="150" w:type="dxa"/>
                    <w:left w:w="240" w:type="dxa"/>
                    <w:bottom w:w="150" w:type="dxa"/>
                    <w:right w:w="240" w:type="dxa"/>
                  </w:tcMar>
                  <w:vAlign w:val="center"/>
                </w:tcPr>
                <w:p w14:paraId="7300239D">
                  <w:pPr>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Times New Roman"/>
                      <w:color w:val="auto"/>
                      <w:sz w:val="21"/>
                      <w:szCs w:val="21"/>
                      <w:highlight w:val="none"/>
                      <w:lang w:val="en-US" w:eastAsia="zh-CN"/>
                    </w:rPr>
                    <w:t>人</w:t>
                  </w:r>
                </w:p>
              </w:tc>
              <w:tc>
                <w:tcPr>
                  <w:tcW w:w="1244" w:type="dxa"/>
                  <w:noWrap w:val="0"/>
                  <w:tcMar>
                    <w:top w:w="150" w:type="dxa"/>
                    <w:left w:w="240" w:type="dxa"/>
                    <w:bottom w:w="150" w:type="dxa"/>
                    <w:right w:w="240" w:type="dxa"/>
                  </w:tcMar>
                  <w:vAlign w:val="center"/>
                </w:tcPr>
                <w:p w14:paraId="7615D92C">
                  <w:pPr>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5:00-12:30</w:t>
                  </w:r>
                </w:p>
              </w:tc>
              <w:tc>
                <w:tcPr>
                  <w:tcW w:w="1833" w:type="dxa"/>
                  <w:noWrap w:val="0"/>
                  <w:tcMar>
                    <w:top w:w="150" w:type="dxa"/>
                    <w:left w:w="240" w:type="dxa"/>
                    <w:bottom w:w="150" w:type="dxa"/>
                    <w:right w:w="240" w:type="dxa"/>
                  </w:tcMar>
                  <w:vAlign w:val="center"/>
                </w:tcPr>
                <w:p w14:paraId="11B3872F">
                  <w:pPr>
                    <w:jc w:val="lef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白案制作各种各样面食，协助完成幼儿、职工餐分发及配送工作。以及配合完成</w:t>
                  </w:r>
                  <w:r>
                    <w:rPr>
                      <w:rFonts w:hint="eastAsia" w:ascii="宋体" w:hAnsi="宋体" w:eastAsia="宋体" w:cs="Times New Roman"/>
                      <w:color w:val="auto"/>
                      <w:sz w:val="21"/>
                      <w:szCs w:val="21"/>
                      <w:highlight w:val="none"/>
                      <w:lang w:val="en-US" w:eastAsia="zh-CN"/>
                    </w:rPr>
                    <w:t>采购</w:t>
                  </w:r>
                  <w:r>
                    <w:rPr>
                      <w:rFonts w:hint="eastAsia" w:ascii="宋体" w:hAnsi="宋体" w:eastAsia="宋体" w:cs="Times New Roman"/>
                      <w:color w:val="auto"/>
                      <w:szCs w:val="21"/>
                      <w:highlight w:val="none"/>
                      <w:lang w:val="en-US" w:eastAsia="zh-CN"/>
                    </w:rPr>
                    <w:t>人</w:t>
                  </w:r>
                  <w:r>
                    <w:rPr>
                      <w:rFonts w:hint="eastAsia" w:ascii="宋体" w:hAnsi="宋体" w:eastAsia="宋体" w:cs="宋体"/>
                      <w:color w:val="auto"/>
                      <w:kern w:val="2"/>
                      <w:sz w:val="21"/>
                      <w:szCs w:val="21"/>
                      <w:highlight w:val="none"/>
                    </w:rPr>
                    <w:t>布置的各种临时任务。各种餐饮设备保洁、保养、区域环境卫生消毒工作。</w:t>
                  </w:r>
                </w:p>
              </w:tc>
              <w:tc>
                <w:tcPr>
                  <w:tcW w:w="751" w:type="dxa"/>
                  <w:noWrap w:val="0"/>
                  <w:tcMar>
                    <w:top w:w="150" w:type="dxa"/>
                    <w:left w:w="240" w:type="dxa"/>
                    <w:bottom w:w="150" w:type="dxa"/>
                    <w:right w:w="0" w:type="dxa"/>
                  </w:tcMar>
                  <w:vAlign w:val="center"/>
                </w:tcPr>
                <w:p w14:paraId="2DDA8011">
                  <w:pPr>
                    <w:ind w:firstLine="0" w:firstLineChars="0"/>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中式或西式面点师初级及以上</w:t>
                  </w:r>
                </w:p>
              </w:tc>
            </w:tr>
            <w:tr w14:paraId="5C784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87" w:type="dxa"/>
                  <w:shd w:val="clear" w:color="auto" w:fill="auto"/>
                  <w:noWrap w:val="0"/>
                  <w:tcMar>
                    <w:top w:w="150" w:type="dxa"/>
                    <w:left w:w="0" w:type="dxa"/>
                    <w:bottom w:w="150" w:type="dxa"/>
                    <w:right w:w="240" w:type="dxa"/>
                  </w:tcMar>
                  <w:vAlign w:val="center"/>
                </w:tcPr>
                <w:p w14:paraId="68223BE9">
                  <w:pPr>
                    <w:ind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p>
              </w:tc>
              <w:tc>
                <w:tcPr>
                  <w:tcW w:w="1015" w:type="dxa"/>
                  <w:shd w:val="clear" w:color="auto" w:fill="auto"/>
                  <w:noWrap w:val="0"/>
                  <w:tcMar>
                    <w:top w:w="150" w:type="dxa"/>
                    <w:left w:w="240" w:type="dxa"/>
                    <w:bottom w:w="150" w:type="dxa"/>
                    <w:right w:w="240" w:type="dxa"/>
                  </w:tcMar>
                  <w:vAlign w:val="center"/>
                </w:tcPr>
                <w:p w14:paraId="238A1F39">
                  <w:pPr>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辅助营养员</w:t>
                  </w:r>
                </w:p>
              </w:tc>
              <w:tc>
                <w:tcPr>
                  <w:tcW w:w="916" w:type="dxa"/>
                  <w:shd w:val="clear" w:color="auto" w:fill="auto"/>
                  <w:noWrap w:val="0"/>
                  <w:tcMar>
                    <w:top w:w="150" w:type="dxa"/>
                    <w:left w:w="240" w:type="dxa"/>
                    <w:bottom w:w="150" w:type="dxa"/>
                    <w:right w:w="240" w:type="dxa"/>
                  </w:tcMar>
                  <w:vAlign w:val="center"/>
                </w:tcPr>
                <w:p w14:paraId="7AC437F2">
                  <w:pPr>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r>
                    <w:rPr>
                      <w:rFonts w:hint="eastAsia" w:ascii="宋体" w:hAnsi="宋体" w:eastAsia="宋体" w:cs="Times New Roman"/>
                      <w:color w:val="auto"/>
                      <w:sz w:val="21"/>
                      <w:szCs w:val="21"/>
                      <w:highlight w:val="none"/>
                      <w:lang w:val="en-US" w:eastAsia="zh-CN"/>
                    </w:rPr>
                    <w:t>人</w:t>
                  </w:r>
                </w:p>
              </w:tc>
              <w:tc>
                <w:tcPr>
                  <w:tcW w:w="1244" w:type="dxa"/>
                  <w:shd w:val="clear" w:color="auto" w:fill="auto"/>
                  <w:noWrap w:val="0"/>
                  <w:tcMar>
                    <w:top w:w="150" w:type="dxa"/>
                    <w:left w:w="240" w:type="dxa"/>
                    <w:bottom w:w="150" w:type="dxa"/>
                    <w:right w:w="240" w:type="dxa"/>
                  </w:tcMar>
                  <w:vAlign w:val="center"/>
                </w:tcPr>
                <w:p w14:paraId="5E892518">
                  <w:pPr>
                    <w:ind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5:00-12:30</w:t>
                  </w:r>
                </w:p>
              </w:tc>
              <w:tc>
                <w:tcPr>
                  <w:tcW w:w="1833" w:type="dxa"/>
                  <w:shd w:val="clear" w:color="auto" w:fill="auto"/>
                  <w:noWrap w:val="0"/>
                  <w:tcMar>
                    <w:top w:w="150" w:type="dxa"/>
                    <w:left w:w="240" w:type="dxa"/>
                    <w:bottom w:w="150" w:type="dxa"/>
                    <w:right w:w="240" w:type="dxa"/>
                  </w:tcMar>
                  <w:vAlign w:val="center"/>
                </w:tcPr>
                <w:p w14:paraId="79AC2E3B">
                  <w:pPr>
                    <w:jc w:val="left"/>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eastAsia="宋体" w:cs="宋体"/>
                      <w:color w:val="auto"/>
                      <w:kern w:val="2"/>
                      <w:sz w:val="21"/>
                      <w:szCs w:val="21"/>
                      <w:highlight w:val="none"/>
                      <w:lang w:val="en-US" w:eastAsia="zh-CN"/>
                    </w:rPr>
                    <w:t>制作6-24个月龄婴幼儿的营养辅食，</w:t>
                  </w:r>
                  <w:r>
                    <w:rPr>
                      <w:rFonts w:hint="eastAsia" w:ascii="宋体" w:hAnsi="宋体" w:eastAsia="宋体" w:cs="宋体"/>
                      <w:color w:val="auto"/>
                      <w:kern w:val="2"/>
                      <w:sz w:val="21"/>
                      <w:szCs w:val="21"/>
                      <w:highlight w:val="none"/>
                    </w:rPr>
                    <w:t>以及配合完成</w:t>
                  </w:r>
                  <w:r>
                    <w:rPr>
                      <w:rFonts w:hint="eastAsia" w:ascii="宋体" w:hAnsi="宋体" w:eastAsia="宋体" w:cs="宋体"/>
                      <w:color w:val="auto"/>
                      <w:kern w:val="2"/>
                      <w:sz w:val="21"/>
                      <w:szCs w:val="21"/>
                      <w:highlight w:val="none"/>
                      <w:lang w:val="en-US" w:eastAsia="zh-CN"/>
                    </w:rPr>
                    <w:t>采购方</w:t>
                  </w:r>
                  <w:r>
                    <w:rPr>
                      <w:rFonts w:hint="eastAsia" w:ascii="宋体" w:hAnsi="宋体" w:eastAsia="宋体" w:cs="宋体"/>
                      <w:color w:val="auto"/>
                      <w:kern w:val="2"/>
                      <w:sz w:val="21"/>
                      <w:szCs w:val="21"/>
                      <w:highlight w:val="none"/>
                    </w:rPr>
                    <w:t>布置的各种临时任务。负责包干区域环境卫生消毒、保洁、设备保养工作。</w:t>
                  </w:r>
                </w:p>
              </w:tc>
              <w:tc>
                <w:tcPr>
                  <w:tcW w:w="751" w:type="dxa"/>
                  <w:noWrap w:val="0"/>
                  <w:tcMar>
                    <w:top w:w="150" w:type="dxa"/>
                    <w:left w:w="240" w:type="dxa"/>
                    <w:bottom w:w="150" w:type="dxa"/>
                    <w:right w:w="0" w:type="dxa"/>
                  </w:tcMar>
                  <w:vAlign w:val="center"/>
                </w:tcPr>
                <w:p w14:paraId="437AC02D">
                  <w:pPr>
                    <w:ind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营养师或保育员相关证书</w:t>
                  </w:r>
                </w:p>
              </w:tc>
            </w:tr>
            <w:tr w14:paraId="3FD62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87" w:type="dxa"/>
                  <w:noWrap w:val="0"/>
                  <w:tcMar>
                    <w:top w:w="150" w:type="dxa"/>
                    <w:left w:w="0" w:type="dxa"/>
                    <w:bottom w:w="150" w:type="dxa"/>
                    <w:right w:w="240" w:type="dxa"/>
                  </w:tcMar>
                  <w:vAlign w:val="center"/>
                </w:tcPr>
                <w:p w14:paraId="6244FD72">
                  <w:pPr>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p>
              </w:tc>
              <w:tc>
                <w:tcPr>
                  <w:tcW w:w="1015" w:type="dxa"/>
                  <w:noWrap w:val="0"/>
                  <w:tcMar>
                    <w:top w:w="150" w:type="dxa"/>
                    <w:left w:w="240" w:type="dxa"/>
                    <w:bottom w:w="150" w:type="dxa"/>
                    <w:right w:w="240" w:type="dxa"/>
                  </w:tcMar>
                  <w:vAlign w:val="center"/>
                </w:tcPr>
                <w:p w14:paraId="339FBE15">
                  <w:pPr>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分餐员</w:t>
                  </w:r>
                </w:p>
              </w:tc>
              <w:tc>
                <w:tcPr>
                  <w:tcW w:w="916" w:type="dxa"/>
                  <w:noWrap w:val="0"/>
                  <w:tcMar>
                    <w:top w:w="150" w:type="dxa"/>
                    <w:left w:w="240" w:type="dxa"/>
                    <w:bottom w:w="150" w:type="dxa"/>
                    <w:right w:w="240" w:type="dxa"/>
                  </w:tcMar>
                  <w:vAlign w:val="center"/>
                </w:tcPr>
                <w:p w14:paraId="0ACBC35A">
                  <w:pPr>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Times New Roman"/>
                      <w:color w:val="auto"/>
                      <w:sz w:val="21"/>
                      <w:szCs w:val="21"/>
                      <w:highlight w:val="none"/>
                      <w:lang w:val="en-US" w:eastAsia="zh-CN"/>
                    </w:rPr>
                    <w:t>人</w:t>
                  </w:r>
                </w:p>
              </w:tc>
              <w:tc>
                <w:tcPr>
                  <w:tcW w:w="1244" w:type="dxa"/>
                  <w:noWrap w:val="0"/>
                  <w:tcMar>
                    <w:top w:w="150" w:type="dxa"/>
                    <w:left w:w="240" w:type="dxa"/>
                    <w:bottom w:w="150" w:type="dxa"/>
                    <w:right w:w="240" w:type="dxa"/>
                  </w:tcMar>
                  <w:vAlign w:val="center"/>
                </w:tcPr>
                <w:p w14:paraId="5B21520C">
                  <w:pPr>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7:00-12:30, 15:00-17:30</w:t>
                  </w:r>
                </w:p>
              </w:tc>
              <w:tc>
                <w:tcPr>
                  <w:tcW w:w="1833" w:type="dxa"/>
                  <w:noWrap w:val="0"/>
                  <w:tcMar>
                    <w:top w:w="150" w:type="dxa"/>
                    <w:left w:w="240" w:type="dxa"/>
                    <w:bottom w:w="150" w:type="dxa"/>
                    <w:right w:w="240" w:type="dxa"/>
                  </w:tcMar>
                  <w:vAlign w:val="center"/>
                </w:tcPr>
                <w:p w14:paraId="09CB110C">
                  <w:pPr>
                    <w:jc w:val="lef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切配、洗消、分餐、送餐等工作。协助完成幼儿、职工餐分发及配送工作。以及配合完成</w:t>
                  </w:r>
                  <w:r>
                    <w:rPr>
                      <w:rFonts w:hint="eastAsia" w:ascii="宋体" w:hAnsi="宋体" w:eastAsia="宋体" w:cs="Times New Roman"/>
                      <w:color w:val="auto"/>
                      <w:sz w:val="21"/>
                      <w:szCs w:val="21"/>
                      <w:highlight w:val="none"/>
                      <w:lang w:val="en-US" w:eastAsia="zh-CN"/>
                    </w:rPr>
                    <w:t>采购</w:t>
                  </w:r>
                  <w:r>
                    <w:rPr>
                      <w:rFonts w:hint="eastAsia" w:ascii="宋体" w:hAnsi="宋体" w:eastAsia="宋体" w:cs="Times New Roman"/>
                      <w:color w:val="auto"/>
                      <w:szCs w:val="21"/>
                      <w:highlight w:val="none"/>
                      <w:lang w:val="en-US" w:eastAsia="zh-CN"/>
                    </w:rPr>
                    <w:t>人</w:t>
                  </w:r>
                  <w:r>
                    <w:rPr>
                      <w:rFonts w:hint="eastAsia" w:ascii="宋体" w:hAnsi="宋体" w:eastAsia="宋体" w:cs="宋体"/>
                      <w:color w:val="auto"/>
                      <w:kern w:val="2"/>
                      <w:sz w:val="21"/>
                      <w:szCs w:val="21"/>
                      <w:highlight w:val="none"/>
                    </w:rPr>
                    <w:t>布置的各种临时任务。负责包干区域环境卫生消毒、保洁、设备保养工作。</w:t>
                  </w:r>
                </w:p>
              </w:tc>
              <w:tc>
                <w:tcPr>
                  <w:tcW w:w="751" w:type="dxa"/>
                  <w:noWrap w:val="0"/>
                  <w:tcMar>
                    <w:top w:w="150" w:type="dxa"/>
                    <w:left w:w="240" w:type="dxa"/>
                    <w:bottom w:w="150" w:type="dxa"/>
                    <w:right w:w="0" w:type="dxa"/>
                  </w:tcMar>
                  <w:vAlign w:val="center"/>
                </w:tcPr>
                <w:p w14:paraId="58A7218E">
                  <w:pPr>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健康证</w:t>
                  </w:r>
                </w:p>
              </w:tc>
            </w:tr>
            <w:tr w14:paraId="0DFA4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87" w:type="dxa"/>
                  <w:noWrap w:val="0"/>
                  <w:tcMar>
                    <w:top w:w="150" w:type="dxa"/>
                    <w:left w:w="0" w:type="dxa"/>
                    <w:bottom w:w="150" w:type="dxa"/>
                    <w:right w:w="240" w:type="dxa"/>
                  </w:tcMar>
                  <w:vAlign w:val="center"/>
                </w:tcPr>
                <w:p w14:paraId="059DB968">
                  <w:pPr>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p>
              </w:tc>
              <w:tc>
                <w:tcPr>
                  <w:tcW w:w="1015" w:type="dxa"/>
                  <w:noWrap w:val="0"/>
                  <w:tcMar>
                    <w:top w:w="150" w:type="dxa"/>
                    <w:left w:w="240" w:type="dxa"/>
                    <w:bottom w:w="150" w:type="dxa"/>
                    <w:right w:w="240" w:type="dxa"/>
                  </w:tcMar>
                  <w:vAlign w:val="center"/>
                </w:tcPr>
                <w:p w14:paraId="386D8E04">
                  <w:pPr>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厨房杂工</w:t>
                  </w:r>
                </w:p>
              </w:tc>
              <w:tc>
                <w:tcPr>
                  <w:tcW w:w="916" w:type="dxa"/>
                  <w:noWrap w:val="0"/>
                  <w:tcMar>
                    <w:top w:w="150" w:type="dxa"/>
                    <w:left w:w="240" w:type="dxa"/>
                    <w:bottom w:w="150" w:type="dxa"/>
                    <w:right w:w="240" w:type="dxa"/>
                  </w:tcMar>
                  <w:vAlign w:val="center"/>
                </w:tcPr>
                <w:p w14:paraId="5A852471">
                  <w:pPr>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Times New Roman"/>
                      <w:color w:val="auto"/>
                      <w:sz w:val="21"/>
                      <w:szCs w:val="21"/>
                      <w:highlight w:val="none"/>
                      <w:lang w:val="en-US" w:eastAsia="zh-CN"/>
                    </w:rPr>
                    <w:t>人</w:t>
                  </w:r>
                </w:p>
              </w:tc>
              <w:tc>
                <w:tcPr>
                  <w:tcW w:w="1244" w:type="dxa"/>
                  <w:noWrap w:val="0"/>
                  <w:tcMar>
                    <w:top w:w="150" w:type="dxa"/>
                    <w:left w:w="240" w:type="dxa"/>
                    <w:bottom w:w="150" w:type="dxa"/>
                    <w:right w:w="240" w:type="dxa"/>
                  </w:tcMar>
                  <w:vAlign w:val="center"/>
                </w:tcPr>
                <w:p w14:paraId="6E8CE043">
                  <w:pPr>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7:00-12:30, 15:00-17:30</w:t>
                  </w:r>
                </w:p>
              </w:tc>
              <w:tc>
                <w:tcPr>
                  <w:tcW w:w="1833" w:type="dxa"/>
                  <w:noWrap w:val="0"/>
                  <w:tcMar>
                    <w:top w:w="150" w:type="dxa"/>
                    <w:left w:w="240" w:type="dxa"/>
                    <w:bottom w:w="150" w:type="dxa"/>
                    <w:right w:w="240" w:type="dxa"/>
                  </w:tcMar>
                  <w:vAlign w:val="center"/>
                </w:tcPr>
                <w:p w14:paraId="08D2CB8C">
                  <w:pPr>
                    <w:jc w:val="lef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切配、洗消、分餐、送餐等工作。协助完成幼儿、职工餐分发及配送工作。以及配合完成</w:t>
                  </w:r>
                  <w:r>
                    <w:rPr>
                      <w:rFonts w:hint="eastAsia" w:ascii="宋体" w:hAnsi="宋体" w:eastAsia="宋体" w:cs="Times New Roman"/>
                      <w:color w:val="auto"/>
                      <w:sz w:val="21"/>
                      <w:szCs w:val="21"/>
                      <w:highlight w:val="none"/>
                      <w:lang w:val="en-US" w:eastAsia="zh-CN"/>
                    </w:rPr>
                    <w:t>采购</w:t>
                  </w:r>
                  <w:r>
                    <w:rPr>
                      <w:rFonts w:hint="eastAsia" w:ascii="宋体" w:hAnsi="宋体" w:eastAsia="宋体" w:cs="Times New Roman"/>
                      <w:color w:val="auto"/>
                      <w:szCs w:val="21"/>
                      <w:highlight w:val="none"/>
                      <w:lang w:val="en-US" w:eastAsia="zh-CN"/>
                    </w:rPr>
                    <w:t>人</w:t>
                  </w:r>
                  <w:r>
                    <w:rPr>
                      <w:rFonts w:hint="eastAsia" w:ascii="宋体" w:hAnsi="宋体" w:eastAsia="宋体" w:cs="宋体"/>
                      <w:color w:val="auto"/>
                      <w:kern w:val="2"/>
                      <w:sz w:val="21"/>
                      <w:szCs w:val="21"/>
                      <w:highlight w:val="none"/>
                    </w:rPr>
                    <w:t>布置的各种临时任务。负责包干区域环境卫生消毒、保洁、设备保养工作。</w:t>
                  </w:r>
                </w:p>
              </w:tc>
              <w:tc>
                <w:tcPr>
                  <w:tcW w:w="751" w:type="dxa"/>
                  <w:noWrap w:val="0"/>
                  <w:tcMar>
                    <w:top w:w="150" w:type="dxa"/>
                    <w:left w:w="240" w:type="dxa"/>
                    <w:bottom w:w="150" w:type="dxa"/>
                    <w:right w:w="0" w:type="dxa"/>
                  </w:tcMar>
                  <w:vAlign w:val="center"/>
                </w:tcPr>
                <w:p w14:paraId="35C6D88C">
                  <w:pPr>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健康证</w:t>
                  </w:r>
                </w:p>
              </w:tc>
            </w:tr>
          </w:tbl>
          <w:p w14:paraId="617F181F">
            <w:pPr>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（三）卫职分园（1人）</w:t>
            </w:r>
          </w:p>
          <w:tbl>
            <w:tblPr>
              <w:tblStyle w:val="31"/>
              <w:tblW w:w="0" w:type="auto"/>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35"/>
              <w:gridCol w:w="698"/>
              <w:gridCol w:w="840"/>
              <w:gridCol w:w="1681"/>
              <w:gridCol w:w="1855"/>
              <w:gridCol w:w="740"/>
            </w:tblGrid>
            <w:tr w14:paraId="05259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535" w:type="dxa"/>
                  <w:noWrap w:val="0"/>
                  <w:tcMar>
                    <w:top w:w="150" w:type="dxa"/>
                    <w:left w:w="0" w:type="dxa"/>
                    <w:bottom w:w="150" w:type="dxa"/>
                    <w:right w:w="240" w:type="dxa"/>
                  </w:tcMar>
                  <w:vAlign w:val="center"/>
                </w:tcPr>
                <w:p w14:paraId="6B6864D7">
                  <w:pPr>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序号</w:t>
                  </w:r>
                </w:p>
              </w:tc>
              <w:tc>
                <w:tcPr>
                  <w:tcW w:w="698" w:type="dxa"/>
                  <w:noWrap w:val="0"/>
                  <w:tcMar>
                    <w:top w:w="150" w:type="dxa"/>
                    <w:left w:w="240" w:type="dxa"/>
                    <w:bottom w:w="150" w:type="dxa"/>
                    <w:right w:w="240" w:type="dxa"/>
                  </w:tcMar>
                  <w:vAlign w:val="center"/>
                </w:tcPr>
                <w:p w14:paraId="6A4E847E">
                  <w:pPr>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岗位</w:t>
                  </w:r>
                </w:p>
              </w:tc>
              <w:tc>
                <w:tcPr>
                  <w:tcW w:w="840" w:type="dxa"/>
                  <w:noWrap w:val="0"/>
                  <w:tcMar>
                    <w:top w:w="150" w:type="dxa"/>
                    <w:left w:w="240" w:type="dxa"/>
                    <w:bottom w:w="150" w:type="dxa"/>
                    <w:right w:w="240" w:type="dxa"/>
                  </w:tcMar>
                  <w:vAlign w:val="center"/>
                </w:tcPr>
                <w:p w14:paraId="38F6D2D5">
                  <w:pPr>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人数</w:t>
                  </w:r>
                </w:p>
              </w:tc>
              <w:tc>
                <w:tcPr>
                  <w:tcW w:w="1681" w:type="dxa"/>
                  <w:noWrap w:val="0"/>
                  <w:tcMar>
                    <w:top w:w="150" w:type="dxa"/>
                    <w:left w:w="240" w:type="dxa"/>
                    <w:bottom w:w="150" w:type="dxa"/>
                    <w:right w:w="240" w:type="dxa"/>
                  </w:tcMar>
                  <w:vAlign w:val="center"/>
                </w:tcPr>
                <w:p w14:paraId="3B0FB29F">
                  <w:pPr>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工作时间</w:t>
                  </w:r>
                </w:p>
              </w:tc>
              <w:tc>
                <w:tcPr>
                  <w:tcW w:w="1855" w:type="dxa"/>
                  <w:noWrap w:val="0"/>
                  <w:tcMar>
                    <w:top w:w="150" w:type="dxa"/>
                    <w:left w:w="240" w:type="dxa"/>
                    <w:bottom w:w="150" w:type="dxa"/>
                    <w:right w:w="240" w:type="dxa"/>
                  </w:tcMar>
                  <w:vAlign w:val="center"/>
                </w:tcPr>
                <w:p w14:paraId="35376248">
                  <w:pPr>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主要工作内容</w:t>
                  </w:r>
                </w:p>
              </w:tc>
              <w:tc>
                <w:tcPr>
                  <w:tcW w:w="740" w:type="dxa"/>
                  <w:noWrap w:val="0"/>
                  <w:tcMar>
                    <w:top w:w="150" w:type="dxa"/>
                    <w:left w:w="240" w:type="dxa"/>
                    <w:bottom w:w="150" w:type="dxa"/>
                    <w:right w:w="240" w:type="dxa"/>
                  </w:tcMar>
                  <w:vAlign w:val="center"/>
                </w:tcPr>
                <w:p w14:paraId="2947E004">
                  <w:pPr>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资格证书要求</w:t>
                  </w:r>
                </w:p>
              </w:tc>
            </w:tr>
            <w:tr w14:paraId="12B7A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35" w:type="dxa"/>
                  <w:noWrap w:val="0"/>
                  <w:tcMar>
                    <w:top w:w="150" w:type="dxa"/>
                    <w:left w:w="0" w:type="dxa"/>
                    <w:bottom w:w="150" w:type="dxa"/>
                    <w:right w:w="240" w:type="dxa"/>
                  </w:tcMar>
                  <w:vAlign w:val="center"/>
                </w:tcPr>
                <w:p w14:paraId="609E1420">
                  <w:pPr>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698" w:type="dxa"/>
                  <w:noWrap w:val="0"/>
                  <w:tcMar>
                    <w:top w:w="150" w:type="dxa"/>
                    <w:left w:w="240" w:type="dxa"/>
                    <w:bottom w:w="150" w:type="dxa"/>
                    <w:right w:w="240" w:type="dxa"/>
                  </w:tcMar>
                  <w:vAlign w:val="center"/>
                </w:tcPr>
                <w:p w14:paraId="6B561B7E">
                  <w:pPr>
                    <w:ind w:firstLine="0" w:firstLineChars="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红案厨师</w:t>
                  </w:r>
                </w:p>
              </w:tc>
              <w:tc>
                <w:tcPr>
                  <w:tcW w:w="840" w:type="dxa"/>
                  <w:noWrap w:val="0"/>
                  <w:tcMar>
                    <w:top w:w="150" w:type="dxa"/>
                    <w:left w:w="240" w:type="dxa"/>
                    <w:bottom w:w="150" w:type="dxa"/>
                    <w:right w:w="240" w:type="dxa"/>
                  </w:tcMar>
                  <w:vAlign w:val="center"/>
                </w:tcPr>
                <w:p w14:paraId="4674936D">
                  <w:pPr>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Times New Roman"/>
                      <w:color w:val="auto"/>
                      <w:sz w:val="21"/>
                      <w:szCs w:val="21"/>
                      <w:highlight w:val="none"/>
                      <w:lang w:val="en-US" w:eastAsia="zh-CN"/>
                    </w:rPr>
                    <w:t>人</w:t>
                  </w:r>
                </w:p>
              </w:tc>
              <w:tc>
                <w:tcPr>
                  <w:tcW w:w="1681" w:type="dxa"/>
                  <w:noWrap w:val="0"/>
                  <w:tcMar>
                    <w:top w:w="150" w:type="dxa"/>
                    <w:left w:w="240" w:type="dxa"/>
                    <w:bottom w:w="150" w:type="dxa"/>
                    <w:right w:w="240" w:type="dxa"/>
                  </w:tcMar>
                  <w:vAlign w:val="center"/>
                </w:tcPr>
                <w:p w14:paraId="06F2EDC7">
                  <w:pPr>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7:00-12:30, 15:00-17:30</w:t>
                  </w:r>
                </w:p>
              </w:tc>
              <w:tc>
                <w:tcPr>
                  <w:tcW w:w="1855" w:type="dxa"/>
                  <w:noWrap w:val="0"/>
                  <w:tcMar>
                    <w:top w:w="150" w:type="dxa"/>
                    <w:left w:w="240" w:type="dxa"/>
                    <w:bottom w:w="150" w:type="dxa"/>
                    <w:right w:w="240" w:type="dxa"/>
                  </w:tcMar>
                  <w:vAlign w:val="center"/>
                </w:tcPr>
                <w:p w14:paraId="33FBFB06">
                  <w:pPr>
                    <w:jc w:val="lef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红案烹调各种花样菜肴，白案制作各种各样面食</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完成切配、洗消、分餐、送餐等工作幼儿、职工餐工作。以及配合完成</w:t>
                  </w:r>
                  <w:r>
                    <w:rPr>
                      <w:rFonts w:hint="eastAsia" w:ascii="宋体" w:hAnsi="宋体" w:eastAsia="宋体" w:cs="Times New Roman"/>
                      <w:color w:val="auto"/>
                      <w:sz w:val="21"/>
                      <w:szCs w:val="21"/>
                      <w:highlight w:val="none"/>
                      <w:lang w:val="en-US" w:eastAsia="zh-CN"/>
                    </w:rPr>
                    <w:t>采购</w:t>
                  </w:r>
                  <w:r>
                    <w:rPr>
                      <w:rFonts w:hint="eastAsia" w:ascii="宋体" w:hAnsi="宋体" w:eastAsia="宋体" w:cs="Times New Roman"/>
                      <w:color w:val="auto"/>
                      <w:szCs w:val="21"/>
                      <w:highlight w:val="none"/>
                      <w:lang w:val="en-US" w:eastAsia="zh-CN"/>
                    </w:rPr>
                    <w:t>人</w:t>
                  </w:r>
                  <w:r>
                    <w:rPr>
                      <w:rFonts w:hint="eastAsia" w:ascii="宋体" w:hAnsi="宋体" w:eastAsia="宋体" w:cs="宋体"/>
                      <w:color w:val="auto"/>
                      <w:kern w:val="2"/>
                      <w:sz w:val="21"/>
                      <w:szCs w:val="21"/>
                      <w:highlight w:val="none"/>
                    </w:rPr>
                    <w:t>布置的各种临时任务。各种餐饮设备保洁、保养、区域环境卫生消毒工作。</w:t>
                  </w:r>
                </w:p>
              </w:tc>
              <w:tc>
                <w:tcPr>
                  <w:tcW w:w="740" w:type="dxa"/>
                  <w:noWrap w:val="0"/>
                  <w:tcMar>
                    <w:top w:w="150" w:type="dxa"/>
                    <w:left w:w="240" w:type="dxa"/>
                    <w:bottom w:w="150" w:type="dxa"/>
                    <w:right w:w="0" w:type="dxa"/>
                  </w:tcMar>
                  <w:vAlign w:val="center"/>
                </w:tcPr>
                <w:p w14:paraId="0DFC659B">
                  <w:pPr>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中式烹调师或面点师初级及以上</w:t>
                  </w:r>
                </w:p>
              </w:tc>
            </w:tr>
          </w:tbl>
          <w:p w14:paraId="318B8655">
            <w:pPr>
              <w:ind w:firstLine="422" w:firstLineChars="200"/>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上述人员数量不限于园区常规配备标准。各岗位人员在履行主要工作职责的同时，应根据采购</w:t>
            </w:r>
            <w:r>
              <w:rPr>
                <w:rFonts w:hint="eastAsia" w:ascii="宋体" w:hAnsi="宋体" w:cs="宋体"/>
                <w:b/>
                <w:bCs/>
                <w:color w:val="auto"/>
                <w:sz w:val="21"/>
                <w:szCs w:val="21"/>
                <w:highlight w:val="none"/>
                <w:lang w:val="en-US" w:eastAsia="zh-CN"/>
              </w:rPr>
              <w:t>人</w:t>
            </w:r>
            <w:r>
              <w:rPr>
                <w:rFonts w:hint="eastAsia" w:ascii="宋体" w:hAnsi="宋体" w:eastAsia="宋体" w:cs="宋体"/>
                <w:b/>
                <w:bCs/>
                <w:color w:val="auto"/>
                <w:sz w:val="21"/>
                <w:szCs w:val="21"/>
                <w:highlight w:val="none"/>
                <w:lang w:eastAsia="zh-CN"/>
              </w:rPr>
              <w:t>实际需求，灵活调整并承担相应的工作内容及地点。</w:t>
            </w:r>
          </w:p>
          <w:p w14:paraId="395261F5">
            <w:pPr>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通用要求：</w:t>
            </w:r>
          </w:p>
          <w:p w14:paraId="5FEFAE0D">
            <w:pPr>
              <w:pStyle w:val="12"/>
              <w:ind w:firstLine="420" w:firstLineChars="200"/>
              <w:rPr>
                <w:rFonts w:hint="eastAsia" w:ascii="宋体" w:hAnsi="宋体" w:eastAsia="宋体" w:cs="宋体"/>
                <w:color w:val="auto"/>
                <w:sz w:val="21"/>
                <w:szCs w:val="21"/>
                <w:highlight w:val="none"/>
              </w:rPr>
            </w:pPr>
            <w:bookmarkStart w:id="42" w:name="_GoBack"/>
            <w:bookmarkEnd w:id="42"/>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所有人员须持</w:t>
            </w:r>
            <w:r>
              <w:rPr>
                <w:rFonts w:hint="eastAsia" w:ascii="宋体" w:hAnsi="宋体" w:eastAsia="宋体" w:cs="宋体"/>
                <w:color w:val="auto"/>
                <w:sz w:val="21"/>
                <w:szCs w:val="21"/>
                <w:highlight w:val="none"/>
                <w:lang w:val="en-US" w:eastAsia="zh-CN"/>
              </w:rPr>
              <w:t>有效的健康证，健康</w:t>
            </w:r>
            <w:r>
              <w:rPr>
                <w:rFonts w:hint="eastAsia" w:ascii="宋体" w:hAnsi="宋体" w:cs="宋体"/>
                <w:color w:val="auto"/>
                <w:sz w:val="21"/>
                <w:szCs w:val="21"/>
                <w:highlight w:val="none"/>
                <w:lang w:val="en-US" w:eastAsia="zh-CN"/>
              </w:rPr>
              <w:t>证</w:t>
            </w:r>
            <w:r>
              <w:rPr>
                <w:rFonts w:hint="eastAsia" w:ascii="宋体" w:hAnsi="宋体" w:eastAsia="宋体" w:cs="宋体"/>
                <w:color w:val="auto"/>
                <w:sz w:val="21"/>
                <w:szCs w:val="21"/>
                <w:highlight w:val="none"/>
                <w:lang w:val="en-US" w:eastAsia="zh-CN"/>
              </w:rPr>
              <w:t>可为</w:t>
            </w:r>
            <w:r>
              <w:rPr>
                <w:rFonts w:hint="eastAsia" w:ascii="Arial" w:hAnsi="Arial" w:eastAsia="宋体" w:cs="Arial"/>
                <w:color w:val="auto"/>
                <w:szCs w:val="21"/>
                <w:highlight w:val="none"/>
                <w:lang w:val="en-US" w:eastAsia="zh-CN"/>
              </w:rPr>
              <w:t>卫生监督机构发放的（或医疗机构发放的）有效健康证，有效的</w:t>
            </w:r>
            <w:r>
              <w:rPr>
                <w:rFonts w:hint="eastAsia" w:ascii="宋体" w:hAnsi="宋体" w:eastAsia="宋体" w:cs="宋体"/>
                <w:color w:val="auto"/>
                <w:sz w:val="21"/>
                <w:szCs w:val="21"/>
                <w:highlight w:val="none"/>
              </w:rPr>
              <w:t>食品安全知识培训合格证</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rPr>
              <w:t>无犯罪记录证明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查询时间为</w:t>
            </w:r>
            <w:r>
              <w:rPr>
                <w:rFonts w:hint="eastAsia"/>
                <w:lang w:val="en-US" w:eastAsia="zh-CN"/>
              </w:rPr>
              <w:t>自签订合同后5个工作日内提供。</w:t>
            </w:r>
            <w:r>
              <w:rPr>
                <w:rFonts w:hint="eastAsia" w:ascii="宋体" w:hAnsi="宋体" w:eastAsia="宋体" w:cs="宋体"/>
                <w:color w:val="auto"/>
                <w:sz w:val="21"/>
                <w:szCs w:val="21"/>
                <w:highlight w:val="none"/>
              </w:rPr>
              <w:t>无犯罪记录证明</w:t>
            </w:r>
            <w:r>
              <w:rPr>
                <w:rFonts w:hint="eastAsia" w:ascii="宋体" w:hAnsi="宋体" w:eastAsia="宋体" w:cs="宋体"/>
                <w:color w:val="auto"/>
                <w:sz w:val="21"/>
                <w:szCs w:val="21"/>
                <w:highlight w:val="none"/>
                <w:lang w:val="en-US" w:eastAsia="zh-CN"/>
              </w:rPr>
              <w:t>可提供复印件加</w:t>
            </w:r>
            <w:r>
              <w:rPr>
                <w:rFonts w:hint="eastAsia" w:ascii="宋体" w:hAnsi="宋体" w:cs="宋体"/>
                <w:color w:val="auto"/>
                <w:sz w:val="21"/>
                <w:szCs w:val="21"/>
                <w:highlight w:val="none"/>
                <w:lang w:val="en-US" w:eastAsia="zh-CN"/>
              </w:rPr>
              <w:t>盖</w:t>
            </w:r>
            <w:r>
              <w:rPr>
                <w:rFonts w:hint="eastAsia" w:ascii="宋体" w:hAnsi="宋体" w:eastAsia="宋体" w:cs="宋体"/>
                <w:color w:val="auto"/>
                <w:sz w:val="21"/>
                <w:szCs w:val="21"/>
                <w:highlight w:val="none"/>
                <w:lang w:val="en-US" w:eastAsia="zh-CN"/>
              </w:rPr>
              <w:t>成交供应商公章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7E72AFBF">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食堂主管须常驻总园，如变更需采购人书面同意，否则按违约处理。</w:t>
            </w:r>
          </w:p>
          <w:p w14:paraId="1B85E254">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供应商应保持人员稳定，半学期（约4个月）内离职率不得超过20%。</w:t>
            </w:r>
          </w:p>
          <w:p w14:paraId="0C2D92AE">
            <w:pPr>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五、其他工作要求</w:t>
            </w:r>
          </w:p>
          <w:p w14:paraId="6C78E123">
            <w:pPr>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（一）常规工作管理要求</w:t>
            </w:r>
          </w:p>
          <w:p w14:paraId="4C21FB11">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1.严格执行“5A”食堂管理系统，制定管理办法、规章制度、岗位职责，工作人员统一着装、佩戴工牌、口罩、服务帽，文明服务</w:t>
            </w:r>
            <w:r>
              <w:rPr>
                <w:rFonts w:hint="eastAsia" w:ascii="宋体" w:hAnsi="宋体" w:eastAsia="宋体" w:cs="宋体"/>
                <w:i w:val="0"/>
                <w:iCs w:val="0"/>
                <w:caps w:val="0"/>
                <w:color w:val="auto"/>
                <w:spacing w:val="0"/>
                <w:sz w:val="21"/>
                <w:szCs w:val="21"/>
                <w:highlight w:val="none"/>
                <w:shd w:val="clear" w:color="auto" w:fill="FFFFFF"/>
              </w:rPr>
              <w:t>。</w:t>
            </w:r>
          </w:p>
          <w:p w14:paraId="2BF94C20">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2.保持团队稳定，每年体检，心理健康，无不良记录，善于沟通，具有创新能力。每季度至少培训一次服务技能、烹饪技术、安全生产，建立培训档案。</w:t>
            </w:r>
          </w:p>
          <w:p w14:paraId="1AB0ED49">
            <w:pPr>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3.供应商负责所聘人员的日常管理，包括招聘、服务、卫生、安全等。因管理不善导致安全生产或食品安全事故的，供应商承担全部责任。</w:t>
            </w:r>
          </w:p>
          <w:p w14:paraId="26F5E478">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4.每月开展不少于一次食品安全、消防安全等培训，提供培训记录。</w:t>
            </w:r>
          </w:p>
          <w:p w14:paraId="69B5BE1F">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5.供应商承担人员工资、福利、体检、培训、劳保用品（工作服、帽、鞋、袖套、消毒洗涤用品等）、税金、保险、社保等一切费用。</w:t>
            </w:r>
          </w:p>
          <w:p w14:paraId="2A263F6A">
            <w:pPr>
              <w:keepNext w:val="0"/>
              <w:keepLines w:val="0"/>
              <w:widowControl/>
              <w:numPr>
                <w:ilvl w:val="-1"/>
                <w:numId w:val="0"/>
              </w:numPr>
              <w:suppressLineNumbers w:val="0"/>
              <w:spacing w:before="0" w:beforeAutospacing="0" w:after="0" w:afterAutospacing="0"/>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6.所聘人员与采购人无劳动关系。供应商须按照《中华人民共和国</w:t>
            </w:r>
            <w:r>
              <w:rPr>
                <w:rFonts w:hint="eastAsia" w:ascii="宋体" w:hAnsi="宋体" w:eastAsia="宋体" w:cs="Times New Roman"/>
                <w:color w:val="auto"/>
                <w:kern w:val="2"/>
                <w:sz w:val="21"/>
                <w:szCs w:val="21"/>
                <w:highlight w:val="none"/>
                <w:lang w:val="en-US" w:eastAsia="zh-CN" w:bidi="ar-SA"/>
              </w:rPr>
              <w:t>劳动合同法</w:t>
            </w:r>
            <w:r>
              <w:rPr>
                <w:rFonts w:hint="eastAsia" w:ascii="宋体" w:hAnsi="宋体" w:eastAsia="宋体" w:cs="宋体"/>
                <w:color w:val="auto"/>
                <w:kern w:val="2"/>
                <w:sz w:val="21"/>
                <w:szCs w:val="21"/>
                <w:highlight w:val="none"/>
                <w:lang w:val="en-US" w:eastAsia="zh-CN" w:bidi="ar-SA"/>
              </w:rPr>
              <w:t>》与员工建立劳动关系，劳动纠纷与采购人无关。</w:t>
            </w:r>
          </w:p>
          <w:p w14:paraId="5028E530">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7.除厨师试餐外，不得侵占幼儿食物。食品中不得出现异物，禁止使用食品添加剂。</w:t>
            </w:r>
          </w:p>
          <w:p w14:paraId="2CA2EB90">
            <w:pPr>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8.根据采购人意见定期研发菜品，适时更换品种、造型、口味。采购人有权要求轮换厨师团队（同资质或更高资质），不断改进服务。</w:t>
            </w:r>
          </w:p>
          <w:p w14:paraId="72FD9571">
            <w:pPr>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（二）违约责任要求</w:t>
            </w:r>
          </w:p>
          <w:p w14:paraId="4371F021">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1.对供应商的管理要求</w:t>
            </w:r>
          </w:p>
          <w:p w14:paraId="506B00EF">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（1）合同期内因</w:t>
            </w:r>
            <w:r>
              <w:rPr>
                <w:rFonts w:hint="eastAsia" w:ascii="宋体" w:hAnsi="宋体" w:eastAsia="宋体" w:cs="Times New Roman"/>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不按规定、规范和要求进行工作，造成发生重大工作失误、事故，造成严重后果的，每发生一起，扣除履约保证金的2%，造成采购人或第三方损失的，采购人有权追偿。</w:t>
            </w:r>
          </w:p>
          <w:p w14:paraId="5B9B37C1">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Times New Roman"/>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因服务工作不到位造成采购人被自治区、市、城区等相关部门通报或合同期内</w:t>
            </w:r>
            <w:r>
              <w:rPr>
                <w:rFonts w:hint="eastAsia" w:ascii="宋体" w:hAnsi="宋体" w:eastAsia="宋体" w:cs="Times New Roman"/>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发生一起重大工作失误、事故，造成严重后果的，采购人有权</w:t>
            </w:r>
            <w:r>
              <w:rPr>
                <w:rFonts w:hint="eastAsia" w:ascii="宋体" w:hAnsi="宋体" w:eastAsia="宋体" w:cs="宋体"/>
                <w:color w:val="auto"/>
                <w:sz w:val="21"/>
                <w:szCs w:val="21"/>
                <w:highlight w:val="none"/>
                <w:lang w:val="en-US" w:eastAsia="zh-Hans"/>
              </w:rPr>
              <w:t>单方</w:t>
            </w:r>
            <w:r>
              <w:rPr>
                <w:rFonts w:hint="eastAsia" w:ascii="宋体" w:hAnsi="宋体" w:eastAsia="宋体" w:cs="宋体"/>
                <w:color w:val="auto"/>
                <w:sz w:val="21"/>
                <w:szCs w:val="21"/>
                <w:highlight w:val="none"/>
                <w:lang w:val="en-US" w:eastAsia="zh-CN"/>
              </w:rPr>
              <w:t>终止服务合同，造成采购人或第三方损失的，采购人有权追究赔偿。</w:t>
            </w:r>
          </w:p>
          <w:p w14:paraId="23F7319C">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Times New Roman"/>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进驻服务前，项目管理人员必须通过采购人面试审核后任用。</w:t>
            </w:r>
            <w:r>
              <w:rPr>
                <w:rFonts w:hint="eastAsia" w:ascii="宋体" w:hAnsi="宋体" w:eastAsia="宋体" w:cs="Times New Roman"/>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进驻服务后，人员配置中要求需经过</w:t>
            </w:r>
            <w:r>
              <w:rPr>
                <w:rFonts w:hint="eastAsia" w:ascii="宋体" w:hAnsi="宋体" w:eastAsia="宋体" w:cs="Times New Roman"/>
                <w:color w:val="auto"/>
                <w:sz w:val="21"/>
                <w:szCs w:val="21"/>
                <w:highlight w:val="none"/>
                <w:lang w:val="en-US" w:eastAsia="zh-CN"/>
              </w:rPr>
              <w:t>采购</w:t>
            </w:r>
            <w:r>
              <w:rPr>
                <w:rFonts w:hint="eastAsia" w:ascii="宋体" w:hAnsi="宋体" w:eastAsia="宋体" w:cs="Times New Roman"/>
                <w:color w:val="auto"/>
                <w:szCs w:val="21"/>
                <w:highlight w:val="none"/>
                <w:lang w:val="en-US" w:eastAsia="zh-CN"/>
              </w:rPr>
              <w:t>人</w:t>
            </w:r>
            <w:r>
              <w:rPr>
                <w:rFonts w:hint="eastAsia" w:ascii="宋体" w:hAnsi="宋体" w:eastAsia="宋体" w:cs="宋体"/>
                <w:color w:val="auto"/>
                <w:sz w:val="21"/>
                <w:szCs w:val="21"/>
                <w:highlight w:val="none"/>
                <w:lang w:val="en-US" w:eastAsia="zh-CN"/>
              </w:rPr>
              <w:t>面试确定的各岗位，如面试不合格，</w:t>
            </w:r>
            <w:r>
              <w:rPr>
                <w:rFonts w:hint="eastAsia" w:ascii="宋体" w:hAnsi="宋体" w:eastAsia="宋体" w:cs="Times New Roman"/>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必须按采购人要求更换人员，</w:t>
            </w:r>
            <w:r>
              <w:rPr>
                <w:rFonts w:hint="eastAsia" w:ascii="宋体" w:hAnsi="宋体" w:eastAsia="宋体" w:cs="Times New Roman"/>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在3天内不予更换则视为违约，累计违约2次，第3次起每次扣除</w:t>
            </w:r>
            <w:r>
              <w:rPr>
                <w:rFonts w:hint="eastAsia" w:ascii="宋体" w:hAnsi="宋体" w:eastAsia="宋体" w:cs="Times New Roman"/>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服务费200元/次。服务期内</w:t>
            </w:r>
            <w:r>
              <w:rPr>
                <w:rFonts w:hint="eastAsia" w:ascii="宋体" w:hAnsi="宋体" w:eastAsia="宋体" w:cs="Times New Roman"/>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应确保本项目管理人员的稳定，管理人员变更必须征得采购人同意，未经采购人同意的管理人员变更须向采购人支付1000元/人次的违约金及管理培训费用。</w:t>
            </w:r>
          </w:p>
          <w:p w14:paraId="3048E703">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（4）以上各项服务人员须接受采购人相关部门的管理，还须遵守国家法律法规、国家意识形态工作要求、国家餐饮服务管理标准及采购人相关管理规定，对达不到管理要求的，</w:t>
            </w:r>
            <w:r>
              <w:rPr>
                <w:rFonts w:hint="eastAsia" w:ascii="宋体" w:hAnsi="宋体" w:eastAsia="宋体" w:cs="Times New Roman"/>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必须按采购人要求更换，</w:t>
            </w:r>
            <w:r>
              <w:rPr>
                <w:rFonts w:hint="eastAsia" w:ascii="宋体" w:hAnsi="宋体" w:eastAsia="宋体" w:cs="Times New Roman"/>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在3天内不予更换则视为违约，累计违约2次，第3次起每次扣除</w:t>
            </w:r>
            <w:r>
              <w:rPr>
                <w:rFonts w:hint="eastAsia" w:ascii="宋体" w:hAnsi="宋体" w:eastAsia="宋体" w:cs="Times New Roman"/>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服务费200元/次。</w:t>
            </w:r>
          </w:p>
          <w:p w14:paraId="14867131">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（5）采购人对</w:t>
            </w:r>
            <w:r>
              <w:rPr>
                <w:rFonts w:hint="eastAsia" w:ascii="宋体" w:hAnsi="宋体" w:eastAsia="宋体" w:cs="Times New Roman"/>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的服务定期每月进行考核。考核达80分以上为合格。考核低于80分，采购人可以扣当月服务费2%作为违约金；考核低于70分，采购人可以扣当月服务费5%作为违约金；考核低于60分，采购人可以扣当月服务费10%作为违约金，并可以解除合同。</w:t>
            </w:r>
          </w:p>
          <w:p w14:paraId="19E2B16B">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Times New Roman"/>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有不按参数文件规定执行，违反采购人规章制度，拒不落实采购人工作要求和有下列行为的，每发现一次，采购人有权扣除</w:t>
            </w:r>
            <w:r>
              <w:rPr>
                <w:rFonts w:hint="eastAsia" w:ascii="宋体" w:hAnsi="宋体" w:eastAsia="宋体" w:cs="Times New Roman"/>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服务费1000元</w:t>
            </w:r>
            <w:r>
              <w:rPr>
                <w:rFonts w:hint="eastAsia" w:ascii="宋体" w:hAnsi="宋体" w:eastAsia="宋体" w:cs="宋体"/>
                <w:color w:val="auto"/>
                <w:sz w:val="21"/>
                <w:szCs w:val="21"/>
                <w:highlight w:val="none"/>
                <w:lang w:val="en-US" w:eastAsia="zh-Hans"/>
              </w:rPr>
              <w:t>，若累计发现</w:t>
            </w:r>
            <w:r>
              <w:rPr>
                <w:rFonts w:hint="eastAsia" w:ascii="宋体" w:hAnsi="宋体" w:eastAsia="宋体" w:cs="宋体"/>
                <w:color w:val="auto"/>
                <w:sz w:val="21"/>
                <w:szCs w:val="21"/>
                <w:highlight w:val="none"/>
                <w:lang w:val="en-US" w:eastAsia="zh-CN"/>
              </w:rPr>
              <w:t>有</w:t>
            </w:r>
            <w:r>
              <w:rPr>
                <w:rFonts w:hint="eastAsia" w:ascii="宋体" w:hAnsi="宋体" w:eastAsia="宋体" w:cs="宋体"/>
                <w:color w:val="auto"/>
                <w:sz w:val="21"/>
                <w:szCs w:val="21"/>
                <w:highlight w:val="none"/>
                <w:lang w:val="en-US" w:eastAsia="zh-Hans"/>
              </w:rPr>
              <w:t>下列行为</w:t>
            </w:r>
            <w:r>
              <w:rPr>
                <w:rFonts w:hint="eastAsia" w:ascii="宋体" w:hAnsi="宋体" w:eastAsia="宋体" w:cs="宋体"/>
                <w:color w:val="auto"/>
                <w:sz w:val="21"/>
                <w:szCs w:val="21"/>
                <w:highlight w:val="none"/>
                <w:lang w:val="en-US" w:eastAsia="zh-CN"/>
              </w:rPr>
              <w:t>之一</w:t>
            </w:r>
            <w:r>
              <w:rPr>
                <w:rFonts w:hint="eastAsia" w:ascii="宋体" w:hAnsi="宋体" w:eastAsia="宋体" w:cs="宋体"/>
                <w:color w:val="auto"/>
                <w:sz w:val="21"/>
                <w:szCs w:val="21"/>
                <w:highlight w:val="none"/>
                <w:lang w:val="en-US" w:eastAsia="zh-Hans"/>
              </w:rPr>
              <w:t>达</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Hans"/>
              </w:rPr>
              <w:t>次以上的，采购人有权单方解除合同</w:t>
            </w:r>
            <w:r>
              <w:rPr>
                <w:rFonts w:hint="eastAsia" w:ascii="宋体" w:hAnsi="宋体" w:eastAsia="宋体" w:cs="宋体"/>
                <w:color w:val="auto"/>
                <w:sz w:val="21"/>
                <w:szCs w:val="21"/>
                <w:highlight w:val="none"/>
                <w:lang w:val="en-US" w:eastAsia="zh-CN"/>
              </w:rPr>
              <w:t>：</w:t>
            </w:r>
          </w:p>
          <w:p w14:paraId="1B0E2F90">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①人员投入不足造成供餐延误事故的；</w:t>
            </w:r>
          </w:p>
          <w:p w14:paraId="33AFC3B6">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②月考核分数低于80分的（相关考核标准详见附件2：食堂运维管理服务质量月考核表）；</w:t>
            </w:r>
          </w:p>
          <w:p w14:paraId="13D9BA06">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③未体检导致传染性疾病带入；</w:t>
            </w:r>
          </w:p>
          <w:p w14:paraId="52C12F4B">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④未按时发放工资造成安全隐患；</w:t>
            </w:r>
          </w:p>
          <w:p w14:paraId="219FBA26">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⑤违反安全条例、安全操作规程，造成人员伤亡事故或采购人财产重大损失的；</w:t>
            </w:r>
          </w:p>
          <w:p w14:paraId="0AE46192">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⑥携带违禁物品（武器、毒品、爆炸品、易燃品、强腐蚀性物品等）</w:t>
            </w:r>
            <w:r>
              <w:rPr>
                <w:rFonts w:hint="eastAsia"/>
                <w:color w:val="auto"/>
                <w:highlight w:val="none"/>
                <w:lang w:val="en-US" w:eastAsia="zh-CN"/>
              </w:rPr>
              <w:t>进入</w:t>
            </w:r>
            <w:r>
              <w:rPr>
                <w:rFonts w:hint="eastAsia" w:ascii="宋体" w:hAnsi="宋体" w:eastAsia="宋体" w:cs="宋体"/>
                <w:color w:val="auto"/>
                <w:sz w:val="21"/>
                <w:szCs w:val="21"/>
                <w:highlight w:val="none"/>
                <w:lang w:val="en-US" w:eastAsia="zh-CN"/>
              </w:rPr>
              <w:t>采购人园区的；</w:t>
            </w:r>
          </w:p>
          <w:p w14:paraId="3C44CE97">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⑦在采购人内进行违法乱纪行为、违反治安管理条例等行为的；</w:t>
            </w:r>
          </w:p>
          <w:p w14:paraId="47BD2DEB">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⑧因服务人员内部矛盾影响采购人正常办公、开放秩序的。</w:t>
            </w:r>
          </w:p>
          <w:p w14:paraId="7DEBB327">
            <w:pPr>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（三）对本项目管理人员的要求</w:t>
            </w:r>
          </w:p>
          <w:p w14:paraId="4776512B">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Times New Roman"/>
                <w:color w:val="auto"/>
                <w:sz w:val="21"/>
                <w:szCs w:val="21"/>
                <w:highlight w:val="none"/>
                <w:lang w:val="en-US" w:eastAsia="zh-CN"/>
              </w:rPr>
              <w:t>成交供应商食堂</w:t>
            </w:r>
            <w:r>
              <w:rPr>
                <w:rFonts w:hint="eastAsia" w:ascii="宋体" w:hAnsi="宋体" w:eastAsia="宋体" w:cs="宋体"/>
                <w:color w:val="auto"/>
                <w:sz w:val="21"/>
                <w:szCs w:val="21"/>
                <w:highlight w:val="none"/>
                <w:lang w:val="en-US" w:eastAsia="zh-CN"/>
              </w:rPr>
              <w:t>主管不按</w:t>
            </w:r>
            <w:r>
              <w:rPr>
                <w:rFonts w:hint="eastAsia" w:ascii="宋体" w:hAnsi="宋体" w:eastAsia="宋体" w:cs="宋体"/>
                <w:b/>
                <w:bCs/>
                <w:color w:val="auto"/>
                <w:sz w:val="21"/>
                <w:szCs w:val="21"/>
                <w:highlight w:val="none"/>
              </w:rPr>
              <w:t>人员配备要求</w:t>
            </w:r>
            <w:r>
              <w:rPr>
                <w:rFonts w:hint="eastAsia" w:ascii="宋体" w:hAnsi="宋体" w:eastAsia="宋体" w:cs="宋体"/>
                <w:color w:val="auto"/>
                <w:sz w:val="21"/>
                <w:szCs w:val="21"/>
                <w:highlight w:val="none"/>
                <w:lang w:val="en-US" w:eastAsia="zh-CN"/>
              </w:rPr>
              <w:t>规定执行，不履行</w:t>
            </w:r>
            <w:r>
              <w:rPr>
                <w:rFonts w:hint="eastAsia"/>
                <w:color w:val="auto"/>
                <w:highlight w:val="none"/>
                <w:lang w:val="en-US" w:eastAsia="zh-CN"/>
              </w:rPr>
              <w:t>食堂</w:t>
            </w:r>
            <w:r>
              <w:rPr>
                <w:rFonts w:hint="eastAsia" w:ascii="宋体" w:hAnsi="宋体" w:eastAsia="宋体" w:cs="宋体"/>
                <w:color w:val="auto"/>
                <w:sz w:val="21"/>
                <w:szCs w:val="21"/>
                <w:highlight w:val="none"/>
                <w:lang w:val="en-US" w:eastAsia="zh-CN"/>
              </w:rPr>
              <w:t>主管职责，违反采购人规章制度的，每发生一起，采购人扣除当月应支付成交人服务费2000元，并责令成交人严肃纪律、调整人员。</w:t>
            </w:r>
          </w:p>
          <w:p w14:paraId="578707B2">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①私自带无关人员进入采购人非公共开放部位的；</w:t>
            </w:r>
          </w:p>
          <w:p w14:paraId="5EC8C1B6">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②在考勤、值班、检查、记录（包括书面和口头）弄虚作假，伪造的；</w:t>
            </w:r>
          </w:p>
          <w:p w14:paraId="71177B9D">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③对采购人工作通知、投诉在1个工作日内不处理不上报的；</w:t>
            </w:r>
          </w:p>
          <w:p w14:paraId="68D13B14">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④利用工作之便索要、收受他人贿赂、贪污公款、谋取私利的；</w:t>
            </w:r>
          </w:p>
          <w:p w14:paraId="3EB4695E">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⑤发现安全隐患不及时排查、报告的；</w:t>
            </w:r>
          </w:p>
          <w:p w14:paraId="52C97F28">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⑥不接受不配合督查人员查岗的；</w:t>
            </w:r>
          </w:p>
          <w:p w14:paraId="0B988DBB">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⑦主管以上领导手机不24小时开机的。</w:t>
            </w:r>
          </w:p>
          <w:p w14:paraId="502571E8">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color w:val="auto"/>
                <w:highlight w:val="none"/>
                <w:lang w:val="en-US" w:eastAsia="zh-CN"/>
              </w:rPr>
              <w:t>食堂</w:t>
            </w:r>
            <w:r>
              <w:rPr>
                <w:rFonts w:hint="eastAsia" w:ascii="宋体" w:hAnsi="宋体" w:eastAsia="宋体" w:cs="宋体"/>
                <w:color w:val="auto"/>
                <w:sz w:val="21"/>
                <w:szCs w:val="21"/>
                <w:highlight w:val="none"/>
                <w:lang w:val="en-US" w:eastAsia="zh-CN"/>
              </w:rPr>
              <w:t>主管有不按规定时间上下班，外出不指定临时负责人，不服从采购人管理，对采购人投诉3个工作日内不上报、不处理，不落实采购人交办任务，不检查督促食堂安全、管理、卫生保洁质量等行为的，每发现一次扣除成交人服务费500元。</w:t>
            </w:r>
          </w:p>
          <w:p w14:paraId="046EB903">
            <w:pPr>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（四）对本项目服务人员的管理要求</w:t>
            </w:r>
          </w:p>
          <w:p w14:paraId="2036D0FB">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Times New Roman"/>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服务人员如发生以下违规情形之一，每发生一起，采购人扣除当月应支付</w:t>
            </w:r>
            <w:r>
              <w:rPr>
                <w:rFonts w:hint="eastAsia" w:ascii="宋体" w:hAnsi="宋体" w:eastAsia="宋体" w:cs="Times New Roman"/>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服务费100元，并责令</w:t>
            </w:r>
            <w:r>
              <w:rPr>
                <w:rFonts w:hint="eastAsia" w:ascii="宋体" w:hAnsi="宋体" w:eastAsia="宋体" w:cs="Times New Roman"/>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严肃纪律、调整人员。</w:t>
            </w:r>
            <w:r>
              <w:rPr>
                <w:rFonts w:hint="eastAsia" w:ascii="宋体" w:hAnsi="宋体" w:eastAsia="宋体" w:cs="Times New Roman"/>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整改不力，连续2个月内此类情形发生5起</w:t>
            </w:r>
            <w:r>
              <w:rPr>
                <w:rFonts w:hint="eastAsia" w:ascii="宋体" w:hAnsi="宋体" w:eastAsia="宋体" w:cs="宋体"/>
                <w:color w:val="auto"/>
                <w:sz w:val="21"/>
                <w:szCs w:val="21"/>
                <w:highlight w:val="none"/>
                <w:lang w:val="en-US" w:eastAsia="zh-Hans"/>
              </w:rPr>
              <w:t>（含本数）</w:t>
            </w:r>
            <w:r>
              <w:rPr>
                <w:rFonts w:hint="eastAsia" w:ascii="宋体" w:hAnsi="宋体" w:eastAsia="宋体" w:cs="宋体"/>
                <w:color w:val="auto"/>
                <w:sz w:val="21"/>
                <w:szCs w:val="21"/>
                <w:highlight w:val="none"/>
                <w:lang w:val="en-US" w:eastAsia="zh-CN"/>
              </w:rPr>
              <w:t>以上的，违约金额加倍。</w:t>
            </w:r>
          </w:p>
          <w:p w14:paraId="1D5ECABE">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w:t>
            </w:r>
            <w:r>
              <w:rPr>
                <w:rFonts w:hint="eastAsia" w:ascii="宋体" w:hAnsi="宋体" w:eastAsia="宋体" w:cs="Times New Roman"/>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服务人员未按采购人食堂管理服务要求进行服务的；</w:t>
            </w:r>
          </w:p>
          <w:p w14:paraId="62367294">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②迟到早退，脱岗、睡岗、酒后上岗的；工作散漫，粗心大意造成工作差错的；不穿工作服、不</w:t>
            </w:r>
            <w:r>
              <w:rPr>
                <w:rFonts w:hint="eastAsia" w:ascii="宋体" w:hAnsi="宋体" w:cs="宋体"/>
                <w:color w:val="auto"/>
                <w:sz w:val="21"/>
                <w:szCs w:val="21"/>
                <w:highlight w:val="none"/>
                <w:lang w:val="en-US" w:eastAsia="zh-CN"/>
              </w:rPr>
              <w:t>戴</w:t>
            </w:r>
            <w:r>
              <w:rPr>
                <w:rFonts w:hint="eastAsia" w:ascii="宋体" w:hAnsi="宋体" w:eastAsia="宋体" w:cs="宋体"/>
                <w:color w:val="auto"/>
                <w:sz w:val="21"/>
                <w:szCs w:val="21"/>
                <w:highlight w:val="none"/>
                <w:lang w:val="en-US" w:eastAsia="zh-CN"/>
              </w:rPr>
              <w:t>工作牌；不按要求检查、记录的；</w:t>
            </w:r>
          </w:p>
          <w:p w14:paraId="73DD0E70">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③响应不及时的，消极怠工，态度不端正，造成工作被动，拖拉，不能及时完成任务的；</w:t>
            </w:r>
          </w:p>
          <w:p w14:paraId="71BA2DC1">
            <w:pPr>
              <w:pStyle w:val="1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不尊重教职工及家长，与教职工及家长发生言语、肢体冲突，被教职工及家长投诉的；工作时间吃喝、读书看报、打牌、听音乐、下棋、会客、玩手机等做与工作无关事情的；乱丢垃圾、乱写乱画，故意损坏采购人财物的；在采购人</w:t>
            </w:r>
            <w:r>
              <w:rPr>
                <w:rFonts w:hint="eastAsia"/>
                <w:color w:val="auto"/>
                <w:highlight w:val="none"/>
                <w:lang w:val="en-US" w:eastAsia="zh-CN"/>
              </w:rPr>
              <w:t>园区内</w:t>
            </w:r>
            <w:r>
              <w:rPr>
                <w:rFonts w:hint="eastAsia" w:ascii="宋体" w:hAnsi="宋体" w:eastAsia="宋体" w:cs="宋体"/>
                <w:color w:val="auto"/>
                <w:sz w:val="21"/>
                <w:szCs w:val="21"/>
                <w:highlight w:val="none"/>
                <w:lang w:val="en-US" w:eastAsia="zh-CN"/>
              </w:rPr>
              <w:t>打架斗殴酗酒闹事的；</w:t>
            </w:r>
          </w:p>
          <w:p w14:paraId="46D8C732">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⑤厨房工作管辖区域或管辖设施设备脏乱差的；对管理区域内设施设备不检查不登记的；</w:t>
            </w:r>
          </w:p>
          <w:p w14:paraId="35B2A8A0">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⑥服务人员工作时间不接受不配合督查人员查岗的；</w:t>
            </w:r>
          </w:p>
          <w:p w14:paraId="0FBFEDCA">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⑦对采购人提出的整改不按时限要求及时处理，将食堂材料私拿私用的；</w:t>
            </w:r>
          </w:p>
          <w:p w14:paraId="59154CB9">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⑧不按时间要求交接班的，当班时无工作和交接班记录的；工作范围内文字档案未及时整理归档的；</w:t>
            </w:r>
          </w:p>
          <w:p w14:paraId="20D20457">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⑨未按要求上报统计报表、检查数据的；个人资料不实，弄虚作假的；在禁烟区吸烟的；拾遗不报的；上班时间干私活的；</w:t>
            </w:r>
          </w:p>
          <w:p w14:paraId="288225A4">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⑩持假证上岗、违反操作规程、携带危险物品、私自配取采购人钥匙的；</w:t>
            </w:r>
          </w:p>
          <w:p w14:paraId="0CDFCBEA">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⑪发现问题不及时处理汇报，造成不良后果的；无特殊原因不完成采购人交待的任务的。</w:t>
            </w:r>
          </w:p>
          <w:p w14:paraId="7F921024">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2.上述</w:t>
            </w:r>
            <w:r>
              <w:rPr>
                <w:rFonts w:hint="eastAsia" w:ascii="宋体" w:hAnsi="宋体" w:eastAsia="宋体" w:cs="Times New Roman"/>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的违约金由采购人直接从运维服务费、履约保证金里扣除。</w:t>
            </w:r>
          </w:p>
          <w:p w14:paraId="2928A2DA">
            <w:pPr>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（五）职能要求</w:t>
            </w:r>
          </w:p>
          <w:p w14:paraId="14B94D8E">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1.积极参与、配合服从采购人做好食堂事务管理、食堂仓库的管理及食品材料收集和食材验收，清理、分类、入库、场所卫生。</w:t>
            </w:r>
          </w:p>
          <w:p w14:paraId="2D72D03D">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2.负责每日菜品出品及送餐、配餐服务工作，保证每日正常按质按量，温度适宜，密封配送到班上，班级工作人员接收后方可离开。</w:t>
            </w:r>
          </w:p>
          <w:p w14:paraId="729C863B">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3.负责教职工临时加班等其他活动的供餐及服务，服务品质好。</w:t>
            </w:r>
          </w:p>
          <w:p w14:paraId="05461338">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4.负责食堂和职工餐厅卫生保洁工作，确保食品卫生安全及环境整洁。负责食堂餐厨垃圾的处理以及食堂设施设备的管理使用、维护等工作，保洁器具用料自理。</w:t>
            </w:r>
          </w:p>
          <w:p w14:paraId="513285D1">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5.负责每日厨房餐用具的消毒，配合婴幼儿消毒餐具数量的预订、回收、分发，按时按量提供给班级，确保与</w:t>
            </w:r>
            <w:r>
              <w:rPr>
                <w:rFonts w:hint="eastAsia" w:ascii="宋体" w:hAnsi="宋体" w:eastAsia="宋体" w:cs="Times New Roman"/>
                <w:color w:val="auto"/>
                <w:sz w:val="21"/>
                <w:szCs w:val="21"/>
                <w:highlight w:val="none"/>
                <w:lang w:val="en-US" w:eastAsia="zh-CN"/>
              </w:rPr>
              <w:t>采购</w:t>
            </w:r>
            <w:r>
              <w:rPr>
                <w:rFonts w:hint="eastAsia" w:ascii="宋体" w:hAnsi="宋体" w:eastAsia="宋体" w:cs="Times New Roman"/>
                <w:color w:val="auto"/>
                <w:szCs w:val="21"/>
                <w:highlight w:val="none"/>
                <w:lang w:val="en-US" w:eastAsia="zh-CN"/>
              </w:rPr>
              <w:t>人</w:t>
            </w:r>
            <w:r>
              <w:rPr>
                <w:rFonts w:hint="eastAsia" w:ascii="宋体" w:hAnsi="宋体" w:eastAsia="宋体" w:cs="宋体"/>
                <w:color w:val="auto"/>
                <w:sz w:val="21"/>
                <w:szCs w:val="21"/>
                <w:highlight w:val="none"/>
                <w:lang w:val="en-US" w:eastAsia="zh-CN"/>
              </w:rPr>
              <w:t>提供的餐具数量一致，如出现遗失，经调查核实照价赔偿，按照</w:t>
            </w:r>
            <w:r>
              <w:rPr>
                <w:rFonts w:hint="eastAsia" w:ascii="宋体" w:hAnsi="宋体" w:eastAsia="宋体" w:cs="Times New Roman"/>
                <w:color w:val="auto"/>
                <w:sz w:val="21"/>
                <w:szCs w:val="21"/>
                <w:highlight w:val="none"/>
                <w:lang w:val="en-US" w:eastAsia="zh-CN"/>
              </w:rPr>
              <w:t>采购</w:t>
            </w:r>
            <w:r>
              <w:rPr>
                <w:rFonts w:hint="eastAsia" w:ascii="宋体" w:hAnsi="宋体" w:eastAsia="宋体" w:cs="Times New Roman"/>
                <w:color w:val="auto"/>
                <w:szCs w:val="21"/>
                <w:highlight w:val="none"/>
                <w:lang w:val="en-US" w:eastAsia="zh-CN"/>
              </w:rPr>
              <w:t>人</w:t>
            </w:r>
            <w:r>
              <w:rPr>
                <w:rFonts w:hint="eastAsia" w:ascii="宋体" w:hAnsi="宋体" w:eastAsia="宋体" w:cs="宋体"/>
                <w:color w:val="auto"/>
                <w:sz w:val="21"/>
                <w:szCs w:val="21"/>
                <w:highlight w:val="none"/>
                <w:lang w:val="en-US" w:eastAsia="zh-CN"/>
              </w:rPr>
              <w:t>开展各类活动实际使用情况需提供或补充餐饮器皿及食堂用具。</w:t>
            </w:r>
          </w:p>
          <w:p w14:paraId="7D77CECF">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供应商根据采购人日常用餐人数，负责统计次日婴幼儿早餐、中餐、营养餐就餐人数、教职工早餐、午餐用餐人数，按本单位制定的婴幼儿一日带量食谱、特殊儿童餐、自助餐、圩日食育、班级食育等要求进行烹饪制作及配送分餐服务外，能根据幼儿园安排的职工、幼儿食谱需求进行创新与制作。</w:t>
            </w:r>
          </w:p>
          <w:p w14:paraId="1DCCC97E">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供应商烹制餐品应服从采购人营养师指导，按照国家营养健康标准做到减盐、减糖、减油，做到质量好、营养搭配合理，每月能根据婴幼儿园需求创新幼儿、职工菜品，每日婴幼儿菜谱与职工菜谱不能相同，要有所区分；在实际操作中能根据采购人的需求完善烹饪方式，制作出适合婴幼儿、职工的菜肴，临时用餐的供应菜品按预定提供。</w:t>
            </w:r>
          </w:p>
          <w:p w14:paraId="2E80A490">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8.供应商在服务过程中严格落实食品留样管理制度，每餐次的所有菜品均需留样，每个品种留样量不少于125g，留样时间不少于48小时，并做好留样记录（留样时间精确到分钟），接受采购人及有关部门的检查。</w:t>
            </w:r>
          </w:p>
          <w:p w14:paraId="0CB8837B">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供应商所聘用人员应严格遵照相关食品安全法律法规等要求规范操作，杜绝食品安全事故；严禁违规使用燃料，确保安全用电，杜绝火灾事故；积极做好食堂日常卫生保洁工作和设施维（修）养；因供应商管理不善造成人员食物中毒、食品安全事件或消防安全等安全事故，由供应商承担一切责任。给采购人造成损失的，由供应商负责赔偿，同时采购人有权解除合同。</w:t>
            </w:r>
          </w:p>
          <w:p w14:paraId="07CDC703">
            <w:pPr>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（六）考核</w:t>
            </w:r>
          </w:p>
          <w:p w14:paraId="2FC00464">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采购人每月按《食堂运维管理服务质量月考核表》（附件2：食堂运维管理服务质量月考核表）进行考核。</w:t>
            </w:r>
          </w:p>
          <w:p w14:paraId="63CB57D1">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考核合格线：80分（满分100）。</w:t>
            </w:r>
          </w:p>
          <w:p w14:paraId="77B2CF3F">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考核低于80分，采购人可以扣当月服务费2%作为违约金；考核低于70分，采购人可以扣当月服务费5%作为违约金；考核低于60分，采购人可以扣当月服务费10%作为违约金，并可以解除合同。</w:t>
            </w:r>
          </w:p>
          <w:p w14:paraId="02146428">
            <w:pPr>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（七）保险要求</w:t>
            </w:r>
          </w:p>
          <w:p w14:paraId="2FC8D6B2">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合同签订后15个工作日内，供应商须购买：</w:t>
            </w:r>
          </w:p>
          <w:p w14:paraId="76BFFE18">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食品安全责任险：每次事故赔偿限额不低于200万元，累计不低于500万元；</w:t>
            </w:r>
          </w:p>
          <w:p w14:paraId="515C50BC">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公众责任险：每次事故每人赔偿限额不低于50万元，每次事故赔偿限额不低于200万元。</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    保单复印件交采购人备案，保险到期前15日内须续保。</w:t>
            </w:r>
          </w:p>
          <w:p w14:paraId="0EAF86C5">
            <w:pPr>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（八）食品安全专项要求</w:t>
            </w:r>
          </w:p>
          <w:p w14:paraId="08ABDD31">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严格落实食品留样制度：每餐所有菜品留样≥125g，留样时间≥48小时，记录精确到分钟，留样冰箱双锁管理，视频监控覆盖留样区域。</w:t>
            </w:r>
          </w:p>
          <w:p w14:paraId="184C6E05">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实行“明厨亮灶”，摄像头在线率≥99%，视频资料保存≥15天。</w:t>
            </w:r>
          </w:p>
          <w:p w14:paraId="3017B83F">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不得使用隔夜剩菜加工再售，剩余食品当日销毁并记录。</w:t>
            </w:r>
          </w:p>
          <w:p w14:paraId="72CE948B">
            <w:pPr>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（九）节能与反浪费</w:t>
            </w:r>
          </w:p>
          <w:p w14:paraId="0A8AD3D4">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建立节能制度，杜绝水、电、燃气浪费。每月进行食材消耗分析，浪费率超过5%的，采购人有权要求整改。</w:t>
            </w:r>
          </w:p>
          <w:p w14:paraId="558E289A">
            <w:pPr>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六</w:t>
            </w:r>
            <w:r>
              <w:rPr>
                <w:rFonts w:hint="eastAsia" w:ascii="宋体" w:hAnsi="宋体" w:eastAsia="宋体" w:cs="宋体"/>
                <w:b/>
                <w:bCs/>
                <w:color w:val="auto"/>
                <w:sz w:val="21"/>
                <w:szCs w:val="21"/>
                <w:highlight w:val="none"/>
                <w:lang w:val="en-US" w:eastAsia="zh-CN"/>
              </w:rPr>
              <w:t>、其他约定</w:t>
            </w:r>
          </w:p>
          <w:p w14:paraId="5B6DBA4A">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供应商不得转包或分包本项目。</w:t>
            </w:r>
          </w:p>
          <w:p w14:paraId="136DE83F">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采购人提供的厨房设备清单（</w:t>
            </w:r>
            <w:r>
              <w:rPr>
                <w:rFonts w:hint="eastAsia" w:ascii="宋体" w:hAnsi="宋体" w:cs="宋体"/>
                <w:color w:val="auto"/>
                <w:sz w:val="21"/>
                <w:szCs w:val="21"/>
                <w:highlight w:val="none"/>
                <w:lang w:val="en-US" w:eastAsia="zh-CN"/>
              </w:rPr>
              <w:t>格式详见《</w:t>
            </w:r>
            <w:r>
              <w:rPr>
                <w:rFonts w:hint="eastAsia" w:ascii="宋体" w:hAnsi="宋体" w:eastAsia="宋体" w:cs="宋体"/>
                <w:color w:val="auto"/>
                <w:sz w:val="21"/>
                <w:szCs w:val="21"/>
                <w:highlight w:val="none"/>
                <w:lang w:val="en-US" w:eastAsia="zh-CN"/>
              </w:rPr>
              <w:t>附件1：食堂设备清单</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）作为交接依据，供应商应爱惜使用，非正常损坏照价赔偿</w:t>
            </w:r>
            <w:r>
              <w:rPr>
                <w:rFonts w:hint="eastAsia" w:ascii="宋体" w:hAnsi="宋体" w:cs="宋体"/>
                <w:color w:val="auto"/>
                <w:sz w:val="21"/>
                <w:szCs w:val="21"/>
                <w:highlight w:val="none"/>
                <w:lang w:val="en-US" w:eastAsia="zh-CN"/>
              </w:rPr>
              <w:t>（采购人将在成交供应商入园开展相关服务前，依据《</w:t>
            </w:r>
            <w:r>
              <w:rPr>
                <w:rFonts w:hint="eastAsia" w:ascii="宋体" w:hAnsi="宋体" w:eastAsia="宋体" w:cs="宋体"/>
                <w:color w:val="auto"/>
                <w:sz w:val="21"/>
                <w:szCs w:val="21"/>
                <w:highlight w:val="none"/>
                <w:lang w:val="en-US" w:eastAsia="zh-CN"/>
              </w:rPr>
              <w:t>附件1：食堂设备清单</w:t>
            </w:r>
            <w:r>
              <w:rPr>
                <w:rFonts w:hint="eastAsia" w:ascii="宋体" w:hAnsi="宋体" w:cs="宋体"/>
                <w:color w:val="auto"/>
                <w:sz w:val="21"/>
                <w:szCs w:val="21"/>
                <w:highlight w:val="none"/>
                <w:lang w:val="en-US" w:eastAsia="zh-CN"/>
              </w:rPr>
              <w:t>》列明的食堂设备组织现场核对，经双方确认无误后签字交接）</w:t>
            </w:r>
            <w:r>
              <w:rPr>
                <w:rFonts w:hint="eastAsia" w:ascii="宋体" w:hAnsi="宋体" w:eastAsia="宋体" w:cs="宋体"/>
                <w:color w:val="auto"/>
                <w:sz w:val="21"/>
                <w:szCs w:val="21"/>
                <w:highlight w:val="none"/>
                <w:lang w:val="en-US" w:eastAsia="zh-CN"/>
              </w:rPr>
              <w:t>。</w:t>
            </w:r>
          </w:p>
          <w:p w14:paraId="17B776B7">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争议解决：向采购人所在地人民法院提起诉讼。</w:t>
            </w:r>
          </w:p>
        </w:tc>
      </w:tr>
      <w:tr w14:paraId="39B8B5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top"/>
          </w:tcPr>
          <w:p w14:paraId="2AA00233">
            <w:pPr>
              <w:keepNext w:val="0"/>
              <w:keepLines w:val="0"/>
              <w:pageBreakBefore w:val="0"/>
              <w:kinsoku/>
              <w:wordWrap/>
              <w:overflowPunct/>
              <w:topLinePunct w:val="0"/>
              <w:bidi w:val="0"/>
              <w:spacing w:line="360" w:lineRule="auto"/>
              <w:textAlignment w:val="auto"/>
              <w:rPr>
                <w:rFonts w:hint="default" w:ascii="宋体" w:hAnsi="宋体" w:eastAsia="宋体"/>
                <w:color w:val="auto"/>
                <w:szCs w:val="21"/>
                <w:highlight w:val="none"/>
                <w:lang w:val="en-US" w:eastAsia="zh-CN"/>
              </w:rPr>
            </w:pPr>
            <w:r>
              <w:rPr>
                <w:rFonts w:ascii="Arial" w:hAnsi="Arial" w:cs="Arial"/>
                <w:b/>
                <w:bCs/>
                <w:color w:val="auto"/>
                <w:szCs w:val="21"/>
                <w:highlight w:val="none"/>
              </w:rPr>
              <w:t>▲</w:t>
            </w:r>
            <w:r>
              <w:rPr>
                <w:rFonts w:hint="eastAsia" w:ascii="宋体" w:hAnsi="宋体"/>
                <w:b/>
                <w:bCs/>
                <w:color w:val="auto"/>
                <w:szCs w:val="21"/>
                <w:highlight w:val="none"/>
                <w:lang w:val="en-US" w:eastAsia="zh-CN"/>
              </w:rPr>
              <w:t>商务要求</w:t>
            </w:r>
          </w:p>
        </w:tc>
      </w:tr>
      <w:tr w14:paraId="217D7B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39"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4E872432">
            <w:pPr>
              <w:spacing w:line="360" w:lineRule="atLeast"/>
              <w:rPr>
                <w:rFonts w:hint="eastAsia" w:ascii="Arial" w:hAnsi="Arial" w:eastAsia="宋体" w:cs="Arial"/>
                <w:color w:val="auto"/>
                <w:szCs w:val="21"/>
                <w:highlight w:val="none"/>
                <w:lang w:val="en-US" w:eastAsia="zh-CN"/>
              </w:rPr>
            </w:pPr>
            <w:r>
              <w:rPr>
                <w:rFonts w:hint="eastAsia" w:ascii="Arial" w:hAnsi="Arial" w:eastAsia="宋体" w:cs="Arial"/>
                <w:b/>
                <w:bCs/>
                <w:color w:val="auto"/>
                <w:szCs w:val="21"/>
                <w:highlight w:val="none"/>
                <w:lang w:val="en-US" w:eastAsia="zh-CN"/>
              </w:rPr>
              <w:t>一、</w:t>
            </w:r>
            <w:r>
              <w:rPr>
                <w:rFonts w:hint="eastAsia" w:ascii="Arial" w:hAnsi="Arial" w:eastAsia="宋体" w:cs="Arial"/>
                <w:b/>
                <w:bCs/>
                <w:color w:val="auto"/>
                <w:szCs w:val="21"/>
                <w:highlight w:val="none"/>
                <w:lang w:eastAsia="zh-CN"/>
              </w:rPr>
              <w:t>合同签订期</w:t>
            </w:r>
          </w:p>
        </w:tc>
        <w:tc>
          <w:tcPr>
            <w:tcW w:w="4260"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112D80F0">
            <w:pPr>
              <w:spacing w:line="360" w:lineRule="atLeast"/>
              <w:rPr>
                <w:rFonts w:hint="eastAsia" w:ascii="Arial" w:hAnsi="Arial" w:eastAsia="宋体" w:cs="Arial"/>
                <w:color w:val="auto"/>
                <w:szCs w:val="21"/>
                <w:highlight w:val="none"/>
                <w:lang w:val="en-US" w:eastAsia="zh-CN"/>
              </w:rPr>
            </w:pPr>
            <w:r>
              <w:rPr>
                <w:rFonts w:hint="eastAsia" w:ascii="Arial" w:hAnsi="Arial" w:eastAsia="宋体" w:cs="Arial"/>
                <w:color w:val="auto"/>
                <w:szCs w:val="21"/>
                <w:highlight w:val="none"/>
                <w:lang w:eastAsia="zh-CN"/>
              </w:rPr>
              <w:t>自</w:t>
            </w:r>
            <w:r>
              <w:rPr>
                <w:rFonts w:hint="eastAsia" w:ascii="Arial" w:hAnsi="Arial" w:eastAsia="宋体" w:cs="Arial"/>
                <w:color w:val="auto"/>
                <w:szCs w:val="21"/>
                <w:highlight w:val="none"/>
                <w:lang w:val="en-US" w:eastAsia="zh-CN"/>
              </w:rPr>
              <w:t>成交</w:t>
            </w:r>
            <w:r>
              <w:rPr>
                <w:rFonts w:hint="eastAsia" w:ascii="Arial" w:hAnsi="Arial" w:eastAsia="宋体" w:cs="Arial"/>
                <w:color w:val="auto"/>
                <w:szCs w:val="21"/>
                <w:highlight w:val="none"/>
                <w:lang w:eastAsia="zh-CN"/>
              </w:rPr>
              <w:t>通知书发出之日起</w:t>
            </w:r>
            <w:r>
              <w:rPr>
                <w:rFonts w:hint="eastAsia" w:ascii="Arial" w:hAnsi="Arial" w:eastAsia="宋体" w:cs="Arial"/>
                <w:color w:val="auto"/>
                <w:szCs w:val="21"/>
                <w:highlight w:val="none"/>
                <w:lang w:val="en-US" w:eastAsia="zh-CN"/>
              </w:rPr>
              <w:t>2</w:t>
            </w:r>
            <w:r>
              <w:rPr>
                <w:rFonts w:hint="eastAsia" w:ascii="Arial" w:hAnsi="Arial" w:eastAsia="宋体" w:cs="Arial"/>
                <w:color w:val="auto"/>
                <w:szCs w:val="21"/>
                <w:highlight w:val="none"/>
                <w:lang w:eastAsia="zh-CN"/>
              </w:rPr>
              <w:t>5日内。</w:t>
            </w:r>
          </w:p>
        </w:tc>
      </w:tr>
      <w:tr w14:paraId="5CF5DE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39"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779D7ADE">
            <w:pPr>
              <w:spacing w:line="360" w:lineRule="atLeast"/>
              <w:rPr>
                <w:rFonts w:hint="eastAsia" w:ascii="Arial" w:hAnsi="Arial" w:eastAsia="宋体" w:cs="Arial"/>
                <w:color w:val="auto"/>
                <w:szCs w:val="21"/>
                <w:highlight w:val="none"/>
                <w:lang w:eastAsia="zh-CN"/>
              </w:rPr>
            </w:pPr>
            <w:r>
              <w:rPr>
                <w:rFonts w:hint="eastAsia" w:ascii="Arial" w:hAnsi="Arial" w:eastAsia="宋体" w:cs="Arial"/>
                <w:b/>
                <w:bCs/>
                <w:color w:val="auto"/>
                <w:szCs w:val="21"/>
                <w:highlight w:val="none"/>
                <w:lang w:val="en-US" w:eastAsia="zh-CN"/>
              </w:rPr>
              <w:t>二、</w:t>
            </w:r>
            <w:r>
              <w:rPr>
                <w:rFonts w:hint="eastAsia" w:ascii="Arial" w:hAnsi="Arial" w:eastAsia="宋体" w:cs="Arial"/>
                <w:b/>
                <w:bCs/>
                <w:color w:val="auto"/>
                <w:szCs w:val="21"/>
                <w:highlight w:val="none"/>
                <w:lang w:eastAsia="zh-CN"/>
              </w:rPr>
              <w:t>服务期限及地点</w:t>
            </w:r>
          </w:p>
        </w:tc>
        <w:tc>
          <w:tcPr>
            <w:tcW w:w="4260"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36CD0205">
            <w:pPr>
              <w:spacing w:line="240" w:lineRule="auto"/>
              <w:rPr>
                <w:rFonts w:hint="eastAsia" w:ascii="Arial" w:hAnsi="Arial" w:eastAsia="宋体" w:cs="Arial"/>
                <w:color w:val="auto"/>
                <w:szCs w:val="21"/>
                <w:highlight w:val="none"/>
                <w:lang w:eastAsia="zh-CN"/>
              </w:rPr>
            </w:pPr>
            <w:r>
              <w:rPr>
                <w:rFonts w:hint="eastAsia" w:ascii="Arial" w:hAnsi="Arial" w:eastAsia="宋体" w:cs="Arial"/>
                <w:color w:val="auto"/>
                <w:szCs w:val="21"/>
                <w:highlight w:val="none"/>
                <w:lang w:eastAsia="zh-CN"/>
              </w:rPr>
              <w:t>1.服务期限（合同履行期限）：</w:t>
            </w:r>
            <w:r>
              <w:rPr>
                <w:rFonts w:hint="eastAsia" w:ascii="Arial" w:hAnsi="Arial" w:cs="Arial"/>
                <w:color w:val="auto"/>
                <w:szCs w:val="21"/>
                <w:highlight w:val="none"/>
                <w:lang w:val="en-US" w:eastAsia="zh-CN"/>
              </w:rPr>
              <w:t>一年（从签订合同之日起）。</w:t>
            </w:r>
          </w:p>
          <w:p w14:paraId="5E553478">
            <w:pPr>
              <w:spacing w:line="240" w:lineRule="auto"/>
              <w:rPr>
                <w:rFonts w:hint="eastAsia" w:ascii="Arial" w:hAnsi="Arial" w:eastAsia="宋体" w:cs="Arial"/>
                <w:color w:val="auto"/>
                <w:szCs w:val="21"/>
                <w:highlight w:val="none"/>
                <w:lang w:eastAsia="zh-CN"/>
              </w:rPr>
            </w:pPr>
            <w:r>
              <w:rPr>
                <w:rFonts w:hint="eastAsia" w:ascii="Arial" w:hAnsi="Arial" w:eastAsia="宋体" w:cs="Arial"/>
                <w:color w:val="auto"/>
                <w:szCs w:val="21"/>
                <w:highlight w:val="none"/>
                <w:lang w:eastAsia="zh-CN"/>
              </w:rPr>
              <w:t>2.</w:t>
            </w:r>
            <w:r>
              <w:rPr>
                <w:rFonts w:hint="eastAsia" w:ascii="宋体" w:hAnsi="宋体" w:cs="宋体"/>
                <w:color w:val="auto"/>
                <w:szCs w:val="21"/>
                <w:highlight w:val="none"/>
              </w:rPr>
              <w:t>服务地点</w:t>
            </w:r>
            <w:r>
              <w:rPr>
                <w:rFonts w:hint="eastAsia" w:ascii="Arial" w:hAnsi="Arial" w:eastAsia="宋体" w:cs="Arial"/>
                <w:color w:val="auto"/>
                <w:szCs w:val="21"/>
                <w:highlight w:val="none"/>
                <w:lang w:eastAsia="zh-CN"/>
              </w:rPr>
              <w:t>：广西壮族自治区卫生健康委员会幼儿园，总园：青秀区双拥路14号、凌铁分园：青秀区凌铁村105-1号、卫职分园：兴宁区昆仑大道 8 号</w:t>
            </w:r>
            <w:r>
              <w:rPr>
                <w:rFonts w:hint="eastAsia" w:ascii="Arial" w:hAnsi="Arial" w:cs="Arial"/>
                <w:color w:val="auto"/>
                <w:szCs w:val="21"/>
                <w:highlight w:val="none"/>
                <w:lang w:eastAsia="zh-CN"/>
              </w:rPr>
              <w:t>。</w:t>
            </w:r>
          </w:p>
        </w:tc>
      </w:tr>
      <w:tr w14:paraId="391093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39"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54FF529C">
            <w:pPr>
              <w:spacing w:line="400" w:lineRule="exact"/>
              <w:jc w:val="center"/>
              <w:rPr>
                <w:rFonts w:hint="default" w:ascii="宋体" w:hAnsi="宋体" w:eastAsia="宋体" w:cs="Times New Roman"/>
                <w:bCs/>
                <w:color w:val="auto"/>
                <w:kern w:val="2"/>
                <w:sz w:val="21"/>
                <w:szCs w:val="21"/>
                <w:highlight w:val="none"/>
                <w:lang w:val="en-US" w:eastAsia="zh-CN" w:bidi="ar-SA"/>
              </w:rPr>
            </w:pPr>
            <w:r>
              <w:rPr>
                <w:rFonts w:hint="eastAsia" w:ascii="宋体" w:hAnsi="宋体" w:cs="Times New Roman"/>
                <w:b/>
                <w:bCs w:val="0"/>
                <w:color w:val="auto"/>
                <w:kern w:val="2"/>
                <w:sz w:val="21"/>
                <w:szCs w:val="21"/>
                <w:highlight w:val="none"/>
                <w:lang w:val="en-US" w:eastAsia="zh-CN" w:bidi="ar-SA"/>
              </w:rPr>
              <w:t>三、报价及付款方式</w:t>
            </w:r>
          </w:p>
        </w:tc>
        <w:tc>
          <w:tcPr>
            <w:tcW w:w="4260"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4E4BEA52">
            <w:pPr>
              <w:spacing w:line="240" w:lineRule="auto"/>
              <w:rPr>
                <w:rFonts w:hint="eastAsia" w:ascii="Arial" w:hAnsi="Arial" w:eastAsia="宋体" w:cs="Arial"/>
                <w:color w:val="auto"/>
                <w:szCs w:val="21"/>
                <w:highlight w:val="none"/>
                <w:lang w:val="en-US" w:eastAsia="zh-CN"/>
              </w:rPr>
            </w:pPr>
            <w:r>
              <w:rPr>
                <w:rFonts w:hint="eastAsia" w:ascii="Arial" w:hAnsi="Arial" w:eastAsia="宋体" w:cs="Arial"/>
                <w:color w:val="auto"/>
                <w:szCs w:val="21"/>
                <w:highlight w:val="none"/>
                <w:lang w:val="en-US" w:eastAsia="zh-CN"/>
              </w:rPr>
              <w:t>1.报价方式：本项目采用总价包干，包含人员工资、社保、保险、劳保用品、培训、管理、利润、税金等一切费用。</w:t>
            </w:r>
          </w:p>
          <w:p w14:paraId="52021378">
            <w:pPr>
              <w:shd w:val="clear"/>
              <w:snapToGrid/>
              <w:spacing w:line="240" w:lineRule="auto"/>
              <w:ind w:firstLine="0"/>
              <w:rPr>
                <w:rFonts w:hint="eastAsia" w:ascii="Arial" w:hAnsi="Arial" w:eastAsia="宋体" w:cs="Arial"/>
                <w:color w:val="auto"/>
                <w:szCs w:val="21"/>
                <w:highlight w:val="none"/>
              </w:rPr>
            </w:pPr>
            <w:r>
              <w:rPr>
                <w:rFonts w:hint="eastAsia" w:ascii="Arial" w:hAnsi="Arial" w:eastAsia="宋体" w:cs="Arial"/>
                <w:color w:val="auto"/>
                <w:szCs w:val="21"/>
                <w:highlight w:val="none"/>
              </w:rPr>
              <w:t>2.采购人按月与</w:t>
            </w:r>
            <w:r>
              <w:rPr>
                <w:rFonts w:hint="eastAsia" w:ascii="Arial" w:hAnsi="Arial" w:eastAsia="宋体" w:cs="Arial"/>
                <w:color w:val="auto"/>
                <w:szCs w:val="21"/>
                <w:highlight w:val="none"/>
                <w:lang w:eastAsia="zh-CN"/>
              </w:rPr>
              <w:t>成交供应商</w:t>
            </w:r>
            <w:r>
              <w:rPr>
                <w:rFonts w:hint="eastAsia" w:ascii="Arial" w:hAnsi="Arial" w:eastAsia="宋体" w:cs="Arial"/>
                <w:color w:val="auto"/>
                <w:szCs w:val="21"/>
                <w:highlight w:val="none"/>
              </w:rPr>
              <w:t>结算合同款项，</w:t>
            </w:r>
            <w:r>
              <w:rPr>
                <w:rFonts w:hint="eastAsia" w:ascii="Arial" w:hAnsi="Arial" w:eastAsia="宋体" w:cs="Arial"/>
                <w:color w:val="auto"/>
                <w:szCs w:val="21"/>
                <w:highlight w:val="none"/>
                <w:lang w:eastAsia="zh-CN"/>
              </w:rPr>
              <w:t>成交供应商</w:t>
            </w:r>
            <w:r>
              <w:rPr>
                <w:rFonts w:hint="eastAsia"/>
                <w:color w:val="auto"/>
                <w:lang w:val="en-US" w:eastAsia="zh-CN"/>
              </w:rPr>
              <w:t>每月最后一天</w:t>
            </w:r>
            <w:r>
              <w:rPr>
                <w:rFonts w:hint="eastAsia" w:ascii="Arial" w:hAnsi="Arial" w:eastAsia="宋体" w:cs="Arial"/>
                <w:color w:val="auto"/>
                <w:szCs w:val="21"/>
                <w:highlight w:val="none"/>
              </w:rPr>
              <w:t>向采购人</w:t>
            </w:r>
            <w:r>
              <w:rPr>
                <w:rFonts w:hint="eastAsia" w:ascii="Arial" w:hAnsi="Arial" w:eastAsia="宋体" w:cs="Arial"/>
                <w:color w:val="auto"/>
                <w:sz w:val="21"/>
                <w:szCs w:val="21"/>
                <w:highlight w:val="none"/>
                <w:lang w:val="en-US" w:eastAsia="zh-CN"/>
              </w:rPr>
              <w:t>提交上月考核资料及</w:t>
            </w:r>
            <w:r>
              <w:rPr>
                <w:rFonts w:hint="eastAsia" w:ascii="Arial" w:hAnsi="Arial" w:eastAsia="宋体" w:cs="Arial"/>
                <w:color w:val="auto"/>
                <w:szCs w:val="21"/>
                <w:highlight w:val="none"/>
              </w:rPr>
              <w:t>合法正规的增值税</w:t>
            </w:r>
            <w:r>
              <w:rPr>
                <w:rFonts w:hint="eastAsia" w:ascii="宋体" w:hAnsi="宋体" w:eastAsia="宋体" w:cs="宋体"/>
                <w:color w:val="auto"/>
                <w:sz w:val="21"/>
                <w:szCs w:val="21"/>
                <w:highlight w:val="none"/>
                <w:lang w:val="en-US" w:eastAsia="zh-CN"/>
              </w:rPr>
              <w:t>发票</w:t>
            </w:r>
            <w:r>
              <w:rPr>
                <w:rFonts w:hint="eastAsia" w:ascii="Arial" w:hAnsi="Arial" w:eastAsia="宋体" w:cs="Arial"/>
                <w:color w:val="auto"/>
                <w:szCs w:val="21"/>
                <w:highlight w:val="none"/>
                <w:u w:val="none"/>
                <w:lang w:eastAsia="zh-CN"/>
              </w:rPr>
              <w:t>，</w:t>
            </w:r>
            <w:r>
              <w:rPr>
                <w:rFonts w:hint="eastAsia" w:ascii="宋体" w:hAnsi="宋体" w:eastAsia="宋体" w:cs="宋体"/>
                <w:color w:val="auto"/>
                <w:szCs w:val="21"/>
                <w:highlight w:val="none"/>
                <w:u w:val="none"/>
                <w:lang w:val="en-US" w:eastAsia="zh-CN"/>
              </w:rPr>
              <w:t>采购人</w:t>
            </w:r>
            <w:r>
              <w:rPr>
                <w:rFonts w:hint="eastAsia" w:ascii="宋体" w:hAnsi="宋体" w:cs="宋体"/>
                <w:color w:val="auto"/>
                <w:szCs w:val="21"/>
                <w:highlight w:val="none"/>
                <w:u w:val="none"/>
              </w:rPr>
              <w:t>下月10日之前支付上月费用；每笔款项均以人民币（</w:t>
            </w:r>
            <w:r>
              <w:rPr>
                <w:rFonts w:hint="eastAsia" w:ascii="宋体" w:hAnsi="宋体" w:cs="宋体"/>
                <w:color w:val="auto"/>
                <w:szCs w:val="21"/>
                <w:highlight w:val="none"/>
                <w:u w:val="none"/>
                <w:lang w:eastAsia="zh-CN"/>
              </w:rPr>
              <w:t>转账</w:t>
            </w:r>
            <w:r>
              <w:rPr>
                <w:rFonts w:hint="eastAsia" w:ascii="宋体" w:hAnsi="宋体" w:cs="宋体"/>
                <w:color w:val="auto"/>
                <w:szCs w:val="21"/>
                <w:highlight w:val="none"/>
                <w:u w:val="none"/>
              </w:rPr>
              <w:t>）方式支付</w:t>
            </w:r>
            <w:r>
              <w:rPr>
                <w:rFonts w:hint="eastAsia" w:ascii="Arial" w:hAnsi="Arial" w:eastAsia="宋体" w:cs="Arial"/>
                <w:color w:val="auto"/>
                <w:sz w:val="21"/>
                <w:szCs w:val="21"/>
                <w:highlight w:val="none"/>
                <w:u w:val="none"/>
                <w:lang w:val="en-US" w:eastAsia="zh-CN"/>
              </w:rPr>
              <w:t>。</w:t>
            </w:r>
          </w:p>
          <w:p w14:paraId="01C36CDD">
            <w:pPr>
              <w:pStyle w:val="22"/>
              <w:rPr>
                <w:rFonts w:hint="eastAsia"/>
                <w:color w:val="auto"/>
                <w:highlight w:val="none"/>
                <w:lang w:val="en-US" w:eastAsia="zh-CN"/>
              </w:rPr>
            </w:pPr>
          </w:p>
        </w:tc>
      </w:tr>
      <w:tr w14:paraId="5D5ABB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39"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5875278D">
            <w:pPr>
              <w:snapToGrid/>
              <w:spacing w:line="400" w:lineRule="exact"/>
              <w:jc w:val="center"/>
              <w:textAlignment w:val="auto"/>
              <w:rPr>
                <w:rFonts w:hint="default"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
                <w:bCs w:val="0"/>
                <w:color w:val="auto"/>
                <w:kern w:val="2"/>
                <w:sz w:val="21"/>
                <w:szCs w:val="21"/>
                <w:highlight w:val="none"/>
                <w:lang w:val="en-US" w:eastAsia="zh-CN" w:bidi="ar-SA"/>
              </w:rPr>
              <w:t>四、交付使用时间</w:t>
            </w:r>
          </w:p>
        </w:tc>
        <w:tc>
          <w:tcPr>
            <w:tcW w:w="4260"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25F10102">
            <w:pPr>
              <w:snapToGrid w:val="0"/>
              <w:spacing w:line="400" w:lineRule="exact"/>
              <w:textAlignment w:val="baseline"/>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合同签订后7个工作日内完成人员配备及岗前培训，10个工作日内全面接管食堂运营。</w:t>
            </w:r>
          </w:p>
        </w:tc>
      </w:tr>
      <w:tr w14:paraId="726DB9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39"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499FDF5C">
            <w:pPr>
              <w:snapToGrid/>
              <w:spacing w:line="400" w:lineRule="exact"/>
              <w:jc w:val="center"/>
              <w:textAlignment w:val="auto"/>
              <w:rPr>
                <w:rFonts w:hint="eastAsia" w:ascii="Arial" w:hAnsi="Arial" w:eastAsia="宋体" w:cs="Arial"/>
                <w:color w:val="auto"/>
                <w:kern w:val="2"/>
                <w:sz w:val="21"/>
                <w:szCs w:val="21"/>
                <w:highlight w:val="none"/>
                <w:lang w:val="en-US" w:eastAsia="zh-CN" w:bidi="ar-SA"/>
              </w:rPr>
            </w:pPr>
            <w:r>
              <w:rPr>
                <w:rFonts w:hint="eastAsia" w:ascii="宋体" w:hAnsi="宋体" w:eastAsia="宋体" w:cs="Times New Roman"/>
                <w:b/>
                <w:bCs w:val="0"/>
                <w:color w:val="auto"/>
                <w:kern w:val="2"/>
                <w:sz w:val="21"/>
                <w:szCs w:val="21"/>
                <w:highlight w:val="none"/>
                <w:lang w:val="en-US" w:eastAsia="zh-CN" w:bidi="ar-SA"/>
              </w:rPr>
              <w:t>五、验收标准</w:t>
            </w:r>
          </w:p>
        </w:tc>
        <w:tc>
          <w:tcPr>
            <w:tcW w:w="4260"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7EEB59CF">
            <w:pPr>
              <w:spacing w:line="380" w:lineRule="atLeast"/>
              <w:rPr>
                <w:rFonts w:hint="eastAsia" w:ascii="Arial" w:hAnsi="Arial" w:eastAsia="宋体" w:cs="Arial"/>
                <w:color w:val="auto"/>
                <w:kern w:val="2"/>
                <w:sz w:val="21"/>
                <w:szCs w:val="21"/>
                <w:highlight w:val="none"/>
                <w:lang w:val="en-US" w:eastAsia="zh-CN" w:bidi="ar-SA"/>
              </w:rPr>
            </w:pPr>
            <w:r>
              <w:rPr>
                <w:rFonts w:hint="eastAsia" w:ascii="Arial" w:hAnsi="Arial" w:eastAsia="宋体" w:cs="Arial"/>
                <w:color w:val="auto"/>
                <w:szCs w:val="21"/>
                <w:highlight w:val="none"/>
                <w:lang w:val="en-US" w:eastAsia="zh-CN"/>
              </w:rPr>
              <w:t>按国家相关标准、行业标准、地方标准或其他强制性标准、规范等要求</w:t>
            </w:r>
            <w:r>
              <w:rPr>
                <w:rFonts w:hint="eastAsia" w:ascii="Arial" w:hAnsi="Arial" w:cs="Arial"/>
                <w:color w:val="auto"/>
                <w:szCs w:val="21"/>
                <w:highlight w:val="none"/>
                <w:lang w:val="en-US" w:eastAsia="zh-CN"/>
              </w:rPr>
              <w:t>及</w:t>
            </w:r>
            <w:r>
              <w:rPr>
                <w:rFonts w:hint="eastAsia" w:ascii="Arial" w:hAnsi="Arial" w:eastAsia="宋体" w:cs="Arial"/>
                <w:color w:val="auto"/>
                <w:szCs w:val="21"/>
                <w:highlight w:val="none"/>
                <w:lang w:val="en-US" w:eastAsia="zh-CN"/>
              </w:rPr>
              <w:t>成交供应商</w:t>
            </w:r>
            <w:r>
              <w:rPr>
                <w:rFonts w:hint="eastAsia" w:ascii="Arial" w:hAnsi="Arial" w:cs="Arial"/>
                <w:color w:val="auto"/>
                <w:szCs w:val="21"/>
                <w:highlight w:val="none"/>
                <w:lang w:val="en-US" w:eastAsia="zh-CN"/>
              </w:rPr>
              <w:t>响应文件中的</w:t>
            </w:r>
            <w:r>
              <w:rPr>
                <w:rFonts w:hint="eastAsia" w:ascii="Arial" w:hAnsi="Arial" w:eastAsia="宋体" w:cs="Arial"/>
                <w:color w:val="auto"/>
                <w:szCs w:val="21"/>
                <w:highlight w:val="none"/>
                <w:lang w:val="en-US" w:eastAsia="zh-CN"/>
              </w:rPr>
              <w:t>承诺进行验收。</w:t>
            </w:r>
          </w:p>
        </w:tc>
      </w:tr>
      <w:tr w14:paraId="44272F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6"/>
            <w:tcBorders>
              <w:top w:val="single" w:color="auto" w:sz="4" w:space="0"/>
              <w:left w:val="single" w:color="auto" w:sz="4" w:space="0"/>
              <w:bottom w:val="single" w:color="auto" w:sz="4" w:space="0"/>
              <w:right w:val="single" w:color="auto" w:sz="4" w:space="0"/>
            </w:tcBorders>
            <w:shd w:val="clear" w:color="auto" w:fill="auto"/>
            <w:noWrap w:val="0"/>
            <w:vAlign w:val="center"/>
          </w:tcPr>
          <w:p w14:paraId="4A39EBA1">
            <w:pPr>
              <w:spacing w:line="380" w:lineRule="atLeast"/>
              <w:rPr>
                <w:rFonts w:hint="eastAsia" w:ascii="Arial" w:hAnsi="Arial" w:eastAsia="宋体" w:cs="Arial"/>
                <w:color w:val="auto"/>
                <w:szCs w:val="21"/>
                <w:highlight w:val="none"/>
                <w:lang w:val="en-US" w:eastAsia="zh-CN"/>
              </w:rPr>
            </w:pPr>
            <w:r>
              <w:rPr>
                <w:rFonts w:hint="eastAsia" w:ascii="Arial" w:hAnsi="Arial" w:eastAsia="宋体" w:cs="Arial"/>
                <w:b/>
                <w:bCs/>
                <w:color w:val="auto"/>
                <w:szCs w:val="21"/>
                <w:highlight w:val="none"/>
                <w:lang w:val="en-US" w:eastAsia="zh-CN"/>
              </w:rPr>
              <w:t>其他要求</w:t>
            </w:r>
          </w:p>
        </w:tc>
      </w:tr>
      <w:tr w14:paraId="38E29A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6"/>
            <w:tcBorders>
              <w:top w:val="single" w:color="auto" w:sz="4" w:space="0"/>
              <w:left w:val="single" w:color="auto" w:sz="4" w:space="0"/>
              <w:bottom w:val="single" w:color="auto" w:sz="4" w:space="0"/>
              <w:right w:val="single" w:color="auto" w:sz="4" w:space="0"/>
            </w:tcBorders>
            <w:shd w:val="clear" w:color="auto" w:fill="auto"/>
            <w:noWrap w:val="0"/>
            <w:vAlign w:val="center"/>
          </w:tcPr>
          <w:p w14:paraId="63CAC1FB">
            <w:pPr>
              <w:numPr>
                <w:ilvl w:val="0"/>
                <w:numId w:val="1"/>
              </w:numPr>
              <w:spacing w:line="380" w:lineRule="atLeast"/>
              <w:rPr>
                <w:rFonts w:hint="default"/>
                <w:color w:val="auto"/>
                <w:highlight w:val="none"/>
                <w:lang w:val="en-US" w:eastAsia="zh-CN"/>
              </w:rPr>
            </w:pPr>
            <w:r>
              <w:rPr>
                <w:rFonts w:hint="eastAsia" w:ascii="Arial" w:hAnsi="Arial" w:eastAsia="宋体" w:cs="Arial"/>
                <w:color w:val="auto"/>
                <w:szCs w:val="21"/>
                <w:highlight w:val="none"/>
                <w:lang w:val="en-US" w:eastAsia="zh-CN"/>
              </w:rPr>
              <w:t>如有请提供与本项目相关的服务方案、专项菜谱方案、食品卫生安全保障方案及突发事件应急预案</w:t>
            </w:r>
            <w:r>
              <w:rPr>
                <w:rFonts w:hint="eastAsia" w:ascii="Arial" w:hAnsi="Arial" w:cs="Arial"/>
                <w:color w:val="auto"/>
                <w:szCs w:val="21"/>
                <w:highlight w:val="none"/>
                <w:lang w:val="en-US" w:eastAsia="zh-CN"/>
              </w:rPr>
              <w:t>、</w:t>
            </w:r>
            <w:r>
              <w:rPr>
                <w:rFonts w:hint="eastAsia" w:ascii="宋体" w:hAnsi="宋体" w:cs="宋体"/>
                <w:color w:val="auto"/>
                <w:szCs w:val="21"/>
                <w:highlight w:val="none"/>
              </w:rPr>
              <w:t>管理制度方案</w:t>
            </w:r>
            <w:r>
              <w:rPr>
                <w:rFonts w:hint="eastAsia" w:ascii="Arial" w:hAnsi="Arial" w:eastAsia="宋体" w:cs="Arial"/>
                <w:color w:val="auto"/>
                <w:szCs w:val="21"/>
                <w:highlight w:val="none"/>
                <w:lang w:val="en-US" w:eastAsia="zh-CN"/>
              </w:rPr>
              <w:t>等以及其他可以证明企业实力的</w:t>
            </w:r>
            <w:r>
              <w:rPr>
                <w:rFonts w:hint="eastAsia" w:ascii="Arial" w:hAnsi="Arial" w:cs="Arial"/>
                <w:color w:val="auto"/>
                <w:szCs w:val="21"/>
                <w:highlight w:val="none"/>
                <w:lang w:val="en-US" w:eastAsia="zh-CN"/>
              </w:rPr>
              <w:t>相关</w:t>
            </w:r>
            <w:r>
              <w:rPr>
                <w:rFonts w:hint="eastAsia" w:ascii="Arial" w:hAnsi="Arial" w:eastAsia="宋体" w:cs="Arial"/>
                <w:color w:val="auto"/>
                <w:szCs w:val="21"/>
                <w:highlight w:val="none"/>
                <w:lang w:val="en-US" w:eastAsia="zh-CN"/>
              </w:rPr>
              <w:t>证明材料</w:t>
            </w:r>
            <w:r>
              <w:rPr>
                <w:rFonts w:hint="eastAsia" w:ascii="Arial" w:hAnsi="Arial" w:cs="Arial"/>
                <w:color w:val="auto"/>
                <w:szCs w:val="21"/>
                <w:highlight w:val="none"/>
                <w:lang w:val="en-US" w:eastAsia="zh-CN"/>
              </w:rPr>
              <w:t>。</w:t>
            </w:r>
          </w:p>
        </w:tc>
      </w:tr>
    </w:tbl>
    <w:p w14:paraId="1A488C6C">
      <w:pPr>
        <w:rPr>
          <w:color w:val="auto"/>
          <w:highlight w:val="none"/>
        </w:rPr>
      </w:pPr>
      <w:r>
        <w:rPr>
          <w:color w:val="auto"/>
          <w:highlight w:val="none"/>
        </w:rPr>
        <w:br w:type="page"/>
      </w:r>
    </w:p>
    <w:p w14:paraId="2061C186">
      <w:pPr>
        <w:pStyle w:val="28"/>
        <w:rPr>
          <w:rFonts w:hint="default" w:eastAsia="宋体"/>
          <w:color w:val="auto"/>
          <w:highlight w:val="none"/>
          <w:lang w:val="en-US" w:eastAsia="zh-CN"/>
        </w:rPr>
      </w:pPr>
    </w:p>
    <w:p w14:paraId="3EE5C510">
      <w:pPr>
        <w:rPr>
          <w:rFonts w:hint="eastAsia" w:ascii="宋体" w:hAnsi="宋体" w:cs="宋体"/>
          <w:color w:val="auto"/>
          <w:szCs w:val="21"/>
          <w:highlight w:val="none"/>
        </w:rPr>
      </w:pPr>
    </w:p>
    <w:p w14:paraId="353B54B6">
      <w:pPr>
        <w:jc w:val="center"/>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附件1：食堂设备清单</w:t>
      </w:r>
    </w:p>
    <w:tbl>
      <w:tblPr>
        <w:tblStyle w:val="31"/>
        <w:tblpPr w:leftFromText="180" w:rightFromText="180" w:vertAnchor="text" w:horzAnchor="page" w:tblpX="1155" w:tblpY="246"/>
        <w:tblOverlap w:val="never"/>
        <w:tblW w:w="9316" w:type="dxa"/>
        <w:tblInd w:w="0" w:type="dxa"/>
        <w:tblLayout w:type="fixed"/>
        <w:tblCellMar>
          <w:top w:w="0" w:type="dxa"/>
          <w:left w:w="108" w:type="dxa"/>
          <w:bottom w:w="0" w:type="dxa"/>
          <w:right w:w="108" w:type="dxa"/>
        </w:tblCellMar>
      </w:tblPr>
      <w:tblGrid>
        <w:gridCol w:w="610"/>
        <w:gridCol w:w="926"/>
        <w:gridCol w:w="830"/>
        <w:gridCol w:w="1232"/>
        <w:gridCol w:w="1300"/>
        <w:gridCol w:w="1163"/>
        <w:gridCol w:w="1200"/>
        <w:gridCol w:w="1200"/>
        <w:gridCol w:w="855"/>
      </w:tblGrid>
      <w:tr w14:paraId="77F66528">
        <w:tblPrEx>
          <w:tblCellMar>
            <w:top w:w="0" w:type="dxa"/>
            <w:left w:w="108" w:type="dxa"/>
            <w:bottom w:w="0" w:type="dxa"/>
            <w:right w:w="108" w:type="dxa"/>
          </w:tblCellMar>
        </w:tblPrEx>
        <w:trPr>
          <w:trHeight w:val="735" w:hRule="atLeast"/>
        </w:trPr>
        <w:tc>
          <w:tcPr>
            <w:tcW w:w="610" w:type="dxa"/>
            <w:tcBorders>
              <w:top w:val="single" w:color="auto" w:sz="4" w:space="0"/>
              <w:left w:val="single" w:color="auto" w:sz="4" w:space="0"/>
              <w:bottom w:val="single" w:color="auto" w:sz="4" w:space="0"/>
              <w:right w:val="single" w:color="auto" w:sz="4" w:space="0"/>
            </w:tcBorders>
            <w:noWrap w:val="0"/>
            <w:vAlign w:val="center"/>
          </w:tcPr>
          <w:p w14:paraId="424500DD">
            <w:pPr>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926" w:type="dxa"/>
            <w:tcBorders>
              <w:top w:val="single" w:color="auto" w:sz="4" w:space="0"/>
              <w:left w:val="nil"/>
              <w:bottom w:val="single" w:color="auto" w:sz="4" w:space="0"/>
              <w:right w:val="single" w:color="auto" w:sz="4" w:space="0"/>
            </w:tcBorders>
            <w:noWrap w:val="0"/>
            <w:vAlign w:val="center"/>
          </w:tcPr>
          <w:p w14:paraId="40B85180">
            <w:pPr>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资产类别</w:t>
            </w:r>
          </w:p>
        </w:tc>
        <w:tc>
          <w:tcPr>
            <w:tcW w:w="830" w:type="dxa"/>
            <w:tcBorders>
              <w:top w:val="single" w:color="auto" w:sz="4" w:space="0"/>
              <w:left w:val="nil"/>
              <w:bottom w:val="single" w:color="auto" w:sz="4" w:space="0"/>
              <w:right w:val="single" w:color="auto" w:sz="4" w:space="0"/>
            </w:tcBorders>
            <w:noWrap w:val="0"/>
            <w:vAlign w:val="center"/>
          </w:tcPr>
          <w:p w14:paraId="5353C161">
            <w:pPr>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资产编号</w:t>
            </w:r>
          </w:p>
        </w:tc>
        <w:tc>
          <w:tcPr>
            <w:tcW w:w="1232" w:type="dxa"/>
            <w:tcBorders>
              <w:top w:val="single" w:color="auto" w:sz="4" w:space="0"/>
              <w:left w:val="nil"/>
              <w:bottom w:val="single" w:color="auto" w:sz="4" w:space="0"/>
              <w:right w:val="single" w:color="auto" w:sz="4" w:space="0"/>
            </w:tcBorders>
            <w:noWrap w:val="0"/>
            <w:vAlign w:val="center"/>
          </w:tcPr>
          <w:p w14:paraId="507979E6">
            <w:pPr>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资产名称</w:t>
            </w:r>
          </w:p>
        </w:tc>
        <w:tc>
          <w:tcPr>
            <w:tcW w:w="1300" w:type="dxa"/>
            <w:tcBorders>
              <w:top w:val="single" w:color="auto" w:sz="4" w:space="0"/>
              <w:left w:val="nil"/>
              <w:bottom w:val="single" w:color="auto" w:sz="4" w:space="0"/>
              <w:right w:val="single" w:color="auto" w:sz="4" w:space="0"/>
            </w:tcBorders>
            <w:noWrap w:val="0"/>
            <w:vAlign w:val="center"/>
          </w:tcPr>
          <w:p w14:paraId="5212F6D6">
            <w:pPr>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规格/型号</w:t>
            </w:r>
          </w:p>
        </w:tc>
        <w:tc>
          <w:tcPr>
            <w:tcW w:w="1163" w:type="dxa"/>
            <w:tcBorders>
              <w:top w:val="single" w:color="auto" w:sz="4" w:space="0"/>
              <w:left w:val="nil"/>
              <w:bottom w:val="single" w:color="auto" w:sz="4" w:space="0"/>
              <w:right w:val="single" w:color="auto" w:sz="4" w:space="0"/>
            </w:tcBorders>
            <w:noWrap w:val="0"/>
            <w:vAlign w:val="center"/>
          </w:tcPr>
          <w:p w14:paraId="53E661BD">
            <w:pPr>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技术指标</w:t>
            </w:r>
          </w:p>
        </w:tc>
        <w:tc>
          <w:tcPr>
            <w:tcW w:w="1200" w:type="dxa"/>
            <w:tcBorders>
              <w:top w:val="single" w:color="auto" w:sz="4" w:space="0"/>
              <w:left w:val="nil"/>
              <w:bottom w:val="single" w:color="auto" w:sz="4" w:space="0"/>
              <w:right w:val="single" w:color="auto" w:sz="4" w:space="0"/>
            </w:tcBorders>
            <w:noWrap w:val="0"/>
            <w:vAlign w:val="center"/>
          </w:tcPr>
          <w:p w14:paraId="689FD5AC">
            <w:pPr>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生产厂家</w:t>
            </w:r>
          </w:p>
        </w:tc>
        <w:tc>
          <w:tcPr>
            <w:tcW w:w="1200" w:type="dxa"/>
            <w:tcBorders>
              <w:top w:val="single" w:color="auto" w:sz="4" w:space="0"/>
              <w:left w:val="nil"/>
              <w:bottom w:val="single" w:color="auto" w:sz="4" w:space="0"/>
              <w:right w:val="single" w:color="auto" w:sz="4" w:space="0"/>
            </w:tcBorders>
            <w:noWrap w:val="0"/>
            <w:vAlign w:val="center"/>
          </w:tcPr>
          <w:p w14:paraId="47BF6244">
            <w:pPr>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出厂编号</w:t>
            </w:r>
          </w:p>
        </w:tc>
        <w:tc>
          <w:tcPr>
            <w:tcW w:w="855" w:type="dxa"/>
            <w:tcBorders>
              <w:top w:val="single" w:color="auto" w:sz="4" w:space="0"/>
              <w:left w:val="nil"/>
              <w:bottom w:val="single" w:color="auto" w:sz="4" w:space="0"/>
              <w:right w:val="single" w:color="auto" w:sz="4" w:space="0"/>
            </w:tcBorders>
            <w:noWrap w:val="0"/>
            <w:vAlign w:val="center"/>
          </w:tcPr>
          <w:p w14:paraId="077E187C">
            <w:pPr>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tc>
      </w:tr>
      <w:tr w14:paraId="1B127912">
        <w:tblPrEx>
          <w:tblCellMar>
            <w:top w:w="0" w:type="dxa"/>
            <w:left w:w="108" w:type="dxa"/>
            <w:bottom w:w="0" w:type="dxa"/>
            <w:right w:w="108" w:type="dxa"/>
          </w:tblCellMar>
        </w:tblPrEx>
        <w:trPr>
          <w:trHeight w:val="454" w:hRule="atLeast"/>
        </w:trPr>
        <w:tc>
          <w:tcPr>
            <w:tcW w:w="610" w:type="dxa"/>
            <w:tcBorders>
              <w:top w:val="nil"/>
              <w:left w:val="single" w:color="auto" w:sz="4" w:space="0"/>
              <w:bottom w:val="single" w:color="auto" w:sz="4" w:space="0"/>
              <w:right w:val="single" w:color="auto" w:sz="4" w:space="0"/>
            </w:tcBorders>
            <w:noWrap w:val="0"/>
            <w:vAlign w:val="center"/>
          </w:tcPr>
          <w:p w14:paraId="146CB16B">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926" w:type="dxa"/>
            <w:tcBorders>
              <w:top w:val="nil"/>
              <w:left w:val="nil"/>
              <w:bottom w:val="single" w:color="auto" w:sz="4" w:space="0"/>
              <w:right w:val="single" w:color="auto" w:sz="4" w:space="0"/>
            </w:tcBorders>
            <w:noWrap w:val="0"/>
            <w:vAlign w:val="center"/>
          </w:tcPr>
          <w:p w14:paraId="748AEB44">
            <w:pPr>
              <w:jc w:val="center"/>
              <w:rPr>
                <w:rFonts w:ascii="宋体" w:hAnsi="宋体" w:eastAsia="宋体" w:cs="宋体"/>
                <w:color w:val="auto"/>
                <w:sz w:val="16"/>
                <w:szCs w:val="16"/>
                <w:highlight w:val="none"/>
              </w:rPr>
            </w:pPr>
          </w:p>
        </w:tc>
        <w:tc>
          <w:tcPr>
            <w:tcW w:w="830" w:type="dxa"/>
            <w:tcBorders>
              <w:top w:val="nil"/>
              <w:left w:val="nil"/>
              <w:bottom w:val="single" w:color="auto" w:sz="4" w:space="0"/>
              <w:right w:val="single" w:color="auto" w:sz="4" w:space="0"/>
            </w:tcBorders>
            <w:noWrap w:val="0"/>
            <w:vAlign w:val="center"/>
          </w:tcPr>
          <w:p w14:paraId="3D1BF881">
            <w:pPr>
              <w:jc w:val="center"/>
              <w:rPr>
                <w:rFonts w:ascii="宋体" w:hAnsi="宋体" w:eastAsia="宋体" w:cs="宋体"/>
                <w:color w:val="auto"/>
                <w:sz w:val="16"/>
                <w:szCs w:val="16"/>
                <w:highlight w:val="none"/>
              </w:rPr>
            </w:pPr>
          </w:p>
        </w:tc>
        <w:tc>
          <w:tcPr>
            <w:tcW w:w="1232" w:type="dxa"/>
            <w:tcBorders>
              <w:top w:val="nil"/>
              <w:left w:val="nil"/>
              <w:bottom w:val="single" w:color="auto" w:sz="4" w:space="0"/>
              <w:right w:val="single" w:color="auto" w:sz="4" w:space="0"/>
            </w:tcBorders>
            <w:noWrap w:val="0"/>
            <w:vAlign w:val="center"/>
          </w:tcPr>
          <w:p w14:paraId="008ABAF4">
            <w:pPr>
              <w:jc w:val="center"/>
              <w:rPr>
                <w:rFonts w:ascii="宋体" w:hAnsi="宋体" w:eastAsia="宋体" w:cs="宋体"/>
                <w:color w:val="auto"/>
                <w:sz w:val="16"/>
                <w:szCs w:val="16"/>
                <w:highlight w:val="none"/>
              </w:rPr>
            </w:pPr>
          </w:p>
        </w:tc>
        <w:tc>
          <w:tcPr>
            <w:tcW w:w="1300" w:type="dxa"/>
            <w:tcBorders>
              <w:top w:val="nil"/>
              <w:left w:val="nil"/>
              <w:bottom w:val="single" w:color="auto" w:sz="4" w:space="0"/>
              <w:right w:val="single" w:color="auto" w:sz="4" w:space="0"/>
            </w:tcBorders>
            <w:noWrap w:val="0"/>
            <w:vAlign w:val="center"/>
          </w:tcPr>
          <w:p w14:paraId="6FE02EAC">
            <w:pPr>
              <w:jc w:val="center"/>
              <w:rPr>
                <w:rFonts w:ascii="宋体" w:hAnsi="宋体" w:eastAsia="宋体" w:cs="宋体"/>
                <w:color w:val="auto"/>
                <w:sz w:val="16"/>
                <w:szCs w:val="16"/>
                <w:highlight w:val="none"/>
              </w:rPr>
            </w:pPr>
          </w:p>
        </w:tc>
        <w:tc>
          <w:tcPr>
            <w:tcW w:w="1163" w:type="dxa"/>
            <w:tcBorders>
              <w:top w:val="nil"/>
              <w:left w:val="nil"/>
              <w:bottom w:val="single" w:color="auto" w:sz="4" w:space="0"/>
              <w:right w:val="single" w:color="auto" w:sz="4" w:space="0"/>
            </w:tcBorders>
            <w:noWrap w:val="0"/>
            <w:vAlign w:val="center"/>
          </w:tcPr>
          <w:p w14:paraId="60A54075">
            <w:pPr>
              <w:jc w:val="center"/>
              <w:rPr>
                <w:rFonts w:ascii="宋体" w:hAnsi="宋体" w:eastAsia="宋体" w:cs="宋体"/>
                <w:color w:val="auto"/>
                <w:sz w:val="16"/>
                <w:szCs w:val="16"/>
                <w:highlight w:val="none"/>
              </w:rPr>
            </w:pPr>
          </w:p>
        </w:tc>
        <w:tc>
          <w:tcPr>
            <w:tcW w:w="1200" w:type="dxa"/>
            <w:tcBorders>
              <w:top w:val="nil"/>
              <w:left w:val="nil"/>
              <w:bottom w:val="single" w:color="auto" w:sz="4" w:space="0"/>
              <w:right w:val="single" w:color="auto" w:sz="4" w:space="0"/>
            </w:tcBorders>
            <w:noWrap w:val="0"/>
            <w:vAlign w:val="center"/>
          </w:tcPr>
          <w:p w14:paraId="681269F2">
            <w:pPr>
              <w:jc w:val="center"/>
              <w:rPr>
                <w:rFonts w:ascii="宋体" w:hAnsi="宋体" w:eastAsia="宋体" w:cs="宋体"/>
                <w:color w:val="auto"/>
                <w:sz w:val="16"/>
                <w:szCs w:val="16"/>
                <w:highlight w:val="none"/>
              </w:rPr>
            </w:pPr>
          </w:p>
        </w:tc>
        <w:tc>
          <w:tcPr>
            <w:tcW w:w="1200" w:type="dxa"/>
            <w:tcBorders>
              <w:top w:val="nil"/>
              <w:left w:val="nil"/>
              <w:bottom w:val="single" w:color="auto" w:sz="4" w:space="0"/>
              <w:right w:val="single" w:color="auto" w:sz="4" w:space="0"/>
            </w:tcBorders>
            <w:noWrap w:val="0"/>
            <w:vAlign w:val="center"/>
          </w:tcPr>
          <w:p w14:paraId="0F8CB416">
            <w:pPr>
              <w:jc w:val="center"/>
              <w:rPr>
                <w:rFonts w:ascii="宋体" w:hAnsi="宋体" w:eastAsia="宋体" w:cs="宋体"/>
                <w:color w:val="auto"/>
                <w:sz w:val="16"/>
                <w:szCs w:val="16"/>
                <w:highlight w:val="none"/>
              </w:rPr>
            </w:pPr>
          </w:p>
        </w:tc>
        <w:tc>
          <w:tcPr>
            <w:tcW w:w="855" w:type="dxa"/>
            <w:tcBorders>
              <w:top w:val="nil"/>
              <w:left w:val="nil"/>
              <w:bottom w:val="single" w:color="auto" w:sz="4" w:space="0"/>
              <w:right w:val="single" w:color="auto" w:sz="4" w:space="0"/>
            </w:tcBorders>
            <w:noWrap w:val="0"/>
            <w:vAlign w:val="center"/>
          </w:tcPr>
          <w:p w14:paraId="2EC004CA">
            <w:pPr>
              <w:jc w:val="center"/>
              <w:rPr>
                <w:rFonts w:ascii="宋体" w:hAnsi="宋体" w:eastAsia="宋体" w:cs="宋体"/>
                <w:color w:val="auto"/>
                <w:sz w:val="21"/>
                <w:szCs w:val="21"/>
                <w:highlight w:val="none"/>
              </w:rPr>
            </w:pPr>
          </w:p>
        </w:tc>
      </w:tr>
      <w:tr w14:paraId="2A6BAB6C">
        <w:tblPrEx>
          <w:tblCellMar>
            <w:top w:w="0" w:type="dxa"/>
            <w:left w:w="108" w:type="dxa"/>
            <w:bottom w:w="0" w:type="dxa"/>
            <w:right w:w="108" w:type="dxa"/>
          </w:tblCellMar>
        </w:tblPrEx>
        <w:trPr>
          <w:trHeight w:val="454" w:hRule="atLeast"/>
        </w:trPr>
        <w:tc>
          <w:tcPr>
            <w:tcW w:w="610" w:type="dxa"/>
            <w:tcBorders>
              <w:top w:val="nil"/>
              <w:left w:val="single" w:color="auto" w:sz="4" w:space="0"/>
              <w:bottom w:val="single" w:color="auto" w:sz="4" w:space="0"/>
              <w:right w:val="single" w:color="auto" w:sz="4" w:space="0"/>
            </w:tcBorders>
            <w:noWrap w:val="0"/>
            <w:vAlign w:val="center"/>
          </w:tcPr>
          <w:p w14:paraId="0549AF09">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926" w:type="dxa"/>
            <w:tcBorders>
              <w:top w:val="nil"/>
              <w:left w:val="nil"/>
              <w:bottom w:val="single" w:color="auto" w:sz="4" w:space="0"/>
              <w:right w:val="single" w:color="auto" w:sz="4" w:space="0"/>
            </w:tcBorders>
            <w:noWrap w:val="0"/>
            <w:vAlign w:val="center"/>
          </w:tcPr>
          <w:p w14:paraId="42302F21">
            <w:pPr>
              <w:jc w:val="center"/>
              <w:rPr>
                <w:rFonts w:ascii="宋体" w:hAnsi="宋体" w:eastAsia="宋体" w:cs="宋体"/>
                <w:color w:val="auto"/>
                <w:sz w:val="16"/>
                <w:szCs w:val="16"/>
                <w:highlight w:val="none"/>
              </w:rPr>
            </w:pPr>
          </w:p>
        </w:tc>
        <w:tc>
          <w:tcPr>
            <w:tcW w:w="830" w:type="dxa"/>
            <w:tcBorders>
              <w:top w:val="nil"/>
              <w:left w:val="nil"/>
              <w:bottom w:val="single" w:color="auto" w:sz="4" w:space="0"/>
              <w:right w:val="single" w:color="auto" w:sz="4" w:space="0"/>
            </w:tcBorders>
            <w:noWrap w:val="0"/>
            <w:vAlign w:val="center"/>
          </w:tcPr>
          <w:p w14:paraId="69C75EA5">
            <w:pPr>
              <w:jc w:val="center"/>
              <w:rPr>
                <w:rFonts w:ascii="宋体" w:hAnsi="宋体" w:eastAsia="宋体" w:cs="宋体"/>
                <w:color w:val="auto"/>
                <w:sz w:val="16"/>
                <w:szCs w:val="16"/>
                <w:highlight w:val="none"/>
              </w:rPr>
            </w:pPr>
          </w:p>
        </w:tc>
        <w:tc>
          <w:tcPr>
            <w:tcW w:w="1232" w:type="dxa"/>
            <w:tcBorders>
              <w:top w:val="nil"/>
              <w:left w:val="nil"/>
              <w:bottom w:val="single" w:color="auto" w:sz="4" w:space="0"/>
              <w:right w:val="single" w:color="auto" w:sz="4" w:space="0"/>
            </w:tcBorders>
            <w:noWrap w:val="0"/>
            <w:vAlign w:val="center"/>
          </w:tcPr>
          <w:p w14:paraId="11699639">
            <w:pPr>
              <w:jc w:val="center"/>
              <w:rPr>
                <w:rFonts w:ascii="宋体" w:hAnsi="宋体" w:eastAsia="宋体" w:cs="宋体"/>
                <w:color w:val="auto"/>
                <w:sz w:val="16"/>
                <w:szCs w:val="16"/>
                <w:highlight w:val="none"/>
              </w:rPr>
            </w:pPr>
          </w:p>
        </w:tc>
        <w:tc>
          <w:tcPr>
            <w:tcW w:w="1300" w:type="dxa"/>
            <w:tcBorders>
              <w:top w:val="nil"/>
              <w:left w:val="nil"/>
              <w:bottom w:val="single" w:color="auto" w:sz="4" w:space="0"/>
              <w:right w:val="single" w:color="auto" w:sz="4" w:space="0"/>
            </w:tcBorders>
            <w:noWrap w:val="0"/>
            <w:vAlign w:val="center"/>
          </w:tcPr>
          <w:p w14:paraId="587419FB">
            <w:pPr>
              <w:jc w:val="center"/>
              <w:rPr>
                <w:rFonts w:ascii="宋体" w:hAnsi="宋体" w:eastAsia="宋体" w:cs="宋体"/>
                <w:color w:val="auto"/>
                <w:sz w:val="16"/>
                <w:szCs w:val="16"/>
                <w:highlight w:val="none"/>
              </w:rPr>
            </w:pPr>
          </w:p>
        </w:tc>
        <w:tc>
          <w:tcPr>
            <w:tcW w:w="1163" w:type="dxa"/>
            <w:tcBorders>
              <w:top w:val="nil"/>
              <w:left w:val="nil"/>
              <w:bottom w:val="single" w:color="auto" w:sz="4" w:space="0"/>
              <w:right w:val="single" w:color="auto" w:sz="4" w:space="0"/>
            </w:tcBorders>
            <w:noWrap w:val="0"/>
            <w:vAlign w:val="center"/>
          </w:tcPr>
          <w:p w14:paraId="522B13EE">
            <w:pPr>
              <w:jc w:val="center"/>
              <w:rPr>
                <w:rFonts w:ascii="宋体" w:hAnsi="宋体" w:eastAsia="宋体" w:cs="宋体"/>
                <w:color w:val="auto"/>
                <w:sz w:val="16"/>
                <w:szCs w:val="16"/>
                <w:highlight w:val="none"/>
              </w:rPr>
            </w:pPr>
          </w:p>
        </w:tc>
        <w:tc>
          <w:tcPr>
            <w:tcW w:w="1200" w:type="dxa"/>
            <w:tcBorders>
              <w:top w:val="nil"/>
              <w:left w:val="nil"/>
              <w:bottom w:val="single" w:color="auto" w:sz="4" w:space="0"/>
              <w:right w:val="single" w:color="auto" w:sz="4" w:space="0"/>
            </w:tcBorders>
            <w:noWrap w:val="0"/>
            <w:vAlign w:val="center"/>
          </w:tcPr>
          <w:p w14:paraId="7816A972">
            <w:pPr>
              <w:jc w:val="center"/>
              <w:rPr>
                <w:rFonts w:ascii="宋体" w:hAnsi="宋体" w:eastAsia="宋体" w:cs="宋体"/>
                <w:color w:val="auto"/>
                <w:sz w:val="16"/>
                <w:szCs w:val="16"/>
                <w:highlight w:val="none"/>
              </w:rPr>
            </w:pPr>
          </w:p>
        </w:tc>
        <w:tc>
          <w:tcPr>
            <w:tcW w:w="1200" w:type="dxa"/>
            <w:tcBorders>
              <w:top w:val="nil"/>
              <w:left w:val="nil"/>
              <w:bottom w:val="single" w:color="auto" w:sz="4" w:space="0"/>
              <w:right w:val="single" w:color="auto" w:sz="4" w:space="0"/>
            </w:tcBorders>
            <w:noWrap w:val="0"/>
            <w:vAlign w:val="center"/>
          </w:tcPr>
          <w:p w14:paraId="23411B99">
            <w:pPr>
              <w:jc w:val="center"/>
              <w:rPr>
                <w:rFonts w:ascii="宋体" w:hAnsi="宋体" w:eastAsia="宋体" w:cs="宋体"/>
                <w:color w:val="auto"/>
                <w:sz w:val="16"/>
                <w:szCs w:val="16"/>
                <w:highlight w:val="none"/>
              </w:rPr>
            </w:pPr>
          </w:p>
        </w:tc>
        <w:tc>
          <w:tcPr>
            <w:tcW w:w="855" w:type="dxa"/>
            <w:tcBorders>
              <w:top w:val="nil"/>
              <w:left w:val="nil"/>
              <w:bottom w:val="single" w:color="auto" w:sz="4" w:space="0"/>
              <w:right w:val="single" w:color="auto" w:sz="4" w:space="0"/>
            </w:tcBorders>
            <w:noWrap w:val="0"/>
            <w:vAlign w:val="center"/>
          </w:tcPr>
          <w:p w14:paraId="12F47485">
            <w:pPr>
              <w:jc w:val="center"/>
              <w:rPr>
                <w:rFonts w:ascii="宋体" w:hAnsi="宋体" w:eastAsia="宋体" w:cs="宋体"/>
                <w:color w:val="auto"/>
                <w:sz w:val="21"/>
                <w:szCs w:val="21"/>
                <w:highlight w:val="none"/>
              </w:rPr>
            </w:pPr>
          </w:p>
        </w:tc>
      </w:tr>
      <w:tr w14:paraId="2EBD4FCE">
        <w:tblPrEx>
          <w:tblCellMar>
            <w:top w:w="0" w:type="dxa"/>
            <w:left w:w="108" w:type="dxa"/>
            <w:bottom w:w="0" w:type="dxa"/>
            <w:right w:w="108" w:type="dxa"/>
          </w:tblCellMar>
        </w:tblPrEx>
        <w:trPr>
          <w:trHeight w:val="454" w:hRule="atLeast"/>
        </w:trPr>
        <w:tc>
          <w:tcPr>
            <w:tcW w:w="610" w:type="dxa"/>
            <w:tcBorders>
              <w:top w:val="nil"/>
              <w:left w:val="single" w:color="auto" w:sz="4" w:space="0"/>
              <w:bottom w:val="single" w:color="auto" w:sz="4" w:space="0"/>
              <w:right w:val="single" w:color="auto" w:sz="4" w:space="0"/>
            </w:tcBorders>
            <w:noWrap w:val="0"/>
            <w:vAlign w:val="center"/>
          </w:tcPr>
          <w:p w14:paraId="2632B596">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926" w:type="dxa"/>
            <w:tcBorders>
              <w:top w:val="nil"/>
              <w:left w:val="nil"/>
              <w:bottom w:val="single" w:color="auto" w:sz="4" w:space="0"/>
              <w:right w:val="single" w:color="auto" w:sz="4" w:space="0"/>
            </w:tcBorders>
            <w:noWrap w:val="0"/>
            <w:vAlign w:val="center"/>
          </w:tcPr>
          <w:p w14:paraId="3FE7A4C5">
            <w:pPr>
              <w:jc w:val="center"/>
              <w:rPr>
                <w:rFonts w:ascii="宋体" w:hAnsi="宋体" w:eastAsia="宋体" w:cs="宋体"/>
                <w:color w:val="auto"/>
                <w:sz w:val="16"/>
                <w:szCs w:val="16"/>
                <w:highlight w:val="none"/>
              </w:rPr>
            </w:pPr>
          </w:p>
        </w:tc>
        <w:tc>
          <w:tcPr>
            <w:tcW w:w="830" w:type="dxa"/>
            <w:tcBorders>
              <w:top w:val="nil"/>
              <w:left w:val="nil"/>
              <w:bottom w:val="single" w:color="auto" w:sz="4" w:space="0"/>
              <w:right w:val="single" w:color="auto" w:sz="4" w:space="0"/>
            </w:tcBorders>
            <w:noWrap w:val="0"/>
            <w:vAlign w:val="center"/>
          </w:tcPr>
          <w:p w14:paraId="15BEE902">
            <w:pPr>
              <w:jc w:val="center"/>
              <w:rPr>
                <w:rFonts w:ascii="宋体" w:hAnsi="宋体" w:eastAsia="宋体" w:cs="宋体"/>
                <w:color w:val="auto"/>
                <w:sz w:val="16"/>
                <w:szCs w:val="16"/>
                <w:highlight w:val="none"/>
              </w:rPr>
            </w:pPr>
          </w:p>
        </w:tc>
        <w:tc>
          <w:tcPr>
            <w:tcW w:w="1232" w:type="dxa"/>
            <w:tcBorders>
              <w:top w:val="nil"/>
              <w:left w:val="nil"/>
              <w:bottom w:val="single" w:color="auto" w:sz="4" w:space="0"/>
              <w:right w:val="single" w:color="auto" w:sz="4" w:space="0"/>
            </w:tcBorders>
            <w:noWrap w:val="0"/>
            <w:vAlign w:val="center"/>
          </w:tcPr>
          <w:p w14:paraId="64BF61CF">
            <w:pPr>
              <w:jc w:val="center"/>
              <w:rPr>
                <w:rFonts w:ascii="宋体" w:hAnsi="宋体" w:eastAsia="宋体" w:cs="宋体"/>
                <w:color w:val="auto"/>
                <w:sz w:val="16"/>
                <w:szCs w:val="16"/>
                <w:highlight w:val="none"/>
              </w:rPr>
            </w:pPr>
          </w:p>
        </w:tc>
        <w:tc>
          <w:tcPr>
            <w:tcW w:w="1300" w:type="dxa"/>
            <w:tcBorders>
              <w:top w:val="nil"/>
              <w:left w:val="nil"/>
              <w:bottom w:val="single" w:color="auto" w:sz="4" w:space="0"/>
              <w:right w:val="single" w:color="auto" w:sz="4" w:space="0"/>
            </w:tcBorders>
            <w:noWrap w:val="0"/>
            <w:vAlign w:val="center"/>
          </w:tcPr>
          <w:p w14:paraId="36C0EB86">
            <w:pPr>
              <w:jc w:val="center"/>
              <w:rPr>
                <w:rFonts w:ascii="宋体" w:hAnsi="宋体" w:eastAsia="宋体" w:cs="宋体"/>
                <w:color w:val="auto"/>
                <w:sz w:val="16"/>
                <w:szCs w:val="16"/>
                <w:highlight w:val="none"/>
              </w:rPr>
            </w:pPr>
          </w:p>
        </w:tc>
        <w:tc>
          <w:tcPr>
            <w:tcW w:w="1163" w:type="dxa"/>
            <w:tcBorders>
              <w:top w:val="nil"/>
              <w:left w:val="nil"/>
              <w:bottom w:val="single" w:color="auto" w:sz="4" w:space="0"/>
              <w:right w:val="single" w:color="auto" w:sz="4" w:space="0"/>
            </w:tcBorders>
            <w:noWrap w:val="0"/>
            <w:vAlign w:val="center"/>
          </w:tcPr>
          <w:p w14:paraId="17ADF98E">
            <w:pPr>
              <w:jc w:val="center"/>
              <w:rPr>
                <w:rFonts w:ascii="宋体" w:hAnsi="宋体" w:eastAsia="宋体" w:cs="宋体"/>
                <w:color w:val="auto"/>
                <w:sz w:val="16"/>
                <w:szCs w:val="16"/>
                <w:highlight w:val="none"/>
              </w:rPr>
            </w:pPr>
          </w:p>
        </w:tc>
        <w:tc>
          <w:tcPr>
            <w:tcW w:w="1200" w:type="dxa"/>
            <w:tcBorders>
              <w:top w:val="nil"/>
              <w:left w:val="nil"/>
              <w:bottom w:val="single" w:color="auto" w:sz="4" w:space="0"/>
              <w:right w:val="single" w:color="auto" w:sz="4" w:space="0"/>
            </w:tcBorders>
            <w:noWrap w:val="0"/>
            <w:vAlign w:val="center"/>
          </w:tcPr>
          <w:p w14:paraId="57ED5650">
            <w:pPr>
              <w:jc w:val="center"/>
              <w:rPr>
                <w:rFonts w:ascii="宋体" w:hAnsi="宋体" w:eastAsia="宋体" w:cs="宋体"/>
                <w:color w:val="auto"/>
                <w:sz w:val="16"/>
                <w:szCs w:val="16"/>
                <w:highlight w:val="none"/>
              </w:rPr>
            </w:pPr>
          </w:p>
        </w:tc>
        <w:tc>
          <w:tcPr>
            <w:tcW w:w="1200" w:type="dxa"/>
            <w:tcBorders>
              <w:top w:val="nil"/>
              <w:left w:val="nil"/>
              <w:bottom w:val="single" w:color="auto" w:sz="4" w:space="0"/>
              <w:right w:val="single" w:color="auto" w:sz="4" w:space="0"/>
            </w:tcBorders>
            <w:noWrap w:val="0"/>
            <w:vAlign w:val="center"/>
          </w:tcPr>
          <w:p w14:paraId="32DED675">
            <w:pPr>
              <w:jc w:val="center"/>
              <w:rPr>
                <w:rFonts w:ascii="宋体" w:hAnsi="宋体" w:eastAsia="宋体" w:cs="宋体"/>
                <w:color w:val="auto"/>
                <w:sz w:val="16"/>
                <w:szCs w:val="16"/>
                <w:highlight w:val="none"/>
              </w:rPr>
            </w:pPr>
          </w:p>
        </w:tc>
        <w:tc>
          <w:tcPr>
            <w:tcW w:w="855" w:type="dxa"/>
            <w:tcBorders>
              <w:top w:val="nil"/>
              <w:left w:val="nil"/>
              <w:bottom w:val="single" w:color="auto" w:sz="4" w:space="0"/>
              <w:right w:val="single" w:color="auto" w:sz="4" w:space="0"/>
            </w:tcBorders>
            <w:noWrap w:val="0"/>
            <w:vAlign w:val="center"/>
          </w:tcPr>
          <w:p w14:paraId="4689CAE4">
            <w:pPr>
              <w:jc w:val="center"/>
              <w:rPr>
                <w:rFonts w:ascii="宋体" w:hAnsi="宋体" w:eastAsia="宋体" w:cs="宋体"/>
                <w:color w:val="auto"/>
                <w:sz w:val="21"/>
                <w:szCs w:val="21"/>
                <w:highlight w:val="none"/>
              </w:rPr>
            </w:pPr>
          </w:p>
        </w:tc>
      </w:tr>
      <w:tr w14:paraId="687B35F0">
        <w:tblPrEx>
          <w:tblCellMar>
            <w:top w:w="0" w:type="dxa"/>
            <w:left w:w="108" w:type="dxa"/>
            <w:bottom w:w="0" w:type="dxa"/>
            <w:right w:w="108" w:type="dxa"/>
          </w:tblCellMar>
        </w:tblPrEx>
        <w:trPr>
          <w:trHeight w:val="454" w:hRule="atLeast"/>
        </w:trPr>
        <w:tc>
          <w:tcPr>
            <w:tcW w:w="610" w:type="dxa"/>
            <w:tcBorders>
              <w:top w:val="nil"/>
              <w:left w:val="single" w:color="auto" w:sz="4" w:space="0"/>
              <w:bottom w:val="single" w:color="auto" w:sz="4" w:space="0"/>
              <w:right w:val="single" w:color="auto" w:sz="4" w:space="0"/>
            </w:tcBorders>
            <w:noWrap w:val="0"/>
            <w:vAlign w:val="center"/>
          </w:tcPr>
          <w:p w14:paraId="181C8DC0">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926" w:type="dxa"/>
            <w:tcBorders>
              <w:top w:val="nil"/>
              <w:left w:val="nil"/>
              <w:bottom w:val="single" w:color="auto" w:sz="4" w:space="0"/>
              <w:right w:val="single" w:color="auto" w:sz="4" w:space="0"/>
            </w:tcBorders>
            <w:noWrap w:val="0"/>
            <w:vAlign w:val="center"/>
          </w:tcPr>
          <w:p w14:paraId="44643AFF">
            <w:pPr>
              <w:jc w:val="center"/>
              <w:rPr>
                <w:rFonts w:ascii="宋体" w:hAnsi="宋体" w:eastAsia="宋体" w:cs="宋体"/>
                <w:color w:val="auto"/>
                <w:sz w:val="16"/>
                <w:szCs w:val="16"/>
                <w:highlight w:val="none"/>
              </w:rPr>
            </w:pPr>
          </w:p>
        </w:tc>
        <w:tc>
          <w:tcPr>
            <w:tcW w:w="830" w:type="dxa"/>
            <w:tcBorders>
              <w:top w:val="nil"/>
              <w:left w:val="nil"/>
              <w:bottom w:val="single" w:color="auto" w:sz="4" w:space="0"/>
              <w:right w:val="single" w:color="auto" w:sz="4" w:space="0"/>
            </w:tcBorders>
            <w:noWrap w:val="0"/>
            <w:vAlign w:val="center"/>
          </w:tcPr>
          <w:p w14:paraId="3EA9BB77">
            <w:pPr>
              <w:jc w:val="center"/>
              <w:rPr>
                <w:rFonts w:ascii="宋体" w:hAnsi="宋体" w:eastAsia="宋体" w:cs="宋体"/>
                <w:color w:val="auto"/>
                <w:sz w:val="16"/>
                <w:szCs w:val="16"/>
                <w:highlight w:val="none"/>
              </w:rPr>
            </w:pPr>
          </w:p>
        </w:tc>
        <w:tc>
          <w:tcPr>
            <w:tcW w:w="1232" w:type="dxa"/>
            <w:tcBorders>
              <w:top w:val="nil"/>
              <w:left w:val="nil"/>
              <w:bottom w:val="single" w:color="auto" w:sz="4" w:space="0"/>
              <w:right w:val="single" w:color="auto" w:sz="4" w:space="0"/>
            </w:tcBorders>
            <w:noWrap w:val="0"/>
            <w:vAlign w:val="center"/>
          </w:tcPr>
          <w:p w14:paraId="067F72B5">
            <w:pPr>
              <w:jc w:val="center"/>
              <w:rPr>
                <w:rFonts w:ascii="宋体" w:hAnsi="宋体" w:eastAsia="宋体" w:cs="宋体"/>
                <w:color w:val="auto"/>
                <w:sz w:val="16"/>
                <w:szCs w:val="16"/>
                <w:highlight w:val="none"/>
              </w:rPr>
            </w:pPr>
          </w:p>
        </w:tc>
        <w:tc>
          <w:tcPr>
            <w:tcW w:w="1300" w:type="dxa"/>
            <w:tcBorders>
              <w:top w:val="nil"/>
              <w:left w:val="nil"/>
              <w:bottom w:val="single" w:color="auto" w:sz="4" w:space="0"/>
              <w:right w:val="single" w:color="auto" w:sz="4" w:space="0"/>
            </w:tcBorders>
            <w:noWrap w:val="0"/>
            <w:vAlign w:val="center"/>
          </w:tcPr>
          <w:p w14:paraId="72678054">
            <w:pPr>
              <w:jc w:val="center"/>
              <w:rPr>
                <w:rFonts w:ascii="宋体" w:hAnsi="宋体" w:eastAsia="宋体" w:cs="宋体"/>
                <w:color w:val="auto"/>
                <w:sz w:val="16"/>
                <w:szCs w:val="16"/>
                <w:highlight w:val="none"/>
              </w:rPr>
            </w:pPr>
          </w:p>
        </w:tc>
        <w:tc>
          <w:tcPr>
            <w:tcW w:w="1163" w:type="dxa"/>
            <w:tcBorders>
              <w:top w:val="nil"/>
              <w:left w:val="nil"/>
              <w:bottom w:val="single" w:color="auto" w:sz="4" w:space="0"/>
              <w:right w:val="single" w:color="auto" w:sz="4" w:space="0"/>
            </w:tcBorders>
            <w:noWrap w:val="0"/>
            <w:vAlign w:val="center"/>
          </w:tcPr>
          <w:p w14:paraId="53C93AA7">
            <w:pPr>
              <w:jc w:val="center"/>
              <w:rPr>
                <w:rFonts w:ascii="宋体" w:hAnsi="宋体" w:eastAsia="宋体" w:cs="宋体"/>
                <w:color w:val="auto"/>
                <w:sz w:val="16"/>
                <w:szCs w:val="16"/>
                <w:highlight w:val="none"/>
              </w:rPr>
            </w:pPr>
          </w:p>
        </w:tc>
        <w:tc>
          <w:tcPr>
            <w:tcW w:w="1200" w:type="dxa"/>
            <w:tcBorders>
              <w:top w:val="nil"/>
              <w:left w:val="nil"/>
              <w:bottom w:val="single" w:color="auto" w:sz="4" w:space="0"/>
              <w:right w:val="single" w:color="auto" w:sz="4" w:space="0"/>
            </w:tcBorders>
            <w:noWrap w:val="0"/>
            <w:vAlign w:val="center"/>
          </w:tcPr>
          <w:p w14:paraId="321704A6">
            <w:pPr>
              <w:jc w:val="center"/>
              <w:rPr>
                <w:rFonts w:ascii="宋体" w:hAnsi="宋体" w:eastAsia="宋体" w:cs="宋体"/>
                <w:color w:val="auto"/>
                <w:sz w:val="16"/>
                <w:szCs w:val="16"/>
                <w:highlight w:val="none"/>
              </w:rPr>
            </w:pPr>
          </w:p>
        </w:tc>
        <w:tc>
          <w:tcPr>
            <w:tcW w:w="1200" w:type="dxa"/>
            <w:tcBorders>
              <w:top w:val="nil"/>
              <w:left w:val="nil"/>
              <w:bottom w:val="single" w:color="auto" w:sz="4" w:space="0"/>
              <w:right w:val="single" w:color="auto" w:sz="4" w:space="0"/>
            </w:tcBorders>
            <w:noWrap w:val="0"/>
            <w:vAlign w:val="center"/>
          </w:tcPr>
          <w:p w14:paraId="52309FE0">
            <w:pPr>
              <w:jc w:val="center"/>
              <w:rPr>
                <w:rFonts w:ascii="宋体" w:hAnsi="宋体" w:eastAsia="宋体" w:cs="宋体"/>
                <w:color w:val="auto"/>
                <w:sz w:val="16"/>
                <w:szCs w:val="16"/>
                <w:highlight w:val="none"/>
              </w:rPr>
            </w:pPr>
          </w:p>
        </w:tc>
        <w:tc>
          <w:tcPr>
            <w:tcW w:w="855" w:type="dxa"/>
            <w:tcBorders>
              <w:top w:val="nil"/>
              <w:left w:val="nil"/>
              <w:bottom w:val="single" w:color="auto" w:sz="4" w:space="0"/>
              <w:right w:val="single" w:color="auto" w:sz="4" w:space="0"/>
            </w:tcBorders>
            <w:noWrap w:val="0"/>
            <w:vAlign w:val="center"/>
          </w:tcPr>
          <w:p w14:paraId="70785241">
            <w:pPr>
              <w:jc w:val="center"/>
              <w:rPr>
                <w:rFonts w:ascii="宋体" w:hAnsi="宋体" w:eastAsia="宋体" w:cs="宋体"/>
                <w:color w:val="auto"/>
                <w:sz w:val="21"/>
                <w:szCs w:val="21"/>
                <w:highlight w:val="none"/>
              </w:rPr>
            </w:pPr>
          </w:p>
        </w:tc>
      </w:tr>
      <w:tr w14:paraId="3E03185B">
        <w:tblPrEx>
          <w:tblCellMar>
            <w:top w:w="0" w:type="dxa"/>
            <w:left w:w="108" w:type="dxa"/>
            <w:bottom w:w="0" w:type="dxa"/>
            <w:right w:w="108" w:type="dxa"/>
          </w:tblCellMar>
        </w:tblPrEx>
        <w:trPr>
          <w:trHeight w:val="454" w:hRule="atLeast"/>
        </w:trPr>
        <w:tc>
          <w:tcPr>
            <w:tcW w:w="610" w:type="dxa"/>
            <w:tcBorders>
              <w:top w:val="single" w:color="auto" w:sz="4" w:space="0"/>
              <w:left w:val="single" w:color="auto" w:sz="4" w:space="0"/>
              <w:bottom w:val="single" w:color="auto" w:sz="4" w:space="0"/>
              <w:right w:val="single" w:color="auto" w:sz="4" w:space="0"/>
            </w:tcBorders>
            <w:noWrap w:val="0"/>
            <w:vAlign w:val="center"/>
          </w:tcPr>
          <w:p w14:paraId="33376EFD">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926" w:type="dxa"/>
            <w:tcBorders>
              <w:top w:val="single" w:color="auto" w:sz="4" w:space="0"/>
              <w:left w:val="single" w:color="auto" w:sz="4" w:space="0"/>
              <w:bottom w:val="single" w:color="auto" w:sz="4" w:space="0"/>
              <w:right w:val="single" w:color="auto" w:sz="4" w:space="0"/>
            </w:tcBorders>
            <w:noWrap w:val="0"/>
            <w:vAlign w:val="center"/>
          </w:tcPr>
          <w:p w14:paraId="4DF04B82">
            <w:pPr>
              <w:jc w:val="center"/>
              <w:rPr>
                <w:rFonts w:ascii="宋体" w:hAnsi="宋体" w:eastAsia="宋体" w:cs="宋体"/>
                <w:color w:val="auto"/>
                <w:sz w:val="16"/>
                <w:szCs w:val="16"/>
                <w:highlight w:val="none"/>
              </w:rPr>
            </w:pPr>
          </w:p>
        </w:tc>
        <w:tc>
          <w:tcPr>
            <w:tcW w:w="830" w:type="dxa"/>
            <w:tcBorders>
              <w:top w:val="single" w:color="auto" w:sz="4" w:space="0"/>
              <w:left w:val="single" w:color="auto" w:sz="4" w:space="0"/>
              <w:bottom w:val="single" w:color="auto" w:sz="4" w:space="0"/>
              <w:right w:val="single" w:color="auto" w:sz="4" w:space="0"/>
            </w:tcBorders>
            <w:noWrap w:val="0"/>
            <w:vAlign w:val="center"/>
          </w:tcPr>
          <w:p w14:paraId="0180F15B">
            <w:pPr>
              <w:jc w:val="center"/>
              <w:rPr>
                <w:rFonts w:ascii="宋体" w:hAnsi="宋体" w:eastAsia="宋体" w:cs="宋体"/>
                <w:color w:val="auto"/>
                <w:sz w:val="16"/>
                <w:szCs w:val="16"/>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264DD6F6">
            <w:pPr>
              <w:jc w:val="center"/>
              <w:rPr>
                <w:rFonts w:ascii="宋体" w:hAnsi="宋体" w:eastAsia="宋体" w:cs="宋体"/>
                <w:color w:val="auto"/>
                <w:sz w:val="16"/>
                <w:szCs w:val="16"/>
                <w:highlight w:val="none"/>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48EA29C6">
            <w:pPr>
              <w:jc w:val="center"/>
              <w:rPr>
                <w:rFonts w:ascii="宋体" w:hAnsi="宋体" w:eastAsia="宋体" w:cs="宋体"/>
                <w:color w:val="auto"/>
                <w:sz w:val="16"/>
                <w:szCs w:val="16"/>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1EF5407C">
            <w:pPr>
              <w:jc w:val="center"/>
              <w:rPr>
                <w:rFonts w:ascii="宋体" w:hAnsi="宋体" w:eastAsia="宋体" w:cs="宋体"/>
                <w:color w:val="auto"/>
                <w:sz w:val="16"/>
                <w:szCs w:val="16"/>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7D21514">
            <w:pPr>
              <w:jc w:val="center"/>
              <w:rPr>
                <w:rFonts w:ascii="宋体" w:hAnsi="宋体" w:eastAsia="宋体" w:cs="宋体"/>
                <w:color w:val="auto"/>
                <w:sz w:val="16"/>
                <w:szCs w:val="16"/>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41E38DD">
            <w:pPr>
              <w:jc w:val="center"/>
              <w:rPr>
                <w:rFonts w:ascii="宋体" w:hAnsi="宋体" w:eastAsia="宋体" w:cs="宋体"/>
                <w:color w:val="auto"/>
                <w:sz w:val="16"/>
                <w:szCs w:val="16"/>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18259EC7">
            <w:pPr>
              <w:jc w:val="center"/>
              <w:rPr>
                <w:rFonts w:ascii="宋体" w:hAnsi="宋体" w:eastAsia="宋体" w:cs="宋体"/>
                <w:color w:val="auto"/>
                <w:sz w:val="21"/>
                <w:szCs w:val="21"/>
                <w:highlight w:val="none"/>
              </w:rPr>
            </w:pPr>
          </w:p>
        </w:tc>
      </w:tr>
      <w:tr w14:paraId="3D8C299C">
        <w:tblPrEx>
          <w:tblCellMar>
            <w:top w:w="0" w:type="dxa"/>
            <w:left w:w="108" w:type="dxa"/>
            <w:bottom w:w="0" w:type="dxa"/>
            <w:right w:w="108" w:type="dxa"/>
          </w:tblCellMar>
        </w:tblPrEx>
        <w:trPr>
          <w:trHeight w:val="454" w:hRule="atLeast"/>
        </w:trPr>
        <w:tc>
          <w:tcPr>
            <w:tcW w:w="610" w:type="dxa"/>
            <w:tcBorders>
              <w:top w:val="single" w:color="auto" w:sz="4" w:space="0"/>
              <w:left w:val="single" w:color="auto" w:sz="4" w:space="0"/>
              <w:bottom w:val="single" w:color="auto" w:sz="4" w:space="0"/>
              <w:right w:val="single" w:color="auto" w:sz="4" w:space="0"/>
            </w:tcBorders>
            <w:noWrap w:val="0"/>
            <w:vAlign w:val="center"/>
          </w:tcPr>
          <w:p w14:paraId="24C9474C">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926" w:type="dxa"/>
            <w:tcBorders>
              <w:top w:val="single" w:color="auto" w:sz="4" w:space="0"/>
              <w:left w:val="single" w:color="auto" w:sz="4" w:space="0"/>
              <w:bottom w:val="single" w:color="auto" w:sz="4" w:space="0"/>
              <w:right w:val="single" w:color="auto" w:sz="4" w:space="0"/>
            </w:tcBorders>
            <w:noWrap w:val="0"/>
            <w:vAlign w:val="center"/>
          </w:tcPr>
          <w:p w14:paraId="5B0BA6C6">
            <w:pPr>
              <w:jc w:val="center"/>
              <w:rPr>
                <w:rFonts w:ascii="宋体" w:hAnsi="宋体" w:eastAsia="宋体" w:cs="宋体"/>
                <w:color w:val="auto"/>
                <w:sz w:val="16"/>
                <w:szCs w:val="16"/>
                <w:highlight w:val="none"/>
              </w:rPr>
            </w:pPr>
          </w:p>
        </w:tc>
        <w:tc>
          <w:tcPr>
            <w:tcW w:w="830" w:type="dxa"/>
            <w:tcBorders>
              <w:top w:val="single" w:color="auto" w:sz="4" w:space="0"/>
              <w:left w:val="single" w:color="auto" w:sz="4" w:space="0"/>
              <w:bottom w:val="single" w:color="auto" w:sz="4" w:space="0"/>
              <w:right w:val="single" w:color="auto" w:sz="4" w:space="0"/>
            </w:tcBorders>
            <w:noWrap w:val="0"/>
            <w:vAlign w:val="center"/>
          </w:tcPr>
          <w:p w14:paraId="4A9046B4">
            <w:pPr>
              <w:jc w:val="center"/>
              <w:rPr>
                <w:rFonts w:ascii="宋体" w:hAnsi="宋体" w:eastAsia="宋体" w:cs="宋体"/>
                <w:color w:val="auto"/>
                <w:sz w:val="16"/>
                <w:szCs w:val="16"/>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2A19A7AD">
            <w:pPr>
              <w:jc w:val="center"/>
              <w:rPr>
                <w:rFonts w:ascii="宋体" w:hAnsi="宋体" w:eastAsia="宋体" w:cs="宋体"/>
                <w:color w:val="auto"/>
                <w:sz w:val="16"/>
                <w:szCs w:val="16"/>
                <w:highlight w:val="none"/>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35741315">
            <w:pPr>
              <w:jc w:val="center"/>
              <w:rPr>
                <w:rFonts w:ascii="宋体" w:hAnsi="宋体" w:eastAsia="宋体" w:cs="宋体"/>
                <w:color w:val="auto"/>
                <w:sz w:val="16"/>
                <w:szCs w:val="16"/>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6148E2BC">
            <w:pPr>
              <w:jc w:val="center"/>
              <w:rPr>
                <w:rFonts w:ascii="宋体" w:hAnsi="宋体" w:eastAsia="宋体" w:cs="宋体"/>
                <w:color w:val="auto"/>
                <w:sz w:val="16"/>
                <w:szCs w:val="16"/>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B6131A8">
            <w:pPr>
              <w:jc w:val="center"/>
              <w:rPr>
                <w:rFonts w:ascii="宋体" w:hAnsi="宋体" w:eastAsia="宋体" w:cs="宋体"/>
                <w:color w:val="auto"/>
                <w:sz w:val="16"/>
                <w:szCs w:val="16"/>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C49C6D1">
            <w:pPr>
              <w:jc w:val="center"/>
              <w:rPr>
                <w:rFonts w:ascii="宋体" w:hAnsi="宋体" w:eastAsia="宋体" w:cs="宋体"/>
                <w:color w:val="auto"/>
                <w:sz w:val="16"/>
                <w:szCs w:val="16"/>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74C9D470">
            <w:pPr>
              <w:jc w:val="center"/>
              <w:rPr>
                <w:rFonts w:ascii="宋体" w:hAnsi="宋体" w:eastAsia="宋体" w:cs="宋体"/>
                <w:color w:val="auto"/>
                <w:sz w:val="21"/>
                <w:szCs w:val="21"/>
                <w:highlight w:val="none"/>
              </w:rPr>
            </w:pPr>
          </w:p>
        </w:tc>
      </w:tr>
      <w:tr w14:paraId="0EF24EBE">
        <w:tblPrEx>
          <w:tblCellMar>
            <w:top w:w="0" w:type="dxa"/>
            <w:left w:w="108" w:type="dxa"/>
            <w:bottom w:w="0" w:type="dxa"/>
            <w:right w:w="108" w:type="dxa"/>
          </w:tblCellMar>
        </w:tblPrEx>
        <w:trPr>
          <w:trHeight w:val="454" w:hRule="atLeast"/>
        </w:trPr>
        <w:tc>
          <w:tcPr>
            <w:tcW w:w="610" w:type="dxa"/>
            <w:tcBorders>
              <w:top w:val="single" w:color="auto" w:sz="4" w:space="0"/>
              <w:left w:val="single" w:color="auto" w:sz="4" w:space="0"/>
              <w:bottom w:val="single" w:color="auto" w:sz="4" w:space="0"/>
              <w:right w:val="single" w:color="auto" w:sz="4" w:space="0"/>
            </w:tcBorders>
            <w:noWrap w:val="0"/>
            <w:vAlign w:val="center"/>
          </w:tcPr>
          <w:p w14:paraId="4917CCF6">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926" w:type="dxa"/>
            <w:tcBorders>
              <w:top w:val="single" w:color="auto" w:sz="4" w:space="0"/>
              <w:left w:val="single" w:color="auto" w:sz="4" w:space="0"/>
              <w:bottom w:val="single" w:color="auto" w:sz="4" w:space="0"/>
              <w:right w:val="single" w:color="auto" w:sz="4" w:space="0"/>
            </w:tcBorders>
            <w:noWrap w:val="0"/>
            <w:vAlign w:val="center"/>
          </w:tcPr>
          <w:p w14:paraId="74EB7FDD">
            <w:pPr>
              <w:jc w:val="center"/>
              <w:rPr>
                <w:rFonts w:ascii="宋体" w:hAnsi="宋体" w:eastAsia="宋体" w:cs="宋体"/>
                <w:color w:val="auto"/>
                <w:sz w:val="16"/>
                <w:szCs w:val="16"/>
                <w:highlight w:val="none"/>
              </w:rPr>
            </w:pPr>
          </w:p>
        </w:tc>
        <w:tc>
          <w:tcPr>
            <w:tcW w:w="830" w:type="dxa"/>
            <w:tcBorders>
              <w:top w:val="single" w:color="auto" w:sz="4" w:space="0"/>
              <w:left w:val="single" w:color="auto" w:sz="4" w:space="0"/>
              <w:bottom w:val="single" w:color="auto" w:sz="4" w:space="0"/>
              <w:right w:val="single" w:color="auto" w:sz="4" w:space="0"/>
            </w:tcBorders>
            <w:noWrap w:val="0"/>
            <w:vAlign w:val="center"/>
          </w:tcPr>
          <w:p w14:paraId="6FC1EF18">
            <w:pPr>
              <w:jc w:val="center"/>
              <w:rPr>
                <w:rFonts w:ascii="宋体" w:hAnsi="宋体" w:eastAsia="宋体" w:cs="宋体"/>
                <w:color w:val="auto"/>
                <w:sz w:val="16"/>
                <w:szCs w:val="16"/>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7D34299B">
            <w:pPr>
              <w:jc w:val="center"/>
              <w:rPr>
                <w:rFonts w:ascii="宋体" w:hAnsi="宋体" w:eastAsia="宋体" w:cs="宋体"/>
                <w:color w:val="auto"/>
                <w:sz w:val="16"/>
                <w:szCs w:val="16"/>
                <w:highlight w:val="none"/>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376AD646">
            <w:pPr>
              <w:jc w:val="center"/>
              <w:rPr>
                <w:rFonts w:ascii="宋体" w:hAnsi="宋体" w:eastAsia="宋体" w:cs="宋体"/>
                <w:color w:val="auto"/>
                <w:sz w:val="16"/>
                <w:szCs w:val="16"/>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67132AA1">
            <w:pPr>
              <w:jc w:val="center"/>
              <w:rPr>
                <w:rFonts w:ascii="宋体" w:hAnsi="宋体" w:eastAsia="宋体" w:cs="宋体"/>
                <w:color w:val="auto"/>
                <w:sz w:val="16"/>
                <w:szCs w:val="16"/>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4B0B6C1">
            <w:pPr>
              <w:jc w:val="center"/>
              <w:rPr>
                <w:rFonts w:ascii="宋体" w:hAnsi="宋体" w:eastAsia="宋体" w:cs="宋体"/>
                <w:color w:val="auto"/>
                <w:sz w:val="16"/>
                <w:szCs w:val="16"/>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0C6D3109">
            <w:pPr>
              <w:jc w:val="center"/>
              <w:rPr>
                <w:rFonts w:ascii="宋体" w:hAnsi="宋体" w:eastAsia="宋体" w:cs="宋体"/>
                <w:color w:val="auto"/>
                <w:sz w:val="16"/>
                <w:szCs w:val="16"/>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7660221C">
            <w:pPr>
              <w:jc w:val="center"/>
              <w:rPr>
                <w:rFonts w:ascii="宋体" w:hAnsi="宋体" w:eastAsia="宋体" w:cs="宋体"/>
                <w:color w:val="auto"/>
                <w:sz w:val="21"/>
                <w:szCs w:val="21"/>
                <w:highlight w:val="none"/>
              </w:rPr>
            </w:pPr>
          </w:p>
        </w:tc>
      </w:tr>
      <w:tr w14:paraId="635B3EA8">
        <w:tblPrEx>
          <w:tblCellMar>
            <w:top w:w="0" w:type="dxa"/>
            <w:left w:w="108" w:type="dxa"/>
            <w:bottom w:w="0" w:type="dxa"/>
            <w:right w:w="108" w:type="dxa"/>
          </w:tblCellMar>
        </w:tblPrEx>
        <w:trPr>
          <w:trHeight w:val="454" w:hRule="atLeast"/>
        </w:trPr>
        <w:tc>
          <w:tcPr>
            <w:tcW w:w="610" w:type="dxa"/>
            <w:tcBorders>
              <w:top w:val="single" w:color="auto" w:sz="4" w:space="0"/>
              <w:left w:val="single" w:color="auto" w:sz="4" w:space="0"/>
              <w:bottom w:val="single" w:color="auto" w:sz="4" w:space="0"/>
              <w:right w:val="single" w:color="auto" w:sz="4" w:space="0"/>
            </w:tcBorders>
            <w:noWrap w:val="0"/>
            <w:vAlign w:val="center"/>
          </w:tcPr>
          <w:p w14:paraId="0B102073">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926" w:type="dxa"/>
            <w:tcBorders>
              <w:top w:val="single" w:color="auto" w:sz="4" w:space="0"/>
              <w:left w:val="single" w:color="auto" w:sz="4" w:space="0"/>
              <w:bottom w:val="single" w:color="auto" w:sz="4" w:space="0"/>
              <w:right w:val="single" w:color="auto" w:sz="4" w:space="0"/>
            </w:tcBorders>
            <w:noWrap w:val="0"/>
            <w:vAlign w:val="center"/>
          </w:tcPr>
          <w:p w14:paraId="16818B44">
            <w:pPr>
              <w:jc w:val="center"/>
              <w:rPr>
                <w:rFonts w:ascii="宋体" w:hAnsi="宋体" w:eastAsia="宋体" w:cs="宋体"/>
                <w:color w:val="auto"/>
                <w:sz w:val="16"/>
                <w:szCs w:val="16"/>
                <w:highlight w:val="none"/>
              </w:rPr>
            </w:pPr>
          </w:p>
        </w:tc>
        <w:tc>
          <w:tcPr>
            <w:tcW w:w="830" w:type="dxa"/>
            <w:tcBorders>
              <w:top w:val="single" w:color="auto" w:sz="4" w:space="0"/>
              <w:left w:val="single" w:color="auto" w:sz="4" w:space="0"/>
              <w:bottom w:val="single" w:color="auto" w:sz="4" w:space="0"/>
              <w:right w:val="single" w:color="auto" w:sz="4" w:space="0"/>
            </w:tcBorders>
            <w:noWrap w:val="0"/>
            <w:vAlign w:val="center"/>
          </w:tcPr>
          <w:p w14:paraId="698D7516">
            <w:pPr>
              <w:jc w:val="center"/>
              <w:rPr>
                <w:rFonts w:ascii="宋体" w:hAnsi="宋体" w:eastAsia="宋体" w:cs="宋体"/>
                <w:color w:val="auto"/>
                <w:sz w:val="16"/>
                <w:szCs w:val="16"/>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1E7F201E">
            <w:pPr>
              <w:jc w:val="center"/>
              <w:rPr>
                <w:rFonts w:ascii="宋体" w:hAnsi="宋体" w:eastAsia="宋体" w:cs="宋体"/>
                <w:color w:val="auto"/>
                <w:sz w:val="16"/>
                <w:szCs w:val="16"/>
                <w:highlight w:val="none"/>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233F46E8">
            <w:pPr>
              <w:jc w:val="center"/>
              <w:rPr>
                <w:rFonts w:ascii="宋体" w:hAnsi="宋体" w:eastAsia="宋体" w:cs="宋体"/>
                <w:color w:val="auto"/>
                <w:sz w:val="16"/>
                <w:szCs w:val="16"/>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02E8A24D">
            <w:pPr>
              <w:jc w:val="center"/>
              <w:rPr>
                <w:rFonts w:ascii="宋体" w:hAnsi="宋体" w:eastAsia="宋体" w:cs="宋体"/>
                <w:color w:val="auto"/>
                <w:sz w:val="16"/>
                <w:szCs w:val="16"/>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5FB2D7C">
            <w:pPr>
              <w:jc w:val="center"/>
              <w:rPr>
                <w:rFonts w:ascii="宋体" w:hAnsi="宋体" w:eastAsia="宋体" w:cs="宋体"/>
                <w:color w:val="auto"/>
                <w:sz w:val="16"/>
                <w:szCs w:val="16"/>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B3D45D0">
            <w:pPr>
              <w:jc w:val="center"/>
              <w:rPr>
                <w:rFonts w:ascii="宋体" w:hAnsi="宋体" w:eastAsia="宋体" w:cs="宋体"/>
                <w:color w:val="auto"/>
                <w:sz w:val="16"/>
                <w:szCs w:val="16"/>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0E6F1219">
            <w:pPr>
              <w:jc w:val="center"/>
              <w:rPr>
                <w:rFonts w:ascii="宋体" w:hAnsi="宋体" w:eastAsia="宋体" w:cs="宋体"/>
                <w:color w:val="auto"/>
                <w:sz w:val="21"/>
                <w:szCs w:val="21"/>
                <w:highlight w:val="none"/>
              </w:rPr>
            </w:pPr>
          </w:p>
        </w:tc>
      </w:tr>
      <w:tr w14:paraId="1917D3E8">
        <w:tblPrEx>
          <w:tblCellMar>
            <w:top w:w="0" w:type="dxa"/>
            <w:left w:w="108" w:type="dxa"/>
            <w:bottom w:w="0" w:type="dxa"/>
            <w:right w:w="108" w:type="dxa"/>
          </w:tblCellMar>
        </w:tblPrEx>
        <w:trPr>
          <w:trHeight w:val="454" w:hRule="atLeast"/>
        </w:trPr>
        <w:tc>
          <w:tcPr>
            <w:tcW w:w="610" w:type="dxa"/>
            <w:tcBorders>
              <w:top w:val="single" w:color="auto" w:sz="4" w:space="0"/>
              <w:left w:val="single" w:color="auto" w:sz="4" w:space="0"/>
              <w:bottom w:val="single" w:color="auto" w:sz="4" w:space="0"/>
              <w:right w:val="single" w:color="auto" w:sz="4" w:space="0"/>
            </w:tcBorders>
            <w:noWrap w:val="0"/>
            <w:vAlign w:val="center"/>
          </w:tcPr>
          <w:p w14:paraId="2FB0C112">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926" w:type="dxa"/>
            <w:tcBorders>
              <w:top w:val="single" w:color="auto" w:sz="4" w:space="0"/>
              <w:left w:val="single" w:color="auto" w:sz="4" w:space="0"/>
              <w:bottom w:val="single" w:color="auto" w:sz="4" w:space="0"/>
              <w:right w:val="single" w:color="auto" w:sz="4" w:space="0"/>
            </w:tcBorders>
            <w:noWrap w:val="0"/>
            <w:vAlign w:val="center"/>
          </w:tcPr>
          <w:p w14:paraId="5904CFFB">
            <w:pPr>
              <w:jc w:val="center"/>
              <w:rPr>
                <w:rFonts w:ascii="宋体" w:hAnsi="宋体" w:eastAsia="宋体" w:cs="宋体"/>
                <w:color w:val="auto"/>
                <w:sz w:val="16"/>
                <w:szCs w:val="16"/>
                <w:highlight w:val="none"/>
              </w:rPr>
            </w:pPr>
          </w:p>
        </w:tc>
        <w:tc>
          <w:tcPr>
            <w:tcW w:w="830" w:type="dxa"/>
            <w:tcBorders>
              <w:top w:val="single" w:color="auto" w:sz="4" w:space="0"/>
              <w:left w:val="single" w:color="auto" w:sz="4" w:space="0"/>
              <w:bottom w:val="single" w:color="auto" w:sz="4" w:space="0"/>
              <w:right w:val="single" w:color="auto" w:sz="4" w:space="0"/>
            </w:tcBorders>
            <w:noWrap w:val="0"/>
            <w:vAlign w:val="center"/>
          </w:tcPr>
          <w:p w14:paraId="6F88D698">
            <w:pPr>
              <w:jc w:val="center"/>
              <w:rPr>
                <w:rFonts w:ascii="宋体" w:hAnsi="宋体" w:eastAsia="宋体" w:cs="宋体"/>
                <w:color w:val="auto"/>
                <w:sz w:val="16"/>
                <w:szCs w:val="16"/>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57C46792">
            <w:pPr>
              <w:jc w:val="center"/>
              <w:rPr>
                <w:rFonts w:ascii="宋体" w:hAnsi="宋体" w:eastAsia="宋体" w:cs="宋体"/>
                <w:color w:val="auto"/>
                <w:sz w:val="16"/>
                <w:szCs w:val="16"/>
                <w:highlight w:val="none"/>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27A7A00C">
            <w:pPr>
              <w:jc w:val="center"/>
              <w:rPr>
                <w:rFonts w:ascii="宋体" w:hAnsi="宋体" w:eastAsia="宋体" w:cs="宋体"/>
                <w:color w:val="auto"/>
                <w:sz w:val="16"/>
                <w:szCs w:val="16"/>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24238BD3">
            <w:pPr>
              <w:jc w:val="center"/>
              <w:rPr>
                <w:rFonts w:ascii="宋体" w:hAnsi="宋体" w:eastAsia="宋体" w:cs="宋体"/>
                <w:color w:val="auto"/>
                <w:sz w:val="16"/>
                <w:szCs w:val="16"/>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0BF26EF">
            <w:pPr>
              <w:jc w:val="center"/>
              <w:rPr>
                <w:rFonts w:ascii="宋体" w:hAnsi="宋体" w:eastAsia="宋体" w:cs="宋体"/>
                <w:color w:val="auto"/>
                <w:sz w:val="16"/>
                <w:szCs w:val="16"/>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AABF4F7">
            <w:pPr>
              <w:jc w:val="center"/>
              <w:rPr>
                <w:rFonts w:ascii="宋体" w:hAnsi="宋体" w:eastAsia="宋体" w:cs="宋体"/>
                <w:color w:val="auto"/>
                <w:sz w:val="16"/>
                <w:szCs w:val="16"/>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41821D56">
            <w:pPr>
              <w:jc w:val="center"/>
              <w:rPr>
                <w:rFonts w:ascii="宋体" w:hAnsi="宋体" w:eastAsia="宋体" w:cs="宋体"/>
                <w:color w:val="auto"/>
                <w:sz w:val="21"/>
                <w:szCs w:val="21"/>
                <w:highlight w:val="none"/>
              </w:rPr>
            </w:pPr>
          </w:p>
        </w:tc>
      </w:tr>
      <w:tr w14:paraId="063A41C5">
        <w:tblPrEx>
          <w:tblCellMar>
            <w:top w:w="0" w:type="dxa"/>
            <w:left w:w="108" w:type="dxa"/>
            <w:bottom w:w="0" w:type="dxa"/>
            <w:right w:w="108" w:type="dxa"/>
          </w:tblCellMar>
        </w:tblPrEx>
        <w:trPr>
          <w:trHeight w:val="454" w:hRule="atLeast"/>
        </w:trPr>
        <w:tc>
          <w:tcPr>
            <w:tcW w:w="610" w:type="dxa"/>
            <w:tcBorders>
              <w:top w:val="single" w:color="auto" w:sz="4" w:space="0"/>
              <w:left w:val="single" w:color="auto" w:sz="4" w:space="0"/>
              <w:bottom w:val="single" w:color="auto" w:sz="4" w:space="0"/>
              <w:right w:val="single" w:color="auto" w:sz="4" w:space="0"/>
            </w:tcBorders>
            <w:noWrap w:val="0"/>
            <w:vAlign w:val="center"/>
          </w:tcPr>
          <w:p w14:paraId="7464F811">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926" w:type="dxa"/>
            <w:tcBorders>
              <w:top w:val="single" w:color="auto" w:sz="4" w:space="0"/>
              <w:left w:val="single" w:color="auto" w:sz="4" w:space="0"/>
              <w:bottom w:val="single" w:color="auto" w:sz="4" w:space="0"/>
              <w:right w:val="single" w:color="auto" w:sz="4" w:space="0"/>
            </w:tcBorders>
            <w:noWrap w:val="0"/>
            <w:vAlign w:val="center"/>
          </w:tcPr>
          <w:p w14:paraId="1B93B6F4">
            <w:pPr>
              <w:jc w:val="center"/>
              <w:rPr>
                <w:rFonts w:ascii="宋体" w:hAnsi="宋体" w:eastAsia="宋体" w:cs="宋体"/>
                <w:color w:val="auto"/>
                <w:sz w:val="16"/>
                <w:szCs w:val="16"/>
                <w:highlight w:val="none"/>
              </w:rPr>
            </w:pPr>
          </w:p>
        </w:tc>
        <w:tc>
          <w:tcPr>
            <w:tcW w:w="830" w:type="dxa"/>
            <w:tcBorders>
              <w:top w:val="single" w:color="auto" w:sz="4" w:space="0"/>
              <w:left w:val="single" w:color="auto" w:sz="4" w:space="0"/>
              <w:bottom w:val="single" w:color="auto" w:sz="4" w:space="0"/>
              <w:right w:val="single" w:color="auto" w:sz="4" w:space="0"/>
            </w:tcBorders>
            <w:noWrap w:val="0"/>
            <w:vAlign w:val="center"/>
          </w:tcPr>
          <w:p w14:paraId="6CBF5E13">
            <w:pPr>
              <w:jc w:val="center"/>
              <w:rPr>
                <w:rFonts w:ascii="宋体" w:hAnsi="宋体" w:eastAsia="宋体" w:cs="宋体"/>
                <w:color w:val="auto"/>
                <w:sz w:val="16"/>
                <w:szCs w:val="16"/>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4C2E5444">
            <w:pPr>
              <w:jc w:val="center"/>
              <w:rPr>
                <w:rFonts w:ascii="宋体" w:hAnsi="宋体" w:eastAsia="宋体" w:cs="宋体"/>
                <w:color w:val="auto"/>
                <w:sz w:val="16"/>
                <w:szCs w:val="16"/>
                <w:highlight w:val="none"/>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265A79F9">
            <w:pPr>
              <w:jc w:val="center"/>
              <w:rPr>
                <w:rFonts w:ascii="宋体" w:hAnsi="宋体" w:eastAsia="宋体" w:cs="宋体"/>
                <w:color w:val="auto"/>
                <w:sz w:val="16"/>
                <w:szCs w:val="16"/>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6532E515">
            <w:pPr>
              <w:jc w:val="center"/>
              <w:rPr>
                <w:rFonts w:ascii="宋体" w:hAnsi="宋体" w:eastAsia="宋体" w:cs="宋体"/>
                <w:color w:val="auto"/>
                <w:sz w:val="16"/>
                <w:szCs w:val="16"/>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E1E3EF2">
            <w:pPr>
              <w:jc w:val="center"/>
              <w:rPr>
                <w:rFonts w:ascii="宋体" w:hAnsi="宋体" w:eastAsia="宋体" w:cs="宋体"/>
                <w:color w:val="auto"/>
                <w:sz w:val="16"/>
                <w:szCs w:val="16"/>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2638FE0">
            <w:pPr>
              <w:jc w:val="center"/>
              <w:rPr>
                <w:rFonts w:ascii="宋体" w:hAnsi="宋体" w:eastAsia="宋体" w:cs="宋体"/>
                <w:color w:val="auto"/>
                <w:sz w:val="16"/>
                <w:szCs w:val="16"/>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42D181FA">
            <w:pPr>
              <w:jc w:val="center"/>
              <w:rPr>
                <w:rFonts w:ascii="宋体" w:hAnsi="宋体" w:eastAsia="宋体" w:cs="宋体"/>
                <w:color w:val="auto"/>
                <w:sz w:val="21"/>
                <w:szCs w:val="21"/>
                <w:highlight w:val="none"/>
              </w:rPr>
            </w:pPr>
          </w:p>
        </w:tc>
      </w:tr>
      <w:tr w14:paraId="65FE59D8">
        <w:tblPrEx>
          <w:tblCellMar>
            <w:top w:w="0" w:type="dxa"/>
            <w:left w:w="108" w:type="dxa"/>
            <w:bottom w:w="0" w:type="dxa"/>
            <w:right w:w="108" w:type="dxa"/>
          </w:tblCellMar>
        </w:tblPrEx>
        <w:trPr>
          <w:trHeight w:val="454" w:hRule="atLeast"/>
        </w:trPr>
        <w:tc>
          <w:tcPr>
            <w:tcW w:w="610" w:type="dxa"/>
            <w:tcBorders>
              <w:top w:val="single" w:color="auto" w:sz="4" w:space="0"/>
              <w:left w:val="single" w:color="auto" w:sz="4" w:space="0"/>
              <w:bottom w:val="single" w:color="auto" w:sz="4" w:space="0"/>
              <w:right w:val="single" w:color="auto" w:sz="4" w:space="0"/>
            </w:tcBorders>
            <w:noWrap w:val="0"/>
            <w:vAlign w:val="center"/>
          </w:tcPr>
          <w:p w14:paraId="165BC4E5">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926" w:type="dxa"/>
            <w:tcBorders>
              <w:top w:val="single" w:color="auto" w:sz="4" w:space="0"/>
              <w:left w:val="single" w:color="auto" w:sz="4" w:space="0"/>
              <w:bottom w:val="single" w:color="auto" w:sz="4" w:space="0"/>
              <w:right w:val="single" w:color="auto" w:sz="4" w:space="0"/>
            </w:tcBorders>
            <w:noWrap w:val="0"/>
            <w:vAlign w:val="center"/>
          </w:tcPr>
          <w:p w14:paraId="3D758CBA">
            <w:pPr>
              <w:jc w:val="center"/>
              <w:rPr>
                <w:rFonts w:ascii="宋体" w:hAnsi="宋体" w:eastAsia="宋体" w:cs="宋体"/>
                <w:color w:val="auto"/>
                <w:sz w:val="16"/>
                <w:szCs w:val="16"/>
                <w:highlight w:val="none"/>
              </w:rPr>
            </w:pPr>
          </w:p>
        </w:tc>
        <w:tc>
          <w:tcPr>
            <w:tcW w:w="830" w:type="dxa"/>
            <w:tcBorders>
              <w:top w:val="single" w:color="auto" w:sz="4" w:space="0"/>
              <w:left w:val="single" w:color="auto" w:sz="4" w:space="0"/>
              <w:bottom w:val="single" w:color="auto" w:sz="4" w:space="0"/>
              <w:right w:val="single" w:color="auto" w:sz="4" w:space="0"/>
            </w:tcBorders>
            <w:noWrap w:val="0"/>
            <w:vAlign w:val="center"/>
          </w:tcPr>
          <w:p w14:paraId="4968F5C1">
            <w:pPr>
              <w:jc w:val="center"/>
              <w:rPr>
                <w:rFonts w:ascii="宋体" w:hAnsi="宋体" w:eastAsia="宋体" w:cs="宋体"/>
                <w:color w:val="auto"/>
                <w:sz w:val="16"/>
                <w:szCs w:val="16"/>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2CF00EE2">
            <w:pPr>
              <w:jc w:val="center"/>
              <w:rPr>
                <w:rFonts w:ascii="宋体" w:hAnsi="宋体" w:eastAsia="宋体" w:cs="宋体"/>
                <w:color w:val="auto"/>
                <w:sz w:val="16"/>
                <w:szCs w:val="16"/>
                <w:highlight w:val="none"/>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367D3956">
            <w:pPr>
              <w:jc w:val="center"/>
              <w:rPr>
                <w:rFonts w:ascii="宋体" w:hAnsi="宋体" w:eastAsia="宋体" w:cs="宋体"/>
                <w:color w:val="auto"/>
                <w:sz w:val="16"/>
                <w:szCs w:val="16"/>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36A70F20">
            <w:pPr>
              <w:jc w:val="center"/>
              <w:rPr>
                <w:rFonts w:ascii="宋体" w:hAnsi="宋体" w:eastAsia="宋体" w:cs="宋体"/>
                <w:color w:val="auto"/>
                <w:sz w:val="16"/>
                <w:szCs w:val="16"/>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F346634">
            <w:pPr>
              <w:jc w:val="center"/>
              <w:rPr>
                <w:rFonts w:ascii="宋体" w:hAnsi="宋体" w:eastAsia="宋体" w:cs="宋体"/>
                <w:color w:val="auto"/>
                <w:sz w:val="16"/>
                <w:szCs w:val="16"/>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F5A47E8">
            <w:pPr>
              <w:jc w:val="center"/>
              <w:rPr>
                <w:rFonts w:ascii="宋体" w:hAnsi="宋体" w:eastAsia="宋体" w:cs="宋体"/>
                <w:color w:val="auto"/>
                <w:sz w:val="16"/>
                <w:szCs w:val="16"/>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659B0C4B">
            <w:pPr>
              <w:jc w:val="center"/>
              <w:rPr>
                <w:rFonts w:ascii="宋体" w:hAnsi="宋体" w:eastAsia="宋体" w:cs="宋体"/>
                <w:color w:val="auto"/>
                <w:sz w:val="21"/>
                <w:szCs w:val="21"/>
                <w:highlight w:val="none"/>
              </w:rPr>
            </w:pPr>
          </w:p>
        </w:tc>
      </w:tr>
      <w:tr w14:paraId="450BF0FC">
        <w:tblPrEx>
          <w:tblCellMar>
            <w:top w:w="0" w:type="dxa"/>
            <w:left w:w="108" w:type="dxa"/>
            <w:bottom w:w="0" w:type="dxa"/>
            <w:right w:w="108" w:type="dxa"/>
          </w:tblCellMar>
        </w:tblPrEx>
        <w:trPr>
          <w:trHeight w:val="454" w:hRule="atLeast"/>
        </w:trPr>
        <w:tc>
          <w:tcPr>
            <w:tcW w:w="610" w:type="dxa"/>
            <w:tcBorders>
              <w:top w:val="single" w:color="auto" w:sz="4" w:space="0"/>
              <w:left w:val="single" w:color="auto" w:sz="4" w:space="0"/>
              <w:bottom w:val="single" w:color="auto" w:sz="4" w:space="0"/>
              <w:right w:val="single" w:color="auto" w:sz="4" w:space="0"/>
            </w:tcBorders>
            <w:noWrap w:val="0"/>
            <w:vAlign w:val="center"/>
          </w:tcPr>
          <w:p w14:paraId="0D575CA7">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926" w:type="dxa"/>
            <w:tcBorders>
              <w:top w:val="single" w:color="auto" w:sz="4" w:space="0"/>
              <w:left w:val="single" w:color="auto" w:sz="4" w:space="0"/>
              <w:bottom w:val="single" w:color="auto" w:sz="4" w:space="0"/>
              <w:right w:val="single" w:color="auto" w:sz="4" w:space="0"/>
            </w:tcBorders>
            <w:noWrap w:val="0"/>
            <w:vAlign w:val="center"/>
          </w:tcPr>
          <w:p w14:paraId="2EF3F8A0">
            <w:pPr>
              <w:jc w:val="center"/>
              <w:rPr>
                <w:rFonts w:ascii="宋体" w:hAnsi="宋体" w:eastAsia="宋体" w:cs="宋体"/>
                <w:color w:val="auto"/>
                <w:sz w:val="16"/>
                <w:szCs w:val="16"/>
                <w:highlight w:val="none"/>
              </w:rPr>
            </w:pPr>
          </w:p>
        </w:tc>
        <w:tc>
          <w:tcPr>
            <w:tcW w:w="830" w:type="dxa"/>
            <w:tcBorders>
              <w:top w:val="single" w:color="auto" w:sz="4" w:space="0"/>
              <w:left w:val="single" w:color="auto" w:sz="4" w:space="0"/>
              <w:bottom w:val="single" w:color="auto" w:sz="4" w:space="0"/>
              <w:right w:val="single" w:color="auto" w:sz="4" w:space="0"/>
            </w:tcBorders>
            <w:noWrap w:val="0"/>
            <w:vAlign w:val="center"/>
          </w:tcPr>
          <w:p w14:paraId="0534E265">
            <w:pPr>
              <w:jc w:val="center"/>
              <w:rPr>
                <w:rFonts w:ascii="宋体" w:hAnsi="宋体" w:eastAsia="宋体" w:cs="宋体"/>
                <w:color w:val="auto"/>
                <w:sz w:val="16"/>
                <w:szCs w:val="16"/>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76982C6D">
            <w:pPr>
              <w:jc w:val="center"/>
              <w:rPr>
                <w:rFonts w:ascii="宋体" w:hAnsi="宋体" w:eastAsia="宋体" w:cs="宋体"/>
                <w:color w:val="auto"/>
                <w:sz w:val="16"/>
                <w:szCs w:val="16"/>
                <w:highlight w:val="none"/>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21A4BBBC">
            <w:pPr>
              <w:jc w:val="center"/>
              <w:rPr>
                <w:rFonts w:ascii="宋体" w:hAnsi="宋体" w:eastAsia="宋体" w:cs="宋体"/>
                <w:color w:val="auto"/>
                <w:sz w:val="16"/>
                <w:szCs w:val="16"/>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7C5F7CB7">
            <w:pPr>
              <w:jc w:val="center"/>
              <w:rPr>
                <w:rFonts w:ascii="宋体" w:hAnsi="宋体" w:eastAsia="宋体" w:cs="宋体"/>
                <w:color w:val="auto"/>
                <w:sz w:val="16"/>
                <w:szCs w:val="16"/>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0309FAE">
            <w:pPr>
              <w:jc w:val="center"/>
              <w:rPr>
                <w:rFonts w:ascii="宋体" w:hAnsi="宋体" w:eastAsia="宋体" w:cs="宋体"/>
                <w:color w:val="auto"/>
                <w:sz w:val="16"/>
                <w:szCs w:val="16"/>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572D5FF">
            <w:pPr>
              <w:jc w:val="center"/>
              <w:rPr>
                <w:rFonts w:ascii="宋体" w:hAnsi="宋体" w:eastAsia="宋体" w:cs="宋体"/>
                <w:color w:val="auto"/>
                <w:sz w:val="16"/>
                <w:szCs w:val="16"/>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797F228D">
            <w:pPr>
              <w:jc w:val="center"/>
              <w:rPr>
                <w:rFonts w:ascii="宋体" w:hAnsi="宋体" w:eastAsia="宋体" w:cs="宋体"/>
                <w:color w:val="auto"/>
                <w:sz w:val="21"/>
                <w:szCs w:val="21"/>
                <w:highlight w:val="none"/>
              </w:rPr>
            </w:pPr>
          </w:p>
        </w:tc>
      </w:tr>
      <w:tr w14:paraId="7DC2B7C6">
        <w:tblPrEx>
          <w:tblCellMar>
            <w:top w:w="0" w:type="dxa"/>
            <w:left w:w="108" w:type="dxa"/>
            <w:bottom w:w="0" w:type="dxa"/>
            <w:right w:w="108" w:type="dxa"/>
          </w:tblCellMar>
        </w:tblPrEx>
        <w:trPr>
          <w:trHeight w:val="454" w:hRule="atLeast"/>
        </w:trPr>
        <w:tc>
          <w:tcPr>
            <w:tcW w:w="610" w:type="dxa"/>
            <w:tcBorders>
              <w:top w:val="single" w:color="auto" w:sz="4" w:space="0"/>
              <w:left w:val="single" w:color="auto" w:sz="4" w:space="0"/>
              <w:bottom w:val="single" w:color="auto" w:sz="4" w:space="0"/>
              <w:right w:val="single" w:color="auto" w:sz="4" w:space="0"/>
            </w:tcBorders>
            <w:noWrap w:val="0"/>
            <w:vAlign w:val="center"/>
          </w:tcPr>
          <w:p w14:paraId="27F3FE61">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p>
        </w:tc>
        <w:tc>
          <w:tcPr>
            <w:tcW w:w="926" w:type="dxa"/>
            <w:tcBorders>
              <w:top w:val="single" w:color="auto" w:sz="4" w:space="0"/>
              <w:left w:val="single" w:color="auto" w:sz="4" w:space="0"/>
              <w:bottom w:val="single" w:color="auto" w:sz="4" w:space="0"/>
              <w:right w:val="single" w:color="auto" w:sz="4" w:space="0"/>
            </w:tcBorders>
            <w:noWrap w:val="0"/>
            <w:vAlign w:val="center"/>
          </w:tcPr>
          <w:p w14:paraId="25432213">
            <w:pPr>
              <w:jc w:val="center"/>
              <w:rPr>
                <w:rFonts w:ascii="宋体" w:hAnsi="宋体" w:eastAsia="宋体" w:cs="宋体"/>
                <w:color w:val="auto"/>
                <w:sz w:val="16"/>
                <w:szCs w:val="16"/>
                <w:highlight w:val="none"/>
              </w:rPr>
            </w:pPr>
          </w:p>
        </w:tc>
        <w:tc>
          <w:tcPr>
            <w:tcW w:w="830" w:type="dxa"/>
            <w:tcBorders>
              <w:top w:val="single" w:color="auto" w:sz="4" w:space="0"/>
              <w:left w:val="single" w:color="auto" w:sz="4" w:space="0"/>
              <w:bottom w:val="single" w:color="auto" w:sz="4" w:space="0"/>
              <w:right w:val="single" w:color="auto" w:sz="4" w:space="0"/>
            </w:tcBorders>
            <w:noWrap w:val="0"/>
            <w:vAlign w:val="center"/>
          </w:tcPr>
          <w:p w14:paraId="5C8E0249">
            <w:pPr>
              <w:jc w:val="center"/>
              <w:rPr>
                <w:rFonts w:ascii="宋体" w:hAnsi="宋体" w:eastAsia="宋体" w:cs="宋体"/>
                <w:color w:val="auto"/>
                <w:sz w:val="16"/>
                <w:szCs w:val="16"/>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631B831D">
            <w:pPr>
              <w:jc w:val="center"/>
              <w:rPr>
                <w:rFonts w:ascii="宋体" w:hAnsi="宋体" w:eastAsia="宋体" w:cs="宋体"/>
                <w:color w:val="auto"/>
                <w:sz w:val="16"/>
                <w:szCs w:val="16"/>
                <w:highlight w:val="none"/>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264FA0C9">
            <w:pPr>
              <w:jc w:val="center"/>
              <w:rPr>
                <w:rFonts w:ascii="宋体" w:hAnsi="宋体" w:eastAsia="宋体" w:cs="宋体"/>
                <w:color w:val="auto"/>
                <w:sz w:val="16"/>
                <w:szCs w:val="16"/>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19D9E74B">
            <w:pPr>
              <w:jc w:val="center"/>
              <w:rPr>
                <w:rFonts w:ascii="宋体" w:hAnsi="宋体" w:eastAsia="宋体" w:cs="宋体"/>
                <w:color w:val="auto"/>
                <w:sz w:val="16"/>
                <w:szCs w:val="16"/>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E983256">
            <w:pPr>
              <w:jc w:val="center"/>
              <w:rPr>
                <w:rFonts w:ascii="宋体" w:hAnsi="宋体" w:eastAsia="宋体" w:cs="宋体"/>
                <w:color w:val="auto"/>
                <w:sz w:val="16"/>
                <w:szCs w:val="16"/>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9F9E3A7">
            <w:pPr>
              <w:jc w:val="center"/>
              <w:rPr>
                <w:rFonts w:ascii="宋体" w:hAnsi="宋体" w:eastAsia="宋体" w:cs="宋体"/>
                <w:color w:val="auto"/>
                <w:sz w:val="16"/>
                <w:szCs w:val="16"/>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5C6336FE">
            <w:pPr>
              <w:jc w:val="center"/>
              <w:rPr>
                <w:rFonts w:ascii="宋体" w:hAnsi="宋体" w:eastAsia="宋体" w:cs="宋体"/>
                <w:color w:val="auto"/>
                <w:sz w:val="21"/>
                <w:szCs w:val="21"/>
                <w:highlight w:val="none"/>
              </w:rPr>
            </w:pPr>
          </w:p>
        </w:tc>
      </w:tr>
      <w:tr w14:paraId="1D06E171">
        <w:tblPrEx>
          <w:tblCellMar>
            <w:top w:w="0" w:type="dxa"/>
            <w:left w:w="108" w:type="dxa"/>
            <w:bottom w:w="0" w:type="dxa"/>
            <w:right w:w="108" w:type="dxa"/>
          </w:tblCellMar>
        </w:tblPrEx>
        <w:trPr>
          <w:trHeight w:val="454" w:hRule="atLeast"/>
        </w:trPr>
        <w:tc>
          <w:tcPr>
            <w:tcW w:w="610" w:type="dxa"/>
            <w:tcBorders>
              <w:top w:val="single" w:color="auto" w:sz="4" w:space="0"/>
              <w:left w:val="single" w:color="auto" w:sz="4" w:space="0"/>
              <w:bottom w:val="single" w:color="auto" w:sz="4" w:space="0"/>
              <w:right w:val="single" w:color="auto" w:sz="4" w:space="0"/>
            </w:tcBorders>
            <w:noWrap w:val="0"/>
            <w:vAlign w:val="center"/>
          </w:tcPr>
          <w:p w14:paraId="3984C697">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w:t>
            </w:r>
          </w:p>
        </w:tc>
        <w:tc>
          <w:tcPr>
            <w:tcW w:w="926" w:type="dxa"/>
            <w:tcBorders>
              <w:top w:val="single" w:color="auto" w:sz="4" w:space="0"/>
              <w:left w:val="single" w:color="auto" w:sz="4" w:space="0"/>
              <w:bottom w:val="single" w:color="auto" w:sz="4" w:space="0"/>
              <w:right w:val="single" w:color="auto" w:sz="4" w:space="0"/>
            </w:tcBorders>
            <w:noWrap w:val="0"/>
            <w:vAlign w:val="center"/>
          </w:tcPr>
          <w:p w14:paraId="343B3173">
            <w:pPr>
              <w:jc w:val="center"/>
              <w:rPr>
                <w:rFonts w:ascii="宋体" w:hAnsi="宋体" w:eastAsia="宋体" w:cs="宋体"/>
                <w:color w:val="auto"/>
                <w:sz w:val="16"/>
                <w:szCs w:val="16"/>
                <w:highlight w:val="none"/>
              </w:rPr>
            </w:pPr>
          </w:p>
        </w:tc>
        <w:tc>
          <w:tcPr>
            <w:tcW w:w="830" w:type="dxa"/>
            <w:tcBorders>
              <w:top w:val="single" w:color="auto" w:sz="4" w:space="0"/>
              <w:left w:val="single" w:color="auto" w:sz="4" w:space="0"/>
              <w:bottom w:val="single" w:color="auto" w:sz="4" w:space="0"/>
              <w:right w:val="single" w:color="auto" w:sz="4" w:space="0"/>
            </w:tcBorders>
            <w:noWrap w:val="0"/>
            <w:vAlign w:val="center"/>
          </w:tcPr>
          <w:p w14:paraId="3EFCD9D2">
            <w:pPr>
              <w:jc w:val="center"/>
              <w:rPr>
                <w:rFonts w:ascii="宋体" w:hAnsi="宋体" w:eastAsia="宋体" w:cs="宋体"/>
                <w:color w:val="auto"/>
                <w:sz w:val="16"/>
                <w:szCs w:val="16"/>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3ADEA2E0">
            <w:pPr>
              <w:jc w:val="center"/>
              <w:rPr>
                <w:rFonts w:ascii="宋体" w:hAnsi="宋体" w:eastAsia="宋体" w:cs="宋体"/>
                <w:color w:val="auto"/>
                <w:sz w:val="16"/>
                <w:szCs w:val="16"/>
                <w:highlight w:val="none"/>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24BC0A32">
            <w:pPr>
              <w:jc w:val="center"/>
              <w:rPr>
                <w:rFonts w:ascii="宋体" w:hAnsi="宋体" w:eastAsia="宋体" w:cs="宋体"/>
                <w:color w:val="auto"/>
                <w:sz w:val="16"/>
                <w:szCs w:val="16"/>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7BF32F58">
            <w:pPr>
              <w:jc w:val="center"/>
              <w:rPr>
                <w:rFonts w:ascii="宋体" w:hAnsi="宋体" w:eastAsia="宋体" w:cs="宋体"/>
                <w:color w:val="auto"/>
                <w:sz w:val="16"/>
                <w:szCs w:val="16"/>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0650C5E0">
            <w:pPr>
              <w:jc w:val="center"/>
              <w:rPr>
                <w:rFonts w:ascii="宋体" w:hAnsi="宋体" w:eastAsia="宋体" w:cs="宋体"/>
                <w:color w:val="auto"/>
                <w:sz w:val="16"/>
                <w:szCs w:val="16"/>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F693AE6">
            <w:pPr>
              <w:jc w:val="center"/>
              <w:rPr>
                <w:rFonts w:ascii="宋体" w:hAnsi="宋体" w:eastAsia="宋体" w:cs="宋体"/>
                <w:color w:val="auto"/>
                <w:sz w:val="16"/>
                <w:szCs w:val="16"/>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47D265C0">
            <w:pPr>
              <w:jc w:val="center"/>
              <w:rPr>
                <w:rFonts w:ascii="宋体" w:hAnsi="宋体" w:eastAsia="宋体" w:cs="宋体"/>
                <w:color w:val="auto"/>
                <w:sz w:val="21"/>
                <w:szCs w:val="21"/>
                <w:highlight w:val="none"/>
              </w:rPr>
            </w:pPr>
          </w:p>
        </w:tc>
      </w:tr>
      <w:tr w14:paraId="36C75014">
        <w:tblPrEx>
          <w:tblCellMar>
            <w:top w:w="0" w:type="dxa"/>
            <w:left w:w="108" w:type="dxa"/>
            <w:bottom w:w="0" w:type="dxa"/>
            <w:right w:w="108" w:type="dxa"/>
          </w:tblCellMar>
        </w:tblPrEx>
        <w:trPr>
          <w:trHeight w:val="454" w:hRule="atLeast"/>
        </w:trPr>
        <w:tc>
          <w:tcPr>
            <w:tcW w:w="610" w:type="dxa"/>
            <w:tcBorders>
              <w:top w:val="single" w:color="auto" w:sz="4" w:space="0"/>
              <w:left w:val="single" w:color="auto" w:sz="4" w:space="0"/>
              <w:bottom w:val="single" w:color="auto" w:sz="4" w:space="0"/>
              <w:right w:val="single" w:color="auto" w:sz="4" w:space="0"/>
            </w:tcBorders>
            <w:noWrap w:val="0"/>
            <w:vAlign w:val="center"/>
          </w:tcPr>
          <w:p w14:paraId="7E4B6DBF">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w:t>
            </w:r>
          </w:p>
        </w:tc>
        <w:tc>
          <w:tcPr>
            <w:tcW w:w="926" w:type="dxa"/>
            <w:tcBorders>
              <w:top w:val="single" w:color="auto" w:sz="4" w:space="0"/>
              <w:left w:val="single" w:color="auto" w:sz="4" w:space="0"/>
              <w:bottom w:val="single" w:color="auto" w:sz="4" w:space="0"/>
              <w:right w:val="single" w:color="auto" w:sz="4" w:space="0"/>
            </w:tcBorders>
            <w:noWrap w:val="0"/>
            <w:vAlign w:val="center"/>
          </w:tcPr>
          <w:p w14:paraId="6142A460">
            <w:pPr>
              <w:jc w:val="center"/>
              <w:rPr>
                <w:rFonts w:ascii="宋体" w:hAnsi="宋体" w:eastAsia="宋体" w:cs="宋体"/>
                <w:color w:val="auto"/>
                <w:sz w:val="16"/>
                <w:szCs w:val="16"/>
                <w:highlight w:val="none"/>
              </w:rPr>
            </w:pPr>
          </w:p>
        </w:tc>
        <w:tc>
          <w:tcPr>
            <w:tcW w:w="830" w:type="dxa"/>
            <w:tcBorders>
              <w:top w:val="single" w:color="auto" w:sz="4" w:space="0"/>
              <w:left w:val="single" w:color="auto" w:sz="4" w:space="0"/>
              <w:bottom w:val="single" w:color="auto" w:sz="4" w:space="0"/>
              <w:right w:val="single" w:color="auto" w:sz="4" w:space="0"/>
            </w:tcBorders>
            <w:noWrap w:val="0"/>
            <w:vAlign w:val="center"/>
          </w:tcPr>
          <w:p w14:paraId="290B8A3F">
            <w:pPr>
              <w:jc w:val="center"/>
              <w:rPr>
                <w:rFonts w:ascii="宋体" w:hAnsi="宋体" w:eastAsia="宋体" w:cs="宋体"/>
                <w:color w:val="auto"/>
                <w:sz w:val="16"/>
                <w:szCs w:val="16"/>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0EE6EAA9">
            <w:pPr>
              <w:jc w:val="center"/>
              <w:rPr>
                <w:rFonts w:ascii="宋体" w:hAnsi="宋体" w:eastAsia="宋体" w:cs="宋体"/>
                <w:color w:val="auto"/>
                <w:sz w:val="16"/>
                <w:szCs w:val="16"/>
                <w:highlight w:val="none"/>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6E2FD3FA">
            <w:pPr>
              <w:jc w:val="center"/>
              <w:rPr>
                <w:rFonts w:ascii="宋体" w:hAnsi="宋体" w:eastAsia="宋体" w:cs="宋体"/>
                <w:color w:val="auto"/>
                <w:sz w:val="16"/>
                <w:szCs w:val="16"/>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0A2A9003">
            <w:pPr>
              <w:jc w:val="center"/>
              <w:rPr>
                <w:rFonts w:ascii="宋体" w:hAnsi="宋体" w:eastAsia="宋体" w:cs="宋体"/>
                <w:color w:val="auto"/>
                <w:sz w:val="16"/>
                <w:szCs w:val="16"/>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CDEE03A">
            <w:pPr>
              <w:jc w:val="center"/>
              <w:rPr>
                <w:rFonts w:ascii="宋体" w:hAnsi="宋体" w:eastAsia="宋体" w:cs="宋体"/>
                <w:color w:val="auto"/>
                <w:sz w:val="16"/>
                <w:szCs w:val="16"/>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D667B5E">
            <w:pPr>
              <w:jc w:val="center"/>
              <w:rPr>
                <w:rFonts w:ascii="宋体" w:hAnsi="宋体" w:eastAsia="宋体" w:cs="宋体"/>
                <w:color w:val="auto"/>
                <w:sz w:val="16"/>
                <w:szCs w:val="16"/>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61A1760C">
            <w:pPr>
              <w:jc w:val="center"/>
              <w:rPr>
                <w:rFonts w:ascii="宋体" w:hAnsi="宋体" w:eastAsia="宋体" w:cs="宋体"/>
                <w:color w:val="auto"/>
                <w:sz w:val="21"/>
                <w:szCs w:val="21"/>
                <w:highlight w:val="none"/>
              </w:rPr>
            </w:pPr>
          </w:p>
        </w:tc>
      </w:tr>
      <w:tr w14:paraId="14122A15">
        <w:tblPrEx>
          <w:tblCellMar>
            <w:top w:w="0" w:type="dxa"/>
            <w:left w:w="108" w:type="dxa"/>
            <w:bottom w:w="0" w:type="dxa"/>
            <w:right w:w="108" w:type="dxa"/>
          </w:tblCellMar>
        </w:tblPrEx>
        <w:trPr>
          <w:trHeight w:val="454" w:hRule="atLeast"/>
        </w:trPr>
        <w:tc>
          <w:tcPr>
            <w:tcW w:w="610" w:type="dxa"/>
            <w:tcBorders>
              <w:top w:val="single" w:color="auto" w:sz="4" w:space="0"/>
              <w:left w:val="single" w:color="auto" w:sz="4" w:space="0"/>
              <w:bottom w:val="single" w:color="auto" w:sz="4" w:space="0"/>
              <w:right w:val="single" w:color="auto" w:sz="4" w:space="0"/>
            </w:tcBorders>
            <w:noWrap w:val="0"/>
            <w:vAlign w:val="center"/>
          </w:tcPr>
          <w:p w14:paraId="47BC8919">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w:t>
            </w:r>
          </w:p>
        </w:tc>
        <w:tc>
          <w:tcPr>
            <w:tcW w:w="926" w:type="dxa"/>
            <w:tcBorders>
              <w:top w:val="single" w:color="auto" w:sz="4" w:space="0"/>
              <w:left w:val="single" w:color="auto" w:sz="4" w:space="0"/>
              <w:bottom w:val="single" w:color="auto" w:sz="4" w:space="0"/>
              <w:right w:val="single" w:color="auto" w:sz="4" w:space="0"/>
            </w:tcBorders>
            <w:noWrap w:val="0"/>
            <w:vAlign w:val="center"/>
          </w:tcPr>
          <w:p w14:paraId="51894761">
            <w:pPr>
              <w:jc w:val="center"/>
              <w:rPr>
                <w:rFonts w:ascii="宋体" w:hAnsi="宋体" w:eastAsia="宋体" w:cs="宋体"/>
                <w:color w:val="auto"/>
                <w:sz w:val="16"/>
                <w:szCs w:val="16"/>
                <w:highlight w:val="none"/>
              </w:rPr>
            </w:pPr>
          </w:p>
        </w:tc>
        <w:tc>
          <w:tcPr>
            <w:tcW w:w="830" w:type="dxa"/>
            <w:tcBorders>
              <w:top w:val="single" w:color="auto" w:sz="4" w:space="0"/>
              <w:left w:val="single" w:color="auto" w:sz="4" w:space="0"/>
              <w:bottom w:val="single" w:color="auto" w:sz="4" w:space="0"/>
              <w:right w:val="single" w:color="auto" w:sz="4" w:space="0"/>
            </w:tcBorders>
            <w:noWrap w:val="0"/>
            <w:vAlign w:val="center"/>
          </w:tcPr>
          <w:p w14:paraId="3387B41E">
            <w:pPr>
              <w:jc w:val="center"/>
              <w:rPr>
                <w:rFonts w:ascii="宋体" w:hAnsi="宋体" w:eastAsia="宋体" w:cs="宋体"/>
                <w:color w:val="auto"/>
                <w:sz w:val="16"/>
                <w:szCs w:val="16"/>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00D877BC">
            <w:pPr>
              <w:jc w:val="center"/>
              <w:rPr>
                <w:rFonts w:ascii="宋体" w:hAnsi="宋体" w:eastAsia="宋体" w:cs="宋体"/>
                <w:color w:val="auto"/>
                <w:sz w:val="16"/>
                <w:szCs w:val="16"/>
                <w:highlight w:val="none"/>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4F00C60F">
            <w:pPr>
              <w:jc w:val="center"/>
              <w:rPr>
                <w:rFonts w:ascii="宋体" w:hAnsi="宋体" w:eastAsia="宋体" w:cs="宋体"/>
                <w:color w:val="auto"/>
                <w:sz w:val="16"/>
                <w:szCs w:val="16"/>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6E7938B1">
            <w:pPr>
              <w:jc w:val="center"/>
              <w:rPr>
                <w:rFonts w:ascii="宋体" w:hAnsi="宋体" w:eastAsia="宋体" w:cs="宋体"/>
                <w:color w:val="auto"/>
                <w:sz w:val="16"/>
                <w:szCs w:val="16"/>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D78E6D6">
            <w:pPr>
              <w:jc w:val="center"/>
              <w:rPr>
                <w:rFonts w:ascii="宋体" w:hAnsi="宋体" w:eastAsia="宋体" w:cs="宋体"/>
                <w:color w:val="auto"/>
                <w:sz w:val="16"/>
                <w:szCs w:val="16"/>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0BAFDF33">
            <w:pPr>
              <w:jc w:val="center"/>
              <w:rPr>
                <w:rFonts w:ascii="宋体" w:hAnsi="宋体" w:eastAsia="宋体" w:cs="宋体"/>
                <w:color w:val="auto"/>
                <w:sz w:val="16"/>
                <w:szCs w:val="16"/>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19D38DED">
            <w:pPr>
              <w:jc w:val="center"/>
              <w:rPr>
                <w:rFonts w:ascii="宋体" w:hAnsi="宋体" w:eastAsia="宋体" w:cs="宋体"/>
                <w:color w:val="auto"/>
                <w:sz w:val="21"/>
                <w:szCs w:val="21"/>
                <w:highlight w:val="none"/>
              </w:rPr>
            </w:pPr>
          </w:p>
        </w:tc>
      </w:tr>
      <w:tr w14:paraId="6C39F9E3">
        <w:tblPrEx>
          <w:tblCellMar>
            <w:top w:w="0" w:type="dxa"/>
            <w:left w:w="108" w:type="dxa"/>
            <w:bottom w:w="0" w:type="dxa"/>
            <w:right w:w="108" w:type="dxa"/>
          </w:tblCellMar>
        </w:tblPrEx>
        <w:trPr>
          <w:trHeight w:val="454" w:hRule="atLeast"/>
        </w:trPr>
        <w:tc>
          <w:tcPr>
            <w:tcW w:w="610" w:type="dxa"/>
            <w:tcBorders>
              <w:top w:val="single" w:color="auto" w:sz="4" w:space="0"/>
              <w:left w:val="single" w:color="auto" w:sz="4" w:space="0"/>
              <w:bottom w:val="single" w:color="auto" w:sz="4" w:space="0"/>
              <w:right w:val="single" w:color="auto" w:sz="4" w:space="0"/>
            </w:tcBorders>
            <w:noWrap w:val="0"/>
            <w:vAlign w:val="center"/>
          </w:tcPr>
          <w:p w14:paraId="039E2E55">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w:t>
            </w:r>
          </w:p>
        </w:tc>
        <w:tc>
          <w:tcPr>
            <w:tcW w:w="926" w:type="dxa"/>
            <w:tcBorders>
              <w:top w:val="single" w:color="auto" w:sz="4" w:space="0"/>
              <w:left w:val="single" w:color="auto" w:sz="4" w:space="0"/>
              <w:bottom w:val="single" w:color="auto" w:sz="4" w:space="0"/>
              <w:right w:val="single" w:color="auto" w:sz="4" w:space="0"/>
            </w:tcBorders>
            <w:noWrap w:val="0"/>
            <w:vAlign w:val="center"/>
          </w:tcPr>
          <w:p w14:paraId="469EFE20">
            <w:pPr>
              <w:jc w:val="center"/>
              <w:rPr>
                <w:rFonts w:ascii="宋体" w:hAnsi="宋体" w:eastAsia="宋体" w:cs="宋体"/>
                <w:color w:val="auto"/>
                <w:sz w:val="16"/>
                <w:szCs w:val="16"/>
                <w:highlight w:val="none"/>
              </w:rPr>
            </w:pPr>
          </w:p>
        </w:tc>
        <w:tc>
          <w:tcPr>
            <w:tcW w:w="830" w:type="dxa"/>
            <w:tcBorders>
              <w:top w:val="single" w:color="auto" w:sz="4" w:space="0"/>
              <w:left w:val="single" w:color="auto" w:sz="4" w:space="0"/>
              <w:bottom w:val="single" w:color="auto" w:sz="4" w:space="0"/>
              <w:right w:val="single" w:color="auto" w:sz="4" w:space="0"/>
            </w:tcBorders>
            <w:noWrap w:val="0"/>
            <w:vAlign w:val="center"/>
          </w:tcPr>
          <w:p w14:paraId="72659168">
            <w:pPr>
              <w:jc w:val="center"/>
              <w:rPr>
                <w:rFonts w:ascii="宋体" w:hAnsi="宋体" w:eastAsia="宋体" w:cs="宋体"/>
                <w:color w:val="auto"/>
                <w:sz w:val="16"/>
                <w:szCs w:val="16"/>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4C2D004F">
            <w:pPr>
              <w:jc w:val="center"/>
              <w:rPr>
                <w:rFonts w:ascii="宋体" w:hAnsi="宋体" w:eastAsia="宋体" w:cs="宋体"/>
                <w:color w:val="auto"/>
                <w:sz w:val="16"/>
                <w:szCs w:val="16"/>
                <w:highlight w:val="none"/>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13C664AB">
            <w:pPr>
              <w:jc w:val="center"/>
              <w:rPr>
                <w:rFonts w:ascii="宋体" w:hAnsi="宋体" w:eastAsia="宋体" w:cs="宋体"/>
                <w:color w:val="auto"/>
                <w:sz w:val="16"/>
                <w:szCs w:val="16"/>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1865991E">
            <w:pPr>
              <w:jc w:val="center"/>
              <w:rPr>
                <w:rFonts w:ascii="宋体" w:hAnsi="宋体" w:eastAsia="宋体" w:cs="宋体"/>
                <w:color w:val="auto"/>
                <w:sz w:val="16"/>
                <w:szCs w:val="16"/>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1FE85D7">
            <w:pPr>
              <w:jc w:val="center"/>
              <w:rPr>
                <w:rFonts w:ascii="宋体" w:hAnsi="宋体" w:eastAsia="宋体" w:cs="宋体"/>
                <w:color w:val="auto"/>
                <w:sz w:val="16"/>
                <w:szCs w:val="16"/>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97EEF7D">
            <w:pPr>
              <w:jc w:val="center"/>
              <w:rPr>
                <w:rFonts w:ascii="宋体" w:hAnsi="宋体" w:eastAsia="宋体" w:cs="宋体"/>
                <w:color w:val="auto"/>
                <w:sz w:val="16"/>
                <w:szCs w:val="16"/>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65334206">
            <w:pPr>
              <w:jc w:val="center"/>
              <w:rPr>
                <w:rFonts w:ascii="宋体" w:hAnsi="宋体" w:eastAsia="宋体" w:cs="宋体"/>
                <w:color w:val="auto"/>
                <w:sz w:val="21"/>
                <w:szCs w:val="21"/>
                <w:highlight w:val="none"/>
              </w:rPr>
            </w:pPr>
          </w:p>
        </w:tc>
      </w:tr>
      <w:tr w14:paraId="093D7C20">
        <w:tblPrEx>
          <w:tblCellMar>
            <w:top w:w="0" w:type="dxa"/>
            <w:left w:w="108" w:type="dxa"/>
            <w:bottom w:w="0" w:type="dxa"/>
            <w:right w:w="108" w:type="dxa"/>
          </w:tblCellMar>
        </w:tblPrEx>
        <w:trPr>
          <w:trHeight w:val="454" w:hRule="atLeast"/>
        </w:trPr>
        <w:tc>
          <w:tcPr>
            <w:tcW w:w="610" w:type="dxa"/>
            <w:tcBorders>
              <w:top w:val="single" w:color="auto" w:sz="4" w:space="0"/>
              <w:left w:val="single" w:color="auto" w:sz="4" w:space="0"/>
              <w:bottom w:val="single" w:color="auto" w:sz="4" w:space="0"/>
              <w:right w:val="single" w:color="auto" w:sz="4" w:space="0"/>
            </w:tcBorders>
            <w:noWrap w:val="0"/>
            <w:vAlign w:val="center"/>
          </w:tcPr>
          <w:p w14:paraId="5271ADF3">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w:t>
            </w:r>
          </w:p>
        </w:tc>
        <w:tc>
          <w:tcPr>
            <w:tcW w:w="926" w:type="dxa"/>
            <w:tcBorders>
              <w:top w:val="single" w:color="auto" w:sz="4" w:space="0"/>
              <w:left w:val="single" w:color="auto" w:sz="4" w:space="0"/>
              <w:bottom w:val="single" w:color="auto" w:sz="4" w:space="0"/>
              <w:right w:val="single" w:color="auto" w:sz="4" w:space="0"/>
            </w:tcBorders>
            <w:noWrap w:val="0"/>
            <w:vAlign w:val="center"/>
          </w:tcPr>
          <w:p w14:paraId="54002B27">
            <w:pPr>
              <w:jc w:val="center"/>
              <w:rPr>
                <w:rFonts w:ascii="宋体" w:hAnsi="宋体" w:eastAsia="宋体" w:cs="宋体"/>
                <w:color w:val="auto"/>
                <w:sz w:val="16"/>
                <w:szCs w:val="16"/>
                <w:highlight w:val="none"/>
              </w:rPr>
            </w:pPr>
          </w:p>
        </w:tc>
        <w:tc>
          <w:tcPr>
            <w:tcW w:w="830" w:type="dxa"/>
            <w:tcBorders>
              <w:top w:val="single" w:color="auto" w:sz="4" w:space="0"/>
              <w:left w:val="single" w:color="auto" w:sz="4" w:space="0"/>
              <w:bottom w:val="single" w:color="auto" w:sz="4" w:space="0"/>
              <w:right w:val="single" w:color="auto" w:sz="4" w:space="0"/>
            </w:tcBorders>
            <w:noWrap w:val="0"/>
            <w:vAlign w:val="center"/>
          </w:tcPr>
          <w:p w14:paraId="7FCD81F2">
            <w:pPr>
              <w:jc w:val="center"/>
              <w:rPr>
                <w:rFonts w:ascii="宋体" w:hAnsi="宋体" w:eastAsia="宋体" w:cs="宋体"/>
                <w:color w:val="auto"/>
                <w:sz w:val="16"/>
                <w:szCs w:val="16"/>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30AC6B1F">
            <w:pPr>
              <w:jc w:val="center"/>
              <w:rPr>
                <w:rFonts w:ascii="宋体" w:hAnsi="宋体" w:eastAsia="宋体" w:cs="宋体"/>
                <w:color w:val="auto"/>
                <w:sz w:val="16"/>
                <w:szCs w:val="16"/>
                <w:highlight w:val="none"/>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49ECA7A6">
            <w:pPr>
              <w:jc w:val="center"/>
              <w:rPr>
                <w:rFonts w:ascii="宋体" w:hAnsi="宋体" w:eastAsia="宋体" w:cs="宋体"/>
                <w:color w:val="auto"/>
                <w:sz w:val="16"/>
                <w:szCs w:val="16"/>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13AB1C69">
            <w:pPr>
              <w:jc w:val="center"/>
              <w:rPr>
                <w:rFonts w:ascii="宋体" w:hAnsi="宋体" w:eastAsia="宋体" w:cs="宋体"/>
                <w:color w:val="auto"/>
                <w:sz w:val="16"/>
                <w:szCs w:val="16"/>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7923A88">
            <w:pPr>
              <w:jc w:val="center"/>
              <w:rPr>
                <w:rFonts w:ascii="宋体" w:hAnsi="宋体" w:eastAsia="宋体" w:cs="宋体"/>
                <w:color w:val="auto"/>
                <w:sz w:val="16"/>
                <w:szCs w:val="16"/>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6CEC4A7">
            <w:pPr>
              <w:jc w:val="center"/>
              <w:rPr>
                <w:rFonts w:ascii="宋体" w:hAnsi="宋体" w:eastAsia="宋体" w:cs="宋体"/>
                <w:color w:val="auto"/>
                <w:sz w:val="16"/>
                <w:szCs w:val="16"/>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08545ABF">
            <w:pPr>
              <w:jc w:val="center"/>
              <w:rPr>
                <w:rFonts w:ascii="宋体" w:hAnsi="宋体" w:eastAsia="宋体" w:cs="宋体"/>
                <w:color w:val="auto"/>
                <w:sz w:val="21"/>
                <w:szCs w:val="21"/>
                <w:highlight w:val="none"/>
              </w:rPr>
            </w:pPr>
          </w:p>
        </w:tc>
      </w:tr>
      <w:tr w14:paraId="65334055">
        <w:tblPrEx>
          <w:tblCellMar>
            <w:top w:w="0" w:type="dxa"/>
            <w:left w:w="108" w:type="dxa"/>
            <w:bottom w:w="0" w:type="dxa"/>
            <w:right w:w="108" w:type="dxa"/>
          </w:tblCellMar>
        </w:tblPrEx>
        <w:trPr>
          <w:trHeight w:val="454" w:hRule="atLeast"/>
        </w:trPr>
        <w:tc>
          <w:tcPr>
            <w:tcW w:w="610" w:type="dxa"/>
            <w:tcBorders>
              <w:top w:val="single" w:color="auto" w:sz="4" w:space="0"/>
              <w:left w:val="single" w:color="auto" w:sz="4" w:space="0"/>
              <w:bottom w:val="single" w:color="auto" w:sz="4" w:space="0"/>
              <w:right w:val="single" w:color="auto" w:sz="4" w:space="0"/>
            </w:tcBorders>
            <w:noWrap w:val="0"/>
            <w:vAlign w:val="center"/>
          </w:tcPr>
          <w:p w14:paraId="72A5B102">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w:t>
            </w:r>
          </w:p>
        </w:tc>
        <w:tc>
          <w:tcPr>
            <w:tcW w:w="926" w:type="dxa"/>
            <w:tcBorders>
              <w:top w:val="single" w:color="auto" w:sz="4" w:space="0"/>
              <w:left w:val="single" w:color="auto" w:sz="4" w:space="0"/>
              <w:bottom w:val="single" w:color="auto" w:sz="4" w:space="0"/>
              <w:right w:val="single" w:color="auto" w:sz="4" w:space="0"/>
            </w:tcBorders>
            <w:noWrap w:val="0"/>
            <w:vAlign w:val="center"/>
          </w:tcPr>
          <w:p w14:paraId="45B73F0B">
            <w:pPr>
              <w:jc w:val="center"/>
              <w:rPr>
                <w:rFonts w:ascii="宋体" w:hAnsi="宋体" w:eastAsia="宋体" w:cs="宋体"/>
                <w:color w:val="auto"/>
                <w:sz w:val="16"/>
                <w:szCs w:val="16"/>
                <w:highlight w:val="none"/>
              </w:rPr>
            </w:pPr>
          </w:p>
        </w:tc>
        <w:tc>
          <w:tcPr>
            <w:tcW w:w="830" w:type="dxa"/>
            <w:tcBorders>
              <w:top w:val="single" w:color="auto" w:sz="4" w:space="0"/>
              <w:left w:val="single" w:color="auto" w:sz="4" w:space="0"/>
              <w:bottom w:val="single" w:color="auto" w:sz="4" w:space="0"/>
              <w:right w:val="single" w:color="auto" w:sz="4" w:space="0"/>
            </w:tcBorders>
            <w:noWrap w:val="0"/>
            <w:vAlign w:val="center"/>
          </w:tcPr>
          <w:p w14:paraId="5EDDBF7E">
            <w:pPr>
              <w:jc w:val="center"/>
              <w:rPr>
                <w:rFonts w:ascii="宋体" w:hAnsi="宋体" w:eastAsia="宋体" w:cs="宋体"/>
                <w:color w:val="auto"/>
                <w:sz w:val="16"/>
                <w:szCs w:val="16"/>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4C84A914">
            <w:pPr>
              <w:jc w:val="center"/>
              <w:rPr>
                <w:rFonts w:ascii="宋体" w:hAnsi="宋体" w:eastAsia="宋体" w:cs="宋体"/>
                <w:color w:val="auto"/>
                <w:sz w:val="16"/>
                <w:szCs w:val="16"/>
                <w:highlight w:val="none"/>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77CA8B0A">
            <w:pPr>
              <w:jc w:val="center"/>
              <w:rPr>
                <w:rFonts w:ascii="宋体" w:hAnsi="宋体" w:eastAsia="宋体" w:cs="宋体"/>
                <w:color w:val="auto"/>
                <w:sz w:val="16"/>
                <w:szCs w:val="16"/>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4DFA6C42">
            <w:pPr>
              <w:jc w:val="center"/>
              <w:rPr>
                <w:rFonts w:ascii="宋体" w:hAnsi="宋体" w:eastAsia="宋体" w:cs="宋体"/>
                <w:color w:val="auto"/>
                <w:sz w:val="16"/>
                <w:szCs w:val="16"/>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EAE279C">
            <w:pPr>
              <w:jc w:val="center"/>
              <w:rPr>
                <w:rFonts w:ascii="宋体" w:hAnsi="宋体" w:eastAsia="宋体" w:cs="宋体"/>
                <w:color w:val="auto"/>
                <w:sz w:val="16"/>
                <w:szCs w:val="16"/>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A8317A7">
            <w:pPr>
              <w:jc w:val="center"/>
              <w:rPr>
                <w:rFonts w:ascii="宋体" w:hAnsi="宋体" w:eastAsia="宋体" w:cs="宋体"/>
                <w:color w:val="auto"/>
                <w:sz w:val="16"/>
                <w:szCs w:val="16"/>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72592546">
            <w:pPr>
              <w:jc w:val="center"/>
              <w:rPr>
                <w:rFonts w:ascii="宋体" w:hAnsi="宋体" w:eastAsia="宋体" w:cs="宋体"/>
                <w:color w:val="auto"/>
                <w:sz w:val="21"/>
                <w:szCs w:val="21"/>
                <w:highlight w:val="none"/>
              </w:rPr>
            </w:pPr>
          </w:p>
        </w:tc>
      </w:tr>
      <w:tr w14:paraId="71C6CE6A">
        <w:tblPrEx>
          <w:tblCellMar>
            <w:top w:w="0" w:type="dxa"/>
            <w:left w:w="108" w:type="dxa"/>
            <w:bottom w:w="0" w:type="dxa"/>
            <w:right w:w="108" w:type="dxa"/>
          </w:tblCellMar>
        </w:tblPrEx>
        <w:trPr>
          <w:trHeight w:val="454" w:hRule="atLeast"/>
        </w:trPr>
        <w:tc>
          <w:tcPr>
            <w:tcW w:w="610" w:type="dxa"/>
            <w:tcBorders>
              <w:top w:val="single" w:color="auto" w:sz="4" w:space="0"/>
              <w:left w:val="single" w:color="auto" w:sz="4" w:space="0"/>
              <w:bottom w:val="single" w:color="auto" w:sz="4" w:space="0"/>
              <w:right w:val="single" w:color="auto" w:sz="4" w:space="0"/>
            </w:tcBorders>
            <w:noWrap w:val="0"/>
            <w:vAlign w:val="center"/>
          </w:tcPr>
          <w:p w14:paraId="21FFC416">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w:t>
            </w:r>
          </w:p>
        </w:tc>
        <w:tc>
          <w:tcPr>
            <w:tcW w:w="926" w:type="dxa"/>
            <w:tcBorders>
              <w:top w:val="single" w:color="auto" w:sz="4" w:space="0"/>
              <w:left w:val="single" w:color="auto" w:sz="4" w:space="0"/>
              <w:bottom w:val="single" w:color="auto" w:sz="4" w:space="0"/>
              <w:right w:val="single" w:color="auto" w:sz="4" w:space="0"/>
            </w:tcBorders>
            <w:noWrap w:val="0"/>
            <w:vAlign w:val="center"/>
          </w:tcPr>
          <w:p w14:paraId="58E15428">
            <w:pPr>
              <w:jc w:val="center"/>
              <w:rPr>
                <w:rFonts w:ascii="宋体" w:hAnsi="宋体" w:eastAsia="宋体" w:cs="宋体"/>
                <w:color w:val="auto"/>
                <w:sz w:val="16"/>
                <w:szCs w:val="16"/>
                <w:highlight w:val="none"/>
              </w:rPr>
            </w:pPr>
          </w:p>
        </w:tc>
        <w:tc>
          <w:tcPr>
            <w:tcW w:w="830" w:type="dxa"/>
            <w:tcBorders>
              <w:top w:val="single" w:color="auto" w:sz="4" w:space="0"/>
              <w:left w:val="single" w:color="auto" w:sz="4" w:space="0"/>
              <w:bottom w:val="single" w:color="auto" w:sz="4" w:space="0"/>
              <w:right w:val="single" w:color="auto" w:sz="4" w:space="0"/>
            </w:tcBorders>
            <w:noWrap w:val="0"/>
            <w:vAlign w:val="center"/>
          </w:tcPr>
          <w:p w14:paraId="2FB1A517">
            <w:pPr>
              <w:jc w:val="center"/>
              <w:rPr>
                <w:rFonts w:ascii="宋体" w:hAnsi="宋体" w:eastAsia="宋体" w:cs="宋体"/>
                <w:color w:val="auto"/>
                <w:sz w:val="16"/>
                <w:szCs w:val="16"/>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7DD2E3FA">
            <w:pPr>
              <w:jc w:val="center"/>
              <w:rPr>
                <w:rFonts w:ascii="宋体" w:hAnsi="宋体" w:eastAsia="宋体" w:cs="宋体"/>
                <w:color w:val="auto"/>
                <w:sz w:val="16"/>
                <w:szCs w:val="16"/>
                <w:highlight w:val="none"/>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03CD8314">
            <w:pPr>
              <w:jc w:val="center"/>
              <w:rPr>
                <w:rFonts w:ascii="宋体" w:hAnsi="宋体" w:eastAsia="宋体" w:cs="宋体"/>
                <w:color w:val="auto"/>
                <w:sz w:val="16"/>
                <w:szCs w:val="16"/>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4C0616DB">
            <w:pPr>
              <w:jc w:val="center"/>
              <w:rPr>
                <w:rFonts w:ascii="宋体" w:hAnsi="宋体" w:eastAsia="宋体" w:cs="宋体"/>
                <w:color w:val="auto"/>
                <w:sz w:val="16"/>
                <w:szCs w:val="16"/>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FE77D89">
            <w:pPr>
              <w:jc w:val="center"/>
              <w:rPr>
                <w:rFonts w:ascii="宋体" w:hAnsi="宋体" w:eastAsia="宋体" w:cs="宋体"/>
                <w:color w:val="auto"/>
                <w:sz w:val="16"/>
                <w:szCs w:val="16"/>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3A15B2B">
            <w:pPr>
              <w:jc w:val="center"/>
              <w:rPr>
                <w:rFonts w:ascii="宋体" w:hAnsi="宋体" w:eastAsia="宋体" w:cs="宋体"/>
                <w:color w:val="auto"/>
                <w:sz w:val="16"/>
                <w:szCs w:val="16"/>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26EA33E0">
            <w:pPr>
              <w:jc w:val="center"/>
              <w:rPr>
                <w:rFonts w:ascii="宋体" w:hAnsi="宋体" w:eastAsia="宋体" w:cs="宋体"/>
                <w:color w:val="auto"/>
                <w:sz w:val="21"/>
                <w:szCs w:val="21"/>
                <w:highlight w:val="none"/>
              </w:rPr>
            </w:pPr>
          </w:p>
        </w:tc>
      </w:tr>
      <w:tr w14:paraId="6B0E9A7C">
        <w:tblPrEx>
          <w:tblCellMar>
            <w:top w:w="0" w:type="dxa"/>
            <w:left w:w="108" w:type="dxa"/>
            <w:bottom w:w="0" w:type="dxa"/>
            <w:right w:w="108" w:type="dxa"/>
          </w:tblCellMar>
        </w:tblPrEx>
        <w:trPr>
          <w:trHeight w:val="454" w:hRule="atLeast"/>
        </w:trPr>
        <w:tc>
          <w:tcPr>
            <w:tcW w:w="610" w:type="dxa"/>
            <w:tcBorders>
              <w:top w:val="single" w:color="auto" w:sz="4" w:space="0"/>
              <w:left w:val="single" w:color="auto" w:sz="4" w:space="0"/>
              <w:bottom w:val="single" w:color="auto" w:sz="4" w:space="0"/>
              <w:right w:val="single" w:color="auto" w:sz="4" w:space="0"/>
            </w:tcBorders>
            <w:noWrap w:val="0"/>
            <w:vAlign w:val="center"/>
          </w:tcPr>
          <w:p w14:paraId="5648F0EB">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w:t>
            </w:r>
          </w:p>
        </w:tc>
        <w:tc>
          <w:tcPr>
            <w:tcW w:w="926" w:type="dxa"/>
            <w:tcBorders>
              <w:top w:val="single" w:color="auto" w:sz="4" w:space="0"/>
              <w:left w:val="single" w:color="auto" w:sz="4" w:space="0"/>
              <w:bottom w:val="single" w:color="auto" w:sz="4" w:space="0"/>
              <w:right w:val="single" w:color="auto" w:sz="4" w:space="0"/>
            </w:tcBorders>
            <w:noWrap w:val="0"/>
            <w:vAlign w:val="center"/>
          </w:tcPr>
          <w:p w14:paraId="2A5FBEA3">
            <w:pPr>
              <w:jc w:val="center"/>
              <w:rPr>
                <w:rFonts w:ascii="宋体" w:hAnsi="宋体" w:eastAsia="宋体" w:cs="宋体"/>
                <w:color w:val="auto"/>
                <w:sz w:val="16"/>
                <w:szCs w:val="16"/>
                <w:highlight w:val="none"/>
              </w:rPr>
            </w:pPr>
          </w:p>
        </w:tc>
        <w:tc>
          <w:tcPr>
            <w:tcW w:w="830" w:type="dxa"/>
            <w:tcBorders>
              <w:top w:val="single" w:color="auto" w:sz="4" w:space="0"/>
              <w:left w:val="single" w:color="auto" w:sz="4" w:space="0"/>
              <w:bottom w:val="single" w:color="auto" w:sz="4" w:space="0"/>
              <w:right w:val="single" w:color="auto" w:sz="4" w:space="0"/>
            </w:tcBorders>
            <w:noWrap w:val="0"/>
            <w:vAlign w:val="center"/>
          </w:tcPr>
          <w:p w14:paraId="66A38258">
            <w:pPr>
              <w:jc w:val="center"/>
              <w:rPr>
                <w:rFonts w:ascii="宋体" w:hAnsi="宋体" w:eastAsia="宋体" w:cs="宋体"/>
                <w:color w:val="auto"/>
                <w:sz w:val="16"/>
                <w:szCs w:val="16"/>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56C61132">
            <w:pPr>
              <w:jc w:val="center"/>
              <w:rPr>
                <w:rFonts w:ascii="宋体" w:hAnsi="宋体" w:eastAsia="宋体" w:cs="宋体"/>
                <w:color w:val="auto"/>
                <w:sz w:val="16"/>
                <w:szCs w:val="16"/>
                <w:highlight w:val="none"/>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39E0287E">
            <w:pPr>
              <w:jc w:val="center"/>
              <w:rPr>
                <w:rFonts w:ascii="宋体" w:hAnsi="宋体" w:eastAsia="宋体" w:cs="宋体"/>
                <w:color w:val="auto"/>
                <w:sz w:val="16"/>
                <w:szCs w:val="16"/>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4163B58C">
            <w:pPr>
              <w:jc w:val="center"/>
              <w:rPr>
                <w:rFonts w:ascii="宋体" w:hAnsi="宋体" w:eastAsia="宋体" w:cs="宋体"/>
                <w:color w:val="auto"/>
                <w:sz w:val="16"/>
                <w:szCs w:val="16"/>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F389D79">
            <w:pPr>
              <w:jc w:val="center"/>
              <w:rPr>
                <w:rFonts w:ascii="宋体" w:hAnsi="宋体" w:eastAsia="宋体" w:cs="宋体"/>
                <w:color w:val="auto"/>
                <w:sz w:val="16"/>
                <w:szCs w:val="16"/>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D01BE32">
            <w:pPr>
              <w:jc w:val="center"/>
              <w:rPr>
                <w:rFonts w:ascii="宋体" w:hAnsi="宋体" w:eastAsia="宋体" w:cs="宋体"/>
                <w:color w:val="auto"/>
                <w:sz w:val="16"/>
                <w:szCs w:val="16"/>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7CDC4465">
            <w:pPr>
              <w:jc w:val="center"/>
              <w:rPr>
                <w:rFonts w:ascii="宋体" w:hAnsi="宋体" w:eastAsia="宋体" w:cs="宋体"/>
                <w:color w:val="auto"/>
                <w:sz w:val="21"/>
                <w:szCs w:val="21"/>
                <w:highlight w:val="none"/>
              </w:rPr>
            </w:pPr>
          </w:p>
        </w:tc>
      </w:tr>
      <w:tr w14:paraId="0DE1B8CD">
        <w:tblPrEx>
          <w:tblCellMar>
            <w:top w:w="0" w:type="dxa"/>
            <w:left w:w="108" w:type="dxa"/>
            <w:bottom w:w="0" w:type="dxa"/>
            <w:right w:w="108" w:type="dxa"/>
          </w:tblCellMar>
        </w:tblPrEx>
        <w:trPr>
          <w:trHeight w:val="454" w:hRule="atLeast"/>
        </w:trPr>
        <w:tc>
          <w:tcPr>
            <w:tcW w:w="610" w:type="dxa"/>
            <w:tcBorders>
              <w:top w:val="single" w:color="auto" w:sz="4" w:space="0"/>
              <w:left w:val="single" w:color="auto" w:sz="4" w:space="0"/>
              <w:bottom w:val="single" w:color="auto" w:sz="4" w:space="0"/>
              <w:right w:val="single" w:color="auto" w:sz="4" w:space="0"/>
            </w:tcBorders>
            <w:noWrap w:val="0"/>
            <w:vAlign w:val="center"/>
          </w:tcPr>
          <w:p w14:paraId="1A330CC2">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w:t>
            </w:r>
          </w:p>
        </w:tc>
        <w:tc>
          <w:tcPr>
            <w:tcW w:w="926" w:type="dxa"/>
            <w:tcBorders>
              <w:top w:val="single" w:color="auto" w:sz="4" w:space="0"/>
              <w:left w:val="single" w:color="auto" w:sz="4" w:space="0"/>
              <w:bottom w:val="single" w:color="auto" w:sz="4" w:space="0"/>
              <w:right w:val="single" w:color="auto" w:sz="4" w:space="0"/>
            </w:tcBorders>
            <w:noWrap w:val="0"/>
            <w:vAlign w:val="center"/>
          </w:tcPr>
          <w:p w14:paraId="781781A0">
            <w:pPr>
              <w:jc w:val="center"/>
              <w:rPr>
                <w:rFonts w:ascii="宋体" w:hAnsi="宋体" w:eastAsia="宋体" w:cs="宋体"/>
                <w:color w:val="auto"/>
                <w:sz w:val="16"/>
                <w:szCs w:val="16"/>
                <w:highlight w:val="none"/>
              </w:rPr>
            </w:pPr>
          </w:p>
        </w:tc>
        <w:tc>
          <w:tcPr>
            <w:tcW w:w="830" w:type="dxa"/>
            <w:tcBorders>
              <w:top w:val="single" w:color="auto" w:sz="4" w:space="0"/>
              <w:left w:val="single" w:color="auto" w:sz="4" w:space="0"/>
              <w:bottom w:val="single" w:color="auto" w:sz="4" w:space="0"/>
              <w:right w:val="single" w:color="auto" w:sz="4" w:space="0"/>
            </w:tcBorders>
            <w:noWrap w:val="0"/>
            <w:vAlign w:val="center"/>
          </w:tcPr>
          <w:p w14:paraId="0CC11012">
            <w:pPr>
              <w:jc w:val="center"/>
              <w:rPr>
                <w:rFonts w:ascii="宋体" w:hAnsi="宋体" w:eastAsia="宋体" w:cs="宋体"/>
                <w:color w:val="auto"/>
                <w:sz w:val="16"/>
                <w:szCs w:val="16"/>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6EF00A54">
            <w:pPr>
              <w:jc w:val="center"/>
              <w:rPr>
                <w:rFonts w:ascii="宋体" w:hAnsi="宋体" w:eastAsia="宋体" w:cs="宋体"/>
                <w:color w:val="auto"/>
                <w:sz w:val="16"/>
                <w:szCs w:val="16"/>
                <w:highlight w:val="none"/>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3B5C2C8A">
            <w:pPr>
              <w:jc w:val="center"/>
              <w:rPr>
                <w:rFonts w:ascii="宋体" w:hAnsi="宋体" w:eastAsia="宋体" w:cs="宋体"/>
                <w:color w:val="auto"/>
                <w:sz w:val="16"/>
                <w:szCs w:val="16"/>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53A26A18">
            <w:pPr>
              <w:jc w:val="center"/>
              <w:rPr>
                <w:rFonts w:ascii="宋体" w:hAnsi="宋体" w:eastAsia="宋体" w:cs="宋体"/>
                <w:color w:val="auto"/>
                <w:sz w:val="16"/>
                <w:szCs w:val="16"/>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0D9609F9">
            <w:pPr>
              <w:jc w:val="center"/>
              <w:rPr>
                <w:rFonts w:ascii="宋体" w:hAnsi="宋体" w:eastAsia="宋体" w:cs="宋体"/>
                <w:color w:val="auto"/>
                <w:sz w:val="16"/>
                <w:szCs w:val="16"/>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E0A6845">
            <w:pPr>
              <w:jc w:val="center"/>
              <w:rPr>
                <w:rFonts w:ascii="宋体" w:hAnsi="宋体" w:eastAsia="宋体" w:cs="宋体"/>
                <w:color w:val="auto"/>
                <w:sz w:val="16"/>
                <w:szCs w:val="16"/>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2AA8403B">
            <w:pPr>
              <w:jc w:val="center"/>
              <w:rPr>
                <w:rFonts w:ascii="宋体" w:hAnsi="宋体" w:eastAsia="宋体" w:cs="宋体"/>
                <w:color w:val="auto"/>
                <w:sz w:val="21"/>
                <w:szCs w:val="21"/>
                <w:highlight w:val="none"/>
              </w:rPr>
            </w:pPr>
          </w:p>
        </w:tc>
      </w:tr>
      <w:tr w14:paraId="0DBA9434">
        <w:tblPrEx>
          <w:tblCellMar>
            <w:top w:w="0" w:type="dxa"/>
            <w:left w:w="108" w:type="dxa"/>
            <w:bottom w:w="0" w:type="dxa"/>
            <w:right w:w="108" w:type="dxa"/>
          </w:tblCellMar>
        </w:tblPrEx>
        <w:trPr>
          <w:trHeight w:val="454" w:hRule="atLeast"/>
        </w:trPr>
        <w:tc>
          <w:tcPr>
            <w:tcW w:w="610" w:type="dxa"/>
            <w:tcBorders>
              <w:top w:val="single" w:color="auto" w:sz="4" w:space="0"/>
              <w:left w:val="single" w:color="auto" w:sz="4" w:space="0"/>
              <w:bottom w:val="single" w:color="auto" w:sz="4" w:space="0"/>
              <w:right w:val="single" w:color="auto" w:sz="4" w:space="0"/>
            </w:tcBorders>
            <w:noWrap w:val="0"/>
            <w:vAlign w:val="center"/>
          </w:tcPr>
          <w:p w14:paraId="58566967">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w:t>
            </w:r>
          </w:p>
        </w:tc>
        <w:tc>
          <w:tcPr>
            <w:tcW w:w="926" w:type="dxa"/>
            <w:tcBorders>
              <w:top w:val="single" w:color="auto" w:sz="4" w:space="0"/>
              <w:left w:val="single" w:color="auto" w:sz="4" w:space="0"/>
              <w:bottom w:val="single" w:color="auto" w:sz="4" w:space="0"/>
              <w:right w:val="single" w:color="auto" w:sz="4" w:space="0"/>
            </w:tcBorders>
            <w:noWrap w:val="0"/>
            <w:vAlign w:val="center"/>
          </w:tcPr>
          <w:p w14:paraId="2BFAEEFF">
            <w:pPr>
              <w:jc w:val="center"/>
              <w:rPr>
                <w:rFonts w:ascii="宋体" w:hAnsi="宋体" w:eastAsia="宋体" w:cs="宋体"/>
                <w:color w:val="auto"/>
                <w:sz w:val="16"/>
                <w:szCs w:val="16"/>
                <w:highlight w:val="none"/>
              </w:rPr>
            </w:pPr>
          </w:p>
        </w:tc>
        <w:tc>
          <w:tcPr>
            <w:tcW w:w="830" w:type="dxa"/>
            <w:tcBorders>
              <w:top w:val="single" w:color="auto" w:sz="4" w:space="0"/>
              <w:left w:val="single" w:color="auto" w:sz="4" w:space="0"/>
              <w:bottom w:val="single" w:color="auto" w:sz="4" w:space="0"/>
              <w:right w:val="single" w:color="auto" w:sz="4" w:space="0"/>
            </w:tcBorders>
            <w:noWrap w:val="0"/>
            <w:vAlign w:val="center"/>
          </w:tcPr>
          <w:p w14:paraId="6AFE4680">
            <w:pPr>
              <w:jc w:val="center"/>
              <w:rPr>
                <w:rFonts w:ascii="宋体" w:hAnsi="宋体" w:eastAsia="宋体" w:cs="宋体"/>
                <w:color w:val="auto"/>
                <w:sz w:val="16"/>
                <w:szCs w:val="16"/>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114A297F">
            <w:pPr>
              <w:jc w:val="center"/>
              <w:rPr>
                <w:rFonts w:ascii="宋体" w:hAnsi="宋体" w:eastAsia="宋体" w:cs="宋体"/>
                <w:color w:val="auto"/>
                <w:sz w:val="16"/>
                <w:szCs w:val="16"/>
                <w:highlight w:val="none"/>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73ED045F">
            <w:pPr>
              <w:jc w:val="center"/>
              <w:rPr>
                <w:rFonts w:ascii="宋体" w:hAnsi="宋体" w:eastAsia="宋体" w:cs="宋体"/>
                <w:color w:val="auto"/>
                <w:sz w:val="16"/>
                <w:szCs w:val="16"/>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2AC99CB4">
            <w:pPr>
              <w:jc w:val="center"/>
              <w:rPr>
                <w:rFonts w:ascii="宋体" w:hAnsi="宋体" w:eastAsia="宋体" w:cs="宋体"/>
                <w:color w:val="auto"/>
                <w:sz w:val="16"/>
                <w:szCs w:val="16"/>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07E65A06">
            <w:pPr>
              <w:jc w:val="center"/>
              <w:rPr>
                <w:rFonts w:ascii="宋体" w:hAnsi="宋体" w:eastAsia="宋体" w:cs="宋体"/>
                <w:color w:val="auto"/>
                <w:sz w:val="16"/>
                <w:szCs w:val="16"/>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0C2E22B1">
            <w:pPr>
              <w:jc w:val="center"/>
              <w:rPr>
                <w:rFonts w:ascii="宋体" w:hAnsi="宋体" w:eastAsia="宋体" w:cs="宋体"/>
                <w:color w:val="auto"/>
                <w:sz w:val="16"/>
                <w:szCs w:val="16"/>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18F4E6EA">
            <w:pPr>
              <w:jc w:val="center"/>
              <w:rPr>
                <w:rFonts w:ascii="宋体" w:hAnsi="宋体" w:eastAsia="宋体" w:cs="宋体"/>
                <w:color w:val="auto"/>
                <w:sz w:val="21"/>
                <w:szCs w:val="21"/>
                <w:highlight w:val="none"/>
              </w:rPr>
            </w:pPr>
          </w:p>
        </w:tc>
      </w:tr>
      <w:tr w14:paraId="5010C3F0">
        <w:tblPrEx>
          <w:tblCellMar>
            <w:top w:w="0" w:type="dxa"/>
            <w:left w:w="108" w:type="dxa"/>
            <w:bottom w:w="0" w:type="dxa"/>
            <w:right w:w="108" w:type="dxa"/>
          </w:tblCellMar>
        </w:tblPrEx>
        <w:trPr>
          <w:trHeight w:val="454" w:hRule="atLeast"/>
        </w:trPr>
        <w:tc>
          <w:tcPr>
            <w:tcW w:w="610" w:type="dxa"/>
            <w:tcBorders>
              <w:top w:val="single" w:color="auto" w:sz="4" w:space="0"/>
              <w:left w:val="single" w:color="auto" w:sz="4" w:space="0"/>
              <w:bottom w:val="single" w:color="auto" w:sz="4" w:space="0"/>
              <w:right w:val="single" w:color="auto" w:sz="4" w:space="0"/>
            </w:tcBorders>
            <w:noWrap w:val="0"/>
            <w:vAlign w:val="center"/>
          </w:tcPr>
          <w:p w14:paraId="0C48A01F">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w:t>
            </w:r>
          </w:p>
        </w:tc>
        <w:tc>
          <w:tcPr>
            <w:tcW w:w="926" w:type="dxa"/>
            <w:tcBorders>
              <w:top w:val="single" w:color="auto" w:sz="4" w:space="0"/>
              <w:left w:val="single" w:color="auto" w:sz="4" w:space="0"/>
              <w:bottom w:val="single" w:color="auto" w:sz="4" w:space="0"/>
              <w:right w:val="single" w:color="auto" w:sz="4" w:space="0"/>
            </w:tcBorders>
            <w:noWrap w:val="0"/>
            <w:vAlign w:val="center"/>
          </w:tcPr>
          <w:p w14:paraId="581BA0E0">
            <w:pPr>
              <w:jc w:val="center"/>
              <w:rPr>
                <w:rFonts w:ascii="宋体" w:hAnsi="宋体" w:eastAsia="宋体" w:cs="宋体"/>
                <w:color w:val="auto"/>
                <w:sz w:val="16"/>
                <w:szCs w:val="16"/>
                <w:highlight w:val="none"/>
              </w:rPr>
            </w:pPr>
          </w:p>
        </w:tc>
        <w:tc>
          <w:tcPr>
            <w:tcW w:w="830" w:type="dxa"/>
            <w:tcBorders>
              <w:top w:val="single" w:color="auto" w:sz="4" w:space="0"/>
              <w:left w:val="single" w:color="auto" w:sz="4" w:space="0"/>
              <w:bottom w:val="single" w:color="auto" w:sz="4" w:space="0"/>
              <w:right w:val="single" w:color="auto" w:sz="4" w:space="0"/>
            </w:tcBorders>
            <w:noWrap w:val="0"/>
            <w:vAlign w:val="center"/>
          </w:tcPr>
          <w:p w14:paraId="6A7ACF5A">
            <w:pPr>
              <w:jc w:val="center"/>
              <w:rPr>
                <w:rFonts w:ascii="宋体" w:hAnsi="宋体" w:eastAsia="宋体" w:cs="宋体"/>
                <w:color w:val="auto"/>
                <w:sz w:val="16"/>
                <w:szCs w:val="16"/>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34723BF1">
            <w:pPr>
              <w:jc w:val="center"/>
              <w:rPr>
                <w:rFonts w:ascii="宋体" w:hAnsi="宋体" w:eastAsia="宋体" w:cs="宋体"/>
                <w:color w:val="auto"/>
                <w:sz w:val="16"/>
                <w:szCs w:val="16"/>
                <w:highlight w:val="none"/>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19CBAE8F">
            <w:pPr>
              <w:jc w:val="center"/>
              <w:rPr>
                <w:rFonts w:ascii="宋体" w:hAnsi="宋体" w:eastAsia="宋体" w:cs="宋体"/>
                <w:color w:val="auto"/>
                <w:sz w:val="16"/>
                <w:szCs w:val="16"/>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4DBCEEEE">
            <w:pPr>
              <w:jc w:val="center"/>
              <w:rPr>
                <w:rFonts w:ascii="宋体" w:hAnsi="宋体" w:eastAsia="宋体" w:cs="宋体"/>
                <w:color w:val="auto"/>
                <w:sz w:val="16"/>
                <w:szCs w:val="16"/>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9D9F64D">
            <w:pPr>
              <w:jc w:val="center"/>
              <w:rPr>
                <w:rFonts w:ascii="宋体" w:hAnsi="宋体" w:eastAsia="宋体" w:cs="宋体"/>
                <w:color w:val="auto"/>
                <w:sz w:val="16"/>
                <w:szCs w:val="16"/>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4B61D79">
            <w:pPr>
              <w:jc w:val="center"/>
              <w:rPr>
                <w:rFonts w:ascii="宋体" w:hAnsi="宋体" w:eastAsia="宋体" w:cs="宋体"/>
                <w:color w:val="auto"/>
                <w:sz w:val="16"/>
                <w:szCs w:val="16"/>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5C5F2E6C">
            <w:pPr>
              <w:jc w:val="center"/>
              <w:rPr>
                <w:rFonts w:ascii="宋体" w:hAnsi="宋体" w:eastAsia="宋体" w:cs="宋体"/>
                <w:color w:val="auto"/>
                <w:sz w:val="21"/>
                <w:szCs w:val="21"/>
                <w:highlight w:val="none"/>
              </w:rPr>
            </w:pPr>
          </w:p>
        </w:tc>
      </w:tr>
      <w:tr w14:paraId="04EDA833">
        <w:tblPrEx>
          <w:tblCellMar>
            <w:top w:w="0" w:type="dxa"/>
            <w:left w:w="108" w:type="dxa"/>
            <w:bottom w:w="0" w:type="dxa"/>
            <w:right w:w="108" w:type="dxa"/>
          </w:tblCellMar>
        </w:tblPrEx>
        <w:trPr>
          <w:trHeight w:val="454" w:hRule="atLeast"/>
        </w:trPr>
        <w:tc>
          <w:tcPr>
            <w:tcW w:w="610" w:type="dxa"/>
            <w:tcBorders>
              <w:top w:val="single" w:color="auto" w:sz="4" w:space="0"/>
              <w:left w:val="single" w:color="auto" w:sz="4" w:space="0"/>
              <w:bottom w:val="single" w:color="auto" w:sz="4" w:space="0"/>
              <w:right w:val="single" w:color="auto" w:sz="4" w:space="0"/>
            </w:tcBorders>
            <w:noWrap w:val="0"/>
            <w:vAlign w:val="center"/>
          </w:tcPr>
          <w:p w14:paraId="709EE017">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w:t>
            </w:r>
          </w:p>
        </w:tc>
        <w:tc>
          <w:tcPr>
            <w:tcW w:w="926" w:type="dxa"/>
            <w:tcBorders>
              <w:top w:val="single" w:color="auto" w:sz="4" w:space="0"/>
              <w:left w:val="single" w:color="auto" w:sz="4" w:space="0"/>
              <w:bottom w:val="single" w:color="auto" w:sz="4" w:space="0"/>
              <w:right w:val="single" w:color="auto" w:sz="4" w:space="0"/>
            </w:tcBorders>
            <w:noWrap w:val="0"/>
            <w:vAlign w:val="center"/>
          </w:tcPr>
          <w:p w14:paraId="3B14252A">
            <w:pPr>
              <w:jc w:val="center"/>
              <w:rPr>
                <w:rFonts w:ascii="宋体" w:hAnsi="宋体" w:eastAsia="宋体" w:cs="宋体"/>
                <w:color w:val="auto"/>
                <w:sz w:val="16"/>
                <w:szCs w:val="16"/>
                <w:highlight w:val="none"/>
              </w:rPr>
            </w:pPr>
          </w:p>
        </w:tc>
        <w:tc>
          <w:tcPr>
            <w:tcW w:w="830" w:type="dxa"/>
            <w:tcBorders>
              <w:top w:val="single" w:color="auto" w:sz="4" w:space="0"/>
              <w:left w:val="single" w:color="auto" w:sz="4" w:space="0"/>
              <w:bottom w:val="single" w:color="auto" w:sz="4" w:space="0"/>
              <w:right w:val="single" w:color="auto" w:sz="4" w:space="0"/>
            </w:tcBorders>
            <w:noWrap w:val="0"/>
            <w:vAlign w:val="center"/>
          </w:tcPr>
          <w:p w14:paraId="265CD158">
            <w:pPr>
              <w:jc w:val="center"/>
              <w:rPr>
                <w:rFonts w:ascii="宋体" w:hAnsi="宋体" w:eastAsia="宋体" w:cs="宋体"/>
                <w:color w:val="auto"/>
                <w:sz w:val="16"/>
                <w:szCs w:val="16"/>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3D2278BB">
            <w:pPr>
              <w:jc w:val="center"/>
              <w:rPr>
                <w:rFonts w:ascii="宋体" w:hAnsi="宋体" w:eastAsia="宋体" w:cs="宋体"/>
                <w:color w:val="auto"/>
                <w:sz w:val="16"/>
                <w:szCs w:val="16"/>
                <w:highlight w:val="none"/>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5A1DC4D3">
            <w:pPr>
              <w:jc w:val="center"/>
              <w:rPr>
                <w:rFonts w:ascii="宋体" w:hAnsi="宋体" w:eastAsia="宋体" w:cs="宋体"/>
                <w:color w:val="auto"/>
                <w:sz w:val="16"/>
                <w:szCs w:val="16"/>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781FF67D">
            <w:pPr>
              <w:jc w:val="center"/>
              <w:rPr>
                <w:rFonts w:ascii="宋体" w:hAnsi="宋体" w:eastAsia="宋体" w:cs="宋体"/>
                <w:color w:val="auto"/>
                <w:sz w:val="16"/>
                <w:szCs w:val="16"/>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87961E4">
            <w:pPr>
              <w:jc w:val="center"/>
              <w:rPr>
                <w:rFonts w:ascii="宋体" w:hAnsi="宋体" w:eastAsia="宋体" w:cs="宋体"/>
                <w:color w:val="auto"/>
                <w:sz w:val="16"/>
                <w:szCs w:val="16"/>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0DCC359">
            <w:pPr>
              <w:jc w:val="center"/>
              <w:rPr>
                <w:rFonts w:ascii="宋体" w:hAnsi="宋体" w:eastAsia="宋体" w:cs="宋体"/>
                <w:color w:val="auto"/>
                <w:sz w:val="16"/>
                <w:szCs w:val="16"/>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6C6896FA">
            <w:pPr>
              <w:jc w:val="center"/>
              <w:rPr>
                <w:rFonts w:ascii="宋体" w:hAnsi="宋体" w:eastAsia="宋体" w:cs="宋体"/>
                <w:color w:val="auto"/>
                <w:sz w:val="21"/>
                <w:szCs w:val="21"/>
                <w:highlight w:val="none"/>
              </w:rPr>
            </w:pPr>
          </w:p>
        </w:tc>
      </w:tr>
    </w:tbl>
    <w:p w14:paraId="0D9C7111">
      <w:pPr>
        <w:rPr>
          <w:rFonts w:hint="default"/>
          <w:color w:val="auto"/>
          <w:highlight w:val="none"/>
        </w:rPr>
      </w:pPr>
    </w:p>
    <w:p w14:paraId="6A32879A">
      <w:pPr>
        <w:ind w:firstLine="0" w:firstLineChars="0"/>
        <w:jc w:val="center"/>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附件</w:t>
      </w:r>
      <w:r>
        <w:rPr>
          <w:rFonts w:hint="eastAsia" w:ascii="仿宋_GB2312" w:hAnsi="仿宋_GB2312" w:eastAsia="仿宋_GB2312" w:cs="仿宋_GB2312"/>
          <w:color w:val="auto"/>
          <w:sz w:val="32"/>
          <w:szCs w:val="32"/>
          <w:highlight w:val="none"/>
          <w:lang w:val="en-US" w:eastAsia="zh-CN"/>
        </w:rPr>
        <w:t>2</w:t>
      </w:r>
      <w:r>
        <w:rPr>
          <w:rFonts w:hint="default" w:ascii="仿宋_GB2312" w:hAnsi="仿宋_GB2312" w:eastAsia="仿宋_GB2312" w:cs="仿宋_GB2312"/>
          <w:color w:val="auto"/>
          <w:sz w:val="32"/>
          <w:szCs w:val="32"/>
          <w:highlight w:val="none"/>
          <w:lang w:val="en-US" w:eastAsia="zh-CN"/>
        </w:rPr>
        <w:t>：食堂运维管理服务质量月考核表</w:t>
      </w:r>
    </w:p>
    <w:tbl>
      <w:tblPr>
        <w:tblStyle w:val="31"/>
        <w:tblW w:w="9135" w:type="dxa"/>
        <w:jc w:val="center"/>
        <w:tblLayout w:type="fixed"/>
        <w:tblCellMar>
          <w:top w:w="0" w:type="dxa"/>
          <w:left w:w="108" w:type="dxa"/>
          <w:bottom w:w="0" w:type="dxa"/>
          <w:right w:w="108" w:type="dxa"/>
        </w:tblCellMar>
      </w:tblPr>
      <w:tblGrid>
        <w:gridCol w:w="522"/>
        <w:gridCol w:w="7067"/>
        <w:gridCol w:w="773"/>
        <w:gridCol w:w="773"/>
      </w:tblGrid>
      <w:tr w14:paraId="034E5564">
        <w:tblPrEx>
          <w:tblCellMar>
            <w:top w:w="0" w:type="dxa"/>
            <w:left w:w="108" w:type="dxa"/>
            <w:bottom w:w="0" w:type="dxa"/>
            <w:right w:w="108" w:type="dxa"/>
          </w:tblCellMar>
        </w:tblPrEx>
        <w:trPr>
          <w:trHeight w:val="594" w:hRule="atLeast"/>
          <w:jc w:val="center"/>
        </w:trPr>
        <w:tc>
          <w:tcPr>
            <w:tcW w:w="522" w:type="dxa"/>
            <w:tcBorders>
              <w:top w:val="single" w:color="000000" w:sz="4" w:space="0"/>
              <w:left w:val="single" w:color="000000" w:sz="4" w:space="0"/>
              <w:bottom w:val="single" w:color="000000" w:sz="4" w:space="0"/>
              <w:right w:val="single" w:color="000000" w:sz="4" w:space="0"/>
            </w:tcBorders>
            <w:noWrap w:val="0"/>
            <w:vAlign w:val="center"/>
          </w:tcPr>
          <w:p w14:paraId="7301D663">
            <w:pPr>
              <w:spacing w:after="0" w:line="4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7067" w:type="dxa"/>
            <w:tcBorders>
              <w:top w:val="single" w:color="000000" w:sz="4" w:space="0"/>
              <w:left w:val="single" w:color="000000" w:sz="4" w:space="0"/>
              <w:bottom w:val="single" w:color="000000" w:sz="4" w:space="0"/>
              <w:right w:val="single" w:color="000000" w:sz="4" w:space="0"/>
            </w:tcBorders>
            <w:noWrap w:val="0"/>
            <w:vAlign w:val="center"/>
          </w:tcPr>
          <w:p w14:paraId="571098C9">
            <w:pPr>
              <w:spacing w:after="0" w:line="400" w:lineRule="exact"/>
              <w:rPr>
                <w:rFonts w:ascii="宋体" w:hAnsi="宋体" w:eastAsia="宋体" w:cs="宋体"/>
                <w:color w:val="auto"/>
                <w:sz w:val="24"/>
                <w:szCs w:val="24"/>
                <w:highlight w:val="none"/>
              </w:rPr>
            </w:pPr>
            <w:r>
              <w:rPr>
                <w:rFonts w:hint="default"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考核内容及标准要求</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3322CE0D">
            <w:pPr>
              <w:spacing w:after="0"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分项满分</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5D80E3F6">
            <w:pPr>
              <w:spacing w:after="0"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分项得分</w:t>
            </w:r>
          </w:p>
        </w:tc>
      </w:tr>
      <w:tr w14:paraId="2EA7C71E">
        <w:tblPrEx>
          <w:tblCellMar>
            <w:top w:w="0" w:type="dxa"/>
            <w:left w:w="108" w:type="dxa"/>
            <w:bottom w:w="0" w:type="dxa"/>
            <w:right w:w="108" w:type="dxa"/>
          </w:tblCellMar>
        </w:tblPrEx>
        <w:trPr>
          <w:trHeight w:val="1095" w:hRule="atLeast"/>
          <w:jc w:val="center"/>
        </w:trPr>
        <w:tc>
          <w:tcPr>
            <w:tcW w:w="522" w:type="dxa"/>
            <w:tcBorders>
              <w:top w:val="single" w:color="000000" w:sz="4" w:space="0"/>
              <w:left w:val="single" w:color="000000" w:sz="4" w:space="0"/>
              <w:bottom w:val="single" w:color="000000" w:sz="4" w:space="0"/>
              <w:right w:val="single" w:color="000000" w:sz="4" w:space="0"/>
            </w:tcBorders>
            <w:noWrap w:val="0"/>
            <w:vAlign w:val="center"/>
          </w:tcPr>
          <w:p w14:paraId="6A4D9C8D">
            <w:pPr>
              <w:spacing w:after="0"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067" w:type="dxa"/>
            <w:tcBorders>
              <w:top w:val="single" w:color="000000" w:sz="4" w:space="0"/>
              <w:left w:val="single" w:color="000000" w:sz="4" w:space="0"/>
              <w:bottom w:val="single" w:color="000000" w:sz="4" w:space="0"/>
              <w:right w:val="single" w:color="000000" w:sz="4" w:space="0"/>
            </w:tcBorders>
            <w:noWrap w:val="0"/>
            <w:vAlign w:val="center"/>
          </w:tcPr>
          <w:p w14:paraId="6DBA4E47">
            <w:pPr>
              <w:spacing w:after="0" w:line="400" w:lineRule="exac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供应商应指定专门的负责人与</w:t>
            </w:r>
            <w:r>
              <w:rPr>
                <w:rFonts w:hint="eastAsia" w:ascii="宋体" w:hAnsi="宋体" w:eastAsia="宋体" w:cs="Times New Roman"/>
                <w:color w:val="auto"/>
                <w:sz w:val="21"/>
                <w:szCs w:val="21"/>
                <w:highlight w:val="none"/>
                <w:lang w:val="en-US" w:eastAsia="zh-CN"/>
              </w:rPr>
              <w:t>采购</w:t>
            </w:r>
            <w:r>
              <w:rPr>
                <w:rFonts w:hint="eastAsia" w:ascii="宋体" w:hAnsi="宋体" w:eastAsia="宋体" w:cs="Times New Roman"/>
                <w:color w:val="auto"/>
                <w:szCs w:val="21"/>
                <w:highlight w:val="none"/>
                <w:lang w:val="en-US" w:eastAsia="zh-CN"/>
              </w:rPr>
              <w:t>人</w:t>
            </w:r>
            <w:r>
              <w:rPr>
                <w:rFonts w:hint="eastAsia" w:ascii="宋体" w:hAnsi="宋体" w:eastAsia="宋体" w:cs="宋体"/>
                <w:color w:val="auto"/>
                <w:sz w:val="22"/>
                <w:szCs w:val="22"/>
                <w:highlight w:val="none"/>
              </w:rPr>
              <w:t>保持联系，随时解决各类问题，接到采购人处理问题通知后2小时内到达现场。月考核当天，甲乙双方均须到实地进行考察。</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7E5A170C">
            <w:pPr>
              <w:spacing w:after="0"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71AEF64E">
            <w:pPr>
              <w:spacing w:after="0" w:line="400" w:lineRule="exact"/>
              <w:rPr>
                <w:rFonts w:ascii="宋体" w:hAnsi="宋体" w:eastAsia="宋体" w:cs="宋体"/>
                <w:color w:val="auto"/>
                <w:sz w:val="22"/>
                <w:szCs w:val="22"/>
                <w:highlight w:val="none"/>
              </w:rPr>
            </w:pPr>
          </w:p>
        </w:tc>
      </w:tr>
      <w:tr w14:paraId="71C1BA12">
        <w:tblPrEx>
          <w:tblCellMar>
            <w:top w:w="0" w:type="dxa"/>
            <w:left w:w="108" w:type="dxa"/>
            <w:bottom w:w="0" w:type="dxa"/>
            <w:right w:w="108" w:type="dxa"/>
          </w:tblCellMar>
        </w:tblPrEx>
        <w:trPr>
          <w:trHeight w:val="1440" w:hRule="atLeast"/>
          <w:jc w:val="center"/>
        </w:trPr>
        <w:tc>
          <w:tcPr>
            <w:tcW w:w="522" w:type="dxa"/>
            <w:tcBorders>
              <w:top w:val="single" w:color="000000" w:sz="4" w:space="0"/>
              <w:left w:val="single" w:color="000000" w:sz="4" w:space="0"/>
              <w:bottom w:val="single" w:color="000000" w:sz="4" w:space="0"/>
              <w:right w:val="single" w:color="000000" w:sz="4" w:space="0"/>
            </w:tcBorders>
            <w:noWrap w:val="0"/>
            <w:vAlign w:val="center"/>
          </w:tcPr>
          <w:p w14:paraId="31DE225D">
            <w:pPr>
              <w:spacing w:after="0"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7067" w:type="dxa"/>
            <w:tcBorders>
              <w:top w:val="single" w:color="000000" w:sz="4" w:space="0"/>
              <w:left w:val="single" w:color="000000" w:sz="4" w:space="0"/>
              <w:bottom w:val="single" w:color="000000" w:sz="4" w:space="0"/>
              <w:right w:val="single" w:color="000000" w:sz="4" w:space="0"/>
            </w:tcBorders>
            <w:noWrap w:val="0"/>
            <w:vAlign w:val="center"/>
          </w:tcPr>
          <w:p w14:paraId="51BFC5FE">
            <w:pPr>
              <w:spacing w:after="0" w:line="400" w:lineRule="exac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供应商严格按照</w:t>
            </w:r>
            <w:r>
              <w:rPr>
                <w:rFonts w:hint="eastAsia" w:ascii="宋体" w:hAnsi="宋体" w:eastAsia="宋体" w:cs="Times New Roman"/>
                <w:color w:val="auto"/>
                <w:sz w:val="21"/>
                <w:szCs w:val="21"/>
                <w:highlight w:val="none"/>
                <w:lang w:val="en-US" w:eastAsia="zh-CN"/>
              </w:rPr>
              <w:t>采购</w:t>
            </w:r>
            <w:r>
              <w:rPr>
                <w:rFonts w:hint="eastAsia" w:ascii="宋体" w:hAnsi="宋体" w:eastAsia="宋体" w:cs="Times New Roman"/>
                <w:color w:val="auto"/>
                <w:szCs w:val="21"/>
                <w:highlight w:val="none"/>
                <w:lang w:val="en-US" w:eastAsia="zh-CN"/>
              </w:rPr>
              <w:t>人</w:t>
            </w:r>
            <w:r>
              <w:rPr>
                <w:rFonts w:hint="eastAsia" w:ascii="宋体" w:hAnsi="宋体" w:eastAsia="宋体" w:cs="宋体"/>
                <w:color w:val="auto"/>
                <w:sz w:val="22"/>
                <w:szCs w:val="22"/>
                <w:highlight w:val="none"/>
              </w:rPr>
              <w:t>“5A”食堂管理系统执行工作，制定各项管理办法、规章制度、岗位职责，配备充足的工作人员，提供快速良好的就餐服务，做到礼貌待人、文明用语、服务规范。员工穿统一工作服，佩戴工作牌，戴口罩、服务帽。</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74BB9FFE">
            <w:pPr>
              <w:spacing w:after="0"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48743FEB">
            <w:pPr>
              <w:spacing w:after="0" w:line="400" w:lineRule="exact"/>
              <w:rPr>
                <w:rFonts w:ascii="宋体" w:hAnsi="宋体" w:eastAsia="宋体" w:cs="宋体"/>
                <w:color w:val="auto"/>
                <w:sz w:val="22"/>
                <w:szCs w:val="22"/>
                <w:highlight w:val="none"/>
              </w:rPr>
            </w:pPr>
          </w:p>
        </w:tc>
      </w:tr>
      <w:tr w14:paraId="34CD1767">
        <w:tblPrEx>
          <w:tblCellMar>
            <w:top w:w="0" w:type="dxa"/>
            <w:left w:w="108" w:type="dxa"/>
            <w:bottom w:w="0" w:type="dxa"/>
            <w:right w:w="108" w:type="dxa"/>
          </w:tblCellMar>
        </w:tblPrEx>
        <w:trPr>
          <w:trHeight w:val="420" w:hRule="atLeast"/>
          <w:jc w:val="center"/>
        </w:trPr>
        <w:tc>
          <w:tcPr>
            <w:tcW w:w="522" w:type="dxa"/>
            <w:tcBorders>
              <w:top w:val="single" w:color="000000" w:sz="4" w:space="0"/>
              <w:left w:val="single" w:color="000000" w:sz="4" w:space="0"/>
              <w:bottom w:val="single" w:color="000000" w:sz="4" w:space="0"/>
              <w:right w:val="single" w:color="000000" w:sz="4" w:space="0"/>
            </w:tcBorders>
            <w:noWrap w:val="0"/>
            <w:vAlign w:val="center"/>
          </w:tcPr>
          <w:p w14:paraId="0A14A69F">
            <w:pPr>
              <w:spacing w:after="0"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7067" w:type="dxa"/>
            <w:tcBorders>
              <w:top w:val="single" w:color="000000" w:sz="4" w:space="0"/>
              <w:left w:val="single" w:color="000000" w:sz="4" w:space="0"/>
              <w:bottom w:val="single" w:color="000000" w:sz="4" w:space="0"/>
              <w:right w:val="single" w:color="000000" w:sz="4" w:space="0"/>
            </w:tcBorders>
            <w:noWrap w:val="0"/>
            <w:vAlign w:val="center"/>
          </w:tcPr>
          <w:p w14:paraId="21347D08">
            <w:pPr>
              <w:spacing w:after="0" w:line="400" w:lineRule="exac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做好食堂事务管理、食堂仓库的管理及食品材料收集和食材验收，清理、分类、入库、场所卫生</w:t>
            </w:r>
            <w:r>
              <w:rPr>
                <w:rFonts w:ascii="宋体" w:hAnsi="宋体" w:eastAsia="宋体" w:cs="宋体"/>
                <w:color w:val="auto"/>
                <w:sz w:val="22"/>
                <w:szCs w:val="22"/>
                <w:highlight w:val="none"/>
              </w:rPr>
              <w:t>，当月无食品安全事故。</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6768C996">
            <w:pPr>
              <w:spacing w:after="0"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74C7D686">
            <w:pPr>
              <w:spacing w:after="0" w:line="400" w:lineRule="exact"/>
              <w:rPr>
                <w:rFonts w:ascii="宋体" w:hAnsi="宋体" w:eastAsia="宋体" w:cs="宋体"/>
                <w:color w:val="auto"/>
                <w:sz w:val="22"/>
                <w:szCs w:val="22"/>
                <w:highlight w:val="none"/>
              </w:rPr>
            </w:pPr>
          </w:p>
        </w:tc>
      </w:tr>
      <w:tr w14:paraId="40060472">
        <w:tblPrEx>
          <w:tblCellMar>
            <w:top w:w="0" w:type="dxa"/>
            <w:left w:w="108" w:type="dxa"/>
            <w:bottom w:w="0" w:type="dxa"/>
            <w:right w:w="108" w:type="dxa"/>
          </w:tblCellMar>
        </w:tblPrEx>
        <w:trPr>
          <w:trHeight w:val="420" w:hRule="atLeast"/>
          <w:jc w:val="center"/>
        </w:trPr>
        <w:tc>
          <w:tcPr>
            <w:tcW w:w="522" w:type="dxa"/>
            <w:tcBorders>
              <w:top w:val="single" w:color="000000" w:sz="4" w:space="0"/>
              <w:left w:val="single" w:color="000000" w:sz="4" w:space="0"/>
              <w:bottom w:val="single" w:color="000000" w:sz="4" w:space="0"/>
              <w:right w:val="single" w:color="000000" w:sz="4" w:space="0"/>
            </w:tcBorders>
            <w:noWrap w:val="0"/>
            <w:vAlign w:val="center"/>
          </w:tcPr>
          <w:p w14:paraId="1C517CF3">
            <w:pPr>
              <w:spacing w:after="0"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7067" w:type="dxa"/>
            <w:tcBorders>
              <w:top w:val="single" w:color="000000" w:sz="4" w:space="0"/>
              <w:left w:val="single" w:color="000000" w:sz="4" w:space="0"/>
              <w:bottom w:val="single" w:color="000000" w:sz="4" w:space="0"/>
              <w:right w:val="single" w:color="000000" w:sz="4" w:space="0"/>
            </w:tcBorders>
            <w:noWrap w:val="0"/>
            <w:vAlign w:val="center"/>
          </w:tcPr>
          <w:p w14:paraId="7FA43EC0">
            <w:pPr>
              <w:spacing w:after="0" w:line="400" w:lineRule="exac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负责每日菜品出品及送餐、配餐服务工作，保证每日正常按质按量，温度适宜，密封配送到班上，班级工作人员接收后方可离开</w:t>
            </w:r>
            <w:r>
              <w:rPr>
                <w:rFonts w:hint="default" w:ascii="宋体" w:hAnsi="宋体" w:eastAsia="宋体" w:cs="宋体"/>
                <w:color w:val="auto"/>
                <w:sz w:val="22"/>
                <w:szCs w:val="22"/>
                <w:highlight w:val="none"/>
              </w:rPr>
              <w:t>。</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29DD45B9">
            <w:pPr>
              <w:spacing w:after="0"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04B366FD">
            <w:pPr>
              <w:spacing w:after="0" w:line="400" w:lineRule="exact"/>
              <w:rPr>
                <w:rFonts w:ascii="宋体" w:hAnsi="宋体" w:eastAsia="宋体" w:cs="宋体"/>
                <w:color w:val="auto"/>
                <w:sz w:val="22"/>
                <w:szCs w:val="22"/>
                <w:highlight w:val="none"/>
              </w:rPr>
            </w:pPr>
          </w:p>
        </w:tc>
      </w:tr>
      <w:tr w14:paraId="22ED60EB">
        <w:tblPrEx>
          <w:tblCellMar>
            <w:top w:w="0" w:type="dxa"/>
            <w:left w:w="108" w:type="dxa"/>
            <w:bottom w:w="0" w:type="dxa"/>
            <w:right w:w="108" w:type="dxa"/>
          </w:tblCellMar>
        </w:tblPrEx>
        <w:trPr>
          <w:trHeight w:val="420" w:hRule="atLeast"/>
          <w:jc w:val="center"/>
        </w:trPr>
        <w:tc>
          <w:tcPr>
            <w:tcW w:w="522" w:type="dxa"/>
            <w:tcBorders>
              <w:top w:val="single" w:color="000000" w:sz="4" w:space="0"/>
              <w:left w:val="single" w:color="000000" w:sz="4" w:space="0"/>
              <w:bottom w:val="single" w:color="000000" w:sz="4" w:space="0"/>
              <w:right w:val="single" w:color="000000" w:sz="4" w:space="0"/>
            </w:tcBorders>
            <w:noWrap w:val="0"/>
            <w:vAlign w:val="center"/>
          </w:tcPr>
          <w:p w14:paraId="4C8A47D4">
            <w:pPr>
              <w:spacing w:after="0"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7067" w:type="dxa"/>
            <w:tcBorders>
              <w:top w:val="single" w:color="000000" w:sz="4" w:space="0"/>
              <w:left w:val="single" w:color="000000" w:sz="4" w:space="0"/>
              <w:bottom w:val="single" w:color="000000" w:sz="4" w:space="0"/>
              <w:right w:val="single" w:color="000000" w:sz="4" w:space="0"/>
            </w:tcBorders>
            <w:noWrap w:val="0"/>
            <w:vAlign w:val="center"/>
          </w:tcPr>
          <w:p w14:paraId="475A0F31">
            <w:pPr>
              <w:spacing w:after="0" w:line="400" w:lineRule="exac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负责教职工临时加班等其他活动的供餐及服务</w:t>
            </w:r>
            <w:r>
              <w:rPr>
                <w:rFonts w:hint="default" w:ascii="宋体" w:hAnsi="宋体" w:eastAsia="宋体" w:cs="宋体"/>
                <w:color w:val="auto"/>
                <w:sz w:val="22"/>
                <w:szCs w:val="22"/>
                <w:highlight w:val="none"/>
              </w:rPr>
              <w:t>，服务品质好。</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31AA28F5">
            <w:pPr>
              <w:spacing w:after="0"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6733AC13">
            <w:pPr>
              <w:spacing w:after="0" w:line="400" w:lineRule="exact"/>
              <w:rPr>
                <w:rFonts w:ascii="宋体" w:hAnsi="宋体" w:eastAsia="宋体" w:cs="宋体"/>
                <w:color w:val="auto"/>
                <w:sz w:val="22"/>
                <w:szCs w:val="22"/>
                <w:highlight w:val="none"/>
              </w:rPr>
            </w:pPr>
          </w:p>
        </w:tc>
      </w:tr>
      <w:tr w14:paraId="1503009E">
        <w:tblPrEx>
          <w:tblCellMar>
            <w:top w:w="0" w:type="dxa"/>
            <w:left w:w="108" w:type="dxa"/>
            <w:bottom w:w="0" w:type="dxa"/>
            <w:right w:w="108" w:type="dxa"/>
          </w:tblCellMar>
        </w:tblPrEx>
        <w:trPr>
          <w:trHeight w:val="420" w:hRule="atLeast"/>
          <w:jc w:val="center"/>
        </w:trPr>
        <w:tc>
          <w:tcPr>
            <w:tcW w:w="522" w:type="dxa"/>
            <w:tcBorders>
              <w:top w:val="single" w:color="000000" w:sz="4" w:space="0"/>
              <w:left w:val="single" w:color="000000" w:sz="4" w:space="0"/>
              <w:bottom w:val="single" w:color="000000" w:sz="4" w:space="0"/>
              <w:right w:val="single" w:color="000000" w:sz="4" w:space="0"/>
            </w:tcBorders>
            <w:noWrap w:val="0"/>
            <w:vAlign w:val="center"/>
          </w:tcPr>
          <w:p w14:paraId="74556952">
            <w:pPr>
              <w:spacing w:after="0"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7067" w:type="dxa"/>
            <w:tcBorders>
              <w:top w:val="single" w:color="000000" w:sz="4" w:space="0"/>
              <w:left w:val="single" w:color="000000" w:sz="4" w:space="0"/>
              <w:bottom w:val="single" w:color="000000" w:sz="4" w:space="0"/>
              <w:right w:val="single" w:color="000000" w:sz="4" w:space="0"/>
            </w:tcBorders>
            <w:noWrap w:val="0"/>
            <w:vAlign w:val="center"/>
          </w:tcPr>
          <w:p w14:paraId="17E36796">
            <w:pPr>
              <w:spacing w:after="0" w:line="400" w:lineRule="exac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负责食堂和职工餐厅卫生保洁工作，确保食品卫生安全及环境整洁。负责食堂餐厨垃圾的处理以及食堂设施设备的管理使用、维护等工作</w:t>
            </w:r>
            <w:r>
              <w:rPr>
                <w:rFonts w:hint="default" w:ascii="宋体" w:hAnsi="宋体" w:eastAsia="宋体" w:cs="宋体"/>
                <w:color w:val="auto"/>
                <w:sz w:val="22"/>
                <w:szCs w:val="22"/>
                <w:highlight w:val="none"/>
              </w:rPr>
              <w:t>。</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19A00B8F">
            <w:pPr>
              <w:spacing w:after="0"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1F910788">
            <w:pPr>
              <w:spacing w:after="0" w:line="400" w:lineRule="exact"/>
              <w:rPr>
                <w:rFonts w:ascii="宋体" w:hAnsi="宋体" w:eastAsia="宋体" w:cs="宋体"/>
                <w:color w:val="auto"/>
                <w:sz w:val="22"/>
                <w:szCs w:val="22"/>
                <w:highlight w:val="none"/>
              </w:rPr>
            </w:pPr>
          </w:p>
        </w:tc>
      </w:tr>
      <w:tr w14:paraId="6386CC2E">
        <w:tblPrEx>
          <w:tblCellMar>
            <w:top w:w="0" w:type="dxa"/>
            <w:left w:w="108" w:type="dxa"/>
            <w:bottom w:w="0" w:type="dxa"/>
            <w:right w:w="108" w:type="dxa"/>
          </w:tblCellMar>
        </w:tblPrEx>
        <w:trPr>
          <w:trHeight w:val="420" w:hRule="atLeast"/>
          <w:jc w:val="center"/>
        </w:trPr>
        <w:tc>
          <w:tcPr>
            <w:tcW w:w="522" w:type="dxa"/>
            <w:tcBorders>
              <w:top w:val="single" w:color="000000" w:sz="4" w:space="0"/>
              <w:left w:val="single" w:color="000000" w:sz="4" w:space="0"/>
              <w:bottom w:val="single" w:color="000000" w:sz="4" w:space="0"/>
              <w:right w:val="single" w:color="000000" w:sz="4" w:space="0"/>
            </w:tcBorders>
            <w:noWrap w:val="0"/>
            <w:vAlign w:val="center"/>
          </w:tcPr>
          <w:p w14:paraId="62AE8B16">
            <w:pPr>
              <w:spacing w:after="0"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7067" w:type="dxa"/>
            <w:tcBorders>
              <w:top w:val="single" w:color="000000" w:sz="4" w:space="0"/>
              <w:left w:val="single" w:color="000000" w:sz="4" w:space="0"/>
              <w:bottom w:val="single" w:color="000000" w:sz="4" w:space="0"/>
              <w:right w:val="single" w:color="000000" w:sz="4" w:space="0"/>
            </w:tcBorders>
            <w:noWrap w:val="0"/>
            <w:vAlign w:val="center"/>
          </w:tcPr>
          <w:p w14:paraId="14403A29">
            <w:pPr>
              <w:spacing w:after="0" w:line="400" w:lineRule="exac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负责每日厨房餐用具的消毒，配合婴幼儿消毒餐具数量的预订、回收、分发，按时按量提供给班级</w:t>
            </w:r>
            <w:r>
              <w:rPr>
                <w:rFonts w:hint="default" w:ascii="宋体" w:hAnsi="宋体" w:eastAsia="宋体" w:cs="宋体"/>
                <w:color w:val="auto"/>
                <w:sz w:val="22"/>
                <w:szCs w:val="22"/>
                <w:highlight w:val="none"/>
              </w:rPr>
              <w:t>。</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2DD741B2">
            <w:pPr>
              <w:spacing w:after="0"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6EE35DEF">
            <w:pPr>
              <w:spacing w:after="0" w:line="400" w:lineRule="exact"/>
              <w:rPr>
                <w:rFonts w:ascii="宋体" w:hAnsi="宋体" w:eastAsia="宋体" w:cs="宋体"/>
                <w:color w:val="auto"/>
                <w:sz w:val="22"/>
                <w:szCs w:val="22"/>
                <w:highlight w:val="none"/>
              </w:rPr>
            </w:pPr>
          </w:p>
        </w:tc>
      </w:tr>
      <w:tr w14:paraId="28B87B25">
        <w:tblPrEx>
          <w:tblCellMar>
            <w:top w:w="0" w:type="dxa"/>
            <w:left w:w="108" w:type="dxa"/>
            <w:bottom w:w="0" w:type="dxa"/>
            <w:right w:w="108" w:type="dxa"/>
          </w:tblCellMar>
        </w:tblPrEx>
        <w:trPr>
          <w:trHeight w:val="420" w:hRule="atLeast"/>
          <w:jc w:val="center"/>
        </w:trPr>
        <w:tc>
          <w:tcPr>
            <w:tcW w:w="522" w:type="dxa"/>
            <w:tcBorders>
              <w:top w:val="single" w:color="000000" w:sz="4" w:space="0"/>
              <w:left w:val="single" w:color="000000" w:sz="4" w:space="0"/>
              <w:bottom w:val="single" w:color="000000" w:sz="4" w:space="0"/>
              <w:right w:val="single" w:color="000000" w:sz="4" w:space="0"/>
            </w:tcBorders>
            <w:noWrap w:val="0"/>
            <w:vAlign w:val="center"/>
          </w:tcPr>
          <w:p w14:paraId="496304B4">
            <w:pPr>
              <w:spacing w:after="0"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7067" w:type="dxa"/>
            <w:tcBorders>
              <w:top w:val="single" w:color="000000" w:sz="4" w:space="0"/>
              <w:left w:val="single" w:color="000000" w:sz="4" w:space="0"/>
              <w:bottom w:val="single" w:color="000000" w:sz="4" w:space="0"/>
              <w:right w:val="single" w:color="000000" w:sz="4" w:space="0"/>
            </w:tcBorders>
            <w:noWrap w:val="0"/>
            <w:vAlign w:val="center"/>
          </w:tcPr>
          <w:p w14:paraId="1EC92C95">
            <w:pPr>
              <w:spacing w:after="0" w:line="400" w:lineRule="exac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根据采购人日常用餐人数，负责统计次日</w:t>
            </w:r>
            <w:r>
              <w:rPr>
                <w:rFonts w:hint="default" w:ascii="宋体" w:hAnsi="宋体" w:eastAsia="宋体" w:cs="宋体"/>
                <w:color w:val="auto"/>
                <w:sz w:val="22"/>
                <w:szCs w:val="22"/>
                <w:highlight w:val="none"/>
              </w:rPr>
              <w:t>婴</w:t>
            </w:r>
            <w:r>
              <w:rPr>
                <w:rFonts w:hint="eastAsia" w:ascii="宋体" w:hAnsi="宋体" w:eastAsia="宋体" w:cs="宋体"/>
                <w:color w:val="auto"/>
                <w:sz w:val="22"/>
                <w:szCs w:val="22"/>
                <w:highlight w:val="none"/>
              </w:rPr>
              <w:t>幼儿早餐、中餐、营养餐就餐人数、教职工早餐、午餐用餐人数，合理制订菜品采购和餐品制作计划，保温保质，不售卖隔夜菜。并于每周定时提供下周菜单给采购人审核确认，避免浪费</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79500572">
            <w:pPr>
              <w:spacing w:after="0"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7A371FAF">
            <w:pPr>
              <w:spacing w:after="0" w:line="400" w:lineRule="exact"/>
              <w:rPr>
                <w:rFonts w:ascii="宋体" w:hAnsi="宋体" w:eastAsia="宋体" w:cs="宋体"/>
                <w:color w:val="auto"/>
                <w:sz w:val="22"/>
                <w:szCs w:val="22"/>
                <w:highlight w:val="none"/>
              </w:rPr>
            </w:pPr>
          </w:p>
        </w:tc>
      </w:tr>
      <w:tr w14:paraId="26816B7E">
        <w:tblPrEx>
          <w:tblCellMar>
            <w:top w:w="0" w:type="dxa"/>
            <w:left w:w="108" w:type="dxa"/>
            <w:bottom w:w="0" w:type="dxa"/>
            <w:right w:w="108" w:type="dxa"/>
          </w:tblCellMar>
        </w:tblPrEx>
        <w:trPr>
          <w:trHeight w:val="420" w:hRule="atLeast"/>
          <w:jc w:val="center"/>
        </w:trPr>
        <w:tc>
          <w:tcPr>
            <w:tcW w:w="522" w:type="dxa"/>
            <w:tcBorders>
              <w:top w:val="single" w:color="000000" w:sz="4" w:space="0"/>
              <w:left w:val="single" w:color="000000" w:sz="4" w:space="0"/>
              <w:bottom w:val="single" w:color="000000" w:sz="4" w:space="0"/>
              <w:right w:val="single" w:color="000000" w:sz="4" w:space="0"/>
            </w:tcBorders>
            <w:noWrap w:val="0"/>
            <w:vAlign w:val="center"/>
          </w:tcPr>
          <w:p w14:paraId="2FE032F9">
            <w:pPr>
              <w:spacing w:after="0"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7067" w:type="dxa"/>
            <w:tcBorders>
              <w:top w:val="single" w:color="000000" w:sz="4" w:space="0"/>
              <w:left w:val="single" w:color="000000" w:sz="4" w:space="0"/>
              <w:bottom w:val="single" w:color="000000" w:sz="4" w:space="0"/>
              <w:right w:val="single" w:color="000000" w:sz="4" w:space="0"/>
            </w:tcBorders>
            <w:noWrap w:val="0"/>
            <w:vAlign w:val="center"/>
          </w:tcPr>
          <w:p w14:paraId="724FF5E7">
            <w:pPr>
              <w:spacing w:after="0" w:line="400" w:lineRule="exac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烹制餐品服从</w:t>
            </w: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营养师指导，</w:t>
            </w:r>
            <w:r>
              <w:rPr>
                <w:rFonts w:hint="default" w:ascii="宋体" w:hAnsi="宋体" w:eastAsia="宋体" w:cs="宋体"/>
                <w:color w:val="auto"/>
                <w:sz w:val="22"/>
                <w:szCs w:val="22"/>
                <w:highlight w:val="none"/>
              </w:rPr>
              <w:t>按照国家营养健康标准做到减盐、减糖、减油，</w:t>
            </w:r>
            <w:r>
              <w:rPr>
                <w:rFonts w:hint="eastAsia" w:ascii="宋体" w:hAnsi="宋体" w:eastAsia="宋体" w:cs="宋体"/>
                <w:color w:val="auto"/>
                <w:sz w:val="22"/>
                <w:szCs w:val="22"/>
                <w:highlight w:val="none"/>
              </w:rPr>
              <w:t>做到质量好、营养搭配合理</w:t>
            </w:r>
            <w:r>
              <w:rPr>
                <w:rFonts w:hint="default" w:ascii="宋体" w:hAnsi="宋体" w:eastAsia="宋体" w:cs="宋体"/>
                <w:color w:val="auto"/>
                <w:sz w:val="22"/>
                <w:szCs w:val="22"/>
                <w:highlight w:val="none"/>
              </w:rPr>
              <w:t>。</w:t>
            </w:r>
            <w:r>
              <w:rPr>
                <w:rFonts w:hint="eastAsia" w:ascii="宋体" w:hAnsi="宋体" w:eastAsia="宋体" w:cs="宋体"/>
                <w:color w:val="auto"/>
                <w:sz w:val="22"/>
                <w:szCs w:val="22"/>
                <w:highlight w:val="none"/>
              </w:rPr>
              <w:t>每月能创新</w:t>
            </w:r>
            <w:r>
              <w:rPr>
                <w:rFonts w:hint="default" w:ascii="宋体" w:hAnsi="宋体" w:eastAsia="宋体" w:cs="宋体"/>
                <w:color w:val="auto"/>
                <w:sz w:val="22"/>
                <w:szCs w:val="22"/>
                <w:highlight w:val="none"/>
              </w:rPr>
              <w:t>婴</w:t>
            </w:r>
            <w:r>
              <w:rPr>
                <w:rFonts w:hint="eastAsia" w:ascii="宋体" w:hAnsi="宋体" w:eastAsia="宋体" w:cs="宋体"/>
                <w:color w:val="auto"/>
                <w:sz w:val="22"/>
                <w:szCs w:val="22"/>
                <w:highlight w:val="none"/>
              </w:rPr>
              <w:t>幼儿、职工菜品，每日</w:t>
            </w:r>
            <w:r>
              <w:rPr>
                <w:rFonts w:hint="default" w:ascii="宋体" w:hAnsi="宋体" w:eastAsia="宋体" w:cs="宋体"/>
                <w:color w:val="auto"/>
                <w:sz w:val="22"/>
                <w:szCs w:val="22"/>
                <w:highlight w:val="none"/>
              </w:rPr>
              <w:t>婴</w:t>
            </w:r>
            <w:r>
              <w:rPr>
                <w:rFonts w:hint="eastAsia" w:ascii="宋体" w:hAnsi="宋体" w:eastAsia="宋体" w:cs="宋体"/>
                <w:color w:val="auto"/>
                <w:sz w:val="22"/>
                <w:szCs w:val="22"/>
                <w:highlight w:val="none"/>
              </w:rPr>
              <w:t>幼儿菜谱与职工菜谱不能相同，要有所区分；在实际操作中能根据</w:t>
            </w: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的需求完善烹饪方式，制作出适合</w:t>
            </w:r>
            <w:r>
              <w:rPr>
                <w:rFonts w:hint="default" w:ascii="宋体" w:hAnsi="宋体" w:eastAsia="宋体" w:cs="宋体"/>
                <w:color w:val="auto"/>
                <w:sz w:val="22"/>
                <w:szCs w:val="22"/>
                <w:highlight w:val="none"/>
              </w:rPr>
              <w:t>婴</w:t>
            </w:r>
            <w:r>
              <w:rPr>
                <w:rFonts w:hint="eastAsia" w:ascii="宋体" w:hAnsi="宋体" w:eastAsia="宋体" w:cs="宋体"/>
                <w:color w:val="auto"/>
                <w:sz w:val="22"/>
                <w:szCs w:val="22"/>
                <w:highlight w:val="none"/>
              </w:rPr>
              <w:t>幼儿、职工的菜肴，临时用餐的供应菜品按预定提供。</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0A058260">
            <w:pPr>
              <w:spacing w:after="0"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37E078C0">
            <w:pPr>
              <w:spacing w:after="0" w:line="400" w:lineRule="exact"/>
              <w:rPr>
                <w:rFonts w:ascii="宋体" w:hAnsi="宋体" w:eastAsia="宋体" w:cs="宋体"/>
                <w:color w:val="auto"/>
                <w:sz w:val="22"/>
                <w:szCs w:val="22"/>
                <w:highlight w:val="none"/>
              </w:rPr>
            </w:pPr>
          </w:p>
        </w:tc>
      </w:tr>
      <w:tr w14:paraId="64420C5B">
        <w:tblPrEx>
          <w:tblCellMar>
            <w:top w:w="0" w:type="dxa"/>
            <w:left w:w="108" w:type="dxa"/>
            <w:bottom w:w="0" w:type="dxa"/>
            <w:right w:w="108" w:type="dxa"/>
          </w:tblCellMar>
        </w:tblPrEx>
        <w:trPr>
          <w:trHeight w:val="800" w:hRule="atLeast"/>
          <w:jc w:val="center"/>
        </w:trPr>
        <w:tc>
          <w:tcPr>
            <w:tcW w:w="522" w:type="dxa"/>
            <w:tcBorders>
              <w:top w:val="single" w:color="000000" w:sz="4" w:space="0"/>
              <w:left w:val="single" w:color="000000" w:sz="4" w:space="0"/>
              <w:bottom w:val="single" w:color="000000" w:sz="4" w:space="0"/>
              <w:right w:val="single" w:color="000000" w:sz="4" w:space="0"/>
            </w:tcBorders>
            <w:noWrap w:val="0"/>
            <w:vAlign w:val="center"/>
          </w:tcPr>
          <w:p w14:paraId="19D2A48D">
            <w:pPr>
              <w:spacing w:after="0"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7067" w:type="dxa"/>
            <w:tcBorders>
              <w:top w:val="single" w:color="000000" w:sz="4" w:space="0"/>
              <w:left w:val="single" w:color="000000" w:sz="4" w:space="0"/>
              <w:bottom w:val="single" w:color="000000" w:sz="4" w:space="0"/>
              <w:right w:val="single" w:color="000000" w:sz="4" w:space="0"/>
            </w:tcBorders>
            <w:noWrap w:val="0"/>
            <w:vAlign w:val="center"/>
          </w:tcPr>
          <w:p w14:paraId="34911580">
            <w:pPr>
              <w:spacing w:after="0" w:line="240" w:lineRule="auto"/>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供应商在服务过程中</w:t>
            </w:r>
            <w:r>
              <w:rPr>
                <w:rFonts w:hint="default" w:ascii="宋体" w:hAnsi="宋体" w:eastAsia="宋体" w:cs="宋体"/>
                <w:color w:val="auto"/>
                <w:sz w:val="22"/>
                <w:szCs w:val="22"/>
                <w:highlight w:val="none"/>
              </w:rPr>
              <w:t>严格落实食品留样管理制度，每餐次的所有菜品均需留样，每个品种留样量不少于125g，留样时间不少于48小时，并做好留样记录（留样时间精确到分钟）。</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04D153CA">
            <w:pPr>
              <w:spacing w:after="0"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003B6927">
            <w:pPr>
              <w:spacing w:after="0" w:line="400" w:lineRule="exact"/>
              <w:rPr>
                <w:rFonts w:ascii="宋体" w:hAnsi="宋体" w:eastAsia="宋体" w:cs="宋体"/>
                <w:color w:val="auto"/>
                <w:sz w:val="22"/>
                <w:szCs w:val="22"/>
                <w:highlight w:val="none"/>
              </w:rPr>
            </w:pPr>
          </w:p>
        </w:tc>
      </w:tr>
      <w:tr w14:paraId="12C65EA4">
        <w:tblPrEx>
          <w:tblCellMar>
            <w:top w:w="0" w:type="dxa"/>
            <w:left w:w="108" w:type="dxa"/>
            <w:bottom w:w="0" w:type="dxa"/>
            <w:right w:w="108" w:type="dxa"/>
          </w:tblCellMar>
        </w:tblPrEx>
        <w:trPr>
          <w:trHeight w:val="420" w:hRule="atLeast"/>
          <w:jc w:val="center"/>
        </w:trPr>
        <w:tc>
          <w:tcPr>
            <w:tcW w:w="522" w:type="dxa"/>
            <w:tcBorders>
              <w:top w:val="single" w:color="000000" w:sz="4" w:space="0"/>
              <w:left w:val="single" w:color="000000" w:sz="4" w:space="0"/>
              <w:bottom w:val="single" w:color="000000" w:sz="4" w:space="0"/>
              <w:right w:val="single" w:color="000000" w:sz="4" w:space="0"/>
            </w:tcBorders>
            <w:noWrap w:val="0"/>
            <w:vAlign w:val="center"/>
          </w:tcPr>
          <w:p w14:paraId="2CCF5446">
            <w:pPr>
              <w:spacing w:after="0"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7067" w:type="dxa"/>
            <w:tcBorders>
              <w:top w:val="single" w:color="000000" w:sz="4" w:space="0"/>
              <w:left w:val="single" w:color="000000" w:sz="4" w:space="0"/>
              <w:bottom w:val="single" w:color="000000" w:sz="4" w:space="0"/>
              <w:right w:val="single" w:color="000000" w:sz="4" w:space="0"/>
            </w:tcBorders>
            <w:noWrap w:val="0"/>
            <w:vAlign w:val="center"/>
          </w:tcPr>
          <w:p w14:paraId="67BDFEBB">
            <w:pPr>
              <w:spacing w:after="0" w:line="400" w:lineRule="exac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供应商所聘用人员应严格遵照相关食品安全法律法规等要求规范操作，杜绝食品安全事故；严禁违规使用燃料，确保安全用电，杜绝火灾事故；积极做好食堂日常卫生保洁工作，</w:t>
            </w:r>
            <w:r>
              <w:rPr>
                <w:rFonts w:hint="default" w:ascii="宋体" w:hAnsi="宋体" w:eastAsia="宋体" w:cs="宋体"/>
                <w:color w:val="auto"/>
                <w:sz w:val="22"/>
                <w:szCs w:val="22"/>
                <w:highlight w:val="none"/>
              </w:rPr>
              <w:t>并接受日常监督整改，</w:t>
            </w:r>
            <w:r>
              <w:rPr>
                <w:rFonts w:hint="eastAsia" w:ascii="宋体" w:hAnsi="宋体" w:eastAsia="宋体" w:cs="宋体"/>
                <w:color w:val="auto"/>
                <w:sz w:val="22"/>
                <w:szCs w:val="22"/>
                <w:highlight w:val="none"/>
              </w:rPr>
              <w:t>确保食堂区域内外环境卫生。</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2EB04AB8">
            <w:pPr>
              <w:spacing w:after="0"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6821E139">
            <w:pPr>
              <w:spacing w:after="0" w:line="400" w:lineRule="exact"/>
              <w:rPr>
                <w:rFonts w:ascii="宋体" w:hAnsi="宋体" w:eastAsia="宋体" w:cs="宋体"/>
                <w:color w:val="auto"/>
                <w:sz w:val="22"/>
                <w:szCs w:val="22"/>
                <w:highlight w:val="none"/>
              </w:rPr>
            </w:pPr>
          </w:p>
        </w:tc>
      </w:tr>
      <w:tr w14:paraId="7FA3BD36">
        <w:tblPrEx>
          <w:tblCellMar>
            <w:top w:w="0" w:type="dxa"/>
            <w:left w:w="108" w:type="dxa"/>
            <w:bottom w:w="0" w:type="dxa"/>
            <w:right w:w="108" w:type="dxa"/>
          </w:tblCellMar>
        </w:tblPrEx>
        <w:trPr>
          <w:trHeight w:val="420" w:hRule="atLeast"/>
          <w:jc w:val="center"/>
        </w:trPr>
        <w:tc>
          <w:tcPr>
            <w:tcW w:w="522" w:type="dxa"/>
            <w:tcBorders>
              <w:top w:val="single" w:color="000000" w:sz="4" w:space="0"/>
              <w:left w:val="single" w:color="000000" w:sz="4" w:space="0"/>
              <w:bottom w:val="single" w:color="000000" w:sz="4" w:space="0"/>
              <w:right w:val="single" w:color="000000" w:sz="4" w:space="0"/>
            </w:tcBorders>
            <w:noWrap w:val="0"/>
            <w:vAlign w:val="center"/>
          </w:tcPr>
          <w:p w14:paraId="59202E9E">
            <w:pPr>
              <w:spacing w:after="0"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7067" w:type="dxa"/>
            <w:tcBorders>
              <w:top w:val="single" w:color="000000" w:sz="4" w:space="0"/>
              <w:left w:val="single" w:color="000000" w:sz="4" w:space="0"/>
              <w:bottom w:val="single" w:color="000000" w:sz="4" w:space="0"/>
              <w:right w:val="single" w:color="000000" w:sz="4" w:space="0"/>
            </w:tcBorders>
            <w:noWrap w:val="0"/>
            <w:vAlign w:val="center"/>
          </w:tcPr>
          <w:p w14:paraId="4A8049F0">
            <w:pPr>
              <w:spacing w:after="0" w:line="400" w:lineRule="exac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严格落实食堂反食品浪费管理，</w:t>
            </w:r>
            <w:r>
              <w:rPr>
                <w:rFonts w:hint="eastAsia" w:ascii="宋体" w:hAnsi="宋体" w:eastAsia="宋体" w:cs="宋体"/>
                <w:color w:val="auto"/>
                <w:sz w:val="22"/>
                <w:szCs w:val="22"/>
                <w:highlight w:val="none"/>
              </w:rPr>
              <w:t>建立节能、节约方面的工作制度</w:t>
            </w:r>
            <w:r>
              <w:rPr>
                <w:rFonts w:hint="default" w:ascii="宋体" w:hAnsi="宋体" w:eastAsia="宋体" w:cs="宋体"/>
                <w:color w:val="auto"/>
                <w:sz w:val="22"/>
                <w:szCs w:val="22"/>
                <w:highlight w:val="none"/>
              </w:rPr>
              <w:t>。</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3816BA3C">
            <w:pPr>
              <w:spacing w:after="0" w:line="400" w:lineRule="exact"/>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7</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7C5BF35E">
            <w:pPr>
              <w:spacing w:after="0" w:line="400" w:lineRule="exact"/>
              <w:rPr>
                <w:rFonts w:ascii="宋体" w:hAnsi="宋体" w:eastAsia="宋体" w:cs="宋体"/>
                <w:color w:val="auto"/>
                <w:sz w:val="22"/>
                <w:szCs w:val="22"/>
                <w:highlight w:val="none"/>
              </w:rPr>
            </w:pPr>
          </w:p>
        </w:tc>
      </w:tr>
      <w:tr w14:paraId="50CD5790">
        <w:tblPrEx>
          <w:tblCellMar>
            <w:top w:w="0" w:type="dxa"/>
            <w:left w:w="108" w:type="dxa"/>
            <w:bottom w:w="0" w:type="dxa"/>
            <w:right w:w="108" w:type="dxa"/>
          </w:tblCellMar>
        </w:tblPrEx>
        <w:trPr>
          <w:trHeight w:val="420" w:hRule="atLeast"/>
          <w:jc w:val="center"/>
        </w:trPr>
        <w:tc>
          <w:tcPr>
            <w:tcW w:w="522" w:type="dxa"/>
            <w:tcBorders>
              <w:top w:val="single" w:color="000000" w:sz="4" w:space="0"/>
              <w:left w:val="single" w:color="000000" w:sz="4" w:space="0"/>
              <w:bottom w:val="single" w:color="000000" w:sz="4" w:space="0"/>
              <w:right w:val="single" w:color="000000" w:sz="4" w:space="0"/>
            </w:tcBorders>
            <w:noWrap w:val="0"/>
            <w:vAlign w:val="center"/>
          </w:tcPr>
          <w:p w14:paraId="7387B71F">
            <w:pPr>
              <w:spacing w:after="0"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7067" w:type="dxa"/>
            <w:tcBorders>
              <w:top w:val="single" w:color="000000" w:sz="4" w:space="0"/>
              <w:left w:val="single" w:color="000000" w:sz="4" w:space="0"/>
              <w:bottom w:val="single" w:color="000000" w:sz="4" w:space="0"/>
              <w:right w:val="single" w:color="000000" w:sz="4" w:space="0"/>
            </w:tcBorders>
            <w:noWrap w:val="0"/>
            <w:vAlign w:val="center"/>
          </w:tcPr>
          <w:p w14:paraId="48FAC38A">
            <w:pPr>
              <w:spacing w:after="0" w:line="400" w:lineRule="exac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配合</w:t>
            </w:r>
            <w:r>
              <w:rPr>
                <w:rFonts w:hint="eastAsia" w:ascii="宋体" w:hAnsi="宋体" w:eastAsia="宋体" w:cs="Times New Roman"/>
                <w:color w:val="auto"/>
                <w:sz w:val="21"/>
                <w:szCs w:val="21"/>
                <w:highlight w:val="none"/>
                <w:lang w:val="en-US" w:eastAsia="zh-CN"/>
              </w:rPr>
              <w:t>采购</w:t>
            </w:r>
            <w:r>
              <w:rPr>
                <w:rFonts w:hint="eastAsia" w:ascii="宋体" w:hAnsi="宋体" w:eastAsia="宋体" w:cs="Times New Roman"/>
                <w:color w:val="auto"/>
                <w:szCs w:val="21"/>
                <w:highlight w:val="none"/>
                <w:lang w:val="en-US" w:eastAsia="zh-CN"/>
              </w:rPr>
              <w:t>人</w:t>
            </w:r>
            <w:r>
              <w:rPr>
                <w:rFonts w:hint="eastAsia" w:ascii="宋体" w:hAnsi="宋体" w:eastAsia="宋体" w:cs="宋体"/>
                <w:color w:val="auto"/>
                <w:sz w:val="22"/>
                <w:szCs w:val="22"/>
                <w:highlight w:val="none"/>
              </w:rPr>
              <w:t>做好校园常见传染疾病常态化管理工作</w:t>
            </w:r>
            <w:r>
              <w:rPr>
                <w:rFonts w:hint="default" w:ascii="宋体" w:hAnsi="宋体" w:eastAsia="宋体" w:cs="宋体"/>
                <w:color w:val="auto"/>
                <w:sz w:val="22"/>
                <w:szCs w:val="22"/>
                <w:highlight w:val="none"/>
              </w:rPr>
              <w:t>。</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35716D73">
            <w:pPr>
              <w:spacing w:after="0" w:line="400" w:lineRule="exact"/>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7</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0E69754F">
            <w:pPr>
              <w:spacing w:after="0" w:line="400" w:lineRule="exact"/>
              <w:rPr>
                <w:rFonts w:ascii="宋体" w:hAnsi="宋体" w:eastAsia="宋体" w:cs="宋体"/>
                <w:color w:val="auto"/>
                <w:sz w:val="22"/>
                <w:szCs w:val="22"/>
                <w:highlight w:val="none"/>
              </w:rPr>
            </w:pPr>
          </w:p>
        </w:tc>
      </w:tr>
      <w:tr w14:paraId="4A57AC04">
        <w:tblPrEx>
          <w:tblCellMar>
            <w:top w:w="0" w:type="dxa"/>
            <w:left w:w="108" w:type="dxa"/>
            <w:bottom w:w="0" w:type="dxa"/>
            <w:right w:w="108" w:type="dxa"/>
          </w:tblCellMar>
        </w:tblPrEx>
        <w:trPr>
          <w:trHeight w:val="420" w:hRule="atLeast"/>
          <w:jc w:val="center"/>
        </w:trPr>
        <w:tc>
          <w:tcPr>
            <w:tcW w:w="7589" w:type="dxa"/>
            <w:gridSpan w:val="2"/>
            <w:tcBorders>
              <w:top w:val="single" w:color="000000" w:sz="4" w:space="0"/>
              <w:left w:val="single" w:color="000000" w:sz="4" w:space="0"/>
              <w:bottom w:val="single" w:color="000000" w:sz="4" w:space="0"/>
              <w:right w:val="single" w:color="000000" w:sz="4" w:space="0"/>
            </w:tcBorders>
            <w:noWrap w:val="0"/>
            <w:vAlign w:val="center"/>
          </w:tcPr>
          <w:p w14:paraId="7BC87916">
            <w:pPr>
              <w:spacing w:after="0" w:line="400" w:lineRule="exac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考核分值合计</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59935B00">
            <w:pPr>
              <w:spacing w:after="0" w:line="400" w:lineRule="exac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100</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20FECB81">
            <w:pPr>
              <w:spacing w:after="0" w:line="400" w:lineRule="exact"/>
              <w:rPr>
                <w:rFonts w:ascii="宋体" w:hAnsi="宋体" w:eastAsia="宋体" w:cs="宋体"/>
                <w:color w:val="auto"/>
                <w:sz w:val="22"/>
                <w:szCs w:val="22"/>
                <w:highlight w:val="none"/>
              </w:rPr>
            </w:pPr>
          </w:p>
        </w:tc>
      </w:tr>
      <w:tr w14:paraId="43055DE7">
        <w:tblPrEx>
          <w:tblCellMar>
            <w:top w:w="0" w:type="dxa"/>
            <w:left w:w="108" w:type="dxa"/>
            <w:bottom w:w="0" w:type="dxa"/>
            <w:right w:w="108" w:type="dxa"/>
          </w:tblCellMar>
        </w:tblPrEx>
        <w:trPr>
          <w:trHeight w:val="420" w:hRule="atLeast"/>
          <w:jc w:val="center"/>
        </w:trPr>
        <w:tc>
          <w:tcPr>
            <w:tcW w:w="7589" w:type="dxa"/>
            <w:gridSpan w:val="2"/>
            <w:tcBorders>
              <w:top w:val="single" w:color="000000" w:sz="4" w:space="0"/>
              <w:left w:val="single" w:color="000000" w:sz="4" w:space="0"/>
              <w:bottom w:val="single" w:color="000000" w:sz="4" w:space="0"/>
              <w:right w:val="single" w:color="000000" w:sz="4" w:space="0"/>
            </w:tcBorders>
            <w:noWrap w:val="0"/>
            <w:vAlign w:val="center"/>
          </w:tcPr>
          <w:p w14:paraId="44DDAB15">
            <w:pPr>
              <w:spacing w:after="0" w:line="400" w:lineRule="exact"/>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考核结果</w:t>
            </w:r>
          </w:p>
        </w:tc>
        <w:tc>
          <w:tcPr>
            <w:tcW w:w="1546" w:type="dxa"/>
            <w:gridSpan w:val="2"/>
            <w:tcBorders>
              <w:top w:val="single" w:color="000000" w:sz="4" w:space="0"/>
              <w:left w:val="single" w:color="000000" w:sz="4" w:space="0"/>
              <w:bottom w:val="single" w:color="000000" w:sz="4" w:space="0"/>
              <w:right w:val="single" w:color="000000" w:sz="4" w:space="0"/>
            </w:tcBorders>
            <w:noWrap w:val="0"/>
            <w:vAlign w:val="center"/>
          </w:tcPr>
          <w:p w14:paraId="7DC9D76E">
            <w:pPr>
              <w:spacing w:after="0" w:line="400" w:lineRule="exact"/>
              <w:rPr>
                <w:rFonts w:ascii="宋体" w:hAnsi="宋体" w:eastAsia="宋体" w:cs="宋体"/>
                <w:color w:val="auto"/>
                <w:sz w:val="22"/>
                <w:szCs w:val="22"/>
                <w:highlight w:val="none"/>
              </w:rPr>
            </w:pPr>
          </w:p>
        </w:tc>
      </w:tr>
    </w:tbl>
    <w:p w14:paraId="1A9103C4">
      <w:pPr>
        <w:rPr>
          <w:rFonts w:hint="default"/>
          <w:color w:val="auto"/>
          <w:highlight w:val="none"/>
        </w:rPr>
      </w:pPr>
      <w:r>
        <w:rPr>
          <w:rFonts w:hint="default"/>
          <w:color w:val="auto"/>
          <w:highlight w:val="none"/>
        </w:rPr>
        <w:t>考核结果：□优（≥90） □良（80-89） □合格（60-79） □不合格（&lt;60）</w:t>
      </w:r>
    </w:p>
    <w:p w14:paraId="2235803E">
      <w:pPr>
        <w:rPr>
          <w:color w:val="auto"/>
          <w:highlight w:val="none"/>
        </w:rPr>
      </w:pPr>
    </w:p>
    <w:p w14:paraId="3A648657">
      <w:pPr>
        <w:spacing w:line="520" w:lineRule="exact"/>
        <w:ind w:firstLine="0" w:firstLineChars="0"/>
        <w:jc w:val="left"/>
        <w:rPr>
          <w:color w:val="auto"/>
          <w:highlight w:val="none"/>
        </w:rPr>
      </w:pPr>
    </w:p>
    <w:p w14:paraId="7A3A89F4">
      <w:pPr>
        <w:jc w:val="center"/>
        <w:outlineLvl w:val="9"/>
        <w:rPr>
          <w:color w:val="auto"/>
          <w:highlight w:val="none"/>
        </w:rPr>
      </w:pPr>
      <w:r>
        <w:rPr>
          <w:color w:val="auto"/>
          <w:highlight w:val="none"/>
        </w:rPr>
        <w:br w:type="page"/>
      </w:r>
      <w:bookmarkStart w:id="14" w:name="_Toc170496362"/>
    </w:p>
    <w:p w14:paraId="6D71AD6C">
      <w:pPr>
        <w:pStyle w:val="2"/>
        <w:jc w:val="center"/>
        <w:rPr>
          <w:rFonts w:hint="eastAsia"/>
          <w:color w:val="auto"/>
          <w:highlight w:val="none"/>
        </w:rPr>
      </w:pPr>
      <w:r>
        <w:rPr>
          <w:rFonts w:hint="eastAsia"/>
          <w:color w:val="auto"/>
          <w:highlight w:val="none"/>
        </w:rPr>
        <w:t>第三章 供应商须知</w:t>
      </w:r>
      <w:bookmarkEnd w:id="14"/>
    </w:p>
    <w:p w14:paraId="5DB7CC23">
      <w:pPr>
        <w:spacing w:line="40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供应商须知前附表</w:t>
      </w:r>
    </w:p>
    <w:tbl>
      <w:tblPr>
        <w:tblStyle w:val="31"/>
        <w:tblW w:w="96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8627"/>
      </w:tblGrid>
      <w:tr w14:paraId="774D0E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top"/>
          </w:tcPr>
          <w:p w14:paraId="54F61ECA">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8627" w:type="dxa"/>
            <w:noWrap w:val="0"/>
            <w:vAlign w:val="top"/>
          </w:tcPr>
          <w:p w14:paraId="405CB130">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内    容</w:t>
            </w:r>
          </w:p>
        </w:tc>
      </w:tr>
      <w:tr w14:paraId="259C7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91DF9F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8627" w:type="dxa"/>
            <w:noWrap w:val="0"/>
            <w:vAlign w:val="center"/>
          </w:tcPr>
          <w:p w14:paraId="2E1EF8AA">
            <w:pPr>
              <w:spacing w:line="360" w:lineRule="auto"/>
              <w:rPr>
                <w:rFonts w:hint="eastAsia" w:ascii="宋体" w:hAnsi="宋体" w:cs="宋体"/>
                <w:color w:val="auto"/>
                <w:szCs w:val="21"/>
                <w:highlight w:val="none"/>
              </w:rPr>
            </w:pPr>
            <w:r>
              <w:rPr>
                <w:rFonts w:hint="eastAsia" w:ascii="宋体" w:hAnsi="宋体" w:cs="宋体"/>
                <w:bCs/>
                <w:color w:val="auto"/>
                <w:szCs w:val="21"/>
                <w:highlight w:val="none"/>
              </w:rPr>
              <w:t>供应商的资格条件</w:t>
            </w:r>
            <w:r>
              <w:rPr>
                <w:rFonts w:hint="eastAsia" w:ascii="宋体" w:hAnsi="宋体" w:cs="宋体"/>
                <w:color w:val="auto"/>
                <w:szCs w:val="21"/>
                <w:highlight w:val="none"/>
              </w:rPr>
              <w:t>：详见竞争性磋商公告</w:t>
            </w:r>
          </w:p>
        </w:tc>
      </w:tr>
      <w:tr w14:paraId="6B4E2B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4CABCE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5.1</w:t>
            </w:r>
          </w:p>
        </w:tc>
        <w:tc>
          <w:tcPr>
            <w:tcW w:w="8627" w:type="dxa"/>
            <w:noWrap w:val="0"/>
            <w:vAlign w:val="center"/>
          </w:tcPr>
          <w:p w14:paraId="339E119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是否接受联合体竞标：详见竞争性磋商公告</w:t>
            </w:r>
          </w:p>
        </w:tc>
      </w:tr>
      <w:tr w14:paraId="1D769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908431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.2</w:t>
            </w:r>
          </w:p>
        </w:tc>
        <w:tc>
          <w:tcPr>
            <w:tcW w:w="8627" w:type="dxa"/>
            <w:noWrap w:val="0"/>
            <w:vAlign w:val="center"/>
          </w:tcPr>
          <w:p w14:paraId="5CEC247D">
            <w:pPr>
              <w:spacing w:line="360" w:lineRule="auto"/>
              <w:rPr>
                <w:rFonts w:hint="eastAsia" w:ascii="宋体" w:hAnsi="宋体" w:eastAsia="宋体"/>
                <w:color w:val="auto"/>
                <w:szCs w:val="21"/>
                <w:highlight w:val="none"/>
                <w:lang w:eastAsia="zh-CN"/>
              </w:rPr>
            </w:pPr>
            <w:r>
              <w:rPr>
                <w:rFonts w:hint="eastAsia" w:ascii="宋体" w:hAnsi="宋体"/>
                <w:color w:val="auto"/>
                <w:szCs w:val="21"/>
                <w:highlight w:val="none"/>
              </w:rPr>
              <w:t>如接受联合体竞标，联合体竞标要求如下：无。</w:t>
            </w:r>
          </w:p>
        </w:tc>
      </w:tr>
      <w:tr w14:paraId="322D2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3E71AB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6.2</w:t>
            </w:r>
          </w:p>
        </w:tc>
        <w:tc>
          <w:tcPr>
            <w:tcW w:w="8627" w:type="dxa"/>
            <w:noWrap w:val="0"/>
            <w:vAlign w:val="center"/>
          </w:tcPr>
          <w:p w14:paraId="517BD6EA">
            <w:pPr>
              <w:pStyle w:val="12"/>
              <w:spacing w:line="360" w:lineRule="auto"/>
              <w:rPr>
                <w:rFonts w:hint="eastAsia" w:ascii="宋体" w:hAnsi="宋体"/>
                <w:color w:val="auto"/>
                <w:szCs w:val="21"/>
                <w:highlight w:val="none"/>
              </w:rPr>
            </w:pPr>
            <w:r>
              <w:rPr>
                <w:rFonts w:hint="eastAsia" w:ascii="宋体" w:hAnsi="宋体" w:cs="宋体"/>
                <w:color w:val="auto"/>
                <w:szCs w:val="21"/>
                <w:highlight w:val="none"/>
              </w:rPr>
              <w:t>☑</w:t>
            </w:r>
            <w:r>
              <w:rPr>
                <w:rFonts w:hint="eastAsia" w:ascii="宋体" w:hAnsi="宋体"/>
                <w:color w:val="auto"/>
                <w:szCs w:val="21"/>
                <w:highlight w:val="none"/>
              </w:rPr>
              <w:t>本项目不允许分包。</w:t>
            </w:r>
          </w:p>
          <w:p w14:paraId="76E4103A">
            <w:pPr>
              <w:pStyle w:val="12"/>
              <w:spacing w:line="360" w:lineRule="auto"/>
              <w:rPr>
                <w:rFonts w:hint="eastAsia" w:ascii="宋体" w:hAnsi="宋体"/>
                <w:color w:val="auto"/>
                <w:szCs w:val="21"/>
                <w:highlight w:val="none"/>
              </w:rPr>
            </w:pPr>
            <w:r>
              <w:rPr>
                <w:rFonts w:hint="eastAsia" w:ascii="宋体" w:hAnsi="宋体"/>
                <w:color w:val="auto"/>
                <w:szCs w:val="21"/>
                <w:highlight w:val="none"/>
              </w:rPr>
              <w:t>本项目允许分包：</w:t>
            </w:r>
          </w:p>
          <w:p w14:paraId="77894406">
            <w:pPr>
              <w:pStyle w:val="12"/>
              <w:spacing w:line="360" w:lineRule="auto"/>
              <w:rPr>
                <w:rFonts w:hint="eastAsia" w:ascii="宋体" w:hAnsi="宋体"/>
                <w:color w:val="auto"/>
                <w:szCs w:val="21"/>
                <w:highlight w:val="none"/>
                <w:u w:val="single"/>
              </w:rPr>
            </w:pPr>
            <w:r>
              <w:rPr>
                <w:rFonts w:hint="eastAsia" w:ascii="宋体" w:hAnsi="宋体"/>
                <w:color w:val="auto"/>
                <w:szCs w:val="21"/>
                <w:highlight w:val="none"/>
              </w:rPr>
              <w:t>分包内容：</w:t>
            </w:r>
            <w:r>
              <w:rPr>
                <w:rFonts w:hint="eastAsia" w:ascii="宋体" w:hAnsi="宋体"/>
                <w:color w:val="auto"/>
                <w:szCs w:val="21"/>
                <w:highlight w:val="none"/>
                <w:u w:val="single"/>
              </w:rPr>
              <w:t xml:space="preserve"> /   。</w:t>
            </w:r>
          </w:p>
          <w:p w14:paraId="63B20F1E">
            <w:pPr>
              <w:pStyle w:val="12"/>
              <w:spacing w:line="360" w:lineRule="auto"/>
              <w:rPr>
                <w:rFonts w:hint="eastAsia" w:ascii="宋体" w:hAnsi="宋体" w:cs="宋体"/>
                <w:color w:val="auto"/>
                <w:szCs w:val="21"/>
                <w:highlight w:val="none"/>
              </w:rPr>
            </w:pPr>
            <w:r>
              <w:rPr>
                <w:rFonts w:hint="eastAsia" w:ascii="宋体" w:hAnsi="宋体"/>
                <w:color w:val="auto"/>
                <w:szCs w:val="21"/>
                <w:highlight w:val="none"/>
              </w:rPr>
              <w:t>分包金额或者比例：</w:t>
            </w:r>
            <w:r>
              <w:rPr>
                <w:rFonts w:hint="eastAsia" w:ascii="宋体" w:hAnsi="宋体"/>
                <w:color w:val="auto"/>
                <w:szCs w:val="21"/>
                <w:highlight w:val="none"/>
                <w:u w:val="single"/>
              </w:rPr>
              <w:t xml:space="preserve">  / 。</w:t>
            </w:r>
          </w:p>
        </w:tc>
      </w:tr>
      <w:tr w14:paraId="48C0D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297414E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w:t>
            </w:r>
            <w:r>
              <w:rPr>
                <w:rFonts w:ascii="宋体" w:hAnsi="宋体" w:cs="宋体"/>
                <w:color w:val="auto"/>
                <w:szCs w:val="21"/>
                <w:highlight w:val="none"/>
              </w:rPr>
              <w:t>1</w:t>
            </w:r>
          </w:p>
        </w:tc>
        <w:tc>
          <w:tcPr>
            <w:tcW w:w="8627" w:type="dxa"/>
            <w:noWrap w:val="0"/>
            <w:vAlign w:val="center"/>
          </w:tcPr>
          <w:p w14:paraId="55FF0DDA">
            <w:pPr>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资格证明文件</w:t>
            </w:r>
          </w:p>
          <w:p w14:paraId="36B17560">
            <w:pPr>
              <w:pStyle w:val="12"/>
              <w:spacing w:line="360" w:lineRule="auto"/>
              <w:rPr>
                <w:rFonts w:hint="eastAsia" w:ascii="宋体" w:hAnsi="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供应商为法人或者其他组织的，</w:t>
            </w:r>
            <w:r>
              <w:rPr>
                <w:rFonts w:hint="eastAsia" w:ascii="宋体" w:hAnsi="宋体"/>
                <w:color w:val="auto"/>
                <w:szCs w:val="21"/>
                <w:highlight w:val="none"/>
              </w:rPr>
              <w:t>证明文件为其营业执照复印件（如营业执照或者事业单位法人证书或者执业许可证等）；供应商为自然人的，证明文件为其身份证复印件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D41D25C">
            <w:pPr>
              <w:pStyle w:val="12"/>
              <w:spacing w:line="360" w:lineRule="auto"/>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供应商依法缴纳税收的相关材料（202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月至</w:t>
            </w:r>
            <w:r>
              <w:rPr>
                <w:rFonts w:hint="eastAsia" w:ascii="宋体" w:hAnsi="宋体" w:cs="宋体"/>
                <w:color w:val="auto"/>
                <w:szCs w:val="21"/>
                <w:highlight w:val="none"/>
                <w:lang w:eastAsia="zh-CN"/>
              </w:rPr>
              <w:t>首次响应文件</w:t>
            </w:r>
            <w:r>
              <w:rPr>
                <w:rFonts w:hint="eastAsia" w:ascii="宋体" w:hAnsi="宋体" w:cs="宋体"/>
                <w:color w:val="auto"/>
                <w:szCs w:val="21"/>
                <w:highlight w:val="none"/>
              </w:rPr>
              <w:t>提交截止时间内任意连续3个月的依法缴纳税收的凭据复印件；</w:t>
            </w:r>
            <w:r>
              <w:rPr>
                <w:rFonts w:hint="eastAsia" w:ascii="宋体" w:hAnsi="宋体"/>
                <w:color w:val="auto"/>
                <w:szCs w:val="21"/>
                <w:highlight w:val="none"/>
              </w:rPr>
              <w:t>依法免税的，必须提供相应文件证明其依法免税。</w:t>
            </w:r>
            <w:r>
              <w:rPr>
                <w:rFonts w:hint="eastAsia" w:ascii="宋体" w:hAnsi="宋体" w:cs="宋体"/>
                <w:color w:val="auto"/>
                <w:szCs w:val="21"/>
                <w:highlight w:val="none"/>
              </w:rPr>
              <w:t>从</w:t>
            </w:r>
            <w:r>
              <w:rPr>
                <w:rFonts w:ascii="宋体" w:hAnsi="宋体"/>
                <w:color w:val="auto"/>
                <w:szCs w:val="21"/>
                <w:highlight w:val="none"/>
              </w:rPr>
              <w:t>成立</w:t>
            </w:r>
            <w:r>
              <w:rPr>
                <w:rFonts w:hint="eastAsia" w:ascii="宋体" w:hAnsi="宋体"/>
                <w:color w:val="auto"/>
                <w:szCs w:val="21"/>
                <w:highlight w:val="none"/>
              </w:rPr>
              <w:t>之日起</w:t>
            </w:r>
            <w:r>
              <w:rPr>
                <w:rFonts w:hint="eastAsia" w:ascii="宋体" w:hAnsi="宋体" w:cs="宋体"/>
                <w:color w:val="auto"/>
                <w:szCs w:val="21"/>
                <w:highlight w:val="none"/>
              </w:rPr>
              <w:t>到</w:t>
            </w:r>
            <w:r>
              <w:rPr>
                <w:rFonts w:hint="eastAsia" w:ascii="宋体" w:hAnsi="宋体" w:cs="宋体"/>
                <w:color w:val="auto"/>
                <w:szCs w:val="21"/>
                <w:highlight w:val="none"/>
                <w:lang w:eastAsia="zh-CN"/>
              </w:rPr>
              <w:t>首次响应文件</w:t>
            </w:r>
            <w:r>
              <w:rPr>
                <w:rFonts w:hint="eastAsia" w:ascii="宋体" w:hAnsi="宋体" w:cs="宋体"/>
                <w:color w:val="auto"/>
                <w:szCs w:val="21"/>
                <w:highlight w:val="none"/>
              </w:rPr>
              <w:t>提交截止时间止不足要求月数的，只需提供从</w:t>
            </w:r>
            <w:r>
              <w:rPr>
                <w:rFonts w:ascii="宋体" w:hAnsi="宋体"/>
                <w:color w:val="auto"/>
                <w:szCs w:val="21"/>
                <w:highlight w:val="none"/>
              </w:rPr>
              <w:t>成立</w:t>
            </w:r>
            <w:r>
              <w:rPr>
                <w:rFonts w:hint="eastAsia" w:ascii="宋体" w:hAnsi="宋体"/>
                <w:color w:val="auto"/>
                <w:szCs w:val="21"/>
                <w:highlight w:val="none"/>
              </w:rPr>
              <w:t>之日起</w:t>
            </w:r>
            <w:r>
              <w:rPr>
                <w:rFonts w:hint="eastAsia" w:ascii="宋体" w:hAnsi="宋体" w:cs="宋体"/>
                <w:color w:val="auto"/>
                <w:szCs w:val="21"/>
                <w:highlight w:val="none"/>
              </w:rPr>
              <w:t>的依法缴纳税收</w:t>
            </w:r>
            <w:r>
              <w:rPr>
                <w:rFonts w:hint="eastAsia" w:ascii="宋体" w:hAnsi="宋体"/>
                <w:color w:val="auto"/>
                <w:szCs w:val="21"/>
                <w:highlight w:val="none"/>
              </w:rPr>
              <w:t>相应证明文件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2B9CCF6">
            <w:pPr>
              <w:pStyle w:val="12"/>
              <w:spacing w:line="360" w:lineRule="auto"/>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供应商依法缴纳社会保障资金的相关材料[202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月至</w:t>
            </w:r>
            <w:r>
              <w:rPr>
                <w:rFonts w:hint="eastAsia" w:ascii="宋体" w:hAnsi="宋体" w:cs="宋体"/>
                <w:color w:val="auto"/>
                <w:szCs w:val="21"/>
                <w:highlight w:val="none"/>
                <w:lang w:eastAsia="zh-CN"/>
              </w:rPr>
              <w:t>首次响应文件</w:t>
            </w:r>
            <w:r>
              <w:rPr>
                <w:rFonts w:hint="eastAsia" w:ascii="宋体" w:hAnsi="宋体" w:cs="宋体"/>
                <w:color w:val="auto"/>
                <w:szCs w:val="21"/>
                <w:highlight w:val="none"/>
              </w:rPr>
              <w:t>提交截止时间内任意连续3个月的依法缴纳社会保障资金的缴费凭证（专用收据或者社会保险缴纳清单）复印件；</w:t>
            </w:r>
            <w:r>
              <w:rPr>
                <w:rFonts w:hint="eastAsia" w:ascii="宋体" w:hAnsi="宋体"/>
                <w:color w:val="auto"/>
                <w:szCs w:val="21"/>
                <w:highlight w:val="none"/>
              </w:rPr>
              <w:t>依法不需要缴纳社会保障资金的，必须提供相应文件证明不需要缴纳社会保障资金。</w:t>
            </w:r>
            <w:r>
              <w:rPr>
                <w:rFonts w:hint="eastAsia" w:ascii="宋体" w:hAnsi="宋体" w:cs="宋体"/>
                <w:color w:val="auto"/>
                <w:szCs w:val="21"/>
                <w:highlight w:val="none"/>
              </w:rPr>
              <w:t>从</w:t>
            </w:r>
            <w:r>
              <w:rPr>
                <w:rFonts w:ascii="宋体" w:hAnsi="宋体"/>
                <w:color w:val="auto"/>
                <w:szCs w:val="21"/>
                <w:highlight w:val="none"/>
              </w:rPr>
              <w:t>成立</w:t>
            </w:r>
            <w:r>
              <w:rPr>
                <w:rFonts w:hint="eastAsia" w:ascii="宋体" w:hAnsi="宋体"/>
                <w:color w:val="auto"/>
                <w:szCs w:val="21"/>
                <w:highlight w:val="none"/>
              </w:rPr>
              <w:t>之日起</w:t>
            </w:r>
            <w:r>
              <w:rPr>
                <w:rFonts w:hint="eastAsia" w:ascii="宋体" w:hAnsi="宋体" w:cs="宋体"/>
                <w:color w:val="auto"/>
                <w:szCs w:val="21"/>
                <w:highlight w:val="none"/>
              </w:rPr>
              <w:t>到</w:t>
            </w:r>
            <w:r>
              <w:rPr>
                <w:rFonts w:hint="eastAsia" w:ascii="宋体" w:hAnsi="宋体" w:cs="宋体"/>
                <w:color w:val="auto"/>
                <w:szCs w:val="21"/>
                <w:highlight w:val="none"/>
                <w:lang w:eastAsia="zh-CN"/>
              </w:rPr>
              <w:t>首次响应文件</w:t>
            </w:r>
            <w:r>
              <w:rPr>
                <w:rFonts w:hint="eastAsia" w:ascii="宋体" w:hAnsi="宋体" w:cs="宋体"/>
                <w:color w:val="auto"/>
                <w:szCs w:val="21"/>
                <w:highlight w:val="none"/>
              </w:rPr>
              <w:t>提交截止时间止不足要求月数的只需提供从</w:t>
            </w:r>
            <w:r>
              <w:rPr>
                <w:rFonts w:ascii="宋体" w:hAnsi="宋体"/>
                <w:color w:val="auto"/>
                <w:szCs w:val="21"/>
                <w:highlight w:val="none"/>
              </w:rPr>
              <w:t>成立</w:t>
            </w:r>
            <w:r>
              <w:rPr>
                <w:rFonts w:hint="eastAsia" w:ascii="宋体" w:hAnsi="宋体"/>
                <w:color w:val="auto"/>
                <w:szCs w:val="21"/>
                <w:highlight w:val="none"/>
              </w:rPr>
              <w:t>之日起</w:t>
            </w:r>
            <w:r>
              <w:rPr>
                <w:rFonts w:hint="eastAsia" w:ascii="宋体" w:hAnsi="宋体" w:cs="宋体"/>
                <w:color w:val="auto"/>
                <w:szCs w:val="21"/>
                <w:highlight w:val="none"/>
              </w:rPr>
              <w:t>的依法缴纳社会保障资金的</w:t>
            </w:r>
            <w:r>
              <w:rPr>
                <w:rFonts w:hint="eastAsia" w:ascii="宋体" w:hAnsi="宋体"/>
                <w:color w:val="auto"/>
                <w:szCs w:val="21"/>
                <w:highlight w:val="none"/>
              </w:rPr>
              <w:t>相应证明文件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BF7EF8E">
            <w:pPr>
              <w:spacing w:line="360" w:lineRule="auto"/>
              <w:contextualSpacing/>
              <w:jc w:val="left"/>
              <w:rPr>
                <w:rFonts w:hint="eastAsia" w:ascii="宋体" w:hAnsi="宋体" w:cs="宋体"/>
                <w:b/>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供应商</w:t>
            </w:r>
            <w:r>
              <w:rPr>
                <w:rFonts w:hint="eastAsia" w:ascii="宋体" w:hAnsi="宋体"/>
                <w:color w:val="auto"/>
                <w:szCs w:val="21"/>
                <w:highlight w:val="none"/>
              </w:rPr>
              <w:t>财务状况报告【202</w:t>
            </w:r>
            <w:r>
              <w:rPr>
                <w:rFonts w:hint="eastAsia" w:ascii="宋体" w:hAnsi="宋体"/>
                <w:color w:val="auto"/>
                <w:szCs w:val="21"/>
                <w:highlight w:val="none"/>
                <w:lang w:val="en-US" w:eastAsia="zh-CN"/>
              </w:rPr>
              <w:t>4</w:t>
            </w:r>
            <w:r>
              <w:rPr>
                <w:rFonts w:hint="eastAsia" w:ascii="宋体" w:hAnsi="宋体"/>
                <w:color w:val="auto"/>
                <w:szCs w:val="21"/>
                <w:highlight w:val="none"/>
              </w:rPr>
              <w:t>年或202</w:t>
            </w:r>
            <w:r>
              <w:rPr>
                <w:rFonts w:hint="eastAsia" w:ascii="宋体" w:hAnsi="宋体"/>
                <w:color w:val="auto"/>
                <w:szCs w:val="21"/>
                <w:highlight w:val="none"/>
                <w:lang w:val="en-US" w:eastAsia="zh-CN"/>
              </w:rPr>
              <w:t>5</w:t>
            </w:r>
            <w:r>
              <w:rPr>
                <w:rFonts w:hint="eastAsia" w:ascii="宋体" w:hAnsi="宋体"/>
                <w:color w:val="auto"/>
                <w:szCs w:val="21"/>
                <w:highlight w:val="none"/>
              </w:rPr>
              <w:t>年度的财务报告（至少包括资产负债表、利润表、现金流量表）复印件，或者银行出具的资信证明，或者中国人民银行征信中心出具的信用报告（企业竞标的提供企业信用报告，自然人竞标的提供个人信用报告，供应商属于成立时间在规定年度之后的法人或其他组织，需提供成立之日起至首次响应文件提交截止时间前的月报表或银行出具的资信证明或者中国人民银行征信中心出具的企业信用报告；资信证明应在有效期内，未注明有效期的，银行出具时间至首次响应文件提交截止时间不超过一年）】</w:t>
            </w:r>
            <w:r>
              <w:rPr>
                <w:rFonts w:hint="eastAsia" w:ascii="宋体" w:hAnsi="宋体" w:cs="宋体"/>
                <w:color w:val="auto"/>
                <w:szCs w:val="21"/>
                <w:highlight w:val="none"/>
              </w:rPr>
              <w:t>；</w:t>
            </w:r>
            <w:r>
              <w:rPr>
                <w:rFonts w:hint="eastAsia" w:ascii="宋体" w:hAnsi="宋体" w:cs="宋体"/>
                <w:bCs/>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bCs/>
                <w:color w:val="auto"/>
                <w:szCs w:val="21"/>
                <w:highlight w:val="none"/>
              </w:rPr>
              <w:t>）</w:t>
            </w:r>
          </w:p>
          <w:p w14:paraId="5EF13011">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供应商直接控股、管理关系信息表（格式后附）；（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5CB0D6E">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竞标声明（格式后附）；（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CC63F8D">
            <w:pPr>
              <w:snapToGrid w:val="0"/>
              <w:spacing w:line="360" w:lineRule="auto"/>
              <w:jc w:val="left"/>
              <w:rPr>
                <w:color w:val="auto"/>
                <w:highlight w:val="none"/>
              </w:rPr>
            </w:pPr>
            <w:r>
              <w:rPr>
                <w:rFonts w:hint="eastAsia" w:ascii="宋体" w:hAnsi="宋体" w:cs="宋体"/>
                <w:color w:val="auto"/>
                <w:szCs w:val="21"/>
                <w:highlight w:val="none"/>
              </w:rPr>
              <w:t>7.中小企业声明函或者残疾人福利性单位声明函或者供应商属于监狱企业的证明材料。</w:t>
            </w:r>
            <w:r>
              <w:rPr>
                <w:rFonts w:hint="eastAsia" w:ascii="宋体" w:hAnsi="宋体" w:cs="宋体"/>
                <w:b/>
                <w:bCs/>
                <w:color w:val="auto"/>
                <w:szCs w:val="21"/>
                <w:highlight w:val="none"/>
              </w:rPr>
              <w:t>（必须提供，否则响应文件按无效响应处理）</w:t>
            </w:r>
          </w:p>
          <w:p w14:paraId="6FD7557B">
            <w:pPr>
              <w:snapToGrid w:val="0"/>
              <w:spacing w:line="360" w:lineRule="auto"/>
              <w:jc w:val="left"/>
              <w:rPr>
                <w:rFonts w:hint="default" w:eastAsia="宋体"/>
                <w:color w:val="auto"/>
                <w:highlight w:val="none"/>
                <w:lang w:val="en-US" w:eastAsia="zh-CN"/>
              </w:rPr>
            </w:pPr>
            <w:r>
              <w:rPr>
                <w:rFonts w:hint="eastAsia"/>
                <w:color w:val="auto"/>
                <w:highlight w:val="none"/>
                <w:lang w:val="en-US" w:eastAsia="zh-CN"/>
              </w:rPr>
              <w:t>8.</w:t>
            </w:r>
            <w:r>
              <w:rPr>
                <w:rFonts w:hint="eastAsia" w:ascii="宋体" w:hAnsi="宋体"/>
                <w:color w:val="auto"/>
                <w:szCs w:val="21"/>
                <w:highlight w:val="none"/>
              </w:rPr>
              <w:t>本项目的特定资格要求</w:t>
            </w:r>
            <w:r>
              <w:rPr>
                <w:rFonts w:hint="eastAsia" w:ascii="宋体" w:hAnsi="宋体"/>
                <w:color w:val="auto"/>
                <w:szCs w:val="21"/>
                <w:highlight w:val="none"/>
                <w:lang w:eastAsia="zh-CN"/>
              </w:rPr>
              <w:t>：</w:t>
            </w:r>
            <w:r>
              <w:rPr>
                <w:rFonts w:hint="eastAsia" w:ascii="宋体" w:hAnsi="宋体"/>
                <w:color w:val="auto"/>
                <w:szCs w:val="21"/>
                <w:highlight w:val="none"/>
              </w:rPr>
              <w:t>具有在有效期内的《食品经营许可证》</w:t>
            </w:r>
            <w:r>
              <w:rPr>
                <w:rFonts w:hint="eastAsia" w:ascii="宋体" w:hAnsi="宋体"/>
                <w:color w:val="auto"/>
                <w:szCs w:val="21"/>
                <w:highlight w:val="none"/>
                <w:lang w:eastAsia="zh-CN"/>
              </w:rPr>
              <w:t>。</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rPr>
              <w:t>必</w:t>
            </w:r>
            <w:r>
              <w:rPr>
                <w:rFonts w:hint="eastAsia" w:ascii="宋体" w:hAnsi="宋体" w:cs="宋体"/>
                <w:b/>
                <w:color w:val="auto"/>
                <w:szCs w:val="21"/>
                <w:highlight w:val="none"/>
              </w:rPr>
              <w:t>须提供，否则响应文件按无效响应处理</w:t>
            </w:r>
            <w:r>
              <w:rPr>
                <w:rFonts w:hint="eastAsia" w:ascii="宋体" w:hAnsi="宋体" w:cs="宋体"/>
                <w:color w:val="auto"/>
                <w:szCs w:val="21"/>
                <w:highlight w:val="none"/>
              </w:rPr>
              <w:t>）</w:t>
            </w:r>
          </w:p>
          <w:p w14:paraId="0D4E7E9F">
            <w:pPr>
              <w:snapToGrid w:val="0"/>
              <w:spacing w:line="360" w:lineRule="auto"/>
              <w:jc w:val="left"/>
              <w:rPr>
                <w:rFonts w:hint="eastAsia" w:ascii="宋体" w:hAnsi="宋体" w:eastAsia="宋体" w:cs="宋体"/>
                <w:b/>
                <w:color w:val="auto"/>
                <w:szCs w:val="21"/>
                <w:highlight w:val="none"/>
                <w:lang w:eastAsia="zh-CN"/>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除磋商文件规定必须提供以外，供应商认为需要提供的其他证明材料</w:t>
            </w:r>
            <w:r>
              <w:rPr>
                <w:rFonts w:hint="eastAsia" w:ascii="宋体" w:hAnsi="宋体" w:cs="宋体"/>
                <w:color w:val="auto"/>
                <w:szCs w:val="21"/>
                <w:highlight w:val="none"/>
                <w:lang w:eastAsia="zh-CN"/>
              </w:rPr>
              <w:t>。</w:t>
            </w:r>
          </w:p>
          <w:p w14:paraId="07D05C19">
            <w:pPr>
              <w:snapToGrid w:val="0"/>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注：</w:t>
            </w:r>
          </w:p>
          <w:p w14:paraId="7A70B737">
            <w:pPr>
              <w:snapToGrid w:val="0"/>
              <w:spacing w:line="360" w:lineRule="auto"/>
              <w:ind w:firstLine="413" w:firstLineChars="196"/>
              <w:jc w:val="left"/>
              <w:rPr>
                <w:rFonts w:hint="eastAsia" w:ascii="宋体" w:hAnsi="宋体" w:cs="宋体"/>
                <w:b/>
                <w:color w:val="auto"/>
                <w:szCs w:val="21"/>
                <w:highlight w:val="none"/>
              </w:rPr>
            </w:pPr>
            <w:r>
              <w:rPr>
                <w:rFonts w:hint="eastAsia" w:ascii="宋体" w:hAnsi="宋体" w:cs="宋体"/>
                <w:b/>
                <w:color w:val="auto"/>
                <w:szCs w:val="21"/>
                <w:highlight w:val="none"/>
              </w:rPr>
              <w:t>1</w:t>
            </w:r>
            <w:r>
              <w:rPr>
                <w:rFonts w:hint="eastAsia" w:ascii="宋体" w:hAnsi="宋体" w:cs="宋体"/>
                <w:b/>
                <w:color w:val="auto"/>
                <w:szCs w:val="21"/>
                <w:highlight w:val="none"/>
                <w:lang w:val="en-US" w:eastAsia="zh-CN"/>
              </w:rPr>
              <w:t>.</w:t>
            </w:r>
            <w:r>
              <w:rPr>
                <w:rFonts w:hint="eastAsia" w:ascii="宋体" w:hAnsi="宋体" w:cs="宋体"/>
                <w:b/>
                <w:color w:val="auto"/>
                <w:szCs w:val="21"/>
                <w:highlight w:val="none"/>
              </w:rPr>
              <w:t>以上标明“必须提供”的材料属于复印件的，必须加盖供应商公章，否则响应文件按无效响应处理。</w:t>
            </w:r>
          </w:p>
          <w:p w14:paraId="2EA3FD41">
            <w:pPr>
              <w:snapToGrid w:val="0"/>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2</w:t>
            </w:r>
            <w:r>
              <w:rPr>
                <w:rFonts w:hint="eastAsia" w:ascii="宋体" w:hAnsi="宋体" w:cs="宋体"/>
                <w:b/>
                <w:color w:val="auto"/>
                <w:szCs w:val="21"/>
                <w:highlight w:val="none"/>
                <w:lang w:val="en-US" w:eastAsia="zh-CN"/>
              </w:rPr>
              <w:t>.</w:t>
            </w:r>
            <w:r>
              <w:rPr>
                <w:rFonts w:hint="eastAsia" w:ascii="宋体" w:hAnsi="宋体" w:cs="宋体"/>
                <w:b/>
                <w:color w:val="auto"/>
                <w:szCs w:val="21"/>
                <w:highlight w:val="none"/>
              </w:rPr>
              <w:t>竞标声明必须由法定代表人在规定签章处签字或者电子签名并加盖供应商公章，否则响应文件按无效响应处理。</w:t>
            </w:r>
          </w:p>
          <w:p w14:paraId="3EBB5FEF">
            <w:pPr>
              <w:snapToGrid w:val="0"/>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3</w:t>
            </w:r>
            <w:r>
              <w:rPr>
                <w:rFonts w:hint="eastAsia" w:ascii="宋体" w:hAnsi="宋体" w:cs="宋体"/>
                <w:b/>
                <w:color w:val="auto"/>
                <w:szCs w:val="21"/>
                <w:highlight w:val="none"/>
                <w:lang w:val="en-US" w:eastAsia="zh-CN"/>
              </w:rPr>
              <w:t>.</w:t>
            </w:r>
            <w:r>
              <w:rPr>
                <w:rFonts w:hint="eastAsia" w:ascii="宋体" w:hAnsi="宋体" w:cs="宋体"/>
                <w:b/>
                <w:color w:val="auto"/>
                <w:szCs w:val="21"/>
                <w:highlight w:val="none"/>
              </w:rPr>
              <w:t>供应商直接控股、管理关系信息表必须由法定代表人或者委托代理人在规定签章处签字或者电子签名并加盖供应商公章，否则响应文件按无效响应处理。</w:t>
            </w:r>
          </w:p>
          <w:p w14:paraId="500B2E27">
            <w:pPr>
              <w:pStyle w:val="12"/>
              <w:spacing w:line="360" w:lineRule="auto"/>
              <w:ind w:firstLine="422" w:firstLineChars="200"/>
              <w:rPr>
                <w:rFonts w:hint="eastAsia" w:ascii="宋体" w:hAnsi="宋体" w:cs="宋体"/>
                <w:b/>
                <w:color w:val="auto"/>
                <w:szCs w:val="21"/>
                <w:highlight w:val="none"/>
              </w:rPr>
            </w:pPr>
            <w:r>
              <w:rPr>
                <w:rFonts w:hint="eastAsia" w:ascii="宋体" w:hAnsi="宋体"/>
                <w:b/>
                <w:bCs/>
                <w:color w:val="auto"/>
                <w:szCs w:val="21"/>
                <w:highlight w:val="none"/>
                <w:lang w:val="en-US" w:eastAsia="zh-CN"/>
              </w:rPr>
              <w:t>4.</w:t>
            </w:r>
            <w:r>
              <w:rPr>
                <w:rFonts w:hint="eastAsia" w:ascii="宋体" w:hAnsi="宋体"/>
                <w:b/>
                <w:bCs/>
                <w:color w:val="auto"/>
                <w:szCs w:val="21"/>
                <w:highlight w:val="none"/>
              </w:rPr>
              <w:t>分公司参加竞标的，应当取得总公司授权</w:t>
            </w:r>
            <w:r>
              <w:rPr>
                <w:rFonts w:hint="eastAsia" w:ascii="宋体" w:hAnsi="宋体" w:cs="宋体"/>
                <w:b/>
                <w:color w:val="auto"/>
                <w:szCs w:val="21"/>
                <w:highlight w:val="none"/>
              </w:rPr>
              <w:t>，否则响应文件按无效响应处理。</w:t>
            </w:r>
          </w:p>
        </w:tc>
      </w:tr>
      <w:tr w14:paraId="377AE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278350B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1</w:t>
            </w:r>
            <w:r>
              <w:rPr>
                <w:rFonts w:hint="eastAsia" w:ascii="宋体" w:hAnsi="宋体" w:cs="宋体"/>
                <w:color w:val="auto"/>
                <w:szCs w:val="21"/>
                <w:highlight w:val="none"/>
              </w:rPr>
              <w:t>.2</w:t>
            </w:r>
          </w:p>
        </w:tc>
        <w:tc>
          <w:tcPr>
            <w:tcW w:w="8627" w:type="dxa"/>
            <w:noWrap w:val="0"/>
            <w:vAlign w:val="center"/>
          </w:tcPr>
          <w:p w14:paraId="76591300">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商务文件</w:t>
            </w:r>
          </w:p>
          <w:p w14:paraId="7054FC2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无串通竞标行为的承诺函（格式后附）；（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1CC737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法定代表人身份证明及法定代表人有效身份证正反面复印件（格式后附）；</w:t>
            </w:r>
            <w:r>
              <w:rPr>
                <w:rFonts w:hint="eastAsia" w:ascii="宋体" w:hAnsi="宋体" w:cs="宋体"/>
                <w:b/>
                <w:color w:val="auto"/>
                <w:szCs w:val="21"/>
                <w:highlight w:val="none"/>
              </w:rPr>
              <w:t>（除自然人竞标外必须提供，否则响应文件按无效响应处理）</w:t>
            </w:r>
          </w:p>
          <w:p w14:paraId="1058D80A">
            <w:pPr>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授权委托书及委托代理人有效身份证正反面复印件（格式后附）；（</w:t>
            </w:r>
            <w:r>
              <w:rPr>
                <w:rFonts w:hint="eastAsia" w:ascii="宋体" w:hAnsi="宋体" w:cs="宋体"/>
                <w:b/>
                <w:color w:val="auto"/>
                <w:szCs w:val="21"/>
                <w:highlight w:val="none"/>
              </w:rPr>
              <w:t>委托时必须提供，否则响应文件按无效响应处理</w:t>
            </w:r>
            <w:r>
              <w:rPr>
                <w:rFonts w:hint="eastAsia" w:ascii="宋体" w:hAnsi="宋体" w:cs="宋体"/>
                <w:color w:val="auto"/>
                <w:szCs w:val="21"/>
                <w:highlight w:val="none"/>
              </w:rPr>
              <w:t>）</w:t>
            </w:r>
          </w:p>
          <w:p w14:paraId="14E4E5D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磋商保证金提交凭证；（</w:t>
            </w:r>
            <w:r>
              <w:rPr>
                <w:rFonts w:hint="eastAsia" w:ascii="宋体" w:hAnsi="宋体"/>
                <w:b/>
                <w:bCs/>
                <w:color w:val="auto"/>
                <w:szCs w:val="21"/>
                <w:highlight w:val="none"/>
              </w:rPr>
              <w:t>如要求提交磋商保证金的则必须提供</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4876309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商务要求偏离表（格式后附）；（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301E8F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项目实施人员一览表（格式自拟）；</w:t>
            </w:r>
          </w:p>
          <w:p w14:paraId="2F1B2A8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对应采购需求的商务要求提供的其他文件资料（格式自拟）；</w:t>
            </w:r>
          </w:p>
          <w:p w14:paraId="74FE7A2E">
            <w:pPr>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8</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供应商认为需要提供的其他有关资料。</w:t>
            </w:r>
          </w:p>
          <w:p w14:paraId="10AC8E2B">
            <w:pPr>
              <w:spacing w:line="360" w:lineRule="auto"/>
              <w:rPr>
                <w:rFonts w:hint="eastAsia" w:ascii="宋体" w:hAnsi="宋体" w:cs="宋体"/>
                <w:b/>
                <w:bCs/>
                <w:color w:val="auto"/>
                <w:szCs w:val="21"/>
                <w:highlight w:val="none"/>
              </w:rPr>
            </w:pPr>
            <w:r>
              <w:rPr>
                <w:rFonts w:hint="eastAsia" w:ascii="宋体" w:hAnsi="宋体" w:cs="宋体"/>
                <w:b/>
                <w:color w:val="auto"/>
                <w:szCs w:val="21"/>
                <w:highlight w:val="none"/>
              </w:rPr>
              <w:t>注：以上标明“必须提供”的材料属于复印件的，必须加盖供应商公章，否则响应文件按无效响应处理。</w:t>
            </w:r>
          </w:p>
        </w:tc>
      </w:tr>
      <w:tr w14:paraId="789A47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A067BD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1</w:t>
            </w:r>
            <w:r>
              <w:rPr>
                <w:rFonts w:hint="eastAsia" w:ascii="宋体" w:hAnsi="宋体" w:cs="宋体"/>
                <w:color w:val="auto"/>
                <w:szCs w:val="21"/>
                <w:highlight w:val="none"/>
              </w:rPr>
              <w:t>.3</w:t>
            </w:r>
          </w:p>
        </w:tc>
        <w:tc>
          <w:tcPr>
            <w:tcW w:w="8627" w:type="dxa"/>
            <w:noWrap w:val="0"/>
            <w:vAlign w:val="center"/>
          </w:tcPr>
          <w:p w14:paraId="7FA49B6D">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技术文件</w:t>
            </w:r>
          </w:p>
          <w:p w14:paraId="13B4363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要求偏离表（格式后附）；（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0B69F0D">
            <w:pPr>
              <w:spacing w:line="360" w:lineRule="auto"/>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项目方案（格式自拟）；</w:t>
            </w:r>
          </w:p>
          <w:p w14:paraId="206C1F3D">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对应采购需求的</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要求提供的其他文件资料（格式自拟）；</w:t>
            </w:r>
          </w:p>
          <w:p w14:paraId="23FFA6F1">
            <w:pPr>
              <w:spacing w:line="360" w:lineRule="auto"/>
              <w:rPr>
                <w:rFonts w:hint="eastAsia" w:ascii="宋体" w:hAnsi="宋体" w:cs="宋体"/>
                <w:b/>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供应商认为需要提供的其他有关资料。</w:t>
            </w:r>
          </w:p>
          <w:p w14:paraId="7E350DDF">
            <w:pPr>
              <w:spacing w:line="360" w:lineRule="auto"/>
              <w:rPr>
                <w:rFonts w:hint="eastAsia" w:ascii="宋体" w:hAnsi="宋体" w:cs="宋体"/>
                <w:b/>
                <w:bCs/>
                <w:color w:val="auto"/>
                <w:szCs w:val="21"/>
                <w:highlight w:val="none"/>
              </w:rPr>
            </w:pPr>
            <w:r>
              <w:rPr>
                <w:rFonts w:hint="eastAsia" w:ascii="宋体" w:hAnsi="宋体" w:cs="宋体"/>
                <w:b/>
                <w:color w:val="auto"/>
                <w:szCs w:val="21"/>
                <w:highlight w:val="none"/>
              </w:rPr>
              <w:t>注：以上标明“必须提供”的材料属于复印件的，必须加盖供应商公章，否则响应文件按无效响应处理。</w:t>
            </w:r>
          </w:p>
        </w:tc>
      </w:tr>
      <w:tr w14:paraId="58D7DF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314D90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1</w:t>
            </w:r>
            <w:r>
              <w:rPr>
                <w:rFonts w:hint="eastAsia" w:ascii="宋体" w:hAnsi="宋体" w:cs="宋体"/>
                <w:color w:val="auto"/>
                <w:szCs w:val="21"/>
                <w:highlight w:val="none"/>
              </w:rPr>
              <w:t>.4</w:t>
            </w:r>
          </w:p>
        </w:tc>
        <w:tc>
          <w:tcPr>
            <w:tcW w:w="8627" w:type="dxa"/>
            <w:noWrap w:val="0"/>
            <w:vAlign w:val="center"/>
          </w:tcPr>
          <w:p w14:paraId="4E042CFB">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报价文件</w:t>
            </w:r>
          </w:p>
          <w:p w14:paraId="4D1BAE78">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.响应函</w:t>
            </w:r>
            <w:r>
              <w:rPr>
                <w:rFonts w:hint="eastAsia" w:ascii="宋体" w:hAnsi="宋体" w:cs="宋体"/>
                <w:color w:val="auto"/>
                <w:szCs w:val="21"/>
                <w:highlight w:val="none"/>
              </w:rPr>
              <w:t>（格式后附）；</w:t>
            </w:r>
            <w:r>
              <w:rPr>
                <w:rFonts w:hint="eastAsia" w:ascii="宋体" w:hAnsi="宋体" w:cs="宋体"/>
                <w:b/>
                <w:color w:val="auto"/>
                <w:szCs w:val="21"/>
                <w:highlight w:val="none"/>
              </w:rPr>
              <w:t>（必须提供，否则响应文件按无效响应处理）</w:t>
            </w:r>
          </w:p>
          <w:p w14:paraId="765FBE9B">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竞标报价表（格式后附）；</w:t>
            </w:r>
            <w:r>
              <w:rPr>
                <w:rFonts w:hint="eastAsia" w:ascii="宋体" w:hAnsi="宋体" w:cs="宋体"/>
                <w:b/>
                <w:color w:val="auto"/>
                <w:szCs w:val="21"/>
                <w:highlight w:val="none"/>
              </w:rPr>
              <w:t>（必须提供，否则响应文件按无效响应处理）</w:t>
            </w:r>
          </w:p>
          <w:p w14:paraId="338B87B2">
            <w:pPr>
              <w:spacing w:line="360" w:lineRule="auto"/>
              <w:rPr>
                <w:rFonts w:hint="eastAsia" w:ascii="宋体" w:hAnsi="宋体" w:cs="宋体"/>
                <w:b/>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供应商认为需要提供的其他有关资料。</w:t>
            </w:r>
          </w:p>
          <w:p w14:paraId="04FCA457">
            <w:pPr>
              <w:snapToGrid w:val="0"/>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注：以上标明“必须提供”的材料属于复印件的，必须加盖供应商公章，否则响应文件按无效响应处理。</w:t>
            </w:r>
          </w:p>
        </w:tc>
      </w:tr>
      <w:tr w14:paraId="30EB2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AD811F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15.2</w:t>
            </w:r>
          </w:p>
        </w:tc>
        <w:tc>
          <w:tcPr>
            <w:tcW w:w="8627" w:type="dxa"/>
            <w:noWrap w:val="0"/>
            <w:vAlign w:val="center"/>
          </w:tcPr>
          <w:p w14:paraId="0C1BD7CA">
            <w:pPr>
              <w:snapToGrid w:val="0"/>
              <w:spacing w:line="360" w:lineRule="auto"/>
              <w:jc w:val="left"/>
              <w:rPr>
                <w:rFonts w:hint="eastAsia" w:ascii="宋体" w:hAnsi="宋体" w:cs="宋体"/>
                <w:color w:val="auto"/>
                <w:szCs w:val="21"/>
                <w:highlight w:val="none"/>
              </w:rPr>
            </w:pPr>
            <w:r>
              <w:rPr>
                <w:rFonts w:hint="eastAsia" w:ascii="宋体" w:hAnsi="宋体"/>
                <w:color w:val="auto"/>
                <w:szCs w:val="21"/>
                <w:highlight w:val="none"/>
              </w:rPr>
              <w:t>竞标报价是履行合同的最终价格，</w:t>
            </w:r>
            <w:r>
              <w:rPr>
                <w:rFonts w:hint="eastAsia" w:ascii="宋体" w:hAnsi="宋体" w:cs="宋体"/>
                <w:color w:val="auto"/>
                <w:szCs w:val="21"/>
                <w:highlight w:val="none"/>
              </w:rPr>
              <w:t>即满足全部采购需求所应提供的服务的价格；报价包括但不限于</w:t>
            </w:r>
            <w:r>
              <w:rPr>
                <w:rFonts w:hint="eastAsia" w:ascii="宋体" w:hAnsi="宋体" w:cs="宋体"/>
                <w:color w:val="auto"/>
                <w:szCs w:val="21"/>
                <w:highlight w:val="none"/>
                <w:lang w:eastAsia="zh-CN"/>
              </w:rPr>
              <w:t>：</w:t>
            </w:r>
            <w:r>
              <w:rPr>
                <w:rFonts w:hint="eastAsia" w:ascii="Arial" w:hAnsi="Arial" w:eastAsia="宋体" w:cs="Arial"/>
                <w:color w:val="auto"/>
                <w:szCs w:val="21"/>
                <w:highlight w:val="none"/>
                <w:lang w:val="en-US" w:eastAsia="zh-CN"/>
              </w:rPr>
              <w:t>本项目采用总价包干，包含人员工资、社保、保险、劳保用品、培训、管理、利润、税金等一切费用。</w:t>
            </w:r>
          </w:p>
        </w:tc>
      </w:tr>
      <w:tr w14:paraId="5167A3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284BB4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16.</w:t>
            </w:r>
            <w:r>
              <w:rPr>
                <w:rFonts w:ascii="宋体" w:hAnsi="宋体" w:cs="宋体"/>
                <w:color w:val="auto"/>
                <w:szCs w:val="21"/>
                <w:highlight w:val="none"/>
              </w:rPr>
              <w:t>2</w:t>
            </w:r>
          </w:p>
        </w:tc>
        <w:tc>
          <w:tcPr>
            <w:tcW w:w="8627" w:type="dxa"/>
            <w:noWrap w:val="0"/>
            <w:vAlign w:val="center"/>
          </w:tcPr>
          <w:p w14:paraId="189D784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竞标有效期：首次响应文件提交截止之日起60天内。</w:t>
            </w:r>
          </w:p>
        </w:tc>
      </w:tr>
      <w:tr w14:paraId="295CC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D5C993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17.1</w:t>
            </w:r>
          </w:p>
        </w:tc>
        <w:tc>
          <w:tcPr>
            <w:tcW w:w="8627" w:type="dxa"/>
            <w:noWrap w:val="0"/>
            <w:vAlign w:val="center"/>
          </w:tcPr>
          <w:p w14:paraId="7C40A584">
            <w:pPr>
              <w:spacing w:line="360" w:lineRule="auto"/>
              <w:rPr>
                <w:rFonts w:hint="eastAsia" w:ascii="宋体" w:hAnsi="宋体" w:cs="宋体"/>
                <w:color w:val="auto"/>
                <w:kern w:val="0"/>
                <w:szCs w:val="21"/>
                <w:highlight w:val="none"/>
              </w:rPr>
            </w:pPr>
            <w:r>
              <w:rPr>
                <w:rFonts w:hint="eastAsia" w:ascii="宋体" w:hAnsi="宋体"/>
                <w:color w:val="auto"/>
                <w:szCs w:val="21"/>
                <w:highlight w:val="none"/>
              </w:rPr>
              <w:t>本项目收取磋商保证金，具体规定如下：</w:t>
            </w:r>
            <w:r>
              <w:rPr>
                <w:rFonts w:hint="eastAsia" w:ascii="宋体" w:hAnsi="宋体" w:cs="宋体"/>
                <w:b/>
                <w:bCs/>
                <w:color w:val="auto"/>
                <w:kern w:val="0"/>
                <w:szCs w:val="21"/>
                <w:highlight w:val="none"/>
              </w:rPr>
              <w:t>磋商保证金人民币</w:t>
            </w:r>
            <w:r>
              <w:rPr>
                <w:rFonts w:hint="eastAsia" w:ascii="宋体" w:hAnsi="宋体" w:cs="宋体"/>
                <w:b/>
                <w:bCs/>
                <w:color w:val="auto"/>
                <w:kern w:val="0"/>
                <w:szCs w:val="21"/>
                <w:highlight w:val="none"/>
                <w:u w:val="single"/>
                <w:lang w:eastAsia="zh-CN"/>
              </w:rPr>
              <w:t>5000.00</w:t>
            </w:r>
            <w:r>
              <w:rPr>
                <w:rFonts w:hint="eastAsia" w:ascii="宋体" w:hAnsi="宋体" w:cs="宋体"/>
                <w:b/>
                <w:bCs/>
                <w:color w:val="auto"/>
                <w:kern w:val="0"/>
                <w:szCs w:val="21"/>
                <w:highlight w:val="none"/>
                <w:u w:val="single"/>
              </w:rPr>
              <w:t>元</w:t>
            </w:r>
            <w:r>
              <w:rPr>
                <w:rFonts w:hint="eastAsia" w:ascii="宋体" w:hAnsi="宋体" w:cs="宋体"/>
                <w:color w:val="auto"/>
                <w:kern w:val="0"/>
                <w:szCs w:val="21"/>
                <w:highlight w:val="none"/>
              </w:rPr>
              <w:t>。</w:t>
            </w:r>
          </w:p>
          <w:p w14:paraId="0E9A1129">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磋商保证金的交纳方式：银行转账、支票、汇票、本票或者金融、担保金融、担保机构出具的保函，禁止采用现钞方式。采用银行转账方式的，在</w:t>
            </w:r>
            <w:r>
              <w:rPr>
                <w:rFonts w:hint="eastAsia" w:ascii="宋体" w:hAnsi="宋体" w:cs="宋体"/>
                <w:color w:val="auto"/>
                <w:kern w:val="0"/>
                <w:szCs w:val="21"/>
                <w:highlight w:val="none"/>
                <w:lang w:eastAsia="zh-CN"/>
              </w:rPr>
              <w:t>首次响应文件</w:t>
            </w:r>
            <w:r>
              <w:rPr>
                <w:rFonts w:hint="eastAsia" w:ascii="宋体" w:hAnsi="宋体" w:cs="宋体"/>
                <w:color w:val="auto"/>
                <w:kern w:val="0"/>
                <w:szCs w:val="21"/>
                <w:highlight w:val="none"/>
              </w:rPr>
              <w:t>提交截止时间前交至指定账户并且到账（</w:t>
            </w:r>
            <w:r>
              <w:rPr>
                <w:rFonts w:hint="eastAsia" w:ascii="宋体" w:hAnsi="宋体" w:cs="宋体"/>
                <w:color w:val="auto"/>
                <w:szCs w:val="21"/>
                <w:highlight w:val="none"/>
              </w:rPr>
              <w:t>开户名称：广西中信恒泰工程顾问有限公司，开户银行：建行南宁市金湖广场支行，银行账号：45001604266052502851</w:t>
            </w:r>
            <w:r>
              <w:rPr>
                <w:rFonts w:hint="eastAsia" w:ascii="宋体" w:hAnsi="宋体" w:cs="宋体"/>
                <w:color w:val="auto"/>
                <w:kern w:val="0"/>
                <w:szCs w:val="21"/>
                <w:highlight w:val="none"/>
              </w:rPr>
              <w:t>）；采用支票、汇票、本票或者保函等方式的，在</w:t>
            </w:r>
            <w:r>
              <w:rPr>
                <w:rFonts w:hint="eastAsia" w:ascii="宋体" w:hAnsi="宋体" w:cs="宋体"/>
                <w:color w:val="auto"/>
                <w:kern w:val="0"/>
                <w:szCs w:val="21"/>
                <w:highlight w:val="none"/>
                <w:lang w:eastAsia="zh-CN"/>
              </w:rPr>
              <w:t>首次响应文件</w:t>
            </w:r>
            <w:r>
              <w:rPr>
                <w:rFonts w:hint="eastAsia" w:ascii="宋体" w:hAnsi="宋体" w:cs="宋体"/>
                <w:color w:val="auto"/>
                <w:kern w:val="0"/>
                <w:szCs w:val="21"/>
                <w:highlight w:val="none"/>
              </w:rPr>
              <w:t>提交截止时间前，供应商必须提交支票、汇票、本票或者保函原件。否则视为无效磋商保证金。</w:t>
            </w:r>
          </w:p>
          <w:p w14:paraId="001D3F1B">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相关要求：</w:t>
            </w:r>
          </w:p>
          <w:p w14:paraId="23CAE452">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磋商保证金采用银行转账交纳方式的，在</w:t>
            </w:r>
            <w:r>
              <w:rPr>
                <w:rFonts w:hint="eastAsia" w:ascii="宋体" w:hAnsi="宋体" w:cs="宋体"/>
                <w:color w:val="auto"/>
                <w:szCs w:val="21"/>
                <w:highlight w:val="none"/>
                <w:lang w:eastAsia="zh-CN"/>
              </w:rPr>
              <w:t>首次响应文件</w:t>
            </w:r>
            <w:r>
              <w:rPr>
                <w:rFonts w:hint="eastAsia" w:ascii="宋体" w:hAnsi="宋体" w:cs="宋体"/>
                <w:color w:val="auto"/>
                <w:szCs w:val="21"/>
                <w:highlight w:val="none"/>
              </w:rPr>
              <w:t>提交截止时间前交至指定账户并且到账，供应商应将银行转账底单的复印件作为磋商保证金提交凭证，放置于报价商务技术文件中，</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29644CC6">
            <w:pPr>
              <w:snapToGrid w:val="0"/>
              <w:spacing w:line="360" w:lineRule="auto"/>
              <w:rPr>
                <w:rFonts w:hint="eastAsia" w:ascii="宋体" w:hAnsi="宋体"/>
                <w:b/>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w:t>
            </w:r>
            <w:r>
              <w:rPr>
                <w:rFonts w:hint="eastAsia" w:ascii="宋体" w:hAnsi="宋体"/>
                <w:color w:val="auto"/>
                <w:szCs w:val="21"/>
                <w:highlight w:val="none"/>
              </w:rPr>
              <w:t>磋商保证金采用支票、汇票、本票或者金融、担保机构出具的保函交纳方式的，供应商应将支票、汇票、本票或者金融、担保机构出具的保函的复印件作为磋商保证金提交凭证，放置于</w:t>
            </w:r>
            <w:r>
              <w:rPr>
                <w:rFonts w:hint="eastAsia" w:ascii="宋体" w:hAnsi="宋体" w:cs="宋体"/>
                <w:color w:val="auto"/>
                <w:szCs w:val="21"/>
                <w:highlight w:val="none"/>
              </w:rPr>
              <w:t>报价商务技术文件</w:t>
            </w:r>
            <w:r>
              <w:rPr>
                <w:rFonts w:hint="eastAsia" w:ascii="宋体" w:hAnsi="宋体"/>
                <w:color w:val="auto"/>
                <w:szCs w:val="21"/>
                <w:highlight w:val="none"/>
              </w:rPr>
              <w:t>中，</w:t>
            </w:r>
            <w:r>
              <w:rPr>
                <w:rFonts w:hint="eastAsia" w:ascii="宋体" w:hAnsi="宋体" w:cs="宋体"/>
                <w:b/>
                <w:color w:val="auto"/>
                <w:szCs w:val="21"/>
                <w:highlight w:val="none"/>
              </w:rPr>
              <w:t>否则响应文件按无效响应处理</w:t>
            </w:r>
            <w:r>
              <w:rPr>
                <w:rFonts w:hint="eastAsia" w:ascii="宋体" w:hAnsi="宋体"/>
                <w:color w:val="auto"/>
                <w:szCs w:val="21"/>
                <w:highlight w:val="none"/>
              </w:rPr>
              <w:t>。</w:t>
            </w:r>
            <w:r>
              <w:rPr>
                <w:rFonts w:hint="eastAsia" w:ascii="宋体" w:hAnsi="宋体"/>
                <w:b/>
                <w:color w:val="auto"/>
                <w:szCs w:val="21"/>
                <w:highlight w:val="none"/>
              </w:rPr>
              <w:t>供应商必须在首次响应文件提交截止时间前将支票、汇票、本票或者金融、担保机构出具的保函原件提交给采购代理机构，由采购代理机构向供应商出具回执，并妥善保管。</w:t>
            </w:r>
          </w:p>
          <w:p w14:paraId="695BC78E">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备注：</w:t>
            </w:r>
          </w:p>
          <w:p w14:paraId="0938BB26">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1</w:t>
            </w:r>
            <w:r>
              <w:rPr>
                <w:rFonts w:hint="eastAsia" w:ascii="宋体" w:hAnsi="宋体" w:cs="宋体"/>
                <w:b/>
                <w:color w:val="auto"/>
                <w:szCs w:val="21"/>
                <w:highlight w:val="none"/>
                <w:lang w:val="en-US" w:eastAsia="zh-CN"/>
              </w:rPr>
              <w:t>.</w:t>
            </w:r>
            <w:r>
              <w:rPr>
                <w:rFonts w:hint="eastAsia" w:ascii="宋体" w:hAnsi="宋体" w:cs="宋体"/>
                <w:b/>
                <w:color w:val="auto"/>
                <w:szCs w:val="21"/>
                <w:highlight w:val="none"/>
              </w:rPr>
              <w:t>磋商保证金在响应文件提交截止时间后提交的，或者不按规定交纳方式交纳的，或者未足额交纳的（包含保函额度不足的），视为无效磋商保证金。</w:t>
            </w:r>
          </w:p>
          <w:p w14:paraId="6DED1CFF">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2</w:t>
            </w:r>
            <w:r>
              <w:rPr>
                <w:rFonts w:hint="eastAsia" w:ascii="宋体" w:hAnsi="宋体" w:cs="宋体"/>
                <w:b/>
                <w:color w:val="auto"/>
                <w:szCs w:val="21"/>
                <w:highlight w:val="none"/>
                <w:lang w:val="en-US" w:eastAsia="zh-CN"/>
              </w:rPr>
              <w:t>.</w:t>
            </w:r>
            <w:r>
              <w:rPr>
                <w:rFonts w:hint="eastAsia" w:ascii="宋体" w:hAnsi="宋体" w:cs="宋体"/>
                <w:b/>
                <w:color w:val="auto"/>
                <w:szCs w:val="21"/>
                <w:highlight w:val="none"/>
              </w:rPr>
              <w:t>供应商采用现钞方式或者从个人账户（自然人竞标除外）转出的磋商保证金，视为无效磋商保证金。</w:t>
            </w:r>
          </w:p>
          <w:p w14:paraId="26D413BC">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3</w:t>
            </w:r>
            <w:r>
              <w:rPr>
                <w:rFonts w:hint="eastAsia" w:ascii="宋体" w:hAnsi="宋体" w:cs="宋体"/>
                <w:b/>
                <w:color w:val="auto"/>
                <w:szCs w:val="21"/>
                <w:highlight w:val="none"/>
                <w:lang w:val="en-US" w:eastAsia="zh-CN"/>
              </w:rPr>
              <w:t>.</w:t>
            </w:r>
            <w:r>
              <w:rPr>
                <w:rFonts w:hint="eastAsia" w:ascii="宋体" w:hAnsi="宋体" w:cs="宋体"/>
                <w:b/>
                <w:color w:val="auto"/>
                <w:szCs w:val="21"/>
                <w:highlight w:val="none"/>
              </w:rPr>
              <w:t>支票、汇票或者本票出现无效或者背书情形的，视为无效磋商保证金。</w:t>
            </w:r>
          </w:p>
          <w:p w14:paraId="7A19357E">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4</w:t>
            </w:r>
            <w:r>
              <w:rPr>
                <w:rFonts w:hint="eastAsia" w:ascii="宋体" w:hAnsi="宋体" w:cs="宋体"/>
                <w:b/>
                <w:color w:val="auto"/>
                <w:szCs w:val="21"/>
                <w:highlight w:val="none"/>
                <w:lang w:val="en-US" w:eastAsia="zh-CN"/>
              </w:rPr>
              <w:t>.</w:t>
            </w:r>
            <w:r>
              <w:rPr>
                <w:rFonts w:hint="eastAsia" w:ascii="宋体" w:hAnsi="宋体" w:cs="宋体"/>
                <w:b/>
                <w:color w:val="auto"/>
                <w:szCs w:val="21"/>
                <w:highlight w:val="none"/>
              </w:rPr>
              <w:t>保函有效期低于竞标有效期的，视为无效磋商保证金。</w:t>
            </w:r>
          </w:p>
          <w:p w14:paraId="70B571E9">
            <w:pPr>
              <w:snapToGrid w:val="0"/>
              <w:spacing w:line="360" w:lineRule="auto"/>
              <w:rPr>
                <w:rFonts w:hint="eastAsia" w:ascii="宋体" w:hAnsi="宋体" w:cs="宋体"/>
                <w:color w:val="auto"/>
                <w:szCs w:val="21"/>
                <w:highlight w:val="none"/>
              </w:rPr>
            </w:pPr>
            <w:r>
              <w:rPr>
                <w:rFonts w:hint="eastAsia" w:ascii="宋体" w:hAnsi="宋体" w:cs="宋体"/>
                <w:b/>
                <w:color w:val="auto"/>
                <w:szCs w:val="21"/>
                <w:highlight w:val="none"/>
              </w:rPr>
              <w:t>5</w:t>
            </w:r>
            <w:r>
              <w:rPr>
                <w:rFonts w:hint="eastAsia" w:ascii="宋体" w:hAnsi="宋体" w:cs="宋体"/>
                <w:b/>
                <w:color w:val="auto"/>
                <w:szCs w:val="21"/>
                <w:highlight w:val="none"/>
                <w:lang w:val="en-US" w:eastAsia="zh-CN"/>
              </w:rPr>
              <w:t>.</w:t>
            </w:r>
            <w:r>
              <w:rPr>
                <w:rFonts w:hint="eastAsia" w:ascii="宋体" w:hAnsi="宋体" w:cs="宋体"/>
                <w:b/>
                <w:color w:val="auto"/>
                <w:szCs w:val="21"/>
                <w:highlight w:val="none"/>
              </w:rPr>
              <w:t>采用金融、担保机构出具保函的，必须为无条件保函，否则视为无效磋商保证金。</w:t>
            </w:r>
          </w:p>
        </w:tc>
      </w:tr>
      <w:tr w14:paraId="2FDE2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992" w:type="dxa"/>
            <w:noWrap w:val="0"/>
            <w:vAlign w:val="center"/>
          </w:tcPr>
          <w:p w14:paraId="4759483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18.2</w:t>
            </w:r>
          </w:p>
        </w:tc>
        <w:tc>
          <w:tcPr>
            <w:tcW w:w="8627" w:type="dxa"/>
            <w:noWrap w:val="0"/>
            <w:vAlign w:val="center"/>
          </w:tcPr>
          <w:p w14:paraId="2552C8E0">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eastAsia="zh-CN"/>
              </w:rPr>
              <w:t>首次响应文件</w:t>
            </w:r>
            <w:r>
              <w:rPr>
                <w:rFonts w:hint="eastAsia" w:ascii="宋体" w:hAnsi="宋体" w:cs="宋体"/>
                <w:color w:val="auto"/>
                <w:szCs w:val="21"/>
                <w:highlight w:val="none"/>
              </w:rPr>
              <w:t>应按资格证明文件、报价</w:t>
            </w:r>
            <w:r>
              <w:rPr>
                <w:rFonts w:hint="eastAsia" w:ascii="宋体" w:hAnsi="宋体" w:cs="宋体"/>
                <w:color w:val="auto"/>
                <w:szCs w:val="21"/>
                <w:highlight w:val="none"/>
                <w:lang w:eastAsia="zh-CN"/>
              </w:rPr>
              <w:t>文件</w:t>
            </w:r>
            <w:r>
              <w:rPr>
                <w:rFonts w:hint="eastAsia" w:ascii="宋体" w:hAnsi="宋体" w:cs="宋体"/>
                <w:color w:val="auto"/>
                <w:szCs w:val="21"/>
                <w:highlight w:val="none"/>
              </w:rPr>
              <w:t>分别编制</w:t>
            </w:r>
            <w:r>
              <w:rPr>
                <w:rFonts w:hint="eastAsia" w:ascii="宋体" w:hAnsi="宋体" w:cs="宋体"/>
                <w:color w:val="auto"/>
                <w:szCs w:val="21"/>
                <w:highlight w:val="none"/>
                <w:lang w:eastAsia="zh-CN"/>
              </w:rPr>
              <w:t>，</w:t>
            </w:r>
            <w:r>
              <w:rPr>
                <w:rFonts w:hint="eastAsia" w:ascii="宋体" w:hAnsi="宋体" w:cs="宋体"/>
                <w:color w:val="auto"/>
                <w:szCs w:val="21"/>
                <w:highlight w:val="none"/>
              </w:rPr>
              <w:t>商务</w:t>
            </w:r>
            <w:r>
              <w:rPr>
                <w:rFonts w:hint="eastAsia" w:ascii="宋体" w:hAnsi="宋体" w:cs="宋体"/>
                <w:color w:val="auto"/>
                <w:szCs w:val="21"/>
                <w:highlight w:val="none"/>
                <w:lang w:eastAsia="zh-CN"/>
              </w:rPr>
              <w:t>文件、</w:t>
            </w:r>
            <w:r>
              <w:rPr>
                <w:rFonts w:hint="eastAsia" w:ascii="宋体" w:hAnsi="宋体" w:cs="宋体"/>
                <w:color w:val="auto"/>
                <w:szCs w:val="21"/>
                <w:highlight w:val="none"/>
              </w:rPr>
              <w:t>技术文件</w:t>
            </w:r>
            <w:r>
              <w:rPr>
                <w:rFonts w:hint="eastAsia" w:ascii="宋体" w:hAnsi="宋体" w:cs="宋体"/>
                <w:color w:val="auto"/>
                <w:szCs w:val="21"/>
                <w:highlight w:val="none"/>
                <w:lang w:val="en-US" w:eastAsia="zh-CN"/>
              </w:rPr>
              <w:t>合并</w:t>
            </w:r>
            <w:r>
              <w:rPr>
                <w:rFonts w:hint="eastAsia" w:ascii="宋体" w:hAnsi="宋体" w:cs="宋体"/>
                <w:color w:val="auto"/>
                <w:szCs w:val="21"/>
                <w:highlight w:val="none"/>
              </w:rPr>
              <w:t>编制，</w:t>
            </w:r>
            <w:r>
              <w:rPr>
                <w:rFonts w:hint="eastAsia" w:ascii="宋体" w:hAnsi="宋体" w:cs="宋体"/>
                <w:color w:val="auto"/>
                <w:szCs w:val="21"/>
                <w:highlight w:val="none"/>
                <w:lang w:bidi="ar"/>
              </w:rPr>
              <w:t>并按广西政府采购云平台的要求编制、加密、上传。</w:t>
            </w:r>
          </w:p>
        </w:tc>
      </w:tr>
      <w:tr w14:paraId="71D75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E8FE4C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20.1</w:t>
            </w:r>
          </w:p>
        </w:tc>
        <w:tc>
          <w:tcPr>
            <w:tcW w:w="8627" w:type="dxa"/>
            <w:noWrap w:val="0"/>
            <w:vAlign w:val="center"/>
          </w:tcPr>
          <w:p w14:paraId="602D2313">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首次响应文件提交截止时间：详见竞争性磋商公告。</w:t>
            </w:r>
          </w:p>
          <w:p w14:paraId="6AC919DB">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首次响应文件提交地点：详见竞争性磋商公告。</w:t>
            </w:r>
          </w:p>
        </w:tc>
      </w:tr>
      <w:tr w14:paraId="48B62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46890D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24.1</w:t>
            </w:r>
          </w:p>
        </w:tc>
        <w:tc>
          <w:tcPr>
            <w:tcW w:w="8627" w:type="dxa"/>
            <w:noWrap w:val="0"/>
            <w:vAlign w:val="center"/>
          </w:tcPr>
          <w:p w14:paraId="5F4DE9BB">
            <w:pPr>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磋商小组的人数：3人。</w:t>
            </w:r>
          </w:p>
        </w:tc>
      </w:tr>
      <w:tr w14:paraId="56C99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AD15BB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25.2</w:t>
            </w:r>
          </w:p>
        </w:tc>
        <w:tc>
          <w:tcPr>
            <w:tcW w:w="8627" w:type="dxa"/>
            <w:noWrap w:val="0"/>
            <w:vAlign w:val="center"/>
          </w:tcPr>
          <w:p w14:paraId="343D3D5F">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采购代理机构将依托电子交易平台发起开始解密指令，</w:t>
            </w:r>
            <w:r>
              <w:rPr>
                <w:rFonts w:hint="eastAsia" w:ascii="宋体" w:hAnsi="宋体" w:cs="宋体"/>
                <w:b/>
                <w:color w:val="auto"/>
                <w:szCs w:val="21"/>
                <w:highlight w:val="none"/>
              </w:rPr>
              <w:t>供应商的法定代表人或其委托代理人须携带加密时所用的CA锁按平台提示和采购文件的规定登录到广西政府采购云平台电子开标大厅签到并在发起解密指令之时起30分钟内完成对电子响应文件在线解密。</w:t>
            </w:r>
            <w:r>
              <w:rPr>
                <w:rFonts w:hint="eastAsia" w:ascii="宋体" w:hAnsi="宋体"/>
                <w:b/>
                <w:bCs/>
                <w:color w:val="auto"/>
                <w:szCs w:val="21"/>
                <w:highlight w:val="none"/>
              </w:rPr>
              <w:t>响应文件未按时解密的，</w:t>
            </w:r>
            <w:r>
              <w:rPr>
                <w:rFonts w:hint="eastAsia" w:ascii="宋体" w:hAnsi="宋体" w:cs="宋体"/>
                <w:b/>
                <w:color w:val="auto"/>
                <w:szCs w:val="21"/>
                <w:highlight w:val="none"/>
              </w:rPr>
              <w:t>视为响应</w:t>
            </w:r>
            <w:r>
              <w:rPr>
                <w:rFonts w:hint="eastAsia" w:ascii="宋体" w:hAnsi="宋体"/>
                <w:b/>
                <w:bCs/>
                <w:color w:val="auto"/>
                <w:szCs w:val="21"/>
                <w:highlight w:val="none"/>
              </w:rPr>
              <w:t>文件无效。</w:t>
            </w:r>
          </w:p>
        </w:tc>
      </w:tr>
      <w:tr w14:paraId="65C59A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8" w:hRule="atLeast"/>
          <w:jc w:val="center"/>
        </w:trPr>
        <w:tc>
          <w:tcPr>
            <w:tcW w:w="992" w:type="dxa"/>
            <w:vMerge w:val="restart"/>
            <w:noWrap w:val="0"/>
            <w:vAlign w:val="center"/>
          </w:tcPr>
          <w:p w14:paraId="0182E16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w:t>
            </w:r>
          </w:p>
        </w:tc>
        <w:tc>
          <w:tcPr>
            <w:tcW w:w="8627" w:type="dxa"/>
            <w:noWrap w:val="0"/>
            <w:vAlign w:val="center"/>
          </w:tcPr>
          <w:p w14:paraId="010A729B">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商务</w:t>
            </w:r>
            <w:r>
              <w:rPr>
                <w:rFonts w:hint="eastAsia" w:ascii="宋体" w:hAnsi="宋体" w:cs="宋体"/>
                <w:color w:val="auto"/>
                <w:szCs w:val="21"/>
                <w:highlight w:val="none"/>
                <w:lang w:val="en-US" w:eastAsia="zh-CN"/>
              </w:rPr>
              <w:t>条款</w:t>
            </w:r>
            <w:r>
              <w:rPr>
                <w:rFonts w:hint="eastAsia" w:ascii="宋体" w:hAnsi="宋体" w:cs="宋体"/>
                <w:color w:val="auto"/>
                <w:szCs w:val="21"/>
                <w:highlight w:val="none"/>
              </w:rPr>
              <w:t>要求评审中允许负偏离的条款数为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w:t>
            </w:r>
          </w:p>
          <w:p w14:paraId="1884F4C4">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要求评审中允许负偏离的条款数为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w:t>
            </w:r>
          </w:p>
        </w:tc>
      </w:tr>
      <w:tr w14:paraId="6EBB6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5" w:hRule="atLeast"/>
          <w:jc w:val="center"/>
        </w:trPr>
        <w:tc>
          <w:tcPr>
            <w:tcW w:w="992" w:type="dxa"/>
            <w:vMerge w:val="continue"/>
            <w:noWrap w:val="0"/>
            <w:vAlign w:val="center"/>
          </w:tcPr>
          <w:p w14:paraId="7AAB817A">
            <w:pPr>
              <w:spacing w:line="360" w:lineRule="auto"/>
              <w:jc w:val="center"/>
              <w:rPr>
                <w:rFonts w:hint="eastAsia" w:ascii="宋体" w:hAnsi="宋体" w:cs="宋体"/>
                <w:color w:val="auto"/>
                <w:szCs w:val="21"/>
                <w:highlight w:val="none"/>
              </w:rPr>
            </w:pPr>
          </w:p>
        </w:tc>
        <w:tc>
          <w:tcPr>
            <w:tcW w:w="8627" w:type="dxa"/>
            <w:noWrap w:val="0"/>
            <w:vAlign w:val="center"/>
          </w:tcPr>
          <w:p w14:paraId="6145621E">
            <w:pPr>
              <w:pStyle w:val="12"/>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磋商的顺序：按“广西政府采购云平台”系统</w:t>
            </w:r>
            <w:r>
              <w:rPr>
                <w:rFonts w:hint="eastAsia" w:ascii="宋体" w:hAnsi="宋体" w:cs="宋体"/>
                <w:color w:val="auto"/>
                <w:szCs w:val="21"/>
                <w:highlight w:val="none"/>
                <w:lang w:val="en-US" w:eastAsia="zh-CN"/>
              </w:rPr>
              <w:t>自动提取</w:t>
            </w:r>
            <w:r>
              <w:rPr>
                <w:rFonts w:hint="eastAsia" w:ascii="宋体" w:hAnsi="宋体" w:cs="宋体"/>
                <w:color w:val="auto"/>
                <w:szCs w:val="21"/>
                <w:highlight w:val="none"/>
              </w:rPr>
              <w:t>顺序。</w:t>
            </w:r>
          </w:p>
          <w:p w14:paraId="0CE15C45">
            <w:pPr>
              <w:pStyle w:val="12"/>
              <w:spacing w:line="360" w:lineRule="auto"/>
              <w:jc w:val="both"/>
              <w:rPr>
                <w:rFonts w:hint="eastAsia" w:ascii="宋体" w:hAnsi="宋体" w:cs="宋体"/>
                <w:b/>
                <w:color w:val="auto"/>
                <w:szCs w:val="21"/>
                <w:highlight w:val="none"/>
              </w:rPr>
            </w:pPr>
            <w:r>
              <w:rPr>
                <w:rFonts w:hint="eastAsia" w:ascii="宋体" w:hAnsi="宋体" w:cs="宋体"/>
                <w:b/>
                <w:color w:val="auto"/>
                <w:szCs w:val="21"/>
                <w:highlight w:val="none"/>
              </w:rPr>
              <w:t>符合磋商资格的供应商必须在接到磋商通知后规定时间内参加磋商，未在规定时间内参加磋商的视同放弃参加磋商权利，其响应文件按无效响应处理。</w:t>
            </w:r>
          </w:p>
        </w:tc>
      </w:tr>
      <w:tr w14:paraId="2CB37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B85A3E2">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28.1</w:t>
            </w:r>
          </w:p>
        </w:tc>
        <w:tc>
          <w:tcPr>
            <w:tcW w:w="8627" w:type="dxa"/>
            <w:noWrap w:val="0"/>
            <w:vAlign w:val="center"/>
          </w:tcPr>
          <w:p w14:paraId="21812490">
            <w:pPr>
              <w:autoSpaceDE w:val="0"/>
              <w:autoSpaceDN w:val="0"/>
              <w:snapToGrid w:val="0"/>
              <w:spacing w:line="44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本项目收取履约保证金。</w:t>
            </w:r>
          </w:p>
          <w:p w14:paraId="6B3D36E7">
            <w:pPr>
              <w:numPr>
                <w:ilvl w:val="-1"/>
                <w:numId w:val="0"/>
              </w:numPr>
              <w:autoSpaceDE w:val="0"/>
              <w:autoSpaceDN w:val="0"/>
              <w:snapToGrid w:val="0"/>
              <w:spacing w:line="440" w:lineRule="exact"/>
              <w:textAlignment w:val="bottom"/>
              <w:rPr>
                <w:rFonts w:hint="eastAsia" w:ascii="宋体" w:hAnsi="宋体" w:cs="宋体"/>
                <w:iCs/>
                <w:color w:val="auto"/>
                <w:szCs w:val="21"/>
                <w:highlight w:val="none"/>
              </w:rPr>
            </w:pPr>
            <w:r>
              <w:rPr>
                <w:rFonts w:hint="eastAsia" w:ascii="宋体" w:hAnsi="宋体" w:cs="宋体"/>
                <w:iCs/>
                <w:color w:val="auto"/>
                <w:szCs w:val="21"/>
                <w:highlight w:val="none"/>
                <w:lang w:eastAsia="zh-CN"/>
              </w:rPr>
              <w:t>（</w:t>
            </w:r>
            <w:r>
              <w:rPr>
                <w:rFonts w:hint="eastAsia" w:ascii="宋体" w:hAnsi="宋体" w:cs="宋体"/>
                <w:iCs/>
                <w:color w:val="auto"/>
                <w:szCs w:val="21"/>
                <w:highlight w:val="none"/>
                <w:lang w:val="en-US" w:eastAsia="zh-CN"/>
              </w:rPr>
              <w:t>1</w:t>
            </w:r>
            <w:r>
              <w:rPr>
                <w:rFonts w:hint="eastAsia" w:ascii="宋体" w:hAnsi="宋体" w:cs="宋体"/>
                <w:iCs/>
                <w:color w:val="auto"/>
                <w:szCs w:val="21"/>
                <w:highlight w:val="none"/>
                <w:lang w:eastAsia="zh-CN"/>
              </w:rPr>
              <w:t>）</w:t>
            </w:r>
            <w:r>
              <w:rPr>
                <w:rFonts w:hint="eastAsia" w:ascii="宋体" w:hAnsi="宋体" w:cs="宋体"/>
                <w:iCs/>
                <w:color w:val="auto"/>
                <w:szCs w:val="21"/>
                <w:highlight w:val="none"/>
              </w:rPr>
              <w:t xml:space="preserve">履约保证金金额：按成交金额的 </w:t>
            </w:r>
            <w:r>
              <w:rPr>
                <w:rFonts w:hint="eastAsia" w:ascii="宋体" w:hAnsi="宋体" w:cs="宋体"/>
                <w:iCs/>
                <w:color w:val="auto"/>
                <w:szCs w:val="21"/>
                <w:highlight w:val="none"/>
                <w:lang w:val="en-US" w:eastAsia="zh-CN"/>
              </w:rPr>
              <w:t>2</w:t>
            </w:r>
            <w:r>
              <w:rPr>
                <w:rFonts w:hint="eastAsia" w:ascii="宋体" w:hAnsi="宋体" w:cs="宋体"/>
                <w:iCs/>
                <w:color w:val="auto"/>
                <w:szCs w:val="21"/>
                <w:highlight w:val="none"/>
              </w:rPr>
              <w:t xml:space="preserve"> %</w:t>
            </w:r>
            <w:r>
              <w:rPr>
                <w:rFonts w:hint="eastAsia" w:ascii="宋体" w:hAnsi="宋体" w:cs="宋体"/>
                <w:iCs/>
                <w:color w:val="auto"/>
                <w:szCs w:val="21"/>
                <w:highlight w:val="none"/>
                <w:lang w:val="en-US" w:eastAsia="zh-CN"/>
              </w:rPr>
              <w:t xml:space="preserve"> </w:t>
            </w:r>
            <w:r>
              <w:rPr>
                <w:rFonts w:hint="eastAsia" w:ascii="宋体" w:hAnsi="宋体" w:cs="宋体"/>
                <w:iCs/>
                <w:color w:val="auto"/>
                <w:szCs w:val="21"/>
                <w:highlight w:val="none"/>
              </w:rPr>
              <w:t>向采购人支付履约保证金，在合同签订前提交至指定账户或保函原件交至采购人处保管。</w:t>
            </w:r>
          </w:p>
          <w:p w14:paraId="6A937EB1">
            <w:pPr>
              <w:autoSpaceDE w:val="0"/>
              <w:autoSpaceDN w:val="0"/>
              <w:snapToGrid w:val="0"/>
              <w:spacing w:line="440" w:lineRule="exact"/>
              <w:textAlignment w:val="bottom"/>
              <w:rPr>
                <w:rFonts w:hint="eastAsia" w:ascii="宋体" w:hAnsi="宋体" w:cs="宋体"/>
                <w:iCs/>
                <w:color w:val="auto"/>
                <w:szCs w:val="21"/>
                <w:highlight w:val="none"/>
              </w:rPr>
            </w:pPr>
            <w:r>
              <w:rPr>
                <w:rFonts w:hint="eastAsia" w:ascii="宋体" w:hAnsi="宋体" w:cs="宋体"/>
                <w:iCs/>
                <w:color w:val="auto"/>
                <w:szCs w:val="21"/>
                <w:highlight w:val="none"/>
              </w:rPr>
              <w:t>（2）递交方式：以银行转账、支票、汇票、本票或者金融机构、担保机构出具的保函等非现金形式提交。</w:t>
            </w:r>
          </w:p>
          <w:p w14:paraId="33AB95B7">
            <w:pPr>
              <w:autoSpaceDE w:val="0"/>
              <w:autoSpaceDN w:val="0"/>
              <w:snapToGrid w:val="0"/>
              <w:spacing w:line="440" w:lineRule="exact"/>
              <w:textAlignment w:val="bottom"/>
              <w:rPr>
                <w:rFonts w:hint="eastAsia" w:ascii="宋体" w:hAnsi="宋体" w:cs="宋体"/>
                <w:iCs/>
                <w:color w:val="auto"/>
                <w:szCs w:val="21"/>
                <w:highlight w:val="none"/>
              </w:rPr>
            </w:pPr>
            <w:r>
              <w:rPr>
                <w:rFonts w:hint="eastAsia" w:ascii="宋体" w:hAnsi="宋体" w:cs="宋体"/>
                <w:iCs/>
                <w:color w:val="auto"/>
                <w:szCs w:val="21"/>
                <w:highlight w:val="none"/>
              </w:rPr>
              <w:t>（3）履约保证金退付方式、时间及条件：本项目服务期满，</w:t>
            </w:r>
            <w:r>
              <w:rPr>
                <w:rFonts w:hint="eastAsia" w:ascii="宋体" w:hAnsi="宋体" w:cs="宋体"/>
                <w:iCs/>
                <w:color w:val="auto"/>
                <w:szCs w:val="21"/>
                <w:highlight w:val="none"/>
                <w:lang w:eastAsia="zh-CN"/>
              </w:rPr>
              <w:t>成交供应商</w:t>
            </w:r>
            <w:r>
              <w:rPr>
                <w:rFonts w:hint="eastAsia" w:ascii="宋体" w:hAnsi="宋体" w:cs="宋体"/>
                <w:iCs/>
                <w:color w:val="auto"/>
                <w:szCs w:val="21"/>
                <w:highlight w:val="none"/>
              </w:rPr>
              <w:t>履行完服务义务且无违约情况下无息退付。由</w:t>
            </w:r>
            <w:r>
              <w:rPr>
                <w:rFonts w:hint="eastAsia" w:ascii="宋体" w:hAnsi="宋体" w:cs="宋体"/>
                <w:iCs/>
                <w:color w:val="auto"/>
                <w:szCs w:val="21"/>
                <w:highlight w:val="none"/>
                <w:lang w:eastAsia="zh-CN"/>
              </w:rPr>
              <w:t>成交供应商</w:t>
            </w:r>
            <w:r>
              <w:rPr>
                <w:rFonts w:hint="eastAsia" w:ascii="宋体" w:hAnsi="宋体" w:cs="宋体"/>
                <w:iCs/>
                <w:color w:val="auto"/>
                <w:szCs w:val="21"/>
                <w:highlight w:val="none"/>
              </w:rPr>
              <w:t>向履约保证金收取单位提供《广西壮族自治区政府采购项目合同验收书》（详见桂财采〔2015〕22号），保证金收取单位在收到合格材料后5个工作日内办理退还手续。</w:t>
            </w:r>
          </w:p>
          <w:p w14:paraId="50780334">
            <w:pPr>
              <w:autoSpaceDE w:val="0"/>
              <w:autoSpaceDN w:val="0"/>
              <w:snapToGrid w:val="0"/>
              <w:spacing w:line="440" w:lineRule="exact"/>
              <w:textAlignment w:val="bottom"/>
              <w:rPr>
                <w:rFonts w:hint="eastAsia" w:ascii="宋体" w:hAnsi="宋体" w:cs="宋体"/>
                <w:iCs/>
                <w:color w:val="auto"/>
                <w:szCs w:val="21"/>
                <w:highlight w:val="none"/>
              </w:rPr>
            </w:pPr>
            <w:r>
              <w:rPr>
                <w:rFonts w:hint="eastAsia" w:ascii="宋体" w:hAnsi="宋体" w:cs="宋体"/>
                <w:iCs/>
                <w:color w:val="auto"/>
                <w:szCs w:val="21"/>
                <w:highlight w:val="none"/>
              </w:rPr>
              <w:t>履约保证金指定账户：</w:t>
            </w:r>
          </w:p>
          <w:p w14:paraId="2D8A4DC6">
            <w:pPr>
              <w:autoSpaceDE w:val="0"/>
              <w:autoSpaceDN w:val="0"/>
              <w:snapToGrid w:val="0"/>
              <w:spacing w:line="440" w:lineRule="exact"/>
              <w:textAlignment w:val="bottom"/>
              <w:rPr>
                <w:rFonts w:hint="eastAsia" w:ascii="宋体" w:hAnsi="宋体" w:eastAsia="宋体" w:cs="宋体"/>
                <w:iCs/>
                <w:color w:val="auto"/>
                <w:szCs w:val="21"/>
                <w:highlight w:val="none"/>
              </w:rPr>
            </w:pPr>
            <w:r>
              <w:rPr>
                <w:rFonts w:hint="eastAsia" w:ascii="宋体" w:hAnsi="宋体" w:cs="宋体"/>
                <w:iCs/>
                <w:color w:val="auto"/>
                <w:szCs w:val="21"/>
                <w:highlight w:val="none"/>
              </w:rPr>
              <w:t>开户名称</w:t>
            </w:r>
            <w:r>
              <w:rPr>
                <w:rFonts w:hint="eastAsia" w:ascii="宋体" w:hAnsi="宋体" w:eastAsia="宋体" w:cs="宋体"/>
                <w:iCs/>
                <w:color w:val="auto"/>
                <w:szCs w:val="21"/>
                <w:highlight w:val="none"/>
              </w:rPr>
              <w:t>：</w:t>
            </w:r>
            <w:r>
              <w:rPr>
                <w:rFonts w:hint="eastAsia" w:ascii="宋体" w:hAnsi="宋体" w:eastAsia="宋体" w:cs="宋体"/>
                <w:iCs/>
                <w:color w:val="auto"/>
                <w:szCs w:val="21"/>
                <w:highlight w:val="none"/>
                <w:lang w:eastAsia="zh-CN"/>
              </w:rPr>
              <w:t>广西壮族自治区卫生健康委员会幼儿园</w:t>
            </w:r>
            <w:r>
              <w:rPr>
                <w:rFonts w:hint="eastAsia" w:ascii="宋体" w:hAnsi="宋体" w:eastAsia="宋体" w:cs="宋体"/>
                <w:iCs/>
                <w:color w:val="auto"/>
                <w:szCs w:val="21"/>
                <w:highlight w:val="none"/>
              </w:rPr>
              <w:t xml:space="preserve">  </w:t>
            </w:r>
          </w:p>
          <w:p w14:paraId="7ED7C731">
            <w:pPr>
              <w:autoSpaceDE w:val="0"/>
              <w:autoSpaceDN w:val="0"/>
              <w:snapToGrid w:val="0"/>
              <w:spacing w:line="440" w:lineRule="exact"/>
              <w:textAlignment w:val="bottom"/>
              <w:rPr>
                <w:rFonts w:hint="eastAsia" w:ascii="宋体" w:hAnsi="宋体" w:eastAsia="宋体" w:cs="宋体"/>
                <w:iCs/>
                <w:color w:val="auto"/>
                <w:szCs w:val="21"/>
                <w:highlight w:val="none"/>
              </w:rPr>
            </w:pPr>
            <w:r>
              <w:rPr>
                <w:rFonts w:hint="eastAsia" w:ascii="宋体" w:hAnsi="宋体" w:eastAsia="宋体" w:cs="宋体"/>
                <w:iCs/>
                <w:color w:val="auto"/>
                <w:szCs w:val="21"/>
                <w:highlight w:val="none"/>
              </w:rPr>
              <w:t>开户银行</w:t>
            </w:r>
            <w:r>
              <w:rPr>
                <w:rFonts w:hint="eastAsia" w:ascii="宋体" w:hAnsi="宋体" w:eastAsia="宋体" w:cs="宋体"/>
                <w:iCs/>
                <w:color w:val="auto"/>
                <w:szCs w:val="21"/>
                <w:highlight w:val="none"/>
                <w:lang w:eastAsia="zh-CN"/>
              </w:rPr>
              <w:t>：</w:t>
            </w:r>
            <w:r>
              <w:rPr>
                <w:rFonts w:hint="eastAsia" w:ascii="宋体" w:hAnsi="宋体" w:eastAsia="宋体" w:cs="宋体"/>
                <w:iCs/>
                <w:color w:val="auto"/>
                <w:szCs w:val="21"/>
                <w:highlight w:val="none"/>
                <w:lang w:val="en-US" w:eastAsia="zh-CN"/>
              </w:rPr>
              <w:t>建行南宁市桃园支行</w:t>
            </w:r>
          </w:p>
          <w:p w14:paraId="272EDC8F">
            <w:pPr>
              <w:autoSpaceDE w:val="0"/>
              <w:autoSpaceDN w:val="0"/>
              <w:snapToGrid w:val="0"/>
              <w:spacing w:line="440" w:lineRule="exact"/>
              <w:textAlignment w:val="bottom"/>
              <w:rPr>
                <w:rFonts w:hint="eastAsia" w:ascii="宋体" w:hAnsi="宋体" w:eastAsia="宋体" w:cs="宋体"/>
                <w:iCs/>
                <w:color w:val="auto"/>
                <w:szCs w:val="21"/>
                <w:highlight w:val="none"/>
              </w:rPr>
            </w:pPr>
            <w:r>
              <w:rPr>
                <w:rFonts w:hint="eastAsia" w:ascii="宋体" w:hAnsi="宋体" w:eastAsia="宋体" w:cs="宋体"/>
                <w:iCs/>
                <w:color w:val="auto"/>
                <w:szCs w:val="21"/>
                <w:highlight w:val="none"/>
              </w:rPr>
              <w:t>银行账号：</w:t>
            </w:r>
            <w:r>
              <w:rPr>
                <w:rFonts w:hint="eastAsia" w:ascii="宋体" w:hAnsi="宋体" w:eastAsia="宋体" w:cs="宋体"/>
                <w:iCs/>
                <w:color w:val="auto"/>
                <w:szCs w:val="21"/>
                <w:highlight w:val="none"/>
                <w:lang w:val="en-US" w:eastAsia="zh-CN"/>
              </w:rPr>
              <w:t>45001604554050501031</w:t>
            </w:r>
            <w:r>
              <w:rPr>
                <w:rFonts w:hint="eastAsia" w:ascii="宋体" w:hAnsi="宋体" w:eastAsia="宋体" w:cs="宋体"/>
                <w:iCs/>
                <w:color w:val="auto"/>
                <w:szCs w:val="21"/>
                <w:highlight w:val="none"/>
              </w:rPr>
              <w:t xml:space="preserve">  </w:t>
            </w:r>
          </w:p>
          <w:p w14:paraId="1E7BACAC">
            <w:pPr>
              <w:autoSpaceDE w:val="0"/>
              <w:autoSpaceDN w:val="0"/>
              <w:snapToGrid w:val="0"/>
              <w:spacing w:line="440" w:lineRule="exact"/>
              <w:textAlignment w:val="bottom"/>
              <w:rPr>
                <w:rFonts w:hint="eastAsia" w:ascii="宋体" w:hAnsi="宋体" w:cs="宋体"/>
                <w:b/>
                <w:iCs/>
                <w:color w:val="auto"/>
                <w:szCs w:val="21"/>
                <w:highlight w:val="none"/>
              </w:rPr>
            </w:pPr>
            <w:r>
              <w:rPr>
                <w:rFonts w:hint="eastAsia" w:ascii="宋体" w:hAnsi="宋体" w:cs="宋体"/>
                <w:b/>
                <w:iCs/>
                <w:color w:val="auto"/>
                <w:szCs w:val="21"/>
                <w:highlight w:val="none"/>
              </w:rPr>
              <w:t>备注：</w:t>
            </w:r>
          </w:p>
          <w:p w14:paraId="7CEE3557">
            <w:pPr>
              <w:autoSpaceDE w:val="0"/>
              <w:autoSpaceDN w:val="0"/>
              <w:snapToGrid w:val="0"/>
              <w:spacing w:line="440" w:lineRule="exact"/>
              <w:textAlignment w:val="bottom"/>
              <w:rPr>
                <w:rFonts w:hint="eastAsia" w:ascii="宋体" w:hAnsi="宋体" w:cs="宋体"/>
                <w:b/>
                <w:iCs/>
                <w:color w:val="auto"/>
                <w:szCs w:val="21"/>
                <w:highlight w:val="none"/>
              </w:rPr>
            </w:pPr>
            <w:r>
              <w:rPr>
                <w:rFonts w:hint="eastAsia" w:ascii="宋体" w:hAnsi="宋体" w:cs="宋体"/>
                <w:b/>
                <w:iCs/>
                <w:color w:val="auto"/>
                <w:szCs w:val="21"/>
                <w:highlight w:val="none"/>
              </w:rPr>
              <w:t>1.根据《广西壮族自治区财政厅关于贯彻落实政府采购优化营商环境百日攻坚行动方案的通知》（桂财采〔2020〕49号）规定、</w:t>
            </w:r>
            <w:r>
              <w:rPr>
                <w:rFonts w:hint="eastAsia" w:ascii="宋体" w:hAnsi="宋体" w:cs="宋体"/>
                <w:b/>
                <w:iCs/>
                <w:color w:val="auto"/>
                <w:szCs w:val="21"/>
                <w:highlight w:val="none"/>
                <w:lang w:eastAsia="zh-CN"/>
              </w:rPr>
              <w:t>《</w:t>
            </w:r>
            <w:r>
              <w:rPr>
                <w:rFonts w:hint="eastAsia" w:ascii="宋体" w:hAnsi="宋体" w:cs="宋体"/>
                <w:b/>
                <w:iCs/>
                <w:color w:val="auto"/>
                <w:szCs w:val="21"/>
                <w:highlight w:val="none"/>
              </w:rPr>
              <w:t>广西壮族自治区财政厅关于规范政府采购货物和服务项目保证金管理的通知</w:t>
            </w:r>
            <w:r>
              <w:rPr>
                <w:rFonts w:hint="eastAsia" w:ascii="宋体" w:hAnsi="宋体" w:cs="宋体"/>
                <w:b/>
                <w:iCs/>
                <w:color w:val="auto"/>
                <w:szCs w:val="21"/>
                <w:highlight w:val="none"/>
                <w:lang w:eastAsia="zh-CN"/>
              </w:rPr>
              <w:t>》</w:t>
            </w:r>
            <w:r>
              <w:rPr>
                <w:rFonts w:hint="eastAsia" w:ascii="宋体" w:hAnsi="宋体" w:cs="宋体"/>
                <w:b/>
                <w:iCs/>
                <w:color w:val="auto"/>
                <w:szCs w:val="21"/>
                <w:highlight w:val="none"/>
              </w:rPr>
              <w:t>（桂财规〔2022〕8号 ）和《广西壮族自治区财政厅关于持续优化政府采购营商环境推动高质量发展的通知》（桂财采〔2024〕55 号），采购文件要求中标或者</w:t>
            </w:r>
            <w:r>
              <w:rPr>
                <w:rFonts w:hint="eastAsia" w:ascii="宋体" w:hAnsi="宋体" w:cs="宋体"/>
                <w:b/>
                <w:iCs/>
                <w:color w:val="auto"/>
                <w:szCs w:val="21"/>
                <w:highlight w:val="none"/>
                <w:lang w:eastAsia="zh-CN"/>
              </w:rPr>
              <w:t>成交供应商</w:t>
            </w:r>
            <w:r>
              <w:rPr>
                <w:rFonts w:hint="eastAsia" w:ascii="宋体" w:hAnsi="宋体" w:cs="宋体"/>
                <w:b/>
                <w:iCs/>
                <w:color w:val="auto"/>
                <w:szCs w:val="21"/>
                <w:highlight w:val="none"/>
              </w:rPr>
              <w:t>提交履约保证金的，履约保证金数额不得超过政府采购合同金额的5%，对中小企业收取的履约保证金数额不得超过政府采购合同金额的2%。采购人可根据供应商的资信等情况减免履约保证金。</w:t>
            </w:r>
          </w:p>
          <w:p w14:paraId="02CCDE93">
            <w:pPr>
              <w:autoSpaceDE w:val="0"/>
              <w:autoSpaceDN w:val="0"/>
              <w:snapToGrid w:val="0"/>
              <w:spacing w:line="440" w:lineRule="exact"/>
              <w:textAlignment w:val="bottom"/>
              <w:rPr>
                <w:rFonts w:hint="eastAsia" w:ascii="宋体" w:hAnsi="宋体" w:cs="宋体"/>
                <w:b/>
                <w:iCs/>
                <w:color w:val="auto"/>
                <w:szCs w:val="21"/>
                <w:highlight w:val="none"/>
              </w:rPr>
            </w:pPr>
            <w:r>
              <w:rPr>
                <w:rFonts w:hint="eastAsia" w:ascii="宋体" w:hAnsi="宋体" w:cs="宋体"/>
                <w:b/>
                <w:iCs/>
                <w:color w:val="auto"/>
                <w:szCs w:val="21"/>
                <w:highlight w:val="none"/>
              </w:rPr>
              <w:t>2.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52D13A24">
            <w:pPr>
              <w:autoSpaceDE w:val="0"/>
              <w:autoSpaceDN w:val="0"/>
              <w:snapToGrid w:val="0"/>
              <w:spacing w:line="440" w:lineRule="exact"/>
              <w:jc w:val="left"/>
              <w:textAlignment w:val="bottom"/>
              <w:rPr>
                <w:rFonts w:hint="eastAsia" w:ascii="宋体" w:hAnsi="宋体" w:cs="宋体"/>
                <w:color w:val="auto"/>
                <w:szCs w:val="21"/>
                <w:highlight w:val="none"/>
              </w:rPr>
            </w:pPr>
            <w:r>
              <w:rPr>
                <w:rFonts w:hint="eastAsia" w:ascii="宋体" w:hAnsi="宋体" w:cs="宋体"/>
                <w:b/>
                <w:iCs/>
                <w:color w:val="auto"/>
                <w:szCs w:val="21"/>
                <w:highlight w:val="none"/>
              </w:rPr>
              <w:t>3.采用银行、保险机构出具的保函的，必须为无条件保函，否则不予签订合同。</w:t>
            </w:r>
          </w:p>
        </w:tc>
      </w:tr>
      <w:tr w14:paraId="6912B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6971F6C">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29.1</w:t>
            </w:r>
          </w:p>
        </w:tc>
        <w:tc>
          <w:tcPr>
            <w:tcW w:w="8627" w:type="dxa"/>
            <w:noWrap w:val="0"/>
            <w:vAlign w:val="center"/>
          </w:tcPr>
          <w:p w14:paraId="6E60E6B7">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签订合同携带的证明材料：</w:t>
            </w:r>
          </w:p>
          <w:p w14:paraId="12BCAD03">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w:t>
            </w:r>
            <w:r>
              <w:rPr>
                <w:rFonts w:hint="eastAsia" w:ascii="宋体" w:hAnsi="宋体"/>
                <w:color w:val="auto"/>
                <w:szCs w:val="21"/>
                <w:highlight w:val="none"/>
              </w:rPr>
              <w:t>委托代理人负责签订合同的，须携带授权委托书及委托代理人身份证原件等其他资格证件。</w:t>
            </w:r>
          </w:p>
          <w:p w14:paraId="302123B4">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w:t>
            </w:r>
            <w:r>
              <w:rPr>
                <w:rFonts w:hint="eastAsia" w:ascii="宋体" w:hAnsi="宋体"/>
                <w:color w:val="auto"/>
                <w:szCs w:val="21"/>
                <w:highlight w:val="none"/>
              </w:rPr>
              <w:t>法定代表人负责签订合同的，须携带法定代表人</w:t>
            </w:r>
            <w:r>
              <w:rPr>
                <w:rFonts w:ascii="宋体" w:hAnsi="宋体"/>
                <w:color w:val="auto"/>
                <w:szCs w:val="21"/>
                <w:highlight w:val="none"/>
              </w:rPr>
              <w:t>身份证明</w:t>
            </w:r>
            <w:r>
              <w:rPr>
                <w:rFonts w:hint="eastAsia" w:ascii="宋体" w:hAnsi="宋体"/>
                <w:color w:val="auto"/>
                <w:szCs w:val="21"/>
                <w:highlight w:val="none"/>
                <w:lang w:eastAsia="zh-CN"/>
              </w:rPr>
              <w:t>复印件等</w:t>
            </w:r>
            <w:r>
              <w:rPr>
                <w:rFonts w:hint="eastAsia" w:ascii="宋体" w:hAnsi="宋体"/>
                <w:color w:val="auto"/>
                <w:szCs w:val="21"/>
                <w:highlight w:val="none"/>
              </w:rPr>
              <w:t>证明材料。</w:t>
            </w:r>
          </w:p>
        </w:tc>
      </w:tr>
      <w:tr w14:paraId="7E5A56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399B250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1.2</w:t>
            </w:r>
          </w:p>
        </w:tc>
        <w:tc>
          <w:tcPr>
            <w:tcW w:w="8627" w:type="dxa"/>
            <w:noWrap w:val="0"/>
            <w:vAlign w:val="center"/>
          </w:tcPr>
          <w:p w14:paraId="5BD55559">
            <w:pPr>
              <w:pStyle w:val="19"/>
              <w:snapToGrid w:val="0"/>
              <w:spacing w:line="360" w:lineRule="auto"/>
              <w:rPr>
                <w:rFonts w:hint="eastAsia" w:hAnsi="宋体" w:cs="宋体"/>
                <w:color w:val="auto"/>
                <w:sz w:val="21"/>
                <w:highlight w:val="none"/>
              </w:rPr>
            </w:pPr>
            <w:r>
              <w:rPr>
                <w:rFonts w:hint="eastAsia" w:hAnsi="宋体" w:cs="宋体"/>
                <w:color w:val="auto"/>
                <w:sz w:val="21"/>
                <w:highlight w:val="none"/>
              </w:rPr>
              <w:t>接收质疑函方式：以纸质书面形式。</w:t>
            </w:r>
          </w:p>
          <w:p w14:paraId="55D0F753">
            <w:pPr>
              <w:pStyle w:val="19"/>
              <w:snapToGrid w:val="0"/>
              <w:spacing w:line="360" w:lineRule="auto"/>
              <w:rPr>
                <w:rFonts w:hint="eastAsia" w:hAnsi="宋体" w:cs="宋体"/>
                <w:color w:val="auto"/>
                <w:sz w:val="21"/>
                <w:highlight w:val="none"/>
              </w:rPr>
            </w:pPr>
            <w:r>
              <w:rPr>
                <w:rFonts w:hint="eastAsia" w:hAnsi="宋体" w:cs="宋体"/>
                <w:color w:val="auto"/>
                <w:sz w:val="21"/>
                <w:highlight w:val="none"/>
              </w:rPr>
              <w:t>质疑联系部门及联系方式：广西中信恒泰工程顾问有限公司，质疑联系人：</w:t>
            </w:r>
            <w:r>
              <w:rPr>
                <w:rFonts w:hint="eastAsia" w:hAnsi="宋体" w:cs="宋体"/>
                <w:color w:val="auto"/>
                <w:sz w:val="21"/>
                <w:highlight w:val="none"/>
                <w:lang w:eastAsia="zh-CN"/>
              </w:rPr>
              <w:t>陈燕英</w:t>
            </w:r>
            <w:r>
              <w:rPr>
                <w:rFonts w:hint="eastAsia" w:hAnsi="宋体" w:cs="宋体"/>
                <w:color w:val="auto"/>
                <w:sz w:val="21"/>
                <w:highlight w:val="none"/>
              </w:rPr>
              <w:t>；联系电话：</w:t>
            </w:r>
            <w:r>
              <w:rPr>
                <w:rFonts w:hint="eastAsia" w:hAnsi="宋体" w:cs="宋体"/>
                <w:color w:val="auto"/>
                <w:sz w:val="21"/>
                <w:highlight w:val="none"/>
                <w:lang w:eastAsia="zh-CN"/>
              </w:rPr>
              <w:t>0771-5776251</w:t>
            </w:r>
            <w:r>
              <w:rPr>
                <w:rFonts w:hint="eastAsia" w:hAnsi="宋体" w:cs="宋体"/>
                <w:color w:val="auto"/>
                <w:sz w:val="21"/>
                <w:highlight w:val="none"/>
              </w:rPr>
              <w:t>，</w:t>
            </w:r>
            <w:r>
              <w:rPr>
                <w:rFonts w:hAnsi="宋体" w:cs="宋体"/>
                <w:color w:val="auto"/>
                <w:sz w:val="21"/>
                <w:highlight w:val="none"/>
              </w:rPr>
              <w:t>通讯地址</w:t>
            </w:r>
            <w:r>
              <w:rPr>
                <w:rFonts w:hint="eastAsia" w:hAnsi="宋体" w:cs="宋体"/>
                <w:color w:val="auto"/>
                <w:sz w:val="21"/>
                <w:highlight w:val="none"/>
              </w:rPr>
              <w:t>：广西南宁市青秀区云景路69号南宁轨道大厦B座15楼</w:t>
            </w:r>
          </w:p>
          <w:p w14:paraId="28FFF450">
            <w:pPr>
              <w:pStyle w:val="19"/>
              <w:snapToGrid w:val="0"/>
              <w:spacing w:line="360" w:lineRule="auto"/>
              <w:rPr>
                <w:rFonts w:hint="eastAsia" w:hAnsi="宋体"/>
                <w:color w:val="auto"/>
                <w:sz w:val="21"/>
                <w:highlight w:val="none"/>
              </w:rPr>
            </w:pPr>
            <w:r>
              <w:rPr>
                <w:rFonts w:hint="eastAsia" w:hAnsi="宋体" w:cs="宋体"/>
                <w:color w:val="auto"/>
                <w:sz w:val="21"/>
                <w:highlight w:val="none"/>
              </w:rPr>
              <w:t>现场提交质疑办理业务时间：工作日，上午8:30-12:00；下午14:30-17:30（北京时间）</w:t>
            </w:r>
          </w:p>
        </w:tc>
      </w:tr>
      <w:tr w14:paraId="2884F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00" w:hRule="atLeast"/>
          <w:jc w:val="center"/>
        </w:trPr>
        <w:tc>
          <w:tcPr>
            <w:tcW w:w="992" w:type="dxa"/>
            <w:noWrap w:val="0"/>
            <w:vAlign w:val="center"/>
          </w:tcPr>
          <w:p w14:paraId="04B11C4E">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32.1</w:t>
            </w:r>
          </w:p>
        </w:tc>
        <w:tc>
          <w:tcPr>
            <w:tcW w:w="8627" w:type="dxa"/>
            <w:noWrap w:val="0"/>
            <w:vAlign w:val="center"/>
          </w:tcPr>
          <w:p w14:paraId="3CCBC227">
            <w:pPr>
              <w:pStyle w:val="19"/>
              <w:snapToGrid w:val="0"/>
              <w:spacing w:line="360" w:lineRule="auto"/>
              <w:rPr>
                <w:rFonts w:hint="eastAsia" w:hAnsi="宋体" w:cs="宋体"/>
                <w:color w:val="auto"/>
                <w:sz w:val="21"/>
                <w:highlight w:val="none"/>
              </w:rPr>
            </w:pPr>
            <w:r>
              <w:rPr>
                <w:rFonts w:hint="eastAsia" w:hAnsi="宋体" w:cs="宋体"/>
                <w:color w:val="auto"/>
                <w:sz w:val="21"/>
                <w:highlight w:val="none"/>
              </w:rPr>
              <w:t>1</w:t>
            </w:r>
            <w:r>
              <w:rPr>
                <w:rFonts w:hint="eastAsia" w:hAnsi="宋体" w:cs="宋体"/>
                <w:color w:val="auto"/>
                <w:sz w:val="21"/>
                <w:highlight w:val="none"/>
                <w:lang w:val="en-US" w:eastAsia="zh-CN"/>
              </w:rPr>
              <w:t>.</w:t>
            </w:r>
            <w:r>
              <w:rPr>
                <w:rFonts w:hint="eastAsia" w:hAnsi="宋体" w:cs="宋体"/>
                <w:color w:val="auto"/>
                <w:sz w:val="21"/>
                <w:highlight w:val="none"/>
              </w:rPr>
              <w:t>采购代理服务费支付方式：本项目的</w:t>
            </w:r>
            <w:r>
              <w:rPr>
                <w:rFonts w:hint="eastAsia" w:hAnsi="宋体" w:cs="宋体"/>
                <w:color w:val="auto"/>
                <w:sz w:val="21"/>
                <w:highlight w:val="none"/>
                <w:lang w:val="en-US" w:eastAsia="zh-CN"/>
              </w:rPr>
              <w:t>采购</w:t>
            </w:r>
            <w:r>
              <w:rPr>
                <w:rFonts w:hint="eastAsia" w:hAnsi="宋体" w:cs="宋体"/>
                <w:color w:val="auto"/>
                <w:sz w:val="21"/>
                <w:highlight w:val="none"/>
              </w:rPr>
              <w:t>代理服务费按以下收费标准向成交供应商收取</w:t>
            </w:r>
            <w:r>
              <w:rPr>
                <w:rFonts w:hint="eastAsia" w:hAnsi="宋体" w:cs="宋体"/>
                <w:color w:val="auto"/>
                <w:sz w:val="21"/>
                <w:highlight w:val="none"/>
                <w:lang w:eastAsia="zh-CN"/>
              </w:rPr>
              <w:t>，在</w:t>
            </w:r>
            <w:r>
              <w:rPr>
                <w:rFonts w:hint="eastAsia" w:hAnsi="宋体" w:cs="宋体"/>
                <w:color w:val="auto"/>
                <w:sz w:val="21"/>
                <w:highlight w:val="none"/>
              </w:rPr>
              <w:t>领取成交通知书前，成交供应商应向采购代理机构一次付清招标代理服务费，否则采购代理机构有权不予办理。</w:t>
            </w:r>
          </w:p>
          <w:p w14:paraId="6ED851EA">
            <w:pPr>
              <w:pStyle w:val="19"/>
              <w:snapToGrid w:val="0"/>
              <w:spacing w:line="360" w:lineRule="auto"/>
              <w:rPr>
                <w:rFonts w:hint="eastAsia" w:hAnsi="宋体"/>
                <w:color w:val="auto"/>
                <w:kern w:val="2"/>
                <w:sz w:val="21"/>
                <w:highlight w:val="none"/>
              </w:rPr>
            </w:pPr>
            <w:r>
              <w:rPr>
                <w:rFonts w:hint="eastAsia" w:hAnsi="宋体" w:cs="宋体"/>
                <w:color w:val="auto"/>
                <w:sz w:val="21"/>
                <w:highlight w:val="none"/>
              </w:rPr>
              <w:t>2</w:t>
            </w:r>
            <w:r>
              <w:rPr>
                <w:rFonts w:hint="eastAsia" w:hAnsi="宋体" w:cs="宋体"/>
                <w:color w:val="auto"/>
                <w:sz w:val="21"/>
                <w:highlight w:val="none"/>
                <w:lang w:val="en-US" w:eastAsia="zh-CN"/>
              </w:rPr>
              <w:t>.</w:t>
            </w:r>
            <w:r>
              <w:rPr>
                <w:rFonts w:hint="eastAsia" w:hAnsi="宋体" w:cs="宋体"/>
                <w:color w:val="auto"/>
                <w:sz w:val="21"/>
                <w:highlight w:val="none"/>
              </w:rPr>
              <w:t>采购代理服务费收取标准：</w:t>
            </w:r>
            <w:r>
              <w:rPr>
                <w:rFonts w:hint="eastAsia" w:hAnsi="宋体"/>
                <w:color w:val="auto"/>
                <w:kern w:val="2"/>
                <w:sz w:val="21"/>
                <w:highlight w:val="none"/>
              </w:rPr>
              <w:t>采购代理服务费以 成交金额 为基准，</w:t>
            </w:r>
            <w:r>
              <w:rPr>
                <w:rFonts w:hint="eastAsia" w:hAnsi="宋体"/>
                <w:color w:val="auto"/>
                <w:kern w:val="2"/>
                <w:sz w:val="21"/>
                <w:highlight w:val="none"/>
                <w:lang w:val="en-US" w:eastAsia="zh-CN"/>
              </w:rPr>
              <w:t>参</w:t>
            </w:r>
            <w:r>
              <w:rPr>
                <w:rFonts w:hint="eastAsia" w:hAnsi="宋体"/>
                <w:color w:val="auto"/>
                <w:kern w:val="2"/>
                <w:sz w:val="21"/>
                <w:highlight w:val="none"/>
              </w:rPr>
              <w:t>照《国家发展改革委关于降低部分建设项目收费标准规范收费行为等有关问题的通知》（发改价格〔2011〕534号）规定的【服务类】收费标准的100%计取。</w:t>
            </w:r>
          </w:p>
          <w:p w14:paraId="4D0F5016">
            <w:pPr>
              <w:pStyle w:val="19"/>
              <w:snapToGrid w:val="0"/>
              <w:spacing w:line="360" w:lineRule="auto"/>
              <w:rPr>
                <w:rFonts w:hint="eastAsia" w:hAnsi="宋体"/>
                <w:color w:val="auto"/>
                <w:kern w:val="2"/>
                <w:sz w:val="21"/>
                <w:highlight w:val="none"/>
              </w:rPr>
            </w:pPr>
            <w:r>
              <w:rPr>
                <w:rFonts w:hint="eastAsia" w:hAnsi="宋体"/>
                <w:color w:val="auto"/>
                <w:kern w:val="2"/>
                <w:sz w:val="21"/>
                <w:highlight w:val="none"/>
              </w:rPr>
              <w:t>3</w:t>
            </w:r>
            <w:r>
              <w:rPr>
                <w:rFonts w:hint="eastAsia" w:hAnsi="宋体"/>
                <w:color w:val="auto"/>
                <w:kern w:val="2"/>
                <w:sz w:val="21"/>
                <w:highlight w:val="none"/>
                <w:lang w:val="en-US" w:eastAsia="zh-CN"/>
              </w:rPr>
              <w:t>.</w:t>
            </w:r>
            <w:r>
              <w:rPr>
                <w:rFonts w:hint="eastAsia" w:hAnsi="宋体"/>
                <w:color w:val="auto"/>
                <w:kern w:val="2"/>
                <w:sz w:val="21"/>
                <w:highlight w:val="none"/>
              </w:rPr>
              <w:t>账户名称：广西中信恒泰工程顾问有限公司</w:t>
            </w:r>
          </w:p>
          <w:p w14:paraId="12DE0CA2">
            <w:pPr>
              <w:pStyle w:val="19"/>
              <w:snapToGrid w:val="0"/>
              <w:spacing w:line="360" w:lineRule="auto"/>
              <w:ind w:left="0" w:leftChars="0" w:firstLine="0" w:firstLineChars="0"/>
              <w:rPr>
                <w:rFonts w:hint="eastAsia" w:hAnsi="宋体"/>
                <w:color w:val="auto"/>
                <w:kern w:val="2"/>
                <w:sz w:val="21"/>
                <w:highlight w:val="none"/>
              </w:rPr>
            </w:pPr>
            <w:r>
              <w:rPr>
                <w:rFonts w:hint="eastAsia" w:hAnsi="宋体"/>
                <w:color w:val="auto"/>
                <w:kern w:val="2"/>
                <w:sz w:val="21"/>
                <w:highlight w:val="none"/>
              </w:rPr>
              <w:t>开户银行：建行南宁市金湖广场支行</w:t>
            </w:r>
          </w:p>
          <w:p w14:paraId="70641227">
            <w:pPr>
              <w:pStyle w:val="19"/>
              <w:snapToGrid w:val="0"/>
              <w:spacing w:line="360" w:lineRule="auto"/>
              <w:ind w:left="0" w:leftChars="0" w:firstLine="0" w:firstLineChars="0"/>
              <w:rPr>
                <w:rFonts w:hint="eastAsia" w:hAnsi="宋体" w:cs="宋体"/>
                <w:color w:val="auto"/>
                <w:sz w:val="21"/>
                <w:highlight w:val="none"/>
              </w:rPr>
            </w:pPr>
            <w:r>
              <w:rPr>
                <w:rFonts w:hint="eastAsia" w:hAnsi="宋体"/>
                <w:color w:val="auto"/>
                <w:kern w:val="2"/>
                <w:sz w:val="21"/>
                <w:highlight w:val="none"/>
              </w:rPr>
              <w:t>银行账号：45001604266052502851</w:t>
            </w:r>
          </w:p>
        </w:tc>
      </w:tr>
      <w:tr w14:paraId="5EE8D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992" w:type="dxa"/>
            <w:noWrap w:val="0"/>
            <w:vAlign w:val="center"/>
          </w:tcPr>
          <w:p w14:paraId="7E8253F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3.1</w:t>
            </w:r>
          </w:p>
        </w:tc>
        <w:tc>
          <w:tcPr>
            <w:tcW w:w="8627" w:type="dxa"/>
            <w:noWrap w:val="0"/>
            <w:vAlign w:val="center"/>
          </w:tcPr>
          <w:p w14:paraId="6FE4FB2C">
            <w:pPr>
              <w:pStyle w:val="19"/>
              <w:snapToGrid w:val="0"/>
              <w:spacing w:line="360" w:lineRule="auto"/>
              <w:rPr>
                <w:rFonts w:hint="eastAsia" w:hAnsi="宋体" w:cs="宋体"/>
                <w:color w:val="auto"/>
                <w:kern w:val="2"/>
                <w:sz w:val="21"/>
                <w:highlight w:val="none"/>
              </w:rPr>
            </w:pPr>
            <w:r>
              <w:rPr>
                <w:rFonts w:hint="eastAsia" w:hAnsi="宋体"/>
                <w:color w:val="auto"/>
                <w:sz w:val="21"/>
                <w:highlight w:val="none"/>
              </w:rPr>
              <w:t>解释：</w:t>
            </w:r>
            <w:r>
              <w:rPr>
                <w:rFonts w:hAnsi="宋体"/>
                <w:color w:val="auto"/>
                <w:sz w:val="21"/>
                <w:highlight w:val="none"/>
              </w:rPr>
              <w:t>构成本</w:t>
            </w:r>
            <w:r>
              <w:rPr>
                <w:rFonts w:hint="eastAsia" w:hAnsi="宋体"/>
                <w:color w:val="auto"/>
                <w:sz w:val="21"/>
                <w:highlight w:val="none"/>
              </w:rPr>
              <w:t>磋商文件</w:t>
            </w:r>
            <w:r>
              <w:rPr>
                <w:rFonts w:hAnsi="宋体"/>
                <w:color w:val="auto"/>
                <w:sz w:val="21"/>
                <w:highlight w:val="none"/>
              </w:rPr>
              <w:t>的各个组成文件应互为解释，互为说明；除</w:t>
            </w:r>
            <w:r>
              <w:rPr>
                <w:rFonts w:hint="eastAsia" w:hAnsi="宋体"/>
                <w:color w:val="auto"/>
                <w:sz w:val="21"/>
                <w:highlight w:val="none"/>
              </w:rPr>
              <w:t>磋商文件</w:t>
            </w:r>
            <w:r>
              <w:rPr>
                <w:rFonts w:hAnsi="宋体"/>
                <w:color w:val="auto"/>
                <w:sz w:val="21"/>
                <w:highlight w:val="none"/>
              </w:rPr>
              <w:t>中有特别规定外，仅适用于</w:t>
            </w:r>
            <w:r>
              <w:rPr>
                <w:rFonts w:hint="eastAsia" w:hAnsi="宋体"/>
                <w:color w:val="auto"/>
                <w:sz w:val="21"/>
                <w:highlight w:val="none"/>
              </w:rPr>
              <w:t>竞标</w:t>
            </w:r>
            <w:r>
              <w:rPr>
                <w:rFonts w:hAnsi="宋体"/>
                <w:color w:val="auto"/>
                <w:sz w:val="21"/>
                <w:highlight w:val="none"/>
              </w:rPr>
              <w:t>阶段的规定，按</w:t>
            </w:r>
            <w:r>
              <w:rPr>
                <w:rFonts w:hint="eastAsia" w:hAnsi="宋体"/>
                <w:color w:val="auto"/>
                <w:sz w:val="21"/>
                <w:highlight w:val="none"/>
              </w:rPr>
              <w:t>更正公告（澄清公告）</w:t>
            </w:r>
            <w:r>
              <w:rPr>
                <w:rFonts w:hAnsi="宋体"/>
                <w:color w:val="auto"/>
                <w:sz w:val="21"/>
                <w:highlight w:val="none"/>
              </w:rPr>
              <w:t>、</w:t>
            </w:r>
            <w:r>
              <w:rPr>
                <w:rFonts w:hint="eastAsia" w:hAnsi="宋体"/>
                <w:color w:val="auto"/>
                <w:sz w:val="21"/>
                <w:highlight w:val="none"/>
              </w:rPr>
              <w:t>竞争性磋商</w:t>
            </w:r>
            <w:r>
              <w:rPr>
                <w:rFonts w:hAnsi="宋体"/>
                <w:color w:val="auto"/>
                <w:sz w:val="21"/>
                <w:highlight w:val="none"/>
              </w:rPr>
              <w:t>公告、</w:t>
            </w:r>
            <w:r>
              <w:rPr>
                <w:rFonts w:hint="eastAsia" w:hAnsi="宋体"/>
                <w:color w:val="auto"/>
                <w:sz w:val="21"/>
                <w:highlight w:val="none"/>
              </w:rPr>
              <w:t>供应商</w:t>
            </w:r>
            <w:r>
              <w:rPr>
                <w:rFonts w:hAnsi="宋体"/>
                <w:color w:val="auto"/>
                <w:sz w:val="21"/>
                <w:highlight w:val="none"/>
              </w:rPr>
              <w:t>须知</w:t>
            </w:r>
            <w:r>
              <w:rPr>
                <w:rFonts w:hint="eastAsia" w:hAnsi="宋体"/>
                <w:color w:val="auto"/>
                <w:sz w:val="21"/>
                <w:highlight w:val="none"/>
              </w:rPr>
              <w:t>、采购需求</w:t>
            </w:r>
            <w:r>
              <w:rPr>
                <w:rFonts w:hAnsi="宋体"/>
                <w:color w:val="auto"/>
                <w:sz w:val="21"/>
                <w:highlight w:val="none"/>
              </w:rPr>
              <w:t>、</w:t>
            </w:r>
            <w:r>
              <w:rPr>
                <w:rFonts w:hint="eastAsia" w:hAnsi="宋体"/>
                <w:color w:val="auto"/>
                <w:sz w:val="21"/>
                <w:highlight w:val="none"/>
              </w:rPr>
              <w:t>评审程序、评审方法和评审标准</w:t>
            </w:r>
            <w:r>
              <w:rPr>
                <w:rFonts w:hAnsi="宋体"/>
                <w:color w:val="auto"/>
                <w:sz w:val="21"/>
                <w:highlight w:val="none"/>
              </w:rPr>
              <w:t>、</w:t>
            </w:r>
            <w:r>
              <w:rPr>
                <w:rFonts w:hint="eastAsia" w:hAnsi="宋体"/>
                <w:color w:val="auto"/>
                <w:sz w:val="21"/>
                <w:highlight w:val="none"/>
              </w:rPr>
              <w:t>响应</w:t>
            </w:r>
            <w:r>
              <w:rPr>
                <w:rFonts w:hAnsi="宋体"/>
                <w:color w:val="auto"/>
                <w:sz w:val="21"/>
                <w:highlight w:val="none"/>
              </w:rPr>
              <w:t>文件格式</w:t>
            </w:r>
            <w:r>
              <w:rPr>
                <w:rFonts w:hint="eastAsia" w:hAnsi="宋体"/>
                <w:color w:val="auto"/>
                <w:sz w:val="21"/>
                <w:highlight w:val="none"/>
              </w:rPr>
              <w:t>、合同文本</w:t>
            </w:r>
            <w:r>
              <w:rPr>
                <w:rFonts w:hAnsi="宋体"/>
                <w:color w:val="auto"/>
                <w:sz w:val="21"/>
                <w:highlight w:val="none"/>
              </w:rPr>
              <w:t>的先后顺序解释；同一组成文件中就同一事项的规定或者约定不一致的，以编排顺序在后者为准；同一组成文件不同版本之间有不一致的，以形成时间在后者为准；</w:t>
            </w:r>
            <w:r>
              <w:rPr>
                <w:rFonts w:hint="eastAsia" w:hAnsi="宋体"/>
                <w:color w:val="auto"/>
                <w:sz w:val="21"/>
                <w:highlight w:val="none"/>
              </w:rPr>
              <w:t>更正公告（澄清公告）</w:t>
            </w:r>
            <w:r>
              <w:rPr>
                <w:rFonts w:hAnsi="宋体"/>
                <w:color w:val="auto"/>
                <w:sz w:val="21"/>
                <w:highlight w:val="none"/>
              </w:rPr>
              <w:t>与同步更新的</w:t>
            </w:r>
            <w:r>
              <w:rPr>
                <w:rFonts w:hint="eastAsia" w:hAnsi="宋体"/>
                <w:color w:val="auto"/>
                <w:sz w:val="21"/>
                <w:highlight w:val="none"/>
              </w:rPr>
              <w:t>磋商文件</w:t>
            </w:r>
            <w:r>
              <w:rPr>
                <w:rFonts w:hAnsi="宋体"/>
                <w:color w:val="auto"/>
                <w:sz w:val="21"/>
                <w:highlight w:val="none"/>
              </w:rPr>
              <w:t>不一致时以</w:t>
            </w:r>
            <w:r>
              <w:rPr>
                <w:rFonts w:hint="eastAsia" w:hAnsi="宋体"/>
                <w:color w:val="auto"/>
                <w:sz w:val="21"/>
                <w:highlight w:val="none"/>
              </w:rPr>
              <w:t>更正公告（澄清公告）</w:t>
            </w:r>
            <w:r>
              <w:rPr>
                <w:rFonts w:hAnsi="宋体"/>
                <w:color w:val="auto"/>
                <w:sz w:val="21"/>
                <w:highlight w:val="none"/>
              </w:rPr>
              <w:t>为准。按本款前述规定仍不能形成结论的，由</w:t>
            </w:r>
            <w:r>
              <w:rPr>
                <w:rFonts w:hint="eastAsia" w:hAnsi="宋体"/>
                <w:color w:val="auto"/>
                <w:sz w:val="21"/>
                <w:highlight w:val="none"/>
              </w:rPr>
              <w:t>采购</w:t>
            </w:r>
            <w:r>
              <w:rPr>
                <w:rFonts w:hAnsi="宋体"/>
                <w:color w:val="auto"/>
                <w:sz w:val="21"/>
                <w:highlight w:val="none"/>
              </w:rPr>
              <w:t>人</w:t>
            </w:r>
            <w:r>
              <w:rPr>
                <w:rFonts w:hint="eastAsia" w:hAnsi="宋体"/>
                <w:color w:val="auto"/>
                <w:sz w:val="21"/>
                <w:highlight w:val="none"/>
              </w:rPr>
              <w:t>或者采购代理机构</w:t>
            </w:r>
            <w:r>
              <w:rPr>
                <w:rFonts w:hAnsi="宋体"/>
                <w:color w:val="auto"/>
                <w:sz w:val="21"/>
                <w:highlight w:val="none"/>
              </w:rPr>
              <w:t>负责解释。</w:t>
            </w:r>
          </w:p>
        </w:tc>
      </w:tr>
      <w:tr w14:paraId="4ED40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C1B6BC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3.2</w:t>
            </w:r>
          </w:p>
        </w:tc>
        <w:tc>
          <w:tcPr>
            <w:tcW w:w="8627" w:type="dxa"/>
            <w:noWrap w:val="0"/>
            <w:vAlign w:val="center"/>
          </w:tcPr>
          <w:p w14:paraId="3FFDBF63">
            <w:pPr>
              <w:pStyle w:val="19"/>
              <w:snapToGrid w:val="0"/>
              <w:spacing w:line="360" w:lineRule="auto"/>
              <w:rPr>
                <w:rFonts w:hint="eastAsia" w:hAnsi="宋体" w:cs="宋体"/>
                <w:color w:val="auto"/>
                <w:sz w:val="21"/>
                <w:highlight w:val="none"/>
              </w:rPr>
            </w:pPr>
            <w:r>
              <w:rPr>
                <w:rFonts w:hint="eastAsia" w:hAnsi="宋体" w:cs="宋体"/>
                <w:color w:val="auto"/>
                <w:sz w:val="21"/>
                <w:highlight w:val="none"/>
              </w:rPr>
              <w:t>1</w:t>
            </w:r>
            <w:r>
              <w:rPr>
                <w:rFonts w:hint="eastAsia" w:hAnsi="宋体" w:cs="宋体"/>
                <w:color w:val="auto"/>
                <w:sz w:val="21"/>
                <w:highlight w:val="none"/>
                <w:lang w:val="en-US" w:eastAsia="zh-CN"/>
              </w:rPr>
              <w:t>.</w:t>
            </w:r>
            <w:r>
              <w:rPr>
                <w:rFonts w:hint="eastAsia" w:hAnsi="宋体" w:cs="宋体"/>
                <w:color w:val="auto"/>
                <w:sz w:val="21"/>
                <w:highlight w:val="none"/>
              </w:rPr>
              <w:t>本磋商文件中描述供应商的“公章”是指根据我国对公章的管理规定</w:t>
            </w:r>
            <w:r>
              <w:rPr>
                <w:rFonts w:hint="eastAsia" w:hAnsi="宋体" w:cs="宋体"/>
                <w:color w:val="auto"/>
                <w:sz w:val="21"/>
                <w:highlight w:val="none"/>
                <w:lang w:eastAsia="zh-CN"/>
              </w:rPr>
              <w:t>，使</w:t>
            </w:r>
            <w:r>
              <w:rPr>
                <w:rFonts w:hint="eastAsia" w:hAnsi="宋体" w:cs="宋体"/>
                <w:color w:val="auto"/>
                <w:sz w:val="21"/>
                <w:highlight w:val="none"/>
              </w:rPr>
              <w:t>用供应商法定主体行为名称制作的印章（含电子印章），除本磋商文件有特殊规定外，供应商的财务章、部门章、分公司章、工会章、合同章、竞标/投标专用章、业务专用章及银行的转账章、现金收讫章、现金付讫章等其他形式印章均不能代替公章。</w:t>
            </w:r>
          </w:p>
          <w:p w14:paraId="3E4F6C18">
            <w:pPr>
              <w:pStyle w:val="19"/>
              <w:snapToGrid w:val="0"/>
              <w:spacing w:line="360" w:lineRule="auto"/>
              <w:rPr>
                <w:rFonts w:hAnsi="宋体" w:cs="宋体"/>
                <w:color w:val="auto"/>
                <w:sz w:val="21"/>
                <w:highlight w:val="none"/>
              </w:rPr>
            </w:pPr>
            <w:r>
              <w:rPr>
                <w:rFonts w:hint="eastAsia" w:hAnsi="宋体" w:cs="宋体"/>
                <w:color w:val="auto"/>
                <w:sz w:val="21"/>
                <w:highlight w:val="none"/>
              </w:rPr>
              <w:t>2</w:t>
            </w:r>
            <w:r>
              <w:rPr>
                <w:rFonts w:hint="eastAsia" w:hAnsi="宋体" w:cs="宋体"/>
                <w:color w:val="auto"/>
                <w:sz w:val="21"/>
                <w:highlight w:val="none"/>
                <w:lang w:val="en-US" w:eastAsia="zh-CN"/>
              </w:rPr>
              <w:t>.</w:t>
            </w:r>
            <w:r>
              <w:rPr>
                <w:rFonts w:hint="eastAsia" w:hAnsi="宋体" w:cs="宋体"/>
                <w:color w:val="auto"/>
                <w:sz w:val="21"/>
                <w:highlight w:val="none"/>
              </w:rPr>
              <w:t>供应商为其他组织或者自然人时，本磋商文件规定的法定代表人指负责人或者自然人。本磋商文件所称负责人是指参加竞标的其他组织</w:t>
            </w:r>
            <w:r>
              <w:rPr>
                <w:rFonts w:hint="eastAsia" w:hAnsi="宋体" w:cs="宋体"/>
                <w:bCs/>
                <w:color w:val="auto"/>
                <w:sz w:val="21"/>
                <w:highlight w:val="none"/>
              </w:rPr>
              <w:t>营业执照或者执业许可证等证照上的</w:t>
            </w:r>
            <w:r>
              <w:rPr>
                <w:rFonts w:hint="eastAsia" w:hAnsi="宋体" w:cs="宋体"/>
                <w:color w:val="auto"/>
                <w:sz w:val="21"/>
                <w:highlight w:val="none"/>
              </w:rPr>
              <w:t>负责人，本磋商文件所称自然人指参与竞标的自然人本人，</w:t>
            </w:r>
            <w:r>
              <w:rPr>
                <w:rFonts w:hint="eastAsia" w:hAnsi="宋体" w:cs="宋体"/>
                <w:bCs/>
                <w:color w:val="auto"/>
                <w:sz w:val="21"/>
                <w:highlight w:val="none"/>
              </w:rPr>
              <w:t>且应具备独立承担民事责任能力，自然人应当为年满18岁以上成年人（十六周岁以上的未成年人，以自己的劳动收入为主要生活来源的，视为完全民事行为能力人）。</w:t>
            </w:r>
          </w:p>
          <w:p w14:paraId="6BD3B19F">
            <w:pPr>
              <w:pStyle w:val="19"/>
              <w:snapToGrid w:val="0"/>
              <w:spacing w:line="360" w:lineRule="auto"/>
              <w:rPr>
                <w:rFonts w:hint="eastAsia" w:hAnsi="宋体" w:cs="宋体"/>
                <w:color w:val="auto"/>
                <w:sz w:val="21"/>
                <w:highlight w:val="none"/>
              </w:rPr>
            </w:pPr>
            <w:r>
              <w:rPr>
                <w:rFonts w:hAnsi="宋体" w:cs="宋体"/>
                <w:color w:val="auto"/>
                <w:sz w:val="21"/>
                <w:highlight w:val="none"/>
              </w:rPr>
              <w:t>3</w:t>
            </w:r>
            <w:r>
              <w:rPr>
                <w:rFonts w:hint="eastAsia" w:hAnsi="宋体" w:cs="宋体"/>
                <w:color w:val="auto"/>
                <w:sz w:val="21"/>
                <w:highlight w:val="none"/>
                <w:lang w:val="en-US" w:eastAsia="zh-CN"/>
              </w:rPr>
              <w:t>.</w:t>
            </w:r>
            <w:r>
              <w:rPr>
                <w:rFonts w:hint="eastAsia" w:hAnsi="宋体" w:cs="宋体"/>
                <w:color w:val="auto"/>
                <w:sz w:val="21"/>
                <w:highlight w:val="none"/>
              </w:rPr>
              <w:t>本磋商文件中描述供应商的“签字”是指供应商的法定代表人或者委托代理人在文件规定签署处签名（含电子签名）的行为，私章、印鉴等其他形式均不能代替签字。</w:t>
            </w:r>
          </w:p>
          <w:p w14:paraId="493E588A">
            <w:pPr>
              <w:pStyle w:val="19"/>
              <w:snapToGrid w:val="0"/>
              <w:spacing w:line="360" w:lineRule="auto"/>
              <w:rPr>
                <w:rFonts w:hAnsi="宋体" w:cs="宋体"/>
                <w:color w:val="auto"/>
                <w:sz w:val="21"/>
                <w:highlight w:val="none"/>
              </w:rPr>
            </w:pPr>
            <w:r>
              <w:rPr>
                <w:rFonts w:hAnsi="宋体" w:cs="宋体"/>
                <w:color w:val="auto"/>
                <w:sz w:val="21"/>
                <w:highlight w:val="none"/>
              </w:rPr>
              <w:t>4</w:t>
            </w:r>
            <w:r>
              <w:rPr>
                <w:rFonts w:hint="eastAsia" w:hAnsi="宋体" w:cs="宋体"/>
                <w:color w:val="auto"/>
                <w:sz w:val="21"/>
                <w:highlight w:val="none"/>
                <w:lang w:val="en-US" w:eastAsia="zh-CN"/>
              </w:rPr>
              <w:t>.</w:t>
            </w:r>
            <w:r>
              <w:rPr>
                <w:rFonts w:hint="eastAsia" w:hAnsi="宋体" w:cs="宋体"/>
                <w:color w:val="auto"/>
                <w:sz w:val="21"/>
                <w:highlight w:val="none"/>
              </w:rPr>
              <w:t>自然人竞标的，磋商文件规定盖公章处由自然人摁手指指印。</w:t>
            </w:r>
          </w:p>
          <w:p w14:paraId="63790E50">
            <w:pPr>
              <w:pStyle w:val="19"/>
              <w:snapToGrid w:val="0"/>
              <w:spacing w:line="360" w:lineRule="auto"/>
              <w:rPr>
                <w:rFonts w:hint="eastAsia" w:hAnsi="宋体" w:cs="宋体"/>
                <w:color w:val="auto"/>
                <w:sz w:val="21"/>
                <w:highlight w:val="none"/>
              </w:rPr>
            </w:pPr>
            <w:r>
              <w:rPr>
                <w:rFonts w:hint="eastAsia" w:hAnsi="宋体" w:cs="宋体"/>
                <w:color w:val="auto"/>
                <w:sz w:val="21"/>
                <w:highlight w:val="none"/>
              </w:rPr>
              <w:t>5</w:t>
            </w:r>
            <w:r>
              <w:rPr>
                <w:rFonts w:hint="eastAsia" w:hAnsi="宋体" w:cs="宋体"/>
                <w:color w:val="auto"/>
                <w:sz w:val="21"/>
                <w:highlight w:val="none"/>
                <w:lang w:val="en-US" w:eastAsia="zh-CN"/>
              </w:rPr>
              <w:t>.</w:t>
            </w:r>
            <w:r>
              <w:rPr>
                <w:rFonts w:hint="eastAsia" w:hAnsi="宋体" w:cs="宋体"/>
                <w:color w:val="auto"/>
                <w:sz w:val="21"/>
                <w:highlight w:val="none"/>
              </w:rPr>
              <w:t>本磋商文件所称的“以上”“以下”“以内”“届满”，包括本数；所称的“不满”“超过”“以外”，不包括本数。</w:t>
            </w:r>
          </w:p>
        </w:tc>
      </w:tr>
      <w:tr w14:paraId="4F465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105516E">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33.4</w:t>
            </w:r>
          </w:p>
        </w:tc>
        <w:tc>
          <w:tcPr>
            <w:tcW w:w="8627" w:type="dxa"/>
            <w:noWrap w:val="0"/>
            <w:vAlign w:val="center"/>
          </w:tcPr>
          <w:p w14:paraId="4E40A88A">
            <w:pPr>
              <w:pStyle w:val="19"/>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rPr>
              <w:t>支持本国产品</w:t>
            </w:r>
            <w:r>
              <w:rPr>
                <w:rFonts w:hint="eastAsia" w:hAnsi="宋体" w:cs="宋体"/>
                <w:color w:val="auto"/>
                <w:sz w:val="21"/>
                <w:highlight w:val="none"/>
                <w:lang w:val="en-US" w:eastAsia="zh-CN"/>
              </w:rPr>
              <w:t>说明：</w:t>
            </w:r>
          </w:p>
          <w:p w14:paraId="5C649034">
            <w:pPr>
              <w:tabs>
                <w:tab w:val="left" w:pos="180"/>
                <w:tab w:val="left" w:pos="1620"/>
              </w:tabs>
              <w:spacing w:line="360" w:lineRule="auto"/>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适用，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87FCB41">
            <w:pPr>
              <w:pStyle w:val="6"/>
              <w:spacing w:line="360" w:lineRule="auto"/>
              <w:rPr>
                <w:color w:val="auto"/>
                <w:sz w:val="21"/>
                <w:szCs w:val="21"/>
                <w:highlight w:val="none"/>
              </w:rPr>
            </w:pPr>
            <w:r>
              <w:rPr>
                <w:rFonts w:hint="eastAsia"/>
                <w:color w:val="auto"/>
                <w:sz w:val="21"/>
                <w:szCs w:val="21"/>
                <w:highlight w:val="none"/>
              </w:rPr>
              <w:t>产品在中国境内生产的组件成本占比应当达到规定比例，计算公式为：</w:t>
            </w:r>
          </w:p>
          <w:p w14:paraId="16FC4A75">
            <w:pPr>
              <w:widowControl/>
              <w:shd w:val="clear" w:color="auto" w:fill="FFFFFF"/>
              <w:spacing w:before="30" w:after="30" w:line="360" w:lineRule="auto"/>
              <w:jc w:val="center"/>
              <w:rPr>
                <w:rFonts w:hint="eastAsia" w:ascii="宋体" w:hAnsi="宋体" w:cs="宋体"/>
                <w:color w:val="auto"/>
                <w:kern w:val="0"/>
                <w:sz w:val="21"/>
                <w:szCs w:val="21"/>
                <w:highlight w:val="none"/>
              </w:rPr>
            </w:pPr>
            <w:r>
              <w:rPr>
                <w:rFonts w:ascii="宋体" w:hAnsi="宋体" w:cs="宋体"/>
                <w:color w:val="auto"/>
                <w:kern w:val="0"/>
                <w:sz w:val="21"/>
                <w:szCs w:val="21"/>
                <w:highlight w:val="none"/>
              </w:rPr>
              <w:drawing>
                <wp:inline distT="0" distB="0" distL="114300" distR="114300">
                  <wp:extent cx="3665855" cy="579120"/>
                  <wp:effectExtent l="0" t="0" r="6985"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12"/>
                          <a:stretch>
                            <a:fillRect/>
                          </a:stretch>
                        </pic:blipFill>
                        <pic:spPr>
                          <a:xfrm>
                            <a:off x="0" y="0"/>
                            <a:ext cx="3665855" cy="579120"/>
                          </a:xfrm>
                          <a:prstGeom prst="rect">
                            <a:avLst/>
                          </a:prstGeom>
                          <a:noFill/>
                          <a:ln>
                            <a:noFill/>
                          </a:ln>
                        </pic:spPr>
                      </pic:pic>
                    </a:graphicData>
                  </a:graphic>
                </wp:inline>
              </w:drawing>
            </w:r>
          </w:p>
          <w:p w14:paraId="488FC34E">
            <w:pPr>
              <w:pStyle w:val="6"/>
              <w:spacing w:line="360" w:lineRule="auto"/>
              <w:rPr>
                <w:rFonts w:hint="eastAsia"/>
                <w:color w:val="auto"/>
                <w:sz w:val="21"/>
                <w:szCs w:val="21"/>
                <w:highlight w:val="none"/>
              </w:rPr>
            </w:pPr>
            <w:r>
              <w:rPr>
                <w:rFonts w:hint="eastAsia"/>
                <w:color w:val="auto"/>
                <w:sz w:val="21"/>
                <w:szCs w:val="21"/>
                <w:highlight w:val="none"/>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14:paraId="0354AEC8">
            <w:pPr>
              <w:pStyle w:val="6"/>
              <w:spacing w:line="360" w:lineRule="auto"/>
              <w:rPr>
                <w:color w:val="auto"/>
                <w:sz w:val="21"/>
                <w:szCs w:val="21"/>
                <w:highlight w:val="none"/>
              </w:rPr>
            </w:pPr>
            <w:r>
              <w:rPr>
                <w:rFonts w:hint="eastAsia"/>
                <w:color w:val="auto"/>
                <w:sz w:val="21"/>
                <w:szCs w:val="21"/>
                <w:highlight w:val="none"/>
              </w:rPr>
              <w:t>政府采购活动中既有本国产品又有非本国产品参与竞争的，依法对本国产品给予价格评审优惠，对本国产品的报价给予20%的价格扣除，用扣除后的价格参与评审。</w:t>
            </w:r>
          </w:p>
          <w:p w14:paraId="0A2C1B4D">
            <w:pPr>
              <w:pStyle w:val="3"/>
              <w:rPr>
                <w:rFonts w:hint="eastAsia"/>
                <w:color w:val="auto"/>
                <w:sz w:val="21"/>
                <w:szCs w:val="21"/>
                <w:highlight w:val="none"/>
                <w:lang w:val="en-US" w:eastAsia="zh-CN"/>
              </w:rPr>
            </w:pPr>
            <w:r>
              <w:rPr>
                <w:rFonts w:hint="eastAsia"/>
                <w:color w:val="auto"/>
                <w:sz w:val="21"/>
                <w:szCs w:val="21"/>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8DE8B6A">
            <w:pPr>
              <w:rPr>
                <w:rFonts w:hint="eastAsia"/>
                <w:color w:val="auto"/>
                <w:highlight w:val="none"/>
              </w:rPr>
            </w:pPr>
            <w:r>
              <w:rPr>
                <w:rFonts w:hint="eastAsia" w:ascii="宋体" w:hAnsi="宋体" w:eastAsia="宋体" w:cs="宋体"/>
                <w:color w:val="auto"/>
                <w:kern w:val="0"/>
                <w:sz w:val="21"/>
                <w:szCs w:val="21"/>
                <w:highlight w:val="none"/>
                <w:lang w:val="en-US" w:eastAsia="zh-CN" w:bidi="ar-SA"/>
              </w:rPr>
              <w:t>☑不适用</w:t>
            </w:r>
          </w:p>
        </w:tc>
      </w:tr>
    </w:tbl>
    <w:p w14:paraId="66842D8A">
      <w:pPr>
        <w:spacing w:line="400" w:lineRule="exact"/>
        <w:jc w:val="center"/>
        <w:rPr>
          <w:rFonts w:hint="eastAsia"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供应商须知正文</w:t>
      </w:r>
    </w:p>
    <w:p w14:paraId="34F7B32C">
      <w:pPr>
        <w:spacing w:line="400" w:lineRule="exact"/>
        <w:jc w:val="center"/>
        <w:rPr>
          <w:rFonts w:hint="eastAsia" w:ascii="宋体" w:hAnsi="宋体"/>
          <w:b/>
          <w:color w:val="auto"/>
          <w:sz w:val="32"/>
          <w:szCs w:val="32"/>
          <w:highlight w:val="none"/>
        </w:rPr>
      </w:pPr>
    </w:p>
    <w:p w14:paraId="6B9CD4B1">
      <w:pPr>
        <w:spacing w:line="360" w:lineRule="auto"/>
        <w:jc w:val="center"/>
        <w:rPr>
          <w:rFonts w:hint="eastAsia" w:ascii="宋体" w:hAnsi="宋体"/>
          <w:color w:val="auto"/>
          <w:szCs w:val="21"/>
          <w:highlight w:val="none"/>
        </w:rPr>
      </w:pPr>
      <w:r>
        <w:rPr>
          <w:rFonts w:hint="eastAsia" w:ascii="宋体" w:hAnsi="宋体"/>
          <w:b/>
          <w:bCs/>
          <w:color w:val="auto"/>
          <w:sz w:val="32"/>
          <w:szCs w:val="32"/>
          <w:highlight w:val="none"/>
        </w:rPr>
        <w:t>一、总则</w:t>
      </w:r>
    </w:p>
    <w:p w14:paraId="77DF9EBD">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1.适用范围</w:t>
      </w:r>
    </w:p>
    <w:p w14:paraId="01B955A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w:t>
      </w:r>
      <w:r>
        <w:rPr>
          <w:rFonts w:hint="eastAsia" w:ascii="宋体" w:hAnsi="宋体"/>
          <w:color w:val="auto"/>
          <w:szCs w:val="21"/>
          <w:highlight w:val="none"/>
        </w:rPr>
        <w:t>《政府采购竞争性磋商采购方式管理暂行办法》《财政部关于政府采购竞争性磋商采购方式管理暂行办法有关问题的补充通知》</w:t>
      </w:r>
      <w:r>
        <w:rPr>
          <w:rFonts w:hint="eastAsia" w:ascii="宋体" w:hAnsi="宋体" w:cs="宋体"/>
          <w:color w:val="auto"/>
          <w:szCs w:val="21"/>
          <w:highlight w:val="none"/>
        </w:rPr>
        <w:t>及本项目本级和上级财政部门政府采购有关规定的约束和保护。</w:t>
      </w:r>
    </w:p>
    <w:p w14:paraId="2C28E59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本竞争性磋商文件（以下简称磋商文件）适用于本项目的所有采购程序和环节（法律、法规另有规定的，从其规定）。</w:t>
      </w:r>
    </w:p>
    <w:p w14:paraId="701FE480">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2.定义</w:t>
      </w:r>
    </w:p>
    <w:p w14:paraId="5E03EBD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6C421F64">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14:paraId="43D5E40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0FF9B3A9">
      <w:pPr>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2.4“服务”是指除货物和工程以外的其他政府采购对象。</w:t>
      </w:r>
    </w:p>
    <w:p w14:paraId="5DC0B1B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r>
        <w:rPr>
          <w:rFonts w:hint="eastAsia" w:ascii="宋体" w:hAnsi="宋体" w:cs="宋体"/>
          <w:color w:val="auto"/>
          <w:szCs w:val="21"/>
          <w:highlight w:val="none"/>
        </w:rPr>
        <w:t>“竞标”是指供应商按照本项目竞争性磋商公告或者邀请函规定的方式获取磋商文件、提交响应文件并希望获得标的的行为。</w:t>
      </w:r>
    </w:p>
    <w:p w14:paraId="6360E02C">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2.6“书面形式”是指合同书、信件和数据电文（包括电报、电传、传真、电子数据交换和电子邮件）等可以有形地表现所载内容的形式。</w:t>
      </w:r>
    </w:p>
    <w:p w14:paraId="1B65F559">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2.7“响应文件”</w:t>
      </w:r>
      <w:r>
        <w:rPr>
          <w:rFonts w:hint="eastAsia" w:ascii="宋体" w:hAnsi="宋体" w:cs="宋体"/>
          <w:color w:val="auto"/>
          <w:spacing w:val="-6"/>
          <w:szCs w:val="21"/>
          <w:highlight w:val="none"/>
        </w:rPr>
        <w:t>是指：供应商根据本磋商文件要求，编制包含资格证明、报价商务技术等所有内容的文件。</w:t>
      </w:r>
    </w:p>
    <w:p w14:paraId="3B45A555">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2.8“实质性要求”是指磋商文件中已经指明不满足则响应文件按无效响应处理的条款，或者不能负偏离的条款，或者采购需求中带“▲”的条款。</w:t>
      </w:r>
    </w:p>
    <w:p w14:paraId="3CD26790">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2.9“正偏离”，是指响应文件对磋商文件“采购需求”中有关条款作出的响应优于条款要求并有利于采购人的情形。</w:t>
      </w:r>
    </w:p>
    <w:p w14:paraId="5D098373">
      <w:pPr>
        <w:spacing w:line="360" w:lineRule="auto"/>
        <w:ind w:firstLine="420" w:firstLineChars="200"/>
        <w:contextualSpacing/>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10“负偏离”，是指响应文件对磋商文件“采购需求”中有关条款作出的响应不满足条款要求，导致采购人要求不能得到满足的情形。</w:t>
      </w:r>
    </w:p>
    <w:p w14:paraId="429639CC">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2.11“允许负偏离的条款”是指采购需求中的不属于“实质性要求”的条款。</w:t>
      </w:r>
    </w:p>
    <w:p w14:paraId="363FAE3F">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1</w:t>
      </w:r>
      <w:r>
        <w:rPr>
          <w:rFonts w:hint="eastAsia" w:ascii="宋体" w:hAnsi="宋体" w:cs="宋体"/>
          <w:color w:val="auto"/>
          <w:szCs w:val="21"/>
          <w:highlight w:val="none"/>
        </w:rPr>
        <w:t>2“首次报价”是指供应商提交的首次响应文件中的报价。</w:t>
      </w:r>
    </w:p>
    <w:p w14:paraId="5EB7C13D">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3.供应商的资格条件</w:t>
      </w:r>
    </w:p>
    <w:p w14:paraId="767CC69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6C1CF2DC">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4.竞标费用</w:t>
      </w:r>
    </w:p>
    <w:p w14:paraId="2B818DC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供应商应承担参与本次采购活动有关的所有费用，包括但不限于获取磋商文件、勘查现场、编制和提交响应文件、参加磋商与应答、签订合同等，不论竞标结果如何，均应自行承担。</w:t>
      </w:r>
    </w:p>
    <w:p w14:paraId="2D251A5B">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5.联合体竞标</w:t>
      </w:r>
    </w:p>
    <w:p w14:paraId="623E4C9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42AEA36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olor w:val="auto"/>
          <w:szCs w:val="21"/>
          <w:highlight w:val="none"/>
        </w:rPr>
        <w:t>如接受联合体竞标，</w:t>
      </w:r>
      <w:r>
        <w:rPr>
          <w:rFonts w:hint="eastAsia" w:ascii="宋体" w:hAnsi="宋体" w:cs="宋体"/>
          <w:color w:val="auto"/>
          <w:szCs w:val="21"/>
          <w:highlight w:val="none"/>
        </w:rPr>
        <w:t>联合体竞标要求详见“供应商须知前附表”。</w:t>
      </w:r>
    </w:p>
    <w:p w14:paraId="4A17C75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w:t>
      </w:r>
      <w:bookmarkStart w:id="15" w:name="_Hlk66782192"/>
      <w:r>
        <w:rPr>
          <w:rFonts w:hint="eastAsia" w:ascii="宋体" w:hAnsi="宋体"/>
          <w:color w:val="auto"/>
          <w:szCs w:val="21"/>
          <w:highlight w:val="none"/>
        </w:rPr>
        <w:t>根据《政府采购促进中小企业发展管理办法》（财库〔2020〕46号）及《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15"/>
    </w:p>
    <w:p w14:paraId="6C497971">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6.转包与分包</w:t>
      </w:r>
    </w:p>
    <w:p w14:paraId="690FA4AA">
      <w:pPr>
        <w:spacing w:line="360" w:lineRule="auto"/>
        <w:ind w:firstLine="420" w:firstLineChars="200"/>
        <w:rPr>
          <w:rFonts w:hint="eastAsia" w:ascii="宋体" w:hAnsi="宋体" w:cs="宋体"/>
          <w:color w:val="auto"/>
          <w:szCs w:val="21"/>
          <w:highlight w:val="none"/>
        </w:rPr>
      </w:pPr>
      <w:bookmarkStart w:id="16" w:name="_Toc254970532"/>
      <w:bookmarkStart w:id="17" w:name="_Toc254970673"/>
      <w:r>
        <w:rPr>
          <w:rFonts w:hint="eastAsia" w:ascii="宋体" w:hAnsi="宋体" w:cs="宋体"/>
          <w:color w:val="auto"/>
          <w:szCs w:val="21"/>
          <w:highlight w:val="none"/>
        </w:rPr>
        <w:t>6.1本项目不允许转包。</w:t>
      </w:r>
    </w:p>
    <w:p w14:paraId="0D85282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6.2本项目是否允许分包详见“供应商须知前附表”。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060D404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6.3供应商根据磋商文件的规定和采购项目的实际情况，拟在成交后将成交项目的非主体、非关键性工作分包的，应当在响应文件中载明分包承担主体，分包承担主体应当具备相应资质条件且不得再次分包。</w:t>
      </w:r>
    </w:p>
    <w:p w14:paraId="17D37A76">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7.特别说明</w:t>
      </w:r>
      <w:bookmarkEnd w:id="16"/>
      <w:bookmarkEnd w:id="17"/>
    </w:p>
    <w:p w14:paraId="49E02D3B">
      <w:pPr>
        <w:spacing w:line="360" w:lineRule="auto"/>
        <w:ind w:firstLine="420" w:firstLineChars="200"/>
        <w:rPr>
          <w:rFonts w:hint="eastAsia" w:ascii="宋体" w:hAnsi="宋体" w:cs="宋体"/>
          <w:color w:val="auto"/>
          <w:szCs w:val="21"/>
          <w:highlight w:val="none"/>
        </w:rPr>
      </w:pPr>
      <w:bookmarkStart w:id="18" w:name="_8.1提供相同品牌产品且通过资格审查、符合性审查的不同投标人参加同一合"/>
      <w:bookmarkEnd w:id="18"/>
      <w:r>
        <w:rPr>
          <w:rFonts w:hint="eastAsia" w:ascii="宋体" w:hAnsi="宋体" w:cs="宋体"/>
          <w:color w:val="auto"/>
          <w:szCs w:val="21"/>
          <w:highlight w:val="none"/>
        </w:rPr>
        <w:t>7.</w:t>
      </w:r>
      <w:r>
        <w:rPr>
          <w:rFonts w:ascii="宋体" w:hAnsi="宋体" w:cs="宋体"/>
          <w:color w:val="auto"/>
          <w:szCs w:val="21"/>
          <w:highlight w:val="none"/>
        </w:rPr>
        <w:t>1</w:t>
      </w:r>
      <w:bookmarkStart w:id="19" w:name="_Hlk65832145"/>
      <w:r>
        <w:rPr>
          <w:rFonts w:hint="eastAsia" w:ascii="宋体" w:hAnsi="宋体"/>
          <w:color w:val="auto"/>
          <w:szCs w:val="21"/>
          <w:highlight w:val="none"/>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cs="宋体"/>
          <w:color w:val="auto"/>
          <w:szCs w:val="21"/>
          <w:highlight w:val="none"/>
        </w:rPr>
        <w:t>。</w:t>
      </w:r>
    </w:p>
    <w:bookmarkEnd w:id="19"/>
    <w:p w14:paraId="77D045C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2</w:t>
      </w:r>
      <w:r>
        <w:rPr>
          <w:rFonts w:hint="eastAsia" w:ascii="宋体" w:hAnsi="宋体" w:cs="宋体"/>
          <w:color w:val="auto"/>
          <w:szCs w:val="21"/>
          <w:highlight w:val="none"/>
        </w:rPr>
        <w:t>供应商应仔细阅读磋商文件的所有内容，按照磋商文件的要求提交响应文件，并对所提供的全部资料的真实性承担法律责任。</w:t>
      </w:r>
    </w:p>
    <w:p w14:paraId="34A7DF9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3</w:t>
      </w:r>
      <w:r>
        <w:rPr>
          <w:rFonts w:hint="eastAsia" w:ascii="宋体" w:hAnsi="宋体" w:cs="宋体"/>
          <w:color w:val="auto"/>
          <w:szCs w:val="21"/>
          <w:highlight w:val="none"/>
        </w:rPr>
        <w:t>供应商在竞标活动中提供任何疑似虚假材料，将报监管部门查处；签订合同后发现的，成交供应商须依法赔偿采购人，且民事赔偿并不免除违法供应商的行政与刑事责任。</w:t>
      </w:r>
    </w:p>
    <w:p w14:paraId="24B3F83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4</w:t>
      </w:r>
      <w:r>
        <w:rPr>
          <w:rFonts w:hint="eastAsia" w:ascii="宋体" w:hAnsi="宋体" w:cs="宋体"/>
          <w:color w:val="auto"/>
          <w:szCs w:val="21"/>
          <w:highlight w:val="none"/>
        </w:rPr>
        <w:t>在政府采购活动中，采购人员及相关人员与供应商有下列利害关系之一的，应当回避：</w:t>
      </w:r>
    </w:p>
    <w:p w14:paraId="513660D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5249C54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3326006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160558D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5F0C277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192CE51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059860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5</w:t>
      </w:r>
      <w:r>
        <w:rPr>
          <w:rFonts w:hint="eastAsia" w:ascii="宋体" w:hAnsi="宋体" w:cs="宋体"/>
          <w:color w:val="auto"/>
          <w:szCs w:val="21"/>
          <w:highlight w:val="none"/>
        </w:rPr>
        <w:t>有下列情形之一的视为供应商相互串通竞标，响应文件将被视为无效：</w:t>
      </w:r>
    </w:p>
    <w:p w14:paraId="4D33C8F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（1）不同供应商的响应文件由同一单位或者个人编制；或者不同供应商报名的IP地址一致的；或者编制响应文件硬件设备CPU编号、硬盘编号、网卡地址一致的情况。</w:t>
      </w:r>
    </w:p>
    <w:p w14:paraId="1F930D5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5926FC6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703573C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4198C0E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6BA44A83">
      <w:pPr>
        <w:tabs>
          <w:tab w:val="left" w:pos="6931"/>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p>
    <w:p w14:paraId="04605CC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6</w:t>
      </w:r>
      <w:r>
        <w:rPr>
          <w:rFonts w:hint="eastAsia" w:ascii="宋体" w:hAnsi="宋体" w:cs="宋体"/>
          <w:color w:val="auto"/>
          <w:szCs w:val="21"/>
          <w:highlight w:val="none"/>
        </w:rPr>
        <w:t>供应商有下列情形之一的，属于恶意串通行为，将报同级监督管理部门：</w:t>
      </w:r>
    </w:p>
    <w:p w14:paraId="3DF961F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3E3DD83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485BB9F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599659F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5605971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4AFC5AB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180799B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3B8241E6">
      <w:pPr>
        <w:spacing w:line="360" w:lineRule="auto"/>
        <w:ind w:left="1" w:firstLine="417" w:firstLineChars="199"/>
        <w:jc w:val="center"/>
        <w:rPr>
          <w:rFonts w:hint="eastAsia" w:ascii="宋体" w:hAnsi="宋体"/>
          <w:color w:val="auto"/>
          <w:highlight w:val="none"/>
        </w:rPr>
      </w:pPr>
      <w:bookmarkStart w:id="20" w:name="_Toc254970675"/>
      <w:bookmarkStart w:id="21" w:name="_Toc254970534"/>
    </w:p>
    <w:p w14:paraId="78F93BFD">
      <w:pPr>
        <w:spacing w:line="360" w:lineRule="auto"/>
        <w:jc w:val="center"/>
        <w:rPr>
          <w:rFonts w:hint="eastAsia" w:ascii="宋体" w:hAnsi="宋体"/>
          <w:b/>
          <w:bCs/>
          <w:color w:val="auto"/>
          <w:sz w:val="32"/>
          <w:szCs w:val="32"/>
          <w:highlight w:val="none"/>
        </w:rPr>
      </w:pPr>
      <w:r>
        <w:rPr>
          <w:rFonts w:hint="eastAsia" w:ascii="宋体" w:hAnsi="宋体"/>
          <w:b/>
          <w:bCs/>
          <w:color w:val="auto"/>
          <w:sz w:val="32"/>
          <w:szCs w:val="32"/>
          <w:highlight w:val="none"/>
        </w:rPr>
        <w:t>二、磋商文件</w:t>
      </w:r>
      <w:bookmarkEnd w:id="20"/>
      <w:bookmarkEnd w:id="21"/>
    </w:p>
    <w:p w14:paraId="4A201DC3">
      <w:pPr>
        <w:spacing w:line="360" w:lineRule="auto"/>
        <w:ind w:firstLine="482" w:firstLineChars="200"/>
        <w:rPr>
          <w:rFonts w:hint="eastAsia" w:ascii="黑体" w:hAnsi="黑体" w:eastAsia="黑体" w:cs="宋体"/>
          <w:b/>
          <w:bCs/>
          <w:color w:val="auto"/>
          <w:sz w:val="24"/>
          <w:highlight w:val="none"/>
        </w:rPr>
      </w:pPr>
    </w:p>
    <w:p w14:paraId="43670161">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8.磋商文件的构成</w:t>
      </w:r>
    </w:p>
    <w:p w14:paraId="21E3F682">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（1）竞争性磋商公告；</w:t>
      </w:r>
    </w:p>
    <w:p w14:paraId="4B3F8BD8">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（2）采购需求；</w:t>
      </w:r>
    </w:p>
    <w:p w14:paraId="0849173D">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（3）供应商须知；</w:t>
      </w:r>
    </w:p>
    <w:p w14:paraId="41F98A1C">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（4）评审程序、评审方法和评审标准；</w:t>
      </w:r>
    </w:p>
    <w:p w14:paraId="1E60793B">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（5）响应文件格式；</w:t>
      </w:r>
    </w:p>
    <w:p w14:paraId="0D1B6297">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（6）合同文本。</w:t>
      </w:r>
    </w:p>
    <w:p w14:paraId="4711D8FD">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9.供应商的询问</w:t>
      </w:r>
    </w:p>
    <w:p w14:paraId="7B41F5B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供应商应认真阅读磋商文件的采购需求，如供应商对磋商文件有疑问的，如要求采购人作出澄清或者修改的，供应商尽可能在</w:t>
      </w:r>
      <w:r>
        <w:rPr>
          <w:rFonts w:ascii="宋体" w:hAnsi="宋体"/>
          <w:color w:val="auto"/>
          <w:szCs w:val="21"/>
          <w:highlight w:val="none"/>
        </w:rPr>
        <w:t>提交首次响应文件截止之日前</w:t>
      </w:r>
      <w:r>
        <w:rPr>
          <w:rFonts w:hint="eastAsia" w:ascii="宋体" w:hAnsi="宋体"/>
          <w:color w:val="auto"/>
          <w:szCs w:val="21"/>
          <w:highlight w:val="none"/>
        </w:rPr>
        <w:t>，以纸质书面形式向</w:t>
      </w:r>
      <w:r>
        <w:rPr>
          <w:rFonts w:ascii="宋体" w:hAnsi="宋体"/>
          <w:color w:val="auto"/>
          <w:szCs w:val="21"/>
          <w:highlight w:val="none"/>
        </w:rPr>
        <w:t>采购人、采购代理机构</w:t>
      </w:r>
      <w:r>
        <w:rPr>
          <w:rFonts w:hint="eastAsia" w:ascii="宋体" w:hAnsi="宋体"/>
          <w:color w:val="auto"/>
          <w:szCs w:val="21"/>
          <w:highlight w:val="none"/>
        </w:rPr>
        <w:t>提出</w:t>
      </w:r>
      <w:r>
        <w:rPr>
          <w:rFonts w:hint="eastAsia" w:ascii="宋体" w:hAnsi="宋体" w:cs="宋体"/>
          <w:color w:val="auto"/>
          <w:szCs w:val="21"/>
          <w:highlight w:val="none"/>
        </w:rPr>
        <w:t>，否则，由此产生的后果由供应商自行负责。</w:t>
      </w:r>
    </w:p>
    <w:p w14:paraId="556FAF91">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10.磋商文件的澄清和修改</w:t>
      </w:r>
    </w:p>
    <w:p w14:paraId="57832E2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10.1提交首次响应文件截止之日前，采购人、采购代理机构或者磋商小组可以对已发出的磋商文件进行必要的澄清或者修改，澄清或者修改的内容作为磋商文件的组成部分。澄清或者修改将在原公告发布媒体上发布更正公告。澄清或者修改的内容可能影响响应文件编制的，采购人、采购代理机构应当在提交首次响应文件截止时间至少</w:t>
      </w:r>
      <w:r>
        <w:rPr>
          <w:rFonts w:ascii="宋体" w:hAnsi="宋体" w:cs="宋体"/>
          <w:color w:val="auto"/>
          <w:szCs w:val="21"/>
          <w:highlight w:val="none"/>
        </w:rPr>
        <w:t>5</w:t>
      </w:r>
      <w:r>
        <w:rPr>
          <w:rFonts w:hint="eastAsia" w:ascii="宋体" w:hAnsi="宋体" w:cs="宋体"/>
          <w:color w:val="auto"/>
          <w:szCs w:val="21"/>
          <w:highlight w:val="none"/>
        </w:rPr>
        <w:t>日前，在原公告发布媒体上发布更正公告；不足</w:t>
      </w:r>
      <w:r>
        <w:rPr>
          <w:rFonts w:ascii="宋体" w:hAnsi="宋体" w:cs="宋体"/>
          <w:color w:val="auto"/>
          <w:szCs w:val="21"/>
          <w:highlight w:val="none"/>
        </w:rPr>
        <w:t>5</w:t>
      </w:r>
      <w:r>
        <w:rPr>
          <w:rFonts w:hint="eastAsia" w:ascii="宋体" w:hAnsi="宋体" w:cs="宋体"/>
          <w:color w:val="auto"/>
          <w:szCs w:val="21"/>
          <w:highlight w:val="none"/>
        </w:rPr>
        <w:t>日的，采购人、采购代理机构应当顺延提交首次响应文件截止时间。</w:t>
      </w:r>
    </w:p>
    <w:p w14:paraId="0F216F10">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10.2采购人和采购代理机构可以视采购具体情况，变更首次响应文件提交截止时间和开启时间，</w:t>
      </w:r>
      <w:r>
        <w:rPr>
          <w:rFonts w:hint="eastAsia" w:ascii="宋体" w:hAnsi="宋体"/>
          <w:color w:val="auto"/>
          <w:szCs w:val="21"/>
          <w:highlight w:val="none"/>
        </w:rPr>
        <w:t>并在原公告发布媒体上发布更正公告。</w:t>
      </w:r>
    </w:p>
    <w:p w14:paraId="169BFF6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10.3磋商文件</w:t>
      </w:r>
      <w:r>
        <w:rPr>
          <w:rFonts w:hint="eastAsia" w:ascii="宋体" w:hAnsi="宋体"/>
          <w:color w:val="auto"/>
          <w:szCs w:val="21"/>
          <w:highlight w:val="none"/>
        </w:rPr>
        <w:t>澄清、答复、修改、补充的内容为</w:t>
      </w:r>
      <w:r>
        <w:rPr>
          <w:rFonts w:hint="eastAsia" w:ascii="宋体" w:hAnsi="宋体" w:cs="宋体"/>
          <w:color w:val="auto"/>
          <w:szCs w:val="21"/>
          <w:highlight w:val="none"/>
        </w:rPr>
        <w:t>磋商文件</w:t>
      </w:r>
      <w:r>
        <w:rPr>
          <w:rFonts w:hint="eastAsia" w:ascii="宋体" w:hAnsi="宋体"/>
          <w:color w:val="auto"/>
          <w:szCs w:val="21"/>
          <w:highlight w:val="none"/>
        </w:rPr>
        <w:t>的组成部分。</w:t>
      </w:r>
      <w:r>
        <w:rPr>
          <w:rFonts w:hint="eastAsia" w:ascii="宋体" w:hAnsi="宋体"/>
          <w:b/>
          <w:color w:val="auto"/>
          <w:szCs w:val="21"/>
          <w:highlight w:val="none"/>
        </w:rPr>
        <w:t>当</w:t>
      </w:r>
      <w:r>
        <w:rPr>
          <w:rFonts w:hint="eastAsia" w:ascii="宋体" w:hAnsi="宋体" w:cs="宋体"/>
          <w:b/>
          <w:color w:val="auto"/>
          <w:szCs w:val="21"/>
          <w:highlight w:val="none"/>
        </w:rPr>
        <w:t>磋商文件</w:t>
      </w:r>
      <w:r>
        <w:rPr>
          <w:rFonts w:hint="eastAsia" w:ascii="宋体" w:hAnsi="宋体"/>
          <w:b/>
          <w:color w:val="auto"/>
          <w:szCs w:val="21"/>
          <w:highlight w:val="none"/>
        </w:rPr>
        <w:t>与</w:t>
      </w:r>
      <w:r>
        <w:rPr>
          <w:rFonts w:hint="eastAsia" w:ascii="宋体" w:hAnsi="宋体" w:cs="宋体"/>
          <w:b/>
          <w:color w:val="auto"/>
          <w:szCs w:val="21"/>
          <w:highlight w:val="none"/>
        </w:rPr>
        <w:t>磋商文件</w:t>
      </w:r>
      <w:r>
        <w:rPr>
          <w:rFonts w:hint="eastAsia" w:ascii="宋体" w:hAnsi="宋体"/>
          <w:b/>
          <w:color w:val="auto"/>
          <w:szCs w:val="21"/>
          <w:highlight w:val="none"/>
        </w:rPr>
        <w:t>的澄清、答复、修改、补充通知就同一内容的表述不一致时，以最后发出的文件为准。</w:t>
      </w:r>
    </w:p>
    <w:p w14:paraId="029322E1">
      <w:pPr>
        <w:spacing w:line="360" w:lineRule="auto"/>
        <w:ind w:firstLine="422" w:firstLineChars="200"/>
        <w:rPr>
          <w:rFonts w:hint="eastAsia" w:ascii="宋体" w:hAnsi="宋体"/>
          <w:b/>
          <w:color w:val="auto"/>
          <w:szCs w:val="21"/>
          <w:highlight w:val="none"/>
        </w:rPr>
      </w:pPr>
      <w:r>
        <w:rPr>
          <w:rFonts w:hint="eastAsia" w:ascii="宋体" w:hAnsi="宋体" w:cs="宋体"/>
          <w:b/>
          <w:color w:val="auto"/>
          <w:szCs w:val="21"/>
          <w:highlight w:val="none"/>
        </w:rPr>
        <w:t>10.4</w:t>
      </w:r>
      <w:r>
        <w:rPr>
          <w:rFonts w:hint="eastAsia" w:ascii="宋体" w:hAnsi="宋体"/>
          <w:b/>
          <w:color w:val="auto"/>
          <w:szCs w:val="21"/>
          <w:highlight w:val="none"/>
        </w:rPr>
        <w:t>响应文件未按磋商文件的澄清、修改后的内容编制的，其响应文件作无效响应处理。</w:t>
      </w:r>
    </w:p>
    <w:p w14:paraId="6DDD6A36">
      <w:pPr>
        <w:spacing w:line="400" w:lineRule="exact"/>
        <w:ind w:firstLine="422" w:firstLineChars="200"/>
        <w:rPr>
          <w:rFonts w:hint="eastAsia" w:ascii="宋体" w:hAnsi="宋体"/>
          <w:b/>
          <w:color w:val="auto"/>
          <w:szCs w:val="21"/>
          <w:highlight w:val="none"/>
        </w:rPr>
      </w:pPr>
    </w:p>
    <w:p w14:paraId="69372E45">
      <w:pPr>
        <w:spacing w:line="360" w:lineRule="auto"/>
        <w:jc w:val="center"/>
        <w:rPr>
          <w:rFonts w:hint="eastAsia" w:ascii="宋体" w:hAnsi="宋体"/>
          <w:b/>
          <w:bCs/>
          <w:color w:val="auto"/>
          <w:sz w:val="32"/>
          <w:szCs w:val="32"/>
          <w:highlight w:val="none"/>
        </w:rPr>
      </w:pPr>
      <w:r>
        <w:rPr>
          <w:rFonts w:hint="eastAsia" w:ascii="宋体" w:hAnsi="宋体"/>
          <w:b/>
          <w:bCs/>
          <w:color w:val="auto"/>
          <w:sz w:val="32"/>
          <w:szCs w:val="32"/>
          <w:highlight w:val="none"/>
        </w:rPr>
        <w:t>三、响应文件的编制</w:t>
      </w:r>
    </w:p>
    <w:p w14:paraId="75E3D63C">
      <w:pPr>
        <w:spacing w:line="360" w:lineRule="auto"/>
        <w:ind w:firstLine="482" w:firstLineChars="200"/>
        <w:rPr>
          <w:rFonts w:hint="eastAsia" w:ascii="黑体" w:hAnsi="黑体" w:eastAsia="黑体" w:cs="宋体"/>
          <w:b/>
          <w:bCs/>
          <w:color w:val="auto"/>
          <w:sz w:val="24"/>
          <w:highlight w:val="none"/>
        </w:rPr>
      </w:pPr>
    </w:p>
    <w:p w14:paraId="77867410">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11.响应文件的编制原则</w:t>
      </w:r>
    </w:p>
    <w:p w14:paraId="051672A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0B69D307">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12.响应文件的组成</w:t>
      </w:r>
    </w:p>
    <w:p w14:paraId="48AB5E7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12.1响应文件由资格证明文件、</w:t>
      </w:r>
      <w:r>
        <w:rPr>
          <w:rFonts w:hint="eastAsia" w:ascii="宋体" w:hAnsi="宋体"/>
          <w:color w:val="auto"/>
          <w:szCs w:val="21"/>
          <w:highlight w:val="none"/>
        </w:rPr>
        <w:t>商务文件、技术文件、</w:t>
      </w:r>
      <w:r>
        <w:rPr>
          <w:rFonts w:hint="eastAsia" w:ascii="宋体" w:hAnsi="宋体" w:cs="宋体"/>
          <w:color w:val="auto"/>
          <w:szCs w:val="21"/>
          <w:highlight w:val="none"/>
        </w:rPr>
        <w:t>报价文件四部分组成。</w:t>
      </w:r>
    </w:p>
    <w:p w14:paraId="4B82A1F0">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2.1.1</w:t>
      </w:r>
      <w:r>
        <w:rPr>
          <w:rFonts w:hint="eastAsia" w:ascii="宋体" w:hAnsi="宋体" w:cs="宋体"/>
          <w:color w:val="auto"/>
          <w:szCs w:val="21"/>
          <w:highlight w:val="none"/>
        </w:rPr>
        <w:t>资格证明文件：详见须知前附表</w:t>
      </w:r>
    </w:p>
    <w:p w14:paraId="798F2736">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2.1.</w:t>
      </w:r>
      <w:r>
        <w:rPr>
          <w:rFonts w:hint="eastAsia" w:ascii="宋体" w:hAnsi="宋体" w:cs="宋体"/>
          <w:color w:val="auto"/>
          <w:szCs w:val="21"/>
          <w:highlight w:val="none"/>
        </w:rPr>
        <w:t>2商务文件：详见须知前附表</w:t>
      </w:r>
    </w:p>
    <w:p w14:paraId="45B9C490">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2.1.</w:t>
      </w:r>
      <w:r>
        <w:rPr>
          <w:rFonts w:hint="eastAsia" w:ascii="宋体" w:hAnsi="宋体" w:cs="宋体"/>
          <w:color w:val="auto"/>
          <w:szCs w:val="21"/>
          <w:highlight w:val="none"/>
        </w:rPr>
        <w:t>3技术文件：详见须知前附表</w:t>
      </w:r>
    </w:p>
    <w:p w14:paraId="7D8495B1">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2.1.</w:t>
      </w:r>
      <w:r>
        <w:rPr>
          <w:rFonts w:hint="eastAsia" w:ascii="宋体" w:hAnsi="宋体" w:cs="宋体"/>
          <w:color w:val="auto"/>
          <w:szCs w:val="21"/>
          <w:highlight w:val="none"/>
        </w:rPr>
        <w:t>4报价文件：详见须知前附表</w:t>
      </w:r>
    </w:p>
    <w:p w14:paraId="48B55252">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13.计量单位</w:t>
      </w:r>
    </w:p>
    <w:p w14:paraId="0ADFC86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5606AFA5">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14.竞标的风险</w:t>
      </w:r>
    </w:p>
    <w:p w14:paraId="67FE414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6512DCBE">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15.竞标报价</w:t>
      </w:r>
    </w:p>
    <w:p w14:paraId="5F68E98A">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15.1竞标报价应按磋商文件中“竞标报价表”格式填写。</w:t>
      </w:r>
    </w:p>
    <w:p w14:paraId="7C3108C5">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15.2竞标报价的内容见“供应商须知前附表”。</w:t>
      </w:r>
    </w:p>
    <w:p w14:paraId="38AEA942">
      <w:pPr>
        <w:spacing w:line="360" w:lineRule="auto"/>
        <w:ind w:left="426" w:leftChars="203"/>
        <w:rPr>
          <w:rFonts w:hint="eastAsia" w:ascii="宋体" w:hAnsi="宋体" w:cs="宋体"/>
          <w:color w:val="auto"/>
          <w:szCs w:val="21"/>
          <w:highlight w:val="none"/>
        </w:rPr>
      </w:pPr>
      <w:r>
        <w:rPr>
          <w:rFonts w:hint="eastAsia" w:ascii="宋体" w:hAnsi="宋体" w:cs="宋体"/>
          <w:color w:val="auto"/>
          <w:szCs w:val="21"/>
          <w:highlight w:val="none"/>
        </w:rPr>
        <w:t>15.3竞标报价要求</w:t>
      </w:r>
    </w:p>
    <w:p w14:paraId="06F62734">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w:t>
      </w:r>
      <w:r>
        <w:rPr>
          <w:rFonts w:ascii="宋体" w:hAnsi="宋体" w:cs="宋体"/>
          <w:b/>
          <w:color w:val="auto"/>
          <w:szCs w:val="21"/>
          <w:highlight w:val="none"/>
        </w:rPr>
        <w:t>5.3.1</w:t>
      </w:r>
      <w:r>
        <w:rPr>
          <w:rFonts w:hint="eastAsia" w:ascii="宋体" w:hAnsi="宋体" w:cs="宋体"/>
          <w:b/>
          <w:color w:val="auto"/>
          <w:szCs w:val="21"/>
          <w:highlight w:val="none"/>
        </w:rPr>
        <w:t>供应商的竞标报价应符合以下要求，否则响应文件按无效响应处理：</w:t>
      </w:r>
    </w:p>
    <w:p w14:paraId="101BC09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（1）供应商必须就“采购需求”中所竞标的每个分标的全部内容分别作完整唯一总价报价，不得存在漏项报价；</w:t>
      </w:r>
    </w:p>
    <w:p w14:paraId="64FC0CD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）供应商必须就所竞标的分标的单项内容作唯一报价。</w:t>
      </w:r>
    </w:p>
    <w:p w14:paraId="2575C22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w:t>
      </w:r>
      <w:r>
        <w:rPr>
          <w:rFonts w:ascii="宋体" w:hAnsi="宋体" w:cs="宋体"/>
          <w:color w:val="auto"/>
          <w:szCs w:val="21"/>
          <w:highlight w:val="none"/>
        </w:rPr>
        <w:t>2</w:t>
      </w:r>
      <w:r>
        <w:rPr>
          <w:rFonts w:hint="eastAsia" w:ascii="宋体" w:hAnsi="宋体" w:cs="宋体"/>
          <w:color w:val="auto"/>
          <w:szCs w:val="21"/>
          <w:highlight w:val="none"/>
        </w:rPr>
        <w:t>最后报价超过所竞标分标规定的采购预算金额或者最高限价的，其响应文件将按无效响应处理。</w:t>
      </w:r>
      <w:bookmarkStart w:id="22" w:name="_Hlk42592874"/>
    </w:p>
    <w:bookmarkEnd w:id="22"/>
    <w:p w14:paraId="302DCD8D">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16.竞标有效期</w:t>
      </w:r>
    </w:p>
    <w:p w14:paraId="4B1CB3F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23EEAD1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444C925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5B07DB28">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17.磋商保证金</w:t>
      </w:r>
    </w:p>
    <w:p w14:paraId="533CFD91">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17.1</w:t>
      </w:r>
      <w:r>
        <w:rPr>
          <w:rFonts w:hint="eastAsia" w:ascii="宋体" w:hAnsi="宋体" w:cs="宋体"/>
          <w:color w:val="auto"/>
          <w:szCs w:val="21"/>
          <w:highlight w:val="none"/>
          <w:lang w:eastAsia="zh-CN"/>
        </w:rPr>
        <w:t>详见</w:t>
      </w:r>
      <w:r>
        <w:rPr>
          <w:rFonts w:hint="eastAsia" w:ascii="宋体" w:hAnsi="宋体" w:cs="宋体"/>
          <w:color w:val="auto"/>
          <w:szCs w:val="21"/>
          <w:highlight w:val="none"/>
        </w:rPr>
        <w:t>“供应商须知前附表”的规定。</w:t>
      </w:r>
    </w:p>
    <w:p w14:paraId="0B5E343A">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17.2磋商保证金的退还</w:t>
      </w:r>
    </w:p>
    <w:p w14:paraId="017EE722">
      <w:pPr>
        <w:spacing w:line="360" w:lineRule="auto"/>
        <w:ind w:firstLine="420" w:firstLineChars="200"/>
        <w:rPr>
          <w:rFonts w:hint="eastAsia" w:ascii="宋体" w:hAnsi="宋体" w:cs="宋体"/>
          <w:color w:val="auto"/>
          <w:szCs w:val="21"/>
          <w:highlight w:val="none"/>
        </w:rPr>
      </w:pPr>
      <w:bookmarkStart w:id="23" w:name="_Hlk66782243"/>
      <w:r>
        <w:rPr>
          <w:rFonts w:hint="eastAsia" w:ascii="宋体" w:hAnsi="宋体" w:cs="宋体"/>
          <w:color w:val="auto"/>
          <w:szCs w:val="21"/>
          <w:highlight w:val="none"/>
        </w:rPr>
        <w:t>未</w:t>
      </w:r>
      <w:r>
        <w:rPr>
          <w:rFonts w:hint="eastAsia" w:ascii="宋体" w:hAnsi="宋体" w:cs="宋体"/>
          <w:color w:val="auto"/>
          <w:spacing w:val="-6"/>
          <w:szCs w:val="21"/>
          <w:highlight w:val="none"/>
        </w:rPr>
        <w:t>成交供应商的磋商保证金自成交通知书发出之日起5个工作日内退还；</w:t>
      </w:r>
      <w:r>
        <w:rPr>
          <w:rFonts w:hint="eastAsia" w:ascii="宋体" w:hAnsi="宋体" w:cs="宋体"/>
          <w:color w:val="auto"/>
          <w:szCs w:val="21"/>
          <w:highlight w:val="none"/>
        </w:rPr>
        <w:t>成交供应商的磋商保证金自签订合同之日起5个工作日内退还。</w:t>
      </w:r>
      <w:bookmarkEnd w:id="23"/>
      <w:r>
        <w:rPr>
          <w:rFonts w:hint="eastAsia" w:ascii="宋体" w:hAnsi="宋体" w:cs="宋体"/>
          <w:color w:val="auto"/>
          <w:szCs w:val="21"/>
          <w:highlight w:val="none"/>
        </w:rPr>
        <w:t xml:space="preserve"> </w:t>
      </w:r>
    </w:p>
    <w:p w14:paraId="601EF885">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17.3磋商保证金不计息。</w:t>
      </w:r>
    </w:p>
    <w:p w14:paraId="504B4E4B">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17.4供应商有下列情形之一的，磋商保证金将不予退还：</w:t>
      </w:r>
    </w:p>
    <w:p w14:paraId="26697E17">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（1）供应商在提交首次响应文件截止时间后撤回响应文件的；</w:t>
      </w:r>
    </w:p>
    <w:p w14:paraId="4EED6C3F">
      <w:pPr>
        <w:spacing w:line="360" w:lineRule="auto"/>
        <w:ind w:left="420" w:leftChars="200"/>
        <w:rPr>
          <w:rFonts w:ascii="宋体" w:hAnsi="宋体" w:cs="宋体"/>
          <w:color w:val="auto"/>
          <w:szCs w:val="21"/>
          <w:highlight w:val="none"/>
        </w:rPr>
      </w:pPr>
      <w:r>
        <w:rPr>
          <w:rFonts w:hint="eastAsia" w:ascii="宋体" w:hAnsi="宋体"/>
          <w:color w:val="auto"/>
          <w:szCs w:val="21"/>
          <w:highlight w:val="none"/>
        </w:rPr>
        <w:t>（2）未按规定提交履约保证金的；</w:t>
      </w:r>
    </w:p>
    <w:p w14:paraId="3A47EE2D">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（3）供应商在响应文件中提供虚假材料的；</w:t>
      </w:r>
    </w:p>
    <w:p w14:paraId="749F6BA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（4）除因不可抗力或者磋商文件认可的情形以外，成交供应商不与采购人签订合同的；</w:t>
      </w:r>
    </w:p>
    <w:p w14:paraId="1DA7AB98">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（5）供应商与采购人、其他供应商或者采购代理机构恶意串通的；</w:t>
      </w:r>
    </w:p>
    <w:p w14:paraId="40DA37B0">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（6）法律法规规定的其他情形。</w:t>
      </w:r>
    </w:p>
    <w:p w14:paraId="13CAB1D6">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18.响应文件编制的要求</w:t>
      </w:r>
    </w:p>
    <w:p w14:paraId="0EE08DF5">
      <w:pPr>
        <w:spacing w:line="360" w:lineRule="auto"/>
        <w:ind w:firstLine="420" w:firstLineChars="200"/>
        <w:rPr>
          <w:rFonts w:hint="eastAsia" w:ascii="宋体" w:hAnsi="宋体" w:cs="宋体"/>
          <w:color w:val="auto"/>
          <w:spacing w:val="-6"/>
          <w:szCs w:val="21"/>
          <w:highlight w:val="none"/>
        </w:rPr>
      </w:pPr>
      <w:r>
        <w:rPr>
          <w:rFonts w:hint="eastAsia" w:ascii="宋体" w:hAnsi="宋体" w:cs="宋体"/>
          <w:color w:val="auto"/>
          <w:szCs w:val="21"/>
          <w:highlight w:val="none"/>
        </w:rPr>
        <w:t>18.1供应商应按本磋商文件规定的格式和顺序编制响应文件并标注页码，响应文件内容</w:t>
      </w:r>
      <w:r>
        <w:rPr>
          <w:rFonts w:hint="eastAsia" w:ascii="宋体" w:hAnsi="宋体" w:cs="宋体"/>
          <w:color w:val="auto"/>
          <w:spacing w:val="-6"/>
          <w:szCs w:val="21"/>
          <w:highlight w:val="none"/>
        </w:rPr>
        <w:t>不完整、编排混乱导致响应文件被误读、漏读或者查找不到相关内容的，</w:t>
      </w:r>
      <w:r>
        <w:rPr>
          <w:rFonts w:hint="eastAsia" w:ascii="宋体" w:hAnsi="宋体"/>
          <w:color w:val="auto"/>
          <w:szCs w:val="21"/>
          <w:highlight w:val="none"/>
        </w:rPr>
        <w:t>由此引发的</w:t>
      </w:r>
      <w:r>
        <w:rPr>
          <w:rFonts w:hint="eastAsia" w:ascii="宋体" w:hAnsi="宋体" w:cs="宋体"/>
          <w:color w:val="auto"/>
          <w:spacing w:val="-6"/>
          <w:szCs w:val="21"/>
          <w:highlight w:val="none"/>
        </w:rPr>
        <w:t>后果由供应商承担。</w:t>
      </w:r>
    </w:p>
    <w:p w14:paraId="01C5F00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18.2响应文件应按资格证明文件、报价</w:t>
      </w:r>
      <w:r>
        <w:rPr>
          <w:rFonts w:hint="eastAsia" w:ascii="宋体" w:hAnsi="宋体" w:cs="宋体"/>
          <w:color w:val="auto"/>
          <w:szCs w:val="21"/>
          <w:highlight w:val="none"/>
          <w:lang w:val="en-US" w:eastAsia="zh-CN"/>
        </w:rPr>
        <w:t>文件</w:t>
      </w:r>
      <w:r>
        <w:rPr>
          <w:rFonts w:hint="eastAsia" w:ascii="宋体" w:hAnsi="宋体" w:cs="宋体"/>
          <w:color w:val="auto"/>
          <w:szCs w:val="21"/>
          <w:highlight w:val="none"/>
          <w:lang w:eastAsia="zh-CN"/>
        </w:rPr>
        <w:t>、</w:t>
      </w:r>
      <w:r>
        <w:rPr>
          <w:rFonts w:hint="eastAsia" w:ascii="宋体" w:hAnsi="宋体" w:cs="宋体"/>
          <w:color w:val="auto"/>
          <w:szCs w:val="21"/>
          <w:highlight w:val="none"/>
        </w:rPr>
        <w:t>商务</w:t>
      </w:r>
      <w:r>
        <w:rPr>
          <w:rFonts w:hint="eastAsia" w:ascii="宋体" w:hAnsi="宋体" w:cs="宋体"/>
          <w:color w:val="auto"/>
          <w:szCs w:val="21"/>
          <w:highlight w:val="none"/>
          <w:lang w:val="en-US" w:eastAsia="zh-CN"/>
        </w:rPr>
        <w:t>文件和</w:t>
      </w:r>
      <w:r>
        <w:rPr>
          <w:rFonts w:hint="eastAsia" w:ascii="宋体" w:hAnsi="宋体" w:cs="宋体"/>
          <w:color w:val="auto"/>
          <w:szCs w:val="21"/>
          <w:highlight w:val="none"/>
        </w:rPr>
        <w:t>技术文件分别编制电子文件，</w:t>
      </w:r>
      <w:r>
        <w:rPr>
          <w:rFonts w:hint="eastAsia" w:ascii="宋体" w:hAnsi="宋体" w:cs="宋体"/>
          <w:color w:val="auto"/>
          <w:szCs w:val="21"/>
          <w:highlight w:val="none"/>
          <w:lang w:bidi="ar"/>
        </w:rPr>
        <w:t>并按广西政府采购云平台的要求编制、加密、上传。</w:t>
      </w:r>
    </w:p>
    <w:p w14:paraId="1F0AF95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w:t>
      </w:r>
      <w:bookmarkStart w:id="24" w:name="_Hlk65832699"/>
      <w:r>
        <w:rPr>
          <w:rFonts w:hint="eastAsia" w:ascii="宋体" w:hAnsi="宋体" w:cs="宋体"/>
          <w:color w:val="auto"/>
          <w:szCs w:val="21"/>
          <w:highlight w:val="none"/>
        </w:rPr>
        <w:t>3</w:t>
      </w:r>
      <w:r>
        <w:rPr>
          <w:rFonts w:hint="eastAsia" w:ascii="宋体" w:hAnsi="宋体"/>
          <w:color w:val="auto"/>
          <w:szCs w:val="21"/>
          <w:highlight w:val="none"/>
        </w:rPr>
        <w:t>响应文件须由供应商在规定位置</w:t>
      </w:r>
      <w:r>
        <w:rPr>
          <w:rFonts w:hint="eastAsia" w:ascii="宋体" w:hAnsi="宋体"/>
          <w:color w:val="auto"/>
          <w:szCs w:val="21"/>
          <w:highlight w:val="none"/>
          <w:lang w:val="en-US" w:eastAsia="zh-CN"/>
        </w:rPr>
        <w:t>加</w:t>
      </w:r>
      <w:r>
        <w:rPr>
          <w:rFonts w:hint="eastAsia" w:ascii="宋体" w:hAnsi="宋体"/>
          <w:color w:val="auto"/>
          <w:szCs w:val="21"/>
          <w:highlight w:val="none"/>
        </w:rPr>
        <w:t>盖公章并签字</w:t>
      </w:r>
      <w:bookmarkStart w:id="25" w:name="_Hlk65832569"/>
      <w:r>
        <w:rPr>
          <w:rFonts w:hint="eastAsia" w:ascii="宋体" w:hAnsi="宋体"/>
          <w:color w:val="auto"/>
          <w:szCs w:val="21"/>
          <w:highlight w:val="none"/>
        </w:rPr>
        <w:t>（具体以供应商须知前附表或响应文件格式规定为准）</w:t>
      </w:r>
      <w:bookmarkEnd w:id="24"/>
      <w:bookmarkEnd w:id="25"/>
      <w:r>
        <w:rPr>
          <w:rFonts w:hint="eastAsia" w:ascii="宋体" w:hAnsi="宋体" w:cs="宋体"/>
          <w:color w:val="auto"/>
          <w:szCs w:val="21"/>
          <w:highlight w:val="none"/>
        </w:rPr>
        <w:t>，否则其响应文件按无效响应处理。</w:t>
      </w:r>
    </w:p>
    <w:p w14:paraId="4B87AF9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18.4响应文件成交注的供应商名称应与营业执照（事业单位法人证书、执业许可证、自然人身份证）及公章一致，否则其响应文件按无效响应处理。</w:t>
      </w:r>
    </w:p>
    <w:p w14:paraId="754B146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18.5响应文件应尽量避免涂改、行间插字或者删除。如果出现上述情况，改动之处应由供应商的法定代表人或者其委托代理人签字或者加盖公章。响应文件因涂改、行间插字或者删除导致字迹潦草或者表达不清所引起的后果由供应商承担。</w:t>
      </w:r>
    </w:p>
    <w:p w14:paraId="327ABC00">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19.响应文件的加密、解密</w:t>
      </w:r>
    </w:p>
    <w:p w14:paraId="417BC2AD">
      <w:pPr>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19.1电子</w:t>
      </w:r>
      <w:r>
        <w:rPr>
          <w:rFonts w:hint="eastAsia" w:ascii="宋体" w:hAnsi="宋体" w:cs="宋体"/>
          <w:color w:val="auto"/>
          <w:szCs w:val="21"/>
          <w:highlight w:val="none"/>
        </w:rPr>
        <w:t>响应文件</w:t>
      </w:r>
      <w:r>
        <w:rPr>
          <w:rFonts w:hint="eastAsia" w:ascii="宋体" w:hAnsi="宋体"/>
          <w:color w:val="auto"/>
          <w:szCs w:val="21"/>
          <w:highlight w:val="none"/>
        </w:rPr>
        <w:t>编制完成后，供应商应按广西政府采购云平台的要求进行加密，并在规定时间内解密，否则，由此产生的后果由供应商自行负责。</w:t>
      </w:r>
    </w:p>
    <w:p w14:paraId="019521B1">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20.响应文件的提交</w:t>
      </w:r>
    </w:p>
    <w:p w14:paraId="29FF5CF2">
      <w:pPr>
        <w:keepNext w:val="0"/>
        <w:keepLines w:val="0"/>
        <w:pageBreakBefore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20.1供应商必须在“供应商须知前附表”规定的时间和地点提交响应文件。</w:t>
      </w:r>
    </w:p>
    <w:p w14:paraId="228161C1">
      <w:pPr>
        <w:keepNext w:val="0"/>
        <w:keepLines w:val="0"/>
        <w:pageBreakBefore w:val="0"/>
        <w:widowControl/>
        <w:kinsoku/>
        <w:wordWrap w:val="0"/>
        <w:overflowPunct/>
        <w:topLinePunct w:val="0"/>
        <w:autoSpaceDE/>
        <w:autoSpaceDN/>
        <w:bidi w:val="0"/>
        <w:adjustRightInd/>
        <w:snapToGrid/>
        <w:spacing w:line="360" w:lineRule="auto"/>
        <w:ind w:firstLine="420" w:firstLineChars="200"/>
        <w:textAlignment w:val="auto"/>
        <w:rPr>
          <w:rFonts w:hint="eastAsia" w:ascii="宋体" w:hAnsi="宋体" w:cs="宋体"/>
          <w:b/>
          <w:color w:val="auto"/>
          <w:szCs w:val="21"/>
          <w:highlight w:val="none"/>
          <w:lang w:bidi="ar"/>
        </w:rPr>
      </w:pPr>
      <w:r>
        <w:rPr>
          <w:rFonts w:hint="eastAsia" w:ascii="宋体" w:hAnsi="宋体" w:cs="宋体"/>
          <w:color w:val="auto"/>
          <w:szCs w:val="21"/>
          <w:highlight w:val="none"/>
        </w:rPr>
        <w:t>20.2</w:t>
      </w:r>
      <w:r>
        <w:rPr>
          <w:rFonts w:hint="eastAsia" w:ascii="宋体" w:hAnsi="宋体" w:cs="宋体"/>
          <w:color w:val="auto"/>
          <w:szCs w:val="21"/>
          <w:highlight w:val="none"/>
          <w:lang w:bidi="ar"/>
        </w:rPr>
        <w:t>本项目为全流程电子化政府采购项目，通过广西政府采购云平台（https://www.gcy.zfcg.gxzf.gov.cn）实行在线电子竞标，供应商应先安装“政采云电子交易客户端”（请自行前往广西政府采购云平台进行下载），并按照本项目竞争性磋商文件和广西政府采购云平台的要求编制、加密后在首次响应文件提交截止时间前通过网络上传至广西政府采购云平台，</w:t>
      </w:r>
      <w:r>
        <w:rPr>
          <w:rFonts w:hint="eastAsia" w:ascii="宋体" w:hAnsi="宋体" w:cs="宋体"/>
          <w:b/>
          <w:color w:val="auto"/>
          <w:szCs w:val="21"/>
          <w:highlight w:val="none"/>
          <w:lang w:bidi="ar"/>
        </w:rPr>
        <w:t>供应商在广西政府采购云平台提交电子版响应文件时，请填写参加远程开标活动经办人联系方式。</w:t>
      </w:r>
    </w:p>
    <w:p w14:paraId="173A682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20.3未在规定时间内上传或者未按广西政府采购云平台的要求编制、加密的电子响应文件，广西政府采购云平台将拒收。</w:t>
      </w:r>
    </w:p>
    <w:p w14:paraId="3C964211">
      <w:pPr>
        <w:pStyle w:val="6"/>
        <w:spacing w:line="360" w:lineRule="auto"/>
        <w:rPr>
          <w:rFonts w:hint="eastAsia" w:ascii="宋体" w:hAnsi="宋体" w:cs="宋体"/>
          <w:color w:val="auto"/>
          <w:szCs w:val="21"/>
          <w:highlight w:val="none"/>
        </w:rPr>
      </w:pPr>
      <w:r>
        <w:rPr>
          <w:rFonts w:hint="eastAsia" w:ascii="宋体" w:hAnsi="宋体"/>
          <w:color w:val="auto"/>
          <w:szCs w:val="21"/>
          <w:highlight w:val="none"/>
        </w:rPr>
        <w:t>20.4电子</w:t>
      </w:r>
      <w:r>
        <w:rPr>
          <w:rFonts w:hint="eastAsia" w:ascii="宋体" w:hAnsi="宋体" w:cs="宋体"/>
          <w:color w:val="auto"/>
          <w:szCs w:val="21"/>
          <w:highlight w:val="none"/>
        </w:rPr>
        <w:t>响应文件</w:t>
      </w:r>
      <w:r>
        <w:rPr>
          <w:rFonts w:hint="eastAsia" w:ascii="宋体" w:hAnsi="宋体"/>
          <w:color w:val="auto"/>
          <w:szCs w:val="21"/>
          <w:highlight w:val="none"/>
        </w:rPr>
        <w:t>提交方</w:t>
      </w:r>
      <w:r>
        <w:rPr>
          <w:rFonts w:hint="eastAsia" w:ascii="宋体" w:hAnsi="宋体"/>
          <w:bCs/>
          <w:color w:val="auto"/>
          <w:szCs w:val="21"/>
          <w:highlight w:val="none"/>
        </w:rPr>
        <w:t>式见“竞争性磋商公告”</w:t>
      </w:r>
      <w:r>
        <w:rPr>
          <w:rFonts w:hint="eastAsia" w:ascii="宋体" w:hAnsi="宋体"/>
          <w:color w:val="auto"/>
          <w:szCs w:val="21"/>
          <w:highlight w:val="none"/>
        </w:rPr>
        <w:t>中“四、响应文件提交”。</w:t>
      </w:r>
    </w:p>
    <w:p w14:paraId="6A6AC247">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21.首次响应文件的补充、修改与撤回</w:t>
      </w:r>
    </w:p>
    <w:p w14:paraId="0A4B1E65">
      <w:pPr>
        <w:spacing w:line="360" w:lineRule="auto"/>
        <w:ind w:firstLine="420" w:firstLineChars="200"/>
        <w:rPr>
          <w:rFonts w:hint="eastAsia" w:ascii="宋体" w:hAnsi="宋体" w:cs="宋体"/>
          <w:bCs/>
          <w:color w:val="auto"/>
          <w:szCs w:val="21"/>
          <w:highlight w:val="none"/>
          <w:lang w:bidi="ar"/>
        </w:rPr>
      </w:pPr>
      <w:r>
        <w:rPr>
          <w:rFonts w:hint="eastAsia" w:ascii="宋体" w:hAnsi="宋体" w:cs="宋体"/>
          <w:bCs/>
          <w:color w:val="auto"/>
          <w:szCs w:val="21"/>
          <w:highlight w:val="none"/>
          <w:lang w:bidi="ar"/>
        </w:rPr>
        <w:t>21.1供应商应当在首次响应文件提交截止时间前完成电子响应文件的上传、递交</w:t>
      </w:r>
      <w:r>
        <w:rPr>
          <w:rFonts w:hint="eastAsia" w:ascii="宋体" w:hAnsi="宋体" w:cs="宋体"/>
          <w:bCs/>
          <w:color w:val="auto"/>
          <w:szCs w:val="21"/>
          <w:highlight w:val="none"/>
          <w:lang w:eastAsia="zh-CN" w:bidi="ar"/>
        </w:rPr>
        <w:t>，在</w:t>
      </w:r>
      <w:r>
        <w:rPr>
          <w:rFonts w:hint="eastAsia" w:ascii="宋体" w:hAnsi="宋体" w:cs="宋体"/>
          <w:bCs/>
          <w:color w:val="auto"/>
          <w:szCs w:val="21"/>
          <w:highlight w:val="none"/>
          <w:lang w:bidi="ar"/>
        </w:rPr>
        <w:t>首次响应文件提交截止时间前可以补充、修改或者撤回响应文件。补充或者修改响应文件的，应当先行撤回原文件，补充、修改后重新上传、递交。首次响应文件提交截止时间前未完成上传、递交的，视为撤回响应文件。首次响应文件提交截止时间以后上传递交的响应文件，广西政府采购云平台将予以拒收。</w:t>
      </w:r>
    </w:p>
    <w:p w14:paraId="068E4B62">
      <w:pPr>
        <w:spacing w:line="360" w:lineRule="auto"/>
        <w:ind w:firstLine="422" w:firstLineChars="200"/>
        <w:rPr>
          <w:rFonts w:ascii="宋体" w:hAnsi="宋体" w:cs="宋体"/>
          <w:b/>
          <w:bCs/>
          <w:color w:val="auto"/>
          <w:szCs w:val="21"/>
          <w:highlight w:val="none"/>
        </w:rPr>
      </w:pPr>
      <w:bookmarkStart w:id="26" w:name="_Hlk45702405"/>
      <w:r>
        <w:rPr>
          <w:rFonts w:hint="eastAsia" w:ascii="宋体" w:hAnsi="宋体" w:cs="宋体"/>
          <w:b/>
          <w:bCs/>
          <w:color w:val="auto"/>
          <w:szCs w:val="21"/>
          <w:highlight w:val="none"/>
        </w:rPr>
        <w:t>22.首次响应文件的退回</w:t>
      </w:r>
    </w:p>
    <w:p w14:paraId="3823CED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22.1在首次响应文件提交截止时间止提交响应文件的供应商不足3家时，</w:t>
      </w:r>
      <w:r>
        <w:rPr>
          <w:rFonts w:hint="eastAsia" w:ascii="宋体" w:hAnsi="宋体"/>
          <w:color w:val="auto"/>
          <w:szCs w:val="21"/>
          <w:highlight w:val="none"/>
        </w:rPr>
        <w:t>采购代理机构将根据广西政府采购云平台的操作将电子版响应文件退回，</w:t>
      </w:r>
      <w:r>
        <w:rPr>
          <w:rFonts w:hint="eastAsia" w:ascii="宋体" w:hAnsi="宋体" w:cs="宋体"/>
          <w:color w:val="auto"/>
          <w:szCs w:val="21"/>
          <w:highlight w:val="none"/>
        </w:rPr>
        <w:t>除此之外采购人和采购代理机构对已提交的电子响应文件概不退回。</w:t>
      </w:r>
    </w:p>
    <w:p w14:paraId="026A2C6C">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23.截止时间后的撤回</w:t>
      </w:r>
    </w:p>
    <w:p w14:paraId="583ECAF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23.1供应商在首次响应文件提交截止时间后书面通知采购人、采购代理机构书面撤回响应文件的，将根据本须知正文17.4的规定不予退还其磋商保证金。</w:t>
      </w:r>
    </w:p>
    <w:bookmarkEnd w:id="26"/>
    <w:p w14:paraId="2337B493">
      <w:pPr>
        <w:spacing w:line="360" w:lineRule="auto"/>
        <w:rPr>
          <w:rFonts w:hint="eastAsia" w:ascii="宋体" w:hAnsi="宋体"/>
          <w:color w:val="auto"/>
          <w:szCs w:val="21"/>
          <w:highlight w:val="none"/>
        </w:rPr>
      </w:pPr>
    </w:p>
    <w:p w14:paraId="1AEBF1DB">
      <w:pPr>
        <w:spacing w:line="360" w:lineRule="auto"/>
        <w:jc w:val="center"/>
        <w:rPr>
          <w:rFonts w:hint="eastAsia" w:ascii="宋体" w:hAnsi="宋体"/>
          <w:b/>
          <w:bCs/>
          <w:color w:val="auto"/>
          <w:sz w:val="32"/>
          <w:szCs w:val="32"/>
          <w:highlight w:val="none"/>
        </w:rPr>
      </w:pPr>
      <w:r>
        <w:rPr>
          <w:rFonts w:hint="eastAsia" w:ascii="宋体" w:hAnsi="宋体"/>
          <w:b/>
          <w:bCs/>
          <w:color w:val="auto"/>
          <w:sz w:val="32"/>
          <w:szCs w:val="32"/>
          <w:highlight w:val="none"/>
        </w:rPr>
        <w:t>四、评审及磋商</w:t>
      </w:r>
    </w:p>
    <w:p w14:paraId="707080C9">
      <w:pPr>
        <w:spacing w:line="360" w:lineRule="auto"/>
        <w:ind w:firstLine="482" w:firstLineChars="200"/>
        <w:rPr>
          <w:rFonts w:hint="eastAsia" w:ascii="黑体" w:hAnsi="黑体" w:eastAsia="黑体" w:cs="宋体"/>
          <w:b/>
          <w:bCs/>
          <w:color w:val="auto"/>
          <w:sz w:val="24"/>
          <w:highlight w:val="none"/>
        </w:rPr>
      </w:pPr>
    </w:p>
    <w:p w14:paraId="0C5C1877">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24.磋商小组成立</w:t>
      </w:r>
    </w:p>
    <w:p w14:paraId="32D389E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676F6CE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7733837D">
      <w:pPr>
        <w:spacing w:line="360" w:lineRule="auto"/>
        <w:ind w:firstLine="422" w:firstLineChars="200"/>
        <w:rPr>
          <w:rFonts w:ascii="宋体" w:hAnsi="宋体" w:cs="宋体"/>
          <w:b/>
          <w:bCs/>
          <w:color w:val="auto"/>
          <w:szCs w:val="21"/>
          <w:highlight w:val="none"/>
        </w:rPr>
      </w:pPr>
      <w:r>
        <w:rPr>
          <w:rFonts w:ascii="宋体" w:hAnsi="宋体" w:cs="宋体"/>
          <w:b/>
          <w:bCs/>
          <w:color w:val="auto"/>
          <w:szCs w:val="21"/>
          <w:highlight w:val="none"/>
        </w:rPr>
        <w:t>25.</w:t>
      </w:r>
      <w:r>
        <w:rPr>
          <w:rFonts w:hint="eastAsia" w:ascii="宋体" w:hAnsi="宋体" w:cs="宋体"/>
          <w:b/>
          <w:bCs/>
          <w:color w:val="auto"/>
          <w:szCs w:val="21"/>
          <w:highlight w:val="none"/>
        </w:rPr>
        <w:t>首次响应文件的开启</w:t>
      </w:r>
    </w:p>
    <w:p w14:paraId="597940A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25.1首次响应文件由磋商小组或者采购代理机构在“供应商须知前附表”规定的时间开启。</w:t>
      </w:r>
    </w:p>
    <w:p w14:paraId="0850CA8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25.2响应文件解密：采购代理机构将在“供应商须知前附表”规定的时间通过电子交易平台组织响应文件开启，采购代理机构将依托电子交易平台发起开始解密指令，</w:t>
      </w:r>
      <w:r>
        <w:rPr>
          <w:rFonts w:hint="eastAsia" w:ascii="宋体" w:hAnsi="宋体" w:cs="宋体"/>
          <w:b/>
          <w:color w:val="auto"/>
          <w:szCs w:val="21"/>
          <w:highlight w:val="none"/>
        </w:rPr>
        <w:t>供应商的法定代表人或其委托代理人须携带加密时所用的CA锁按平台提示和采购文件的规定登录到广西政府采购云平台电子开标大厅签到并在发起解密指令之时起30分钟内完成对电子响应文件在线解密。</w:t>
      </w:r>
      <w:r>
        <w:rPr>
          <w:rFonts w:hint="eastAsia" w:ascii="宋体" w:hAnsi="宋体"/>
          <w:b/>
          <w:bCs/>
          <w:color w:val="auto"/>
          <w:szCs w:val="21"/>
          <w:highlight w:val="none"/>
        </w:rPr>
        <w:t>响应文件未按时解密的，</w:t>
      </w:r>
      <w:r>
        <w:rPr>
          <w:rFonts w:hint="eastAsia" w:ascii="宋体" w:hAnsi="宋体" w:cs="宋体"/>
          <w:b/>
          <w:color w:val="auto"/>
          <w:szCs w:val="21"/>
          <w:highlight w:val="none"/>
        </w:rPr>
        <w:t>视为响应</w:t>
      </w:r>
      <w:r>
        <w:rPr>
          <w:rFonts w:hint="eastAsia" w:ascii="宋体" w:hAnsi="宋体"/>
          <w:b/>
          <w:bCs/>
          <w:color w:val="auto"/>
          <w:szCs w:val="21"/>
          <w:highlight w:val="none"/>
        </w:rPr>
        <w:t>文件无效。</w:t>
      </w:r>
      <w:r>
        <w:rPr>
          <w:rFonts w:hint="eastAsia" w:ascii="宋体" w:hAnsi="宋体" w:cs="宋体"/>
          <w:color w:val="auto"/>
          <w:szCs w:val="21"/>
          <w:highlight w:val="none"/>
        </w:rPr>
        <w:t>（解密异常情况处理：详见本章26.2电子交易活动的中止。）</w:t>
      </w:r>
    </w:p>
    <w:p w14:paraId="4524A05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25.3成功解密响应文件的供应商不足3家的，不得磋商。</w:t>
      </w:r>
    </w:p>
    <w:p w14:paraId="430FABE2">
      <w:pPr>
        <w:spacing w:line="360" w:lineRule="auto"/>
        <w:ind w:firstLine="422" w:firstLineChars="200"/>
        <w:rPr>
          <w:rFonts w:hint="eastAsia" w:ascii="宋体" w:hAnsi="宋体" w:cs="宋体"/>
          <w:b/>
          <w:bCs/>
          <w:color w:val="auto"/>
          <w:szCs w:val="21"/>
          <w:highlight w:val="none"/>
        </w:rPr>
      </w:pPr>
      <w:r>
        <w:rPr>
          <w:rFonts w:ascii="宋体" w:hAnsi="宋体" w:cs="宋体"/>
          <w:b/>
          <w:bCs/>
          <w:color w:val="auto"/>
          <w:szCs w:val="21"/>
          <w:highlight w:val="none"/>
        </w:rPr>
        <w:t>26</w:t>
      </w:r>
      <w:r>
        <w:rPr>
          <w:rFonts w:hint="eastAsia" w:ascii="宋体" w:hAnsi="宋体" w:cs="宋体"/>
          <w:b/>
          <w:bCs/>
          <w:color w:val="auto"/>
          <w:szCs w:val="21"/>
          <w:highlight w:val="none"/>
        </w:rPr>
        <w:t>.评审程序、评审方法和评审标准</w:t>
      </w:r>
    </w:p>
    <w:p w14:paraId="57042A4D">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26.</w:t>
      </w:r>
      <w:r>
        <w:rPr>
          <w:rFonts w:hint="eastAsia" w:ascii="宋体" w:hAnsi="宋体" w:cs="宋体"/>
          <w:color w:val="auto"/>
          <w:szCs w:val="21"/>
          <w:highlight w:val="none"/>
        </w:rPr>
        <w:t>1磋商小组</w:t>
      </w:r>
      <w:r>
        <w:rPr>
          <w:rFonts w:ascii="宋体" w:hAnsi="宋体" w:cs="宋体"/>
          <w:color w:val="auto"/>
          <w:szCs w:val="21"/>
          <w:highlight w:val="none"/>
        </w:rPr>
        <w:t>按照</w:t>
      </w:r>
      <w:r>
        <w:rPr>
          <w:rFonts w:hint="eastAsia" w:ascii="宋体" w:hAnsi="宋体" w:cs="宋体"/>
          <w:color w:val="auto"/>
          <w:szCs w:val="21"/>
          <w:highlight w:val="none"/>
        </w:rPr>
        <w:t>“第四章 评审程序、评审方法和评审标准”</w:t>
      </w:r>
      <w:r>
        <w:rPr>
          <w:rFonts w:ascii="宋体" w:hAnsi="宋体" w:cs="宋体"/>
          <w:color w:val="auto"/>
          <w:szCs w:val="21"/>
          <w:highlight w:val="none"/>
        </w:rPr>
        <w:t>规定的方法、评审因素、标准和程序对</w:t>
      </w:r>
      <w:r>
        <w:rPr>
          <w:rFonts w:hint="eastAsia" w:ascii="宋体" w:hAnsi="宋体" w:cs="宋体"/>
          <w:color w:val="auto"/>
          <w:szCs w:val="21"/>
          <w:highlight w:val="none"/>
        </w:rPr>
        <w:t>响应</w:t>
      </w:r>
      <w:r>
        <w:rPr>
          <w:rFonts w:ascii="宋体" w:hAnsi="宋体" w:cs="宋体"/>
          <w:color w:val="auto"/>
          <w:szCs w:val="21"/>
          <w:highlight w:val="none"/>
        </w:rPr>
        <w:t>文件进行评审。</w:t>
      </w:r>
    </w:p>
    <w:p w14:paraId="5249A6F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26.2电子交易活动的中止。采购过程中出现以下情形，导致电子交易平台无法正常运行，或者无法保证电子交易的公平、公正和安全时，采购机构可中止电子交易活动：</w:t>
      </w:r>
    </w:p>
    <w:p w14:paraId="68FF01C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（1）电子交易平台发生故障而无法登录访问的； </w:t>
      </w:r>
    </w:p>
    <w:p w14:paraId="1617525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（2）电子交易平台应用或数据库出现错误，不能进行正常操作的；</w:t>
      </w:r>
    </w:p>
    <w:p w14:paraId="251C3E8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（3）电子交易平台发现严重安全漏洞，有潜在泄密危险的；</w:t>
      </w:r>
    </w:p>
    <w:p w14:paraId="3137194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（4）病毒发作导致不能进行正常操作的； </w:t>
      </w:r>
    </w:p>
    <w:p w14:paraId="584A9D3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（4）其他无法保证电子交易的公平、公正和安全的情况。</w:t>
      </w:r>
    </w:p>
    <w:p w14:paraId="4E8D995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26.3出现以上情形，不影响采购公平、公正性的，采购代理机构可以待上述情形消除后继续组织电子交易活动；影响或可能影响采购公平、公正性的，经采购代理机构确认后，应当重新采购。</w:t>
      </w:r>
    </w:p>
    <w:p w14:paraId="3427A0A7">
      <w:pPr>
        <w:spacing w:line="360" w:lineRule="auto"/>
        <w:ind w:firstLine="422" w:firstLineChars="200"/>
        <w:rPr>
          <w:rFonts w:hint="eastAsia" w:ascii="宋体" w:hAnsi="宋体" w:cs="宋体"/>
          <w:b/>
          <w:bCs/>
          <w:color w:val="auto"/>
          <w:szCs w:val="21"/>
          <w:highlight w:val="none"/>
        </w:rPr>
      </w:pPr>
      <w:r>
        <w:rPr>
          <w:rFonts w:ascii="宋体" w:hAnsi="宋体" w:cs="宋体"/>
          <w:b/>
          <w:bCs/>
          <w:color w:val="auto"/>
          <w:szCs w:val="21"/>
          <w:highlight w:val="none"/>
        </w:rPr>
        <w:t>27</w:t>
      </w:r>
      <w:r>
        <w:rPr>
          <w:rFonts w:hint="eastAsia" w:ascii="宋体" w:hAnsi="宋体" w:cs="宋体"/>
          <w:b/>
          <w:bCs/>
          <w:color w:val="auto"/>
          <w:szCs w:val="21"/>
          <w:highlight w:val="none"/>
        </w:rPr>
        <w:t>.确定成交供应商及结果公告</w:t>
      </w:r>
    </w:p>
    <w:p w14:paraId="65E8D4FA">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.1</w:t>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7FEC8076">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.2采购代理机构应当在</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供应商确定后2个工作日内，在省级以上财政部门指定的媒体上公告成交结果，同时向成交供应商发出成交通知书。</w:t>
      </w:r>
      <w:r>
        <w:rPr>
          <w:rFonts w:hint="eastAsia" w:ascii="宋体" w:hAnsi="宋体" w:cs="宋体"/>
          <w:b/>
          <w:color w:val="auto"/>
          <w:szCs w:val="21"/>
          <w:highlight w:val="none"/>
        </w:rPr>
        <w:t>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w:t>
      </w:r>
      <w:r>
        <w:rPr>
          <w:rFonts w:hint="eastAsia" w:ascii="宋体" w:hAnsi="宋体" w:cs="宋体"/>
          <w:color w:val="auto"/>
          <w:szCs w:val="21"/>
          <w:highlight w:val="none"/>
        </w:rPr>
        <w:t>排名第二的成交候选人因上述规定的同样原因被取消成交资格的，采购人可以确定排名第三的成交候选人为成交供应商，以此类推。以上信息查询记录及相关证据与磋商文件一并保存。</w:t>
      </w:r>
      <w:bookmarkStart w:id="27" w:name="_Hlk66782294"/>
      <w:r>
        <w:rPr>
          <w:rFonts w:hint="eastAsia" w:ascii="宋体" w:hAnsi="宋体" w:cs="Courier New"/>
          <w:color w:val="auto"/>
          <w:szCs w:val="21"/>
          <w:highlight w:val="none"/>
        </w:rPr>
        <w:t>成交供应商享受</w:t>
      </w:r>
      <w:r>
        <w:rPr>
          <w:rFonts w:hint="eastAsia" w:ascii="宋体" w:hAnsi="宋体"/>
          <w:color w:val="auto"/>
          <w:szCs w:val="21"/>
          <w:highlight w:val="none"/>
        </w:rPr>
        <w:t>《政府采购促进中小企业发展管理办法》（财库〔2020〕46号）及《广西壮族自治区财政厅关于持续优化政府采购营商环境推动高质量发展的通知》（桂财采〔2024〕55号）规定的中小企业扶持</w:t>
      </w:r>
      <w:r>
        <w:rPr>
          <w:rFonts w:hint="eastAsia" w:ascii="宋体" w:hAnsi="宋体" w:cs="Courier New"/>
          <w:color w:val="auto"/>
          <w:szCs w:val="21"/>
          <w:highlight w:val="none"/>
        </w:rPr>
        <w:t>政策的，采购人、采购代理机构应当随成交结果公开成交供应商的《中小企业声明函》。</w:t>
      </w:r>
      <w:bookmarkEnd w:id="27"/>
    </w:p>
    <w:p w14:paraId="062E7E86">
      <w:pPr>
        <w:spacing w:line="360" w:lineRule="auto"/>
        <w:ind w:firstLine="420" w:firstLineChars="200"/>
        <w:rPr>
          <w:rFonts w:hint="eastAsia" w:ascii="宋体" w:hAnsi="宋体" w:cs="Courier New"/>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7.3</w:t>
      </w:r>
      <w:r>
        <w:rPr>
          <w:rFonts w:hint="eastAsia" w:ascii="宋体" w:hAnsi="宋体" w:cs="Courier New"/>
          <w:color w:val="auto"/>
          <w:szCs w:val="21"/>
          <w:highlight w:val="none"/>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w:t>
      </w:r>
      <w:r>
        <w:rPr>
          <w:rFonts w:ascii="宋体" w:hAnsi="宋体" w:cs="Courier New"/>
          <w:color w:val="auto"/>
          <w:szCs w:val="21"/>
          <w:highlight w:val="none"/>
        </w:rPr>
        <w:t>拒绝签订政府采购合同的成交供应商不得参加对该项目重新开展的采购活动。</w:t>
      </w:r>
    </w:p>
    <w:p w14:paraId="7CFF25AD">
      <w:pPr>
        <w:spacing w:line="360" w:lineRule="auto"/>
        <w:ind w:firstLine="422" w:firstLineChars="200"/>
        <w:rPr>
          <w:rFonts w:hint="eastAsia" w:ascii="宋体" w:hAnsi="宋体" w:cs="宋体"/>
          <w:b/>
          <w:bCs/>
          <w:color w:val="auto"/>
          <w:szCs w:val="21"/>
          <w:highlight w:val="none"/>
        </w:rPr>
      </w:pPr>
      <w:r>
        <w:rPr>
          <w:rFonts w:ascii="宋体" w:hAnsi="宋体" w:cs="宋体"/>
          <w:b/>
          <w:bCs/>
          <w:color w:val="auto"/>
          <w:szCs w:val="21"/>
          <w:highlight w:val="none"/>
        </w:rPr>
        <w:t>28</w:t>
      </w:r>
      <w:r>
        <w:rPr>
          <w:rFonts w:hint="eastAsia" w:ascii="宋体" w:hAnsi="宋体" w:cs="宋体"/>
          <w:b/>
          <w:bCs/>
          <w:color w:val="auto"/>
          <w:szCs w:val="21"/>
          <w:highlight w:val="none"/>
        </w:rPr>
        <w:t>.履约保证金</w:t>
      </w:r>
    </w:p>
    <w:p w14:paraId="4F384E71">
      <w:pPr>
        <w:spacing w:line="360" w:lineRule="auto"/>
        <w:ind w:firstLine="424" w:firstLineChars="202"/>
        <w:rPr>
          <w:rFonts w:hint="eastAsia"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.1</w:t>
      </w:r>
      <w:r>
        <w:rPr>
          <w:rFonts w:ascii="宋体" w:hAnsi="宋体" w:cs="宋体"/>
          <w:color w:val="auto"/>
          <w:szCs w:val="21"/>
          <w:highlight w:val="none"/>
        </w:rPr>
        <w:t xml:space="preserve"> </w:t>
      </w:r>
      <w:r>
        <w:rPr>
          <w:rFonts w:hint="eastAsia" w:ascii="宋体" w:hAnsi="宋体" w:cs="宋体"/>
          <w:color w:val="auto"/>
          <w:szCs w:val="21"/>
          <w:highlight w:val="none"/>
        </w:rPr>
        <w:t>履约保证金的金额、提交方式、退付的时间和条件详见“供应商须知前附表”。成交供应商未按规定提交履约保证金的，视为拒绝</w:t>
      </w:r>
      <w:r>
        <w:rPr>
          <w:rFonts w:ascii="宋体" w:hAnsi="宋体"/>
          <w:color w:val="auto"/>
          <w:szCs w:val="21"/>
          <w:highlight w:val="none"/>
        </w:rPr>
        <w:t>与采购人</w:t>
      </w:r>
      <w:r>
        <w:rPr>
          <w:rFonts w:hint="eastAsia" w:ascii="宋体" w:hAnsi="宋体" w:cs="宋体"/>
          <w:color w:val="auto"/>
          <w:szCs w:val="21"/>
          <w:highlight w:val="none"/>
        </w:rPr>
        <w:t>签订合同。</w:t>
      </w:r>
    </w:p>
    <w:p w14:paraId="114084FF">
      <w:pPr>
        <w:spacing w:line="360" w:lineRule="auto"/>
        <w:ind w:firstLine="424" w:firstLineChars="202"/>
        <w:rPr>
          <w:rFonts w:hint="eastAsia"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.2在履约保证金退还日期前，若成交供应商的开户名称、开户银行、</w:t>
      </w:r>
      <w:r>
        <w:rPr>
          <w:rFonts w:hint="eastAsia" w:ascii="宋体" w:hAnsi="宋体" w:cs="宋体"/>
          <w:color w:val="auto"/>
          <w:szCs w:val="21"/>
          <w:highlight w:val="none"/>
          <w:lang w:eastAsia="zh-CN"/>
        </w:rPr>
        <w:t>账号</w:t>
      </w:r>
      <w:r>
        <w:rPr>
          <w:rFonts w:hint="eastAsia" w:ascii="宋体" w:hAnsi="宋体" w:cs="宋体"/>
          <w:color w:val="auto"/>
          <w:szCs w:val="21"/>
          <w:highlight w:val="none"/>
        </w:rPr>
        <w:t>有变动的，请以书面形式通知履约保证金收取单位，否则由此产生的后果由成交供应商自行承担。</w:t>
      </w:r>
    </w:p>
    <w:p w14:paraId="13D77114">
      <w:pPr>
        <w:spacing w:line="360" w:lineRule="auto"/>
        <w:ind w:firstLine="422" w:firstLineChars="200"/>
        <w:rPr>
          <w:rFonts w:hint="eastAsia" w:ascii="宋体" w:hAnsi="宋体" w:cs="宋体"/>
          <w:b/>
          <w:bCs/>
          <w:color w:val="auto"/>
          <w:szCs w:val="21"/>
          <w:highlight w:val="none"/>
        </w:rPr>
      </w:pPr>
      <w:r>
        <w:rPr>
          <w:rFonts w:ascii="宋体" w:hAnsi="宋体" w:cs="宋体"/>
          <w:b/>
          <w:bCs/>
          <w:color w:val="auto"/>
          <w:szCs w:val="21"/>
          <w:highlight w:val="none"/>
        </w:rPr>
        <w:t>29</w:t>
      </w:r>
      <w:r>
        <w:rPr>
          <w:rFonts w:hint="eastAsia" w:ascii="宋体" w:hAnsi="宋体" w:cs="宋体"/>
          <w:b/>
          <w:bCs/>
          <w:color w:val="auto"/>
          <w:szCs w:val="21"/>
          <w:highlight w:val="none"/>
        </w:rPr>
        <w:t>.签订合同</w:t>
      </w:r>
    </w:p>
    <w:p w14:paraId="47E85F2B">
      <w:pPr>
        <w:spacing w:line="360" w:lineRule="auto"/>
        <w:ind w:firstLine="424" w:firstLineChars="202"/>
        <w:rPr>
          <w:rFonts w:hint="eastAsia" w:ascii="宋体" w:hAnsi="宋体" w:cs="宋体"/>
          <w:color w:val="auto"/>
          <w:szCs w:val="21"/>
          <w:highlight w:val="none"/>
        </w:rPr>
      </w:pPr>
      <w:r>
        <w:rPr>
          <w:rFonts w:ascii="宋体" w:hAnsi="宋体" w:cs="宋体"/>
          <w:color w:val="auto"/>
          <w:szCs w:val="21"/>
          <w:highlight w:val="none"/>
        </w:rPr>
        <w:t>29.1</w:t>
      </w:r>
      <w:r>
        <w:rPr>
          <w:rFonts w:hint="eastAsia" w:ascii="宋体" w:hAnsi="宋体" w:cs="宋体"/>
          <w:color w:val="auto"/>
          <w:szCs w:val="21"/>
          <w:highlight w:val="none"/>
        </w:rPr>
        <w:t>成交供应商在收到成交通知书</w:t>
      </w:r>
      <w:r>
        <w:rPr>
          <w:rFonts w:hint="eastAsia" w:ascii="宋体" w:hAnsi="宋体"/>
          <w:color w:val="auto"/>
          <w:szCs w:val="21"/>
          <w:highlight w:val="none"/>
        </w:rPr>
        <w:t>（书面或电子）</w:t>
      </w:r>
      <w:r>
        <w:rPr>
          <w:rFonts w:hint="eastAsia" w:ascii="宋体" w:hAnsi="宋体" w:cs="宋体"/>
          <w:color w:val="auto"/>
          <w:szCs w:val="21"/>
          <w:highlight w:val="none"/>
        </w:rPr>
        <w:t>后，应当在签订合同时向采购人出示相关证明材料，具体内容详见“供应商须知前附表”，经采购人核验合格后方可签订合同</w:t>
      </w:r>
      <w:r>
        <w:rPr>
          <w:rFonts w:hint="eastAsia" w:ascii="宋体" w:hAnsi="宋体"/>
          <w:color w:val="auto"/>
          <w:szCs w:val="21"/>
          <w:highlight w:val="none"/>
        </w:rPr>
        <w:t>（书面或电子）</w:t>
      </w:r>
      <w:r>
        <w:rPr>
          <w:rFonts w:hint="eastAsia" w:ascii="宋体" w:hAnsi="宋体" w:cs="宋体"/>
          <w:color w:val="auto"/>
          <w:szCs w:val="21"/>
          <w:highlight w:val="none"/>
        </w:rPr>
        <w:t>。</w:t>
      </w:r>
      <w:r>
        <w:rPr>
          <w:rFonts w:hint="eastAsia" w:ascii="宋体" w:hAnsi="宋体"/>
          <w:color w:val="auto"/>
          <w:szCs w:val="21"/>
          <w:highlight w:val="none"/>
        </w:rPr>
        <w:t>如成交供应商为联合体的，</w:t>
      </w:r>
      <w:r>
        <w:rPr>
          <w:rFonts w:ascii="宋体" w:hAnsi="宋体"/>
          <w:color w:val="auto"/>
          <w:szCs w:val="21"/>
          <w:highlight w:val="none"/>
        </w:rPr>
        <w:t>联合体各方应当共同与采购人签订采购合同，就采购合同约定的事项对采购人承担连带责任。</w:t>
      </w:r>
    </w:p>
    <w:p w14:paraId="32F16E8D">
      <w:pPr>
        <w:spacing w:line="360" w:lineRule="auto"/>
        <w:ind w:firstLine="424" w:firstLineChars="202"/>
        <w:rPr>
          <w:rFonts w:hint="eastAsia" w:ascii="宋体" w:hAnsi="宋体" w:cs="宋体"/>
          <w:color w:val="auto"/>
          <w:szCs w:val="21"/>
          <w:highlight w:val="none"/>
        </w:rPr>
      </w:pPr>
      <w:r>
        <w:rPr>
          <w:rFonts w:ascii="宋体" w:hAnsi="宋体" w:cs="宋体"/>
          <w:color w:val="auto"/>
          <w:szCs w:val="21"/>
          <w:highlight w:val="none"/>
        </w:rPr>
        <w:t>29</w:t>
      </w:r>
      <w:r>
        <w:rPr>
          <w:rFonts w:hint="eastAsia" w:ascii="宋体" w:hAnsi="宋体" w:cs="宋体"/>
          <w:color w:val="auto"/>
          <w:szCs w:val="21"/>
          <w:highlight w:val="none"/>
        </w:rPr>
        <w:t>.2签订合同时间：按成交通知书规定的时间与采购人签订政府采购合同</w:t>
      </w:r>
      <w:r>
        <w:rPr>
          <w:rFonts w:hint="eastAsia" w:ascii="宋体" w:hAnsi="宋体"/>
          <w:color w:val="auto"/>
          <w:szCs w:val="21"/>
          <w:highlight w:val="none"/>
        </w:rPr>
        <w:t>（最长不能超过25日）</w:t>
      </w:r>
      <w:r>
        <w:rPr>
          <w:rFonts w:hint="eastAsia" w:ascii="宋体" w:hAnsi="宋体" w:cs="宋体"/>
          <w:color w:val="auto"/>
          <w:szCs w:val="21"/>
          <w:highlight w:val="none"/>
        </w:rPr>
        <w:t>。</w:t>
      </w:r>
    </w:p>
    <w:p w14:paraId="7AE9B7F4">
      <w:pPr>
        <w:spacing w:line="360" w:lineRule="auto"/>
        <w:ind w:firstLine="424" w:firstLineChars="202"/>
        <w:rPr>
          <w:rFonts w:hint="eastAsia" w:ascii="宋体" w:hAnsi="宋体" w:cs="宋体"/>
          <w:color w:val="auto"/>
          <w:szCs w:val="21"/>
          <w:highlight w:val="none"/>
        </w:rPr>
      </w:pPr>
      <w:r>
        <w:rPr>
          <w:rFonts w:ascii="宋体" w:hAnsi="宋体" w:cs="宋体"/>
          <w:color w:val="auto"/>
          <w:szCs w:val="21"/>
          <w:highlight w:val="none"/>
        </w:rPr>
        <w:t>29</w:t>
      </w:r>
      <w:r>
        <w:rPr>
          <w:rFonts w:hint="eastAsia" w:ascii="宋体" w:hAnsi="宋体" w:cs="宋体"/>
          <w:color w:val="auto"/>
          <w:szCs w:val="21"/>
          <w:highlight w:val="none"/>
        </w:rPr>
        <w:t>.3</w:t>
      </w:r>
      <w:r>
        <w:rPr>
          <w:rFonts w:hint="eastAsia" w:ascii="宋体" w:hAnsi="宋体"/>
          <w:color w:val="auto"/>
          <w:szCs w:val="21"/>
          <w:highlight w:val="none"/>
        </w:rPr>
        <w:t>成交供应商拒绝与采购人签订合同的，按照本须知正文第</w:t>
      </w:r>
      <w:r>
        <w:rPr>
          <w:rFonts w:ascii="宋体" w:hAnsi="宋体"/>
          <w:color w:val="auto"/>
          <w:szCs w:val="21"/>
          <w:highlight w:val="none"/>
        </w:rPr>
        <w:t>27.</w:t>
      </w:r>
      <w:r>
        <w:rPr>
          <w:rFonts w:hint="eastAsia" w:ascii="宋体" w:hAnsi="宋体"/>
          <w:color w:val="auto"/>
          <w:szCs w:val="21"/>
          <w:highlight w:val="none"/>
        </w:rPr>
        <w:t>3</w:t>
      </w:r>
      <w:r>
        <w:rPr>
          <w:rFonts w:ascii="宋体" w:hAnsi="宋体"/>
          <w:color w:val="auto"/>
          <w:szCs w:val="21"/>
          <w:highlight w:val="none"/>
        </w:rPr>
        <w:t>条的规定</w:t>
      </w:r>
      <w:r>
        <w:rPr>
          <w:rFonts w:hint="eastAsia" w:ascii="宋体" w:hAnsi="宋体"/>
          <w:color w:val="auto"/>
          <w:szCs w:val="21"/>
          <w:highlight w:val="none"/>
        </w:rPr>
        <w:t>执行</w:t>
      </w:r>
      <w:r>
        <w:rPr>
          <w:rFonts w:hint="eastAsia" w:ascii="宋体" w:hAnsi="宋体" w:cs="宋体"/>
          <w:color w:val="auto"/>
          <w:szCs w:val="21"/>
          <w:highlight w:val="none"/>
        </w:rPr>
        <w:t>。</w:t>
      </w:r>
    </w:p>
    <w:p w14:paraId="6AF934A3">
      <w:pPr>
        <w:spacing w:line="360" w:lineRule="auto"/>
        <w:ind w:firstLine="422" w:firstLineChars="200"/>
        <w:rPr>
          <w:rFonts w:hint="eastAsia" w:ascii="宋体" w:hAnsi="宋体" w:cs="宋体"/>
          <w:b/>
          <w:bCs/>
          <w:color w:val="auto"/>
          <w:szCs w:val="21"/>
          <w:highlight w:val="none"/>
        </w:rPr>
      </w:pPr>
      <w:r>
        <w:rPr>
          <w:rFonts w:ascii="宋体" w:hAnsi="宋体" w:cs="宋体"/>
          <w:b/>
          <w:bCs/>
          <w:color w:val="auto"/>
          <w:szCs w:val="21"/>
          <w:highlight w:val="none"/>
        </w:rPr>
        <w:t>30</w:t>
      </w:r>
      <w:r>
        <w:rPr>
          <w:rFonts w:hint="eastAsia" w:ascii="宋体" w:hAnsi="宋体" w:cs="宋体"/>
          <w:b/>
          <w:bCs/>
          <w:color w:val="auto"/>
          <w:szCs w:val="21"/>
          <w:highlight w:val="none"/>
        </w:rPr>
        <w:t>.政府采购合同公告</w:t>
      </w:r>
    </w:p>
    <w:p w14:paraId="2A1CE63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131EE365">
      <w:pPr>
        <w:spacing w:line="360" w:lineRule="auto"/>
        <w:ind w:firstLine="422" w:firstLineChars="200"/>
        <w:rPr>
          <w:rFonts w:hint="eastAsia" w:ascii="宋体" w:hAnsi="宋体" w:cs="宋体"/>
          <w:b/>
          <w:bCs/>
          <w:color w:val="auto"/>
          <w:szCs w:val="21"/>
          <w:highlight w:val="none"/>
        </w:rPr>
      </w:pPr>
      <w:r>
        <w:rPr>
          <w:rFonts w:ascii="宋体" w:hAnsi="宋体" w:cs="宋体"/>
          <w:b/>
          <w:bCs/>
          <w:color w:val="auto"/>
          <w:szCs w:val="21"/>
          <w:highlight w:val="none"/>
        </w:rPr>
        <w:t>31</w:t>
      </w:r>
      <w:r>
        <w:rPr>
          <w:rFonts w:hint="eastAsia" w:ascii="宋体" w:hAnsi="宋体" w:cs="宋体"/>
          <w:b/>
          <w:bCs/>
          <w:color w:val="auto"/>
          <w:szCs w:val="21"/>
          <w:highlight w:val="none"/>
        </w:rPr>
        <w:t>. 询问、质疑和投诉</w:t>
      </w:r>
    </w:p>
    <w:p w14:paraId="472814BC">
      <w:pPr>
        <w:pStyle w:val="6"/>
        <w:spacing w:line="360" w:lineRule="auto"/>
        <w:rPr>
          <w:rFonts w:hint="eastAsia" w:ascii="宋体" w:hAnsi="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w:t>
      </w:r>
      <w:r>
        <w:rPr>
          <w:rFonts w:hint="eastAsia" w:ascii="宋体" w:hAnsi="宋体" w:cs="宋体"/>
          <w:color w:val="auto"/>
          <w:szCs w:val="21"/>
          <w:highlight w:val="none"/>
        </w:rPr>
        <w:t>.1供应商对政府采购活动事项有疑问的，可以向采购人、采购代理机构提出询问，采购人或者采购代理机构应当在3个工作日内对供应商依法提出的询问作出答复，</w:t>
      </w:r>
      <w:r>
        <w:rPr>
          <w:rFonts w:hint="eastAsia" w:ascii="宋体" w:hAnsi="宋体"/>
          <w:color w:val="auto"/>
          <w:szCs w:val="21"/>
          <w:highlight w:val="none"/>
        </w:rPr>
        <w:t>但答复的内容不得涉及商业秘密</w:t>
      </w:r>
      <w:r>
        <w:rPr>
          <w:rFonts w:hint="eastAsia" w:ascii="宋体" w:hAnsi="宋体" w:cs="宋体"/>
          <w:color w:val="auto"/>
          <w:szCs w:val="21"/>
          <w:highlight w:val="none"/>
        </w:rPr>
        <w:t>。</w:t>
      </w:r>
    </w:p>
    <w:p w14:paraId="1D42B40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w:t>
      </w:r>
      <w:r>
        <w:rPr>
          <w:rFonts w:hint="eastAsia" w:ascii="宋体" w:hAnsi="宋体" w:cs="宋体"/>
          <w:color w:val="auto"/>
          <w:szCs w:val="21"/>
          <w:highlight w:val="none"/>
        </w:rPr>
        <w:t>.2供应商认为磋商文件、采购过程或者成交结果使自己的合法权益受到损害的，应当在知道或者应知其权益受到损害之日起7个工作日内，以纸质书面形式向采购人、采购代理机构提出质疑，</w:t>
      </w:r>
      <w:r>
        <w:rPr>
          <w:rFonts w:ascii="宋体" w:hAnsi="宋体" w:cs="Arial"/>
          <w:color w:val="auto"/>
          <w:szCs w:val="21"/>
          <w:highlight w:val="none"/>
        </w:rPr>
        <w:t>接收质疑函的方式、联系部门、联系电话和通讯地址等信息</w:t>
      </w:r>
      <w:r>
        <w:rPr>
          <w:rFonts w:hint="eastAsia" w:ascii="宋体" w:hAnsi="宋体" w:cs="Arial"/>
          <w:color w:val="auto"/>
          <w:szCs w:val="21"/>
          <w:highlight w:val="none"/>
        </w:rPr>
        <w:t>详见</w:t>
      </w:r>
      <w:r>
        <w:rPr>
          <w:rFonts w:hint="eastAsia" w:ascii="宋体" w:hAnsi="宋体" w:cs="宋体"/>
          <w:color w:val="auto"/>
          <w:szCs w:val="21"/>
          <w:highlight w:val="none"/>
        </w:rPr>
        <w:t>“供应商须知前附表”。具体质疑起算时间如下：</w:t>
      </w:r>
    </w:p>
    <w:p w14:paraId="4436C85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（1）对可以质疑的磋商文件提出质疑的，为收到磋商文件之日或者</w:t>
      </w:r>
      <w:r>
        <w:rPr>
          <w:rFonts w:hint="eastAsia" w:ascii="宋体" w:hAnsi="宋体"/>
          <w:color w:val="auto"/>
          <w:szCs w:val="21"/>
          <w:highlight w:val="none"/>
        </w:rPr>
        <w:t>竞争性磋商公告期限届满之日</w:t>
      </w:r>
      <w:r>
        <w:rPr>
          <w:rFonts w:hint="eastAsia" w:ascii="宋体" w:hAnsi="宋体" w:cs="宋体"/>
          <w:color w:val="auto"/>
          <w:szCs w:val="21"/>
          <w:highlight w:val="none"/>
        </w:rPr>
        <w:t>；</w:t>
      </w:r>
    </w:p>
    <w:p w14:paraId="0E2B0D5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（2）对采购过程提出质疑的，为各采购程序环节结束之日；</w:t>
      </w:r>
    </w:p>
    <w:p w14:paraId="7113E6D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（3）对成交结果提出质疑的，为成交结果公告期限届满之日。</w:t>
      </w:r>
    </w:p>
    <w:p w14:paraId="027EFA7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w:t>
      </w:r>
      <w:r>
        <w:rPr>
          <w:rFonts w:hint="eastAsia" w:ascii="宋体" w:hAnsi="宋体" w:cs="宋体"/>
          <w:color w:val="auto"/>
          <w:szCs w:val="21"/>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784364B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w:t>
      </w:r>
      <w:r>
        <w:rPr>
          <w:rFonts w:hint="eastAsia" w:ascii="宋体" w:hAnsi="宋体" w:cs="宋体"/>
          <w:color w:val="auto"/>
          <w:szCs w:val="21"/>
          <w:highlight w:val="none"/>
        </w:rPr>
        <w:t>.4 供应商提出质疑应当提交质疑函和必要的证明材料，针对同一采购程序环节的质疑必须在法定质疑期内一次性提出。质疑函应当包括下列内容</w:t>
      </w:r>
      <w:r>
        <w:rPr>
          <w:rFonts w:hint="eastAsia" w:ascii="宋体" w:hAnsi="宋体"/>
          <w:bCs/>
          <w:color w:val="auto"/>
          <w:szCs w:val="21"/>
          <w:highlight w:val="none"/>
        </w:rPr>
        <w:t>（质疑函格式后附）</w:t>
      </w:r>
      <w:r>
        <w:rPr>
          <w:rFonts w:hint="eastAsia" w:ascii="宋体" w:hAnsi="宋体" w:cs="宋体"/>
          <w:color w:val="auto"/>
          <w:szCs w:val="21"/>
          <w:highlight w:val="none"/>
        </w:rPr>
        <w:t>：</w:t>
      </w:r>
    </w:p>
    <w:p w14:paraId="5521B6A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（1）供应商的姓名或者名称、地址、邮编、联系人及联系电话；</w:t>
      </w:r>
    </w:p>
    <w:p w14:paraId="321DFBE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（2）质疑项目的名称、编号；</w:t>
      </w:r>
    </w:p>
    <w:p w14:paraId="24CB9D5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（3）具体、明确的质疑事项和与质疑事项相关的请求；</w:t>
      </w:r>
    </w:p>
    <w:p w14:paraId="30425D5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（4）事实依据；</w:t>
      </w:r>
    </w:p>
    <w:p w14:paraId="08FB6F5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（5）必要的法律依据；</w:t>
      </w:r>
    </w:p>
    <w:p w14:paraId="6984521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（6）提出质疑的日期。</w:t>
      </w:r>
    </w:p>
    <w:p w14:paraId="15DFB10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供应商为自然人的，应当由本人签字；供应商为法人或者其他组织的，应当由法定代表人、主要负责人，或者其委托代理人签字或者盖章，并加盖公章。</w:t>
      </w:r>
    </w:p>
    <w:p w14:paraId="628D726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1.5</w:t>
      </w:r>
      <w:r>
        <w:rPr>
          <w:rFonts w:hint="eastAsia" w:ascii="宋体" w:hAnsi="宋体" w:cs="宋体"/>
          <w:color w:val="auto"/>
          <w:szCs w:val="21"/>
          <w:highlight w:val="none"/>
        </w:rPr>
        <w:t>采购人、采购代理机构认为供应商质疑不成立，或者成立但未对成交结果构成影响的，继续开展采购活动；认为供应商质疑成立且影响或者可能影响成交结果的，按照下列情况处理：</w:t>
      </w:r>
    </w:p>
    <w:p w14:paraId="75819DF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（1）对采购文件提出的质疑，依法通过澄清或者修改可以继续开展采购活动的，澄清或者修改采购文件后继续开展采购活动；否则应当修改采购文件后重新开展采购活动。</w:t>
      </w:r>
    </w:p>
    <w:p w14:paraId="3766D79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（2）对采购过程或者成交结果提出的质疑，合格供应商符合法定数量时，可以从合格的成交候选人中另行确定成交供应商的，应当依法另行确定成交供应商；否则应当重新开展采购活动。</w:t>
      </w:r>
    </w:p>
    <w:p w14:paraId="76E3308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质疑答复导致成交结果改变的，采购人或者采购代理机构应当将有关情况书面报告本级财政部门。</w:t>
      </w:r>
    </w:p>
    <w:p w14:paraId="210F49AB">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31</w:t>
      </w:r>
      <w:r>
        <w:rPr>
          <w:rFonts w:hint="eastAsia" w:ascii="宋体" w:hAnsi="宋体" w:cs="宋体"/>
          <w:color w:val="auto"/>
          <w:szCs w:val="21"/>
          <w:highlight w:val="none"/>
        </w:rPr>
        <w:t>.</w:t>
      </w:r>
      <w:r>
        <w:rPr>
          <w:rFonts w:ascii="宋体" w:hAnsi="宋体" w:cs="宋体"/>
          <w:color w:val="auto"/>
          <w:szCs w:val="21"/>
          <w:highlight w:val="none"/>
        </w:rPr>
        <w:t>6</w:t>
      </w:r>
      <w:r>
        <w:rPr>
          <w:rFonts w:hint="eastAsia" w:ascii="宋体" w:hAnsi="宋体" w:cs="宋体"/>
          <w:color w:val="auto"/>
          <w:szCs w:val="21"/>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0853638F">
      <w:pPr>
        <w:spacing w:line="360" w:lineRule="auto"/>
        <w:ind w:firstLine="422" w:firstLineChars="200"/>
        <w:rPr>
          <w:rFonts w:hint="eastAsia" w:ascii="宋体" w:hAnsi="宋体" w:cs="宋体"/>
          <w:b/>
          <w:bCs/>
          <w:color w:val="auto"/>
          <w:szCs w:val="21"/>
          <w:highlight w:val="none"/>
        </w:rPr>
      </w:pPr>
      <w:r>
        <w:rPr>
          <w:rFonts w:ascii="宋体" w:hAnsi="宋体" w:cs="宋体"/>
          <w:b/>
          <w:bCs/>
          <w:color w:val="auto"/>
          <w:szCs w:val="21"/>
          <w:highlight w:val="none"/>
        </w:rPr>
        <w:t>32</w:t>
      </w:r>
      <w:r>
        <w:rPr>
          <w:rFonts w:hint="eastAsia" w:ascii="宋体" w:hAnsi="宋体" w:cs="宋体"/>
          <w:b/>
          <w:bCs/>
          <w:color w:val="auto"/>
          <w:szCs w:val="21"/>
          <w:highlight w:val="none"/>
        </w:rPr>
        <w:t>.其他内容</w:t>
      </w:r>
    </w:p>
    <w:p w14:paraId="19A1E646">
      <w:pPr>
        <w:tabs>
          <w:tab w:val="left" w:pos="2835"/>
        </w:tabs>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.1采购代理服务费收取标准：采购代理服务费以 成交金额 为基准，按照国家发展计划委员会《招标代理服务费管理暂行办法》（计价格〔2002〕1980号收费标准、《国家发展改革委关于降低部分建设项目收费标准规范收费行为等有关问题的通知》（发改价格〔2011〕534号）规定的【服务类】收费标准的100%计取。</w:t>
      </w:r>
    </w:p>
    <w:p w14:paraId="0203FB3A">
      <w:pPr>
        <w:tabs>
          <w:tab w:val="left" w:pos="2835"/>
        </w:tabs>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32.2</w:t>
      </w:r>
      <w:r>
        <w:rPr>
          <w:rFonts w:hint="eastAsia" w:ascii="宋体" w:hAnsi="宋体" w:cs="宋体"/>
          <w:color w:val="auto"/>
          <w:szCs w:val="21"/>
          <w:highlight w:val="none"/>
        </w:rPr>
        <w:t>代理服务费收费计算标准：</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77CC6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l2br w:val="single" w:color="auto" w:sz="4" w:space="0"/>
            </w:tcBorders>
            <w:noWrap w:val="0"/>
            <w:vAlign w:val="top"/>
          </w:tcPr>
          <w:p w14:paraId="06D894C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费率</w:t>
            </w:r>
          </w:p>
          <w:p w14:paraId="1FA46F4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金额</w:t>
            </w:r>
          </w:p>
        </w:tc>
        <w:tc>
          <w:tcPr>
            <w:tcW w:w="1659" w:type="dxa"/>
            <w:noWrap w:val="0"/>
            <w:vAlign w:val="center"/>
          </w:tcPr>
          <w:p w14:paraId="045223AF">
            <w:pPr>
              <w:spacing w:line="360" w:lineRule="auto"/>
              <w:ind w:firstLine="105" w:firstLineChars="50"/>
              <w:jc w:val="center"/>
              <w:rPr>
                <w:rFonts w:hint="eastAsia" w:ascii="宋体" w:hAnsi="宋体" w:cs="宋体"/>
                <w:color w:val="auto"/>
                <w:szCs w:val="21"/>
                <w:highlight w:val="none"/>
              </w:rPr>
            </w:pPr>
            <w:r>
              <w:rPr>
                <w:rFonts w:hint="eastAsia" w:ascii="宋体" w:hAnsi="宋体" w:cs="宋体"/>
                <w:color w:val="auto"/>
                <w:szCs w:val="21"/>
                <w:highlight w:val="none"/>
              </w:rPr>
              <w:t>货物类</w:t>
            </w:r>
          </w:p>
        </w:tc>
        <w:tc>
          <w:tcPr>
            <w:tcW w:w="1532" w:type="dxa"/>
            <w:noWrap w:val="0"/>
            <w:vAlign w:val="center"/>
          </w:tcPr>
          <w:p w14:paraId="689ED16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服务类</w:t>
            </w:r>
          </w:p>
        </w:tc>
        <w:tc>
          <w:tcPr>
            <w:tcW w:w="1546" w:type="dxa"/>
            <w:noWrap w:val="0"/>
            <w:vAlign w:val="center"/>
          </w:tcPr>
          <w:p w14:paraId="7AD35CD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工程类</w:t>
            </w:r>
          </w:p>
        </w:tc>
      </w:tr>
      <w:tr w14:paraId="40350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124C820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100万元以下</w:t>
            </w:r>
          </w:p>
        </w:tc>
        <w:tc>
          <w:tcPr>
            <w:tcW w:w="1659" w:type="dxa"/>
            <w:noWrap w:val="0"/>
            <w:vAlign w:val="top"/>
          </w:tcPr>
          <w:p w14:paraId="210F64FA">
            <w:pPr>
              <w:spacing w:line="360" w:lineRule="auto"/>
              <w:ind w:left="0" w:leftChars="0" w:firstLine="0" w:firstLineChars="0"/>
              <w:jc w:val="center"/>
              <w:rPr>
                <w:rFonts w:hint="eastAsia" w:ascii="宋体" w:hAnsi="宋体" w:cs="宋体"/>
                <w:color w:val="auto"/>
                <w:szCs w:val="21"/>
                <w:highlight w:val="none"/>
              </w:rPr>
            </w:pPr>
            <w:r>
              <w:rPr>
                <w:rFonts w:hint="eastAsia" w:ascii="宋体" w:hAnsi="宋体" w:cs="宋体"/>
                <w:color w:val="auto"/>
                <w:kern w:val="0"/>
                <w:szCs w:val="21"/>
                <w:highlight w:val="none"/>
              </w:rPr>
              <w:t>1.5%</w:t>
            </w:r>
          </w:p>
        </w:tc>
        <w:tc>
          <w:tcPr>
            <w:tcW w:w="1532" w:type="dxa"/>
            <w:noWrap w:val="0"/>
            <w:vAlign w:val="top"/>
          </w:tcPr>
          <w:p w14:paraId="3ADC4E54">
            <w:pPr>
              <w:spacing w:line="360" w:lineRule="auto"/>
              <w:ind w:left="0" w:leftChars="0" w:firstLine="0" w:firstLineChars="0"/>
              <w:jc w:val="center"/>
              <w:rPr>
                <w:rFonts w:hint="eastAsia" w:ascii="宋体" w:hAnsi="宋体" w:cs="宋体"/>
                <w:color w:val="auto"/>
                <w:szCs w:val="21"/>
                <w:highlight w:val="none"/>
              </w:rPr>
            </w:pPr>
            <w:r>
              <w:rPr>
                <w:rFonts w:hint="eastAsia" w:ascii="宋体" w:hAnsi="宋体" w:cs="宋体"/>
                <w:color w:val="auto"/>
                <w:kern w:val="0"/>
                <w:szCs w:val="21"/>
                <w:highlight w:val="none"/>
              </w:rPr>
              <w:t>1.5%</w:t>
            </w:r>
          </w:p>
        </w:tc>
        <w:tc>
          <w:tcPr>
            <w:tcW w:w="1546" w:type="dxa"/>
            <w:noWrap w:val="0"/>
            <w:vAlign w:val="top"/>
          </w:tcPr>
          <w:p w14:paraId="2F5A960C">
            <w:pPr>
              <w:spacing w:line="360" w:lineRule="auto"/>
              <w:ind w:left="0" w:leftChars="0" w:firstLine="0" w:firstLineChars="0"/>
              <w:jc w:val="center"/>
              <w:rPr>
                <w:rFonts w:hint="eastAsia" w:ascii="宋体" w:hAnsi="宋体" w:cs="宋体"/>
                <w:color w:val="auto"/>
                <w:szCs w:val="21"/>
                <w:highlight w:val="none"/>
              </w:rPr>
            </w:pPr>
            <w:r>
              <w:rPr>
                <w:rFonts w:hint="eastAsia" w:ascii="宋体" w:hAnsi="宋体" w:cs="宋体"/>
                <w:color w:val="auto"/>
                <w:kern w:val="0"/>
                <w:szCs w:val="21"/>
                <w:highlight w:val="none"/>
              </w:rPr>
              <w:t>1.0%</w:t>
            </w:r>
          </w:p>
        </w:tc>
      </w:tr>
      <w:tr w14:paraId="2E169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4E36456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100～500万元</w:t>
            </w:r>
          </w:p>
        </w:tc>
        <w:tc>
          <w:tcPr>
            <w:tcW w:w="1659" w:type="dxa"/>
            <w:noWrap w:val="0"/>
            <w:vAlign w:val="top"/>
          </w:tcPr>
          <w:p w14:paraId="72B775DD">
            <w:pPr>
              <w:spacing w:line="360" w:lineRule="auto"/>
              <w:ind w:left="0" w:leftChars="0" w:firstLine="0" w:firstLineChars="0"/>
              <w:jc w:val="center"/>
              <w:rPr>
                <w:rFonts w:hint="eastAsia" w:ascii="宋体" w:hAnsi="宋体" w:cs="宋体"/>
                <w:color w:val="auto"/>
                <w:szCs w:val="21"/>
                <w:highlight w:val="none"/>
              </w:rPr>
            </w:pPr>
            <w:r>
              <w:rPr>
                <w:rFonts w:hint="eastAsia" w:ascii="宋体" w:hAnsi="宋体" w:cs="宋体"/>
                <w:color w:val="auto"/>
                <w:kern w:val="0"/>
                <w:szCs w:val="21"/>
                <w:highlight w:val="none"/>
              </w:rPr>
              <w:t>1.1%</w:t>
            </w:r>
          </w:p>
        </w:tc>
        <w:tc>
          <w:tcPr>
            <w:tcW w:w="1532" w:type="dxa"/>
            <w:noWrap w:val="0"/>
            <w:vAlign w:val="top"/>
          </w:tcPr>
          <w:p w14:paraId="54A557F1">
            <w:pPr>
              <w:spacing w:line="360" w:lineRule="auto"/>
              <w:ind w:left="0" w:leftChars="0" w:firstLine="0" w:firstLineChars="0"/>
              <w:jc w:val="center"/>
              <w:rPr>
                <w:rFonts w:hint="eastAsia" w:ascii="宋体" w:hAnsi="宋体" w:cs="宋体"/>
                <w:color w:val="auto"/>
                <w:szCs w:val="21"/>
                <w:highlight w:val="none"/>
              </w:rPr>
            </w:pPr>
            <w:r>
              <w:rPr>
                <w:rFonts w:hint="eastAsia" w:ascii="宋体" w:hAnsi="宋体" w:cs="宋体"/>
                <w:color w:val="auto"/>
                <w:kern w:val="0"/>
                <w:szCs w:val="21"/>
                <w:highlight w:val="none"/>
              </w:rPr>
              <w:t>0.8%</w:t>
            </w:r>
          </w:p>
        </w:tc>
        <w:tc>
          <w:tcPr>
            <w:tcW w:w="1546" w:type="dxa"/>
            <w:noWrap w:val="0"/>
            <w:vAlign w:val="top"/>
          </w:tcPr>
          <w:p w14:paraId="6D9826F0">
            <w:pPr>
              <w:spacing w:line="360" w:lineRule="auto"/>
              <w:ind w:left="0" w:leftChars="0" w:firstLine="0" w:firstLineChars="0"/>
              <w:jc w:val="center"/>
              <w:rPr>
                <w:rFonts w:hint="eastAsia" w:ascii="宋体" w:hAnsi="宋体" w:cs="宋体"/>
                <w:color w:val="auto"/>
                <w:szCs w:val="21"/>
                <w:highlight w:val="none"/>
              </w:rPr>
            </w:pPr>
            <w:r>
              <w:rPr>
                <w:rFonts w:hint="eastAsia" w:ascii="宋体" w:hAnsi="宋体" w:cs="宋体"/>
                <w:color w:val="auto"/>
                <w:kern w:val="0"/>
                <w:szCs w:val="21"/>
                <w:highlight w:val="none"/>
              </w:rPr>
              <w:t>0.7%</w:t>
            </w:r>
          </w:p>
        </w:tc>
      </w:tr>
      <w:tr w14:paraId="0D5D1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59BF614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500～1000万元</w:t>
            </w:r>
          </w:p>
        </w:tc>
        <w:tc>
          <w:tcPr>
            <w:tcW w:w="1659" w:type="dxa"/>
            <w:noWrap w:val="0"/>
            <w:vAlign w:val="top"/>
          </w:tcPr>
          <w:p w14:paraId="08F39924">
            <w:pPr>
              <w:spacing w:line="360" w:lineRule="auto"/>
              <w:ind w:left="0" w:leftChars="0" w:firstLine="0" w:firstLineChars="0"/>
              <w:jc w:val="center"/>
              <w:rPr>
                <w:rFonts w:hint="eastAsia" w:ascii="宋体" w:hAnsi="宋体" w:cs="宋体"/>
                <w:color w:val="auto"/>
                <w:szCs w:val="21"/>
                <w:highlight w:val="none"/>
              </w:rPr>
            </w:pPr>
            <w:r>
              <w:rPr>
                <w:rFonts w:hint="eastAsia" w:ascii="宋体" w:hAnsi="宋体" w:cs="宋体"/>
                <w:color w:val="auto"/>
                <w:kern w:val="0"/>
                <w:szCs w:val="21"/>
                <w:highlight w:val="none"/>
              </w:rPr>
              <w:t>0.8%</w:t>
            </w:r>
          </w:p>
        </w:tc>
        <w:tc>
          <w:tcPr>
            <w:tcW w:w="1532" w:type="dxa"/>
            <w:noWrap w:val="0"/>
            <w:vAlign w:val="top"/>
          </w:tcPr>
          <w:p w14:paraId="22290421">
            <w:pPr>
              <w:spacing w:line="360" w:lineRule="auto"/>
              <w:ind w:left="0" w:leftChars="0" w:firstLine="0" w:firstLineChars="0"/>
              <w:jc w:val="center"/>
              <w:rPr>
                <w:rFonts w:hint="eastAsia" w:ascii="宋体" w:hAnsi="宋体" w:cs="宋体"/>
                <w:color w:val="auto"/>
                <w:szCs w:val="21"/>
                <w:highlight w:val="none"/>
              </w:rPr>
            </w:pPr>
            <w:r>
              <w:rPr>
                <w:rFonts w:hint="eastAsia" w:ascii="宋体" w:hAnsi="宋体" w:cs="宋体"/>
                <w:color w:val="auto"/>
                <w:kern w:val="0"/>
                <w:szCs w:val="21"/>
                <w:highlight w:val="none"/>
              </w:rPr>
              <w:t>0.45%</w:t>
            </w:r>
          </w:p>
        </w:tc>
        <w:tc>
          <w:tcPr>
            <w:tcW w:w="1546" w:type="dxa"/>
            <w:noWrap w:val="0"/>
            <w:vAlign w:val="top"/>
          </w:tcPr>
          <w:p w14:paraId="52D106EE">
            <w:pPr>
              <w:spacing w:line="360" w:lineRule="auto"/>
              <w:ind w:left="0" w:leftChars="0" w:firstLine="0" w:firstLineChars="0"/>
              <w:jc w:val="center"/>
              <w:rPr>
                <w:rFonts w:hint="eastAsia" w:ascii="宋体" w:hAnsi="宋体" w:cs="宋体"/>
                <w:color w:val="auto"/>
                <w:szCs w:val="21"/>
                <w:highlight w:val="none"/>
              </w:rPr>
            </w:pPr>
            <w:r>
              <w:rPr>
                <w:rFonts w:hint="eastAsia" w:ascii="宋体" w:hAnsi="宋体" w:cs="宋体"/>
                <w:color w:val="auto"/>
                <w:kern w:val="0"/>
                <w:szCs w:val="21"/>
                <w:highlight w:val="none"/>
              </w:rPr>
              <w:t>0.55%</w:t>
            </w:r>
          </w:p>
        </w:tc>
      </w:tr>
      <w:tr w14:paraId="13694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6ACE79D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1000～5000万元</w:t>
            </w:r>
          </w:p>
        </w:tc>
        <w:tc>
          <w:tcPr>
            <w:tcW w:w="1659" w:type="dxa"/>
            <w:noWrap w:val="0"/>
            <w:vAlign w:val="top"/>
          </w:tcPr>
          <w:p w14:paraId="69751BC0">
            <w:pPr>
              <w:spacing w:line="360" w:lineRule="auto"/>
              <w:ind w:left="0" w:leftChars="0" w:firstLine="0" w:firstLineChars="0"/>
              <w:jc w:val="center"/>
              <w:rPr>
                <w:rFonts w:hint="eastAsia" w:ascii="宋体" w:hAnsi="宋体" w:cs="宋体"/>
                <w:color w:val="auto"/>
                <w:szCs w:val="21"/>
                <w:highlight w:val="none"/>
              </w:rPr>
            </w:pPr>
            <w:r>
              <w:rPr>
                <w:rFonts w:hint="eastAsia" w:ascii="宋体" w:hAnsi="宋体" w:cs="宋体"/>
                <w:color w:val="auto"/>
                <w:kern w:val="0"/>
                <w:szCs w:val="21"/>
                <w:highlight w:val="none"/>
              </w:rPr>
              <w:t>0.5%</w:t>
            </w:r>
          </w:p>
        </w:tc>
        <w:tc>
          <w:tcPr>
            <w:tcW w:w="1532" w:type="dxa"/>
            <w:noWrap w:val="0"/>
            <w:vAlign w:val="top"/>
          </w:tcPr>
          <w:p w14:paraId="2F0BBDF8">
            <w:pPr>
              <w:spacing w:line="360" w:lineRule="auto"/>
              <w:ind w:left="0" w:leftChars="0" w:firstLine="0" w:firstLineChars="0"/>
              <w:jc w:val="center"/>
              <w:rPr>
                <w:rFonts w:hint="eastAsia" w:ascii="宋体" w:hAnsi="宋体" w:cs="宋体"/>
                <w:color w:val="auto"/>
                <w:szCs w:val="21"/>
                <w:highlight w:val="none"/>
              </w:rPr>
            </w:pPr>
            <w:r>
              <w:rPr>
                <w:rFonts w:hint="eastAsia" w:ascii="宋体" w:hAnsi="宋体" w:cs="宋体"/>
                <w:color w:val="auto"/>
                <w:kern w:val="0"/>
                <w:szCs w:val="21"/>
                <w:highlight w:val="none"/>
              </w:rPr>
              <w:t>0.25%</w:t>
            </w:r>
          </w:p>
        </w:tc>
        <w:tc>
          <w:tcPr>
            <w:tcW w:w="1546" w:type="dxa"/>
            <w:noWrap w:val="0"/>
            <w:vAlign w:val="top"/>
          </w:tcPr>
          <w:p w14:paraId="4BA1EAE6">
            <w:pPr>
              <w:spacing w:line="360" w:lineRule="auto"/>
              <w:ind w:left="0" w:leftChars="0" w:firstLine="0" w:firstLineChars="0"/>
              <w:jc w:val="center"/>
              <w:rPr>
                <w:rFonts w:hint="eastAsia" w:ascii="宋体" w:hAnsi="宋体" w:cs="宋体"/>
                <w:color w:val="auto"/>
                <w:szCs w:val="21"/>
                <w:highlight w:val="none"/>
              </w:rPr>
            </w:pPr>
            <w:r>
              <w:rPr>
                <w:rFonts w:hint="eastAsia" w:ascii="宋体" w:hAnsi="宋体" w:cs="宋体"/>
                <w:color w:val="auto"/>
                <w:kern w:val="0"/>
                <w:szCs w:val="21"/>
                <w:highlight w:val="none"/>
              </w:rPr>
              <w:t>0.35%</w:t>
            </w:r>
          </w:p>
        </w:tc>
      </w:tr>
      <w:tr w14:paraId="29370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6B08F54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5000万元～1亿元</w:t>
            </w:r>
          </w:p>
        </w:tc>
        <w:tc>
          <w:tcPr>
            <w:tcW w:w="1659" w:type="dxa"/>
            <w:noWrap w:val="0"/>
            <w:vAlign w:val="top"/>
          </w:tcPr>
          <w:p w14:paraId="0A8E5FE0">
            <w:pPr>
              <w:spacing w:line="360" w:lineRule="auto"/>
              <w:ind w:left="0" w:leftChars="0" w:firstLine="0" w:firstLineChars="0"/>
              <w:jc w:val="center"/>
              <w:rPr>
                <w:rFonts w:hint="eastAsia" w:ascii="宋体" w:hAnsi="宋体" w:cs="宋体"/>
                <w:color w:val="auto"/>
                <w:szCs w:val="21"/>
                <w:highlight w:val="none"/>
              </w:rPr>
            </w:pPr>
            <w:r>
              <w:rPr>
                <w:rFonts w:hint="eastAsia" w:ascii="宋体" w:hAnsi="宋体" w:cs="宋体"/>
                <w:color w:val="auto"/>
                <w:kern w:val="0"/>
                <w:szCs w:val="21"/>
                <w:highlight w:val="none"/>
              </w:rPr>
              <w:t>0.25%</w:t>
            </w:r>
          </w:p>
        </w:tc>
        <w:tc>
          <w:tcPr>
            <w:tcW w:w="1532" w:type="dxa"/>
            <w:noWrap w:val="0"/>
            <w:vAlign w:val="top"/>
          </w:tcPr>
          <w:p w14:paraId="567F797A">
            <w:pPr>
              <w:spacing w:line="360" w:lineRule="auto"/>
              <w:ind w:left="0" w:leftChars="0" w:firstLine="0" w:firstLineChars="0"/>
              <w:jc w:val="center"/>
              <w:rPr>
                <w:rFonts w:hint="eastAsia" w:ascii="宋体" w:hAnsi="宋体" w:cs="宋体"/>
                <w:color w:val="auto"/>
                <w:szCs w:val="21"/>
                <w:highlight w:val="none"/>
              </w:rPr>
            </w:pPr>
            <w:r>
              <w:rPr>
                <w:rFonts w:hint="eastAsia" w:ascii="宋体" w:hAnsi="宋体" w:cs="宋体"/>
                <w:color w:val="auto"/>
                <w:kern w:val="0"/>
                <w:szCs w:val="21"/>
                <w:highlight w:val="none"/>
              </w:rPr>
              <w:t>0.1%</w:t>
            </w:r>
          </w:p>
        </w:tc>
        <w:tc>
          <w:tcPr>
            <w:tcW w:w="1546" w:type="dxa"/>
            <w:noWrap w:val="0"/>
            <w:vAlign w:val="top"/>
          </w:tcPr>
          <w:p w14:paraId="49987666">
            <w:pPr>
              <w:spacing w:line="360" w:lineRule="auto"/>
              <w:ind w:left="0" w:leftChars="0" w:firstLine="0" w:firstLineChars="0"/>
              <w:jc w:val="center"/>
              <w:rPr>
                <w:rFonts w:hint="eastAsia" w:ascii="宋体" w:hAnsi="宋体" w:cs="宋体"/>
                <w:color w:val="auto"/>
                <w:szCs w:val="21"/>
                <w:highlight w:val="none"/>
              </w:rPr>
            </w:pPr>
            <w:r>
              <w:rPr>
                <w:rFonts w:hint="eastAsia" w:ascii="宋体" w:hAnsi="宋体" w:cs="宋体"/>
                <w:color w:val="auto"/>
                <w:kern w:val="0"/>
                <w:szCs w:val="21"/>
                <w:highlight w:val="none"/>
              </w:rPr>
              <w:t>0.2%</w:t>
            </w:r>
          </w:p>
        </w:tc>
      </w:tr>
      <w:tr w14:paraId="4DC3D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5F044FD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1～5亿元</w:t>
            </w:r>
          </w:p>
        </w:tc>
        <w:tc>
          <w:tcPr>
            <w:tcW w:w="1659" w:type="dxa"/>
            <w:noWrap w:val="0"/>
            <w:vAlign w:val="top"/>
          </w:tcPr>
          <w:p w14:paraId="1633EFAD">
            <w:pPr>
              <w:spacing w:line="360" w:lineRule="auto"/>
              <w:ind w:left="0" w:leftChars="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0.05%</w:t>
            </w:r>
          </w:p>
        </w:tc>
        <w:tc>
          <w:tcPr>
            <w:tcW w:w="1532" w:type="dxa"/>
            <w:noWrap w:val="0"/>
            <w:vAlign w:val="top"/>
          </w:tcPr>
          <w:p w14:paraId="0D38E466">
            <w:pPr>
              <w:spacing w:line="360" w:lineRule="auto"/>
              <w:ind w:left="0" w:leftChars="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0.05%</w:t>
            </w:r>
          </w:p>
        </w:tc>
        <w:tc>
          <w:tcPr>
            <w:tcW w:w="1546" w:type="dxa"/>
            <w:noWrap w:val="0"/>
            <w:vAlign w:val="top"/>
          </w:tcPr>
          <w:p w14:paraId="07757C5F">
            <w:pPr>
              <w:spacing w:line="360" w:lineRule="auto"/>
              <w:ind w:left="0" w:leftChars="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0.05%</w:t>
            </w:r>
          </w:p>
        </w:tc>
      </w:tr>
      <w:tr w14:paraId="3E4B7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41E0B61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5～10亿元</w:t>
            </w:r>
          </w:p>
        </w:tc>
        <w:tc>
          <w:tcPr>
            <w:tcW w:w="1659" w:type="dxa"/>
            <w:noWrap w:val="0"/>
            <w:vAlign w:val="top"/>
          </w:tcPr>
          <w:p w14:paraId="4908AAE8">
            <w:pPr>
              <w:spacing w:line="360" w:lineRule="auto"/>
              <w:ind w:left="0" w:leftChars="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0.035%</w:t>
            </w:r>
          </w:p>
        </w:tc>
        <w:tc>
          <w:tcPr>
            <w:tcW w:w="1532" w:type="dxa"/>
            <w:noWrap w:val="0"/>
            <w:vAlign w:val="top"/>
          </w:tcPr>
          <w:p w14:paraId="56DBB60B">
            <w:pPr>
              <w:spacing w:line="360" w:lineRule="auto"/>
              <w:ind w:left="0" w:leftChars="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0.035%</w:t>
            </w:r>
          </w:p>
        </w:tc>
        <w:tc>
          <w:tcPr>
            <w:tcW w:w="1546" w:type="dxa"/>
            <w:noWrap w:val="0"/>
            <w:vAlign w:val="top"/>
          </w:tcPr>
          <w:p w14:paraId="6B0C44E6">
            <w:pPr>
              <w:spacing w:line="360" w:lineRule="auto"/>
              <w:ind w:left="0" w:leftChars="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0.035%</w:t>
            </w:r>
          </w:p>
        </w:tc>
      </w:tr>
      <w:tr w14:paraId="17FB6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1D15B4A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10～50亿元</w:t>
            </w:r>
          </w:p>
        </w:tc>
        <w:tc>
          <w:tcPr>
            <w:tcW w:w="1659" w:type="dxa"/>
            <w:noWrap w:val="0"/>
            <w:vAlign w:val="top"/>
          </w:tcPr>
          <w:p w14:paraId="5B403882">
            <w:pPr>
              <w:spacing w:line="360" w:lineRule="auto"/>
              <w:ind w:left="0" w:leftChars="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0.008%</w:t>
            </w:r>
          </w:p>
        </w:tc>
        <w:tc>
          <w:tcPr>
            <w:tcW w:w="1532" w:type="dxa"/>
            <w:noWrap w:val="0"/>
            <w:vAlign w:val="top"/>
          </w:tcPr>
          <w:p w14:paraId="5C962D02">
            <w:pPr>
              <w:spacing w:line="360" w:lineRule="auto"/>
              <w:ind w:left="0" w:leftChars="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0.008%</w:t>
            </w:r>
          </w:p>
        </w:tc>
        <w:tc>
          <w:tcPr>
            <w:tcW w:w="1546" w:type="dxa"/>
            <w:noWrap w:val="0"/>
            <w:vAlign w:val="top"/>
          </w:tcPr>
          <w:p w14:paraId="7D8A0176">
            <w:pPr>
              <w:spacing w:line="360" w:lineRule="auto"/>
              <w:ind w:left="0" w:leftChars="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0.008%</w:t>
            </w:r>
          </w:p>
        </w:tc>
      </w:tr>
      <w:tr w14:paraId="70602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551923C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50～100亿元</w:t>
            </w:r>
          </w:p>
        </w:tc>
        <w:tc>
          <w:tcPr>
            <w:tcW w:w="1659" w:type="dxa"/>
            <w:noWrap w:val="0"/>
            <w:vAlign w:val="top"/>
          </w:tcPr>
          <w:p w14:paraId="7E0AF36C">
            <w:pPr>
              <w:spacing w:line="360" w:lineRule="auto"/>
              <w:ind w:left="0" w:leftChars="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0.006%</w:t>
            </w:r>
          </w:p>
        </w:tc>
        <w:tc>
          <w:tcPr>
            <w:tcW w:w="1532" w:type="dxa"/>
            <w:noWrap w:val="0"/>
            <w:vAlign w:val="top"/>
          </w:tcPr>
          <w:p w14:paraId="16533C0C">
            <w:pPr>
              <w:spacing w:line="360" w:lineRule="auto"/>
              <w:ind w:left="0" w:leftChars="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0.006%</w:t>
            </w:r>
          </w:p>
        </w:tc>
        <w:tc>
          <w:tcPr>
            <w:tcW w:w="1546" w:type="dxa"/>
            <w:noWrap w:val="0"/>
            <w:vAlign w:val="top"/>
          </w:tcPr>
          <w:p w14:paraId="40EE9F9E">
            <w:pPr>
              <w:spacing w:line="360" w:lineRule="auto"/>
              <w:ind w:left="0" w:leftChars="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0.006%</w:t>
            </w:r>
          </w:p>
        </w:tc>
      </w:tr>
      <w:tr w14:paraId="69E8C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77F30F0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100亿以上</w:t>
            </w:r>
          </w:p>
        </w:tc>
        <w:tc>
          <w:tcPr>
            <w:tcW w:w="1659" w:type="dxa"/>
            <w:noWrap w:val="0"/>
            <w:vAlign w:val="top"/>
          </w:tcPr>
          <w:p w14:paraId="118DC2BE">
            <w:pPr>
              <w:spacing w:line="360" w:lineRule="auto"/>
              <w:ind w:left="0" w:leftChars="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0.004%</w:t>
            </w:r>
          </w:p>
        </w:tc>
        <w:tc>
          <w:tcPr>
            <w:tcW w:w="1532" w:type="dxa"/>
            <w:noWrap w:val="0"/>
            <w:vAlign w:val="top"/>
          </w:tcPr>
          <w:p w14:paraId="2CED7306">
            <w:pPr>
              <w:spacing w:line="360" w:lineRule="auto"/>
              <w:ind w:left="0" w:leftChars="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0.004%</w:t>
            </w:r>
          </w:p>
        </w:tc>
        <w:tc>
          <w:tcPr>
            <w:tcW w:w="1546" w:type="dxa"/>
            <w:noWrap w:val="0"/>
            <w:vAlign w:val="top"/>
          </w:tcPr>
          <w:p w14:paraId="7B67FE7A">
            <w:pPr>
              <w:spacing w:line="360" w:lineRule="auto"/>
              <w:ind w:left="0" w:leftChars="0" w:firstLine="0" w:firstLineChars="0"/>
              <w:jc w:val="center"/>
              <w:rPr>
                <w:rFonts w:hint="eastAsia" w:ascii="宋体" w:hAnsi="宋体" w:cs="宋体"/>
                <w:color w:val="auto"/>
                <w:szCs w:val="21"/>
                <w:highlight w:val="none"/>
              </w:rPr>
            </w:pPr>
            <w:r>
              <w:rPr>
                <w:rFonts w:hint="eastAsia" w:ascii="宋体" w:hAnsi="宋体" w:cs="宋体"/>
                <w:color w:val="auto"/>
                <w:szCs w:val="21"/>
                <w:highlight w:val="none"/>
              </w:rPr>
              <w:t>0.004%</w:t>
            </w:r>
          </w:p>
        </w:tc>
      </w:tr>
    </w:tbl>
    <w:p w14:paraId="5DDB0E1C">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注：</w:t>
      </w:r>
    </w:p>
    <w:p w14:paraId="2B87CBF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按本表费率计算的收费为</w:t>
      </w:r>
      <w:r>
        <w:rPr>
          <w:rFonts w:hint="eastAsia" w:ascii="宋体" w:hAnsi="宋体" w:cs="宋体"/>
          <w:color w:val="auto"/>
          <w:szCs w:val="21"/>
          <w:highlight w:val="none"/>
        </w:rPr>
        <w:t>采购</w:t>
      </w:r>
      <w:r>
        <w:rPr>
          <w:rFonts w:ascii="宋体" w:hAnsi="宋体" w:cs="宋体"/>
          <w:color w:val="auto"/>
          <w:szCs w:val="21"/>
          <w:highlight w:val="none"/>
        </w:rPr>
        <w:t>代理的收费基准价格</w:t>
      </w:r>
      <w:r>
        <w:rPr>
          <w:rFonts w:hint="eastAsia" w:ascii="宋体" w:hAnsi="宋体" w:cs="宋体"/>
          <w:color w:val="auto"/>
          <w:szCs w:val="21"/>
          <w:highlight w:val="none"/>
        </w:rPr>
        <w:t>；</w:t>
      </w:r>
    </w:p>
    <w:p w14:paraId="046A703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（2）采购</w:t>
      </w:r>
      <w:r>
        <w:rPr>
          <w:rFonts w:ascii="宋体" w:hAnsi="宋体" w:cs="宋体"/>
          <w:color w:val="auto"/>
          <w:szCs w:val="21"/>
          <w:highlight w:val="none"/>
        </w:rPr>
        <w:t>代理收费按差额定率累进法计算。</w:t>
      </w:r>
    </w:p>
    <w:p w14:paraId="63A883C3">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例如：某</w:t>
      </w:r>
      <w:r>
        <w:rPr>
          <w:rFonts w:hint="eastAsia" w:ascii="宋体" w:hAnsi="宋体" w:cs="宋体"/>
          <w:color w:val="auto"/>
          <w:szCs w:val="21"/>
          <w:highlight w:val="none"/>
        </w:rPr>
        <w:t>服务采购</w:t>
      </w:r>
      <w:r>
        <w:rPr>
          <w:rFonts w:ascii="宋体" w:hAnsi="宋体" w:cs="宋体"/>
          <w:color w:val="auto"/>
          <w:szCs w:val="21"/>
          <w:highlight w:val="none"/>
        </w:rPr>
        <w:t>代理业务</w:t>
      </w:r>
      <w:r>
        <w:rPr>
          <w:rFonts w:hint="eastAsia" w:ascii="宋体" w:hAnsi="宋体" w:cs="宋体"/>
          <w:color w:val="auto"/>
          <w:szCs w:val="21"/>
          <w:highlight w:val="none"/>
        </w:rPr>
        <w:t>成交</w:t>
      </w:r>
      <w:r>
        <w:rPr>
          <w:rFonts w:ascii="宋体" w:hAnsi="宋体" w:cs="宋体"/>
          <w:color w:val="auto"/>
          <w:szCs w:val="21"/>
          <w:highlight w:val="none"/>
        </w:rPr>
        <w:t>金额</w:t>
      </w:r>
      <w:r>
        <w:rPr>
          <w:rFonts w:hint="eastAsia" w:ascii="宋体" w:hAnsi="宋体" w:cs="宋体"/>
          <w:color w:val="auto"/>
          <w:szCs w:val="21"/>
          <w:highlight w:val="none"/>
        </w:rPr>
        <w:t>或者暂定价</w:t>
      </w:r>
      <w:r>
        <w:rPr>
          <w:rFonts w:ascii="宋体" w:hAnsi="宋体" w:cs="宋体"/>
          <w:color w:val="auto"/>
          <w:szCs w:val="21"/>
          <w:highlight w:val="none"/>
        </w:rPr>
        <w:t>为1</w:t>
      </w:r>
      <w:r>
        <w:rPr>
          <w:rFonts w:hint="eastAsia" w:ascii="宋体" w:hAnsi="宋体" w:cs="宋体"/>
          <w:color w:val="auto"/>
          <w:szCs w:val="21"/>
          <w:highlight w:val="none"/>
          <w:lang w:val="en-US" w:eastAsia="zh-CN"/>
        </w:rPr>
        <w:t>0</w:t>
      </w:r>
      <w:r>
        <w:rPr>
          <w:rFonts w:ascii="宋体" w:hAnsi="宋体" w:cs="宋体"/>
          <w:color w:val="auto"/>
          <w:szCs w:val="21"/>
          <w:highlight w:val="none"/>
        </w:rPr>
        <w:t>0万元，计算</w:t>
      </w:r>
      <w:r>
        <w:rPr>
          <w:rFonts w:hint="eastAsia" w:ascii="宋体" w:hAnsi="宋体" w:cs="宋体"/>
          <w:color w:val="auto"/>
          <w:szCs w:val="21"/>
          <w:highlight w:val="none"/>
        </w:rPr>
        <w:t>采购</w:t>
      </w:r>
      <w:r>
        <w:rPr>
          <w:rFonts w:ascii="宋体" w:hAnsi="宋体" w:cs="宋体"/>
          <w:color w:val="auto"/>
          <w:szCs w:val="21"/>
          <w:highlight w:val="none"/>
        </w:rPr>
        <w:t>代理收费额如下：</w:t>
      </w:r>
    </w:p>
    <w:p w14:paraId="0655F915">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100万元×l.5%＝1.5万元</w:t>
      </w:r>
    </w:p>
    <w:p w14:paraId="3BB79E35">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合计收费＝1.5万元</w:t>
      </w:r>
    </w:p>
    <w:p w14:paraId="55DF59BB">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 xml:space="preserve">32.3 </w:t>
      </w:r>
      <w:r>
        <w:rPr>
          <w:rFonts w:hint="eastAsia" w:ascii="宋体" w:hAnsi="宋体" w:cs="宋体"/>
          <w:color w:val="auto"/>
          <w:szCs w:val="21"/>
          <w:highlight w:val="none"/>
        </w:rPr>
        <w:t>代理服务费交纳</w:t>
      </w:r>
      <w:r>
        <w:rPr>
          <w:rFonts w:hint="eastAsia" w:ascii="宋体" w:hAnsi="宋体" w:cs="宋体"/>
          <w:color w:val="auto"/>
          <w:szCs w:val="21"/>
          <w:highlight w:val="none"/>
          <w:lang w:eastAsia="zh-CN"/>
        </w:rPr>
        <w:t>银行账号</w:t>
      </w:r>
      <w:r>
        <w:rPr>
          <w:rFonts w:ascii="宋体" w:hAnsi="宋体" w:cs="宋体"/>
          <w:color w:val="auto"/>
          <w:szCs w:val="21"/>
          <w:highlight w:val="none"/>
        </w:rPr>
        <w:t>信息</w:t>
      </w:r>
    </w:p>
    <w:p w14:paraId="2CBD947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账户名称：广西中信恒泰工程顾问有限公司</w:t>
      </w:r>
    </w:p>
    <w:p w14:paraId="4445831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开户银行：建行南宁市金湖广场支行</w:t>
      </w:r>
    </w:p>
    <w:p w14:paraId="4185B0B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银行账号：45001604266052502851</w:t>
      </w:r>
    </w:p>
    <w:p w14:paraId="10DDEA46">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3</w:t>
      </w:r>
      <w:r>
        <w:rPr>
          <w:rFonts w:ascii="宋体" w:hAnsi="宋体" w:cs="宋体"/>
          <w:b/>
          <w:bCs/>
          <w:color w:val="auto"/>
          <w:szCs w:val="21"/>
          <w:highlight w:val="none"/>
        </w:rPr>
        <w:t>3.需要补充的其他内容</w:t>
      </w:r>
    </w:p>
    <w:p w14:paraId="021E7150">
      <w:pPr>
        <w:pStyle w:val="19"/>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3</w:t>
      </w:r>
      <w:r>
        <w:rPr>
          <w:rFonts w:hAnsi="宋体" w:cs="宋体"/>
          <w:color w:val="auto"/>
          <w:kern w:val="2"/>
          <w:sz w:val="21"/>
          <w:highlight w:val="none"/>
        </w:rPr>
        <w:t>3.1</w:t>
      </w:r>
      <w:r>
        <w:rPr>
          <w:rFonts w:hint="eastAsia" w:hAnsi="宋体" w:cs="宋体"/>
          <w:color w:val="auto"/>
          <w:kern w:val="2"/>
          <w:sz w:val="21"/>
          <w:highlight w:val="none"/>
        </w:rPr>
        <w:t>本磋商文件解释规则详见“供应商须知前附表”。</w:t>
      </w:r>
    </w:p>
    <w:p w14:paraId="02DD3C47">
      <w:pPr>
        <w:pStyle w:val="19"/>
        <w:spacing w:line="360" w:lineRule="auto"/>
        <w:ind w:firstLine="420" w:firstLineChars="200"/>
        <w:textAlignment w:val="center"/>
        <w:rPr>
          <w:rFonts w:hAnsi="宋体" w:cs="宋体"/>
          <w:color w:val="auto"/>
          <w:kern w:val="2"/>
          <w:sz w:val="21"/>
          <w:highlight w:val="none"/>
        </w:rPr>
      </w:pPr>
      <w:r>
        <w:rPr>
          <w:rFonts w:hAnsi="宋体" w:cs="宋体"/>
          <w:color w:val="auto"/>
          <w:kern w:val="2"/>
          <w:sz w:val="21"/>
          <w:highlight w:val="none"/>
        </w:rPr>
        <w:t>33.2</w:t>
      </w:r>
      <w:r>
        <w:rPr>
          <w:rFonts w:hint="eastAsia" w:hAnsi="宋体" w:cs="宋体"/>
          <w:color w:val="auto"/>
          <w:kern w:val="2"/>
          <w:sz w:val="21"/>
          <w:highlight w:val="none"/>
        </w:rPr>
        <w:t xml:space="preserve"> 其他事项详见“供应商须知前附表”。</w:t>
      </w:r>
    </w:p>
    <w:p w14:paraId="4FF34424">
      <w:pPr>
        <w:pStyle w:val="19"/>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3</w:t>
      </w:r>
      <w:r>
        <w:rPr>
          <w:rFonts w:hAnsi="宋体" w:cs="宋体"/>
          <w:color w:val="auto"/>
          <w:kern w:val="2"/>
          <w:sz w:val="21"/>
          <w:highlight w:val="none"/>
        </w:rPr>
        <w:t>3.3</w:t>
      </w:r>
      <w:r>
        <w:rPr>
          <w:rFonts w:hint="eastAsia" w:hAnsi="宋体" w:cs="宋体"/>
          <w:color w:val="auto"/>
          <w:kern w:val="2"/>
          <w:sz w:val="21"/>
          <w:highlight w:val="none"/>
        </w:rPr>
        <w:t>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5CBFACC2">
      <w:pPr>
        <w:pStyle w:val="19"/>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164CAB5D">
      <w:pPr>
        <w:pStyle w:val="19"/>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（2）在工程采购项目中，工程由中小企业承建，即工程施工单位为中小企业，不对其中涉及的货物的制造商和服务的承接商作出要求；</w:t>
      </w:r>
    </w:p>
    <w:p w14:paraId="1CB26B05">
      <w:pPr>
        <w:pStyle w:val="19"/>
        <w:spacing w:line="360" w:lineRule="auto"/>
        <w:ind w:firstLine="420" w:firstLineChars="200"/>
        <w:contextualSpacing/>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6B30FCA2">
      <w:pPr>
        <w:pStyle w:val="19"/>
        <w:spacing w:line="360" w:lineRule="auto"/>
        <w:ind w:firstLine="420" w:firstLineChars="200"/>
        <w:contextualSpacing/>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1EAD77F9">
      <w:pPr>
        <w:pStyle w:val="19"/>
        <w:spacing w:line="360" w:lineRule="auto"/>
        <w:ind w:firstLine="420" w:firstLineChars="200"/>
        <w:contextualSpacing/>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依据本磋商文件规定享受扶持政策获得政府采购合同的，小微企业不得将合同分包给大中型企业，中型企业不得将合同分包给大型企业。</w:t>
      </w:r>
    </w:p>
    <w:p w14:paraId="04C317EA">
      <w:pPr>
        <w:widowControl w:val="0"/>
        <w:spacing w:line="360" w:lineRule="auto"/>
        <w:ind w:firstLine="420" w:firstLineChars="20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w:t>
      </w:r>
      <w:r>
        <w:rPr>
          <w:rFonts w:hint="eastAsia" w:ascii="宋体" w:hAnsi="宋体" w:cs="宋体"/>
          <w:color w:val="auto"/>
          <w:kern w:val="0"/>
          <w:sz w:val="21"/>
          <w:szCs w:val="21"/>
          <w:highlight w:val="none"/>
          <w:lang w:val="en-US" w:eastAsia="zh-CN" w:bidi="ar-SA"/>
        </w:rPr>
        <w:t>3</w:t>
      </w:r>
      <w:r>
        <w:rPr>
          <w:rFonts w:hint="eastAsia" w:ascii="宋体" w:hAnsi="宋体" w:eastAsia="宋体" w:cs="宋体"/>
          <w:color w:val="auto"/>
          <w:kern w:val="0"/>
          <w:sz w:val="21"/>
          <w:szCs w:val="21"/>
          <w:highlight w:val="none"/>
          <w:lang w:val="en-US" w:eastAsia="zh-CN" w:bidi="ar-SA"/>
        </w:rPr>
        <w:t>.4依据《国务院办公厅关于在政府采购中实施本国产品标准及相关政策的通知》（国办发〔2025〕34 号）及《财政部和工业和信息化部关于贯彻落实</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国务院办公厅关于在政府采购中实施本国产品标准及相关政策的通知</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 xml:space="preserve">的意见》（财库〔2025〕30 号）等相关规定，对本国产品的支持政策。 </w:t>
      </w:r>
    </w:p>
    <w:p w14:paraId="635CBFD7">
      <w:pPr>
        <w:widowControl w:val="0"/>
        <w:spacing w:line="360" w:lineRule="auto"/>
        <w:ind w:firstLine="420" w:firstLineChars="20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（1）本国产品标准的适用范围 </w:t>
      </w:r>
    </w:p>
    <w:p w14:paraId="0D5DC709">
      <w:pPr>
        <w:widowControl w:val="0"/>
        <w:spacing w:line="360" w:lineRule="auto"/>
        <w:ind w:firstLine="420" w:firstLineChars="20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 </w:t>
      </w:r>
    </w:p>
    <w:p w14:paraId="040B9732">
      <w:pPr>
        <w:widowControl w:val="0"/>
        <w:spacing w:line="360" w:lineRule="auto"/>
        <w:ind w:firstLine="420" w:firstLineChars="20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（2）对本国产品的支持政策 </w:t>
      </w:r>
    </w:p>
    <w:p w14:paraId="0913EBEC">
      <w:pPr>
        <w:spacing w:line="360" w:lineRule="auto"/>
        <w:ind w:firstLine="420" w:firstLineChars="200"/>
        <w:jc w:val="both"/>
        <w:rPr>
          <w:rFonts w:hint="eastAsia" w:ascii="宋体" w:hAnsi="宋体" w:eastAsia="宋体" w:cs="Times New Roman"/>
          <w:color w:val="auto"/>
          <w:szCs w:val="20"/>
          <w:highlight w:val="none"/>
        </w:rPr>
      </w:pPr>
      <w:r>
        <w:rPr>
          <w:rFonts w:hint="eastAsia" w:ascii="宋体" w:hAnsi="宋体" w:eastAsia="宋体" w:cs="Times New Roman"/>
          <w:color w:val="auto"/>
          <w:szCs w:val="20"/>
          <w:highlight w:val="none"/>
          <w:lang w:val="en-US" w:eastAsia="zh-CN"/>
        </w:rPr>
        <w:t>政府采购活动中既有本国产品又有非本国产品参与竞争的，依法对本国产品给予价格评审优惠，对本国产品的报价给予 20%的价格扣除，用扣除后的价格参与评审。</w:t>
      </w:r>
    </w:p>
    <w:p w14:paraId="7A7B3F1C">
      <w:pPr>
        <w:spacing w:line="360" w:lineRule="auto"/>
        <w:ind w:firstLine="420" w:firstLineChars="200"/>
        <w:rPr>
          <w:rFonts w:hint="eastAsia" w:ascii="宋体" w:hAnsi="宋体" w:eastAsia="宋体" w:cs="Times New Roman"/>
          <w:color w:val="auto"/>
          <w:szCs w:val="20"/>
          <w:highlight w:val="none"/>
        </w:rPr>
      </w:pPr>
      <w:r>
        <w:rPr>
          <w:rFonts w:hint="eastAsia" w:ascii="宋体" w:hAnsi="宋体" w:eastAsia="宋体" w:cs="Times New Roman"/>
          <w:color w:val="auto"/>
          <w:szCs w:val="20"/>
          <w:highlight w:val="none"/>
          <w:lang w:val="en-US" w:eastAsia="zh-CN"/>
        </w:rPr>
        <w:t xml:space="preserve">当采购项目或者采购包中含有多种产品，供应商为该采购项目或者采购包提供的符合本国产品标准的产品成本之和占该供应商提供的全部产品成本之和的比例达到 80%以上时，依法对该供应商提供的全部产品给予价格评审优惠，即对该供应商提供的全部产品的总报价给予 20%的价格扣除，用扣除后的价格参与评审。 </w:t>
      </w:r>
    </w:p>
    <w:p w14:paraId="53D10A3E">
      <w:pPr>
        <w:spacing w:line="360" w:lineRule="auto"/>
        <w:ind w:firstLine="420" w:firstLineChars="200"/>
        <w:rPr>
          <w:rFonts w:hint="eastAsia" w:ascii="宋体" w:hAnsi="宋体" w:eastAsia="宋体" w:cs="Times New Roman"/>
          <w:color w:val="auto"/>
          <w:szCs w:val="20"/>
          <w:highlight w:val="none"/>
          <w:lang w:val="en-US" w:eastAsia="zh-CN"/>
        </w:rPr>
      </w:pPr>
      <w:r>
        <w:rPr>
          <w:rFonts w:hint="eastAsia" w:ascii="宋体" w:hAnsi="宋体" w:eastAsia="宋体" w:cs="Times New Roman"/>
          <w:color w:val="auto"/>
          <w:szCs w:val="20"/>
          <w:highlight w:val="none"/>
          <w:lang w:val="en-US" w:eastAsia="zh-CN"/>
        </w:rPr>
        <w:t>（3）本国产品应当符合以下条件：</w:t>
      </w:r>
    </w:p>
    <w:p w14:paraId="0F45D03E">
      <w:pPr>
        <w:spacing w:line="360" w:lineRule="auto"/>
        <w:ind w:firstLine="420" w:firstLineChars="200"/>
        <w:rPr>
          <w:rFonts w:hint="eastAsia" w:ascii="宋体" w:hAnsi="宋体" w:eastAsia="宋体" w:cs="Times New Roman"/>
          <w:color w:val="auto"/>
          <w:szCs w:val="20"/>
          <w:highlight w:val="none"/>
          <w:lang w:val="en-US" w:eastAsia="zh-CN"/>
        </w:rPr>
      </w:pPr>
      <w:r>
        <w:rPr>
          <w:rFonts w:hint="eastAsia" w:ascii="宋体" w:hAnsi="宋体" w:cs="Times New Roman"/>
          <w:color w:val="auto"/>
          <w:szCs w:val="20"/>
          <w:highlight w:val="none"/>
          <w:lang w:val="en-US" w:eastAsia="zh-CN"/>
        </w:rPr>
        <w:t>①</w:t>
      </w:r>
      <w:r>
        <w:rPr>
          <w:rFonts w:hint="eastAsia" w:ascii="宋体" w:hAnsi="宋体" w:eastAsia="宋体" w:cs="Times New Roman"/>
          <w:color w:val="auto"/>
          <w:szCs w:val="20"/>
          <w:highlight w:val="none"/>
          <w:lang w:val="en-US" w:eastAsia="zh-CN"/>
        </w:rPr>
        <w:t>在中国境内生产</w:t>
      </w:r>
    </w:p>
    <w:p w14:paraId="64758EFA">
      <w:pPr>
        <w:spacing w:line="360" w:lineRule="auto"/>
        <w:ind w:firstLine="420" w:firstLineChars="200"/>
        <w:rPr>
          <w:rFonts w:hint="eastAsia" w:ascii="宋体" w:hAnsi="宋体" w:eastAsia="宋体" w:cs="Times New Roman"/>
          <w:color w:val="auto"/>
          <w:szCs w:val="20"/>
          <w:highlight w:val="none"/>
          <w:lang w:val="en-US" w:eastAsia="zh-CN"/>
        </w:rPr>
      </w:pPr>
      <w:r>
        <w:rPr>
          <w:rFonts w:hint="eastAsia" w:ascii="宋体" w:hAnsi="宋体" w:eastAsia="宋体" w:cs="Times New Roman"/>
          <w:color w:val="auto"/>
          <w:szCs w:val="20"/>
          <w:highlight w:val="none"/>
          <w:lang w:val="en-US" w:eastAsia="zh-CN"/>
        </w:rPr>
        <w:t>产品应当在中国境内生产，即在中华人民共和国关境内实现从原材料、组件到产品的属性改变。</w:t>
      </w:r>
    </w:p>
    <w:p w14:paraId="6BD3FA37">
      <w:pPr>
        <w:spacing w:line="360" w:lineRule="auto"/>
        <w:ind w:firstLine="420" w:firstLineChars="200"/>
        <w:rPr>
          <w:rFonts w:hint="eastAsia" w:ascii="宋体" w:hAnsi="宋体" w:eastAsia="宋体" w:cs="Times New Roman"/>
          <w:color w:val="auto"/>
          <w:szCs w:val="20"/>
          <w:highlight w:val="none"/>
          <w:lang w:val="en-US" w:eastAsia="zh-CN"/>
        </w:rPr>
      </w:pPr>
      <w:r>
        <w:rPr>
          <w:rFonts w:hint="eastAsia" w:ascii="宋体" w:hAnsi="宋体" w:eastAsia="宋体" w:cs="Times New Roman"/>
          <w:color w:val="auto"/>
          <w:szCs w:val="20"/>
          <w:highlight w:val="none"/>
          <w:lang w:val="en-US" w:eastAsia="zh-CN"/>
        </w:rPr>
        <w:t>属性改变是指经过制造、加工或者组装等工序，产生完全不同于原材料、组件的新产品，并具有新的名称和特征（用途）。属性改变不包括以下细微操作：</w:t>
      </w:r>
    </w:p>
    <w:p w14:paraId="549718AC">
      <w:pPr>
        <w:spacing w:line="360" w:lineRule="auto"/>
        <w:ind w:firstLine="420" w:firstLineChars="200"/>
        <w:rPr>
          <w:rFonts w:hint="eastAsia" w:ascii="宋体" w:hAnsi="宋体" w:eastAsia="宋体" w:cs="Times New Roman"/>
          <w:color w:val="auto"/>
          <w:szCs w:val="20"/>
          <w:highlight w:val="none"/>
          <w:lang w:val="en-US" w:eastAsia="zh-CN"/>
        </w:rPr>
      </w:pPr>
      <w:r>
        <w:rPr>
          <w:rFonts w:hint="eastAsia" w:ascii="宋体" w:hAnsi="宋体" w:cs="Times New Roman"/>
          <w:color w:val="auto"/>
          <w:szCs w:val="20"/>
          <w:highlight w:val="none"/>
          <w:lang w:val="en-US" w:eastAsia="zh-CN"/>
        </w:rPr>
        <w:t>a</w:t>
      </w:r>
      <w:r>
        <w:rPr>
          <w:rFonts w:hint="eastAsia" w:ascii="宋体" w:hAnsi="宋体" w:eastAsia="宋体" w:cs="Times New Roman"/>
          <w:color w:val="auto"/>
          <w:szCs w:val="20"/>
          <w:highlight w:val="none"/>
          <w:lang w:val="en-US" w:eastAsia="zh-CN"/>
        </w:rPr>
        <w:t>.为确保产品在运输或者储存期间保持某种状态而进行的操作；</w:t>
      </w:r>
    </w:p>
    <w:p w14:paraId="1D9629E2">
      <w:pPr>
        <w:spacing w:line="360" w:lineRule="auto"/>
        <w:ind w:firstLine="420" w:firstLineChars="200"/>
        <w:rPr>
          <w:rFonts w:hint="eastAsia" w:ascii="宋体" w:hAnsi="宋体" w:eastAsia="宋体" w:cs="Times New Roman"/>
          <w:color w:val="auto"/>
          <w:szCs w:val="20"/>
          <w:highlight w:val="none"/>
          <w:lang w:val="en-US" w:eastAsia="zh-CN"/>
        </w:rPr>
      </w:pPr>
      <w:r>
        <w:rPr>
          <w:rFonts w:hint="eastAsia" w:ascii="宋体" w:hAnsi="宋体" w:cs="Times New Roman"/>
          <w:color w:val="auto"/>
          <w:szCs w:val="20"/>
          <w:highlight w:val="none"/>
          <w:lang w:val="en-US" w:eastAsia="zh-CN"/>
        </w:rPr>
        <w:t>b</w:t>
      </w:r>
      <w:r>
        <w:rPr>
          <w:rFonts w:hint="eastAsia" w:ascii="宋体" w:hAnsi="宋体" w:eastAsia="宋体" w:cs="Times New Roman"/>
          <w:color w:val="auto"/>
          <w:szCs w:val="20"/>
          <w:highlight w:val="none"/>
          <w:lang w:val="en-US" w:eastAsia="zh-CN"/>
        </w:rPr>
        <w:t>.为产品运输或者销售进行的包装或者展示；</w:t>
      </w:r>
    </w:p>
    <w:p w14:paraId="6E010438">
      <w:pPr>
        <w:spacing w:line="360" w:lineRule="auto"/>
        <w:ind w:firstLine="420" w:firstLineChars="200"/>
        <w:rPr>
          <w:rFonts w:hint="eastAsia" w:ascii="宋体" w:hAnsi="宋体" w:eastAsia="宋体" w:cs="Times New Roman"/>
          <w:color w:val="auto"/>
          <w:szCs w:val="20"/>
          <w:highlight w:val="none"/>
          <w:lang w:val="en-US" w:eastAsia="zh-CN"/>
        </w:rPr>
      </w:pPr>
      <w:r>
        <w:rPr>
          <w:rFonts w:hint="eastAsia" w:ascii="宋体" w:hAnsi="宋体" w:cs="Times New Roman"/>
          <w:color w:val="auto"/>
          <w:szCs w:val="20"/>
          <w:highlight w:val="none"/>
          <w:lang w:val="en-US" w:eastAsia="zh-CN"/>
        </w:rPr>
        <w:t>c</w:t>
      </w:r>
      <w:r>
        <w:rPr>
          <w:rFonts w:hint="eastAsia" w:ascii="宋体" w:hAnsi="宋体" w:eastAsia="宋体" w:cs="Times New Roman"/>
          <w:color w:val="auto"/>
          <w:szCs w:val="20"/>
          <w:highlight w:val="none"/>
          <w:lang w:val="en-US" w:eastAsia="zh-CN"/>
        </w:rPr>
        <w:t>.在产品或者其包装上粘贴或者印刷品牌、标志、标识以及其他用于区别的标记；</w:t>
      </w:r>
    </w:p>
    <w:p w14:paraId="3A646110">
      <w:pPr>
        <w:spacing w:line="360" w:lineRule="auto"/>
        <w:ind w:firstLine="420" w:firstLineChars="200"/>
        <w:rPr>
          <w:rFonts w:hint="eastAsia" w:ascii="宋体" w:hAnsi="宋体" w:eastAsia="宋体" w:cs="Times New Roman"/>
          <w:color w:val="auto"/>
          <w:szCs w:val="20"/>
          <w:highlight w:val="none"/>
          <w:lang w:val="en-US" w:eastAsia="zh-CN"/>
        </w:rPr>
      </w:pPr>
      <w:r>
        <w:rPr>
          <w:rFonts w:hint="eastAsia" w:ascii="宋体" w:hAnsi="宋体" w:cs="Times New Roman"/>
          <w:color w:val="auto"/>
          <w:szCs w:val="20"/>
          <w:highlight w:val="none"/>
          <w:lang w:val="en-US" w:eastAsia="zh-CN"/>
        </w:rPr>
        <w:t>d</w:t>
      </w:r>
      <w:r>
        <w:rPr>
          <w:rFonts w:hint="eastAsia" w:ascii="宋体" w:hAnsi="宋体" w:eastAsia="宋体" w:cs="Times New Roman"/>
          <w:color w:val="auto"/>
          <w:szCs w:val="20"/>
          <w:highlight w:val="none"/>
          <w:lang w:val="en-US" w:eastAsia="zh-CN"/>
        </w:rPr>
        <w:t>.简单的上漆、磨光和分装；</w:t>
      </w:r>
    </w:p>
    <w:p w14:paraId="1F85AD42">
      <w:pPr>
        <w:spacing w:line="360" w:lineRule="auto"/>
        <w:ind w:firstLine="420" w:firstLineChars="200"/>
        <w:rPr>
          <w:rFonts w:hint="eastAsia" w:ascii="宋体" w:hAnsi="宋体" w:eastAsia="宋体" w:cs="Times New Roman"/>
          <w:color w:val="auto"/>
          <w:szCs w:val="20"/>
          <w:highlight w:val="none"/>
          <w:lang w:val="en-US" w:eastAsia="zh-CN"/>
        </w:rPr>
      </w:pPr>
      <w:r>
        <w:rPr>
          <w:rFonts w:hint="eastAsia" w:ascii="宋体" w:hAnsi="宋体" w:cs="Times New Roman"/>
          <w:color w:val="auto"/>
          <w:szCs w:val="20"/>
          <w:highlight w:val="none"/>
          <w:lang w:val="en-US" w:eastAsia="zh-CN"/>
        </w:rPr>
        <w:t>e</w:t>
      </w:r>
      <w:r>
        <w:rPr>
          <w:rFonts w:hint="eastAsia" w:ascii="宋体" w:hAnsi="宋体" w:eastAsia="宋体" w:cs="Times New Roman"/>
          <w:color w:val="auto"/>
          <w:szCs w:val="20"/>
          <w:highlight w:val="none"/>
          <w:lang w:val="en-US" w:eastAsia="zh-CN"/>
        </w:rPr>
        <w:t>.其他不属于属性改变的情形。</w:t>
      </w:r>
    </w:p>
    <w:p w14:paraId="20A2F828">
      <w:pPr>
        <w:spacing w:line="360" w:lineRule="auto"/>
        <w:ind w:firstLine="420" w:firstLineChars="200"/>
        <w:rPr>
          <w:rFonts w:hint="eastAsia" w:ascii="宋体" w:hAnsi="宋体" w:eastAsia="宋体" w:cs="Times New Roman"/>
          <w:color w:val="auto"/>
          <w:szCs w:val="20"/>
          <w:highlight w:val="none"/>
          <w:lang w:val="en-US" w:eastAsia="zh-CN"/>
        </w:rPr>
      </w:pPr>
      <w:r>
        <w:rPr>
          <w:rFonts w:hint="eastAsia" w:ascii="宋体" w:hAnsi="宋体" w:cs="Times New Roman"/>
          <w:color w:val="auto"/>
          <w:szCs w:val="20"/>
          <w:highlight w:val="none"/>
          <w:lang w:val="en-US" w:eastAsia="zh-CN"/>
        </w:rPr>
        <w:t>②</w:t>
      </w:r>
      <w:r>
        <w:rPr>
          <w:rFonts w:hint="eastAsia" w:ascii="宋体" w:hAnsi="宋体" w:eastAsia="宋体" w:cs="Times New Roman"/>
          <w:color w:val="auto"/>
          <w:szCs w:val="20"/>
          <w:highlight w:val="none"/>
          <w:lang w:val="en-US" w:eastAsia="zh-CN"/>
        </w:rPr>
        <w:t>在中国境内生产的组件成本占比达到规定比例</w:t>
      </w:r>
    </w:p>
    <w:p w14:paraId="45E4F062">
      <w:pPr>
        <w:spacing w:line="360" w:lineRule="auto"/>
        <w:rPr>
          <w:rFonts w:hint="eastAsia" w:ascii="宋体" w:hAnsi="宋体" w:eastAsia="宋体" w:cs="Times New Roman"/>
          <w:color w:val="auto"/>
          <w:szCs w:val="20"/>
          <w:highlight w:val="none"/>
          <w:lang w:val="en-US" w:eastAsia="zh-CN"/>
        </w:rPr>
      </w:pPr>
      <w:r>
        <w:rPr>
          <w:rFonts w:hint="eastAsia" w:ascii="宋体" w:hAnsi="宋体" w:eastAsia="宋体" w:cs="Times New Roman"/>
          <w:color w:val="auto"/>
          <w:szCs w:val="20"/>
          <w:highlight w:val="none"/>
          <w:lang w:val="en-US" w:eastAsia="zh-CN"/>
        </w:rPr>
        <w:t>产品在中国境内生产的组件成本占比应当达到规定比例，计算公式为：</w:t>
      </w:r>
    </w:p>
    <w:p w14:paraId="6E4D76A9">
      <w:pPr>
        <w:spacing w:line="360" w:lineRule="auto"/>
        <w:rPr>
          <w:rFonts w:hint="eastAsia" w:ascii="宋体" w:hAnsi="宋体" w:eastAsia="宋体" w:cs="Times New Roman"/>
          <w:color w:val="auto"/>
          <w:szCs w:val="20"/>
          <w:highlight w:val="none"/>
          <w:lang w:val="en-US" w:eastAsia="zh-CN"/>
        </w:rPr>
      </w:pPr>
      <w:r>
        <w:rPr>
          <w:rFonts w:hint="eastAsia" w:ascii="宋体" w:hAnsi="宋体" w:eastAsia="宋体" w:cs="Times New Roman"/>
          <w:color w:val="auto"/>
          <w:szCs w:val="20"/>
          <w:highlight w:val="none"/>
          <w:lang w:val="en-US" w:eastAsia="zh-CN"/>
        </w:rPr>
        <w:t xml:space="preserve">         </w:t>
      </w:r>
      <w:r>
        <w:rPr>
          <w:rFonts w:hint="eastAsia" w:ascii="宋体" w:hAnsi="宋体" w:eastAsia="宋体" w:cs="Times New Roman"/>
          <w:color w:val="auto"/>
          <w:szCs w:val="20"/>
          <w:highlight w:val="none"/>
          <w:lang w:val="en-US" w:eastAsia="zh-CN"/>
        </w:rPr>
        <w:drawing>
          <wp:inline distT="0" distB="0" distL="114300" distR="114300">
            <wp:extent cx="2733675" cy="390525"/>
            <wp:effectExtent l="0" t="0" r="9525" b="9525"/>
            <wp:docPr id="8"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IMG_256"/>
                    <pic:cNvPicPr>
                      <a:picLocks noChangeAspect="1"/>
                    </pic:cNvPicPr>
                  </pic:nvPicPr>
                  <pic:blipFill>
                    <a:blip r:embed="rId13"/>
                    <a:stretch>
                      <a:fillRect/>
                    </a:stretch>
                  </pic:blipFill>
                  <pic:spPr>
                    <a:xfrm>
                      <a:off x="0" y="0"/>
                      <a:ext cx="2733675" cy="390525"/>
                    </a:xfrm>
                    <a:prstGeom prst="rect">
                      <a:avLst/>
                    </a:prstGeom>
                    <a:noFill/>
                    <a:ln w="9525">
                      <a:noFill/>
                    </a:ln>
                  </pic:spPr>
                </pic:pic>
              </a:graphicData>
            </a:graphic>
          </wp:inline>
        </w:drawing>
      </w:r>
    </w:p>
    <w:p w14:paraId="04B41D31">
      <w:pPr>
        <w:spacing w:line="360" w:lineRule="auto"/>
        <w:rPr>
          <w:rFonts w:hint="eastAsia" w:ascii="宋体" w:hAnsi="宋体" w:eastAsia="宋体" w:cs="Times New Roman"/>
          <w:color w:val="auto"/>
          <w:szCs w:val="20"/>
          <w:highlight w:val="none"/>
          <w:lang w:val="en-US" w:eastAsia="zh-CN"/>
        </w:rPr>
      </w:pPr>
      <w:r>
        <w:rPr>
          <w:rFonts w:hint="eastAsia" w:ascii="宋体" w:hAnsi="宋体" w:eastAsia="宋体" w:cs="Times New Roman"/>
          <w:color w:val="auto"/>
          <w:szCs w:val="20"/>
          <w:highlight w:val="none"/>
          <w:lang w:val="en-US" w:eastAsia="zh-CN"/>
        </w:rPr>
        <w:t>财政部会同有关行业主管部门，分产品确定在中国境内生产的组件成本占比应当达到的规定比例。在分产品的中国境内生产的组件成本占比相关要求实施前，符合3</w:t>
      </w:r>
      <w:r>
        <w:rPr>
          <w:rFonts w:hint="eastAsia" w:ascii="宋体" w:hAnsi="宋体" w:cs="Times New Roman"/>
          <w:color w:val="auto"/>
          <w:szCs w:val="20"/>
          <w:highlight w:val="none"/>
          <w:lang w:val="en-US" w:eastAsia="zh-CN"/>
        </w:rPr>
        <w:t>3</w:t>
      </w:r>
      <w:r>
        <w:rPr>
          <w:rFonts w:hint="eastAsia" w:ascii="宋体" w:hAnsi="宋体" w:eastAsia="宋体" w:cs="Times New Roman"/>
          <w:color w:val="auto"/>
          <w:szCs w:val="20"/>
          <w:highlight w:val="none"/>
          <w:lang w:val="en-US" w:eastAsia="zh-CN"/>
        </w:rPr>
        <w:t>.4第</w:t>
      </w:r>
      <w:r>
        <w:rPr>
          <w:rFonts w:hint="eastAsia" w:ascii="宋体" w:hAnsi="宋体" w:cs="Times New Roman"/>
          <w:color w:val="auto"/>
          <w:szCs w:val="20"/>
          <w:highlight w:val="none"/>
          <w:lang w:val="en-US" w:eastAsia="zh-CN"/>
        </w:rPr>
        <w:t>①</w:t>
      </w:r>
      <w:r>
        <w:rPr>
          <w:rFonts w:hint="eastAsia" w:ascii="宋体" w:hAnsi="宋体" w:eastAsia="宋体" w:cs="Times New Roman"/>
          <w:color w:val="auto"/>
          <w:szCs w:val="20"/>
          <w:highlight w:val="none"/>
          <w:lang w:val="en-US" w:eastAsia="zh-CN"/>
        </w:rPr>
        <w:t>项条件的产品在政府采购活动中视同本国产品。</w:t>
      </w:r>
    </w:p>
    <w:p w14:paraId="47D5960A">
      <w:pPr>
        <w:spacing w:line="360" w:lineRule="auto"/>
        <w:ind w:firstLine="420" w:firstLineChars="200"/>
        <w:rPr>
          <w:rFonts w:hint="eastAsia" w:ascii="宋体" w:hAnsi="宋体" w:eastAsia="宋体" w:cs="Times New Roman"/>
          <w:color w:val="auto"/>
          <w:szCs w:val="20"/>
          <w:highlight w:val="none"/>
          <w:lang w:val="en-US" w:eastAsia="zh-CN"/>
        </w:rPr>
      </w:pPr>
      <w:r>
        <w:rPr>
          <w:rFonts w:hint="eastAsia" w:ascii="宋体" w:hAnsi="宋体" w:cs="Times New Roman"/>
          <w:color w:val="auto"/>
          <w:szCs w:val="20"/>
          <w:highlight w:val="none"/>
          <w:lang w:val="en-US" w:eastAsia="zh-CN"/>
        </w:rPr>
        <w:t>③</w:t>
      </w:r>
      <w:r>
        <w:rPr>
          <w:rFonts w:hint="eastAsia" w:ascii="宋体" w:hAnsi="宋体" w:eastAsia="宋体" w:cs="Times New Roman"/>
          <w:color w:val="auto"/>
          <w:szCs w:val="20"/>
          <w:highlight w:val="none"/>
          <w:lang w:val="en-US" w:eastAsia="zh-CN"/>
        </w:rPr>
        <w:t>特定产品的关键组件、关键工序符合相关要求</w:t>
      </w:r>
    </w:p>
    <w:p w14:paraId="2C72C6F1">
      <w:pPr>
        <w:spacing w:line="360" w:lineRule="auto"/>
        <w:rPr>
          <w:rFonts w:hint="eastAsia" w:ascii="宋体" w:hAnsi="宋体" w:eastAsia="宋体" w:cs="Times New Roman"/>
          <w:color w:val="auto"/>
          <w:szCs w:val="20"/>
          <w:highlight w:val="none"/>
        </w:rPr>
      </w:pPr>
      <w:r>
        <w:rPr>
          <w:rFonts w:hint="eastAsia" w:ascii="宋体" w:hAnsi="宋体" w:eastAsia="宋体" w:cs="Times New Roman"/>
          <w:color w:val="auto"/>
          <w:szCs w:val="20"/>
          <w:highlight w:val="none"/>
          <w:lang w:val="en-US" w:eastAsia="zh-CN"/>
        </w:rPr>
        <w:t>对特定产品，在符合</w:t>
      </w:r>
      <w:r>
        <w:rPr>
          <w:rFonts w:hint="eastAsia" w:ascii="宋体" w:hAnsi="宋体" w:cs="Times New Roman"/>
          <w:color w:val="auto"/>
          <w:szCs w:val="20"/>
          <w:highlight w:val="none"/>
          <w:lang w:val="en-US" w:eastAsia="zh-CN"/>
        </w:rPr>
        <w:t>33.4</w:t>
      </w:r>
      <w:r>
        <w:rPr>
          <w:rFonts w:hint="eastAsia" w:ascii="宋体" w:hAnsi="宋体" w:eastAsia="宋体" w:cs="Times New Roman"/>
          <w:color w:val="auto"/>
          <w:szCs w:val="20"/>
          <w:highlight w:val="none"/>
          <w:lang w:val="en-US" w:eastAsia="zh-CN"/>
        </w:rPr>
        <w:t>第</w:t>
      </w:r>
      <w:r>
        <w:rPr>
          <w:rFonts w:hint="eastAsia" w:ascii="宋体" w:hAnsi="宋体" w:cs="Times New Roman"/>
          <w:color w:val="auto"/>
          <w:szCs w:val="20"/>
          <w:highlight w:val="none"/>
          <w:lang w:val="en-US" w:eastAsia="zh-CN"/>
        </w:rPr>
        <w:t>①</w:t>
      </w:r>
      <w:r>
        <w:rPr>
          <w:rFonts w:hint="eastAsia" w:ascii="宋体" w:hAnsi="宋体" w:eastAsia="宋体" w:cs="Times New Roman"/>
          <w:color w:val="auto"/>
          <w:szCs w:val="20"/>
          <w:highlight w:val="none"/>
          <w:lang w:val="en-US" w:eastAsia="zh-CN"/>
        </w:rPr>
        <w:t>项和第</w:t>
      </w:r>
      <w:r>
        <w:rPr>
          <w:rFonts w:hint="eastAsia" w:ascii="宋体" w:hAnsi="宋体" w:cs="Times New Roman"/>
          <w:color w:val="auto"/>
          <w:szCs w:val="20"/>
          <w:highlight w:val="none"/>
          <w:lang w:val="en-US" w:eastAsia="zh-CN"/>
        </w:rPr>
        <w:t>②</w:t>
      </w:r>
      <w:r>
        <w:rPr>
          <w:rFonts w:hint="eastAsia" w:ascii="宋体" w:hAnsi="宋体" w:eastAsia="宋体" w:cs="Times New Roman"/>
          <w:color w:val="auto"/>
          <w:szCs w:val="20"/>
          <w:highlight w:val="none"/>
          <w:lang w:val="en-US" w:eastAsia="zh-CN"/>
        </w:rPr>
        <w:t>项条件的基础上，应当符合财政部会同有关行业主管部门确定的其关键组件、关键工序在中国境内生产、完成等要求。</w:t>
      </w:r>
    </w:p>
    <w:p w14:paraId="293C1F65">
      <w:pPr>
        <w:spacing w:line="360" w:lineRule="auto"/>
        <w:ind w:firstLine="420" w:firstLineChars="200"/>
        <w:rPr>
          <w:rFonts w:hint="eastAsia" w:ascii="宋体" w:hAnsi="宋体" w:eastAsia="宋体" w:cs="Times New Roman"/>
          <w:color w:val="auto"/>
          <w:szCs w:val="20"/>
          <w:highlight w:val="none"/>
        </w:rPr>
      </w:pPr>
      <w:r>
        <w:rPr>
          <w:rFonts w:hint="eastAsia" w:ascii="宋体" w:hAnsi="宋体" w:eastAsia="宋体" w:cs="Times New Roman"/>
          <w:color w:val="auto"/>
          <w:szCs w:val="20"/>
          <w:highlight w:val="none"/>
          <w:lang w:val="en-US" w:eastAsia="zh-CN"/>
        </w:rPr>
        <w:t xml:space="preserve">（4）认真审查有关证明文件。 </w:t>
      </w:r>
    </w:p>
    <w:p w14:paraId="73AE3E8F">
      <w:pPr>
        <w:spacing w:line="360" w:lineRule="auto"/>
        <w:ind w:firstLine="420" w:firstLineChars="200"/>
        <w:rPr>
          <w:rFonts w:hint="default" w:ascii="宋体" w:hAnsi="宋体" w:eastAsia="宋体" w:cs="宋体"/>
          <w:color w:val="auto"/>
          <w:kern w:val="0"/>
          <w:sz w:val="21"/>
          <w:szCs w:val="21"/>
          <w:highlight w:val="none"/>
          <w:lang w:val="en-US" w:eastAsia="zh-CN" w:bidi="ar-SA"/>
        </w:rPr>
      </w:pPr>
      <w:r>
        <w:rPr>
          <w:rFonts w:hint="eastAsia" w:ascii="宋体" w:hAnsi="宋体" w:eastAsia="宋体" w:cs="Times New Roman"/>
          <w:color w:val="auto"/>
          <w:szCs w:val="20"/>
          <w:highlight w:val="none"/>
          <w:lang w:val="en-US" w:eastAsia="zh-CN"/>
        </w:rPr>
        <w:t>采购人应当在采购文件中明确对供应商所出具的《关于符合本国产品标准的声明函》（以下简称《声明函》）的完整性、准确性进行审查的要求，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14:paraId="397300E9">
      <w:pPr>
        <w:rPr>
          <w:rFonts w:hint="eastAsia"/>
          <w:color w:val="auto"/>
          <w:highlight w:val="none"/>
        </w:rPr>
      </w:pPr>
    </w:p>
    <w:p w14:paraId="71ED8D81">
      <w:pPr>
        <w:pStyle w:val="2"/>
        <w:jc w:val="center"/>
        <w:rPr>
          <w:rFonts w:hint="eastAsia"/>
          <w:color w:val="auto"/>
          <w:highlight w:val="none"/>
        </w:rPr>
      </w:pPr>
      <w:r>
        <w:rPr>
          <w:color w:val="auto"/>
          <w:highlight w:val="none"/>
        </w:rPr>
        <w:br w:type="page"/>
      </w:r>
      <w:bookmarkStart w:id="28" w:name="_Toc170496363"/>
      <w:r>
        <w:rPr>
          <w:rFonts w:hint="eastAsia"/>
          <w:color w:val="auto"/>
          <w:highlight w:val="none"/>
        </w:rPr>
        <w:t>第四章 评审程序、评审方法和评审标准</w:t>
      </w:r>
      <w:bookmarkEnd w:id="28"/>
    </w:p>
    <w:p w14:paraId="5E4F21D9">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一、评审程序和评审方法</w:t>
      </w:r>
    </w:p>
    <w:p w14:paraId="6E9723A2">
      <w:pPr>
        <w:spacing w:line="360" w:lineRule="auto"/>
        <w:ind w:firstLine="482" w:firstLineChars="200"/>
        <w:rPr>
          <w:rFonts w:hint="eastAsia" w:ascii="黑体" w:hAnsi="黑体" w:eastAsia="黑体" w:cs="宋体"/>
          <w:b/>
          <w:bCs/>
          <w:color w:val="auto"/>
          <w:sz w:val="24"/>
          <w:highlight w:val="none"/>
        </w:rPr>
      </w:pPr>
    </w:p>
    <w:p w14:paraId="57DD7028">
      <w:pPr>
        <w:spacing w:line="360" w:lineRule="auto"/>
        <w:ind w:firstLine="422" w:firstLineChars="200"/>
        <w:rPr>
          <w:rFonts w:hint="eastAsia" w:ascii="宋体" w:hAnsi="宋体" w:cs="宋体"/>
          <w:b/>
          <w:bCs/>
          <w:color w:val="auto"/>
          <w:szCs w:val="21"/>
          <w:highlight w:val="none"/>
        </w:rPr>
      </w:pPr>
      <w:r>
        <w:rPr>
          <w:rFonts w:ascii="宋体" w:hAnsi="宋体" w:cs="宋体"/>
          <w:b/>
          <w:bCs/>
          <w:color w:val="auto"/>
          <w:szCs w:val="21"/>
          <w:highlight w:val="none"/>
        </w:rPr>
        <w:t>1</w:t>
      </w:r>
      <w:r>
        <w:rPr>
          <w:rFonts w:hint="eastAsia" w:ascii="宋体" w:hAnsi="宋体" w:cs="宋体"/>
          <w:b/>
          <w:bCs/>
          <w:color w:val="auto"/>
          <w:szCs w:val="21"/>
          <w:highlight w:val="none"/>
        </w:rPr>
        <w:t>.资格审查</w:t>
      </w:r>
    </w:p>
    <w:p w14:paraId="2157291B">
      <w:pPr>
        <w:snapToGrid w:val="0"/>
        <w:spacing w:line="360" w:lineRule="auto"/>
        <w:ind w:firstLine="420" w:firstLineChars="200"/>
        <w:rPr>
          <w:rFonts w:ascii="宋体" w:hAnsi="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w:t>
      </w:r>
      <w:r>
        <w:rPr>
          <w:rFonts w:hint="eastAsia" w:ascii="宋体" w:hAnsi="宋体"/>
          <w:color w:val="auto"/>
          <w:szCs w:val="21"/>
          <w:highlight w:val="none"/>
        </w:rPr>
        <w:t>响应文件开启后，磋商小组依法对供应商的资格证明文件进行审查。</w:t>
      </w:r>
    </w:p>
    <w:p w14:paraId="314C82B3">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（1）查询渠道：</w:t>
      </w:r>
      <w:r>
        <w:rPr>
          <w:rFonts w:ascii="宋体" w:hAnsi="宋体" w:cs="宋体"/>
          <w:color w:val="auto"/>
          <w:szCs w:val="21"/>
          <w:highlight w:val="none"/>
        </w:rPr>
        <w:t>“信用中国”网站（www.creditchina.gov.cn）、中国政府采购网（</w:t>
      </w:r>
      <w:r>
        <w:rPr>
          <w:rFonts w:ascii="宋体" w:hAnsi="宋体" w:cs="宋体"/>
          <w:color w:val="auto"/>
          <w:szCs w:val="21"/>
          <w:highlight w:val="none"/>
        </w:rPr>
        <w:fldChar w:fldCharType="begin"/>
      </w:r>
      <w:r>
        <w:rPr>
          <w:rFonts w:ascii="宋体" w:hAnsi="宋体" w:cs="宋体"/>
          <w:color w:val="auto"/>
          <w:szCs w:val="21"/>
          <w:highlight w:val="none"/>
        </w:rPr>
        <w:instrText xml:space="preserve"> HYPERLINK "http://www.ccgp.gov.cn" </w:instrText>
      </w:r>
      <w:r>
        <w:rPr>
          <w:rFonts w:ascii="宋体" w:hAnsi="宋体" w:cs="宋体"/>
          <w:color w:val="auto"/>
          <w:szCs w:val="21"/>
          <w:highlight w:val="none"/>
        </w:rPr>
        <w:fldChar w:fldCharType="separate"/>
      </w:r>
      <w:r>
        <w:rPr>
          <w:rFonts w:ascii="宋体" w:hAnsi="宋体" w:cs="宋体"/>
          <w:color w:val="auto"/>
          <w:szCs w:val="21"/>
          <w:highlight w:val="none"/>
        </w:rPr>
        <w:t>www.ccgp.gov.cn</w:t>
      </w:r>
      <w:r>
        <w:rPr>
          <w:rFonts w:ascii="宋体" w:hAnsi="宋体" w:cs="宋体"/>
          <w:color w:val="auto"/>
          <w:szCs w:val="21"/>
          <w:highlight w:val="none"/>
        </w:rPr>
        <w:fldChar w:fldCharType="end"/>
      </w:r>
      <w:r>
        <w:rPr>
          <w:rFonts w:ascii="宋体" w:hAnsi="宋体" w:cs="宋体"/>
          <w:color w:val="auto"/>
          <w:szCs w:val="21"/>
          <w:highlight w:val="none"/>
        </w:rPr>
        <w:t>）</w:t>
      </w:r>
    </w:p>
    <w:p w14:paraId="7F516190">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（2）信用查询截止时点：</w:t>
      </w:r>
      <w:r>
        <w:rPr>
          <w:rFonts w:ascii="宋体" w:hAnsi="宋体" w:cs="宋体"/>
          <w:color w:val="auto"/>
          <w:szCs w:val="21"/>
          <w:highlight w:val="none"/>
        </w:rPr>
        <w:t>资格审查结束前</w:t>
      </w:r>
    </w:p>
    <w:p w14:paraId="4558E687">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（3）查询记录和证据留存方式：将查询网站中的查询记录截图并作为评审资料保存。</w:t>
      </w:r>
    </w:p>
    <w:p w14:paraId="47DB3FC4">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（4）信用信息使用规则：根据财政部《关于在政府采购活动中查询及使用信用记录有关问题的通知》（财库〔2016〕125号）的规定，对在“信用中国”网站</w:t>
      </w:r>
      <w:r>
        <w:rPr>
          <w:rFonts w:hint="eastAsia" w:ascii="宋体" w:hAnsi="宋体" w:cs="宋体"/>
          <w:color w:val="auto"/>
          <w:szCs w:val="21"/>
          <w:highlight w:val="none"/>
          <w:lang w:eastAsia="zh-CN"/>
        </w:rPr>
        <w:t>（</w:t>
      </w:r>
      <w:r>
        <w:rPr>
          <w:rFonts w:hint="eastAsia" w:ascii="宋体" w:hAnsi="宋体" w:cs="宋体"/>
          <w:color w:val="auto"/>
          <w:szCs w:val="21"/>
          <w:highlight w:val="none"/>
        </w:rPr>
        <w:t>www.creditchina.gov.cn</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、中国政府采购网</w:t>
      </w:r>
      <w:r>
        <w:rPr>
          <w:rFonts w:hint="eastAsia" w:ascii="宋体" w:hAnsi="宋体" w:cs="宋体"/>
          <w:color w:val="auto"/>
          <w:szCs w:val="21"/>
          <w:highlight w:val="none"/>
          <w:lang w:eastAsia="zh-CN"/>
        </w:rPr>
        <w:t>（</w:t>
      </w:r>
      <w:r>
        <w:rPr>
          <w:rFonts w:hint="eastAsia" w:ascii="宋体" w:hAnsi="宋体" w:cs="宋体"/>
          <w:color w:val="auto"/>
          <w:szCs w:val="21"/>
          <w:highlight w:val="none"/>
        </w:rPr>
        <w:t>www.ccgp.gov.cn</w:t>
      </w:r>
      <w:r>
        <w:rPr>
          <w:rFonts w:hint="eastAsia" w:ascii="宋体" w:hAnsi="宋体" w:cs="宋体"/>
          <w:color w:val="auto"/>
          <w:szCs w:val="21"/>
          <w:highlight w:val="none"/>
          <w:lang w:eastAsia="zh-CN"/>
        </w:rPr>
        <w:t>）</w:t>
      </w:r>
      <w:r>
        <w:rPr>
          <w:rFonts w:hint="eastAsia" w:ascii="宋体" w:hAnsi="宋体" w:cs="宋体"/>
          <w:color w:val="auto"/>
          <w:szCs w:val="21"/>
          <w:highlight w:val="none"/>
        </w:rPr>
        <w:t>被列入失信被执行人、重大税收违法失信主体、政府采购严重违法失信行为记录名单及其他不符合《中华人民共和国政府采购法》第二十二条规定条件的供应商，不得参与政府采购活动。</w:t>
      </w:r>
    </w:p>
    <w:p w14:paraId="6C6C676C">
      <w:pPr>
        <w:snapToGrid w:val="0"/>
        <w:spacing w:line="360" w:lineRule="auto"/>
        <w:ind w:firstLine="420" w:firstLineChars="200"/>
        <w:jc w:val="left"/>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.2资格审查标准为本磋商文件中载明对供应商资格要求的条件。资格审查采用合格制，凡符合磋商文件规定的供应商资格要求的响应文件均通过资格审查。</w:t>
      </w:r>
    </w:p>
    <w:p w14:paraId="4BE4092F">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.3供应商有下列情形之一的，资格审查不通过，其响应文件按无效响应处理：</w:t>
      </w:r>
    </w:p>
    <w:p w14:paraId="0FEBDE4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）不具备磋商文件中规定的资格要求的；</w:t>
      </w:r>
    </w:p>
    <w:p w14:paraId="7EDA8A6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（2）响应文件的资格证明文件缺少任一项“供应商须知前附表”资格证明文件规定的“必须提供”的文件资料的；</w:t>
      </w:r>
    </w:p>
    <w:p w14:paraId="398D0C8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（3）响应文件中的资格证明文件出现任一项不符合“供应商须知前附表”资格证明文件规定的“必须提供”的文件资料要求或者无效的；</w:t>
      </w:r>
    </w:p>
    <w:p w14:paraId="1EA8D26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（4）同一合同项下的不同供应商，单位负责人为同一人或者存在直接控股、管理关系的；为本项目提供过整体设计、规范编制或者项目管理、监理、检测等服务的供应商，再参加该采购项目的其他采购活动的。</w:t>
      </w:r>
    </w:p>
    <w:p w14:paraId="2ECF0048">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.4通过资格审查的合格供应商不足3家的，不得进入符合性审查环节，</w:t>
      </w:r>
      <w:r>
        <w:rPr>
          <w:rFonts w:hint="eastAsia" w:ascii="宋体" w:hAnsi="宋体"/>
          <w:color w:val="auto"/>
          <w:szCs w:val="21"/>
          <w:highlight w:val="none"/>
        </w:rPr>
        <w:t>采购人或者采购代理机构应当重新开展采购活动。</w:t>
      </w:r>
    </w:p>
    <w:p w14:paraId="1CE618F5">
      <w:pPr>
        <w:spacing w:line="360" w:lineRule="auto"/>
        <w:ind w:firstLine="422" w:firstLineChars="200"/>
        <w:rPr>
          <w:rFonts w:hint="eastAsia" w:ascii="宋体" w:hAnsi="宋体" w:cs="宋体"/>
          <w:b/>
          <w:bCs/>
          <w:color w:val="auto"/>
          <w:szCs w:val="21"/>
          <w:highlight w:val="none"/>
        </w:rPr>
      </w:pPr>
      <w:r>
        <w:rPr>
          <w:rFonts w:ascii="宋体" w:hAnsi="宋体" w:cs="宋体"/>
          <w:b/>
          <w:bCs/>
          <w:color w:val="auto"/>
          <w:szCs w:val="21"/>
          <w:highlight w:val="none"/>
        </w:rPr>
        <w:t>2</w:t>
      </w:r>
      <w:r>
        <w:rPr>
          <w:rFonts w:hint="eastAsia" w:ascii="宋体" w:hAnsi="宋体" w:cs="宋体"/>
          <w:b/>
          <w:bCs/>
          <w:color w:val="auto"/>
          <w:szCs w:val="21"/>
          <w:highlight w:val="none"/>
        </w:rPr>
        <w:t>.符合性审查</w:t>
      </w:r>
    </w:p>
    <w:p w14:paraId="337B962E">
      <w:pPr>
        <w:spacing w:line="360" w:lineRule="auto"/>
        <w:ind w:firstLine="420" w:firstLineChars="200"/>
        <w:rPr>
          <w:rFonts w:hint="eastAsia" w:ascii="宋体" w:hAnsi="宋体" w:cs="宋体"/>
          <w:color w:val="auto"/>
          <w:szCs w:val="21"/>
          <w:highlight w:val="none"/>
        </w:rPr>
      </w:pPr>
      <w:bookmarkStart w:id="29" w:name="_Hlk42528882"/>
      <w:r>
        <w:rPr>
          <w:rFonts w:ascii="宋体" w:hAnsi="宋体" w:cs="宋体"/>
          <w:color w:val="auto"/>
          <w:szCs w:val="21"/>
          <w:highlight w:val="none"/>
        </w:rPr>
        <w:t>2.1</w:t>
      </w:r>
      <w:r>
        <w:rPr>
          <w:rFonts w:hint="eastAsia" w:ascii="宋体" w:hAnsi="宋体" w:cs="宋体"/>
          <w:color w:val="auto"/>
          <w:szCs w:val="21"/>
          <w:highlight w:val="none"/>
        </w:rPr>
        <w:t>由磋商小组对</w:t>
      </w:r>
      <w:r>
        <w:rPr>
          <w:rFonts w:hint="eastAsia" w:ascii="宋体" w:hAnsi="宋体"/>
          <w:color w:val="auto"/>
          <w:szCs w:val="21"/>
          <w:highlight w:val="none"/>
        </w:rPr>
        <w:t>资格审查的合格供应商</w:t>
      </w:r>
      <w:r>
        <w:rPr>
          <w:rFonts w:hint="eastAsia" w:ascii="宋体" w:hAnsi="宋体" w:cs="宋体"/>
          <w:color w:val="auto"/>
          <w:szCs w:val="21"/>
          <w:highlight w:val="none"/>
        </w:rPr>
        <w:t>的响应文件的竞标报价、商务、技术等实质性要求进行符合性审查，以确定其是否满足磋商文件的实质性要求。</w:t>
      </w:r>
    </w:p>
    <w:bookmarkEnd w:id="29"/>
    <w:p w14:paraId="1E5C7D8B">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2.2</w:t>
      </w:r>
      <w:r>
        <w:rPr>
          <w:rFonts w:hint="eastAsia" w:ascii="宋体" w:hAnsi="宋体" w:cs="宋体"/>
          <w:color w:val="auto"/>
          <w:szCs w:val="21"/>
          <w:highlight w:val="none"/>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E81F85C">
      <w:pPr>
        <w:spacing w:line="360" w:lineRule="auto"/>
        <w:ind w:firstLine="420" w:firstLineChars="200"/>
        <w:rPr>
          <w:rFonts w:ascii="宋体" w:hAnsi="宋体" w:cs="宋体"/>
          <w:color w:val="auto"/>
          <w:spacing w:val="-6"/>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授权代表签字或加盖供应商公章</w:t>
      </w:r>
      <w:r>
        <w:rPr>
          <w:rFonts w:hint="eastAsia" w:ascii="宋体" w:hAnsi="宋体" w:cs="宋体"/>
          <w:color w:val="auto"/>
          <w:spacing w:val="-6"/>
          <w:szCs w:val="21"/>
          <w:highlight w:val="none"/>
        </w:rPr>
        <w:t>。供应商为自然人的，必须由本人签字并附身份证明。</w:t>
      </w:r>
    </w:p>
    <w:p w14:paraId="57080822">
      <w:pPr>
        <w:spacing w:line="360" w:lineRule="auto"/>
        <w:ind w:firstLine="396" w:firstLineChars="200"/>
        <w:rPr>
          <w:rFonts w:hint="eastAsia" w:ascii="宋体" w:hAnsi="宋体" w:cs="宋体"/>
          <w:color w:val="auto"/>
          <w:szCs w:val="21"/>
          <w:highlight w:val="none"/>
        </w:rPr>
      </w:pPr>
      <w:r>
        <w:rPr>
          <w:rFonts w:ascii="宋体" w:hAnsi="宋体" w:cs="宋体"/>
          <w:color w:val="auto"/>
          <w:spacing w:val="-6"/>
          <w:szCs w:val="21"/>
          <w:highlight w:val="none"/>
        </w:rPr>
        <w:t>2.4</w:t>
      </w:r>
      <w:r>
        <w:rPr>
          <w:rFonts w:hint="eastAsia" w:ascii="宋体" w:hAnsi="宋体" w:cs="宋体"/>
          <w:color w:val="auto"/>
          <w:szCs w:val="21"/>
          <w:highlight w:val="none"/>
        </w:rPr>
        <w:t>首次响应文件报价出现前后不一致的，按照下列规定修正：</w:t>
      </w:r>
    </w:p>
    <w:p w14:paraId="6A07296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（1）响应文件中报价表内容与响应文件中</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内容不一致的，以报价表为准；</w:t>
      </w:r>
    </w:p>
    <w:p w14:paraId="49A346F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797F6DF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236EDC4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477750B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同时出现两种以上不一致的，按照以上（1）</w:t>
      </w:r>
      <w:r>
        <w:rPr>
          <w:rFonts w:hint="eastAsia" w:ascii="宋体" w:hAnsi="宋体" w:cs="宋体"/>
          <w:color w:val="auto"/>
          <w:szCs w:val="21"/>
          <w:highlight w:val="none"/>
          <w:lang w:eastAsia="zh-CN"/>
        </w:rPr>
        <w:t>－</w:t>
      </w:r>
      <w:r>
        <w:rPr>
          <w:rFonts w:hint="eastAsia" w:ascii="宋体" w:hAnsi="宋体" w:cs="宋体"/>
          <w:color w:val="auto"/>
          <w:szCs w:val="21"/>
          <w:highlight w:val="none"/>
        </w:rPr>
        <w:t>（4）规定的顺序逐条进行修正。修正后的报价经供应商确认后产生约束力，供应商不确认的，其响应文件按无效响应处理。</w:t>
      </w:r>
    </w:p>
    <w:p w14:paraId="3A243BF9">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商务技术报价评审</w:t>
      </w:r>
    </w:p>
    <w:p w14:paraId="35F8F1A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在评审时，如发现下列情形之一的，将被视为响应文件无效响应处理：</w:t>
      </w:r>
    </w:p>
    <w:p w14:paraId="560F6FB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（1）商务技术评审</w:t>
      </w:r>
    </w:p>
    <w:p w14:paraId="626023E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1）响应文件未按磋商文件要求签署、盖章；</w:t>
      </w:r>
    </w:p>
    <w:p w14:paraId="093F362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2）委托代理人未能出具有效身份证或者出具的身份证与授权委托书中的信息不符的；</w:t>
      </w:r>
    </w:p>
    <w:p w14:paraId="1766019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3）提交的磋商保证金无效的或者未按照磋商文件的规定提交磋商保证金；</w:t>
      </w:r>
    </w:p>
    <w:p w14:paraId="73B39ED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4）响应文件中的报价商务技术文件出现任一项不符合“供应商须知前附表”中“必须提供”或者“委托时必须提供”文件资料要求的规定或者提供的报价商务技术文件无效。</w:t>
      </w:r>
    </w:p>
    <w:p w14:paraId="0A2E6EC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5）商务条款</w:t>
      </w:r>
      <w:r>
        <w:rPr>
          <w:rFonts w:hint="eastAsia" w:ascii="宋体" w:hAnsi="宋体" w:cs="宋体"/>
          <w:color w:val="auto"/>
          <w:szCs w:val="21"/>
          <w:highlight w:val="none"/>
          <w:lang w:val="en-US" w:eastAsia="zh-CN"/>
        </w:rPr>
        <w:t>中标</w:t>
      </w:r>
      <w:r>
        <w:rPr>
          <w:rFonts w:hint="eastAsia" w:ascii="宋体" w:hAnsi="宋体" w:cs="宋体"/>
          <w:color w:val="auto"/>
          <w:szCs w:val="21"/>
          <w:highlight w:val="none"/>
        </w:rPr>
        <w:t>“▲”的条款发生负偏离或者允许负偏离的条款数超过“供应商须知前附表”规定项数的；</w:t>
      </w:r>
    </w:p>
    <w:p w14:paraId="6211AF8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6）未对竞标有效期作出响应或者响应文件承诺的竞标有效期不满足磋商文件要求；</w:t>
      </w:r>
    </w:p>
    <w:p w14:paraId="617C712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7）响应文件的实质性内容未使用中文表述、使用计量单位不符合磋商文件要求；</w:t>
      </w:r>
    </w:p>
    <w:p w14:paraId="4C5ADAD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8）响应文件中的文件资料因填写不齐全或者内容虚假或者出现其他情形而导致被磋商小组认定无效；</w:t>
      </w:r>
    </w:p>
    <w:p w14:paraId="2A41F3E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9）响应文件含有采购人不能接受的附加条件；</w:t>
      </w:r>
    </w:p>
    <w:p w14:paraId="7DBD2CF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10）属于“供应商须知正文”第7.</w:t>
      </w:r>
      <w:r>
        <w:rPr>
          <w:rFonts w:ascii="宋体" w:hAnsi="宋体" w:cs="宋体"/>
          <w:color w:val="auto"/>
          <w:szCs w:val="21"/>
          <w:highlight w:val="none"/>
        </w:rPr>
        <w:t>5</w:t>
      </w:r>
      <w:r>
        <w:rPr>
          <w:rFonts w:hint="eastAsia" w:ascii="宋体" w:hAnsi="宋体" w:cs="宋体"/>
          <w:color w:val="auto"/>
          <w:szCs w:val="21"/>
          <w:highlight w:val="none"/>
        </w:rPr>
        <w:t>条情形；</w:t>
      </w:r>
    </w:p>
    <w:p w14:paraId="0DDA0266">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要求</w:t>
      </w:r>
      <w:r>
        <w:rPr>
          <w:rFonts w:hint="eastAsia" w:ascii="宋体" w:hAnsi="宋体" w:cs="宋体"/>
          <w:color w:val="auto"/>
          <w:szCs w:val="21"/>
          <w:highlight w:val="none"/>
          <w:lang w:val="en-US" w:eastAsia="zh-CN"/>
        </w:rPr>
        <w:t>中标</w:t>
      </w:r>
      <w:r>
        <w:rPr>
          <w:rFonts w:hint="eastAsia" w:ascii="宋体" w:hAnsi="宋体" w:cs="宋体"/>
          <w:color w:val="auto"/>
          <w:szCs w:val="21"/>
          <w:highlight w:val="none"/>
        </w:rPr>
        <w:t>“▲”的条款发生负偏离或允许负偏离的条款数超过“供应商须知前附表”规定项数的；</w:t>
      </w:r>
    </w:p>
    <w:p w14:paraId="73A1DC87">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2）虚假竞标，或者出现其他情形而导致被磋商小组认定无效；</w:t>
      </w:r>
    </w:p>
    <w:p w14:paraId="7FA80CC9">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3）</w:t>
      </w:r>
      <w:bookmarkStart w:id="30" w:name="_Hlk71704147"/>
      <w:r>
        <w:rPr>
          <w:rFonts w:hint="eastAsia" w:ascii="宋体" w:hAnsi="宋体" w:cs="宋体"/>
          <w:color w:val="auto"/>
          <w:szCs w:val="21"/>
          <w:highlight w:val="none"/>
        </w:rPr>
        <w:t>磋商文件未载明允许提供备选（替代）竞标方案或明确不允许提供备选（替代）竞标方案时，供应商提供了备选（替代）竞标方案的；</w:t>
      </w:r>
      <w:bookmarkEnd w:id="30"/>
    </w:p>
    <w:p w14:paraId="3695781F">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4）响应文件标注的项目名称或者项目编号与磋商文件标注的项目名称或者项目编号不一致的；</w:t>
      </w:r>
    </w:p>
    <w:p w14:paraId="63BE0A3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w:t>
      </w:r>
      <w:r>
        <w:rPr>
          <w:rFonts w:hint="eastAsia" w:ascii="宋体" w:hAnsi="宋体"/>
          <w:color w:val="auto"/>
          <w:szCs w:val="21"/>
          <w:highlight w:val="none"/>
        </w:rPr>
        <w:t>竞争性磋商文件明确不允许分包，响应文件拟分包的；</w:t>
      </w:r>
    </w:p>
    <w:p w14:paraId="0AC73728">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6）未响应磋商文件实质性要求；</w:t>
      </w:r>
    </w:p>
    <w:p w14:paraId="0CD9C4E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17）法律、法规和磋商文件规定的其他无效情形。</w:t>
      </w:r>
    </w:p>
    <w:p w14:paraId="2925A64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）报价评审</w:t>
      </w:r>
    </w:p>
    <w:p w14:paraId="1F4141A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1）响应文件未提供“供应商须知前附表” 报价商务技术文件中规定的“竞标报价表”；</w:t>
      </w:r>
    </w:p>
    <w:p w14:paraId="5E37824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w:t>
      </w:r>
    </w:p>
    <w:p w14:paraId="732277D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042B39E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4）最后报价超过所竞标分标规定的采购预算金额或者最高限价的（如本项目公布了最高限价）；</w:t>
      </w:r>
    </w:p>
    <w:p w14:paraId="7622AF6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5）修正后的报价，供应商不确认的；或者经供应商确认修正后的最后报价超过所竞标分标规定的采购预算金额或者最高限价（如本项目公布了最高限价）；</w:t>
      </w:r>
    </w:p>
    <w:p w14:paraId="36D1E2B3">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6）</w:t>
      </w:r>
      <w:r>
        <w:rPr>
          <w:rFonts w:hint="eastAsia" w:ascii="宋体" w:hAnsi="宋体"/>
          <w:color w:val="auto"/>
          <w:szCs w:val="21"/>
          <w:highlight w:val="none"/>
        </w:rPr>
        <w:t>响应文件响应的标的数量及单位与</w:t>
      </w:r>
      <w:r>
        <w:rPr>
          <w:rFonts w:hint="eastAsia" w:ascii="宋体" w:hAnsi="宋体"/>
          <w:color w:val="auto"/>
          <w:szCs w:val="21"/>
          <w:highlight w:val="none"/>
          <w:lang w:eastAsia="zh-CN"/>
        </w:rPr>
        <w:t>竞争性磋商文件</w:t>
      </w:r>
      <w:r>
        <w:rPr>
          <w:rFonts w:hint="eastAsia" w:ascii="宋体" w:hAnsi="宋体"/>
          <w:color w:val="auto"/>
          <w:szCs w:val="21"/>
          <w:highlight w:val="none"/>
        </w:rPr>
        <w:t>要求实质性不一致的。</w:t>
      </w:r>
    </w:p>
    <w:p w14:paraId="2976D0D4">
      <w:pPr>
        <w:spacing w:line="360" w:lineRule="auto"/>
        <w:ind w:firstLine="420" w:firstLineChars="200"/>
        <w:rPr>
          <w:rFonts w:hint="eastAsia" w:ascii="宋体" w:hAnsi="宋体" w:cs="宋体"/>
          <w:color w:val="auto"/>
          <w:szCs w:val="21"/>
          <w:highlight w:val="none"/>
          <w:lang w:eastAsia="zh-CN"/>
        </w:rPr>
      </w:pPr>
      <w:r>
        <w:rPr>
          <w:rFonts w:hint="eastAsia" w:ascii="宋体" w:hAnsi="宋体" w:eastAsia="宋体" w:cs="宋体"/>
          <w:color w:val="auto"/>
          <w:szCs w:val="21"/>
          <w:highlight w:val="none"/>
        </w:rPr>
        <w:t>7）异常低价审查</w:t>
      </w:r>
      <w:r>
        <w:rPr>
          <w:rFonts w:hint="eastAsia" w:ascii="宋体" w:hAnsi="宋体" w:cs="宋体"/>
          <w:color w:val="auto"/>
          <w:szCs w:val="21"/>
          <w:highlight w:val="none"/>
          <w:lang w:eastAsia="zh-CN"/>
        </w:rPr>
        <w:t>：</w:t>
      </w:r>
    </w:p>
    <w:p w14:paraId="2B38327E">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①</w:t>
      </w:r>
      <w:r>
        <w:rPr>
          <w:rFonts w:hint="eastAsia" w:ascii="宋体" w:hAnsi="宋体" w:eastAsia="宋体" w:cs="宋体"/>
          <w:color w:val="auto"/>
          <w:szCs w:val="21"/>
          <w:highlight w:val="none"/>
        </w:rPr>
        <w:t>评审中出现下列情形之一的，</w:t>
      </w:r>
      <w:r>
        <w:rPr>
          <w:rFonts w:hint="eastAsia" w:ascii="宋体" w:hAnsi="宋体" w:cs="宋体"/>
          <w:color w:val="auto"/>
          <w:szCs w:val="21"/>
          <w:highlight w:val="none"/>
          <w:lang w:val="en-US" w:eastAsia="zh-CN"/>
        </w:rPr>
        <w:t>磋商小组</w:t>
      </w:r>
      <w:r>
        <w:rPr>
          <w:rFonts w:hint="eastAsia" w:ascii="宋体" w:hAnsi="宋体" w:eastAsia="宋体" w:cs="宋体"/>
          <w:color w:val="auto"/>
          <w:szCs w:val="21"/>
          <w:highlight w:val="none"/>
        </w:rPr>
        <w:t>应当启动异常低价响应审查程序：</w:t>
      </w:r>
    </w:p>
    <w:p w14:paraId="131596D3">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a.</w:t>
      </w:r>
      <w:r>
        <w:rPr>
          <w:rFonts w:hint="eastAsia" w:ascii="宋体" w:hAnsi="宋体" w:eastAsia="宋体" w:cs="宋体"/>
          <w:color w:val="auto"/>
          <w:szCs w:val="21"/>
          <w:highlight w:val="none"/>
        </w:rPr>
        <w:t>响应报价低于全部通过符合性审查供应商响应报价平均值50%的，即响应报价</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全部通过符合性审查供应商响应报价平均值×50%；</w:t>
      </w:r>
    </w:p>
    <w:p w14:paraId="399F453F">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b.</w:t>
      </w:r>
      <w:r>
        <w:rPr>
          <w:rFonts w:hint="eastAsia" w:ascii="宋体" w:hAnsi="宋体" w:eastAsia="宋体" w:cs="宋体"/>
          <w:color w:val="auto"/>
          <w:szCs w:val="21"/>
          <w:highlight w:val="none"/>
        </w:rPr>
        <w:t>响应报价低于通过符合性审查的次低报价供应商响应报价50%的，即响应报价</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通过符合性审查的次低报价供应商响应报价×50%；</w:t>
      </w:r>
    </w:p>
    <w:p w14:paraId="5B6220E4">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c.</w:t>
      </w:r>
      <w:r>
        <w:rPr>
          <w:rFonts w:hint="eastAsia" w:ascii="宋体" w:hAnsi="宋体" w:eastAsia="宋体" w:cs="宋体"/>
          <w:color w:val="auto"/>
          <w:szCs w:val="21"/>
          <w:highlight w:val="none"/>
        </w:rPr>
        <w:t>响应报价低于采购项目最高限价45%的，即响应报价</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采购项目最高限价×45%；</w:t>
      </w:r>
    </w:p>
    <w:p w14:paraId="4EC96CC5">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d.磋商小组</w:t>
      </w:r>
      <w:r>
        <w:rPr>
          <w:rFonts w:hint="eastAsia" w:ascii="宋体" w:hAnsi="宋体" w:eastAsia="宋体" w:cs="宋体"/>
          <w:color w:val="auto"/>
          <w:szCs w:val="21"/>
          <w:highlight w:val="none"/>
        </w:rPr>
        <w:t>基于专业判断，认为供应商报价过低，有可能影响产品质量或者不能诚信履约的其他情形。</w:t>
      </w:r>
    </w:p>
    <w:p w14:paraId="0E875D1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相关法律法规对供应商报价有规定的，从其规定。</w:t>
      </w:r>
    </w:p>
    <w:p w14:paraId="366219E1">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②磋商小组</w:t>
      </w:r>
      <w:r>
        <w:rPr>
          <w:rFonts w:hint="eastAsia" w:ascii="宋体" w:hAnsi="宋体" w:eastAsia="宋体" w:cs="宋体"/>
          <w:color w:val="auto"/>
          <w:szCs w:val="21"/>
          <w:highlight w:val="none"/>
        </w:rPr>
        <w:t>启动异常低价响应审查后，属于前述</w:t>
      </w:r>
      <w:r>
        <w:rPr>
          <w:rFonts w:hint="eastAsia" w:ascii="宋体" w:hAnsi="宋体" w:cs="宋体"/>
          <w:color w:val="auto"/>
          <w:szCs w:val="21"/>
          <w:highlight w:val="none"/>
          <w:lang w:val="en-US" w:eastAsia="zh-CN"/>
        </w:rPr>
        <w:t>第a</w:t>
      </w:r>
      <w:r>
        <w:rPr>
          <w:rFonts w:hint="eastAsia" w:ascii="宋体" w:hAnsi="宋体" w:eastAsia="宋体" w:cs="宋体"/>
          <w:color w:val="auto"/>
          <w:szCs w:val="21"/>
          <w:highlight w:val="none"/>
        </w:rPr>
        <w:t>至</w:t>
      </w:r>
      <w:r>
        <w:rPr>
          <w:rFonts w:hint="eastAsia" w:ascii="宋体" w:hAnsi="宋体" w:cs="宋体"/>
          <w:color w:val="auto"/>
          <w:szCs w:val="21"/>
          <w:highlight w:val="none"/>
          <w:lang w:val="en-US" w:eastAsia="zh-CN"/>
        </w:rPr>
        <w:t>d项</w:t>
      </w:r>
      <w:r>
        <w:rPr>
          <w:rFonts w:hint="eastAsia" w:ascii="宋体" w:hAnsi="宋体" w:eastAsia="宋体" w:cs="宋体"/>
          <w:color w:val="auto"/>
          <w:szCs w:val="21"/>
          <w:highlight w:val="none"/>
        </w:rPr>
        <w:t>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ascii="宋体" w:hAnsi="宋体" w:cs="宋体"/>
          <w:color w:val="auto"/>
          <w:szCs w:val="21"/>
          <w:highlight w:val="none"/>
          <w:lang w:val="en-US" w:eastAsia="zh-CN"/>
        </w:rPr>
        <w:t>c</w:t>
      </w:r>
      <w:r>
        <w:rPr>
          <w:rFonts w:hint="eastAsia" w:ascii="宋体" w:hAnsi="宋体" w:eastAsia="宋体" w:cs="宋体"/>
          <w:color w:val="auto"/>
          <w:szCs w:val="21"/>
          <w:highlight w:val="none"/>
        </w:rPr>
        <w:t>项情形，供应商已随响应文件一并提交相关书面说明及必要的证明材料的，在评审现场可不再重复提交。</w:t>
      </w:r>
    </w:p>
    <w:p w14:paraId="74A40C16">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lang w:val="en-US" w:eastAsia="zh-CN"/>
        </w:rPr>
        <w:t>磋商小组</w:t>
      </w:r>
      <w:r>
        <w:rPr>
          <w:rFonts w:hint="eastAsia" w:ascii="宋体" w:hAnsi="宋体" w:eastAsia="宋体" w:cs="宋体"/>
          <w:color w:val="auto"/>
          <w:szCs w:val="21"/>
          <w:highlight w:val="none"/>
        </w:rPr>
        <w:t>依据专业经验，参考同类项目中标（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w:t>
      </w:r>
      <w:r>
        <w:rPr>
          <w:rFonts w:hint="eastAsia" w:ascii="宋体" w:hAnsi="宋体" w:cs="宋体"/>
          <w:color w:val="auto"/>
          <w:szCs w:val="21"/>
          <w:highlight w:val="none"/>
          <w:lang w:val="en-US" w:eastAsia="zh-CN"/>
        </w:rPr>
        <w:t>磋商小组</w:t>
      </w:r>
      <w:r>
        <w:rPr>
          <w:rFonts w:hint="eastAsia" w:ascii="宋体" w:hAnsi="宋体" w:eastAsia="宋体" w:cs="宋体"/>
          <w:color w:val="auto"/>
          <w:szCs w:val="21"/>
          <w:highlight w:val="none"/>
        </w:rPr>
        <w:t>应当将其作为无效响应处理。</w:t>
      </w:r>
    </w:p>
    <w:p w14:paraId="55E7A59F">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2.6</w:t>
      </w:r>
      <w:r>
        <w:rPr>
          <w:rFonts w:hint="eastAsia" w:ascii="宋体" w:hAnsi="宋体" w:cs="宋体"/>
          <w:color w:val="auto"/>
          <w:szCs w:val="21"/>
          <w:highlight w:val="none"/>
        </w:rPr>
        <w:t>磋商小组对响应文件进行评审，未实质性响应磋商文件的响应文件按无效响应处理，磋商小组应当将资格和符合性不通过的情况告知有关供应商。磋商小组从符合磋商文件规定的相应资格条件的供应商名单中确定不少于3家的供应商参加磋商。</w:t>
      </w:r>
    </w:p>
    <w:p w14:paraId="07678911">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r>
        <w:rPr>
          <w:rFonts w:hint="eastAsia" w:ascii="宋体" w:hAnsi="宋体"/>
          <w:color w:val="auto"/>
          <w:szCs w:val="21"/>
          <w:highlight w:val="none"/>
        </w:rPr>
        <w:t>。</w:t>
      </w:r>
    </w:p>
    <w:p w14:paraId="17BA5368">
      <w:pPr>
        <w:spacing w:line="360" w:lineRule="auto"/>
        <w:ind w:firstLine="422" w:firstLineChars="200"/>
        <w:rPr>
          <w:rFonts w:ascii="宋体" w:hAnsi="宋体" w:cs="宋体"/>
          <w:b/>
          <w:bCs/>
          <w:color w:val="auto"/>
          <w:szCs w:val="21"/>
          <w:highlight w:val="none"/>
        </w:rPr>
      </w:pPr>
      <w:r>
        <w:rPr>
          <w:rFonts w:ascii="宋体" w:hAnsi="宋体" w:cs="宋体"/>
          <w:b/>
          <w:bCs/>
          <w:color w:val="auto"/>
          <w:szCs w:val="21"/>
          <w:highlight w:val="none"/>
        </w:rPr>
        <w:t>3</w:t>
      </w:r>
      <w:r>
        <w:rPr>
          <w:rFonts w:hint="eastAsia" w:ascii="宋体" w:hAnsi="宋体" w:cs="宋体"/>
          <w:b/>
          <w:bCs/>
          <w:color w:val="auto"/>
          <w:szCs w:val="21"/>
          <w:highlight w:val="none"/>
        </w:rPr>
        <w:t>.磋商程序</w:t>
      </w:r>
    </w:p>
    <w:p w14:paraId="596030C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3</w:t>
      </w:r>
      <w:r>
        <w:rPr>
          <w:rFonts w:ascii="宋体" w:hAnsi="宋体" w:cs="宋体"/>
          <w:color w:val="auto"/>
          <w:kern w:val="0"/>
          <w:szCs w:val="21"/>
          <w:highlight w:val="none"/>
        </w:rPr>
        <w:t>.1</w:t>
      </w:r>
      <w:r>
        <w:rPr>
          <w:rFonts w:hint="eastAsia" w:ascii="宋体" w:hAnsi="宋体" w:cs="宋体"/>
          <w:color w:val="auto"/>
          <w:kern w:val="0"/>
          <w:szCs w:val="21"/>
          <w:highlight w:val="none"/>
        </w:rPr>
        <w:t>磋商小组按照“供应商须知前附表”确定的</w:t>
      </w:r>
      <w:r>
        <w:rPr>
          <w:rFonts w:hint="eastAsia" w:ascii="宋体" w:hAnsi="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26ECD73D">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33F3D7FB">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3.3</w:t>
      </w:r>
      <w:r>
        <w:rPr>
          <w:rFonts w:hint="eastAsia" w:ascii="宋体" w:hAnsi="宋体" w:cs="宋体"/>
          <w:color w:val="auto"/>
          <w:szCs w:val="21"/>
          <w:highlight w:val="none"/>
        </w:rPr>
        <w:t>对磋商文件作出的实质性变动是磋商文件的有效组成部分，由磋商小组及时以电子磋商记录形式同时通知所有参加磋商的供应商。</w:t>
      </w:r>
    </w:p>
    <w:p w14:paraId="1839D94B">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3.4</w:t>
      </w:r>
      <w:r>
        <w:rPr>
          <w:rFonts w:hint="eastAsia" w:ascii="宋体" w:hAnsi="宋体" w:cs="宋体"/>
          <w:color w:val="auto"/>
          <w:szCs w:val="21"/>
          <w:highlight w:val="none"/>
        </w:rPr>
        <w:t>供应商必须按照磋商文件的变动情况和磋商小组的要求以电子回函的形式重新提交响应文件，并由其法定代表人或者授权代表签字或者加盖供应商公章。供应商为自然人的，必须由本人签字并附身份证明。参加磋商的供应商未在规定时间内以电子回函的形式重新提交响应文件的，视同退出磋商。</w:t>
      </w:r>
    </w:p>
    <w:p w14:paraId="3909D4A5">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3.5</w:t>
      </w:r>
      <w:r>
        <w:rPr>
          <w:rFonts w:hint="eastAsia" w:ascii="宋体" w:hAnsi="宋体" w:cs="宋体"/>
          <w:color w:val="auto"/>
          <w:szCs w:val="21"/>
          <w:highlight w:val="none"/>
        </w:rPr>
        <w:t>磋商中，</w:t>
      </w:r>
      <w:r>
        <w:rPr>
          <w:rFonts w:hint="eastAsia" w:ascii="宋体" w:hAnsi="宋体" w:cs="宋体"/>
          <w:color w:val="auto"/>
          <w:spacing w:val="-6"/>
          <w:szCs w:val="21"/>
          <w:highlight w:val="none"/>
        </w:rPr>
        <w:t>磋商的任何一方不得透露与磋商有关的其他供应商的技术资料、价格和其他信息。</w:t>
      </w:r>
    </w:p>
    <w:p w14:paraId="7F4A3721">
      <w:pPr>
        <w:tabs>
          <w:tab w:val="left" w:pos="2835"/>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w:t>
      </w:r>
      <w:r>
        <w:rPr>
          <w:rFonts w:hint="eastAsia" w:ascii="宋体" w:hAnsi="宋体" w:cs="宋体"/>
          <w:color w:val="auto"/>
          <w:szCs w:val="21"/>
          <w:highlight w:val="none"/>
        </w:rPr>
        <w:t>6</w:t>
      </w:r>
      <w:r>
        <w:rPr>
          <w:rFonts w:hint="eastAsia" w:ascii="宋体" w:hAnsi="宋体"/>
          <w:color w:val="auto"/>
          <w:szCs w:val="21"/>
          <w:highlight w:val="none"/>
        </w:rPr>
        <w:t>对磋商过程提交的响应文件进行有效性、完整性和响应程度审查，通过审查的合格供应商不足3家的，采购人或者采购代理机构应当重新开展采购活动。</w:t>
      </w:r>
    </w:p>
    <w:p w14:paraId="166070EB">
      <w:pPr>
        <w:widowControl/>
        <w:tabs>
          <w:tab w:val="left" w:pos="540"/>
        </w:tabs>
        <w:spacing w:line="360" w:lineRule="auto"/>
        <w:ind w:firstLine="420" w:firstLineChars="200"/>
        <w:jc w:val="left"/>
        <w:rPr>
          <w:rFonts w:hint="eastAsia"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7</w:t>
      </w:r>
      <w:r>
        <w:rPr>
          <w:rFonts w:ascii="宋体" w:hAnsi="宋体"/>
          <w:color w:val="auto"/>
          <w:szCs w:val="21"/>
          <w:highlight w:val="none"/>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3F530FBB">
      <w:pPr>
        <w:spacing w:line="360" w:lineRule="auto"/>
        <w:ind w:firstLine="422" w:firstLineChars="200"/>
        <w:rPr>
          <w:rFonts w:ascii="宋体" w:hAnsi="宋体" w:cs="宋体"/>
          <w:color w:val="auto"/>
          <w:szCs w:val="21"/>
          <w:highlight w:val="none"/>
        </w:rPr>
      </w:pPr>
      <w:r>
        <w:rPr>
          <w:rFonts w:ascii="宋体" w:hAnsi="宋体" w:cs="宋体"/>
          <w:b/>
          <w:bCs/>
          <w:color w:val="auto"/>
          <w:szCs w:val="21"/>
          <w:highlight w:val="none"/>
        </w:rPr>
        <w:t>4.</w:t>
      </w:r>
      <w:r>
        <w:rPr>
          <w:rFonts w:hint="eastAsia" w:ascii="宋体" w:hAnsi="宋体" w:cs="宋体"/>
          <w:b/>
          <w:bCs/>
          <w:color w:val="auto"/>
          <w:szCs w:val="21"/>
          <w:highlight w:val="none"/>
        </w:rPr>
        <w:t xml:space="preserve"> 最后报价</w:t>
      </w:r>
    </w:p>
    <w:p w14:paraId="07365C0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磋商文件能够详细列明采购标的的技术、服务要求的，磋商结束后，由磋商小组要求所有继续参加磋商的供应商在规定时间内以电子文件形式提交最后报价，除本章第2.7、3.7、</w:t>
      </w:r>
      <w:r>
        <w:rPr>
          <w:rFonts w:ascii="宋体" w:hAnsi="宋体" w:cs="宋体"/>
          <w:color w:val="auto"/>
          <w:szCs w:val="21"/>
          <w:highlight w:val="none"/>
        </w:rPr>
        <w:t>4.3</w:t>
      </w:r>
      <w:r>
        <w:rPr>
          <w:rFonts w:hint="eastAsia" w:ascii="宋体" w:hAnsi="宋体" w:cs="宋体"/>
          <w:color w:val="auto"/>
          <w:szCs w:val="21"/>
          <w:highlight w:val="none"/>
        </w:rPr>
        <w:t>条外，提交最后报价的供应商不得少于3家，否则必须重新采购。</w:t>
      </w:r>
    </w:p>
    <w:p w14:paraId="65E8A09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以电子文件形式提交最后报价。</w:t>
      </w:r>
    </w:p>
    <w:p w14:paraId="64A8E572">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4.3</w:t>
      </w:r>
      <w:r>
        <w:rPr>
          <w:rFonts w:hint="eastAsia" w:ascii="宋体" w:hAnsi="宋体" w:cs="宋体"/>
          <w:color w:val="auto"/>
          <w:szCs w:val="21"/>
          <w:highlight w:val="none"/>
        </w:rPr>
        <w:t xml:space="preserve"> 最后报价是供应商响应文件的有效组成部分。符合《政府采购竞争性磋商采购方式管理暂行办法》（财库〔2014〕214号）第三条第四项“市场竞争不充分的科研项目，以及需要扶持的科技成果转化项目”和</w:t>
      </w:r>
      <w:r>
        <w:rPr>
          <w:rFonts w:ascii="宋体" w:hAnsi="宋体"/>
          <w:color w:val="auto"/>
          <w:szCs w:val="21"/>
          <w:highlight w:val="none"/>
        </w:rPr>
        <w:t>本章第</w:t>
      </w:r>
      <w:r>
        <w:rPr>
          <w:rFonts w:hint="eastAsia" w:ascii="宋体" w:hAnsi="宋体"/>
          <w:color w:val="auto"/>
          <w:szCs w:val="21"/>
          <w:highlight w:val="none"/>
        </w:rPr>
        <w:t>3.7</w:t>
      </w:r>
      <w:r>
        <w:rPr>
          <w:rFonts w:ascii="宋体" w:hAnsi="宋体"/>
          <w:color w:val="auto"/>
          <w:szCs w:val="21"/>
          <w:highlight w:val="none"/>
        </w:rPr>
        <w:t>条情形的，</w:t>
      </w:r>
      <w:r>
        <w:rPr>
          <w:rFonts w:hint="eastAsia" w:ascii="宋体" w:hAnsi="宋体" w:cs="宋体"/>
          <w:color w:val="auto"/>
          <w:szCs w:val="21"/>
          <w:highlight w:val="none"/>
        </w:rPr>
        <w:t>提交最后报价的供应商可以为2家。</w:t>
      </w:r>
    </w:p>
    <w:p w14:paraId="0F3A6BB7">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4.4</w:t>
      </w:r>
      <w:r>
        <w:rPr>
          <w:rFonts w:hint="eastAsia" w:ascii="宋体" w:hAnsi="宋体" w:cs="宋体"/>
          <w:color w:val="auto"/>
          <w:szCs w:val="21"/>
          <w:highlight w:val="none"/>
        </w:rPr>
        <w:t>已经提交响应文件的供应商，在提交最后报价之前，可以根据磋商情况退出磋商，退出磋商的供应商的响应文件按无效响应处理。采购人、采购代理机构将退还退出磋商的供应商的保证金。</w:t>
      </w:r>
    </w:p>
    <w:p w14:paraId="48AFACF0">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4.5</w:t>
      </w:r>
      <w:r>
        <w:rPr>
          <w:rFonts w:hint="eastAsia" w:ascii="宋体" w:hAnsi="宋体" w:cs="宋体"/>
          <w:color w:val="auto"/>
          <w:szCs w:val="21"/>
          <w:highlight w:val="none"/>
        </w:rPr>
        <w:t>供应商未在规定时间内提交最后报价的，视同退出磋商。</w:t>
      </w:r>
    </w:p>
    <w:p w14:paraId="4E6FF4DD">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4.6</w:t>
      </w:r>
      <w:r>
        <w:rPr>
          <w:rFonts w:hint="eastAsia" w:ascii="宋体" w:hAnsi="宋体" w:cs="宋体"/>
          <w:color w:val="auto"/>
          <w:szCs w:val="21"/>
          <w:highlight w:val="none"/>
        </w:rPr>
        <w:t>磋商小组收齐某一分标最后报价后或达到规定时间后统一开启，磋商小组对最后报价进行有效性、完整性和响应程度的审查。</w:t>
      </w:r>
    </w:p>
    <w:p w14:paraId="5DDBA5A3">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4.7</w:t>
      </w:r>
      <w:r>
        <w:rPr>
          <w:rFonts w:hint="eastAsia" w:ascii="宋体" w:hAnsi="宋体" w:cs="宋体"/>
          <w:color w:val="auto"/>
          <w:szCs w:val="21"/>
          <w:highlight w:val="none"/>
        </w:rPr>
        <w:t>响应文件最后报价出现前后不一致的，按照本章第</w:t>
      </w:r>
      <w:r>
        <w:rPr>
          <w:rFonts w:ascii="宋体" w:hAnsi="宋体" w:cs="宋体"/>
          <w:color w:val="auto"/>
          <w:szCs w:val="21"/>
          <w:highlight w:val="none"/>
        </w:rPr>
        <w:t>2.4</w:t>
      </w:r>
      <w:r>
        <w:rPr>
          <w:rFonts w:hint="eastAsia" w:ascii="宋体" w:hAnsi="宋体" w:cs="宋体"/>
          <w:color w:val="auto"/>
          <w:szCs w:val="21"/>
          <w:highlight w:val="none"/>
        </w:rPr>
        <w:t>条的规定修正。</w:t>
      </w:r>
    </w:p>
    <w:p w14:paraId="2820CF6E">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4.8</w:t>
      </w:r>
      <w:r>
        <w:rPr>
          <w:rFonts w:hint="eastAsia" w:ascii="宋体" w:hAnsi="宋体" w:cs="宋体"/>
          <w:color w:val="auto"/>
          <w:szCs w:val="21"/>
          <w:highlight w:val="none"/>
        </w:rPr>
        <w:t>经供应商确认修正后的最后报价作为评审及签订合同的依据。</w:t>
      </w:r>
    </w:p>
    <w:p w14:paraId="622D7DA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9</w:t>
      </w:r>
      <w:r>
        <w:rPr>
          <w:rFonts w:hint="eastAsia" w:ascii="宋体" w:hAnsi="宋体" w:cs="宋体"/>
          <w:color w:val="auto"/>
          <w:szCs w:val="21"/>
          <w:highlight w:val="none"/>
        </w:rPr>
        <w:t>供应商出现最后报价按无效响应处理或者响应文件按无效响应处理时</w:t>
      </w:r>
      <w:r>
        <w:rPr>
          <w:rFonts w:hint="eastAsia" w:ascii="宋体" w:hAnsi="宋体"/>
          <w:color w:val="auto"/>
          <w:szCs w:val="21"/>
          <w:highlight w:val="none"/>
        </w:rPr>
        <w:t>，磋商小组应当告知有关供应商</w:t>
      </w:r>
      <w:r>
        <w:rPr>
          <w:rFonts w:hint="eastAsia" w:ascii="宋体" w:hAnsi="宋体" w:cs="宋体"/>
          <w:color w:val="auto"/>
          <w:szCs w:val="21"/>
          <w:highlight w:val="none"/>
        </w:rPr>
        <w:t>。</w:t>
      </w:r>
    </w:p>
    <w:p w14:paraId="3C3429D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.10</w:t>
      </w:r>
      <w:r>
        <w:rPr>
          <w:rFonts w:hint="eastAsia" w:ascii="宋体" w:hAnsi="宋体" w:cs="宋体"/>
          <w:color w:val="auto"/>
          <w:szCs w:val="21"/>
          <w:highlight w:val="none"/>
        </w:rPr>
        <w:t>最后报价结束后，磋商小组不得再与供应商进行任何形式的商谈。</w:t>
      </w:r>
    </w:p>
    <w:p w14:paraId="6F186952">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5</w:t>
      </w:r>
      <w:r>
        <w:rPr>
          <w:rFonts w:ascii="宋体" w:hAnsi="宋体" w:cs="宋体"/>
          <w:b/>
          <w:bCs/>
          <w:color w:val="auto"/>
          <w:szCs w:val="21"/>
          <w:highlight w:val="none"/>
        </w:rPr>
        <w:t>.</w:t>
      </w:r>
      <w:r>
        <w:rPr>
          <w:rFonts w:hint="eastAsia" w:ascii="宋体" w:hAnsi="宋体" w:cs="宋体"/>
          <w:b/>
          <w:bCs/>
          <w:color w:val="auto"/>
          <w:szCs w:val="21"/>
          <w:highlight w:val="none"/>
        </w:rPr>
        <w:t>比较与评价</w:t>
      </w:r>
    </w:p>
    <w:p w14:paraId="107C00EE">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评审方法：综合评分法。</w:t>
      </w:r>
    </w:p>
    <w:p w14:paraId="2CF737A3">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5.2</w:t>
      </w:r>
      <w:r>
        <w:rPr>
          <w:rFonts w:hint="eastAsia" w:ascii="宋体" w:hAnsi="宋体" w:cs="宋体"/>
          <w:color w:val="auto"/>
          <w:szCs w:val="21"/>
          <w:highlight w:val="none"/>
        </w:rPr>
        <w:t>经磋商确定最终采购需求和提交最后报价的供应商后，由磋商小组采用综合评分法对提交最后报价的供应商的响应文件和最后报价进行综合评分。</w:t>
      </w:r>
    </w:p>
    <w:p w14:paraId="1810A8B6">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5.3</w:t>
      </w:r>
      <w:r>
        <w:rPr>
          <w:rFonts w:hint="eastAsia" w:ascii="宋体" w:hAnsi="宋体" w:cs="宋体"/>
          <w:color w:val="auto"/>
          <w:szCs w:val="21"/>
          <w:highlight w:val="none"/>
        </w:rPr>
        <w:t>评审时，磋商小组各成员应当独立对每个有效响应的文件进行评价、打分，然后汇总每个供应商每项评分因素的得分。</w:t>
      </w:r>
    </w:p>
    <w:p w14:paraId="2E4636B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（1）磋商小组按照磋商文件中规定的评审标准计算各供应商的报价得分。项目评审过程中，不得去掉最后报价中的最高报价和最低报价。</w:t>
      </w:r>
    </w:p>
    <w:p w14:paraId="4180919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（2）各供应商的得分为磋商小组所有成员的有效评分的算术平均数。</w:t>
      </w:r>
    </w:p>
    <w:p w14:paraId="41D41DF5">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5.4</w:t>
      </w:r>
      <w:r>
        <w:rPr>
          <w:rFonts w:hint="eastAsia" w:ascii="宋体" w:hAnsi="宋体" w:cs="宋体"/>
          <w:color w:val="auto"/>
          <w:szCs w:val="21"/>
          <w:highlight w:val="none"/>
        </w:rPr>
        <w:t>评审价为供应商的最后报价进行政策性扣除后的价格，评审价只是作为评审时使用。最终成交供应商的成交金额等于最后报价（如有修正，以确认修正后的最后报价为准）。</w:t>
      </w:r>
    </w:p>
    <w:p w14:paraId="4D336AB0">
      <w:pPr>
        <w:spacing w:line="360" w:lineRule="auto"/>
        <w:ind w:firstLine="420" w:firstLineChars="200"/>
        <w:rPr>
          <w:rFonts w:hint="eastAsia" w:ascii="宋体" w:hAnsi="宋体"/>
          <w:color w:val="auto"/>
          <w:kern w:val="0"/>
          <w:szCs w:val="21"/>
          <w:highlight w:val="none"/>
        </w:rPr>
      </w:pPr>
      <w:r>
        <w:rPr>
          <w:rFonts w:ascii="宋体" w:hAnsi="宋体" w:cs="宋体"/>
          <w:color w:val="auto"/>
          <w:szCs w:val="21"/>
          <w:highlight w:val="none"/>
        </w:rPr>
        <w:t>5.5</w:t>
      </w:r>
      <w:r>
        <w:rPr>
          <w:rFonts w:hint="eastAsia" w:ascii="宋体" w:hAnsi="宋体" w:cs="宋体"/>
          <w:color w:val="auto"/>
          <w:szCs w:val="21"/>
          <w:highlight w:val="none"/>
        </w:rPr>
        <w:t>由磋商小组根据综合评分情况，按照评审得分由高到低顺序推荐3名以上成交候选供应商，并编写评</w:t>
      </w:r>
      <w:r>
        <w:rPr>
          <w:rFonts w:hint="eastAsia" w:ascii="宋体" w:hAnsi="宋体"/>
          <w:color w:val="auto"/>
          <w:kern w:val="0"/>
          <w:szCs w:val="21"/>
          <w:highlight w:val="none"/>
        </w:rPr>
        <w:t>审报告。符合本章第</w:t>
      </w:r>
      <w:r>
        <w:rPr>
          <w:rFonts w:hint="eastAsia" w:ascii="宋体" w:hAnsi="宋体" w:cs="宋体"/>
          <w:color w:val="auto"/>
          <w:szCs w:val="21"/>
          <w:highlight w:val="none"/>
        </w:rPr>
        <w:t>2.7、3.7、</w:t>
      </w:r>
      <w:r>
        <w:rPr>
          <w:rFonts w:ascii="宋体" w:hAnsi="宋体" w:cs="宋体"/>
          <w:color w:val="auto"/>
          <w:szCs w:val="21"/>
          <w:highlight w:val="none"/>
        </w:rPr>
        <w:t>4.3</w:t>
      </w:r>
      <w:r>
        <w:rPr>
          <w:rFonts w:hint="eastAsia" w:ascii="宋体" w:hAnsi="宋体"/>
          <w:color w:val="auto"/>
          <w:kern w:val="0"/>
          <w:szCs w:val="21"/>
          <w:highlight w:val="none"/>
        </w:rPr>
        <w:t>条情形的，可以推荐2家成交候选供应商。评审得分相同的，按照最后报价由低到高的顺序推荐。评审得分且最后报价相同的，按照技术指标优劣顺序推荐。</w:t>
      </w:r>
    </w:p>
    <w:p w14:paraId="1FD62075">
      <w:pPr>
        <w:spacing w:line="360" w:lineRule="auto"/>
        <w:ind w:firstLine="420" w:firstLineChars="200"/>
        <w:rPr>
          <w:rFonts w:hint="eastAsia" w:ascii="宋体" w:hAnsi="宋体" w:cs="宋体"/>
          <w:color w:val="auto"/>
          <w:szCs w:val="21"/>
          <w:highlight w:val="none"/>
        </w:rPr>
      </w:pPr>
      <w:r>
        <w:rPr>
          <w:rFonts w:ascii="宋体" w:hAnsi="宋体"/>
          <w:color w:val="auto"/>
          <w:kern w:val="0"/>
          <w:szCs w:val="21"/>
          <w:highlight w:val="none"/>
        </w:rPr>
        <w:t>5.6</w:t>
      </w:r>
      <w:r>
        <w:rPr>
          <w:rFonts w:hint="eastAsia" w:ascii="宋体" w:hAnsi="宋体"/>
          <w:color w:val="auto"/>
          <w:kern w:val="0"/>
          <w:szCs w:val="21"/>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0D59CD6">
      <w:pPr>
        <w:spacing w:line="360" w:lineRule="auto"/>
        <w:rPr>
          <w:rFonts w:ascii="宋体" w:hAnsi="宋体"/>
          <w:b/>
          <w:color w:val="auto"/>
          <w:szCs w:val="21"/>
          <w:highlight w:val="none"/>
        </w:rPr>
      </w:pPr>
      <w:r>
        <w:rPr>
          <w:rFonts w:ascii="宋体" w:hAnsi="宋体"/>
          <w:b/>
          <w:color w:val="auto"/>
          <w:sz w:val="32"/>
          <w:szCs w:val="32"/>
          <w:highlight w:val="none"/>
        </w:rPr>
        <w:br w:type="page"/>
      </w:r>
      <w:r>
        <w:rPr>
          <w:rFonts w:hint="eastAsia" w:ascii="宋体" w:hAnsi="宋体"/>
          <w:b/>
          <w:color w:val="auto"/>
          <w:szCs w:val="21"/>
          <w:highlight w:val="none"/>
        </w:rPr>
        <w:t>6.评审标准</w:t>
      </w:r>
    </w:p>
    <w:p w14:paraId="1B5FAA55">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6.1评审依据：磋商小组将以磋商响应文件为评审依据，对供应商的报价、技术、商务等方面内容按百分制打分。（计分方法按四舍五入取至百分位）</w:t>
      </w:r>
    </w:p>
    <w:tbl>
      <w:tblPr>
        <w:tblStyle w:val="31"/>
        <w:tblW w:w="502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8"/>
        <w:gridCol w:w="1119"/>
        <w:gridCol w:w="6510"/>
        <w:gridCol w:w="1113"/>
      </w:tblGrid>
      <w:tr w14:paraId="7B3CC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 w:type="pct"/>
            <w:noWrap w:val="0"/>
            <w:vAlign w:val="center"/>
          </w:tcPr>
          <w:p w14:paraId="32DC039B">
            <w:pPr>
              <w:keepNext w:val="0"/>
              <w:keepLines w:val="0"/>
              <w:pageBreakBefore w:val="0"/>
              <w:tabs>
                <w:tab w:val="left" w:pos="180"/>
                <w:tab w:val="left" w:pos="1620"/>
              </w:tabs>
              <w:kinsoku/>
              <w:wordWrap/>
              <w:overflowPunct/>
              <w:topLinePunct w:val="0"/>
              <w:autoSpaceDE/>
              <w:autoSpaceDN/>
              <w:bidi w:val="0"/>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序号</w:t>
            </w:r>
          </w:p>
        </w:tc>
        <w:tc>
          <w:tcPr>
            <w:tcW w:w="599" w:type="pct"/>
            <w:noWrap w:val="0"/>
            <w:vAlign w:val="center"/>
          </w:tcPr>
          <w:p w14:paraId="7107A40A">
            <w:pPr>
              <w:keepNext w:val="0"/>
              <w:keepLines w:val="0"/>
              <w:pageBreakBefore w:val="0"/>
              <w:tabs>
                <w:tab w:val="left" w:pos="180"/>
                <w:tab w:val="left" w:pos="1620"/>
              </w:tabs>
              <w:kinsoku/>
              <w:wordWrap/>
              <w:overflowPunct/>
              <w:topLinePunct w:val="0"/>
              <w:autoSpaceDE/>
              <w:autoSpaceDN/>
              <w:bidi w:val="0"/>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评审内容</w:t>
            </w:r>
          </w:p>
        </w:tc>
        <w:tc>
          <w:tcPr>
            <w:tcW w:w="3485" w:type="pct"/>
            <w:noWrap w:val="0"/>
            <w:vAlign w:val="center"/>
          </w:tcPr>
          <w:p w14:paraId="0F62680E">
            <w:pPr>
              <w:keepNext w:val="0"/>
              <w:keepLines w:val="0"/>
              <w:pageBreakBefore w:val="0"/>
              <w:tabs>
                <w:tab w:val="left" w:pos="180"/>
                <w:tab w:val="left" w:pos="1620"/>
              </w:tabs>
              <w:kinsoku/>
              <w:wordWrap/>
              <w:overflowPunct/>
              <w:topLinePunct w:val="0"/>
              <w:autoSpaceDE/>
              <w:autoSpaceDN/>
              <w:bidi w:val="0"/>
              <w:spacing w:line="360" w:lineRule="auto"/>
              <w:ind w:left="0" w:leftChars="0"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评审</w:t>
            </w:r>
            <w:r>
              <w:rPr>
                <w:rFonts w:hint="eastAsia" w:asciiTheme="minorEastAsia" w:hAnsiTheme="minorEastAsia" w:eastAsiaTheme="minorEastAsia" w:cstheme="minorEastAsia"/>
                <w:color w:val="auto"/>
                <w:sz w:val="21"/>
                <w:szCs w:val="21"/>
                <w:highlight w:val="none"/>
              </w:rPr>
              <w:t>标准</w:t>
            </w:r>
          </w:p>
        </w:tc>
        <w:tc>
          <w:tcPr>
            <w:tcW w:w="595" w:type="pct"/>
            <w:noWrap w:val="0"/>
            <w:vAlign w:val="center"/>
          </w:tcPr>
          <w:p w14:paraId="71616117">
            <w:pPr>
              <w:keepNext w:val="0"/>
              <w:keepLines w:val="0"/>
              <w:pageBreakBefore w:val="0"/>
              <w:tabs>
                <w:tab w:val="left" w:pos="180"/>
                <w:tab w:val="left" w:pos="1620"/>
              </w:tabs>
              <w:kinsoku/>
              <w:wordWrap/>
              <w:overflowPunct/>
              <w:topLinePunct w:val="0"/>
              <w:autoSpaceDE/>
              <w:autoSpaceDN/>
              <w:bidi w:val="0"/>
              <w:spacing w:line="360" w:lineRule="auto"/>
              <w:ind w:firstLine="210" w:firstLineChars="100"/>
              <w:rPr>
                <w:rFonts w:hint="default" w:asciiTheme="minorEastAsia" w:hAnsiTheme="minorEastAsia" w:eastAsiaTheme="minorEastAsia" w:cstheme="minorEastAsia"/>
                <w:bCs/>
                <w:color w:val="auto"/>
                <w:kern w:val="2"/>
                <w:sz w:val="21"/>
                <w:szCs w:val="21"/>
                <w:highlight w:val="none"/>
                <w:lang w:val="en-US" w:eastAsia="zh-CN"/>
              </w:rPr>
            </w:pPr>
            <w:r>
              <w:rPr>
                <w:rFonts w:hint="eastAsia" w:asciiTheme="minorEastAsia" w:hAnsiTheme="minorEastAsia" w:eastAsiaTheme="minorEastAsia" w:cstheme="minorEastAsia"/>
                <w:bCs/>
                <w:color w:val="auto"/>
                <w:kern w:val="2"/>
                <w:sz w:val="21"/>
                <w:szCs w:val="21"/>
                <w:highlight w:val="none"/>
                <w:lang w:val="en-US" w:eastAsia="zh-CN"/>
              </w:rPr>
              <w:t>得分</w:t>
            </w:r>
          </w:p>
        </w:tc>
      </w:tr>
      <w:tr w14:paraId="118A9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 w:type="pct"/>
            <w:shd w:val="clear" w:color="auto" w:fill="auto"/>
            <w:noWrap w:val="0"/>
            <w:vAlign w:val="center"/>
          </w:tcPr>
          <w:p w14:paraId="06B06BE2">
            <w:pPr>
              <w:keepNext w:val="0"/>
              <w:keepLines w:val="0"/>
              <w:pageBreakBefore w:val="0"/>
              <w:tabs>
                <w:tab w:val="left" w:pos="180"/>
                <w:tab w:val="left" w:pos="1620"/>
              </w:tabs>
              <w:kinsoku/>
              <w:wordWrap/>
              <w:overflowPunct/>
              <w:topLinePunct w:val="0"/>
              <w:autoSpaceDE/>
              <w:autoSpaceDN/>
              <w:bidi w:val="0"/>
              <w:spacing w:line="360" w:lineRule="auto"/>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1</w:t>
            </w:r>
          </w:p>
        </w:tc>
        <w:tc>
          <w:tcPr>
            <w:tcW w:w="599" w:type="pct"/>
            <w:shd w:val="clear" w:color="auto" w:fill="auto"/>
            <w:noWrap w:val="0"/>
            <w:vAlign w:val="center"/>
          </w:tcPr>
          <w:p w14:paraId="527531ED">
            <w:pPr>
              <w:widowControl/>
              <w:tabs>
                <w:tab w:val="left" w:pos="8460"/>
              </w:tabs>
              <w:spacing w:line="400" w:lineRule="exact"/>
              <w:jc w:val="center"/>
              <w:textAlignment w:val="baseline"/>
              <w:rPr>
                <w:rFonts w:hint="eastAsia" w:ascii="宋体" w:hAnsi="宋体" w:eastAsia="宋体" w:cs="宋体"/>
                <w:color w:val="auto"/>
                <w:kern w:val="0"/>
                <w:sz w:val="20"/>
                <w:szCs w:val="21"/>
                <w:highlight w:val="none"/>
                <w:lang w:eastAsia="zh-CN"/>
              </w:rPr>
            </w:pPr>
            <w:r>
              <w:rPr>
                <w:rFonts w:hint="eastAsia" w:ascii="宋体" w:hAnsi="宋体" w:cs="宋体"/>
                <w:color w:val="auto"/>
                <w:kern w:val="0"/>
                <w:szCs w:val="21"/>
                <w:highlight w:val="none"/>
              </w:rPr>
              <w:t>价格分</w:t>
            </w:r>
          </w:p>
          <w:p w14:paraId="732CB9DC">
            <w:pPr>
              <w:keepNext w:val="0"/>
              <w:keepLines w:val="0"/>
              <w:pageBreakBefore w:val="0"/>
              <w:tabs>
                <w:tab w:val="left" w:pos="180"/>
                <w:tab w:val="left" w:pos="1620"/>
              </w:tabs>
              <w:kinsoku/>
              <w:wordWrap/>
              <w:overflowPunct/>
              <w:topLinePunct w:val="0"/>
              <w:autoSpaceDE/>
              <w:autoSpaceDN/>
              <w:bidi w:val="0"/>
              <w:spacing w:line="360" w:lineRule="auto"/>
              <w:jc w:val="center"/>
              <w:rPr>
                <w:rFonts w:hint="eastAsia" w:asciiTheme="minorEastAsia" w:hAnsiTheme="minorEastAsia" w:eastAsiaTheme="minorEastAsia" w:cstheme="minorEastAsia"/>
                <w:color w:val="auto"/>
                <w:kern w:val="2"/>
                <w:sz w:val="21"/>
                <w:szCs w:val="21"/>
                <w:highlight w:val="none"/>
                <w:lang w:val="en-US" w:eastAsia="zh-CN" w:bidi="ar-SA"/>
              </w:rPr>
            </w:pPr>
          </w:p>
        </w:tc>
        <w:tc>
          <w:tcPr>
            <w:tcW w:w="3485" w:type="pct"/>
            <w:shd w:val="clear" w:color="auto" w:fill="auto"/>
            <w:noWrap w:val="0"/>
            <w:vAlign w:val="center"/>
          </w:tcPr>
          <w:p w14:paraId="0A53200B">
            <w:pPr>
              <w:pStyle w:val="19"/>
              <w:keepNext w:val="0"/>
              <w:keepLines w:val="0"/>
              <w:pageBreakBefore w:val="0"/>
              <w:kinsoku/>
              <w:wordWrap/>
              <w:overflowPunct/>
              <w:topLinePunct w:val="0"/>
              <w:autoSpaceDE/>
              <w:autoSpaceDN/>
              <w:bidi w:val="0"/>
              <w:spacing w:line="360" w:lineRule="auto"/>
              <w:ind w:left="0" w:firstLine="420" w:firstLineChars="200"/>
              <w:rPr>
                <w:rFonts w:hint="eastAsia" w:asciiTheme="minorEastAsia" w:hAnsiTheme="minorEastAsia" w:eastAsiaTheme="minorEastAsia" w:cstheme="minorEastAsia"/>
                <w:b w:val="0"/>
                <w:bCs w:val="0"/>
                <w:color w:val="auto"/>
                <w:kern w:val="2"/>
                <w:sz w:val="21"/>
                <w:szCs w:val="21"/>
                <w:highlight w:val="none"/>
                <w:lang w:val="en-US" w:eastAsia="zh-CN"/>
              </w:rPr>
            </w:pPr>
            <w:r>
              <w:rPr>
                <w:rFonts w:hint="eastAsia" w:asciiTheme="minorEastAsia" w:hAnsiTheme="minorEastAsia" w:eastAsiaTheme="minorEastAsia" w:cstheme="minorEastAsia"/>
                <w:b w:val="0"/>
                <w:bCs w:val="0"/>
                <w:color w:val="auto"/>
                <w:kern w:val="2"/>
                <w:sz w:val="21"/>
                <w:szCs w:val="21"/>
                <w:highlight w:val="none"/>
                <w:lang w:val="en-US" w:eastAsia="zh-CN"/>
              </w:rPr>
              <w:t>1.</w:t>
            </w:r>
            <w:r>
              <w:rPr>
                <w:rFonts w:hint="eastAsia" w:asciiTheme="minorEastAsia" w:hAnsiTheme="minorEastAsia" w:eastAsiaTheme="minorEastAsia" w:cstheme="minorEastAsia"/>
                <w:b w:val="0"/>
                <w:bCs w:val="0"/>
                <w:color w:val="auto"/>
                <w:kern w:val="2"/>
                <w:sz w:val="21"/>
                <w:szCs w:val="21"/>
                <w:highlight w:val="none"/>
              </w:rPr>
              <w:t>政府采购政策扣除</w:t>
            </w:r>
            <w:r>
              <w:rPr>
                <w:rFonts w:hint="eastAsia" w:asciiTheme="minorEastAsia" w:hAnsiTheme="minorEastAsia" w:eastAsiaTheme="minorEastAsia" w:cstheme="minorEastAsia"/>
                <w:b w:val="0"/>
                <w:bCs w:val="0"/>
                <w:color w:val="auto"/>
                <w:kern w:val="2"/>
                <w:sz w:val="21"/>
                <w:szCs w:val="21"/>
                <w:highlight w:val="none"/>
                <w:lang w:eastAsia="zh-CN"/>
              </w:rPr>
              <w:t>：</w:t>
            </w:r>
            <w:r>
              <w:rPr>
                <w:rFonts w:hint="eastAsia" w:asciiTheme="minorEastAsia" w:hAnsiTheme="minorEastAsia" w:eastAsiaTheme="minorEastAsia" w:cstheme="minorEastAsia"/>
                <w:b w:val="0"/>
                <w:bCs w:val="0"/>
                <w:color w:val="auto"/>
                <w:kern w:val="2"/>
                <w:sz w:val="21"/>
                <w:szCs w:val="21"/>
                <w:highlight w:val="none"/>
                <w:lang w:val="en-US" w:eastAsia="zh-CN"/>
              </w:rPr>
              <w:t>本项目为专门面向中小微企业采购的项目，按照《政府采购促进中小企业发展管理办法》（财库〔2020〕46号）的规定，对供应商最后报价不再执行价格评审优惠的扶持政策。</w:t>
            </w:r>
          </w:p>
          <w:p w14:paraId="26757FE3">
            <w:pPr>
              <w:pStyle w:val="19"/>
              <w:keepNext w:val="0"/>
              <w:keepLines w:val="0"/>
              <w:pageBreakBefore w:val="0"/>
              <w:kinsoku/>
              <w:wordWrap/>
              <w:overflowPunct/>
              <w:topLinePunct w:val="0"/>
              <w:autoSpaceDE/>
              <w:autoSpaceDN/>
              <w:bidi w:val="0"/>
              <w:spacing w:line="360" w:lineRule="auto"/>
              <w:ind w:left="0" w:firstLine="420" w:firstLineChars="200"/>
              <w:rPr>
                <w:rFonts w:hint="eastAsia" w:asciiTheme="minorEastAsia" w:hAnsiTheme="minorEastAsia" w:eastAsiaTheme="minorEastAsia" w:cstheme="minorEastAsia"/>
                <w:b w:val="0"/>
                <w:bCs w:val="0"/>
                <w:color w:val="auto"/>
                <w:kern w:val="2"/>
                <w:sz w:val="21"/>
                <w:szCs w:val="21"/>
                <w:highlight w:val="none"/>
                <w:lang w:eastAsia="zh-CN"/>
              </w:rPr>
            </w:pPr>
            <w:r>
              <w:rPr>
                <w:rFonts w:hint="eastAsia" w:asciiTheme="minorEastAsia" w:hAnsiTheme="minorEastAsia" w:eastAsiaTheme="minorEastAsia" w:cstheme="minorEastAsia"/>
                <w:b w:val="0"/>
                <w:bCs w:val="0"/>
                <w:color w:val="auto"/>
                <w:kern w:val="2"/>
                <w:sz w:val="21"/>
                <w:szCs w:val="21"/>
                <w:highlight w:val="none"/>
                <w:lang w:val="en-US" w:eastAsia="zh-CN"/>
              </w:rPr>
              <w:t>2.</w:t>
            </w:r>
            <w:r>
              <w:rPr>
                <w:rFonts w:hint="eastAsia" w:asciiTheme="minorEastAsia" w:hAnsiTheme="minorEastAsia" w:eastAsiaTheme="minorEastAsia" w:cstheme="minorEastAsia"/>
                <w:b w:val="0"/>
                <w:bCs w:val="0"/>
                <w:color w:val="auto"/>
                <w:kern w:val="2"/>
                <w:sz w:val="21"/>
                <w:szCs w:val="21"/>
                <w:highlight w:val="none"/>
              </w:rPr>
              <w:t>价格分统一采用低价优先法计算，即满足磋商文件要求且最后报价最低供应商的价格为磋商基准价，其价格分为满分。</w:t>
            </w:r>
          </w:p>
          <w:p w14:paraId="24CA4E9A">
            <w:pPr>
              <w:pStyle w:val="19"/>
              <w:keepNext w:val="0"/>
              <w:keepLines w:val="0"/>
              <w:pageBreakBefore w:val="0"/>
              <w:kinsoku/>
              <w:wordWrap/>
              <w:overflowPunct/>
              <w:topLinePunct w:val="0"/>
              <w:autoSpaceDE/>
              <w:autoSpaceDN/>
              <w:bidi w:val="0"/>
              <w:spacing w:line="360" w:lineRule="auto"/>
              <w:ind w:left="0" w:firstLine="420" w:firstLineChars="200"/>
              <w:rPr>
                <w:rFonts w:hint="eastAsia" w:asciiTheme="minorEastAsia" w:hAnsiTheme="minorEastAsia" w:eastAsiaTheme="minorEastAsia" w:cstheme="minorEastAsia"/>
                <w:b w:val="0"/>
                <w:bCs w:val="0"/>
                <w:color w:val="auto"/>
                <w:kern w:val="2"/>
                <w:sz w:val="21"/>
                <w:szCs w:val="21"/>
                <w:highlight w:val="none"/>
                <w:lang w:eastAsia="zh-CN"/>
              </w:rPr>
            </w:pPr>
            <w:r>
              <w:rPr>
                <w:rFonts w:hint="eastAsia" w:asciiTheme="minorEastAsia" w:hAnsiTheme="minorEastAsia" w:eastAsiaTheme="minorEastAsia" w:cstheme="minorEastAsia"/>
                <w:b w:val="0"/>
                <w:bCs w:val="0"/>
                <w:color w:val="auto"/>
                <w:kern w:val="2"/>
                <w:sz w:val="21"/>
                <w:szCs w:val="21"/>
                <w:highlight w:val="none"/>
                <w:lang w:val="en-US" w:eastAsia="zh-CN"/>
              </w:rPr>
              <w:t>3.</w:t>
            </w:r>
            <w:r>
              <w:rPr>
                <w:rFonts w:hint="eastAsia" w:asciiTheme="minorEastAsia" w:hAnsiTheme="minorEastAsia" w:eastAsiaTheme="minorEastAsia" w:cstheme="minorEastAsia"/>
                <w:b w:val="0"/>
                <w:bCs w:val="0"/>
                <w:color w:val="auto"/>
                <w:kern w:val="2"/>
                <w:sz w:val="21"/>
                <w:szCs w:val="21"/>
                <w:highlight w:val="none"/>
                <w:lang w:eastAsia="zh-CN"/>
              </w:rPr>
              <w:t>价格分计算公式：</w:t>
            </w:r>
          </w:p>
          <w:p w14:paraId="0FF7B001">
            <w:pPr>
              <w:pStyle w:val="19"/>
              <w:keepNext w:val="0"/>
              <w:keepLines w:val="0"/>
              <w:pageBreakBefore w:val="0"/>
              <w:kinsoku/>
              <w:wordWrap/>
              <w:overflowPunct/>
              <w:topLinePunct w:val="0"/>
              <w:autoSpaceDE/>
              <w:autoSpaceDN/>
              <w:bidi w:val="0"/>
              <w:spacing w:line="360" w:lineRule="auto"/>
              <w:ind w:left="0" w:firstLine="420" w:firstLineChars="200"/>
              <w:rPr>
                <w:rFonts w:hint="default"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 w:val="0"/>
                <w:bCs w:val="0"/>
                <w:color w:val="auto"/>
                <w:kern w:val="2"/>
                <w:sz w:val="21"/>
                <w:szCs w:val="21"/>
                <w:highlight w:val="none"/>
              </w:rPr>
              <w:t>磋商报价得分=（磋商基准价/最后磋商报价）×</w:t>
            </w:r>
            <w:r>
              <w:rPr>
                <w:rFonts w:hint="eastAsia" w:asciiTheme="minorEastAsia" w:hAnsiTheme="minorEastAsia" w:eastAsiaTheme="minorEastAsia" w:cstheme="minorEastAsia"/>
                <w:b w:val="0"/>
                <w:bCs w:val="0"/>
                <w:color w:val="auto"/>
                <w:kern w:val="2"/>
                <w:sz w:val="21"/>
                <w:szCs w:val="21"/>
                <w:highlight w:val="none"/>
                <w:lang w:val="en-US" w:eastAsia="zh-CN"/>
              </w:rPr>
              <w:t>20分。</w:t>
            </w:r>
          </w:p>
        </w:tc>
        <w:tc>
          <w:tcPr>
            <w:tcW w:w="595" w:type="pct"/>
            <w:shd w:val="clear" w:color="auto" w:fill="auto"/>
            <w:noWrap w:val="0"/>
            <w:vAlign w:val="center"/>
          </w:tcPr>
          <w:p w14:paraId="7D94747B">
            <w:pPr>
              <w:keepNext w:val="0"/>
              <w:keepLines w:val="0"/>
              <w:pageBreakBefore w:val="0"/>
              <w:tabs>
                <w:tab w:val="left" w:pos="180"/>
                <w:tab w:val="left" w:pos="1620"/>
              </w:tabs>
              <w:kinsoku/>
              <w:wordWrap/>
              <w:overflowPunct/>
              <w:topLinePunct w:val="0"/>
              <w:autoSpaceDE/>
              <w:autoSpaceDN/>
              <w:bidi w:val="0"/>
              <w:spacing w:line="360" w:lineRule="auto"/>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宋体" w:hAnsi="宋体" w:cs="宋体"/>
                <w:color w:val="auto"/>
                <w:kern w:val="0"/>
                <w:szCs w:val="21"/>
                <w:highlight w:val="none"/>
              </w:rPr>
              <w:t>满分</w:t>
            </w:r>
            <w:r>
              <w:rPr>
                <w:rFonts w:hint="eastAsia" w:ascii="宋体" w:hAnsi="宋体" w:cs="宋体"/>
                <w:color w:val="auto"/>
                <w:kern w:val="0"/>
                <w:szCs w:val="21"/>
                <w:highlight w:val="none"/>
                <w:lang w:val="en-US" w:eastAsia="zh-CN"/>
              </w:rPr>
              <w:t>20</w:t>
            </w:r>
            <w:r>
              <w:rPr>
                <w:rFonts w:hint="eastAsia" w:ascii="宋体" w:hAnsi="宋体" w:cs="宋体"/>
                <w:color w:val="auto"/>
                <w:kern w:val="0"/>
                <w:szCs w:val="21"/>
                <w:highlight w:val="none"/>
              </w:rPr>
              <w:t>分</w:t>
            </w:r>
          </w:p>
        </w:tc>
      </w:tr>
      <w:tr w14:paraId="07446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 w:type="pct"/>
            <w:shd w:val="clear" w:color="auto" w:fill="auto"/>
            <w:noWrap w:val="0"/>
            <w:vAlign w:val="center"/>
          </w:tcPr>
          <w:p w14:paraId="2917400A">
            <w:pPr>
              <w:keepNext w:val="0"/>
              <w:keepLines w:val="0"/>
              <w:pageBreakBefore w:val="0"/>
              <w:tabs>
                <w:tab w:val="left" w:pos="180"/>
                <w:tab w:val="left" w:pos="1620"/>
              </w:tabs>
              <w:kinsoku/>
              <w:wordWrap/>
              <w:overflowPunct/>
              <w:topLinePunct w:val="0"/>
              <w:autoSpaceDE/>
              <w:autoSpaceDN/>
              <w:bidi w:val="0"/>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w:t>
            </w:r>
          </w:p>
        </w:tc>
        <w:tc>
          <w:tcPr>
            <w:tcW w:w="4679" w:type="pct"/>
            <w:gridSpan w:val="3"/>
            <w:shd w:val="clear" w:color="auto" w:fill="auto"/>
            <w:noWrap w:val="0"/>
            <w:vAlign w:val="center"/>
          </w:tcPr>
          <w:p w14:paraId="53603267">
            <w:pPr>
              <w:keepNext w:val="0"/>
              <w:keepLines w:val="0"/>
              <w:pageBreakBefore w:val="0"/>
              <w:tabs>
                <w:tab w:val="left" w:pos="180"/>
                <w:tab w:val="left" w:pos="1620"/>
              </w:tabs>
              <w:kinsoku/>
              <w:wordWrap/>
              <w:overflowPunct/>
              <w:topLinePunct w:val="0"/>
              <w:autoSpaceDE/>
              <w:autoSpaceDN/>
              <w:bidi w:val="0"/>
              <w:spacing w:line="360" w:lineRule="auto"/>
              <w:jc w:val="center"/>
              <w:rPr>
                <w:rFonts w:hint="eastAsia" w:asciiTheme="minorEastAsia" w:hAnsiTheme="minorEastAsia" w:eastAsiaTheme="minorEastAsia" w:cstheme="minorEastAsia"/>
                <w:bCs/>
                <w:color w:val="auto"/>
                <w:kern w:val="2"/>
                <w:sz w:val="21"/>
                <w:szCs w:val="21"/>
                <w:highlight w:val="none"/>
              </w:rPr>
            </w:pPr>
            <w:r>
              <w:rPr>
                <w:rFonts w:hint="eastAsia" w:asciiTheme="minorEastAsia" w:hAnsiTheme="minorEastAsia" w:eastAsiaTheme="minorEastAsia" w:cstheme="minorEastAsia"/>
                <w:color w:val="auto"/>
                <w:sz w:val="21"/>
                <w:szCs w:val="21"/>
                <w:highlight w:val="none"/>
              </w:rPr>
              <w:t>技术分（满分</w:t>
            </w:r>
            <w:r>
              <w:rPr>
                <w:rFonts w:hint="eastAsia" w:asciiTheme="minorEastAsia" w:hAnsiTheme="minorEastAsia" w:eastAsiaTheme="minorEastAsia" w:cstheme="minorEastAsia"/>
                <w:color w:val="auto"/>
                <w:sz w:val="21"/>
                <w:szCs w:val="21"/>
                <w:highlight w:val="none"/>
                <w:lang w:val="en-US" w:eastAsia="zh-CN"/>
              </w:rPr>
              <w:t>66</w:t>
            </w:r>
            <w:r>
              <w:rPr>
                <w:rFonts w:hint="eastAsia" w:asciiTheme="minorEastAsia" w:hAnsiTheme="minorEastAsia" w:eastAsiaTheme="minorEastAsia" w:cstheme="minorEastAsia"/>
                <w:color w:val="auto"/>
                <w:sz w:val="21"/>
                <w:szCs w:val="21"/>
                <w:highlight w:val="none"/>
              </w:rPr>
              <w:t>）</w:t>
            </w:r>
          </w:p>
        </w:tc>
      </w:tr>
      <w:tr w14:paraId="7AD96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 w:type="pct"/>
            <w:shd w:val="clear" w:color="auto" w:fill="auto"/>
            <w:noWrap w:val="0"/>
            <w:vAlign w:val="center"/>
          </w:tcPr>
          <w:p w14:paraId="15AD552F">
            <w:pPr>
              <w:keepNext w:val="0"/>
              <w:keepLines w:val="0"/>
              <w:pageBreakBefore w:val="0"/>
              <w:tabs>
                <w:tab w:val="left" w:pos="180"/>
                <w:tab w:val="left" w:pos="1620"/>
              </w:tabs>
              <w:kinsoku/>
              <w:wordWrap/>
              <w:overflowPunct/>
              <w:topLinePunct w:val="0"/>
              <w:autoSpaceDE/>
              <w:autoSpaceDN/>
              <w:bidi w:val="0"/>
              <w:spacing w:line="360" w:lineRule="auto"/>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2.1</w:t>
            </w:r>
          </w:p>
        </w:tc>
        <w:tc>
          <w:tcPr>
            <w:tcW w:w="599" w:type="pct"/>
            <w:shd w:val="clear" w:color="auto" w:fill="auto"/>
            <w:noWrap w:val="0"/>
            <w:vAlign w:val="center"/>
          </w:tcPr>
          <w:p w14:paraId="17C8FA1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服务方案</w:t>
            </w:r>
          </w:p>
          <w:p w14:paraId="3E342C12">
            <w:pPr>
              <w:spacing w:line="360" w:lineRule="auto"/>
              <w:jc w:val="center"/>
              <w:rPr>
                <w:rFonts w:hint="eastAsia" w:ascii="宋体" w:hAnsi="宋体" w:eastAsia="宋体" w:cs="宋体"/>
                <w:color w:val="auto"/>
                <w:kern w:val="2"/>
                <w:sz w:val="21"/>
                <w:szCs w:val="21"/>
                <w:highlight w:val="none"/>
                <w:lang w:val="en-US" w:eastAsia="zh-CN" w:bidi="ar-SA"/>
              </w:rPr>
            </w:pPr>
          </w:p>
        </w:tc>
        <w:tc>
          <w:tcPr>
            <w:tcW w:w="3485" w:type="pct"/>
            <w:shd w:val="clear" w:color="auto" w:fill="auto"/>
            <w:noWrap w:val="0"/>
            <w:vAlign w:val="center"/>
          </w:tcPr>
          <w:p w14:paraId="32DE7E6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磋商小组根据供应商提供的服务方案进行独立评分</w:t>
            </w:r>
            <w:r>
              <w:rPr>
                <w:rFonts w:hint="eastAsia" w:ascii="宋体" w:hAnsi="宋体" w:cs="宋体"/>
                <w:color w:val="auto"/>
                <w:szCs w:val="21"/>
                <w:highlight w:val="none"/>
                <w:lang w:eastAsia="zh-CN"/>
              </w:rPr>
              <w:t>（</w:t>
            </w:r>
            <w:r>
              <w:rPr>
                <w:rFonts w:hint="eastAsia" w:ascii="宋体" w:hAnsi="宋体" w:cs="宋体"/>
                <w:color w:val="auto"/>
                <w:szCs w:val="21"/>
                <w:highlight w:val="none"/>
              </w:rPr>
              <w:t>供应商未提供有服务方案或服务方案</w:t>
            </w:r>
            <w:r>
              <w:rPr>
                <w:rFonts w:hint="eastAsia" w:ascii="宋体" w:hAnsi="宋体" w:cs="宋体"/>
                <w:bCs/>
                <w:color w:val="auto"/>
                <w:szCs w:val="21"/>
                <w:highlight w:val="none"/>
              </w:rPr>
              <w:t>与项目需求不相干</w:t>
            </w:r>
            <w:r>
              <w:rPr>
                <w:rFonts w:hint="eastAsia" w:ascii="宋体" w:hAnsi="宋体" w:cs="宋体"/>
                <w:color w:val="auto"/>
                <w:szCs w:val="21"/>
                <w:highlight w:val="none"/>
              </w:rPr>
              <w:t>的，得 0 分</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14:paraId="13F75929">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一档（</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r>
              <w:rPr>
                <w:rFonts w:hint="eastAsia" w:ascii="宋体" w:hAnsi="宋体" w:cs="宋体"/>
                <w:bCs/>
                <w:color w:val="auto"/>
                <w:szCs w:val="21"/>
                <w:highlight w:val="none"/>
              </w:rPr>
              <w:t>服务实施方案满足本项目采购需求，但内容</w:t>
            </w:r>
            <w:r>
              <w:rPr>
                <w:rFonts w:hint="eastAsia" w:ascii="宋体" w:hAnsi="宋体" w:cs="宋体"/>
                <w:bCs/>
                <w:color w:val="auto"/>
                <w:szCs w:val="21"/>
                <w:highlight w:val="none"/>
                <w:lang w:val="en-US" w:eastAsia="zh-CN"/>
              </w:rPr>
              <w:t>未能对采购人情况制定</w:t>
            </w:r>
            <w:r>
              <w:rPr>
                <w:rFonts w:hint="eastAsia" w:ascii="宋体" w:hAnsi="宋体" w:cs="宋体"/>
                <w:bCs/>
                <w:color w:val="auto"/>
                <w:szCs w:val="21"/>
                <w:highlight w:val="none"/>
              </w:rPr>
              <w:t>，仅有纲要、内容简略，未展开阐述。</w:t>
            </w:r>
          </w:p>
          <w:p w14:paraId="51CD0ADA">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二档（</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分）：</w:t>
            </w:r>
            <w:r>
              <w:rPr>
                <w:rFonts w:hint="eastAsia" w:ascii="宋体" w:hAnsi="宋体" w:cs="宋体"/>
                <w:bCs/>
                <w:color w:val="auto"/>
                <w:szCs w:val="21"/>
                <w:highlight w:val="none"/>
              </w:rPr>
              <w:t>服务实施方案</w:t>
            </w:r>
            <w:r>
              <w:rPr>
                <w:rFonts w:hint="eastAsia" w:ascii="宋体" w:hAnsi="宋体" w:cs="宋体"/>
                <w:bCs/>
                <w:color w:val="auto"/>
                <w:szCs w:val="21"/>
                <w:highlight w:val="none"/>
                <w:lang w:val="en-US" w:eastAsia="zh-CN"/>
              </w:rPr>
              <w:t>能根据采购人情况制定</w:t>
            </w:r>
            <w:r>
              <w:rPr>
                <w:rFonts w:hint="eastAsia" w:ascii="宋体" w:hAnsi="宋体" w:cs="宋体"/>
                <w:bCs/>
                <w:color w:val="auto"/>
                <w:szCs w:val="21"/>
                <w:highlight w:val="none"/>
              </w:rPr>
              <w:t>有重点、难点且作出分析，主要内容的编制思路合理，有工作计划及落实措施等。</w:t>
            </w:r>
          </w:p>
          <w:p w14:paraId="7CC4E383">
            <w:pP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三档（</w:t>
            </w:r>
            <w:r>
              <w:rPr>
                <w:rFonts w:hint="eastAsia" w:ascii="宋体" w:hAnsi="宋体" w:cs="宋体"/>
                <w:color w:val="auto"/>
                <w:szCs w:val="21"/>
                <w:highlight w:val="none"/>
                <w:lang w:val="en-US" w:eastAsia="zh-CN"/>
              </w:rPr>
              <w:t>18</w:t>
            </w:r>
            <w:r>
              <w:rPr>
                <w:rFonts w:hint="eastAsia" w:ascii="宋体" w:hAnsi="宋体" w:cs="宋体"/>
                <w:color w:val="auto"/>
                <w:szCs w:val="21"/>
                <w:highlight w:val="none"/>
              </w:rPr>
              <w:t>分）：满足二档的基础上，</w:t>
            </w:r>
            <w:r>
              <w:rPr>
                <w:rFonts w:hint="eastAsia" w:ascii="宋体" w:hAnsi="宋体" w:cs="宋体"/>
                <w:bCs/>
                <w:color w:val="auto"/>
                <w:szCs w:val="21"/>
                <w:highlight w:val="none"/>
              </w:rPr>
              <w:t>难点把握准且作出深入分析，有具体的作业流程，对采购人现有的食堂的工作要求能提出合理化建议，有多项内容优于采购需求，管理措施利于项目实际情况。</w:t>
            </w:r>
          </w:p>
          <w:p w14:paraId="25DC7E71">
            <w:pPr>
              <w:spacing w:line="360" w:lineRule="auto"/>
              <w:ind w:firstLine="420" w:firstLineChars="200"/>
              <w:rPr>
                <w:rFonts w:hint="eastAsia" w:ascii="宋体" w:hAnsi="宋体" w:cs="宋体"/>
                <w:bCs/>
                <w:color w:val="auto"/>
                <w:szCs w:val="21"/>
                <w:highlight w:val="none"/>
                <w:lang w:val="en-US" w:eastAsia="zh-CN"/>
              </w:rPr>
            </w:pPr>
            <w:r>
              <w:rPr>
                <w:rFonts w:hint="eastAsia" w:ascii="宋体" w:hAnsi="宋体" w:cs="宋体"/>
                <w:color w:val="auto"/>
                <w:szCs w:val="21"/>
                <w:highlight w:val="none"/>
                <w:lang w:val="en-US" w:eastAsia="zh-CN"/>
              </w:rPr>
              <w:t>四</w:t>
            </w:r>
            <w:r>
              <w:rPr>
                <w:rFonts w:hint="eastAsia" w:ascii="宋体" w:hAnsi="宋体" w:cs="宋体"/>
                <w:color w:val="auto"/>
                <w:szCs w:val="21"/>
                <w:highlight w:val="none"/>
              </w:rPr>
              <w:t>档（</w:t>
            </w:r>
            <w:r>
              <w:rPr>
                <w:rFonts w:hint="eastAsia" w:ascii="宋体" w:hAnsi="宋体" w:cs="宋体"/>
                <w:color w:val="auto"/>
                <w:szCs w:val="21"/>
                <w:highlight w:val="none"/>
                <w:lang w:val="en-US" w:eastAsia="zh-CN"/>
              </w:rPr>
              <w:t>24</w:t>
            </w:r>
            <w:r>
              <w:rPr>
                <w:rFonts w:hint="eastAsia" w:ascii="宋体" w:hAnsi="宋体" w:cs="宋体"/>
                <w:color w:val="auto"/>
                <w:szCs w:val="21"/>
                <w:highlight w:val="none"/>
              </w:rPr>
              <w:t>分）：满足</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档的基础上，</w:t>
            </w:r>
            <w:r>
              <w:rPr>
                <w:rFonts w:hint="eastAsia" w:ascii="宋体" w:hAnsi="宋体" w:eastAsia="宋体" w:cs="宋体"/>
                <w:color w:val="auto"/>
                <w:kern w:val="0"/>
                <w:sz w:val="21"/>
                <w:highlight w:val="none"/>
                <w:lang w:val="en-US" w:eastAsia="zh-CN"/>
              </w:rPr>
              <w:t>对项目实施过程中可能出现的各类风险进行评估和管理，制定相应的风险应对措施，以确保项目不受到不可控因素的影响</w:t>
            </w:r>
            <w:r>
              <w:rPr>
                <w:rFonts w:hint="eastAsia" w:ascii="宋体" w:hAnsi="宋体" w:eastAsia="宋体" w:cs="宋体"/>
                <w:color w:val="auto"/>
                <w:kern w:val="0"/>
                <w:sz w:val="21"/>
                <w:highlight w:val="none"/>
                <w:lang w:val="en-US" w:eastAsia="en-US"/>
              </w:rPr>
              <w:t>；有针对食堂卫生和设备设施保证措施，人员安排</w:t>
            </w:r>
            <w:r>
              <w:rPr>
                <w:rFonts w:hint="eastAsia" w:ascii="宋体" w:hAnsi="宋体" w:eastAsia="宋体" w:cs="宋体"/>
                <w:color w:val="auto"/>
                <w:kern w:val="0"/>
                <w:sz w:val="21"/>
                <w:highlight w:val="none"/>
                <w:lang w:val="en-US" w:eastAsia="zh-CN"/>
              </w:rPr>
              <w:t>、分工及培训</w:t>
            </w:r>
            <w:r>
              <w:rPr>
                <w:rFonts w:hint="eastAsia" w:ascii="宋体" w:hAnsi="宋体" w:eastAsia="宋体" w:cs="宋体"/>
                <w:color w:val="auto"/>
                <w:kern w:val="0"/>
                <w:sz w:val="21"/>
                <w:highlight w:val="none"/>
                <w:lang w:val="en-US" w:eastAsia="en-US"/>
              </w:rPr>
              <w:t>、设备维护方案详细。</w:t>
            </w:r>
          </w:p>
        </w:tc>
        <w:tc>
          <w:tcPr>
            <w:tcW w:w="595" w:type="pct"/>
            <w:noWrap w:val="0"/>
            <w:vAlign w:val="center"/>
          </w:tcPr>
          <w:p w14:paraId="601E06B7">
            <w:pPr>
              <w:keepNext w:val="0"/>
              <w:keepLines w:val="0"/>
              <w:pageBreakBefore w:val="0"/>
              <w:tabs>
                <w:tab w:val="left" w:pos="180"/>
                <w:tab w:val="left" w:pos="1620"/>
              </w:tabs>
              <w:kinsoku/>
              <w:wordWrap/>
              <w:overflowPunct/>
              <w:topLinePunct w:val="0"/>
              <w:autoSpaceDE/>
              <w:autoSpaceDN/>
              <w:bidi w:val="0"/>
              <w:spacing w:line="360" w:lineRule="auto"/>
              <w:rPr>
                <w:rFonts w:hint="eastAsia" w:asciiTheme="minorEastAsia" w:hAnsiTheme="minorEastAsia" w:eastAsiaTheme="minorEastAsia" w:cstheme="minorEastAsia"/>
                <w:bCs/>
                <w:color w:val="auto"/>
                <w:kern w:val="2"/>
                <w:sz w:val="21"/>
                <w:szCs w:val="21"/>
                <w:highlight w:val="none"/>
              </w:rPr>
            </w:pPr>
            <w:r>
              <w:rPr>
                <w:rFonts w:hint="eastAsia" w:ascii="宋体" w:hAnsi="宋体" w:cs="宋体"/>
                <w:color w:val="auto"/>
                <w:szCs w:val="21"/>
                <w:highlight w:val="none"/>
              </w:rPr>
              <w:t>满分</w:t>
            </w:r>
            <w:r>
              <w:rPr>
                <w:rFonts w:hint="eastAsia" w:ascii="宋体" w:hAnsi="宋体" w:cs="宋体"/>
                <w:color w:val="auto"/>
                <w:szCs w:val="21"/>
                <w:highlight w:val="none"/>
                <w:lang w:val="en-US" w:eastAsia="zh-CN"/>
              </w:rPr>
              <w:t>24</w:t>
            </w:r>
            <w:r>
              <w:rPr>
                <w:rFonts w:hint="eastAsia" w:ascii="宋体" w:hAnsi="宋体" w:cs="宋体"/>
                <w:color w:val="auto"/>
                <w:szCs w:val="21"/>
                <w:highlight w:val="none"/>
              </w:rPr>
              <w:t>分</w:t>
            </w:r>
          </w:p>
        </w:tc>
      </w:tr>
      <w:tr w14:paraId="681FA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 w:type="pct"/>
            <w:shd w:val="clear" w:color="auto" w:fill="auto"/>
            <w:noWrap w:val="0"/>
            <w:vAlign w:val="center"/>
          </w:tcPr>
          <w:p w14:paraId="6960972C">
            <w:pPr>
              <w:keepNext w:val="0"/>
              <w:keepLines w:val="0"/>
              <w:pageBreakBefore w:val="0"/>
              <w:tabs>
                <w:tab w:val="left" w:pos="180"/>
                <w:tab w:val="left" w:pos="1620"/>
              </w:tabs>
              <w:kinsoku/>
              <w:wordWrap/>
              <w:overflowPunct/>
              <w:topLinePunct w:val="0"/>
              <w:autoSpaceDE/>
              <w:autoSpaceDN/>
              <w:bidi w:val="0"/>
              <w:spacing w:line="360" w:lineRule="auto"/>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2.2</w:t>
            </w:r>
          </w:p>
        </w:tc>
        <w:tc>
          <w:tcPr>
            <w:tcW w:w="599" w:type="pct"/>
            <w:shd w:val="clear" w:color="auto" w:fill="auto"/>
            <w:noWrap w:val="0"/>
            <w:vAlign w:val="center"/>
          </w:tcPr>
          <w:p w14:paraId="763FCE8E">
            <w:pPr>
              <w:spacing w:line="360" w:lineRule="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color w:val="auto"/>
                <w:szCs w:val="21"/>
                <w:highlight w:val="none"/>
              </w:rPr>
              <w:t>专项菜谱</w:t>
            </w:r>
            <w:r>
              <w:rPr>
                <w:rFonts w:hint="eastAsia" w:ascii="宋体" w:hAnsi="宋体" w:cs="宋体"/>
                <w:color w:val="auto"/>
                <w:szCs w:val="21"/>
                <w:highlight w:val="none"/>
                <w:lang w:val="en-US" w:eastAsia="zh-CN"/>
              </w:rPr>
              <w:t>方案</w:t>
            </w:r>
          </w:p>
        </w:tc>
        <w:tc>
          <w:tcPr>
            <w:tcW w:w="3485" w:type="pct"/>
            <w:shd w:val="clear" w:color="auto" w:fill="auto"/>
            <w:noWrap w:val="0"/>
            <w:vAlign w:val="center"/>
          </w:tcPr>
          <w:p w14:paraId="6EF09FDE">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磋商小组根据供应商提供的</w:t>
            </w:r>
            <w:r>
              <w:rPr>
                <w:rFonts w:hint="eastAsia" w:ascii="宋体" w:hAnsi="宋体" w:cs="宋体"/>
                <w:bCs/>
                <w:color w:val="auto"/>
                <w:szCs w:val="21"/>
                <w:highlight w:val="none"/>
                <w:lang w:eastAsia="zh-CN"/>
              </w:rPr>
              <w:t>针对自助餐、圩日、班级食育活动、特殊儿童餐制定的</w:t>
            </w:r>
            <w:r>
              <w:rPr>
                <w:rFonts w:hint="eastAsia" w:ascii="宋体" w:hAnsi="宋体" w:cs="宋体"/>
                <w:bCs/>
                <w:color w:val="auto"/>
                <w:szCs w:val="21"/>
                <w:highlight w:val="none"/>
              </w:rPr>
              <w:t>专项菜谱进行独立打分</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供应商未提供专项菜谱或提供的专项菜谱与项目需求不相干的，得0分</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w:t>
            </w:r>
          </w:p>
          <w:p w14:paraId="43776C54">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一档（</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w:t>
            </w:r>
            <w:r>
              <w:rPr>
                <w:rFonts w:hint="eastAsia" w:ascii="宋体" w:hAnsi="宋体" w:cs="宋体"/>
                <w:bCs/>
                <w:color w:val="auto"/>
                <w:szCs w:val="21"/>
                <w:highlight w:val="none"/>
              </w:rPr>
              <w:t>供应商提供的专项菜谱</w:t>
            </w:r>
            <w:r>
              <w:rPr>
                <w:rFonts w:hint="eastAsia" w:ascii="宋体" w:hAnsi="宋体" w:cs="宋体"/>
                <w:bCs/>
                <w:color w:val="auto"/>
                <w:szCs w:val="21"/>
                <w:highlight w:val="none"/>
                <w:lang w:eastAsia="zh-CN"/>
              </w:rPr>
              <w:t>单一，</w:t>
            </w:r>
            <w:r>
              <w:rPr>
                <w:rFonts w:hint="eastAsia" w:ascii="宋体" w:hAnsi="宋体" w:cs="宋体"/>
                <w:bCs/>
                <w:color w:val="auto"/>
                <w:szCs w:val="21"/>
                <w:highlight w:val="none"/>
              </w:rPr>
              <w:t>无特色，</w:t>
            </w:r>
            <w:r>
              <w:rPr>
                <w:rFonts w:hint="eastAsia" w:ascii="宋体" w:hAnsi="宋体" w:cs="宋体"/>
                <w:bCs/>
                <w:color w:val="auto"/>
                <w:szCs w:val="21"/>
                <w:highlight w:val="none"/>
                <w:lang w:eastAsia="zh-CN"/>
              </w:rPr>
              <w:t>未能体现自助餐、圩日、班级食育活动、特殊儿童餐的专项差别</w:t>
            </w:r>
            <w:r>
              <w:rPr>
                <w:rFonts w:hint="eastAsia" w:ascii="宋体" w:hAnsi="宋体" w:cs="宋体"/>
                <w:bCs/>
                <w:color w:val="auto"/>
                <w:szCs w:val="21"/>
                <w:highlight w:val="none"/>
              </w:rPr>
              <w:t>；</w:t>
            </w:r>
          </w:p>
          <w:p w14:paraId="6C9DEA94">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二档（</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w:t>
            </w:r>
            <w:r>
              <w:rPr>
                <w:rFonts w:hint="eastAsia" w:ascii="宋体" w:hAnsi="宋体" w:cs="宋体"/>
                <w:bCs/>
                <w:color w:val="auto"/>
                <w:szCs w:val="21"/>
                <w:highlight w:val="none"/>
              </w:rPr>
              <w:t>供应商提供的专项菜谱品种有特色，完全符合项目要求，能提供部分专项菜谱的相关证明材料（如菜谱照片等）；</w:t>
            </w:r>
          </w:p>
          <w:p w14:paraId="46AB8400">
            <w:pP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三档（</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分）：满足二档的基础上，</w:t>
            </w:r>
            <w:r>
              <w:rPr>
                <w:rFonts w:hint="eastAsia" w:ascii="宋体" w:hAnsi="宋体" w:cs="宋体"/>
                <w:bCs/>
                <w:color w:val="auto"/>
                <w:szCs w:val="21"/>
                <w:highlight w:val="none"/>
                <w:lang w:val="en-US" w:eastAsia="zh-CN"/>
              </w:rPr>
              <w:t>供应商提供的专项菜谱品种丰富且具有特色，营养搭配均衡，能够结合时令菜品特点及幼儿生长发育需求制定</w:t>
            </w:r>
            <w:r>
              <w:rPr>
                <w:rFonts w:hint="eastAsia" w:ascii="宋体" w:hAnsi="宋体" w:cs="宋体"/>
                <w:bCs/>
                <w:color w:val="auto"/>
                <w:szCs w:val="21"/>
                <w:highlight w:val="none"/>
              </w:rPr>
              <w:t>，能提供专项菜谱相关证明材料（如菜谱照片等）。</w:t>
            </w:r>
          </w:p>
          <w:p w14:paraId="1A559332">
            <w:pPr>
              <w:spacing w:line="360" w:lineRule="auto"/>
              <w:ind w:firstLine="420" w:firstLineChars="200"/>
              <w:rPr>
                <w:rFonts w:hint="eastAsia" w:ascii="宋体" w:hAnsi="宋体" w:cs="宋体"/>
                <w:bCs/>
                <w:color w:val="auto"/>
                <w:szCs w:val="21"/>
                <w:highlight w:val="none"/>
                <w:lang w:val="en-US" w:eastAsia="zh-CN"/>
              </w:rPr>
            </w:pPr>
            <w:r>
              <w:rPr>
                <w:rFonts w:hint="eastAsia" w:ascii="宋体" w:hAnsi="宋体" w:cs="宋体"/>
                <w:color w:val="auto"/>
                <w:szCs w:val="21"/>
                <w:highlight w:val="none"/>
                <w:lang w:val="en-US" w:eastAsia="zh-CN"/>
              </w:rPr>
              <w:t>四</w:t>
            </w:r>
            <w:r>
              <w:rPr>
                <w:rFonts w:hint="eastAsia" w:ascii="宋体" w:hAnsi="宋体" w:cs="宋体"/>
                <w:color w:val="auto"/>
                <w:szCs w:val="21"/>
                <w:highlight w:val="none"/>
              </w:rPr>
              <w:t>档（</w:t>
            </w:r>
            <w:r>
              <w:rPr>
                <w:rFonts w:hint="eastAsia" w:ascii="宋体" w:hAnsi="宋体" w:cs="宋体"/>
                <w:color w:val="auto"/>
                <w:szCs w:val="21"/>
                <w:highlight w:val="none"/>
                <w:lang w:val="en-US" w:eastAsia="zh-CN"/>
              </w:rPr>
              <w:t>14</w:t>
            </w:r>
            <w:r>
              <w:rPr>
                <w:rFonts w:hint="eastAsia" w:ascii="宋体" w:hAnsi="宋体" w:cs="宋体"/>
                <w:color w:val="auto"/>
                <w:szCs w:val="21"/>
                <w:highlight w:val="none"/>
              </w:rPr>
              <w:t>分）：满足</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档的基础上，</w:t>
            </w:r>
            <w:r>
              <w:rPr>
                <w:rFonts w:hint="eastAsia" w:ascii="宋体" w:hAnsi="宋体" w:cs="宋体"/>
                <w:bCs/>
                <w:color w:val="auto"/>
                <w:szCs w:val="21"/>
                <w:highlight w:val="none"/>
              </w:rPr>
              <w:t>供应商提供的专项菜谱品种</w:t>
            </w:r>
            <w:r>
              <w:rPr>
                <w:rFonts w:hint="eastAsia" w:ascii="宋体" w:hAnsi="宋体" w:cs="宋体"/>
                <w:bCs/>
                <w:color w:val="auto"/>
                <w:szCs w:val="21"/>
                <w:highlight w:val="none"/>
                <w:lang w:val="en-US" w:eastAsia="zh-CN"/>
              </w:rPr>
              <w:t>能</w:t>
            </w:r>
            <w:r>
              <w:rPr>
                <w:rFonts w:hint="eastAsia" w:ascii="宋体" w:hAnsi="宋体" w:cs="宋体"/>
                <w:bCs/>
                <w:color w:val="auto"/>
                <w:szCs w:val="21"/>
                <w:highlight w:val="none"/>
                <w:lang w:eastAsia="zh-CN"/>
              </w:rPr>
              <w:t>体现自助餐、圩日、班级食育活动、特殊儿童餐的专项差别</w:t>
            </w:r>
            <w:r>
              <w:rPr>
                <w:rFonts w:hint="eastAsia" w:ascii="宋体" w:hAnsi="宋体" w:cs="宋体"/>
                <w:bCs/>
                <w:color w:val="auto"/>
                <w:szCs w:val="21"/>
                <w:highlight w:val="none"/>
              </w:rPr>
              <w:t>。</w:t>
            </w:r>
          </w:p>
        </w:tc>
        <w:tc>
          <w:tcPr>
            <w:tcW w:w="595" w:type="pct"/>
            <w:shd w:val="clear" w:color="auto" w:fill="auto"/>
            <w:noWrap w:val="0"/>
            <w:vAlign w:val="center"/>
          </w:tcPr>
          <w:p w14:paraId="31168EAB">
            <w:pPr>
              <w:keepNext w:val="0"/>
              <w:keepLines w:val="0"/>
              <w:pageBreakBefore w:val="0"/>
              <w:tabs>
                <w:tab w:val="left" w:pos="180"/>
                <w:tab w:val="left" w:pos="1620"/>
              </w:tabs>
              <w:kinsoku/>
              <w:wordWrap/>
              <w:overflowPunct/>
              <w:topLinePunct w:val="0"/>
              <w:autoSpaceDE/>
              <w:autoSpaceDN/>
              <w:bidi w:val="0"/>
              <w:spacing w:line="360" w:lineRule="auto"/>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宋体" w:hAnsi="宋体" w:cs="宋体"/>
                <w:color w:val="auto"/>
                <w:kern w:val="0"/>
                <w:szCs w:val="21"/>
                <w:highlight w:val="none"/>
              </w:rPr>
              <w:t>满分</w:t>
            </w:r>
            <w:r>
              <w:rPr>
                <w:rFonts w:hint="eastAsia" w:ascii="宋体" w:hAnsi="宋体" w:cs="宋体"/>
                <w:color w:val="auto"/>
                <w:kern w:val="0"/>
                <w:szCs w:val="21"/>
                <w:highlight w:val="none"/>
                <w:lang w:val="en-US" w:eastAsia="zh-CN"/>
              </w:rPr>
              <w:t>14</w:t>
            </w:r>
            <w:r>
              <w:rPr>
                <w:rFonts w:hint="eastAsia" w:ascii="宋体" w:hAnsi="宋体" w:cs="宋体"/>
                <w:color w:val="auto"/>
                <w:kern w:val="0"/>
                <w:szCs w:val="21"/>
                <w:highlight w:val="none"/>
              </w:rPr>
              <w:t>分</w:t>
            </w:r>
          </w:p>
        </w:tc>
      </w:tr>
      <w:tr w14:paraId="256A7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 w:type="pct"/>
            <w:shd w:val="clear" w:color="auto" w:fill="auto"/>
            <w:noWrap w:val="0"/>
            <w:vAlign w:val="center"/>
          </w:tcPr>
          <w:p w14:paraId="6F024044">
            <w:pPr>
              <w:keepNext w:val="0"/>
              <w:keepLines w:val="0"/>
              <w:pageBreakBefore w:val="0"/>
              <w:tabs>
                <w:tab w:val="left" w:pos="180"/>
                <w:tab w:val="left" w:pos="1620"/>
              </w:tabs>
              <w:kinsoku/>
              <w:wordWrap/>
              <w:overflowPunct/>
              <w:topLinePunct w:val="0"/>
              <w:autoSpaceDE/>
              <w:autoSpaceDN/>
              <w:bidi w:val="0"/>
              <w:spacing w:line="360" w:lineRule="auto"/>
              <w:jc w:val="center"/>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2.3</w:t>
            </w:r>
          </w:p>
        </w:tc>
        <w:tc>
          <w:tcPr>
            <w:tcW w:w="599" w:type="pct"/>
            <w:shd w:val="clear" w:color="auto" w:fill="auto"/>
            <w:noWrap w:val="0"/>
            <w:vAlign w:val="center"/>
          </w:tcPr>
          <w:p w14:paraId="2A30E139">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食品卫生安全保障方案及突发事件应急预案</w:t>
            </w:r>
          </w:p>
        </w:tc>
        <w:tc>
          <w:tcPr>
            <w:tcW w:w="3485" w:type="pct"/>
            <w:shd w:val="clear" w:color="auto" w:fill="auto"/>
            <w:noWrap w:val="0"/>
            <w:vAlign w:val="center"/>
          </w:tcPr>
          <w:p w14:paraId="3797940D">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 食品卫生安全保障方案（满分12分）</w:t>
            </w:r>
          </w:p>
          <w:p w14:paraId="1A35DF5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磋商小组根据供应商提供的食品卫生安全保障方案</w:t>
            </w:r>
            <w:r>
              <w:rPr>
                <w:rFonts w:hint="eastAsia" w:ascii="宋体" w:hAnsi="宋体" w:cs="宋体"/>
                <w:color w:val="auto"/>
                <w:szCs w:val="21"/>
                <w:highlight w:val="none"/>
                <w:lang w:eastAsia="zh-CN"/>
              </w:rPr>
              <w:t>（</w:t>
            </w:r>
            <w:r>
              <w:rPr>
                <w:rFonts w:hint="eastAsia" w:ascii="宋体" w:hAnsi="宋体" w:cs="宋体"/>
                <w:color w:val="auto"/>
                <w:szCs w:val="21"/>
                <w:highlight w:val="none"/>
              </w:rPr>
              <w:t>方案内容</w:t>
            </w:r>
            <w:r>
              <w:rPr>
                <w:rFonts w:hint="eastAsia" w:ascii="宋体" w:hAnsi="宋体" w:cs="宋体"/>
                <w:color w:val="auto"/>
                <w:szCs w:val="21"/>
                <w:highlight w:val="none"/>
                <w:lang w:eastAsia="zh-CN"/>
              </w:rPr>
              <w:t>至少</w:t>
            </w:r>
            <w:r>
              <w:rPr>
                <w:rFonts w:hint="eastAsia" w:ascii="宋体" w:hAnsi="宋体" w:cs="宋体"/>
                <w:color w:val="auto"/>
                <w:szCs w:val="21"/>
                <w:highlight w:val="none"/>
              </w:rPr>
              <w:t>包含以下内容：食品食具卫生状况、食品原料进货渠道、厨房及卫生设施的清洗消毒流程、从业人员健康状况等</w:t>
            </w:r>
            <w:r>
              <w:rPr>
                <w:rFonts w:hint="eastAsia" w:ascii="宋体" w:hAnsi="宋体" w:cs="宋体"/>
                <w:color w:val="auto"/>
                <w:szCs w:val="21"/>
                <w:highlight w:val="none"/>
                <w:lang w:eastAsia="zh-CN"/>
              </w:rPr>
              <w:t>）</w:t>
            </w:r>
            <w:r>
              <w:rPr>
                <w:rFonts w:hint="eastAsia" w:ascii="宋体" w:hAnsi="宋体" w:cs="宋体"/>
                <w:color w:val="auto"/>
                <w:szCs w:val="21"/>
                <w:highlight w:val="none"/>
              </w:rPr>
              <w:t>进行独立评分：</w:t>
            </w:r>
          </w:p>
          <w:p w14:paraId="42009432">
            <w:pPr>
              <w:numPr>
                <w:ilvl w:val="0"/>
                <w:numId w:val="2"/>
              </w:num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食品食具卫生状况（满分4分）</w:t>
            </w:r>
          </w:p>
          <w:p w14:paraId="67789195">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①方案</w:t>
            </w:r>
            <w:r>
              <w:rPr>
                <w:rFonts w:hint="eastAsia" w:ascii="宋体" w:hAnsi="宋体" w:cs="宋体"/>
                <w:color w:val="auto"/>
                <w:szCs w:val="21"/>
                <w:highlight w:val="none"/>
                <w:lang w:val="en-US" w:eastAsia="zh-CN"/>
              </w:rPr>
              <w:t>中</w:t>
            </w:r>
            <w:r>
              <w:rPr>
                <w:rFonts w:hint="eastAsia" w:ascii="宋体" w:hAnsi="宋体" w:cs="宋体"/>
                <w:color w:val="auto"/>
                <w:szCs w:val="21"/>
                <w:highlight w:val="none"/>
              </w:rPr>
              <w:t>食品食具卫生状况</w:t>
            </w:r>
            <w:r>
              <w:rPr>
                <w:rFonts w:hint="eastAsia" w:ascii="宋体" w:hAnsi="宋体" w:cs="宋体"/>
                <w:color w:val="auto"/>
                <w:szCs w:val="21"/>
                <w:highlight w:val="none"/>
                <w:lang w:val="en-US" w:eastAsia="zh-CN"/>
              </w:rPr>
              <w:t>描述</w:t>
            </w:r>
            <w:r>
              <w:rPr>
                <w:rFonts w:hint="eastAsia" w:ascii="宋体" w:hAnsi="宋体" w:cs="宋体"/>
                <w:bCs/>
                <w:color w:val="auto"/>
                <w:szCs w:val="21"/>
                <w:highlight w:val="none"/>
              </w:rPr>
              <w:t>与项目需求不</w:t>
            </w:r>
            <w:r>
              <w:rPr>
                <w:rFonts w:hint="eastAsia" w:ascii="宋体" w:hAnsi="宋体" w:cs="宋体"/>
                <w:bCs/>
                <w:color w:val="auto"/>
                <w:szCs w:val="21"/>
                <w:highlight w:val="none"/>
                <w:lang w:eastAsia="zh-CN"/>
              </w:rPr>
              <w:t>相符</w:t>
            </w:r>
            <w:r>
              <w:rPr>
                <w:rFonts w:hint="eastAsia" w:ascii="宋体" w:hAnsi="宋体" w:cs="宋体"/>
                <w:color w:val="auto"/>
                <w:szCs w:val="21"/>
                <w:highlight w:val="none"/>
              </w:rPr>
              <w:t>的，得0分；</w:t>
            </w:r>
          </w:p>
          <w:p w14:paraId="4EE0217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②基本掌握食品食具卫生状况的，得2分；</w:t>
            </w:r>
          </w:p>
          <w:p w14:paraId="2903A68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③详细掌握食品食具卫生状况，并对存在的问题提出整改方案的，得4分；</w:t>
            </w:r>
          </w:p>
          <w:p w14:paraId="2552C67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2）厨房及食堂设施的清洗消毒流程（满分4分）</w:t>
            </w:r>
          </w:p>
          <w:p w14:paraId="3C064AB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①对厨房及食堂设施的清洗、消毒流程描述</w:t>
            </w:r>
            <w:r>
              <w:rPr>
                <w:rFonts w:hint="eastAsia" w:ascii="宋体" w:hAnsi="宋体" w:cs="宋体"/>
                <w:bCs/>
                <w:color w:val="auto"/>
                <w:szCs w:val="21"/>
                <w:highlight w:val="none"/>
              </w:rPr>
              <w:t>没有针对性</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与项目需求不</w:t>
            </w:r>
            <w:r>
              <w:rPr>
                <w:rFonts w:hint="eastAsia" w:ascii="宋体" w:hAnsi="宋体" w:cs="宋体"/>
                <w:bCs/>
                <w:color w:val="auto"/>
                <w:szCs w:val="21"/>
                <w:highlight w:val="none"/>
                <w:lang w:eastAsia="zh-CN"/>
              </w:rPr>
              <w:t>相符</w:t>
            </w:r>
            <w:r>
              <w:rPr>
                <w:rFonts w:hint="eastAsia" w:ascii="宋体" w:hAnsi="宋体" w:cs="宋体"/>
                <w:color w:val="auto"/>
                <w:szCs w:val="21"/>
                <w:highlight w:val="none"/>
              </w:rPr>
              <w:t>的，得0分；</w:t>
            </w:r>
          </w:p>
          <w:p w14:paraId="5B34892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②对厨房及食堂设施的清洗、消毒流程描述</w:t>
            </w:r>
            <w:r>
              <w:rPr>
                <w:rFonts w:hint="eastAsia" w:ascii="宋体" w:hAnsi="宋体" w:cs="宋体"/>
                <w:color w:val="auto"/>
                <w:szCs w:val="21"/>
                <w:highlight w:val="none"/>
                <w:lang w:eastAsia="zh-CN"/>
              </w:rPr>
              <w:t>合理，但</w:t>
            </w:r>
            <w:r>
              <w:rPr>
                <w:rFonts w:hint="eastAsia" w:ascii="宋体" w:hAnsi="宋体" w:cs="宋体"/>
                <w:bCs/>
                <w:color w:val="auto"/>
                <w:szCs w:val="21"/>
                <w:highlight w:val="none"/>
              </w:rPr>
              <w:t>内容简略，未展开阐述</w:t>
            </w:r>
            <w:r>
              <w:rPr>
                <w:rFonts w:hint="eastAsia" w:ascii="宋体" w:hAnsi="宋体" w:cs="宋体"/>
                <w:color w:val="auto"/>
                <w:szCs w:val="21"/>
                <w:highlight w:val="none"/>
              </w:rPr>
              <w:t>，得2分；</w:t>
            </w:r>
          </w:p>
          <w:p w14:paraId="17C59DB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③对厨房及食堂设施的清洗、消毒流程描述</w:t>
            </w:r>
            <w:r>
              <w:rPr>
                <w:rFonts w:hint="eastAsia" w:ascii="宋体" w:hAnsi="宋体" w:cs="宋体"/>
                <w:color w:val="auto"/>
                <w:szCs w:val="21"/>
                <w:highlight w:val="none"/>
                <w:lang w:eastAsia="zh-CN"/>
              </w:rPr>
              <w:t>合理</w:t>
            </w:r>
            <w:r>
              <w:rPr>
                <w:rFonts w:hint="eastAsia" w:ascii="宋体" w:hAnsi="宋体" w:cs="宋体"/>
                <w:color w:val="auto"/>
                <w:szCs w:val="21"/>
                <w:highlight w:val="none"/>
              </w:rPr>
              <w:t>，定期对清洗用具及消毒设备进行检查检测，并对存在的问题提出具体的整改方案的，得4分。</w:t>
            </w:r>
          </w:p>
          <w:p w14:paraId="28CE8F3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3）从业人员健康状况出现问题后的应急措施（满分4分）</w:t>
            </w:r>
          </w:p>
          <w:p w14:paraId="0FEDFCA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①对从业人员健康状况出现问题后的应急措施</w:t>
            </w:r>
            <w:r>
              <w:rPr>
                <w:rFonts w:hint="eastAsia" w:ascii="宋体" w:hAnsi="宋体" w:cs="宋体"/>
                <w:bCs/>
                <w:color w:val="auto"/>
                <w:szCs w:val="21"/>
                <w:highlight w:val="none"/>
              </w:rPr>
              <w:t>没有针对性</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与项目需求不相干</w:t>
            </w:r>
            <w:r>
              <w:rPr>
                <w:rFonts w:hint="eastAsia" w:ascii="宋体" w:hAnsi="宋体" w:cs="宋体"/>
                <w:color w:val="auto"/>
                <w:szCs w:val="21"/>
                <w:highlight w:val="none"/>
              </w:rPr>
              <w:t>的，得 0 分；</w:t>
            </w:r>
          </w:p>
          <w:p w14:paraId="3E123E1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②对从业人员健康状况出现问题后的应急措施</w:t>
            </w:r>
            <w:r>
              <w:rPr>
                <w:rFonts w:hint="eastAsia" w:ascii="宋体" w:hAnsi="宋体" w:cs="宋体"/>
                <w:color w:val="auto"/>
                <w:szCs w:val="21"/>
                <w:highlight w:val="none"/>
                <w:lang w:eastAsia="zh-CN"/>
              </w:rPr>
              <w:t>合理，但</w:t>
            </w:r>
            <w:r>
              <w:rPr>
                <w:rFonts w:hint="eastAsia" w:ascii="宋体" w:hAnsi="宋体" w:cs="宋体"/>
                <w:bCs/>
                <w:color w:val="auto"/>
                <w:szCs w:val="21"/>
                <w:highlight w:val="none"/>
              </w:rPr>
              <w:t>内容简略，未展开阐述</w:t>
            </w:r>
            <w:r>
              <w:rPr>
                <w:rFonts w:hint="eastAsia" w:ascii="宋体" w:hAnsi="宋体" w:cs="宋体"/>
                <w:color w:val="auto"/>
                <w:szCs w:val="21"/>
                <w:highlight w:val="none"/>
              </w:rPr>
              <w:t>，得2分；</w:t>
            </w:r>
          </w:p>
          <w:p w14:paraId="22DBD14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③对从业人员健康状况出现问题后的应急措施详细，可操作性强，</w:t>
            </w:r>
            <w:r>
              <w:rPr>
                <w:rFonts w:hint="eastAsia" w:ascii="宋体" w:hAnsi="宋体" w:cs="宋体"/>
                <w:color w:val="auto"/>
                <w:szCs w:val="21"/>
                <w:highlight w:val="none"/>
                <w:lang w:val="en-US" w:eastAsia="zh-CN"/>
              </w:rPr>
              <w:t>方案中有</w:t>
            </w:r>
            <w:r>
              <w:rPr>
                <w:rFonts w:hint="eastAsia" w:ascii="宋体" w:hAnsi="宋体" w:cs="宋体"/>
                <w:color w:val="auto"/>
                <w:szCs w:val="21"/>
                <w:highlight w:val="none"/>
              </w:rPr>
              <w:t>后备人员</w:t>
            </w:r>
            <w:r>
              <w:rPr>
                <w:rFonts w:hint="eastAsia" w:ascii="宋体" w:hAnsi="宋体" w:cs="宋体"/>
                <w:color w:val="auto"/>
                <w:szCs w:val="21"/>
                <w:highlight w:val="none"/>
                <w:lang w:val="en-US" w:eastAsia="zh-CN"/>
              </w:rPr>
              <w:t>及人员相关情况的描述，</w:t>
            </w:r>
            <w:r>
              <w:rPr>
                <w:rFonts w:hint="eastAsia" w:ascii="宋体" w:hAnsi="宋体" w:cs="宋体"/>
                <w:color w:val="auto"/>
                <w:szCs w:val="21"/>
                <w:highlight w:val="none"/>
              </w:rPr>
              <w:t>后备人员</w:t>
            </w:r>
            <w:r>
              <w:rPr>
                <w:rFonts w:hint="eastAsia" w:ascii="宋体" w:hAnsi="宋体" w:cs="宋体"/>
                <w:color w:val="auto"/>
                <w:szCs w:val="21"/>
                <w:highlight w:val="none"/>
                <w:lang w:val="en-US" w:eastAsia="zh-CN"/>
              </w:rPr>
              <w:t>不少</w:t>
            </w:r>
            <w:r>
              <w:rPr>
                <w:rFonts w:hint="eastAsia" w:ascii="宋体" w:hAnsi="宋体" w:cs="宋体"/>
                <w:color w:val="auto"/>
                <w:szCs w:val="21"/>
                <w:highlight w:val="none"/>
              </w:rPr>
              <w:t>于</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人（含</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人</w:t>
            </w:r>
            <w:r>
              <w:rPr>
                <w:rFonts w:hint="eastAsia" w:ascii="宋体" w:hAnsi="宋体" w:cs="宋体"/>
                <w:color w:val="auto"/>
                <w:szCs w:val="21"/>
                <w:highlight w:val="none"/>
                <w:lang w:eastAsia="zh-CN"/>
              </w:rPr>
              <w:t>）</w:t>
            </w:r>
            <w:r>
              <w:rPr>
                <w:rFonts w:hint="eastAsia" w:ascii="宋体" w:hAnsi="宋体" w:cs="宋体"/>
                <w:color w:val="auto"/>
                <w:szCs w:val="21"/>
                <w:highlight w:val="none"/>
              </w:rPr>
              <w:t>，须在方案中用列表的情形提供后备人员名单，并附上其</w:t>
            </w:r>
            <w:r>
              <w:rPr>
                <w:rFonts w:hint="eastAsia" w:ascii="宋体" w:hAnsi="宋体" w:cs="宋体"/>
                <w:color w:val="auto"/>
                <w:szCs w:val="21"/>
                <w:highlight w:val="none"/>
                <w:lang w:val="en-US" w:eastAsia="zh-CN"/>
              </w:rPr>
              <w:t>有效</w:t>
            </w:r>
            <w:r>
              <w:rPr>
                <w:rFonts w:hint="eastAsia" w:ascii="宋体" w:hAnsi="宋体" w:cs="宋体"/>
                <w:color w:val="auto"/>
                <w:szCs w:val="21"/>
                <w:highlight w:val="none"/>
              </w:rPr>
              <w:t>身份证及健康证原件扫描件</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或承诺如为成交供应商后提供后备人员的有效</w:t>
            </w:r>
            <w:r>
              <w:rPr>
                <w:rFonts w:hint="eastAsia" w:ascii="宋体" w:hAnsi="宋体" w:cs="宋体"/>
                <w:color w:val="auto"/>
                <w:szCs w:val="21"/>
                <w:highlight w:val="none"/>
              </w:rPr>
              <w:t>健康证）的，得4分。</w:t>
            </w:r>
          </w:p>
          <w:p w14:paraId="3BBC8429">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（2）突发事件应急预案分（满分4分）</w:t>
            </w:r>
          </w:p>
          <w:p w14:paraId="33E8E1A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①供应商未提供有突发事件应急预案或提供的突发事件应急预案</w:t>
            </w:r>
            <w:r>
              <w:rPr>
                <w:rFonts w:hint="eastAsia" w:ascii="宋体" w:hAnsi="宋体" w:cs="宋体"/>
                <w:bCs/>
                <w:color w:val="auto"/>
                <w:szCs w:val="21"/>
                <w:highlight w:val="none"/>
              </w:rPr>
              <w:t>与项目需求不相干</w:t>
            </w:r>
            <w:r>
              <w:rPr>
                <w:rFonts w:hint="eastAsia" w:ascii="宋体" w:hAnsi="宋体" w:cs="宋体"/>
                <w:color w:val="auto"/>
                <w:szCs w:val="21"/>
                <w:highlight w:val="none"/>
              </w:rPr>
              <w:t>的，得0分；</w:t>
            </w:r>
          </w:p>
          <w:p w14:paraId="446E97D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②供应商提供的突发事件应急预案内容</w:t>
            </w:r>
            <w:r>
              <w:rPr>
                <w:rFonts w:hint="eastAsia" w:ascii="宋体" w:hAnsi="宋体" w:cs="宋体"/>
                <w:color w:val="auto"/>
                <w:szCs w:val="21"/>
                <w:highlight w:val="none"/>
                <w:lang w:eastAsia="zh-CN"/>
              </w:rPr>
              <w:t>合理，但</w:t>
            </w:r>
            <w:r>
              <w:rPr>
                <w:rFonts w:hint="eastAsia" w:ascii="宋体" w:hAnsi="宋体" w:cs="宋体"/>
                <w:bCs/>
                <w:color w:val="auto"/>
                <w:szCs w:val="21"/>
                <w:highlight w:val="none"/>
              </w:rPr>
              <w:t>内容简略，未展开阐述</w:t>
            </w:r>
            <w:r>
              <w:rPr>
                <w:rFonts w:hint="eastAsia" w:ascii="宋体" w:hAnsi="宋体" w:cs="宋体"/>
                <w:color w:val="auto"/>
                <w:szCs w:val="21"/>
                <w:highlight w:val="none"/>
              </w:rPr>
              <w:t>，得2分；</w:t>
            </w:r>
          </w:p>
          <w:p w14:paraId="28F3FF6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③供应商提供的突发事件应急预案内容可行性、针对性强，有具体的作业流程的，得4分。</w:t>
            </w:r>
          </w:p>
          <w:p w14:paraId="3036A157">
            <w:pPr>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注：供应商可以从地震、爆炸、火灾、触电、一氧化碳中毒、食物中毒、停水停电、特殊传染病、扰乱食堂秩序、员工缺员及罢工等突发事件的处置进行编制应急预案。</w:t>
            </w:r>
          </w:p>
        </w:tc>
        <w:tc>
          <w:tcPr>
            <w:tcW w:w="595" w:type="pct"/>
            <w:shd w:val="clear" w:color="auto" w:fill="auto"/>
            <w:noWrap w:val="0"/>
            <w:vAlign w:val="center"/>
          </w:tcPr>
          <w:p w14:paraId="7760EB32">
            <w:pPr>
              <w:keepNext w:val="0"/>
              <w:keepLines w:val="0"/>
              <w:pageBreakBefore w:val="0"/>
              <w:tabs>
                <w:tab w:val="left" w:pos="180"/>
                <w:tab w:val="left" w:pos="1620"/>
              </w:tabs>
              <w:kinsoku/>
              <w:wordWrap/>
              <w:overflowPunct/>
              <w:topLinePunct w:val="0"/>
              <w:autoSpaceDE/>
              <w:autoSpaceDN/>
              <w:bidi w:val="0"/>
              <w:spacing w:line="360" w:lineRule="auto"/>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宋体" w:hAnsi="宋体" w:cs="宋体"/>
                <w:color w:val="auto"/>
                <w:szCs w:val="21"/>
                <w:highlight w:val="none"/>
              </w:rPr>
              <w:t>满分16分</w:t>
            </w:r>
          </w:p>
        </w:tc>
      </w:tr>
      <w:tr w14:paraId="02630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 w:type="pct"/>
            <w:shd w:val="clear" w:color="auto" w:fill="auto"/>
            <w:noWrap w:val="0"/>
            <w:vAlign w:val="center"/>
          </w:tcPr>
          <w:p w14:paraId="63C05380">
            <w:pPr>
              <w:keepNext w:val="0"/>
              <w:keepLines w:val="0"/>
              <w:pageBreakBefore w:val="0"/>
              <w:tabs>
                <w:tab w:val="left" w:pos="180"/>
                <w:tab w:val="left" w:pos="1620"/>
              </w:tabs>
              <w:kinsoku/>
              <w:wordWrap/>
              <w:overflowPunct/>
              <w:topLinePunct w:val="0"/>
              <w:autoSpaceDE/>
              <w:autoSpaceDN/>
              <w:bidi w:val="0"/>
              <w:spacing w:line="360" w:lineRule="auto"/>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2.4</w:t>
            </w:r>
          </w:p>
        </w:tc>
        <w:tc>
          <w:tcPr>
            <w:tcW w:w="599" w:type="pct"/>
            <w:shd w:val="clear" w:color="auto" w:fill="auto"/>
            <w:noWrap w:val="0"/>
            <w:vAlign w:val="center"/>
          </w:tcPr>
          <w:p w14:paraId="7591CE77">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管理制度方案</w:t>
            </w:r>
          </w:p>
        </w:tc>
        <w:tc>
          <w:tcPr>
            <w:tcW w:w="3485" w:type="pct"/>
            <w:shd w:val="clear" w:color="auto" w:fill="auto"/>
            <w:noWrap w:val="0"/>
            <w:vAlign w:val="center"/>
          </w:tcPr>
          <w:p w14:paraId="2C9656B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磋商小组根据供应商提供的管理制度管理方案进行独立评分</w:t>
            </w:r>
            <w:r>
              <w:rPr>
                <w:rFonts w:hint="eastAsia" w:ascii="宋体" w:hAnsi="宋体" w:cs="宋体"/>
                <w:color w:val="auto"/>
                <w:szCs w:val="21"/>
                <w:highlight w:val="none"/>
                <w:lang w:eastAsia="zh-CN"/>
              </w:rPr>
              <w:t>（</w:t>
            </w:r>
            <w:r>
              <w:rPr>
                <w:rFonts w:hint="eastAsia" w:ascii="宋体" w:hAnsi="宋体" w:cs="宋体"/>
                <w:color w:val="auto"/>
                <w:szCs w:val="21"/>
                <w:highlight w:val="none"/>
              </w:rPr>
              <w:t>供应商未提供管理制度方案或管理制度方案</w:t>
            </w:r>
            <w:r>
              <w:rPr>
                <w:rFonts w:hint="eastAsia" w:ascii="宋体" w:hAnsi="宋体" w:cs="宋体"/>
                <w:bCs/>
                <w:color w:val="auto"/>
                <w:szCs w:val="21"/>
                <w:highlight w:val="none"/>
              </w:rPr>
              <w:t>与项目需求不相干</w:t>
            </w:r>
            <w:r>
              <w:rPr>
                <w:rFonts w:hint="eastAsia" w:ascii="宋体" w:hAnsi="宋体" w:cs="宋体"/>
                <w:color w:val="auto"/>
                <w:szCs w:val="21"/>
                <w:highlight w:val="none"/>
              </w:rPr>
              <w:t>的，得 0 分</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14:paraId="7B09A9B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一档（</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r>
              <w:rPr>
                <w:rFonts w:hint="eastAsia" w:ascii="宋体" w:hAnsi="宋体" w:cs="宋体"/>
                <w:color w:val="auto"/>
                <w:szCs w:val="21"/>
                <w:highlight w:val="none"/>
                <w:lang w:eastAsia="zh-CN"/>
              </w:rPr>
              <w:t>供应商提供的</w:t>
            </w:r>
            <w:r>
              <w:rPr>
                <w:rFonts w:hint="eastAsia" w:ascii="宋体" w:hAnsi="宋体" w:cs="宋体"/>
                <w:color w:val="auto"/>
                <w:szCs w:val="21"/>
                <w:highlight w:val="none"/>
              </w:rPr>
              <w:t>管理制度</w:t>
            </w:r>
            <w:r>
              <w:rPr>
                <w:rFonts w:hint="eastAsia" w:ascii="宋体" w:hAnsi="宋体" w:cs="宋体"/>
                <w:color w:val="auto"/>
                <w:szCs w:val="21"/>
                <w:highlight w:val="none"/>
                <w:lang w:eastAsia="zh-CN"/>
              </w:rPr>
              <w:t>合理</w:t>
            </w:r>
            <w:r>
              <w:rPr>
                <w:rFonts w:hint="eastAsia"/>
                <w:color w:val="auto"/>
                <w:highlight w:val="none"/>
                <w:lang w:eastAsia="zh-CN"/>
              </w:rPr>
              <w:t>，</w:t>
            </w:r>
            <w:r>
              <w:rPr>
                <w:rFonts w:hint="eastAsia" w:ascii="宋体" w:hAnsi="宋体" w:cs="宋体"/>
                <w:color w:val="auto"/>
                <w:szCs w:val="21"/>
                <w:highlight w:val="none"/>
                <w:lang w:eastAsia="zh-CN"/>
              </w:rPr>
              <w:t>但</w:t>
            </w:r>
            <w:r>
              <w:rPr>
                <w:rFonts w:hint="eastAsia" w:ascii="宋体" w:hAnsi="宋体" w:cs="宋体"/>
                <w:bCs/>
                <w:color w:val="auto"/>
                <w:szCs w:val="21"/>
                <w:highlight w:val="none"/>
              </w:rPr>
              <w:t>内容简略，未展开阐述</w:t>
            </w:r>
            <w:r>
              <w:rPr>
                <w:rFonts w:hint="eastAsia" w:ascii="宋体" w:hAnsi="宋体" w:cs="宋体"/>
                <w:color w:val="auto"/>
                <w:szCs w:val="21"/>
                <w:highlight w:val="none"/>
              </w:rPr>
              <w:t>；</w:t>
            </w:r>
          </w:p>
          <w:p w14:paraId="77580B1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二档（</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r>
              <w:rPr>
                <w:rFonts w:hint="eastAsia" w:ascii="宋体" w:hAnsi="宋体" w:cs="宋体"/>
                <w:color w:val="auto"/>
                <w:szCs w:val="21"/>
                <w:highlight w:val="none"/>
                <w:lang w:eastAsia="zh-CN"/>
              </w:rPr>
              <w:t>供应商提供的</w:t>
            </w:r>
            <w:r>
              <w:rPr>
                <w:rFonts w:hint="eastAsia" w:ascii="宋体" w:hAnsi="宋体" w:cs="宋体"/>
                <w:color w:val="auto"/>
                <w:szCs w:val="21"/>
                <w:highlight w:val="none"/>
              </w:rPr>
              <w:t>管理制度可行，能满足</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需求，对采购人现有的食堂工作有一定的理解，</w:t>
            </w:r>
            <w:r>
              <w:rPr>
                <w:rFonts w:hint="eastAsia" w:ascii="宋体" w:hAnsi="宋体" w:cs="宋体"/>
                <w:color w:val="auto"/>
                <w:szCs w:val="21"/>
                <w:highlight w:val="none"/>
                <w:lang w:eastAsia="zh-CN"/>
              </w:rPr>
              <w:t>提供</w:t>
            </w:r>
            <w:r>
              <w:rPr>
                <w:rFonts w:hint="eastAsia" w:ascii="宋体" w:hAnsi="宋体" w:cs="宋体"/>
                <w:color w:val="auto"/>
                <w:szCs w:val="21"/>
                <w:highlight w:val="none"/>
              </w:rPr>
              <w:t>食堂人员管理制度、质量检查制度等内容；</w:t>
            </w:r>
          </w:p>
          <w:p w14:paraId="06A08FB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三档（</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w:t>
            </w:r>
            <w:r>
              <w:rPr>
                <w:rFonts w:hint="eastAsia" w:ascii="宋体" w:hAnsi="宋体" w:cs="宋体"/>
                <w:color w:val="auto"/>
                <w:szCs w:val="21"/>
                <w:highlight w:val="none"/>
                <w:lang w:eastAsia="zh-CN"/>
              </w:rPr>
              <w:t>供应商提供的</w:t>
            </w:r>
            <w:r>
              <w:rPr>
                <w:rFonts w:hint="eastAsia" w:ascii="宋体" w:hAnsi="宋体" w:cs="宋体"/>
                <w:color w:val="auto"/>
                <w:szCs w:val="21"/>
                <w:highlight w:val="none"/>
              </w:rPr>
              <w:t>管理制度有可行性、有针对性，</w:t>
            </w:r>
            <w:r>
              <w:rPr>
                <w:rFonts w:hint="eastAsia" w:ascii="宋体" w:hAnsi="宋体" w:cs="宋体"/>
                <w:color w:val="auto"/>
                <w:szCs w:val="21"/>
                <w:highlight w:val="none"/>
                <w:lang w:eastAsia="zh-CN"/>
              </w:rPr>
              <w:t>已理解</w:t>
            </w:r>
            <w:r>
              <w:rPr>
                <w:rFonts w:hint="eastAsia" w:ascii="宋体" w:hAnsi="宋体" w:cs="宋体"/>
                <w:color w:val="auto"/>
                <w:szCs w:val="21"/>
                <w:highlight w:val="none"/>
              </w:rPr>
              <w:t>采购人现有的食堂</w:t>
            </w:r>
            <w:r>
              <w:rPr>
                <w:rFonts w:hint="eastAsia" w:ascii="宋体" w:hAnsi="宋体" w:cs="宋体"/>
                <w:color w:val="auto"/>
                <w:szCs w:val="21"/>
                <w:highlight w:val="none"/>
                <w:lang w:eastAsia="zh-CN"/>
              </w:rPr>
              <w:t>各项</w:t>
            </w:r>
            <w:r>
              <w:rPr>
                <w:rFonts w:hint="eastAsia" w:ascii="宋体" w:hAnsi="宋体" w:cs="宋体"/>
                <w:color w:val="auto"/>
                <w:szCs w:val="21"/>
                <w:highlight w:val="none"/>
              </w:rPr>
              <w:t>工作</w:t>
            </w:r>
            <w:r>
              <w:rPr>
                <w:rFonts w:hint="eastAsia" w:ascii="宋体" w:hAnsi="宋体" w:cs="宋体"/>
                <w:color w:val="auto"/>
                <w:szCs w:val="21"/>
                <w:highlight w:val="none"/>
                <w:lang w:eastAsia="zh-CN"/>
              </w:rPr>
              <w:t>流程</w:t>
            </w:r>
            <w:r>
              <w:rPr>
                <w:rFonts w:hint="eastAsia" w:ascii="宋体" w:hAnsi="宋体" w:cs="宋体"/>
                <w:color w:val="auto"/>
                <w:szCs w:val="21"/>
                <w:highlight w:val="none"/>
              </w:rPr>
              <w:t>，</w:t>
            </w:r>
            <w:r>
              <w:rPr>
                <w:rFonts w:hint="eastAsia" w:ascii="宋体" w:hAnsi="宋体" w:cs="宋体"/>
                <w:color w:val="auto"/>
                <w:szCs w:val="21"/>
                <w:highlight w:val="none"/>
                <w:lang w:eastAsia="zh-CN"/>
              </w:rPr>
              <w:t>并</w:t>
            </w:r>
            <w:r>
              <w:rPr>
                <w:rFonts w:hint="eastAsia" w:ascii="宋体" w:hAnsi="宋体" w:cs="宋体"/>
                <w:color w:val="auto"/>
                <w:szCs w:val="21"/>
                <w:highlight w:val="none"/>
              </w:rPr>
              <w:t>对采购人现有的食堂工作提出合理化建议，</w:t>
            </w:r>
            <w:r>
              <w:rPr>
                <w:rFonts w:hint="eastAsia" w:ascii="宋体" w:hAnsi="宋体" w:cs="宋体"/>
                <w:color w:val="auto"/>
                <w:szCs w:val="21"/>
                <w:highlight w:val="none"/>
                <w:lang w:eastAsia="zh-CN"/>
              </w:rPr>
              <w:t>提供</w:t>
            </w:r>
            <w:r>
              <w:rPr>
                <w:rFonts w:hint="eastAsia" w:ascii="宋体" w:hAnsi="宋体" w:cs="宋体"/>
                <w:color w:val="auto"/>
                <w:szCs w:val="21"/>
                <w:highlight w:val="none"/>
              </w:rPr>
              <w:t>食堂人员管理制度、质量检查制度等</w:t>
            </w:r>
            <w:r>
              <w:rPr>
                <w:rFonts w:hint="eastAsia" w:ascii="宋体" w:hAnsi="宋体" w:cs="宋体"/>
                <w:color w:val="auto"/>
                <w:szCs w:val="21"/>
                <w:highlight w:val="none"/>
                <w:lang w:eastAsia="zh-CN"/>
              </w:rPr>
              <w:t>内容</w:t>
            </w:r>
            <w:r>
              <w:rPr>
                <w:rFonts w:hint="eastAsia" w:ascii="宋体" w:hAnsi="宋体" w:cs="宋体"/>
                <w:color w:val="auto"/>
                <w:szCs w:val="21"/>
                <w:highlight w:val="none"/>
              </w:rPr>
              <w:t>。</w:t>
            </w:r>
          </w:p>
          <w:p w14:paraId="6D85D52A">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四</w:t>
            </w:r>
            <w:r>
              <w:rPr>
                <w:rFonts w:hint="eastAsia" w:ascii="宋体" w:hAnsi="宋体" w:cs="宋体"/>
                <w:color w:val="auto"/>
                <w:szCs w:val="21"/>
                <w:highlight w:val="none"/>
              </w:rPr>
              <w:t>档（</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分）：</w:t>
            </w:r>
            <w:r>
              <w:rPr>
                <w:rFonts w:hint="eastAsia" w:ascii="宋体" w:hAnsi="宋体" w:cs="宋体"/>
                <w:color w:val="auto"/>
                <w:szCs w:val="21"/>
                <w:highlight w:val="none"/>
                <w:lang w:eastAsia="zh-CN"/>
              </w:rPr>
              <w:t>供应商提供的</w:t>
            </w:r>
            <w:r>
              <w:rPr>
                <w:rFonts w:hint="eastAsia" w:ascii="宋体" w:hAnsi="宋体" w:cs="宋体"/>
                <w:color w:val="auto"/>
                <w:szCs w:val="21"/>
                <w:highlight w:val="none"/>
              </w:rPr>
              <w:t>管理制度</w:t>
            </w:r>
            <w:r>
              <w:rPr>
                <w:rFonts w:hint="eastAsia" w:ascii="宋体" w:hAnsi="宋体" w:cs="宋体"/>
                <w:color w:val="auto"/>
                <w:szCs w:val="21"/>
                <w:highlight w:val="none"/>
                <w:lang w:val="en-US" w:eastAsia="zh-CN"/>
              </w:rPr>
              <w:t>覆盖全面，能</w:t>
            </w:r>
            <w:r>
              <w:rPr>
                <w:rFonts w:hint="eastAsia" w:ascii="宋体" w:hAnsi="宋体" w:cs="宋体"/>
                <w:color w:val="auto"/>
                <w:szCs w:val="21"/>
                <w:highlight w:val="none"/>
              </w:rPr>
              <w:t>针对</w:t>
            </w:r>
            <w:r>
              <w:rPr>
                <w:rFonts w:hint="eastAsia" w:ascii="宋体" w:hAnsi="宋体" w:cs="宋体"/>
                <w:color w:val="auto"/>
                <w:szCs w:val="21"/>
                <w:highlight w:val="none"/>
                <w:lang w:val="en-US" w:eastAsia="zh-CN"/>
              </w:rPr>
              <w:t>采购人的采购需求制定</w:t>
            </w:r>
            <w:r>
              <w:rPr>
                <w:rFonts w:hint="eastAsia" w:ascii="宋体" w:hAnsi="宋体" w:cs="宋体"/>
                <w:color w:val="auto"/>
                <w:szCs w:val="21"/>
                <w:highlight w:val="none"/>
              </w:rPr>
              <w:t>，</w:t>
            </w:r>
            <w:r>
              <w:rPr>
                <w:rFonts w:hint="eastAsia" w:ascii="宋体" w:hAnsi="宋体" w:cs="宋体"/>
                <w:color w:val="auto"/>
                <w:szCs w:val="21"/>
                <w:highlight w:val="none"/>
                <w:lang w:eastAsia="zh-CN"/>
              </w:rPr>
              <w:t>已理解</w:t>
            </w:r>
            <w:r>
              <w:rPr>
                <w:rFonts w:hint="eastAsia" w:ascii="宋体" w:hAnsi="宋体" w:cs="宋体"/>
                <w:color w:val="auto"/>
                <w:szCs w:val="21"/>
                <w:highlight w:val="none"/>
              </w:rPr>
              <w:t>采购人现有的食堂</w:t>
            </w:r>
            <w:r>
              <w:rPr>
                <w:rFonts w:hint="eastAsia" w:ascii="宋体" w:hAnsi="宋体" w:cs="宋体"/>
                <w:color w:val="auto"/>
                <w:szCs w:val="21"/>
                <w:highlight w:val="none"/>
                <w:lang w:eastAsia="zh-CN"/>
              </w:rPr>
              <w:t>各项</w:t>
            </w:r>
            <w:r>
              <w:rPr>
                <w:rFonts w:hint="eastAsia" w:ascii="宋体" w:hAnsi="宋体" w:cs="宋体"/>
                <w:color w:val="auto"/>
                <w:szCs w:val="21"/>
                <w:highlight w:val="none"/>
              </w:rPr>
              <w:t>工作</w:t>
            </w:r>
            <w:r>
              <w:rPr>
                <w:rFonts w:hint="eastAsia" w:ascii="宋体" w:hAnsi="宋体" w:cs="宋体"/>
                <w:color w:val="auto"/>
                <w:szCs w:val="21"/>
                <w:highlight w:val="none"/>
                <w:lang w:eastAsia="zh-CN"/>
              </w:rPr>
              <w:t>流程</w:t>
            </w:r>
            <w:r>
              <w:rPr>
                <w:rFonts w:hint="eastAsia" w:ascii="宋体" w:hAnsi="宋体" w:cs="宋体"/>
                <w:color w:val="auto"/>
                <w:szCs w:val="21"/>
                <w:highlight w:val="none"/>
              </w:rPr>
              <w:t>，</w:t>
            </w:r>
            <w:r>
              <w:rPr>
                <w:rFonts w:hint="eastAsia" w:ascii="宋体" w:hAnsi="宋体" w:cs="宋体"/>
                <w:color w:val="auto"/>
                <w:szCs w:val="21"/>
                <w:highlight w:val="none"/>
                <w:lang w:eastAsia="zh-CN"/>
              </w:rPr>
              <w:t>并</w:t>
            </w:r>
            <w:r>
              <w:rPr>
                <w:rFonts w:hint="eastAsia" w:ascii="宋体" w:hAnsi="宋体" w:cs="宋体"/>
                <w:color w:val="auto"/>
                <w:szCs w:val="21"/>
                <w:highlight w:val="none"/>
              </w:rPr>
              <w:t>对采购人现有的食堂工作提出</w:t>
            </w:r>
            <w:r>
              <w:rPr>
                <w:rFonts w:hint="eastAsia" w:ascii="宋体" w:hAnsi="宋体" w:cs="宋体"/>
                <w:color w:val="auto"/>
                <w:szCs w:val="21"/>
                <w:highlight w:val="none"/>
                <w:lang w:val="en-US" w:eastAsia="zh-CN"/>
              </w:rPr>
              <w:t>详细</w:t>
            </w:r>
            <w:r>
              <w:rPr>
                <w:rFonts w:hint="eastAsia" w:ascii="宋体" w:hAnsi="宋体" w:cs="宋体"/>
                <w:color w:val="auto"/>
                <w:szCs w:val="21"/>
                <w:highlight w:val="none"/>
              </w:rPr>
              <w:t>合理化建议</w:t>
            </w:r>
            <w:r>
              <w:rPr>
                <w:rFonts w:hint="eastAsia" w:ascii="宋体" w:hAnsi="宋体" w:cs="宋体"/>
                <w:color w:val="auto"/>
                <w:szCs w:val="21"/>
                <w:highlight w:val="none"/>
                <w:lang w:val="en-US" w:eastAsia="zh-CN"/>
              </w:rPr>
              <w:t>；</w:t>
            </w:r>
            <w:r>
              <w:rPr>
                <w:rFonts w:hint="eastAsia" w:ascii="宋体" w:hAnsi="宋体" w:cs="宋体"/>
                <w:color w:val="auto"/>
                <w:szCs w:val="21"/>
                <w:highlight w:val="none"/>
                <w:lang w:eastAsia="zh-CN"/>
              </w:rPr>
              <w:t>提供</w:t>
            </w:r>
            <w:r>
              <w:rPr>
                <w:rFonts w:hint="eastAsia" w:ascii="宋体" w:hAnsi="宋体" w:cs="宋体"/>
                <w:color w:val="auto"/>
                <w:szCs w:val="21"/>
                <w:highlight w:val="none"/>
              </w:rPr>
              <w:t>食堂人员管理</w:t>
            </w:r>
            <w:r>
              <w:rPr>
                <w:rFonts w:hint="eastAsia" w:ascii="宋体" w:hAnsi="宋体" w:cs="宋体"/>
                <w:color w:val="auto"/>
                <w:szCs w:val="21"/>
                <w:highlight w:val="none"/>
                <w:lang w:val="en-US" w:eastAsia="zh-CN"/>
              </w:rPr>
              <w:t>、人员食品安全意识培训</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食品加工流程、</w:t>
            </w:r>
            <w:r>
              <w:rPr>
                <w:rFonts w:hint="eastAsia" w:ascii="宋体" w:hAnsi="宋体" w:cs="宋体"/>
                <w:color w:val="auto"/>
                <w:szCs w:val="21"/>
                <w:highlight w:val="none"/>
              </w:rPr>
              <w:t>质量</w:t>
            </w:r>
            <w:r>
              <w:rPr>
                <w:rFonts w:hint="eastAsia" w:ascii="宋体" w:hAnsi="宋体" w:cs="宋体"/>
                <w:color w:val="auto"/>
                <w:szCs w:val="21"/>
                <w:highlight w:val="none"/>
                <w:lang w:val="en-US" w:eastAsia="zh-CN"/>
              </w:rPr>
              <w:t>标准</w:t>
            </w:r>
            <w:r>
              <w:rPr>
                <w:rFonts w:hint="eastAsia" w:ascii="宋体" w:hAnsi="宋体" w:eastAsia="宋体" w:cs="宋体"/>
                <w:color w:val="auto"/>
                <w:kern w:val="0"/>
                <w:sz w:val="21"/>
                <w:highlight w:val="none"/>
                <w:lang w:val="en-US" w:eastAsia="zh-CN"/>
              </w:rPr>
              <w:t>等针对性制度</w:t>
            </w:r>
            <w:r>
              <w:rPr>
                <w:rFonts w:hint="eastAsia" w:ascii="宋体" w:hAnsi="宋体" w:cs="宋体"/>
                <w:color w:val="auto"/>
                <w:szCs w:val="21"/>
                <w:highlight w:val="none"/>
              </w:rPr>
              <w:t>。</w:t>
            </w:r>
            <w:r>
              <w:rPr>
                <w:rFonts w:hint="eastAsia" w:ascii="宋体" w:hAnsi="宋体" w:cs="宋体"/>
                <w:color w:val="auto"/>
                <w:szCs w:val="21"/>
                <w:highlight w:val="none"/>
                <w:lang w:eastAsia="zh-CN"/>
              </w:rPr>
              <w:t>各项</w:t>
            </w:r>
            <w:r>
              <w:rPr>
                <w:rFonts w:hint="eastAsia" w:ascii="宋体" w:hAnsi="宋体" w:cs="宋体"/>
                <w:color w:val="auto"/>
                <w:szCs w:val="21"/>
                <w:highlight w:val="none"/>
                <w:lang w:val="en-US" w:eastAsia="zh-CN"/>
              </w:rPr>
              <w:t>制度</w:t>
            </w:r>
            <w:r>
              <w:rPr>
                <w:rFonts w:hint="eastAsia" w:ascii="宋体" w:hAnsi="宋体" w:eastAsia="宋体" w:cs="宋体"/>
                <w:color w:val="auto"/>
                <w:kern w:val="0"/>
                <w:sz w:val="21"/>
                <w:highlight w:val="none"/>
                <w:lang w:val="en-US" w:eastAsia="zh-CN"/>
              </w:rPr>
              <w:t>考虑周全、完善，预防及处理措施科学、合理。</w:t>
            </w:r>
          </w:p>
        </w:tc>
        <w:tc>
          <w:tcPr>
            <w:tcW w:w="595" w:type="pct"/>
            <w:noWrap w:val="0"/>
            <w:vAlign w:val="center"/>
          </w:tcPr>
          <w:p w14:paraId="1E01AA80">
            <w:pPr>
              <w:keepNext w:val="0"/>
              <w:keepLines w:val="0"/>
              <w:pageBreakBefore w:val="0"/>
              <w:tabs>
                <w:tab w:val="left" w:pos="180"/>
                <w:tab w:val="left" w:pos="1620"/>
              </w:tabs>
              <w:kinsoku/>
              <w:wordWrap/>
              <w:overflowPunct/>
              <w:topLinePunct w:val="0"/>
              <w:autoSpaceDE/>
              <w:autoSpaceDN/>
              <w:bidi w:val="0"/>
              <w:spacing w:line="360" w:lineRule="auto"/>
              <w:rPr>
                <w:rFonts w:hint="eastAsia" w:asciiTheme="minorEastAsia" w:hAnsiTheme="minorEastAsia" w:eastAsiaTheme="minorEastAsia" w:cstheme="minorEastAsia"/>
                <w:bCs/>
                <w:color w:val="auto"/>
                <w:kern w:val="2"/>
                <w:sz w:val="21"/>
                <w:szCs w:val="21"/>
                <w:highlight w:val="none"/>
              </w:rPr>
            </w:pPr>
            <w:r>
              <w:rPr>
                <w:rFonts w:hint="eastAsia" w:ascii="宋体" w:hAnsi="宋体" w:cs="宋体"/>
                <w:color w:val="auto"/>
                <w:szCs w:val="21"/>
                <w:highlight w:val="none"/>
              </w:rPr>
              <w:t>满分</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分</w:t>
            </w:r>
          </w:p>
        </w:tc>
      </w:tr>
      <w:tr w14:paraId="00975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0" w:type="pct"/>
            <w:tcBorders>
              <w:left w:val="single" w:color="auto" w:sz="4" w:space="0"/>
              <w:bottom w:val="single" w:color="auto" w:sz="4" w:space="0"/>
            </w:tcBorders>
            <w:noWrap w:val="0"/>
            <w:vAlign w:val="center"/>
          </w:tcPr>
          <w:p w14:paraId="5385B949">
            <w:pPr>
              <w:keepNext w:val="0"/>
              <w:keepLines w:val="0"/>
              <w:pageBreakBefore w:val="0"/>
              <w:tabs>
                <w:tab w:val="left" w:pos="180"/>
                <w:tab w:val="left" w:pos="1620"/>
              </w:tabs>
              <w:kinsoku/>
              <w:wordWrap/>
              <w:overflowPunct/>
              <w:topLinePunct w:val="0"/>
              <w:autoSpaceDE/>
              <w:autoSpaceDN/>
              <w:bidi w:val="0"/>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4679" w:type="pct"/>
            <w:gridSpan w:val="3"/>
            <w:tcBorders>
              <w:bottom w:val="single" w:color="auto" w:sz="4" w:space="0"/>
            </w:tcBorders>
            <w:noWrap w:val="0"/>
            <w:vAlign w:val="center"/>
          </w:tcPr>
          <w:p w14:paraId="62534708">
            <w:pPr>
              <w:keepNext w:val="0"/>
              <w:keepLines w:val="0"/>
              <w:pageBreakBefore w:val="0"/>
              <w:tabs>
                <w:tab w:val="left" w:pos="180"/>
                <w:tab w:val="left" w:pos="1620"/>
              </w:tabs>
              <w:kinsoku/>
              <w:wordWrap/>
              <w:overflowPunct/>
              <w:topLinePunct w:val="0"/>
              <w:autoSpaceDE/>
              <w:autoSpaceDN/>
              <w:bidi w:val="0"/>
              <w:spacing w:line="360" w:lineRule="auto"/>
              <w:jc w:val="center"/>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商务</w:t>
            </w:r>
            <w:r>
              <w:rPr>
                <w:rFonts w:hint="eastAsia" w:asciiTheme="minorEastAsia" w:hAnsiTheme="minorEastAsia" w:eastAsiaTheme="minorEastAsia" w:cstheme="minorEastAsia"/>
                <w:color w:val="auto"/>
                <w:sz w:val="21"/>
                <w:szCs w:val="21"/>
                <w:highlight w:val="none"/>
                <w:lang w:val="en-US" w:eastAsia="zh-CN"/>
              </w:rPr>
              <w:t>分</w:t>
            </w:r>
            <w:r>
              <w:rPr>
                <w:rFonts w:hint="eastAsia" w:asciiTheme="minorEastAsia" w:hAnsiTheme="minorEastAsia" w:eastAsiaTheme="minorEastAsia" w:cstheme="minorEastAsia"/>
                <w:color w:val="auto"/>
                <w:sz w:val="21"/>
                <w:szCs w:val="21"/>
                <w:highlight w:val="none"/>
              </w:rPr>
              <w:t>（满分</w:t>
            </w:r>
            <w:r>
              <w:rPr>
                <w:rFonts w:hint="eastAsia" w:asciiTheme="minorEastAsia" w:hAnsiTheme="minorEastAsia" w:eastAsiaTheme="minorEastAsia" w:cstheme="minorEastAsia"/>
                <w:color w:val="auto"/>
                <w:sz w:val="21"/>
                <w:szCs w:val="21"/>
                <w:highlight w:val="none"/>
                <w:lang w:val="en-US" w:eastAsia="zh-CN"/>
              </w:rPr>
              <w:t>14</w:t>
            </w:r>
            <w:r>
              <w:rPr>
                <w:rFonts w:hint="eastAsia" w:asciiTheme="minorEastAsia" w:hAnsiTheme="minorEastAsia" w:eastAsiaTheme="minorEastAsia" w:cstheme="minorEastAsia"/>
                <w:color w:val="auto"/>
                <w:sz w:val="21"/>
                <w:szCs w:val="21"/>
                <w:highlight w:val="none"/>
              </w:rPr>
              <w:t>分）</w:t>
            </w:r>
          </w:p>
        </w:tc>
      </w:tr>
      <w:tr w14:paraId="7F3A5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0" w:type="pct"/>
            <w:tcBorders>
              <w:left w:val="single" w:color="auto" w:sz="4" w:space="0"/>
              <w:bottom w:val="single" w:color="auto" w:sz="4" w:space="0"/>
            </w:tcBorders>
            <w:noWrap w:val="0"/>
            <w:vAlign w:val="center"/>
          </w:tcPr>
          <w:p w14:paraId="6350A918">
            <w:pPr>
              <w:keepNext w:val="0"/>
              <w:keepLines w:val="0"/>
              <w:pageBreakBefore w:val="0"/>
              <w:tabs>
                <w:tab w:val="left" w:pos="180"/>
                <w:tab w:val="left" w:pos="1620"/>
              </w:tabs>
              <w:kinsoku/>
              <w:wordWrap/>
              <w:overflowPunct/>
              <w:topLinePunct w:val="0"/>
              <w:autoSpaceDE/>
              <w:autoSpaceDN/>
              <w:bidi w:val="0"/>
              <w:spacing w:line="360" w:lineRule="auto"/>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3.1</w:t>
            </w:r>
          </w:p>
        </w:tc>
        <w:tc>
          <w:tcPr>
            <w:tcW w:w="599" w:type="pct"/>
            <w:tcBorders>
              <w:bottom w:val="single" w:color="auto" w:sz="4" w:space="0"/>
            </w:tcBorders>
            <w:noWrap w:val="0"/>
            <w:vAlign w:val="center"/>
          </w:tcPr>
          <w:p w14:paraId="131CE875">
            <w:pPr>
              <w:keepNext w:val="0"/>
              <w:keepLines w:val="0"/>
              <w:pageBreakBefore w:val="0"/>
              <w:tabs>
                <w:tab w:val="left" w:pos="180"/>
                <w:tab w:val="left" w:pos="1620"/>
              </w:tabs>
              <w:kinsoku/>
              <w:wordWrap/>
              <w:overflowPunct/>
              <w:topLinePunct w:val="0"/>
              <w:autoSpaceDE/>
              <w:autoSpaceDN/>
              <w:bidi w:val="0"/>
              <w:spacing w:line="360" w:lineRule="auto"/>
              <w:jc w:val="center"/>
              <w:rPr>
                <w:rFonts w:hint="eastAsia" w:eastAsia="宋体" w:asciiTheme="minorEastAsia" w:hAnsiTheme="minorEastAsia" w:cstheme="minorEastAsia"/>
                <w:color w:val="auto"/>
                <w:sz w:val="21"/>
                <w:szCs w:val="21"/>
                <w:highlight w:val="none"/>
                <w:lang w:val="en-US" w:eastAsia="zh-CN"/>
              </w:rPr>
            </w:pPr>
            <w:r>
              <w:rPr>
                <w:rFonts w:hint="eastAsia" w:ascii="宋体" w:hAnsi="宋体" w:cs="宋体"/>
                <w:color w:val="auto"/>
                <w:szCs w:val="21"/>
                <w:highlight w:val="none"/>
              </w:rPr>
              <w:t>业绩</w:t>
            </w:r>
            <w:r>
              <w:rPr>
                <w:rFonts w:hint="eastAsia" w:ascii="宋体" w:hAnsi="宋体" w:cs="宋体"/>
                <w:color w:val="auto"/>
                <w:szCs w:val="21"/>
                <w:highlight w:val="none"/>
                <w:lang w:val="en-US" w:eastAsia="zh-CN"/>
              </w:rPr>
              <w:t>分（</w:t>
            </w:r>
            <w:r>
              <w:rPr>
                <w:rFonts w:hint="eastAsia" w:ascii="宋体" w:hAnsi="宋体"/>
                <w:bCs/>
                <w:color w:val="auto"/>
                <w:szCs w:val="21"/>
                <w:highlight w:val="none"/>
              </w:rPr>
              <w:t>客观分</w:t>
            </w:r>
            <w:r>
              <w:rPr>
                <w:rFonts w:hint="eastAsia" w:ascii="宋体" w:hAnsi="宋体" w:cs="宋体"/>
                <w:color w:val="auto"/>
                <w:szCs w:val="21"/>
                <w:highlight w:val="none"/>
                <w:lang w:val="en-US" w:eastAsia="zh-CN"/>
              </w:rPr>
              <w:t>）</w:t>
            </w:r>
          </w:p>
        </w:tc>
        <w:tc>
          <w:tcPr>
            <w:tcW w:w="3485" w:type="pct"/>
            <w:tcBorders>
              <w:bottom w:val="single" w:color="auto" w:sz="4" w:space="0"/>
            </w:tcBorders>
            <w:noWrap w:val="0"/>
            <w:vAlign w:val="center"/>
          </w:tcPr>
          <w:p w14:paraId="1F61F603">
            <w:pPr>
              <w:numPr>
                <w:ilvl w:val="0"/>
                <w:numId w:val="0"/>
              </w:numPr>
              <w:spacing w:line="360" w:lineRule="auto"/>
              <w:ind w:firstLine="420" w:firstLineChars="200"/>
              <w:rPr>
                <w:rFonts w:hint="eastAsia"/>
                <w:color w:val="auto"/>
                <w:highlight w:val="none"/>
              </w:rPr>
            </w:pP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自2023年</w:t>
            </w:r>
            <w:r>
              <w:rPr>
                <w:rFonts w:hint="eastAsia" w:ascii="宋体" w:hAnsi="宋体" w:eastAsia="宋体" w:cs="宋体"/>
                <w:color w:val="auto"/>
                <w:szCs w:val="21"/>
                <w:highlight w:val="none"/>
                <w:lang w:val="en-US" w:eastAsia="zh-CN"/>
              </w:rPr>
              <w:t>1月1日</w:t>
            </w:r>
            <w:r>
              <w:rPr>
                <w:rFonts w:hint="eastAsia" w:ascii="宋体" w:hAnsi="宋体" w:eastAsia="宋体" w:cs="宋体"/>
                <w:color w:val="auto"/>
                <w:szCs w:val="21"/>
                <w:highlight w:val="none"/>
              </w:rPr>
              <w:t>以来，</w:t>
            </w:r>
            <w:r>
              <w:rPr>
                <w:rFonts w:hint="eastAsia" w:ascii="宋体" w:hAnsi="宋体" w:eastAsia="宋体" w:cs="宋体"/>
                <w:color w:val="auto"/>
                <w:szCs w:val="21"/>
                <w:highlight w:val="none"/>
                <w:lang w:val="en-US" w:eastAsia="zh-CN"/>
              </w:rPr>
              <w:t>承接</w:t>
            </w:r>
            <w:r>
              <w:rPr>
                <w:rFonts w:hint="eastAsia" w:ascii="宋体" w:hAnsi="宋体" w:eastAsia="宋体" w:cs="宋体"/>
                <w:color w:val="auto"/>
                <w:szCs w:val="21"/>
                <w:highlight w:val="none"/>
              </w:rPr>
              <w:t>过</w:t>
            </w:r>
            <w:r>
              <w:rPr>
                <w:rFonts w:hint="eastAsia" w:ascii="宋体" w:hAnsi="宋体" w:eastAsia="宋体" w:cs="宋体"/>
                <w:color w:val="auto"/>
                <w:szCs w:val="21"/>
                <w:highlight w:val="none"/>
                <w:lang w:val="en-US" w:eastAsia="zh-CN"/>
              </w:rPr>
              <w:t>类似</w:t>
            </w:r>
            <w:r>
              <w:rPr>
                <w:rFonts w:hint="eastAsia" w:ascii="宋体" w:hAnsi="宋体" w:eastAsia="宋体" w:cs="宋体"/>
                <w:color w:val="auto"/>
                <w:szCs w:val="21"/>
                <w:highlight w:val="none"/>
              </w:rPr>
              <w:t>项目的业绩，每</w:t>
            </w:r>
            <w:r>
              <w:rPr>
                <w:rFonts w:hint="eastAsia" w:ascii="宋体" w:hAnsi="宋体" w:eastAsia="宋体" w:cs="宋体"/>
                <w:color w:val="auto"/>
                <w:szCs w:val="21"/>
                <w:highlight w:val="none"/>
                <w:lang w:val="en-US" w:eastAsia="zh-CN"/>
              </w:rPr>
              <w:t>个业绩得4</w:t>
            </w:r>
            <w:r>
              <w:rPr>
                <w:rFonts w:hint="eastAsia" w:ascii="宋体" w:hAnsi="宋体" w:eastAsia="宋体" w:cs="宋体"/>
                <w:color w:val="auto"/>
                <w:szCs w:val="21"/>
                <w:highlight w:val="none"/>
              </w:rPr>
              <w:t>分，满分</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val="en-US" w:eastAsia="zh-CN"/>
              </w:rPr>
              <w:t>须</w:t>
            </w:r>
            <w:r>
              <w:rPr>
                <w:rFonts w:hint="eastAsia" w:ascii="宋体" w:hAnsi="宋体" w:eastAsia="宋体" w:cs="宋体"/>
                <w:color w:val="auto"/>
                <w:szCs w:val="21"/>
                <w:highlight w:val="none"/>
              </w:rPr>
              <w:t>提供业绩合同或中标（成交）通知书复印件加盖</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公章，不提供的不得分</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rPr>
              <w:t>同一项目续约不重复计分</w:t>
            </w:r>
            <w:r>
              <w:rPr>
                <w:rFonts w:hint="eastAsia" w:ascii="宋体" w:hAnsi="宋体" w:eastAsia="宋体" w:cs="宋体"/>
                <w:color w:val="auto"/>
                <w:szCs w:val="21"/>
                <w:highlight w:val="none"/>
              </w:rPr>
              <w:t>。）</w:t>
            </w:r>
          </w:p>
        </w:tc>
        <w:tc>
          <w:tcPr>
            <w:tcW w:w="595" w:type="pct"/>
            <w:tcBorders>
              <w:bottom w:val="single" w:color="auto" w:sz="4" w:space="0"/>
            </w:tcBorders>
            <w:noWrap w:val="0"/>
            <w:vAlign w:val="center"/>
          </w:tcPr>
          <w:p w14:paraId="0AB99654">
            <w:pPr>
              <w:pStyle w:val="79"/>
              <w:keepNext w:val="0"/>
              <w:keepLines w:val="0"/>
              <w:pageBreakBefore w:val="0"/>
              <w:kinsoku/>
              <w:wordWrap/>
              <w:overflowPunct/>
              <w:topLinePunct w:val="0"/>
              <w:autoSpaceDE/>
              <w:autoSpaceDN/>
              <w:bidi w:val="0"/>
              <w:spacing w:line="360" w:lineRule="auto"/>
              <w:ind w:firstLine="0" w:firstLineChars="0"/>
              <w:jc w:val="center"/>
              <w:textAlignment w:val="baseline"/>
              <w:rPr>
                <w:rFonts w:hint="eastAsia" w:asciiTheme="minorEastAsia" w:hAnsiTheme="minorEastAsia" w:eastAsiaTheme="minorEastAsia" w:cstheme="minorEastAsia"/>
                <w:bCs/>
                <w:color w:val="auto"/>
                <w:kern w:val="0"/>
                <w:sz w:val="21"/>
                <w:szCs w:val="21"/>
                <w:highlight w:val="none"/>
              </w:rPr>
            </w:pPr>
            <w:r>
              <w:rPr>
                <w:rFonts w:hint="eastAsia" w:ascii="宋体" w:hAnsi="宋体" w:eastAsia="宋体" w:cs="宋体"/>
                <w:color w:val="auto"/>
                <w:szCs w:val="21"/>
                <w:highlight w:val="none"/>
              </w:rPr>
              <w:t>满分</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分</w:t>
            </w:r>
          </w:p>
        </w:tc>
      </w:tr>
      <w:tr w14:paraId="1A5D5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320" w:type="pct"/>
            <w:tcBorders>
              <w:left w:val="single" w:color="auto" w:sz="4" w:space="0"/>
              <w:bottom w:val="single" w:color="auto" w:sz="4" w:space="0"/>
            </w:tcBorders>
            <w:noWrap w:val="0"/>
            <w:vAlign w:val="center"/>
          </w:tcPr>
          <w:p w14:paraId="622CE657">
            <w:pPr>
              <w:keepNext w:val="0"/>
              <w:keepLines w:val="0"/>
              <w:pageBreakBefore w:val="0"/>
              <w:tabs>
                <w:tab w:val="left" w:pos="180"/>
                <w:tab w:val="left" w:pos="1620"/>
              </w:tabs>
              <w:kinsoku/>
              <w:wordWrap/>
              <w:overflowPunct/>
              <w:topLinePunct w:val="0"/>
              <w:autoSpaceDE/>
              <w:autoSpaceDN/>
              <w:bidi w:val="0"/>
              <w:spacing w:line="360" w:lineRule="auto"/>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3.2</w:t>
            </w:r>
          </w:p>
        </w:tc>
        <w:tc>
          <w:tcPr>
            <w:tcW w:w="599" w:type="pct"/>
            <w:tcBorders>
              <w:bottom w:val="single" w:color="auto" w:sz="4" w:space="0"/>
            </w:tcBorders>
            <w:noWrap w:val="0"/>
            <w:vAlign w:val="center"/>
          </w:tcPr>
          <w:p w14:paraId="0C269D9D">
            <w:pPr>
              <w:keepNext w:val="0"/>
              <w:keepLines w:val="0"/>
              <w:pageBreakBefore w:val="0"/>
              <w:widowControl w:val="0"/>
              <w:kinsoku/>
              <w:wordWrap/>
              <w:overflowPunct/>
              <w:topLinePunct w:val="0"/>
              <w:bidi w:val="0"/>
              <w:spacing w:line="360" w:lineRule="auto"/>
              <w:jc w:val="center"/>
              <w:rPr>
                <w:rFonts w:hint="default" w:ascii="宋体" w:hAnsi="宋体" w:eastAsia="宋体" w:cs="宋体"/>
                <w:bCs/>
                <w:color w:val="auto"/>
                <w:sz w:val="21"/>
                <w:highlight w:val="none"/>
                <w:lang w:val="en-US" w:eastAsia="zh-CN"/>
              </w:rPr>
            </w:pPr>
            <w:r>
              <w:rPr>
                <w:rFonts w:hint="eastAsia" w:hAnsi="宋体" w:eastAsia="宋体" w:cs="宋体"/>
                <w:bCs/>
                <w:color w:val="auto"/>
                <w:sz w:val="21"/>
                <w:highlight w:val="none"/>
                <w:lang w:val="en-US" w:eastAsia="zh-CN"/>
              </w:rPr>
              <w:t>无食品安全事故承诺分</w:t>
            </w:r>
            <w:r>
              <w:rPr>
                <w:rFonts w:hint="eastAsia" w:ascii="宋体" w:hAnsi="宋体" w:cs="宋体"/>
                <w:color w:val="auto"/>
                <w:szCs w:val="21"/>
                <w:highlight w:val="none"/>
                <w:lang w:val="en-US" w:eastAsia="zh-CN"/>
              </w:rPr>
              <w:t>（</w:t>
            </w:r>
            <w:r>
              <w:rPr>
                <w:rFonts w:hint="eastAsia" w:ascii="宋体" w:hAnsi="宋体"/>
                <w:bCs/>
                <w:color w:val="auto"/>
                <w:szCs w:val="21"/>
                <w:highlight w:val="none"/>
              </w:rPr>
              <w:t>客观分</w:t>
            </w:r>
            <w:r>
              <w:rPr>
                <w:rFonts w:hint="eastAsia" w:ascii="宋体" w:hAnsi="宋体" w:cs="宋体"/>
                <w:color w:val="auto"/>
                <w:szCs w:val="21"/>
                <w:highlight w:val="none"/>
                <w:lang w:val="en-US" w:eastAsia="zh-CN"/>
              </w:rPr>
              <w:t>）</w:t>
            </w:r>
          </w:p>
          <w:p w14:paraId="1EAC35A3">
            <w:pPr>
              <w:keepNext w:val="0"/>
              <w:keepLines w:val="0"/>
              <w:pageBreakBefore w:val="0"/>
              <w:tabs>
                <w:tab w:val="left" w:pos="180"/>
                <w:tab w:val="left" w:pos="1620"/>
              </w:tabs>
              <w:kinsoku/>
              <w:wordWrap/>
              <w:overflowPunct/>
              <w:topLinePunct w:val="0"/>
              <w:autoSpaceDE/>
              <w:autoSpaceDN/>
              <w:bidi w:val="0"/>
              <w:spacing w:line="360" w:lineRule="auto"/>
              <w:jc w:val="center"/>
              <w:rPr>
                <w:rFonts w:hint="eastAsia" w:asciiTheme="minorEastAsia" w:hAnsiTheme="minorEastAsia" w:eastAsiaTheme="minorEastAsia" w:cstheme="minorEastAsia"/>
                <w:color w:val="auto"/>
                <w:sz w:val="21"/>
                <w:szCs w:val="21"/>
                <w:highlight w:val="none"/>
              </w:rPr>
            </w:pPr>
          </w:p>
        </w:tc>
        <w:tc>
          <w:tcPr>
            <w:tcW w:w="3485" w:type="pct"/>
            <w:tcBorders>
              <w:bottom w:val="single" w:color="auto" w:sz="4" w:space="0"/>
            </w:tcBorders>
            <w:noWrap w:val="0"/>
            <w:vAlign w:val="center"/>
          </w:tcPr>
          <w:p w14:paraId="1BB9F303">
            <w:pPr>
              <w:pStyle w:val="38"/>
              <w:keepNext w:val="0"/>
              <w:keepLines w:val="0"/>
              <w:pageBreakBefore w:val="0"/>
              <w:widowControl w:val="0"/>
              <w:kinsoku/>
              <w:wordWrap/>
              <w:overflowPunct/>
              <w:topLinePunct w:val="0"/>
              <w:bidi w:val="0"/>
              <w:spacing w:line="360" w:lineRule="auto"/>
              <w:ind w:firstLine="420"/>
              <w:jc w:val="both"/>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szCs w:val="21"/>
                <w:highlight w:val="none"/>
                <w:lang w:val="en-US" w:eastAsia="zh-CN"/>
              </w:rPr>
              <w:t>供应商</w:t>
            </w:r>
            <w:r>
              <w:rPr>
                <w:rFonts w:hint="eastAsia" w:ascii="宋体" w:hAnsi="宋体" w:eastAsia="宋体" w:cs="宋体"/>
                <w:b w:val="0"/>
                <w:bCs w:val="0"/>
                <w:color w:val="auto"/>
                <w:kern w:val="2"/>
                <w:sz w:val="21"/>
                <w:szCs w:val="21"/>
                <w:highlight w:val="none"/>
              </w:rPr>
              <w:t>自成立以来无食品安全事故</w:t>
            </w:r>
            <w:r>
              <w:rPr>
                <w:rFonts w:hint="eastAsia" w:ascii="宋体" w:hAnsi="宋体" w:eastAsia="宋体" w:cs="宋体"/>
                <w:b w:val="0"/>
                <w:bCs w:val="0"/>
                <w:color w:val="auto"/>
                <w:kern w:val="2"/>
                <w:sz w:val="21"/>
                <w:szCs w:val="21"/>
                <w:highlight w:val="none"/>
                <w:lang w:eastAsia="zh-CN"/>
              </w:rPr>
              <w:t>的</w:t>
            </w:r>
            <w:r>
              <w:rPr>
                <w:rFonts w:hint="eastAsia" w:ascii="宋体" w:hAnsi="宋体" w:eastAsia="宋体" w:cs="宋体"/>
                <w:b w:val="0"/>
                <w:bCs w:val="0"/>
                <w:color w:val="auto"/>
                <w:kern w:val="2"/>
                <w:sz w:val="21"/>
                <w:szCs w:val="21"/>
                <w:highlight w:val="none"/>
              </w:rPr>
              <w:t>，得</w:t>
            </w:r>
            <w:r>
              <w:rPr>
                <w:rFonts w:hint="eastAsia" w:ascii="宋体" w:hAnsi="宋体" w:eastAsia="宋体" w:cs="宋体"/>
                <w:b w:val="0"/>
                <w:bCs w:val="0"/>
                <w:color w:val="auto"/>
                <w:kern w:val="2"/>
                <w:sz w:val="21"/>
                <w:szCs w:val="21"/>
                <w:highlight w:val="none"/>
                <w:lang w:val="en-US" w:eastAsia="zh-CN"/>
              </w:rPr>
              <w:t>2</w:t>
            </w:r>
            <w:r>
              <w:rPr>
                <w:rFonts w:hint="eastAsia" w:ascii="宋体" w:hAnsi="宋体" w:eastAsia="宋体" w:cs="宋体"/>
                <w:b w:val="0"/>
                <w:bCs w:val="0"/>
                <w:color w:val="auto"/>
                <w:kern w:val="2"/>
                <w:sz w:val="21"/>
                <w:szCs w:val="21"/>
                <w:highlight w:val="none"/>
              </w:rPr>
              <w:t>分</w:t>
            </w:r>
            <w:r>
              <w:rPr>
                <w:rFonts w:hint="eastAsia" w:ascii="宋体" w:hAnsi="宋体" w:eastAsia="宋体" w:cs="宋体"/>
                <w:b w:val="0"/>
                <w:bCs w:val="0"/>
                <w:color w:val="auto"/>
                <w:kern w:val="2"/>
                <w:sz w:val="21"/>
                <w:szCs w:val="21"/>
                <w:highlight w:val="none"/>
                <w:lang w:val="en-US" w:eastAsia="zh-CN"/>
              </w:rPr>
              <w:t>（响应文件中提供有效的承诺书（格式自拟）并加盖供应商公章，否则不予计分]</w:t>
            </w:r>
            <w:r>
              <w:rPr>
                <w:rFonts w:hint="eastAsia" w:ascii="宋体" w:hAnsi="宋体" w:eastAsia="宋体" w:cs="宋体"/>
                <w:b w:val="0"/>
                <w:bCs w:val="0"/>
                <w:color w:val="auto"/>
                <w:kern w:val="2"/>
                <w:sz w:val="21"/>
                <w:szCs w:val="21"/>
                <w:highlight w:val="none"/>
              </w:rPr>
              <w:t>。</w:t>
            </w:r>
          </w:p>
          <w:p w14:paraId="2F183500">
            <w:pPr>
              <w:pStyle w:val="79"/>
              <w:keepNext w:val="0"/>
              <w:keepLines w:val="0"/>
              <w:pageBreakBefore w:val="0"/>
              <w:kinsoku/>
              <w:wordWrap/>
              <w:overflowPunct/>
              <w:topLinePunct w:val="0"/>
              <w:autoSpaceDE/>
              <w:autoSpaceDN/>
              <w:bidi w:val="0"/>
              <w:spacing w:line="360" w:lineRule="auto"/>
              <w:ind w:left="0" w:leftChars="0" w:firstLine="0" w:firstLineChars="0"/>
              <w:jc w:val="left"/>
              <w:textAlignment w:val="baseline"/>
              <w:rPr>
                <w:rFonts w:hint="eastAsia" w:asciiTheme="minorEastAsia" w:hAnsiTheme="minorEastAsia" w:eastAsiaTheme="minorEastAsia" w:cstheme="minorEastAsia"/>
                <w:bCs/>
                <w:color w:val="auto"/>
                <w:kern w:val="0"/>
                <w:sz w:val="21"/>
                <w:szCs w:val="21"/>
                <w:highlight w:val="none"/>
              </w:rPr>
            </w:pPr>
            <w:r>
              <w:rPr>
                <w:rFonts w:hint="eastAsia" w:ascii="宋体" w:hAnsi="宋体" w:eastAsia="宋体" w:cs="宋体"/>
                <w:b w:val="0"/>
                <w:bCs w:val="0"/>
                <w:color w:val="auto"/>
                <w:kern w:val="2"/>
                <w:sz w:val="21"/>
                <w:szCs w:val="21"/>
                <w:highlight w:val="none"/>
              </w:rPr>
              <w:t>注：如</w:t>
            </w:r>
            <w:r>
              <w:rPr>
                <w:rFonts w:hint="eastAsia" w:ascii="宋体" w:hAnsi="宋体" w:eastAsia="宋体" w:cs="宋体"/>
                <w:b w:val="0"/>
                <w:bCs w:val="0"/>
                <w:color w:val="auto"/>
                <w:kern w:val="2"/>
                <w:sz w:val="21"/>
                <w:szCs w:val="21"/>
                <w:highlight w:val="none"/>
                <w:lang w:val="en-US" w:eastAsia="zh-CN"/>
              </w:rPr>
              <w:t>供应商</w:t>
            </w:r>
            <w:r>
              <w:rPr>
                <w:rFonts w:hint="eastAsia" w:ascii="宋体" w:hAnsi="宋体" w:eastAsia="宋体" w:cs="宋体"/>
                <w:b w:val="0"/>
                <w:bCs w:val="0"/>
                <w:color w:val="auto"/>
                <w:kern w:val="2"/>
                <w:sz w:val="21"/>
                <w:szCs w:val="21"/>
                <w:highlight w:val="none"/>
              </w:rPr>
              <w:t>提供虚假承诺，所造成的后果由</w:t>
            </w:r>
            <w:r>
              <w:rPr>
                <w:rFonts w:hint="eastAsia" w:ascii="宋体" w:hAnsi="宋体" w:eastAsia="宋体" w:cs="宋体"/>
                <w:b w:val="0"/>
                <w:bCs w:val="0"/>
                <w:color w:val="auto"/>
                <w:kern w:val="2"/>
                <w:sz w:val="21"/>
                <w:szCs w:val="21"/>
                <w:highlight w:val="none"/>
                <w:lang w:val="en-US" w:eastAsia="zh-CN"/>
              </w:rPr>
              <w:t>供应商</w:t>
            </w:r>
            <w:r>
              <w:rPr>
                <w:rFonts w:hint="eastAsia" w:ascii="宋体" w:hAnsi="宋体" w:eastAsia="宋体" w:cs="宋体"/>
                <w:b w:val="0"/>
                <w:bCs w:val="0"/>
                <w:color w:val="auto"/>
                <w:kern w:val="2"/>
                <w:sz w:val="21"/>
                <w:szCs w:val="21"/>
                <w:highlight w:val="none"/>
              </w:rPr>
              <w:t>自行负责</w:t>
            </w:r>
            <w:r>
              <w:rPr>
                <w:rFonts w:hint="eastAsia" w:ascii="宋体" w:hAnsi="宋体" w:eastAsia="宋体" w:cs="宋体"/>
                <w:b w:val="0"/>
                <w:bCs w:val="0"/>
                <w:color w:val="auto"/>
                <w:kern w:val="2"/>
                <w:sz w:val="21"/>
                <w:szCs w:val="21"/>
                <w:highlight w:val="none"/>
                <w:lang w:val="en-US" w:eastAsia="zh-CN"/>
              </w:rPr>
              <w:t>。</w:t>
            </w:r>
          </w:p>
        </w:tc>
        <w:tc>
          <w:tcPr>
            <w:tcW w:w="595" w:type="pct"/>
            <w:tcBorders>
              <w:bottom w:val="single" w:color="auto" w:sz="4" w:space="0"/>
            </w:tcBorders>
            <w:noWrap w:val="0"/>
            <w:vAlign w:val="center"/>
          </w:tcPr>
          <w:p w14:paraId="58331CEF">
            <w:pPr>
              <w:pStyle w:val="79"/>
              <w:keepNext w:val="0"/>
              <w:keepLines w:val="0"/>
              <w:pageBreakBefore w:val="0"/>
              <w:kinsoku/>
              <w:wordWrap/>
              <w:overflowPunct/>
              <w:topLinePunct w:val="0"/>
              <w:autoSpaceDE/>
              <w:autoSpaceDN/>
              <w:bidi w:val="0"/>
              <w:spacing w:line="360" w:lineRule="auto"/>
              <w:ind w:firstLine="0" w:firstLineChars="0"/>
              <w:jc w:val="center"/>
              <w:textAlignment w:val="baseline"/>
              <w:rPr>
                <w:rFonts w:hint="eastAsia" w:asciiTheme="minorEastAsia" w:hAnsiTheme="minorEastAsia" w:eastAsiaTheme="minorEastAsia" w:cstheme="minorEastAsia"/>
                <w:bCs/>
                <w:color w:val="auto"/>
                <w:kern w:val="0"/>
                <w:sz w:val="21"/>
                <w:szCs w:val="21"/>
                <w:highlight w:val="none"/>
              </w:rPr>
            </w:pPr>
            <w:r>
              <w:rPr>
                <w:rFonts w:hint="eastAsia" w:ascii="宋体" w:hAnsi="宋体" w:eastAsia="宋体" w:cs="宋体"/>
                <w:color w:val="auto"/>
                <w:szCs w:val="21"/>
                <w:highlight w:val="none"/>
              </w:rPr>
              <w:t>满分</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w:t>
            </w:r>
          </w:p>
        </w:tc>
      </w:tr>
      <w:tr w14:paraId="4139D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107A50E2">
            <w:pPr>
              <w:pStyle w:val="79"/>
              <w:keepNext w:val="0"/>
              <w:keepLines w:val="0"/>
              <w:pageBreakBefore w:val="0"/>
              <w:kinsoku/>
              <w:wordWrap/>
              <w:overflowPunct/>
              <w:topLinePunct w:val="0"/>
              <w:autoSpaceDE/>
              <w:autoSpaceDN/>
              <w:bidi w:val="0"/>
              <w:spacing w:line="360" w:lineRule="auto"/>
              <w:ind w:firstLine="0" w:firstLineChars="0"/>
              <w:jc w:val="center"/>
              <w:textAlignment w:val="baseline"/>
              <w:rPr>
                <w:rFonts w:hint="eastAsia" w:asciiTheme="minorEastAsia" w:hAnsiTheme="minorEastAsia" w:eastAsiaTheme="minorEastAsia" w:cstheme="minorEastAsia"/>
                <w:color w:val="auto"/>
                <w:sz w:val="21"/>
                <w:szCs w:val="21"/>
                <w:highlight w:val="none"/>
              </w:rPr>
            </w:pPr>
            <w:r>
              <w:rPr>
                <w:rFonts w:hint="eastAsia" w:ascii="宋体" w:hAnsi="宋体"/>
                <w:b/>
                <w:color w:val="auto"/>
                <w:szCs w:val="21"/>
                <w:highlight w:val="none"/>
              </w:rPr>
              <w:t>总得分</w:t>
            </w:r>
            <w:r>
              <w:rPr>
                <w:rFonts w:ascii="宋体" w:hAnsi="宋体"/>
                <w:b/>
                <w:color w:val="auto"/>
                <w:szCs w:val="21"/>
                <w:highlight w:val="none"/>
              </w:rPr>
              <w:t xml:space="preserve">=1 + 2 + 3 </w:t>
            </w:r>
            <w:r>
              <w:rPr>
                <w:rFonts w:hint="eastAsia" w:ascii="宋体" w:hAnsi="宋体"/>
                <w:b/>
                <w:color w:val="auto"/>
                <w:szCs w:val="21"/>
                <w:highlight w:val="none"/>
              </w:rPr>
              <w:t>。</w:t>
            </w:r>
          </w:p>
        </w:tc>
      </w:tr>
    </w:tbl>
    <w:p w14:paraId="78AC69CB">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6.2商务技术评审因素为客观评分项的，应在评分项目或评分标准中予以标注为“客观分”。对供应商的客观评分项目，各评审专家评分应当一致。</w:t>
      </w:r>
    </w:p>
    <w:p w14:paraId="0F2872A4">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6.3终止竞争性磋商采购活动</w:t>
      </w:r>
    </w:p>
    <w:p w14:paraId="3F516539">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21F67CB3">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二、评审报告</w:t>
      </w:r>
    </w:p>
    <w:p w14:paraId="561C2129">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1.成交标准</w:t>
      </w:r>
    </w:p>
    <w:p w14:paraId="06C8B7D9">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由磋商小组根据综合评分情况，按照评审得分由高到低顺序推荐3名成交候选供应商，并编写评审报告。符合本章第</w:t>
      </w:r>
      <w:r>
        <w:rPr>
          <w:rFonts w:hint="eastAsia" w:ascii="宋体" w:hAnsi="宋体" w:cs="宋体"/>
          <w:color w:val="auto"/>
          <w:szCs w:val="21"/>
          <w:highlight w:val="none"/>
        </w:rPr>
        <w:t>2.7、3.7、</w:t>
      </w:r>
      <w:r>
        <w:rPr>
          <w:rFonts w:ascii="宋体" w:hAnsi="宋体" w:cs="宋体"/>
          <w:color w:val="auto"/>
          <w:szCs w:val="21"/>
          <w:highlight w:val="none"/>
        </w:rPr>
        <w:t>4.3</w:t>
      </w:r>
      <w:r>
        <w:rPr>
          <w:rFonts w:hint="eastAsia" w:ascii="宋体" w:hAnsi="宋体"/>
          <w:bCs/>
          <w:color w:val="auto"/>
          <w:szCs w:val="21"/>
          <w:highlight w:val="none"/>
        </w:rPr>
        <w:t>条情形的，可以推荐2家成交候选供应商。评审得分相同的，按照最后报价（不计算价格折扣）由低到高的顺序推荐。评审得分且最后报价（不计算价格折扣）相同的，按照技术指标优劣顺序推荐。</w:t>
      </w:r>
    </w:p>
    <w:p w14:paraId="57D7634D">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2.评审争议事项处理</w:t>
      </w:r>
    </w:p>
    <w:p w14:paraId="5301F883">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磋商小组成员对需要共同认定的事项存在争议的，应当按照少数服从多数的原则作出结论。持不同意见的磋商小组成员应当在评审报告上签署不同意见及理由，否则视为同意评审报告。</w:t>
      </w:r>
    </w:p>
    <w:p w14:paraId="058DE806">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三、评审过程的保密与录像</w:t>
      </w:r>
    </w:p>
    <w:p w14:paraId="78E84AEA">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1.保密</w:t>
      </w:r>
    </w:p>
    <w:p w14:paraId="6CFBC87C">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评审活动在严格保密的情况下进行。评审过程中凡是与采购响应文件评审和比较、成交供应商推荐等评审有关的情况，以及涉及国家秘密和商业秘密等信息，磋商小组成员、采购人和采购机构工作人员、相关监督人员等与评审有关的人员应当予以保密。</w:t>
      </w:r>
    </w:p>
    <w:p w14:paraId="10FBBAB1">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2.录音录像</w:t>
      </w:r>
    </w:p>
    <w:p w14:paraId="0CFB55F7">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采购代理机构对评审工作现场及操作屏幕进行全过程录音录像，录音录像资料作为采购项目文件随其他文件一并存档。</w:t>
      </w:r>
    </w:p>
    <w:p w14:paraId="61B839B3">
      <w:pPr>
        <w:rPr>
          <w:rFonts w:hint="eastAsia"/>
          <w:color w:val="auto"/>
          <w:highlight w:val="none"/>
        </w:rPr>
      </w:pPr>
      <w:r>
        <w:rPr>
          <w:color w:val="auto"/>
          <w:highlight w:val="none"/>
        </w:rPr>
        <w:br w:type="page"/>
      </w:r>
    </w:p>
    <w:p w14:paraId="4546F87E">
      <w:pPr>
        <w:rPr>
          <w:rFonts w:hint="eastAsia"/>
          <w:color w:val="auto"/>
          <w:highlight w:val="none"/>
        </w:rPr>
      </w:pPr>
    </w:p>
    <w:p w14:paraId="1DF92929">
      <w:pPr>
        <w:rPr>
          <w:rFonts w:hint="eastAsia"/>
          <w:color w:val="auto"/>
          <w:highlight w:val="none"/>
        </w:rPr>
      </w:pPr>
    </w:p>
    <w:p w14:paraId="391FBF36">
      <w:pPr>
        <w:rPr>
          <w:rFonts w:hint="eastAsia"/>
          <w:color w:val="auto"/>
          <w:highlight w:val="none"/>
        </w:rPr>
      </w:pPr>
    </w:p>
    <w:p w14:paraId="50EC8927">
      <w:pPr>
        <w:rPr>
          <w:rFonts w:hint="eastAsia"/>
          <w:color w:val="auto"/>
          <w:highlight w:val="none"/>
        </w:rPr>
      </w:pPr>
    </w:p>
    <w:p w14:paraId="43DAE20A">
      <w:pPr>
        <w:rPr>
          <w:rFonts w:hint="eastAsia"/>
          <w:color w:val="auto"/>
          <w:highlight w:val="none"/>
        </w:rPr>
      </w:pPr>
    </w:p>
    <w:p w14:paraId="6A12B2C4">
      <w:pPr>
        <w:rPr>
          <w:rFonts w:hint="eastAsia"/>
          <w:color w:val="auto"/>
          <w:highlight w:val="none"/>
        </w:rPr>
      </w:pPr>
    </w:p>
    <w:p w14:paraId="78677A25">
      <w:pPr>
        <w:rPr>
          <w:rFonts w:hint="eastAsia"/>
          <w:color w:val="auto"/>
          <w:highlight w:val="none"/>
        </w:rPr>
      </w:pPr>
    </w:p>
    <w:p w14:paraId="43E9DC54">
      <w:pPr>
        <w:rPr>
          <w:rFonts w:hint="eastAsia"/>
          <w:color w:val="auto"/>
          <w:highlight w:val="none"/>
        </w:rPr>
      </w:pPr>
    </w:p>
    <w:p w14:paraId="1E4E5931">
      <w:pPr>
        <w:pStyle w:val="2"/>
        <w:jc w:val="center"/>
        <w:rPr>
          <w:rFonts w:hint="eastAsia"/>
          <w:color w:val="auto"/>
          <w:highlight w:val="none"/>
        </w:rPr>
      </w:pPr>
      <w:bookmarkStart w:id="31" w:name="_Toc170496364"/>
      <w:r>
        <w:rPr>
          <w:rFonts w:hint="eastAsia"/>
          <w:color w:val="auto"/>
          <w:highlight w:val="none"/>
        </w:rPr>
        <w:t>第五章 响应文件格式</w:t>
      </w:r>
      <w:bookmarkEnd w:id="31"/>
    </w:p>
    <w:p w14:paraId="504AD09C">
      <w:pPr>
        <w:spacing w:line="240" w:lineRule="atLeast"/>
        <w:rPr>
          <w:rFonts w:hint="eastAsia" w:ascii="宋体" w:hAnsi="宋体"/>
          <w:b/>
          <w:color w:val="auto"/>
          <w:sz w:val="32"/>
          <w:szCs w:val="32"/>
          <w:highlight w:val="none"/>
        </w:rPr>
      </w:pPr>
    </w:p>
    <w:p w14:paraId="5FDB4A86">
      <w:pPr>
        <w:spacing w:line="240" w:lineRule="atLeast"/>
        <w:rPr>
          <w:rFonts w:hint="eastAsia" w:ascii="宋体" w:hAnsi="宋体"/>
          <w:b/>
          <w:color w:val="auto"/>
          <w:sz w:val="32"/>
          <w:szCs w:val="32"/>
          <w:highlight w:val="none"/>
        </w:rPr>
      </w:pPr>
    </w:p>
    <w:p w14:paraId="5856EE0C">
      <w:pPr>
        <w:spacing w:line="240" w:lineRule="atLeast"/>
        <w:rPr>
          <w:rFonts w:hint="eastAsia" w:ascii="宋体" w:hAnsi="宋体"/>
          <w:b/>
          <w:color w:val="auto"/>
          <w:sz w:val="32"/>
          <w:szCs w:val="32"/>
          <w:highlight w:val="none"/>
        </w:rPr>
      </w:pPr>
    </w:p>
    <w:p w14:paraId="3D6E0830">
      <w:pPr>
        <w:spacing w:line="240" w:lineRule="atLeast"/>
        <w:rPr>
          <w:rFonts w:hint="eastAsia" w:ascii="宋体" w:hAnsi="宋体"/>
          <w:b/>
          <w:color w:val="auto"/>
          <w:sz w:val="32"/>
          <w:szCs w:val="32"/>
          <w:highlight w:val="none"/>
        </w:rPr>
      </w:pPr>
    </w:p>
    <w:p w14:paraId="4F045671">
      <w:pPr>
        <w:spacing w:line="240" w:lineRule="atLeast"/>
        <w:rPr>
          <w:rFonts w:hint="eastAsia" w:ascii="宋体" w:hAnsi="宋体"/>
          <w:b/>
          <w:color w:val="auto"/>
          <w:sz w:val="32"/>
          <w:szCs w:val="32"/>
          <w:highlight w:val="none"/>
        </w:rPr>
      </w:pPr>
    </w:p>
    <w:p w14:paraId="048FC1CA">
      <w:pPr>
        <w:spacing w:line="240" w:lineRule="atLeast"/>
        <w:rPr>
          <w:rFonts w:hint="eastAsia" w:ascii="宋体" w:hAnsi="宋体"/>
          <w:b/>
          <w:color w:val="auto"/>
          <w:sz w:val="32"/>
          <w:szCs w:val="32"/>
          <w:highlight w:val="none"/>
        </w:rPr>
      </w:pPr>
    </w:p>
    <w:p w14:paraId="0BA7CBAF">
      <w:pPr>
        <w:spacing w:line="240" w:lineRule="atLeast"/>
        <w:rPr>
          <w:rFonts w:hint="eastAsia" w:ascii="宋体" w:hAnsi="宋体"/>
          <w:b/>
          <w:color w:val="auto"/>
          <w:sz w:val="32"/>
          <w:szCs w:val="32"/>
          <w:highlight w:val="none"/>
        </w:rPr>
      </w:pPr>
    </w:p>
    <w:p w14:paraId="5EC94E5B">
      <w:pPr>
        <w:spacing w:line="240" w:lineRule="atLeast"/>
        <w:rPr>
          <w:rFonts w:hint="eastAsia" w:ascii="宋体" w:hAnsi="宋体"/>
          <w:b/>
          <w:color w:val="auto"/>
          <w:sz w:val="32"/>
          <w:szCs w:val="32"/>
          <w:highlight w:val="none"/>
        </w:rPr>
      </w:pPr>
    </w:p>
    <w:p w14:paraId="035D6113">
      <w:pPr>
        <w:spacing w:line="240" w:lineRule="atLeast"/>
        <w:rPr>
          <w:rFonts w:hint="eastAsia" w:ascii="宋体" w:hAnsi="宋体"/>
          <w:b/>
          <w:color w:val="auto"/>
          <w:sz w:val="32"/>
          <w:szCs w:val="32"/>
          <w:highlight w:val="none"/>
        </w:rPr>
      </w:pPr>
    </w:p>
    <w:p w14:paraId="564E9FB9">
      <w:pPr>
        <w:spacing w:line="240" w:lineRule="atLeast"/>
        <w:rPr>
          <w:rFonts w:hint="eastAsia" w:ascii="仿宋_GB2312" w:hAnsi="仿宋_GB2312" w:eastAsia="仿宋_GB2312" w:cs="仿宋_GB2312"/>
          <w:bCs/>
          <w:color w:val="auto"/>
          <w:sz w:val="32"/>
          <w:szCs w:val="32"/>
          <w:highlight w:val="none"/>
        </w:rPr>
      </w:pPr>
    </w:p>
    <w:p w14:paraId="3FD0DCF4">
      <w:pPr>
        <w:outlineLvl w:val="1"/>
        <w:rPr>
          <w:rFonts w:hint="eastAsia" w:ascii="宋体" w:hAnsi="宋体" w:eastAsia="宋体" w:cs="宋体"/>
          <w:b/>
          <w:color w:val="auto"/>
          <w:sz w:val="32"/>
          <w:szCs w:val="32"/>
          <w:highlight w:val="none"/>
        </w:rPr>
      </w:pPr>
      <w:bookmarkStart w:id="32" w:name="_Toc31723070"/>
      <w:bookmarkStart w:id="33" w:name="_Toc71365925"/>
      <w:bookmarkStart w:id="34" w:name="_Toc44229899"/>
      <w:bookmarkStart w:id="35" w:name="_Toc31728084"/>
      <w:bookmarkStart w:id="36" w:name="_Toc35611438"/>
      <w:bookmarkStart w:id="37" w:name="_Toc35611516"/>
      <w:r>
        <w:rPr>
          <w:b/>
          <w:color w:val="auto"/>
          <w:sz w:val="32"/>
          <w:szCs w:val="32"/>
          <w:highlight w:val="none"/>
        </w:rPr>
        <w:br w:type="page"/>
      </w:r>
      <w:r>
        <w:rPr>
          <w:rFonts w:hint="eastAsia" w:ascii="宋体" w:hAnsi="宋体" w:eastAsia="宋体" w:cs="宋体"/>
          <w:b/>
          <w:color w:val="auto"/>
          <w:sz w:val="32"/>
          <w:szCs w:val="32"/>
          <w:highlight w:val="none"/>
        </w:rPr>
        <w:t>一、资格证明文件格式</w:t>
      </w:r>
      <w:bookmarkEnd w:id="32"/>
      <w:bookmarkEnd w:id="33"/>
      <w:bookmarkEnd w:id="34"/>
      <w:bookmarkEnd w:id="35"/>
      <w:bookmarkEnd w:id="36"/>
      <w:bookmarkEnd w:id="37"/>
    </w:p>
    <w:p w14:paraId="4EE9D5DE">
      <w:pPr>
        <w:snapToGrid w:val="0"/>
        <w:spacing w:before="156" w:beforeLines="50" w:after="50"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32"/>
          <w:szCs w:val="32"/>
          <w:highlight w:val="none"/>
        </w:rPr>
        <w:t>1.资格证明文件封面格式：</w:t>
      </w:r>
      <w:r>
        <w:rPr>
          <w:rFonts w:hint="eastAsia" w:ascii="宋体" w:hAnsi="宋体" w:eastAsia="宋体" w:cs="宋体"/>
          <w:b/>
          <w:color w:val="auto"/>
          <w:sz w:val="24"/>
          <w:highlight w:val="none"/>
        </w:rPr>
        <w:t xml:space="preserve"> </w:t>
      </w:r>
    </w:p>
    <w:p w14:paraId="1FB901FF">
      <w:pPr>
        <w:snapToGrid w:val="0"/>
        <w:spacing w:before="156"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p>
    <w:p w14:paraId="74423C97">
      <w:pPr>
        <w:snapToGrid w:val="0"/>
        <w:spacing w:before="156" w:beforeLines="50" w:after="50"/>
        <w:rPr>
          <w:rFonts w:hint="eastAsia" w:ascii="宋体" w:hAnsi="宋体" w:eastAsia="宋体" w:cs="宋体"/>
          <w:color w:val="auto"/>
          <w:sz w:val="24"/>
          <w:szCs w:val="20"/>
          <w:highlight w:val="none"/>
        </w:rPr>
      </w:pPr>
    </w:p>
    <w:p w14:paraId="6DD656A7">
      <w:pPr>
        <w:snapToGrid w:val="0"/>
        <w:spacing w:before="156" w:beforeLines="50" w:after="50"/>
        <w:jc w:val="center"/>
        <w:rPr>
          <w:rFonts w:hint="eastAsia" w:ascii="宋体" w:hAnsi="宋体" w:eastAsia="宋体" w:cs="宋体"/>
          <w:bCs/>
          <w:color w:val="auto"/>
          <w:sz w:val="84"/>
          <w:szCs w:val="84"/>
          <w:highlight w:val="none"/>
        </w:rPr>
      </w:pPr>
      <w:r>
        <w:rPr>
          <w:rFonts w:hint="eastAsia" w:ascii="宋体" w:hAnsi="宋体" w:eastAsia="宋体" w:cs="宋体"/>
          <w:bCs/>
          <w:color w:val="auto"/>
          <w:sz w:val="84"/>
          <w:szCs w:val="84"/>
          <w:highlight w:val="none"/>
        </w:rPr>
        <w:t>响  应  文  件</w:t>
      </w:r>
    </w:p>
    <w:p w14:paraId="54A4A223">
      <w:pPr>
        <w:snapToGrid w:val="0"/>
        <w:spacing w:before="156" w:beforeLines="50" w:after="50"/>
        <w:jc w:val="center"/>
        <w:rPr>
          <w:rFonts w:hint="eastAsia" w:ascii="宋体" w:hAnsi="宋体" w:eastAsia="宋体" w:cs="宋体"/>
          <w:bCs/>
          <w:color w:val="auto"/>
          <w:sz w:val="44"/>
          <w:szCs w:val="44"/>
          <w:highlight w:val="none"/>
        </w:rPr>
      </w:pPr>
    </w:p>
    <w:p w14:paraId="4599761D">
      <w:pPr>
        <w:snapToGrid w:val="0"/>
        <w:spacing w:before="156" w:beforeLines="50" w:after="50"/>
        <w:jc w:val="center"/>
        <w:rPr>
          <w:rFonts w:hint="eastAsia" w:ascii="宋体" w:hAnsi="宋体" w:eastAsia="宋体" w:cs="宋体"/>
          <w:bCs/>
          <w:color w:val="auto"/>
          <w:sz w:val="44"/>
          <w:szCs w:val="44"/>
          <w:highlight w:val="none"/>
        </w:rPr>
      </w:pPr>
    </w:p>
    <w:p w14:paraId="10E6FBC4">
      <w:pPr>
        <w:snapToGrid w:val="0"/>
        <w:spacing w:before="156" w:beforeLines="50" w:after="50"/>
        <w:jc w:val="center"/>
        <w:rPr>
          <w:rFonts w:hint="eastAsia" w:ascii="宋体" w:hAnsi="宋体" w:eastAsia="宋体" w:cs="宋体"/>
          <w:bCs/>
          <w:color w:val="auto"/>
          <w:sz w:val="40"/>
          <w:szCs w:val="40"/>
          <w:highlight w:val="none"/>
        </w:rPr>
      </w:pPr>
      <w:r>
        <w:rPr>
          <w:rFonts w:hint="eastAsia" w:ascii="宋体" w:hAnsi="宋体" w:eastAsia="宋体" w:cs="宋体"/>
          <w:bCs/>
          <w:color w:val="auto"/>
          <w:sz w:val="40"/>
          <w:szCs w:val="40"/>
          <w:highlight w:val="none"/>
        </w:rPr>
        <w:t>资格证明文件</w:t>
      </w:r>
    </w:p>
    <w:p w14:paraId="51AC377E">
      <w:pPr>
        <w:snapToGrid w:val="0"/>
        <w:spacing w:before="156" w:beforeLines="50" w:after="50"/>
        <w:rPr>
          <w:rFonts w:hint="eastAsia" w:ascii="宋体" w:hAnsi="宋体" w:eastAsia="宋体" w:cs="宋体"/>
          <w:bCs/>
          <w:color w:val="auto"/>
          <w:sz w:val="24"/>
          <w:szCs w:val="20"/>
          <w:highlight w:val="none"/>
        </w:rPr>
      </w:pPr>
    </w:p>
    <w:p w14:paraId="77B38B6C">
      <w:pPr>
        <w:snapToGrid w:val="0"/>
        <w:spacing w:before="156" w:beforeLines="50" w:after="50"/>
        <w:rPr>
          <w:rFonts w:hint="eastAsia" w:ascii="宋体" w:hAnsi="宋体" w:eastAsia="宋体" w:cs="宋体"/>
          <w:bCs/>
          <w:color w:val="auto"/>
          <w:sz w:val="24"/>
          <w:szCs w:val="20"/>
          <w:highlight w:val="none"/>
        </w:rPr>
      </w:pPr>
    </w:p>
    <w:p w14:paraId="1654B1AD">
      <w:pPr>
        <w:snapToGrid w:val="0"/>
        <w:spacing w:before="156" w:beforeLines="50" w:after="50"/>
        <w:rPr>
          <w:rFonts w:hint="eastAsia" w:ascii="宋体" w:hAnsi="宋体" w:eastAsia="宋体" w:cs="宋体"/>
          <w:bCs/>
          <w:color w:val="auto"/>
          <w:sz w:val="24"/>
          <w:szCs w:val="20"/>
          <w:highlight w:val="none"/>
        </w:rPr>
      </w:pPr>
    </w:p>
    <w:p w14:paraId="3A53649B">
      <w:pPr>
        <w:snapToGrid w:val="0"/>
        <w:spacing w:before="156"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48711BB9">
      <w:pPr>
        <w:snapToGrid w:val="0"/>
        <w:spacing w:before="156" w:beforeLines="50" w:after="50"/>
        <w:ind w:firstLine="720" w:firstLineChars="225"/>
        <w:rPr>
          <w:rFonts w:hint="eastAsia" w:ascii="宋体" w:hAnsi="宋体" w:eastAsia="宋体" w:cs="宋体"/>
          <w:bCs/>
          <w:color w:val="auto"/>
          <w:sz w:val="32"/>
          <w:szCs w:val="32"/>
          <w:highlight w:val="none"/>
        </w:rPr>
      </w:pPr>
    </w:p>
    <w:p w14:paraId="62CF0858">
      <w:pPr>
        <w:snapToGrid w:val="0"/>
        <w:spacing w:before="156"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178D20AB">
      <w:pPr>
        <w:snapToGrid w:val="0"/>
        <w:spacing w:before="156"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562DF287">
      <w:pPr>
        <w:snapToGrid w:val="0"/>
        <w:spacing w:before="156"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所竞分标：（没有，则填“无”或“/”）</w:t>
      </w:r>
    </w:p>
    <w:p w14:paraId="1BC5FBE3">
      <w:pPr>
        <w:snapToGrid w:val="0"/>
        <w:spacing w:before="156" w:beforeLines="50" w:after="50"/>
        <w:ind w:firstLine="720" w:firstLineChars="225"/>
        <w:rPr>
          <w:rFonts w:hint="eastAsia" w:ascii="宋体" w:hAnsi="宋体" w:eastAsia="宋体" w:cs="宋体"/>
          <w:bCs/>
          <w:color w:val="auto"/>
          <w:sz w:val="32"/>
          <w:szCs w:val="32"/>
          <w:highlight w:val="none"/>
        </w:rPr>
      </w:pPr>
    </w:p>
    <w:p w14:paraId="52C846E1">
      <w:pPr>
        <w:pStyle w:val="6"/>
        <w:snapToGrid w:val="0"/>
        <w:spacing w:before="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6916EA05">
      <w:pPr>
        <w:pStyle w:val="6"/>
        <w:snapToGrid w:val="0"/>
        <w:spacing w:before="50" w:after="50"/>
        <w:ind w:firstLine="720" w:firstLineChars="225"/>
        <w:rPr>
          <w:rFonts w:hint="eastAsia" w:ascii="宋体" w:hAnsi="宋体" w:eastAsia="宋体" w:cs="宋体"/>
          <w:bCs/>
          <w:color w:val="auto"/>
          <w:sz w:val="32"/>
          <w:szCs w:val="32"/>
          <w:highlight w:val="none"/>
        </w:rPr>
      </w:pPr>
    </w:p>
    <w:p w14:paraId="250F9548">
      <w:pPr>
        <w:pStyle w:val="6"/>
        <w:snapToGrid w:val="0"/>
        <w:spacing w:before="50" w:after="50"/>
        <w:ind w:firstLine="720" w:firstLineChars="225"/>
        <w:rPr>
          <w:rFonts w:hint="eastAsia" w:ascii="宋体" w:hAnsi="宋体" w:eastAsia="宋体" w:cs="宋体"/>
          <w:bCs/>
          <w:color w:val="auto"/>
          <w:sz w:val="32"/>
          <w:szCs w:val="32"/>
          <w:highlight w:val="none"/>
        </w:rPr>
      </w:pPr>
    </w:p>
    <w:p w14:paraId="60135B3D">
      <w:pPr>
        <w:pStyle w:val="6"/>
        <w:snapToGrid w:val="0"/>
        <w:spacing w:before="50" w:after="50"/>
        <w:ind w:firstLine="1280" w:firstLineChars="400"/>
        <w:rPr>
          <w:rFonts w:hint="eastAsia" w:ascii="宋体" w:hAnsi="宋体" w:eastAsia="宋体" w:cs="宋体"/>
          <w:bCs/>
          <w:color w:val="auto"/>
          <w:sz w:val="32"/>
          <w:szCs w:val="32"/>
          <w:highlight w:val="none"/>
        </w:rPr>
      </w:pPr>
    </w:p>
    <w:p w14:paraId="42533E2C">
      <w:pPr>
        <w:snapToGrid w:val="0"/>
        <w:spacing w:before="156"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268C9826">
      <w:pPr>
        <w:snapToGrid w:val="0"/>
        <w:spacing w:before="156" w:beforeLines="50" w:after="50" w:line="360" w:lineRule="auto"/>
        <w:ind w:left="142"/>
        <w:jc w:val="left"/>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2.资格证明文件目录</w:t>
      </w:r>
    </w:p>
    <w:p w14:paraId="79B05D64">
      <w:pPr>
        <w:snapToGrid w:val="0"/>
        <w:spacing w:before="156" w:beforeLines="50" w:after="50" w:line="360" w:lineRule="auto"/>
        <w:ind w:firstLine="645"/>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根据磋商文件规定及供应商提供的材料自行编写目录（部分格式后附）。</w:t>
      </w:r>
    </w:p>
    <w:p w14:paraId="5BDA332B">
      <w:pPr>
        <w:snapToGrid w:val="0"/>
        <w:spacing w:before="156" w:beforeLines="50" w:after="5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 </w:t>
      </w:r>
    </w:p>
    <w:p w14:paraId="0D9DF088">
      <w:pPr>
        <w:spacing w:line="300" w:lineRule="auto"/>
        <w:rPr>
          <w:rFonts w:hint="eastAsia" w:ascii="宋体" w:hAnsi="宋体" w:eastAsia="宋体" w:cs="宋体"/>
          <w:color w:val="auto"/>
          <w:szCs w:val="21"/>
          <w:highlight w:val="none"/>
        </w:rPr>
      </w:pPr>
    </w:p>
    <w:p w14:paraId="4FEA7A60">
      <w:pPr>
        <w:spacing w:line="300" w:lineRule="auto"/>
        <w:rPr>
          <w:rFonts w:hint="eastAsia" w:ascii="宋体" w:hAnsi="宋体" w:eastAsia="宋体" w:cs="宋体"/>
          <w:color w:val="auto"/>
          <w:szCs w:val="21"/>
          <w:highlight w:val="none"/>
        </w:rPr>
      </w:pPr>
    </w:p>
    <w:p w14:paraId="6A0CBA57">
      <w:pPr>
        <w:spacing w:line="300" w:lineRule="auto"/>
        <w:rPr>
          <w:rFonts w:hint="eastAsia" w:ascii="宋体" w:hAnsi="宋体" w:eastAsia="宋体" w:cs="宋体"/>
          <w:color w:val="auto"/>
          <w:szCs w:val="21"/>
          <w:highlight w:val="none"/>
        </w:rPr>
      </w:pPr>
    </w:p>
    <w:p w14:paraId="76540658">
      <w:pPr>
        <w:spacing w:line="300" w:lineRule="auto"/>
        <w:rPr>
          <w:rFonts w:hint="eastAsia" w:ascii="宋体" w:hAnsi="宋体" w:eastAsia="宋体" w:cs="宋体"/>
          <w:color w:val="auto"/>
          <w:szCs w:val="21"/>
          <w:highlight w:val="none"/>
        </w:rPr>
      </w:pPr>
    </w:p>
    <w:p w14:paraId="78A799FC">
      <w:pPr>
        <w:spacing w:line="300" w:lineRule="auto"/>
        <w:rPr>
          <w:rFonts w:hint="eastAsia" w:ascii="宋体" w:hAnsi="宋体" w:eastAsia="宋体" w:cs="宋体"/>
          <w:color w:val="auto"/>
          <w:szCs w:val="21"/>
          <w:highlight w:val="none"/>
        </w:rPr>
      </w:pPr>
    </w:p>
    <w:p w14:paraId="6D2FED3F">
      <w:pPr>
        <w:spacing w:line="300" w:lineRule="auto"/>
        <w:rPr>
          <w:rFonts w:hint="eastAsia" w:ascii="宋体" w:hAnsi="宋体" w:eastAsia="宋体" w:cs="宋体"/>
          <w:color w:val="auto"/>
          <w:szCs w:val="21"/>
          <w:highlight w:val="none"/>
        </w:rPr>
      </w:pPr>
    </w:p>
    <w:p w14:paraId="696DBC51">
      <w:pPr>
        <w:spacing w:line="300" w:lineRule="auto"/>
        <w:rPr>
          <w:rFonts w:hint="eastAsia" w:ascii="宋体" w:hAnsi="宋体" w:eastAsia="宋体" w:cs="宋体"/>
          <w:color w:val="auto"/>
          <w:szCs w:val="21"/>
          <w:highlight w:val="none"/>
        </w:rPr>
      </w:pPr>
    </w:p>
    <w:p w14:paraId="7F7EA3C7">
      <w:pPr>
        <w:spacing w:line="300" w:lineRule="auto"/>
        <w:rPr>
          <w:rFonts w:hint="eastAsia" w:ascii="宋体" w:hAnsi="宋体" w:eastAsia="宋体" w:cs="宋体"/>
          <w:color w:val="auto"/>
          <w:szCs w:val="21"/>
          <w:highlight w:val="none"/>
        </w:rPr>
      </w:pPr>
    </w:p>
    <w:p w14:paraId="1B1AC226">
      <w:pPr>
        <w:spacing w:line="300" w:lineRule="auto"/>
        <w:rPr>
          <w:rFonts w:hint="eastAsia" w:ascii="宋体" w:hAnsi="宋体" w:eastAsia="宋体" w:cs="宋体"/>
          <w:color w:val="auto"/>
          <w:szCs w:val="21"/>
          <w:highlight w:val="none"/>
        </w:rPr>
      </w:pPr>
    </w:p>
    <w:p w14:paraId="279EA2E2">
      <w:pPr>
        <w:spacing w:line="300" w:lineRule="auto"/>
        <w:rPr>
          <w:rFonts w:hint="eastAsia" w:ascii="宋体" w:hAnsi="宋体" w:eastAsia="宋体" w:cs="宋体"/>
          <w:color w:val="auto"/>
          <w:szCs w:val="21"/>
          <w:highlight w:val="none"/>
        </w:rPr>
      </w:pPr>
    </w:p>
    <w:p w14:paraId="2D92544D">
      <w:pPr>
        <w:spacing w:line="300" w:lineRule="auto"/>
        <w:rPr>
          <w:rFonts w:hint="eastAsia" w:ascii="宋体" w:hAnsi="宋体" w:eastAsia="宋体" w:cs="宋体"/>
          <w:color w:val="auto"/>
          <w:szCs w:val="21"/>
          <w:highlight w:val="none"/>
        </w:rPr>
      </w:pPr>
    </w:p>
    <w:p w14:paraId="2E8F8F44">
      <w:pPr>
        <w:spacing w:line="300" w:lineRule="auto"/>
        <w:rPr>
          <w:rFonts w:hint="eastAsia" w:ascii="宋体" w:hAnsi="宋体" w:eastAsia="宋体" w:cs="宋体"/>
          <w:color w:val="auto"/>
          <w:szCs w:val="21"/>
          <w:highlight w:val="none"/>
        </w:rPr>
      </w:pPr>
    </w:p>
    <w:p w14:paraId="25DE91D2">
      <w:pPr>
        <w:spacing w:line="300" w:lineRule="auto"/>
        <w:rPr>
          <w:rFonts w:hint="eastAsia" w:ascii="宋体" w:hAnsi="宋体" w:eastAsia="宋体" w:cs="宋体"/>
          <w:color w:val="auto"/>
          <w:szCs w:val="21"/>
          <w:highlight w:val="none"/>
        </w:rPr>
      </w:pPr>
    </w:p>
    <w:p w14:paraId="15293D4E">
      <w:pPr>
        <w:spacing w:line="300" w:lineRule="auto"/>
        <w:rPr>
          <w:rFonts w:hint="eastAsia" w:ascii="宋体" w:hAnsi="宋体" w:eastAsia="宋体" w:cs="宋体"/>
          <w:color w:val="auto"/>
          <w:szCs w:val="21"/>
          <w:highlight w:val="none"/>
        </w:rPr>
      </w:pPr>
    </w:p>
    <w:p w14:paraId="01821429">
      <w:pPr>
        <w:spacing w:line="300" w:lineRule="auto"/>
        <w:rPr>
          <w:rFonts w:hint="eastAsia" w:ascii="宋体" w:hAnsi="宋体" w:eastAsia="宋体" w:cs="宋体"/>
          <w:color w:val="auto"/>
          <w:szCs w:val="21"/>
          <w:highlight w:val="none"/>
        </w:rPr>
      </w:pPr>
    </w:p>
    <w:p w14:paraId="1D5C25AD">
      <w:pPr>
        <w:spacing w:line="3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r>
        <w:rPr>
          <w:rFonts w:hint="eastAsia" w:ascii="宋体" w:hAnsi="宋体" w:eastAsia="宋体" w:cs="宋体"/>
          <w:color w:val="auto"/>
          <w:szCs w:val="21"/>
          <w:highlight w:val="none"/>
        </w:rPr>
        <w:t xml:space="preserve"> </w:t>
      </w:r>
    </w:p>
    <w:p w14:paraId="623B8563">
      <w:pPr>
        <w:wordWrap w:val="0"/>
        <w:spacing w:before="156" w:beforeLines="50" w:after="50" w:line="320" w:lineRule="exact"/>
        <w:ind w:right="482" w:firstLine="210" w:firstLineChars="100"/>
        <w:contextualSpacing/>
        <w:jc w:val="center"/>
        <w:rPr>
          <w:rFonts w:hint="eastAsia" w:ascii="宋体" w:hAnsi="宋体" w:eastAsia="宋体" w:cs="宋体"/>
          <w:color w:val="auto"/>
          <w:szCs w:val="21"/>
          <w:highlight w:val="none"/>
        </w:rPr>
      </w:pPr>
    </w:p>
    <w:p w14:paraId="6CBB9700">
      <w:pPr>
        <w:spacing w:line="32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供应商直接控股、管理关系信息表</w:t>
      </w:r>
    </w:p>
    <w:p w14:paraId="552DC8B7">
      <w:pPr>
        <w:snapToGrid w:val="0"/>
        <w:spacing w:before="156" w:beforeLines="50" w:after="50" w:line="360" w:lineRule="auto"/>
        <w:jc w:val="center"/>
        <w:rPr>
          <w:rFonts w:hint="eastAsia" w:ascii="宋体" w:hAnsi="宋体" w:eastAsia="宋体" w:cs="宋体"/>
          <w:b/>
          <w:color w:val="auto"/>
          <w:sz w:val="24"/>
          <w:highlight w:val="none"/>
        </w:rPr>
      </w:pPr>
    </w:p>
    <w:p w14:paraId="68121BDE">
      <w:pPr>
        <w:spacing w:line="360" w:lineRule="auto"/>
        <w:contextualSpacing/>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供应商直接控股股东信息表</w:t>
      </w:r>
    </w:p>
    <w:p w14:paraId="105CA067">
      <w:pPr>
        <w:spacing w:line="360" w:lineRule="auto"/>
        <w:contextualSpacing/>
        <w:jc w:val="center"/>
        <w:rPr>
          <w:rFonts w:hint="eastAsia" w:ascii="宋体" w:hAnsi="宋体" w:eastAsia="宋体" w:cs="宋体"/>
          <w:b/>
          <w:color w:val="auto"/>
          <w:sz w:val="24"/>
          <w:highlight w:val="none"/>
        </w:rPr>
      </w:pPr>
    </w:p>
    <w:tbl>
      <w:tblPr>
        <w:tblStyle w:val="31"/>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1C352D1A">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9431F3A">
            <w:pPr>
              <w:widowControl/>
              <w:spacing w:line="360" w:lineRule="auto"/>
              <w:contextualSpacing/>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38362F4">
            <w:pPr>
              <w:widowControl/>
              <w:spacing w:line="360" w:lineRule="auto"/>
              <w:contextualSpacing/>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C3F0B64">
            <w:pPr>
              <w:widowControl/>
              <w:spacing w:line="360" w:lineRule="auto"/>
              <w:contextualSpacing/>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8BD070E">
            <w:pPr>
              <w:widowControl/>
              <w:spacing w:line="360" w:lineRule="auto"/>
              <w:contextualSpacing/>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03B6B4D">
            <w:pPr>
              <w:widowControl/>
              <w:spacing w:line="360" w:lineRule="auto"/>
              <w:contextualSpacing/>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备注</w:t>
            </w:r>
          </w:p>
        </w:tc>
      </w:tr>
      <w:tr w14:paraId="5CE610BA">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CE569EE">
            <w:pPr>
              <w:widowControl/>
              <w:spacing w:line="360" w:lineRule="auto"/>
              <w:contextualSpacing/>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EC19AEE">
            <w:pPr>
              <w:widowControl/>
              <w:spacing w:line="360" w:lineRule="auto"/>
              <w:contextualSpacing/>
              <w:jc w:val="center"/>
              <w:rPr>
                <w:rFonts w:hint="eastAsia" w:ascii="宋体" w:hAnsi="宋体" w:eastAsia="宋体" w:cs="宋体"/>
                <w:color w:val="auto"/>
                <w:kern w:val="0"/>
                <w:szCs w:val="21"/>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BF3B7A">
            <w:pPr>
              <w:widowControl/>
              <w:spacing w:line="360" w:lineRule="auto"/>
              <w:contextualSpacing/>
              <w:jc w:val="center"/>
              <w:rPr>
                <w:rFonts w:hint="eastAsia" w:ascii="宋体" w:hAnsi="宋体" w:eastAsia="宋体" w:cs="宋体"/>
                <w:color w:val="auto"/>
                <w:kern w:val="0"/>
                <w:szCs w:val="21"/>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4797F6B">
            <w:pPr>
              <w:widowControl/>
              <w:spacing w:line="360" w:lineRule="auto"/>
              <w:contextualSpacing/>
              <w:jc w:val="center"/>
              <w:rPr>
                <w:rFonts w:hint="eastAsia" w:ascii="宋体" w:hAnsi="宋体" w:eastAsia="宋体" w:cs="宋体"/>
                <w:color w:val="auto"/>
                <w:kern w:val="0"/>
                <w:szCs w:val="21"/>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6457324">
            <w:pPr>
              <w:widowControl/>
              <w:spacing w:line="360" w:lineRule="auto"/>
              <w:contextualSpacing/>
              <w:jc w:val="center"/>
              <w:rPr>
                <w:rFonts w:hint="eastAsia" w:ascii="宋体" w:hAnsi="宋体" w:eastAsia="宋体" w:cs="宋体"/>
                <w:color w:val="auto"/>
                <w:kern w:val="0"/>
                <w:szCs w:val="21"/>
                <w:highlight w:val="none"/>
              </w:rPr>
            </w:pPr>
          </w:p>
        </w:tc>
      </w:tr>
      <w:tr w14:paraId="6A3CA45A">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93EF60A">
            <w:pPr>
              <w:widowControl/>
              <w:spacing w:line="360" w:lineRule="auto"/>
              <w:contextualSpacing/>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49E7385">
            <w:pPr>
              <w:widowControl/>
              <w:spacing w:line="360" w:lineRule="auto"/>
              <w:contextualSpacing/>
              <w:jc w:val="center"/>
              <w:rPr>
                <w:rFonts w:hint="eastAsia" w:ascii="宋体" w:hAnsi="宋体" w:eastAsia="宋体" w:cs="宋体"/>
                <w:color w:val="auto"/>
                <w:kern w:val="0"/>
                <w:szCs w:val="21"/>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441202C">
            <w:pPr>
              <w:widowControl/>
              <w:spacing w:line="360" w:lineRule="auto"/>
              <w:contextualSpacing/>
              <w:jc w:val="center"/>
              <w:rPr>
                <w:rFonts w:hint="eastAsia" w:ascii="宋体" w:hAnsi="宋体" w:eastAsia="宋体" w:cs="宋体"/>
                <w:color w:val="auto"/>
                <w:kern w:val="0"/>
                <w:szCs w:val="21"/>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770E23F">
            <w:pPr>
              <w:widowControl/>
              <w:spacing w:line="360" w:lineRule="auto"/>
              <w:contextualSpacing/>
              <w:jc w:val="center"/>
              <w:rPr>
                <w:rFonts w:hint="eastAsia" w:ascii="宋体" w:hAnsi="宋体" w:eastAsia="宋体" w:cs="宋体"/>
                <w:color w:val="auto"/>
                <w:kern w:val="0"/>
                <w:szCs w:val="21"/>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E144848">
            <w:pPr>
              <w:widowControl/>
              <w:spacing w:line="360" w:lineRule="auto"/>
              <w:contextualSpacing/>
              <w:jc w:val="center"/>
              <w:rPr>
                <w:rFonts w:hint="eastAsia" w:ascii="宋体" w:hAnsi="宋体" w:eastAsia="宋体" w:cs="宋体"/>
                <w:color w:val="auto"/>
                <w:kern w:val="0"/>
                <w:szCs w:val="21"/>
                <w:highlight w:val="none"/>
              </w:rPr>
            </w:pPr>
          </w:p>
        </w:tc>
      </w:tr>
      <w:tr w14:paraId="26A24900">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6F28D9E">
            <w:pPr>
              <w:widowControl/>
              <w:spacing w:line="360" w:lineRule="auto"/>
              <w:contextualSpacing/>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FC206C2">
            <w:pPr>
              <w:widowControl/>
              <w:spacing w:line="360" w:lineRule="auto"/>
              <w:contextualSpacing/>
              <w:jc w:val="center"/>
              <w:rPr>
                <w:rFonts w:hint="eastAsia" w:ascii="宋体" w:hAnsi="宋体" w:eastAsia="宋体" w:cs="宋体"/>
                <w:color w:val="auto"/>
                <w:kern w:val="0"/>
                <w:szCs w:val="21"/>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7B1CCFD">
            <w:pPr>
              <w:widowControl/>
              <w:spacing w:line="360" w:lineRule="auto"/>
              <w:contextualSpacing/>
              <w:jc w:val="center"/>
              <w:rPr>
                <w:rFonts w:hint="eastAsia" w:ascii="宋体" w:hAnsi="宋体" w:eastAsia="宋体" w:cs="宋体"/>
                <w:color w:val="auto"/>
                <w:kern w:val="0"/>
                <w:szCs w:val="21"/>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28C5A8C">
            <w:pPr>
              <w:widowControl/>
              <w:spacing w:line="360" w:lineRule="auto"/>
              <w:contextualSpacing/>
              <w:jc w:val="center"/>
              <w:rPr>
                <w:rFonts w:hint="eastAsia" w:ascii="宋体" w:hAnsi="宋体" w:eastAsia="宋体" w:cs="宋体"/>
                <w:color w:val="auto"/>
                <w:kern w:val="0"/>
                <w:szCs w:val="21"/>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E949CC5">
            <w:pPr>
              <w:widowControl/>
              <w:spacing w:line="360" w:lineRule="auto"/>
              <w:contextualSpacing/>
              <w:jc w:val="center"/>
              <w:rPr>
                <w:rFonts w:hint="eastAsia" w:ascii="宋体" w:hAnsi="宋体" w:eastAsia="宋体" w:cs="宋体"/>
                <w:color w:val="auto"/>
                <w:kern w:val="0"/>
                <w:szCs w:val="21"/>
                <w:highlight w:val="none"/>
              </w:rPr>
            </w:pPr>
          </w:p>
        </w:tc>
      </w:tr>
      <w:tr w14:paraId="45C83CB6">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477118C">
            <w:pPr>
              <w:widowControl/>
              <w:spacing w:line="360" w:lineRule="auto"/>
              <w:contextualSpacing/>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0D7D6AA">
            <w:pPr>
              <w:widowControl/>
              <w:spacing w:line="360" w:lineRule="auto"/>
              <w:contextualSpacing/>
              <w:jc w:val="center"/>
              <w:rPr>
                <w:rFonts w:hint="eastAsia" w:ascii="宋体" w:hAnsi="宋体" w:eastAsia="宋体" w:cs="宋体"/>
                <w:color w:val="auto"/>
                <w:kern w:val="0"/>
                <w:szCs w:val="21"/>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2B06CA1">
            <w:pPr>
              <w:widowControl/>
              <w:spacing w:line="360" w:lineRule="auto"/>
              <w:contextualSpacing/>
              <w:jc w:val="center"/>
              <w:rPr>
                <w:rFonts w:hint="eastAsia" w:ascii="宋体" w:hAnsi="宋体" w:eastAsia="宋体" w:cs="宋体"/>
                <w:color w:val="auto"/>
                <w:kern w:val="0"/>
                <w:szCs w:val="21"/>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92DD14C">
            <w:pPr>
              <w:widowControl/>
              <w:spacing w:line="360" w:lineRule="auto"/>
              <w:contextualSpacing/>
              <w:jc w:val="center"/>
              <w:rPr>
                <w:rFonts w:hint="eastAsia" w:ascii="宋体" w:hAnsi="宋体" w:eastAsia="宋体" w:cs="宋体"/>
                <w:color w:val="auto"/>
                <w:kern w:val="0"/>
                <w:szCs w:val="21"/>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CE89E0A">
            <w:pPr>
              <w:widowControl/>
              <w:spacing w:line="360" w:lineRule="auto"/>
              <w:contextualSpacing/>
              <w:jc w:val="center"/>
              <w:rPr>
                <w:rFonts w:hint="eastAsia" w:ascii="宋体" w:hAnsi="宋体" w:eastAsia="宋体" w:cs="宋体"/>
                <w:color w:val="auto"/>
                <w:kern w:val="0"/>
                <w:szCs w:val="21"/>
                <w:highlight w:val="none"/>
              </w:rPr>
            </w:pPr>
          </w:p>
        </w:tc>
      </w:tr>
    </w:tbl>
    <w:p w14:paraId="7414587C">
      <w:pPr>
        <w:spacing w:line="360" w:lineRule="auto"/>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548B756C">
      <w:pPr>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D6A6192">
      <w:pPr>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2.本表所指的控股关系仅限于直接控股关系，不包括间接的控股关系。公司实际控制人与公司之间的关系不属于本表所指的直接控股关系。</w:t>
      </w:r>
    </w:p>
    <w:p w14:paraId="2E5BA5AC">
      <w:pPr>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3.供应商不存在直接控股股东的，则填“无”。</w:t>
      </w:r>
    </w:p>
    <w:p w14:paraId="5900A4F6">
      <w:pPr>
        <w:snapToGrid w:val="0"/>
        <w:spacing w:line="360" w:lineRule="auto"/>
        <w:jc w:val="left"/>
        <w:rPr>
          <w:rFonts w:hint="eastAsia" w:ascii="宋体" w:hAnsi="宋体" w:eastAsia="宋体" w:cs="宋体"/>
          <w:color w:val="auto"/>
          <w:szCs w:val="21"/>
          <w:highlight w:val="none"/>
        </w:rPr>
      </w:pPr>
    </w:p>
    <w:p w14:paraId="7C6C26A5">
      <w:pPr>
        <w:snapToGrid w:val="0"/>
        <w:spacing w:line="360" w:lineRule="auto"/>
        <w:jc w:val="left"/>
        <w:rPr>
          <w:rFonts w:hint="eastAsia" w:ascii="宋体" w:hAnsi="宋体" w:eastAsia="宋体" w:cs="宋体"/>
          <w:color w:val="auto"/>
          <w:szCs w:val="21"/>
          <w:highlight w:val="none"/>
        </w:rPr>
      </w:pPr>
    </w:p>
    <w:p w14:paraId="3A55B578">
      <w:pPr>
        <w:snapToGrid w:val="0"/>
        <w:spacing w:line="360" w:lineRule="auto"/>
        <w:jc w:val="left"/>
        <w:rPr>
          <w:rFonts w:hint="eastAsia" w:ascii="宋体" w:hAnsi="宋体" w:eastAsia="宋体" w:cs="宋体"/>
          <w:color w:val="auto"/>
          <w:szCs w:val="21"/>
          <w:highlight w:val="none"/>
        </w:rPr>
      </w:pPr>
    </w:p>
    <w:p w14:paraId="274B4125">
      <w:pPr>
        <w:snapToGrid w:val="0"/>
        <w:spacing w:before="156" w:beforeLines="50" w:line="360" w:lineRule="auto"/>
        <w:ind w:right="480" w:firstLine="3045" w:firstLineChars="145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法定代表人或者委托代理人（签字或者电子签名）：</w:t>
      </w:r>
      <w:r>
        <w:rPr>
          <w:rFonts w:hint="eastAsia" w:ascii="宋体" w:hAnsi="宋体" w:eastAsia="宋体" w:cs="宋体"/>
          <w:color w:val="auto"/>
          <w:szCs w:val="21"/>
          <w:highlight w:val="none"/>
          <w:u w:val="single"/>
        </w:rPr>
        <w:t xml:space="preserve">          </w:t>
      </w:r>
    </w:p>
    <w:p w14:paraId="13D62F2C">
      <w:pPr>
        <w:snapToGrid w:val="0"/>
        <w:spacing w:before="156" w:beforeLines="50" w:after="50" w:line="360" w:lineRule="auto"/>
        <w:ind w:right="480" w:firstLine="3045" w:firstLineChars="145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供应商（盖公章）：</w:t>
      </w:r>
      <w:r>
        <w:rPr>
          <w:rFonts w:hint="eastAsia" w:ascii="宋体" w:hAnsi="宋体" w:eastAsia="宋体" w:cs="宋体"/>
          <w:color w:val="auto"/>
          <w:szCs w:val="21"/>
          <w:highlight w:val="none"/>
          <w:u w:val="single"/>
        </w:rPr>
        <w:t xml:space="preserve">                           </w:t>
      </w:r>
    </w:p>
    <w:p w14:paraId="57FE8493">
      <w:pPr>
        <w:snapToGrid w:val="0"/>
        <w:spacing w:before="156" w:beforeLines="50" w:after="50" w:line="360" w:lineRule="auto"/>
        <w:ind w:right="480" w:firstLine="4620" w:firstLineChars="2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    月    日</w:t>
      </w:r>
    </w:p>
    <w:p w14:paraId="01B5AD28">
      <w:pPr>
        <w:snapToGrid w:val="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01D0E1D0">
      <w:pPr>
        <w:spacing w:line="32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供应商直接管理关系信息表</w:t>
      </w:r>
    </w:p>
    <w:p w14:paraId="5037F9FD">
      <w:pPr>
        <w:snapToGrid w:val="0"/>
        <w:spacing w:line="360" w:lineRule="auto"/>
        <w:jc w:val="center"/>
        <w:rPr>
          <w:rFonts w:hint="eastAsia" w:ascii="宋体" w:hAnsi="宋体" w:eastAsia="宋体" w:cs="宋体"/>
          <w:b/>
          <w:color w:val="auto"/>
          <w:sz w:val="24"/>
          <w:highlight w:val="none"/>
        </w:rPr>
      </w:pPr>
    </w:p>
    <w:tbl>
      <w:tblPr>
        <w:tblStyle w:val="31"/>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28B6360D">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CE35D17">
            <w:pPr>
              <w:widowControl/>
              <w:spacing w:line="360" w:lineRule="auto"/>
              <w:contextualSpacing/>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FD1DB58">
            <w:pPr>
              <w:widowControl/>
              <w:spacing w:line="360" w:lineRule="auto"/>
              <w:contextualSpacing/>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99D60F0">
            <w:pPr>
              <w:widowControl/>
              <w:spacing w:line="360" w:lineRule="auto"/>
              <w:contextualSpacing/>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9B2631">
            <w:pPr>
              <w:widowControl/>
              <w:spacing w:line="360" w:lineRule="auto"/>
              <w:contextualSpacing/>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备注</w:t>
            </w:r>
          </w:p>
        </w:tc>
      </w:tr>
      <w:tr w14:paraId="55C9D076">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7FF10F5">
            <w:pPr>
              <w:widowControl/>
              <w:spacing w:line="360" w:lineRule="auto"/>
              <w:contextualSpacing/>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A3A3DA6">
            <w:pPr>
              <w:widowControl/>
              <w:spacing w:line="360" w:lineRule="auto"/>
              <w:contextualSpacing/>
              <w:jc w:val="center"/>
              <w:rPr>
                <w:rFonts w:hint="eastAsia" w:ascii="宋体" w:hAnsi="宋体" w:eastAsia="宋体" w:cs="宋体"/>
                <w:color w:val="auto"/>
                <w:kern w:val="0"/>
                <w:szCs w:val="21"/>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D3438F1">
            <w:pPr>
              <w:widowControl/>
              <w:spacing w:line="360" w:lineRule="auto"/>
              <w:contextualSpacing/>
              <w:jc w:val="center"/>
              <w:rPr>
                <w:rFonts w:hint="eastAsia" w:ascii="宋体" w:hAnsi="宋体" w:eastAsia="宋体" w:cs="宋体"/>
                <w:color w:val="auto"/>
                <w:kern w:val="0"/>
                <w:szCs w:val="21"/>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A978F1">
            <w:pPr>
              <w:widowControl/>
              <w:spacing w:line="360" w:lineRule="auto"/>
              <w:contextualSpacing/>
              <w:jc w:val="center"/>
              <w:rPr>
                <w:rFonts w:hint="eastAsia" w:ascii="宋体" w:hAnsi="宋体" w:eastAsia="宋体" w:cs="宋体"/>
                <w:color w:val="auto"/>
                <w:kern w:val="0"/>
                <w:szCs w:val="21"/>
                <w:highlight w:val="none"/>
              </w:rPr>
            </w:pPr>
          </w:p>
        </w:tc>
      </w:tr>
      <w:tr w14:paraId="171AC898">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36521DA">
            <w:pPr>
              <w:widowControl/>
              <w:spacing w:line="360" w:lineRule="auto"/>
              <w:contextualSpacing/>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D74ED9">
            <w:pPr>
              <w:widowControl/>
              <w:spacing w:line="360" w:lineRule="auto"/>
              <w:contextualSpacing/>
              <w:jc w:val="center"/>
              <w:rPr>
                <w:rFonts w:hint="eastAsia" w:ascii="宋体" w:hAnsi="宋体" w:eastAsia="宋体" w:cs="宋体"/>
                <w:color w:val="auto"/>
                <w:kern w:val="0"/>
                <w:szCs w:val="21"/>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4456393">
            <w:pPr>
              <w:widowControl/>
              <w:spacing w:line="360" w:lineRule="auto"/>
              <w:contextualSpacing/>
              <w:jc w:val="center"/>
              <w:rPr>
                <w:rFonts w:hint="eastAsia" w:ascii="宋体" w:hAnsi="宋体" w:eastAsia="宋体" w:cs="宋体"/>
                <w:color w:val="auto"/>
                <w:kern w:val="0"/>
                <w:szCs w:val="21"/>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8898666">
            <w:pPr>
              <w:widowControl/>
              <w:spacing w:line="360" w:lineRule="auto"/>
              <w:contextualSpacing/>
              <w:jc w:val="center"/>
              <w:rPr>
                <w:rFonts w:hint="eastAsia" w:ascii="宋体" w:hAnsi="宋体" w:eastAsia="宋体" w:cs="宋体"/>
                <w:color w:val="auto"/>
                <w:kern w:val="0"/>
                <w:szCs w:val="21"/>
                <w:highlight w:val="none"/>
              </w:rPr>
            </w:pPr>
          </w:p>
        </w:tc>
      </w:tr>
      <w:tr w14:paraId="7B4E99A8">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4A85F04">
            <w:pPr>
              <w:widowControl/>
              <w:spacing w:line="360" w:lineRule="auto"/>
              <w:contextualSpacing/>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52A4EA6">
            <w:pPr>
              <w:widowControl/>
              <w:spacing w:line="360" w:lineRule="auto"/>
              <w:contextualSpacing/>
              <w:jc w:val="center"/>
              <w:rPr>
                <w:rFonts w:hint="eastAsia" w:ascii="宋体" w:hAnsi="宋体" w:eastAsia="宋体" w:cs="宋体"/>
                <w:color w:val="auto"/>
                <w:kern w:val="0"/>
                <w:szCs w:val="21"/>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4A47931">
            <w:pPr>
              <w:widowControl/>
              <w:spacing w:line="360" w:lineRule="auto"/>
              <w:contextualSpacing/>
              <w:jc w:val="center"/>
              <w:rPr>
                <w:rFonts w:hint="eastAsia" w:ascii="宋体" w:hAnsi="宋体" w:eastAsia="宋体" w:cs="宋体"/>
                <w:color w:val="auto"/>
                <w:kern w:val="0"/>
                <w:szCs w:val="21"/>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BB9C499">
            <w:pPr>
              <w:widowControl/>
              <w:spacing w:line="360" w:lineRule="auto"/>
              <w:contextualSpacing/>
              <w:jc w:val="center"/>
              <w:rPr>
                <w:rFonts w:hint="eastAsia" w:ascii="宋体" w:hAnsi="宋体" w:eastAsia="宋体" w:cs="宋体"/>
                <w:color w:val="auto"/>
                <w:kern w:val="0"/>
                <w:szCs w:val="21"/>
                <w:highlight w:val="none"/>
              </w:rPr>
            </w:pPr>
          </w:p>
        </w:tc>
      </w:tr>
      <w:tr w14:paraId="5341A845">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ACC65F5">
            <w:pPr>
              <w:widowControl/>
              <w:spacing w:line="360" w:lineRule="auto"/>
              <w:contextualSpacing/>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B874526">
            <w:pPr>
              <w:widowControl/>
              <w:spacing w:line="360" w:lineRule="auto"/>
              <w:contextualSpacing/>
              <w:jc w:val="center"/>
              <w:rPr>
                <w:rFonts w:hint="eastAsia" w:ascii="宋体" w:hAnsi="宋体" w:eastAsia="宋体" w:cs="宋体"/>
                <w:color w:val="auto"/>
                <w:kern w:val="0"/>
                <w:szCs w:val="21"/>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1A0F95E">
            <w:pPr>
              <w:widowControl/>
              <w:spacing w:line="360" w:lineRule="auto"/>
              <w:contextualSpacing/>
              <w:jc w:val="center"/>
              <w:rPr>
                <w:rFonts w:hint="eastAsia" w:ascii="宋体" w:hAnsi="宋体" w:eastAsia="宋体" w:cs="宋体"/>
                <w:color w:val="auto"/>
                <w:kern w:val="0"/>
                <w:szCs w:val="21"/>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852C474">
            <w:pPr>
              <w:widowControl/>
              <w:spacing w:line="360" w:lineRule="auto"/>
              <w:contextualSpacing/>
              <w:jc w:val="center"/>
              <w:rPr>
                <w:rFonts w:hint="eastAsia" w:ascii="宋体" w:hAnsi="宋体" w:eastAsia="宋体" w:cs="宋体"/>
                <w:color w:val="auto"/>
                <w:kern w:val="0"/>
                <w:szCs w:val="21"/>
                <w:highlight w:val="none"/>
              </w:rPr>
            </w:pPr>
          </w:p>
        </w:tc>
      </w:tr>
    </w:tbl>
    <w:p w14:paraId="2A333B80">
      <w:pPr>
        <w:spacing w:line="360" w:lineRule="auto"/>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5163A643">
      <w:pPr>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1.管理关系：是指不具有出资持股关系的其他单位之间存在的管理与被管理关系，如一些上下级关系的事业单位和团体组织。</w:t>
      </w:r>
    </w:p>
    <w:p w14:paraId="155CF002">
      <w:pPr>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pacing w:val="-6"/>
          <w:szCs w:val="21"/>
          <w:highlight w:val="none"/>
        </w:rPr>
        <w:t>本表所指的管理关系仅限于直接管理关系，不包括间接的管理关系。</w:t>
      </w:r>
    </w:p>
    <w:p w14:paraId="4D44D850">
      <w:pPr>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3.供应商不存在直接管理关系的，则填“无”。</w:t>
      </w:r>
    </w:p>
    <w:p w14:paraId="78323BB4">
      <w:pPr>
        <w:spacing w:line="360" w:lineRule="auto"/>
        <w:contextualSpacing/>
        <w:jc w:val="left"/>
        <w:rPr>
          <w:rFonts w:hint="eastAsia" w:ascii="宋体" w:hAnsi="宋体" w:eastAsia="宋体" w:cs="宋体"/>
          <w:color w:val="auto"/>
          <w:szCs w:val="21"/>
          <w:highlight w:val="none"/>
        </w:rPr>
      </w:pPr>
    </w:p>
    <w:p w14:paraId="0775C976">
      <w:pPr>
        <w:spacing w:line="360" w:lineRule="auto"/>
        <w:contextualSpacing/>
        <w:jc w:val="left"/>
        <w:rPr>
          <w:rFonts w:hint="eastAsia" w:ascii="宋体" w:hAnsi="宋体" w:eastAsia="宋体" w:cs="宋体"/>
          <w:color w:val="auto"/>
          <w:szCs w:val="21"/>
          <w:highlight w:val="none"/>
        </w:rPr>
      </w:pPr>
    </w:p>
    <w:p w14:paraId="10D38EEA">
      <w:pPr>
        <w:spacing w:line="360" w:lineRule="auto"/>
        <w:contextualSpacing/>
        <w:jc w:val="left"/>
        <w:rPr>
          <w:rFonts w:hint="eastAsia" w:ascii="宋体" w:hAnsi="宋体" w:eastAsia="宋体" w:cs="宋体"/>
          <w:color w:val="auto"/>
          <w:szCs w:val="21"/>
          <w:highlight w:val="none"/>
        </w:rPr>
      </w:pPr>
    </w:p>
    <w:p w14:paraId="5D5485DC">
      <w:pPr>
        <w:spacing w:line="360" w:lineRule="auto"/>
        <w:contextualSpacing/>
        <w:jc w:val="left"/>
        <w:rPr>
          <w:rFonts w:hint="eastAsia" w:ascii="宋体" w:hAnsi="宋体" w:eastAsia="宋体" w:cs="宋体"/>
          <w:color w:val="auto"/>
          <w:szCs w:val="21"/>
          <w:highlight w:val="none"/>
        </w:rPr>
      </w:pPr>
    </w:p>
    <w:p w14:paraId="58D9D82D">
      <w:pPr>
        <w:spacing w:line="360" w:lineRule="auto"/>
        <w:contextualSpacing/>
        <w:jc w:val="left"/>
        <w:rPr>
          <w:rFonts w:hint="eastAsia" w:ascii="宋体" w:hAnsi="宋体" w:eastAsia="宋体" w:cs="宋体"/>
          <w:color w:val="auto"/>
          <w:szCs w:val="21"/>
          <w:highlight w:val="none"/>
        </w:rPr>
      </w:pPr>
    </w:p>
    <w:p w14:paraId="76EC4A6F">
      <w:pPr>
        <w:spacing w:line="360" w:lineRule="auto"/>
        <w:contextualSpacing/>
        <w:jc w:val="left"/>
        <w:rPr>
          <w:rFonts w:hint="eastAsia" w:ascii="宋体" w:hAnsi="宋体" w:eastAsia="宋体" w:cs="宋体"/>
          <w:color w:val="auto"/>
          <w:szCs w:val="21"/>
          <w:highlight w:val="none"/>
        </w:rPr>
      </w:pPr>
    </w:p>
    <w:p w14:paraId="7C025795">
      <w:pPr>
        <w:spacing w:line="360" w:lineRule="auto"/>
        <w:ind w:right="480" w:firstLine="2940" w:firstLineChars="1400"/>
        <w:contextualSpacing/>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法定代表人或者委托代理人（签字或者电子签名）：</w:t>
      </w:r>
      <w:r>
        <w:rPr>
          <w:rFonts w:hint="eastAsia" w:ascii="宋体" w:hAnsi="宋体" w:eastAsia="宋体" w:cs="宋体"/>
          <w:color w:val="auto"/>
          <w:szCs w:val="21"/>
          <w:highlight w:val="none"/>
          <w:u w:val="single"/>
        </w:rPr>
        <w:t xml:space="preserve">               </w:t>
      </w:r>
    </w:p>
    <w:p w14:paraId="412189C2">
      <w:pPr>
        <w:spacing w:line="360" w:lineRule="auto"/>
        <w:ind w:right="480" w:firstLine="2940" w:firstLineChars="14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供应商（盖公章）：</w:t>
      </w:r>
      <w:r>
        <w:rPr>
          <w:rFonts w:hint="eastAsia" w:ascii="宋体" w:hAnsi="宋体" w:eastAsia="宋体" w:cs="宋体"/>
          <w:color w:val="auto"/>
          <w:szCs w:val="21"/>
          <w:highlight w:val="none"/>
          <w:u w:val="single"/>
        </w:rPr>
        <w:t xml:space="preserve">                </w:t>
      </w:r>
    </w:p>
    <w:p w14:paraId="7D2E4287">
      <w:pPr>
        <w:spacing w:line="360" w:lineRule="auto"/>
        <w:ind w:right="480" w:firstLine="210" w:firstLineChars="100"/>
        <w:contextualSpacing/>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p w14:paraId="0814CFD3">
      <w:pPr>
        <w:spacing w:line="320" w:lineRule="exact"/>
        <w:jc w:val="center"/>
        <w:rPr>
          <w:rFonts w:hint="eastAsia" w:ascii="宋体" w:hAnsi="宋体" w:eastAsia="宋体" w:cs="宋体"/>
          <w:b/>
          <w:color w:val="auto"/>
          <w:sz w:val="32"/>
          <w:szCs w:val="32"/>
          <w:highlight w:val="none"/>
        </w:rPr>
      </w:pPr>
      <w:r>
        <w:rPr>
          <w:rFonts w:hint="eastAsia" w:ascii="宋体" w:hAnsi="宋体" w:eastAsia="宋体" w:cs="宋体"/>
          <w:color w:val="auto"/>
          <w:sz w:val="28"/>
          <w:szCs w:val="28"/>
          <w:highlight w:val="none"/>
        </w:rPr>
        <w:br w:type="page"/>
      </w:r>
      <w:r>
        <w:rPr>
          <w:rFonts w:hint="eastAsia" w:ascii="宋体" w:hAnsi="宋体" w:eastAsia="宋体" w:cs="宋体"/>
          <w:b/>
          <w:color w:val="auto"/>
          <w:sz w:val="32"/>
          <w:szCs w:val="32"/>
          <w:highlight w:val="none"/>
        </w:rPr>
        <w:t>竞标声明</w:t>
      </w:r>
    </w:p>
    <w:p w14:paraId="3B9C731B">
      <w:pPr>
        <w:spacing w:line="320" w:lineRule="exact"/>
        <w:jc w:val="center"/>
        <w:rPr>
          <w:rFonts w:hint="eastAsia" w:ascii="宋体" w:hAnsi="宋体" w:eastAsia="宋体" w:cs="宋体"/>
          <w:color w:val="auto"/>
          <w:sz w:val="24"/>
          <w:szCs w:val="20"/>
          <w:highlight w:val="none"/>
        </w:rPr>
      </w:pPr>
    </w:p>
    <w:p w14:paraId="7882CCC7">
      <w:pPr>
        <w:spacing w:line="360" w:lineRule="auto"/>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（采购人名称）</w:t>
      </w:r>
      <w:r>
        <w:rPr>
          <w:rFonts w:hint="eastAsia" w:ascii="宋体" w:hAnsi="宋体" w:eastAsia="宋体" w:cs="宋体"/>
          <w:color w:val="auto"/>
          <w:szCs w:val="21"/>
          <w:highlight w:val="none"/>
        </w:rPr>
        <w:t>：</w:t>
      </w:r>
    </w:p>
    <w:p w14:paraId="776B3862">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（供应商名称）</w:t>
      </w:r>
      <w:r>
        <w:rPr>
          <w:rFonts w:hint="eastAsia" w:ascii="宋体" w:hAnsi="宋体" w:eastAsia="宋体" w:cs="宋体"/>
          <w:color w:val="auto"/>
          <w:szCs w:val="21"/>
          <w:highlight w:val="none"/>
        </w:rPr>
        <w:t>系中华人民共和国合法供应商，经营地址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1E2AB04">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我方愿意参加贵方组织的</w:t>
      </w:r>
      <w:r>
        <w:rPr>
          <w:rFonts w:hint="eastAsia" w:ascii="宋体" w:hAnsi="宋体" w:eastAsia="宋体" w:cs="宋体"/>
          <w:color w:val="auto"/>
          <w:szCs w:val="21"/>
          <w:highlight w:val="none"/>
          <w:u w:val="single"/>
        </w:rPr>
        <w:t>（项目名称）</w:t>
      </w:r>
      <w:r>
        <w:rPr>
          <w:rFonts w:hint="eastAsia" w:ascii="宋体" w:hAnsi="宋体" w:eastAsia="宋体" w:cs="宋体"/>
          <w:color w:val="auto"/>
          <w:szCs w:val="21"/>
          <w:highlight w:val="none"/>
        </w:rPr>
        <w:t>项目的竞标，为便于贵方公正、择优地确定成交供应商及其竞标产品和服务，我方就本次竞标有关事项郑重声明如下：</w:t>
      </w:r>
    </w:p>
    <w:p w14:paraId="07899796">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1.我方向贵方提交的所有响应文件、资料都是准确的和真实的。</w:t>
      </w:r>
    </w:p>
    <w:p w14:paraId="70C254C9">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2.我方不是为本次采购项目提供整体设计、规范编制或者项目管理、监理、检测等服务的供应商。</w:t>
      </w:r>
    </w:p>
    <w:p w14:paraId="4F6CD3BA">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3.在此，我方宣布同意如下：</w:t>
      </w:r>
    </w:p>
    <w:p w14:paraId="06C919B0">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（1）将按磋商文件的约定履行合同责任和义务；</w:t>
      </w:r>
    </w:p>
    <w:p w14:paraId="2752CE1B">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（2）已详细审查全部磋商文件，包括澄清或者更正公告（如有）；</w:t>
      </w:r>
    </w:p>
    <w:p w14:paraId="080D2DD6">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（3）同意提供按照贵方可能要求的与磋商有关的一切数据或者资料；</w:t>
      </w:r>
    </w:p>
    <w:p w14:paraId="5D37ED3C">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（4）响应磋商文件规定的竞标有效期。</w:t>
      </w:r>
    </w:p>
    <w:p w14:paraId="6FF6CCB1">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4.我方承诺符合《中华人民共和国政府采购法》第二十二条规定：</w:t>
      </w:r>
    </w:p>
    <w:p w14:paraId="453F96D9">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（1）具有独立承担民事责任的能力；</w:t>
      </w:r>
    </w:p>
    <w:p w14:paraId="4C0C2EF5">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（2）具有良好的商业信誉和健全的财务会计制度；</w:t>
      </w:r>
    </w:p>
    <w:p w14:paraId="7D364BA3">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（3）具有履行合同所必需的设备和专业技术能力；</w:t>
      </w:r>
    </w:p>
    <w:p w14:paraId="42FBF7D0">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（4）有依法缴纳税收和社会保障资金的良好记录；</w:t>
      </w:r>
    </w:p>
    <w:p w14:paraId="013FDB09">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（5）参加政府采购活动前三年内，在经营活动中没有重大违法记录；</w:t>
      </w:r>
    </w:p>
    <w:p w14:paraId="6E68FE89">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（6）法律、行政法规规定的其他条件。</w:t>
      </w:r>
    </w:p>
    <w:p w14:paraId="0248801B">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18F46D24">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304F3269">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□我方本次响应文件</w:t>
      </w:r>
      <w:r>
        <w:rPr>
          <w:rFonts w:hint="eastAsia" w:ascii="宋体" w:hAnsi="宋体" w:eastAsia="宋体" w:cs="宋体"/>
          <w:color w:val="auto"/>
          <w:kern w:val="0"/>
          <w:szCs w:val="21"/>
          <w:highlight w:val="none"/>
        </w:rPr>
        <w:t>内容中</w:t>
      </w:r>
      <w:r>
        <w:rPr>
          <w:rFonts w:hint="eastAsia" w:ascii="宋体" w:hAnsi="宋体" w:eastAsia="宋体" w:cs="宋体"/>
          <w:color w:val="auto"/>
          <w:szCs w:val="21"/>
          <w:highlight w:val="none"/>
        </w:rPr>
        <w:t>未</w:t>
      </w:r>
      <w:r>
        <w:rPr>
          <w:rFonts w:hint="eastAsia" w:ascii="宋体" w:hAnsi="宋体" w:eastAsia="宋体" w:cs="宋体"/>
          <w:color w:val="auto"/>
          <w:kern w:val="0"/>
          <w:szCs w:val="21"/>
          <w:highlight w:val="none"/>
        </w:rPr>
        <w:t>涉及商业秘密；</w:t>
      </w:r>
    </w:p>
    <w:p w14:paraId="76250EC5">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□我方本次响应文件</w:t>
      </w:r>
      <w:r>
        <w:rPr>
          <w:rFonts w:hint="eastAsia" w:ascii="宋体" w:hAnsi="宋体" w:eastAsia="宋体" w:cs="宋体"/>
          <w:color w:val="auto"/>
          <w:kern w:val="0"/>
          <w:szCs w:val="21"/>
          <w:highlight w:val="none"/>
        </w:rPr>
        <w:t>涉及商业秘密的内容有：</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2A2D8749">
      <w:pPr>
        <w:pStyle w:val="19"/>
        <w:spacing w:line="360" w:lineRule="auto"/>
        <w:ind w:firstLine="420" w:firstLineChars="200"/>
        <w:contextualSpacing/>
        <w:rPr>
          <w:rFonts w:hint="eastAsia" w:ascii="宋体" w:hAnsi="宋体" w:eastAsia="宋体" w:cs="宋体"/>
          <w:color w:val="auto"/>
          <w:sz w:val="21"/>
          <w:highlight w:val="none"/>
          <w:u w:val="single"/>
        </w:rPr>
      </w:pPr>
      <w:r>
        <w:rPr>
          <w:rFonts w:hint="eastAsia" w:ascii="宋体" w:hAnsi="宋体" w:eastAsia="宋体" w:cs="宋体"/>
          <w:color w:val="auto"/>
          <w:sz w:val="21"/>
          <w:highlight w:val="none"/>
        </w:rPr>
        <w:t>7.与本磋商有关的一切正式往来信函请寄：</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邮政编号：</w:t>
      </w:r>
      <w:r>
        <w:rPr>
          <w:rFonts w:hint="eastAsia" w:ascii="宋体" w:hAnsi="宋体" w:eastAsia="宋体" w:cs="宋体"/>
          <w:color w:val="auto"/>
          <w:sz w:val="21"/>
          <w:highlight w:val="none"/>
          <w:u w:val="single"/>
        </w:rPr>
        <w:t xml:space="preserve">        </w:t>
      </w:r>
    </w:p>
    <w:p w14:paraId="166B13BA">
      <w:pPr>
        <w:pStyle w:val="19"/>
        <w:spacing w:line="360" w:lineRule="auto"/>
        <w:ind w:firstLine="420" w:firstLineChars="200"/>
        <w:contextualSpacing/>
        <w:rPr>
          <w:rFonts w:hint="eastAsia" w:ascii="宋体" w:hAnsi="宋体" w:eastAsia="宋体" w:cs="宋体"/>
          <w:color w:val="auto"/>
          <w:sz w:val="21"/>
          <w:highlight w:val="none"/>
        </w:rPr>
      </w:pPr>
      <w:r>
        <w:rPr>
          <w:rFonts w:hint="eastAsia" w:ascii="宋体" w:hAnsi="宋体" w:eastAsia="宋体" w:cs="宋体"/>
          <w:color w:val="auto"/>
          <w:sz w:val="21"/>
          <w:highlight w:val="none"/>
        </w:rPr>
        <w:t>电话/传真：</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电子函件：</w:t>
      </w:r>
      <w:r>
        <w:rPr>
          <w:rFonts w:hint="eastAsia" w:ascii="宋体" w:hAnsi="宋体" w:eastAsia="宋体" w:cs="宋体"/>
          <w:color w:val="auto"/>
          <w:sz w:val="21"/>
          <w:highlight w:val="none"/>
          <w:u w:val="single"/>
        </w:rPr>
        <w:t xml:space="preserve">                            </w:t>
      </w:r>
    </w:p>
    <w:p w14:paraId="1B97B1FD">
      <w:pPr>
        <w:pStyle w:val="17"/>
        <w:tabs>
          <w:tab w:val="left" w:pos="939"/>
        </w:tabs>
        <w:spacing w:line="360" w:lineRule="auto"/>
        <w:ind w:left="141" w:leftChars="67"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cs="宋体"/>
          <w:color w:val="auto"/>
          <w:szCs w:val="21"/>
          <w:highlight w:val="none"/>
          <w:lang w:eastAsia="zh-CN"/>
        </w:rPr>
        <w:t>账号</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1FD0898F">
      <w:pPr>
        <w:pStyle w:val="17"/>
        <w:tabs>
          <w:tab w:val="left" w:pos="939"/>
        </w:tabs>
        <w:spacing w:line="360" w:lineRule="auto"/>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8.以上事项如有虚假或者隐瞒，我方愿意承担一切后果，并不再寻求任何旨在减轻或者免除法律责任的辩解。</w:t>
      </w:r>
    </w:p>
    <w:p w14:paraId="4ABE7AD4">
      <w:pPr>
        <w:pStyle w:val="17"/>
        <w:tabs>
          <w:tab w:val="left" w:pos="939"/>
        </w:tabs>
        <w:spacing w:line="360" w:lineRule="auto"/>
        <w:ind w:left="141" w:leftChars="67"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290BE4F4">
      <w:pPr>
        <w:pStyle w:val="17"/>
        <w:tabs>
          <w:tab w:val="left" w:pos="939"/>
        </w:tabs>
        <w:spacing w:line="360" w:lineRule="auto"/>
        <w:ind w:left="0" w:leftChars="0" w:firstLine="420" w:firstLineChars="200"/>
        <w:rPr>
          <w:rFonts w:hint="eastAsia" w:ascii="宋体" w:hAnsi="宋体" w:eastAsia="宋体" w:cs="宋体"/>
          <w:color w:val="auto"/>
          <w:szCs w:val="21"/>
          <w:highlight w:val="none"/>
        </w:rPr>
      </w:pPr>
    </w:p>
    <w:p w14:paraId="008F1CF5">
      <w:pPr>
        <w:spacing w:line="360" w:lineRule="auto"/>
        <w:ind w:firstLine="3780" w:firstLineChars="1800"/>
        <w:contextualSpacing/>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法定代表人（签字或者电子签名）：</w:t>
      </w:r>
      <w:r>
        <w:rPr>
          <w:rFonts w:hint="eastAsia" w:ascii="宋体" w:hAnsi="宋体" w:eastAsia="宋体" w:cs="宋体"/>
          <w:color w:val="auto"/>
          <w:szCs w:val="21"/>
          <w:highlight w:val="none"/>
          <w:u w:val="single"/>
        </w:rPr>
        <w:t xml:space="preserve">                  </w:t>
      </w:r>
    </w:p>
    <w:p w14:paraId="1E1DAA1B">
      <w:pPr>
        <w:spacing w:line="360" w:lineRule="auto"/>
        <w:ind w:firstLine="3780" w:firstLineChars="1800"/>
        <w:contextualSpacing/>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供应商（盖公章）：</w:t>
      </w:r>
      <w:r>
        <w:rPr>
          <w:rFonts w:hint="eastAsia" w:ascii="宋体" w:hAnsi="宋体" w:eastAsia="宋体" w:cs="宋体"/>
          <w:color w:val="auto"/>
          <w:szCs w:val="21"/>
          <w:highlight w:val="none"/>
          <w:u w:val="single"/>
        </w:rPr>
        <w:t xml:space="preserve">                               </w:t>
      </w:r>
    </w:p>
    <w:p w14:paraId="632DF5A9">
      <w:pPr>
        <w:spacing w:line="360" w:lineRule="auto"/>
        <w:ind w:right="480" w:firstLine="210" w:firstLineChars="100"/>
        <w:contextualSpacing/>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p w14:paraId="70E47961">
      <w:pPr>
        <w:spacing w:line="240" w:lineRule="auto"/>
        <w:ind w:right="0" w:firstLine="0" w:firstLineChars="0"/>
        <w:contextualSpacing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3EDEA7DB">
      <w:pPr>
        <w:spacing w:before="312" w:beforeLines="100" w:after="156" w:afterLines="50" w:line="520" w:lineRule="exact"/>
        <w:ind w:left="540"/>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中小企业声明函（服务）</w:t>
      </w:r>
    </w:p>
    <w:p w14:paraId="2D9ACD69">
      <w:pPr>
        <w:spacing w:before="2" w:line="500" w:lineRule="exact"/>
        <w:ind w:firstLine="708" w:firstLineChars="294"/>
        <w:rPr>
          <w:rFonts w:hint="eastAsia" w:ascii="宋体" w:hAnsi="宋体" w:eastAsia="宋体" w:cs="宋体"/>
          <w:b/>
          <w:bCs/>
          <w:color w:val="auto"/>
          <w:sz w:val="24"/>
          <w:highlight w:val="none"/>
        </w:rPr>
      </w:pPr>
    </w:p>
    <w:p w14:paraId="7E3B9971">
      <w:pPr>
        <w:pStyle w:val="14"/>
        <w:spacing w:line="360" w:lineRule="auto"/>
        <w:ind w:right="142" w:firstLine="617" w:firstLineChars="294"/>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本公司（联合体）郑重声明，根据《政府采购促进中小企业发展管理办法》（财库﹝2020﹞46号）的规定，本公司（联合体）参加</w:t>
      </w:r>
      <w:r>
        <w:rPr>
          <w:rFonts w:hint="eastAsia" w:ascii="宋体" w:hAnsi="宋体" w:eastAsia="宋体" w:cs="宋体"/>
          <w:color w:val="auto"/>
          <w:szCs w:val="21"/>
          <w:highlight w:val="none"/>
          <w:u w:val="single"/>
        </w:rPr>
        <w:t>（单位名称）</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u w:val="single"/>
        </w:rPr>
        <w:t>（项目名称）</w:t>
      </w:r>
      <w:r>
        <w:rPr>
          <w:rFonts w:hint="eastAsia" w:ascii="宋体" w:hAnsi="宋体" w:eastAsia="宋体" w:cs="宋体"/>
          <w:color w:val="auto"/>
          <w:szCs w:val="21"/>
          <w:highlight w:val="none"/>
        </w:rPr>
        <w:t>采购活动，服务全部由符合政策要求的中小企业承接。相关企业（含联合体中的中小企业、签订分包意向协议的中小企业）的具体情况如下：</w:t>
      </w:r>
    </w:p>
    <w:p w14:paraId="202D078B">
      <w:pPr>
        <w:tabs>
          <w:tab w:val="left" w:pos="1384"/>
          <w:tab w:val="left" w:pos="4562"/>
          <w:tab w:val="left" w:pos="6803"/>
        </w:tabs>
        <w:spacing w:before="13" w:line="360" w:lineRule="auto"/>
        <w:ind w:right="142" w:firstLine="676" w:firstLineChars="322"/>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（标的名称）</w:t>
      </w:r>
      <w:r>
        <w:rPr>
          <w:rFonts w:hint="eastAsia" w:ascii="宋体" w:hAnsi="宋体" w:eastAsia="宋体" w:cs="宋体"/>
          <w:color w:val="auto"/>
          <w:szCs w:val="21"/>
          <w:highlight w:val="none"/>
        </w:rPr>
        <w:t>，属于</w:t>
      </w:r>
      <w:r>
        <w:rPr>
          <w:rFonts w:hint="eastAsia" w:ascii="宋体" w:hAnsi="宋体" w:eastAsia="宋体" w:cs="宋体"/>
          <w:color w:val="auto"/>
          <w:szCs w:val="21"/>
          <w:highlight w:val="none"/>
          <w:u w:val="single"/>
        </w:rPr>
        <w:t>（采购文件中明确的所属行业）</w:t>
      </w:r>
      <w:r>
        <w:rPr>
          <w:rFonts w:hint="eastAsia" w:ascii="宋体" w:hAnsi="宋体" w:eastAsia="宋体" w:cs="宋体"/>
          <w:color w:val="auto"/>
          <w:szCs w:val="21"/>
          <w:highlight w:val="none"/>
        </w:rPr>
        <w:t>；承接企业为</w:t>
      </w:r>
      <w:r>
        <w:rPr>
          <w:rFonts w:hint="eastAsia" w:ascii="宋体" w:hAnsi="宋体" w:eastAsia="宋体" w:cs="宋体"/>
          <w:color w:val="auto"/>
          <w:szCs w:val="21"/>
          <w:highlight w:val="none"/>
          <w:u w:val="single"/>
        </w:rPr>
        <w:t>（企业名称）</w:t>
      </w:r>
      <w:r>
        <w:rPr>
          <w:rFonts w:hint="eastAsia" w:ascii="宋体" w:hAnsi="宋体" w:eastAsia="宋体" w:cs="宋体"/>
          <w:color w:val="auto"/>
          <w:szCs w:val="21"/>
          <w:highlight w:val="none"/>
        </w:rPr>
        <w:t>，从业人员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人，营业收入为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万元，资产总额为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万元，属于</w:t>
      </w:r>
      <w:r>
        <w:rPr>
          <w:rFonts w:hint="eastAsia" w:ascii="宋体" w:hAnsi="宋体" w:eastAsia="宋体" w:cs="宋体"/>
          <w:color w:val="auto"/>
          <w:szCs w:val="21"/>
          <w:highlight w:val="none"/>
          <w:u w:val="single"/>
        </w:rPr>
        <w:t>（中型企业、小型企业、微型企业）</w:t>
      </w:r>
      <w:r>
        <w:rPr>
          <w:rFonts w:hint="eastAsia" w:ascii="宋体" w:hAnsi="宋体" w:eastAsia="宋体" w:cs="宋体"/>
          <w:color w:val="auto"/>
          <w:szCs w:val="21"/>
          <w:highlight w:val="none"/>
        </w:rPr>
        <w:t>；</w:t>
      </w:r>
    </w:p>
    <w:p w14:paraId="33635779">
      <w:pPr>
        <w:tabs>
          <w:tab w:val="left" w:pos="1065"/>
          <w:tab w:val="left" w:pos="4262"/>
          <w:tab w:val="left" w:pos="6477"/>
        </w:tabs>
        <w:spacing w:before="20" w:line="360" w:lineRule="auto"/>
        <w:ind w:right="84" w:firstLine="676" w:firstLineChars="322"/>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u w:val="single"/>
        </w:rPr>
        <w:t>（标的名称）</w:t>
      </w:r>
      <w:r>
        <w:rPr>
          <w:rFonts w:hint="eastAsia" w:ascii="宋体" w:hAnsi="宋体" w:eastAsia="宋体" w:cs="宋体"/>
          <w:color w:val="auto"/>
          <w:szCs w:val="21"/>
          <w:highlight w:val="none"/>
        </w:rPr>
        <w:t>，属于</w:t>
      </w:r>
      <w:r>
        <w:rPr>
          <w:rFonts w:hint="eastAsia" w:ascii="宋体" w:hAnsi="宋体" w:eastAsia="宋体" w:cs="宋体"/>
          <w:color w:val="auto"/>
          <w:szCs w:val="21"/>
          <w:highlight w:val="none"/>
          <w:u w:val="single"/>
        </w:rPr>
        <w:t>（采购文件中明确的所属行业）</w:t>
      </w:r>
      <w:r>
        <w:rPr>
          <w:rFonts w:hint="eastAsia" w:ascii="宋体" w:hAnsi="宋体" w:eastAsia="宋体" w:cs="宋体"/>
          <w:color w:val="auto"/>
          <w:szCs w:val="21"/>
          <w:highlight w:val="none"/>
        </w:rPr>
        <w:t>；承接企业为</w:t>
      </w:r>
      <w:r>
        <w:rPr>
          <w:rFonts w:hint="eastAsia" w:ascii="宋体" w:hAnsi="宋体" w:eastAsia="宋体" w:cs="宋体"/>
          <w:color w:val="auto"/>
          <w:szCs w:val="21"/>
          <w:highlight w:val="none"/>
          <w:u w:val="single"/>
        </w:rPr>
        <w:t>（企业名称）</w:t>
      </w:r>
      <w:r>
        <w:rPr>
          <w:rFonts w:hint="eastAsia" w:ascii="宋体" w:hAnsi="宋体" w:eastAsia="宋体" w:cs="宋体"/>
          <w:color w:val="auto"/>
          <w:szCs w:val="21"/>
          <w:highlight w:val="none"/>
        </w:rPr>
        <w:t>，从业人员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人，营业收入为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万元，资产总额为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万元，属于</w:t>
      </w:r>
      <w:r>
        <w:rPr>
          <w:rFonts w:hint="eastAsia" w:ascii="宋体" w:hAnsi="宋体" w:eastAsia="宋体" w:cs="宋体"/>
          <w:color w:val="auto"/>
          <w:szCs w:val="21"/>
          <w:highlight w:val="none"/>
          <w:u w:val="single"/>
        </w:rPr>
        <w:t>（中型企业、小型企业、微型企业）</w:t>
      </w:r>
      <w:r>
        <w:rPr>
          <w:rFonts w:hint="eastAsia" w:ascii="宋体" w:hAnsi="宋体" w:eastAsia="宋体" w:cs="宋体"/>
          <w:color w:val="auto"/>
          <w:szCs w:val="21"/>
          <w:highlight w:val="none"/>
        </w:rPr>
        <w:t>；</w:t>
      </w:r>
    </w:p>
    <w:p w14:paraId="755761B2">
      <w:pPr>
        <w:pStyle w:val="14"/>
        <w:spacing w:before="34" w:line="360" w:lineRule="auto"/>
        <w:ind w:right="142" w:firstLine="617" w:firstLineChars="294"/>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3AB1674B">
      <w:pPr>
        <w:pStyle w:val="14"/>
        <w:spacing w:before="34" w:line="360" w:lineRule="auto"/>
        <w:ind w:right="142" w:firstLine="617" w:firstLineChars="294"/>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以上企业，不属于大企业的分支机构，不存在控股股东为大企业的情形，也不存在与大企业的负责人为同一人的情形。</w:t>
      </w:r>
    </w:p>
    <w:p w14:paraId="337A75A7">
      <w:pPr>
        <w:pStyle w:val="14"/>
        <w:spacing w:before="25" w:line="360" w:lineRule="auto"/>
        <w:ind w:right="142" w:firstLine="617" w:firstLineChars="294"/>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本企业对上述声明内容的真实性负责。如有虚假，将依法承担相应责任。</w:t>
      </w:r>
    </w:p>
    <w:p w14:paraId="173E0D5B">
      <w:pPr>
        <w:pStyle w:val="14"/>
        <w:spacing w:before="56" w:line="360" w:lineRule="auto"/>
        <w:ind w:right="1808" w:firstLine="617" w:firstLineChars="294"/>
        <w:rPr>
          <w:rFonts w:hint="eastAsia" w:ascii="宋体" w:hAnsi="宋体" w:eastAsia="宋体" w:cs="宋体"/>
          <w:color w:val="auto"/>
          <w:szCs w:val="21"/>
          <w:highlight w:val="none"/>
        </w:rPr>
      </w:pPr>
    </w:p>
    <w:p w14:paraId="6778FCE2">
      <w:pPr>
        <w:pStyle w:val="14"/>
        <w:spacing w:before="56" w:line="360" w:lineRule="auto"/>
        <w:ind w:right="650" w:firstLine="4922" w:firstLineChars="2344"/>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企业名称（章）： </w:t>
      </w:r>
    </w:p>
    <w:p w14:paraId="47D920D2">
      <w:pPr>
        <w:pStyle w:val="14"/>
        <w:spacing w:before="56" w:line="360" w:lineRule="auto"/>
        <w:ind w:right="1808" w:firstLine="4922" w:firstLineChars="2344"/>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w:t>
      </w:r>
    </w:p>
    <w:p w14:paraId="315015CD">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1C0A36CD">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68F3CC50">
      <w:pPr>
        <w:pStyle w:val="19"/>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附：</w:t>
      </w:r>
    </w:p>
    <w:p w14:paraId="4442E6CD">
      <w:pPr>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中小微企业划型标准</w:t>
      </w:r>
    </w:p>
    <w:p w14:paraId="6B5B7B05">
      <w:pPr>
        <w:ind w:left="1871"/>
        <w:rPr>
          <w:rFonts w:hint="eastAsia" w:ascii="宋体" w:hAnsi="宋体" w:eastAsia="宋体" w:cs="宋体"/>
          <w:color w:val="auto"/>
          <w:szCs w:val="21"/>
          <w:highlight w:val="none"/>
        </w:rPr>
      </w:pPr>
    </w:p>
    <w:tbl>
      <w:tblPr>
        <w:tblStyle w:val="31"/>
        <w:tblW w:w="9017" w:type="dxa"/>
        <w:jc w:val="center"/>
        <w:tblLayout w:type="fixed"/>
        <w:tblCellMar>
          <w:top w:w="0" w:type="dxa"/>
          <w:left w:w="108" w:type="dxa"/>
          <w:bottom w:w="0" w:type="dxa"/>
          <w:right w:w="108" w:type="dxa"/>
        </w:tblCellMar>
      </w:tblPr>
      <w:tblGrid>
        <w:gridCol w:w="1921"/>
        <w:gridCol w:w="1563"/>
        <w:gridCol w:w="1031"/>
        <w:gridCol w:w="1830"/>
        <w:gridCol w:w="1627"/>
        <w:gridCol w:w="1045"/>
      </w:tblGrid>
      <w:tr w14:paraId="27B8D1BD">
        <w:tblPrEx>
          <w:tblCellMar>
            <w:top w:w="0" w:type="dxa"/>
            <w:left w:w="108" w:type="dxa"/>
            <w:bottom w:w="0" w:type="dxa"/>
            <w:right w:w="108" w:type="dxa"/>
          </w:tblCellMar>
        </w:tblPrEx>
        <w:trPr>
          <w:trHeight w:val="285" w:hRule="atLeast"/>
          <w:jc w:val="center"/>
        </w:trPr>
        <w:tc>
          <w:tcPr>
            <w:tcW w:w="1921" w:type="dxa"/>
            <w:tcBorders>
              <w:top w:val="single" w:color="auto" w:sz="4" w:space="0"/>
              <w:left w:val="single" w:color="auto" w:sz="4" w:space="0"/>
              <w:bottom w:val="single" w:color="auto" w:sz="4" w:space="0"/>
              <w:right w:val="single" w:color="auto" w:sz="4" w:space="0"/>
            </w:tcBorders>
            <w:noWrap w:val="0"/>
            <w:vAlign w:val="center"/>
          </w:tcPr>
          <w:p w14:paraId="293A4917">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563" w:type="dxa"/>
            <w:tcBorders>
              <w:top w:val="single" w:color="auto" w:sz="4" w:space="0"/>
              <w:left w:val="nil"/>
              <w:bottom w:val="single" w:color="auto" w:sz="4" w:space="0"/>
              <w:right w:val="single" w:color="auto" w:sz="4" w:space="0"/>
            </w:tcBorders>
            <w:noWrap w:val="0"/>
            <w:vAlign w:val="center"/>
          </w:tcPr>
          <w:p w14:paraId="1FCD09F6">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1031" w:type="dxa"/>
            <w:tcBorders>
              <w:top w:val="single" w:color="auto" w:sz="4" w:space="0"/>
              <w:left w:val="nil"/>
              <w:bottom w:val="single" w:color="auto" w:sz="4" w:space="0"/>
              <w:right w:val="single" w:color="auto" w:sz="4" w:space="0"/>
            </w:tcBorders>
            <w:noWrap w:val="0"/>
            <w:vAlign w:val="center"/>
          </w:tcPr>
          <w:p w14:paraId="4DEB59D5">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830" w:type="dxa"/>
            <w:tcBorders>
              <w:top w:val="single" w:color="auto" w:sz="4" w:space="0"/>
              <w:left w:val="nil"/>
              <w:bottom w:val="single" w:color="auto" w:sz="4" w:space="0"/>
              <w:right w:val="single" w:color="auto" w:sz="4" w:space="0"/>
            </w:tcBorders>
            <w:noWrap w:val="0"/>
            <w:vAlign w:val="center"/>
          </w:tcPr>
          <w:p w14:paraId="67E8BD7D">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627" w:type="dxa"/>
            <w:tcBorders>
              <w:top w:val="single" w:color="auto" w:sz="4" w:space="0"/>
              <w:left w:val="nil"/>
              <w:bottom w:val="single" w:color="auto" w:sz="4" w:space="0"/>
              <w:right w:val="single" w:color="auto" w:sz="4" w:space="0"/>
            </w:tcBorders>
            <w:noWrap w:val="0"/>
            <w:vAlign w:val="center"/>
          </w:tcPr>
          <w:p w14:paraId="7B2C7946">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045" w:type="dxa"/>
            <w:tcBorders>
              <w:top w:val="single" w:color="auto" w:sz="4" w:space="0"/>
              <w:left w:val="nil"/>
              <w:bottom w:val="single" w:color="auto" w:sz="4" w:space="0"/>
              <w:right w:val="single" w:color="auto" w:sz="4" w:space="0"/>
            </w:tcBorders>
            <w:noWrap w:val="0"/>
            <w:vAlign w:val="center"/>
          </w:tcPr>
          <w:p w14:paraId="4E78987E">
            <w:pPr>
              <w:widowControl/>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1291CA50">
        <w:tblPrEx>
          <w:tblCellMar>
            <w:top w:w="0" w:type="dxa"/>
            <w:left w:w="108" w:type="dxa"/>
            <w:bottom w:w="0" w:type="dxa"/>
            <w:right w:w="108" w:type="dxa"/>
          </w:tblCellMar>
        </w:tblPrEx>
        <w:trPr>
          <w:trHeight w:val="225" w:hRule="atLeast"/>
          <w:jc w:val="center"/>
        </w:trPr>
        <w:tc>
          <w:tcPr>
            <w:tcW w:w="1921" w:type="dxa"/>
            <w:tcBorders>
              <w:top w:val="nil"/>
              <w:left w:val="single" w:color="auto" w:sz="4" w:space="0"/>
              <w:bottom w:val="single" w:color="auto" w:sz="4" w:space="0"/>
              <w:right w:val="single" w:color="auto" w:sz="4" w:space="0"/>
            </w:tcBorders>
            <w:noWrap w:val="0"/>
            <w:vAlign w:val="center"/>
          </w:tcPr>
          <w:p w14:paraId="409E613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563" w:type="dxa"/>
            <w:tcBorders>
              <w:top w:val="nil"/>
              <w:left w:val="nil"/>
              <w:bottom w:val="single" w:color="auto" w:sz="4" w:space="0"/>
              <w:right w:val="single" w:color="auto" w:sz="4" w:space="0"/>
            </w:tcBorders>
            <w:noWrap w:val="0"/>
            <w:vAlign w:val="center"/>
          </w:tcPr>
          <w:p w14:paraId="3C9CCE3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1031" w:type="dxa"/>
            <w:tcBorders>
              <w:top w:val="nil"/>
              <w:left w:val="nil"/>
              <w:bottom w:val="single" w:color="auto" w:sz="4" w:space="0"/>
              <w:right w:val="single" w:color="auto" w:sz="4" w:space="0"/>
            </w:tcBorders>
            <w:noWrap w:val="0"/>
            <w:vAlign w:val="center"/>
          </w:tcPr>
          <w:p w14:paraId="246D9F1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30" w:type="dxa"/>
            <w:tcBorders>
              <w:top w:val="nil"/>
              <w:left w:val="nil"/>
              <w:bottom w:val="single" w:color="auto" w:sz="4" w:space="0"/>
              <w:right w:val="single" w:color="auto" w:sz="4" w:space="0"/>
            </w:tcBorders>
            <w:noWrap w:val="0"/>
            <w:vAlign w:val="center"/>
          </w:tcPr>
          <w:p w14:paraId="264C6CA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627" w:type="dxa"/>
            <w:tcBorders>
              <w:top w:val="nil"/>
              <w:left w:val="nil"/>
              <w:bottom w:val="single" w:color="auto" w:sz="4" w:space="0"/>
              <w:right w:val="single" w:color="auto" w:sz="4" w:space="0"/>
            </w:tcBorders>
            <w:noWrap w:val="0"/>
            <w:vAlign w:val="center"/>
          </w:tcPr>
          <w:p w14:paraId="3B116D0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50≤Y＜500</w:t>
            </w:r>
          </w:p>
        </w:tc>
        <w:tc>
          <w:tcPr>
            <w:tcW w:w="1045" w:type="dxa"/>
            <w:tcBorders>
              <w:top w:val="nil"/>
              <w:left w:val="nil"/>
              <w:bottom w:val="single" w:color="auto" w:sz="4" w:space="0"/>
              <w:right w:val="single" w:color="auto" w:sz="4" w:space="0"/>
            </w:tcBorders>
            <w:noWrap w:val="0"/>
            <w:vAlign w:val="center"/>
          </w:tcPr>
          <w:p w14:paraId="74ED35F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70E5AD28">
        <w:tblPrEx>
          <w:tblCellMar>
            <w:top w:w="0" w:type="dxa"/>
            <w:left w:w="108" w:type="dxa"/>
            <w:bottom w:w="0" w:type="dxa"/>
            <w:right w:w="108" w:type="dxa"/>
          </w:tblCellMar>
        </w:tblPrEx>
        <w:trPr>
          <w:trHeight w:val="225" w:hRule="atLeast"/>
          <w:jc w:val="center"/>
        </w:trPr>
        <w:tc>
          <w:tcPr>
            <w:tcW w:w="1921" w:type="dxa"/>
            <w:vMerge w:val="restart"/>
            <w:tcBorders>
              <w:top w:val="nil"/>
              <w:left w:val="single" w:color="auto" w:sz="4" w:space="0"/>
              <w:bottom w:val="single" w:color="auto" w:sz="4" w:space="0"/>
              <w:right w:val="single" w:color="auto" w:sz="4" w:space="0"/>
            </w:tcBorders>
            <w:noWrap w:val="0"/>
            <w:vAlign w:val="center"/>
          </w:tcPr>
          <w:p w14:paraId="76E071B8">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563" w:type="dxa"/>
            <w:tcBorders>
              <w:top w:val="nil"/>
              <w:left w:val="nil"/>
              <w:bottom w:val="single" w:color="auto" w:sz="4" w:space="0"/>
              <w:right w:val="single" w:color="auto" w:sz="4" w:space="0"/>
            </w:tcBorders>
            <w:noWrap w:val="0"/>
            <w:vAlign w:val="center"/>
          </w:tcPr>
          <w:p w14:paraId="3616472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1031" w:type="dxa"/>
            <w:tcBorders>
              <w:top w:val="nil"/>
              <w:left w:val="nil"/>
              <w:bottom w:val="single" w:color="auto" w:sz="4" w:space="0"/>
              <w:right w:val="single" w:color="auto" w:sz="4" w:space="0"/>
            </w:tcBorders>
            <w:noWrap w:val="0"/>
            <w:vAlign w:val="center"/>
          </w:tcPr>
          <w:p w14:paraId="130A521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30" w:type="dxa"/>
            <w:tcBorders>
              <w:top w:val="nil"/>
              <w:left w:val="nil"/>
              <w:bottom w:val="single" w:color="auto" w:sz="4" w:space="0"/>
              <w:right w:val="single" w:color="auto" w:sz="4" w:space="0"/>
            </w:tcBorders>
            <w:noWrap w:val="0"/>
            <w:vAlign w:val="center"/>
          </w:tcPr>
          <w:p w14:paraId="3D9CB90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627" w:type="dxa"/>
            <w:tcBorders>
              <w:top w:val="nil"/>
              <w:left w:val="nil"/>
              <w:bottom w:val="single" w:color="auto" w:sz="4" w:space="0"/>
              <w:right w:val="single" w:color="auto" w:sz="4" w:space="0"/>
            </w:tcBorders>
            <w:noWrap w:val="0"/>
            <w:vAlign w:val="center"/>
          </w:tcPr>
          <w:p w14:paraId="569F134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045" w:type="dxa"/>
            <w:tcBorders>
              <w:top w:val="nil"/>
              <w:left w:val="nil"/>
              <w:bottom w:val="single" w:color="auto" w:sz="4" w:space="0"/>
              <w:right w:val="single" w:color="auto" w:sz="4" w:space="0"/>
            </w:tcBorders>
            <w:noWrap w:val="0"/>
            <w:vAlign w:val="center"/>
          </w:tcPr>
          <w:p w14:paraId="45B49C2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28168B22">
        <w:tblPrEx>
          <w:tblCellMar>
            <w:top w:w="0" w:type="dxa"/>
            <w:left w:w="108" w:type="dxa"/>
            <w:bottom w:w="0" w:type="dxa"/>
            <w:right w:w="108" w:type="dxa"/>
          </w:tblCellMar>
        </w:tblPrEx>
        <w:trPr>
          <w:trHeight w:val="225" w:hRule="atLeast"/>
          <w:jc w:val="center"/>
        </w:trPr>
        <w:tc>
          <w:tcPr>
            <w:tcW w:w="1921" w:type="dxa"/>
            <w:vMerge w:val="continue"/>
            <w:tcBorders>
              <w:top w:val="nil"/>
              <w:left w:val="single" w:color="auto" w:sz="4" w:space="0"/>
              <w:bottom w:val="single" w:color="auto" w:sz="4" w:space="0"/>
              <w:right w:val="single" w:color="auto" w:sz="4" w:space="0"/>
            </w:tcBorders>
            <w:noWrap w:val="0"/>
            <w:vAlign w:val="center"/>
          </w:tcPr>
          <w:p w14:paraId="66504E1E">
            <w:pPr>
              <w:widowControl/>
              <w:jc w:val="center"/>
              <w:rPr>
                <w:rFonts w:hint="eastAsia" w:ascii="宋体" w:hAnsi="宋体" w:eastAsia="宋体" w:cs="宋体"/>
                <w:b/>
                <w:bCs/>
                <w:color w:val="auto"/>
                <w:kern w:val="0"/>
                <w:sz w:val="18"/>
                <w:szCs w:val="18"/>
                <w:highlight w:val="none"/>
              </w:rPr>
            </w:pPr>
          </w:p>
        </w:tc>
        <w:tc>
          <w:tcPr>
            <w:tcW w:w="1563" w:type="dxa"/>
            <w:tcBorders>
              <w:top w:val="nil"/>
              <w:left w:val="nil"/>
              <w:bottom w:val="single" w:color="auto" w:sz="4" w:space="0"/>
              <w:right w:val="single" w:color="auto" w:sz="4" w:space="0"/>
            </w:tcBorders>
            <w:noWrap w:val="0"/>
            <w:vAlign w:val="center"/>
          </w:tcPr>
          <w:p w14:paraId="712F274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1031" w:type="dxa"/>
            <w:tcBorders>
              <w:top w:val="nil"/>
              <w:left w:val="nil"/>
              <w:bottom w:val="single" w:color="auto" w:sz="4" w:space="0"/>
              <w:right w:val="single" w:color="auto" w:sz="4" w:space="0"/>
            </w:tcBorders>
            <w:noWrap w:val="0"/>
            <w:vAlign w:val="center"/>
          </w:tcPr>
          <w:p w14:paraId="79A19A2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30" w:type="dxa"/>
            <w:tcBorders>
              <w:top w:val="nil"/>
              <w:left w:val="nil"/>
              <w:bottom w:val="single" w:color="auto" w:sz="4" w:space="0"/>
              <w:right w:val="single" w:color="auto" w:sz="4" w:space="0"/>
            </w:tcBorders>
            <w:noWrap w:val="0"/>
            <w:vAlign w:val="center"/>
          </w:tcPr>
          <w:p w14:paraId="1FEFADF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1627" w:type="dxa"/>
            <w:tcBorders>
              <w:top w:val="nil"/>
              <w:left w:val="nil"/>
              <w:bottom w:val="single" w:color="auto" w:sz="4" w:space="0"/>
              <w:right w:val="single" w:color="auto" w:sz="4" w:space="0"/>
            </w:tcBorders>
            <w:noWrap w:val="0"/>
            <w:vAlign w:val="center"/>
          </w:tcPr>
          <w:p w14:paraId="6A494EE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1045" w:type="dxa"/>
            <w:tcBorders>
              <w:top w:val="nil"/>
              <w:left w:val="nil"/>
              <w:bottom w:val="single" w:color="auto" w:sz="4" w:space="0"/>
              <w:right w:val="single" w:color="auto" w:sz="4" w:space="0"/>
            </w:tcBorders>
            <w:noWrap w:val="0"/>
            <w:vAlign w:val="center"/>
          </w:tcPr>
          <w:p w14:paraId="17F8CD2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0B002E18">
        <w:tblPrEx>
          <w:tblCellMar>
            <w:top w:w="0" w:type="dxa"/>
            <w:left w:w="108" w:type="dxa"/>
            <w:bottom w:w="0" w:type="dxa"/>
            <w:right w:w="108" w:type="dxa"/>
          </w:tblCellMar>
        </w:tblPrEx>
        <w:trPr>
          <w:trHeight w:val="225" w:hRule="atLeast"/>
          <w:jc w:val="center"/>
        </w:trPr>
        <w:tc>
          <w:tcPr>
            <w:tcW w:w="1921" w:type="dxa"/>
            <w:vMerge w:val="restart"/>
            <w:tcBorders>
              <w:top w:val="nil"/>
              <w:left w:val="single" w:color="auto" w:sz="4" w:space="0"/>
              <w:bottom w:val="single" w:color="auto" w:sz="4" w:space="0"/>
              <w:right w:val="single" w:color="auto" w:sz="4" w:space="0"/>
            </w:tcBorders>
            <w:noWrap w:val="0"/>
            <w:vAlign w:val="center"/>
          </w:tcPr>
          <w:p w14:paraId="1BD8E0E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563" w:type="dxa"/>
            <w:tcBorders>
              <w:top w:val="nil"/>
              <w:left w:val="nil"/>
              <w:bottom w:val="single" w:color="auto" w:sz="4" w:space="0"/>
              <w:right w:val="single" w:color="auto" w:sz="4" w:space="0"/>
            </w:tcBorders>
            <w:noWrap w:val="0"/>
            <w:vAlign w:val="center"/>
          </w:tcPr>
          <w:p w14:paraId="24449AA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1031" w:type="dxa"/>
            <w:tcBorders>
              <w:top w:val="nil"/>
              <w:left w:val="nil"/>
              <w:bottom w:val="single" w:color="auto" w:sz="4" w:space="0"/>
              <w:right w:val="single" w:color="auto" w:sz="4" w:space="0"/>
            </w:tcBorders>
            <w:noWrap w:val="0"/>
            <w:vAlign w:val="center"/>
          </w:tcPr>
          <w:p w14:paraId="5EC2621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30" w:type="dxa"/>
            <w:tcBorders>
              <w:top w:val="nil"/>
              <w:left w:val="nil"/>
              <w:bottom w:val="single" w:color="auto" w:sz="4" w:space="0"/>
              <w:right w:val="single" w:color="auto" w:sz="4" w:space="0"/>
            </w:tcBorders>
            <w:noWrap w:val="0"/>
            <w:vAlign w:val="center"/>
          </w:tcPr>
          <w:p w14:paraId="7B45A39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1627" w:type="dxa"/>
            <w:tcBorders>
              <w:top w:val="nil"/>
              <w:left w:val="nil"/>
              <w:bottom w:val="single" w:color="auto" w:sz="4" w:space="0"/>
              <w:right w:val="single" w:color="auto" w:sz="4" w:space="0"/>
            </w:tcBorders>
            <w:noWrap w:val="0"/>
            <w:vAlign w:val="center"/>
          </w:tcPr>
          <w:p w14:paraId="32FE831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300≤Y＜6000</w:t>
            </w:r>
          </w:p>
        </w:tc>
        <w:tc>
          <w:tcPr>
            <w:tcW w:w="1045" w:type="dxa"/>
            <w:tcBorders>
              <w:top w:val="nil"/>
              <w:left w:val="nil"/>
              <w:bottom w:val="single" w:color="auto" w:sz="4" w:space="0"/>
              <w:right w:val="single" w:color="auto" w:sz="4" w:space="0"/>
            </w:tcBorders>
            <w:noWrap w:val="0"/>
            <w:vAlign w:val="center"/>
          </w:tcPr>
          <w:p w14:paraId="0A98722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69E034B3">
        <w:tblPrEx>
          <w:tblCellMar>
            <w:top w:w="0" w:type="dxa"/>
            <w:left w:w="108" w:type="dxa"/>
            <w:bottom w:w="0" w:type="dxa"/>
            <w:right w:w="108" w:type="dxa"/>
          </w:tblCellMar>
        </w:tblPrEx>
        <w:trPr>
          <w:trHeight w:val="225" w:hRule="atLeast"/>
          <w:jc w:val="center"/>
        </w:trPr>
        <w:tc>
          <w:tcPr>
            <w:tcW w:w="1921" w:type="dxa"/>
            <w:vMerge w:val="continue"/>
            <w:tcBorders>
              <w:top w:val="nil"/>
              <w:left w:val="single" w:color="auto" w:sz="4" w:space="0"/>
              <w:bottom w:val="single" w:color="auto" w:sz="4" w:space="0"/>
              <w:right w:val="single" w:color="auto" w:sz="4" w:space="0"/>
            </w:tcBorders>
            <w:noWrap w:val="0"/>
            <w:vAlign w:val="center"/>
          </w:tcPr>
          <w:p w14:paraId="495D4068">
            <w:pPr>
              <w:widowControl/>
              <w:jc w:val="center"/>
              <w:rPr>
                <w:rFonts w:hint="eastAsia" w:ascii="宋体" w:hAnsi="宋体" w:eastAsia="宋体" w:cs="宋体"/>
                <w:b/>
                <w:bCs/>
                <w:color w:val="auto"/>
                <w:kern w:val="0"/>
                <w:sz w:val="18"/>
                <w:szCs w:val="18"/>
                <w:highlight w:val="none"/>
              </w:rPr>
            </w:pPr>
          </w:p>
        </w:tc>
        <w:tc>
          <w:tcPr>
            <w:tcW w:w="1563" w:type="dxa"/>
            <w:tcBorders>
              <w:top w:val="nil"/>
              <w:left w:val="nil"/>
              <w:bottom w:val="single" w:color="auto" w:sz="4" w:space="0"/>
              <w:right w:val="single" w:color="auto" w:sz="4" w:space="0"/>
            </w:tcBorders>
            <w:noWrap w:val="0"/>
            <w:vAlign w:val="center"/>
          </w:tcPr>
          <w:p w14:paraId="1BA5310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1031" w:type="dxa"/>
            <w:tcBorders>
              <w:top w:val="nil"/>
              <w:left w:val="nil"/>
              <w:bottom w:val="single" w:color="auto" w:sz="4" w:space="0"/>
              <w:right w:val="single" w:color="auto" w:sz="4" w:space="0"/>
            </w:tcBorders>
            <w:noWrap w:val="0"/>
            <w:vAlign w:val="center"/>
          </w:tcPr>
          <w:p w14:paraId="0A4D895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30" w:type="dxa"/>
            <w:tcBorders>
              <w:top w:val="nil"/>
              <w:left w:val="nil"/>
              <w:bottom w:val="single" w:color="auto" w:sz="4" w:space="0"/>
              <w:right w:val="single" w:color="auto" w:sz="4" w:space="0"/>
            </w:tcBorders>
            <w:noWrap w:val="0"/>
            <w:vAlign w:val="center"/>
          </w:tcPr>
          <w:p w14:paraId="17A073E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1627" w:type="dxa"/>
            <w:tcBorders>
              <w:top w:val="nil"/>
              <w:left w:val="nil"/>
              <w:bottom w:val="single" w:color="auto" w:sz="4" w:space="0"/>
              <w:right w:val="single" w:color="auto" w:sz="4" w:space="0"/>
            </w:tcBorders>
            <w:noWrap w:val="0"/>
            <w:vAlign w:val="center"/>
          </w:tcPr>
          <w:p w14:paraId="403EA31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300≤Z＜5000</w:t>
            </w:r>
          </w:p>
        </w:tc>
        <w:tc>
          <w:tcPr>
            <w:tcW w:w="1045" w:type="dxa"/>
            <w:tcBorders>
              <w:top w:val="nil"/>
              <w:left w:val="nil"/>
              <w:bottom w:val="single" w:color="auto" w:sz="4" w:space="0"/>
              <w:right w:val="single" w:color="auto" w:sz="4" w:space="0"/>
            </w:tcBorders>
            <w:noWrap w:val="0"/>
            <w:vAlign w:val="center"/>
          </w:tcPr>
          <w:p w14:paraId="2B8ABF2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14:paraId="6CFDD23E">
        <w:tblPrEx>
          <w:tblCellMar>
            <w:top w:w="0" w:type="dxa"/>
            <w:left w:w="108" w:type="dxa"/>
            <w:bottom w:w="0" w:type="dxa"/>
            <w:right w:w="108" w:type="dxa"/>
          </w:tblCellMar>
        </w:tblPrEx>
        <w:trPr>
          <w:trHeight w:val="225" w:hRule="atLeast"/>
          <w:jc w:val="center"/>
        </w:trPr>
        <w:tc>
          <w:tcPr>
            <w:tcW w:w="1921" w:type="dxa"/>
            <w:vMerge w:val="restart"/>
            <w:tcBorders>
              <w:top w:val="nil"/>
              <w:left w:val="single" w:color="auto" w:sz="4" w:space="0"/>
              <w:bottom w:val="single" w:color="auto" w:sz="4" w:space="0"/>
              <w:right w:val="single" w:color="auto" w:sz="4" w:space="0"/>
            </w:tcBorders>
            <w:noWrap w:val="0"/>
            <w:vAlign w:val="center"/>
          </w:tcPr>
          <w:p w14:paraId="587EA5EA">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563" w:type="dxa"/>
            <w:tcBorders>
              <w:top w:val="nil"/>
              <w:left w:val="nil"/>
              <w:bottom w:val="single" w:color="auto" w:sz="4" w:space="0"/>
              <w:right w:val="single" w:color="auto" w:sz="4" w:space="0"/>
            </w:tcBorders>
            <w:noWrap w:val="0"/>
            <w:vAlign w:val="center"/>
          </w:tcPr>
          <w:p w14:paraId="1D4CB6C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1031" w:type="dxa"/>
            <w:tcBorders>
              <w:top w:val="nil"/>
              <w:left w:val="nil"/>
              <w:bottom w:val="single" w:color="auto" w:sz="4" w:space="0"/>
              <w:right w:val="single" w:color="auto" w:sz="4" w:space="0"/>
            </w:tcBorders>
            <w:noWrap w:val="0"/>
            <w:vAlign w:val="center"/>
          </w:tcPr>
          <w:p w14:paraId="535A200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30" w:type="dxa"/>
            <w:tcBorders>
              <w:top w:val="nil"/>
              <w:left w:val="nil"/>
              <w:bottom w:val="single" w:color="auto" w:sz="4" w:space="0"/>
              <w:right w:val="single" w:color="auto" w:sz="4" w:space="0"/>
            </w:tcBorders>
            <w:noWrap w:val="0"/>
            <w:vAlign w:val="center"/>
          </w:tcPr>
          <w:p w14:paraId="79D162A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20≤X＜200</w:t>
            </w:r>
          </w:p>
        </w:tc>
        <w:tc>
          <w:tcPr>
            <w:tcW w:w="1627" w:type="dxa"/>
            <w:tcBorders>
              <w:top w:val="nil"/>
              <w:left w:val="nil"/>
              <w:bottom w:val="single" w:color="auto" w:sz="4" w:space="0"/>
              <w:right w:val="single" w:color="auto" w:sz="4" w:space="0"/>
            </w:tcBorders>
            <w:noWrap w:val="0"/>
            <w:vAlign w:val="center"/>
          </w:tcPr>
          <w:p w14:paraId="31F3040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5≤X＜20</w:t>
            </w:r>
          </w:p>
        </w:tc>
        <w:tc>
          <w:tcPr>
            <w:tcW w:w="1045" w:type="dxa"/>
            <w:tcBorders>
              <w:top w:val="nil"/>
              <w:left w:val="nil"/>
              <w:bottom w:val="single" w:color="auto" w:sz="4" w:space="0"/>
              <w:right w:val="single" w:color="auto" w:sz="4" w:space="0"/>
            </w:tcBorders>
            <w:noWrap w:val="0"/>
            <w:vAlign w:val="center"/>
          </w:tcPr>
          <w:p w14:paraId="1785B4A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X＜5</w:t>
            </w:r>
          </w:p>
        </w:tc>
      </w:tr>
      <w:tr w14:paraId="15B63141">
        <w:tblPrEx>
          <w:tblCellMar>
            <w:top w:w="0" w:type="dxa"/>
            <w:left w:w="108" w:type="dxa"/>
            <w:bottom w:w="0" w:type="dxa"/>
            <w:right w:w="108" w:type="dxa"/>
          </w:tblCellMar>
        </w:tblPrEx>
        <w:trPr>
          <w:trHeight w:val="225" w:hRule="atLeast"/>
          <w:jc w:val="center"/>
        </w:trPr>
        <w:tc>
          <w:tcPr>
            <w:tcW w:w="1921" w:type="dxa"/>
            <w:vMerge w:val="continue"/>
            <w:tcBorders>
              <w:top w:val="nil"/>
              <w:left w:val="single" w:color="auto" w:sz="4" w:space="0"/>
              <w:bottom w:val="single" w:color="auto" w:sz="4" w:space="0"/>
              <w:right w:val="single" w:color="auto" w:sz="4" w:space="0"/>
            </w:tcBorders>
            <w:noWrap w:val="0"/>
            <w:vAlign w:val="center"/>
          </w:tcPr>
          <w:p w14:paraId="69EF4C93">
            <w:pPr>
              <w:widowControl/>
              <w:jc w:val="center"/>
              <w:rPr>
                <w:rFonts w:hint="eastAsia" w:ascii="宋体" w:hAnsi="宋体" w:eastAsia="宋体" w:cs="宋体"/>
                <w:b/>
                <w:bCs/>
                <w:color w:val="auto"/>
                <w:kern w:val="0"/>
                <w:sz w:val="18"/>
                <w:szCs w:val="18"/>
                <w:highlight w:val="none"/>
              </w:rPr>
            </w:pPr>
          </w:p>
        </w:tc>
        <w:tc>
          <w:tcPr>
            <w:tcW w:w="1563" w:type="dxa"/>
            <w:tcBorders>
              <w:top w:val="nil"/>
              <w:left w:val="nil"/>
              <w:bottom w:val="single" w:color="auto" w:sz="4" w:space="0"/>
              <w:right w:val="single" w:color="auto" w:sz="4" w:space="0"/>
            </w:tcBorders>
            <w:noWrap w:val="0"/>
            <w:vAlign w:val="center"/>
          </w:tcPr>
          <w:p w14:paraId="158BC9A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1031" w:type="dxa"/>
            <w:tcBorders>
              <w:top w:val="nil"/>
              <w:left w:val="nil"/>
              <w:bottom w:val="single" w:color="auto" w:sz="4" w:space="0"/>
              <w:right w:val="single" w:color="auto" w:sz="4" w:space="0"/>
            </w:tcBorders>
            <w:noWrap w:val="0"/>
            <w:vAlign w:val="center"/>
          </w:tcPr>
          <w:p w14:paraId="54356C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30" w:type="dxa"/>
            <w:tcBorders>
              <w:top w:val="nil"/>
              <w:left w:val="nil"/>
              <w:bottom w:val="single" w:color="auto" w:sz="4" w:space="0"/>
              <w:right w:val="single" w:color="auto" w:sz="4" w:space="0"/>
            </w:tcBorders>
            <w:noWrap w:val="0"/>
            <w:vAlign w:val="center"/>
          </w:tcPr>
          <w:p w14:paraId="1E3C44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1627" w:type="dxa"/>
            <w:tcBorders>
              <w:top w:val="nil"/>
              <w:left w:val="nil"/>
              <w:bottom w:val="single" w:color="auto" w:sz="4" w:space="0"/>
              <w:right w:val="single" w:color="auto" w:sz="4" w:space="0"/>
            </w:tcBorders>
            <w:noWrap w:val="0"/>
            <w:vAlign w:val="center"/>
          </w:tcPr>
          <w:p w14:paraId="2556631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045" w:type="dxa"/>
            <w:tcBorders>
              <w:top w:val="nil"/>
              <w:left w:val="nil"/>
              <w:bottom w:val="single" w:color="auto" w:sz="4" w:space="0"/>
              <w:right w:val="single" w:color="auto" w:sz="4" w:space="0"/>
            </w:tcBorders>
            <w:noWrap w:val="0"/>
            <w:vAlign w:val="center"/>
          </w:tcPr>
          <w:p w14:paraId="44DAFF6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14:paraId="0B0F51FF">
        <w:tblPrEx>
          <w:tblCellMar>
            <w:top w:w="0" w:type="dxa"/>
            <w:left w:w="108" w:type="dxa"/>
            <w:bottom w:w="0" w:type="dxa"/>
            <w:right w:w="108" w:type="dxa"/>
          </w:tblCellMar>
        </w:tblPrEx>
        <w:trPr>
          <w:trHeight w:val="225" w:hRule="atLeast"/>
          <w:jc w:val="center"/>
        </w:trPr>
        <w:tc>
          <w:tcPr>
            <w:tcW w:w="1921" w:type="dxa"/>
            <w:vMerge w:val="restart"/>
            <w:tcBorders>
              <w:top w:val="nil"/>
              <w:left w:val="single" w:color="auto" w:sz="4" w:space="0"/>
              <w:bottom w:val="single" w:color="auto" w:sz="4" w:space="0"/>
              <w:right w:val="single" w:color="auto" w:sz="4" w:space="0"/>
            </w:tcBorders>
            <w:noWrap w:val="0"/>
            <w:vAlign w:val="center"/>
          </w:tcPr>
          <w:p w14:paraId="5169CA6A">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563" w:type="dxa"/>
            <w:tcBorders>
              <w:top w:val="nil"/>
              <w:left w:val="nil"/>
              <w:bottom w:val="single" w:color="auto" w:sz="4" w:space="0"/>
              <w:right w:val="single" w:color="auto" w:sz="4" w:space="0"/>
            </w:tcBorders>
            <w:noWrap w:val="0"/>
            <w:vAlign w:val="center"/>
          </w:tcPr>
          <w:p w14:paraId="4442FBC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1031" w:type="dxa"/>
            <w:tcBorders>
              <w:top w:val="nil"/>
              <w:left w:val="nil"/>
              <w:bottom w:val="single" w:color="auto" w:sz="4" w:space="0"/>
              <w:right w:val="single" w:color="auto" w:sz="4" w:space="0"/>
            </w:tcBorders>
            <w:noWrap w:val="0"/>
            <w:vAlign w:val="center"/>
          </w:tcPr>
          <w:p w14:paraId="287EAA1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30" w:type="dxa"/>
            <w:tcBorders>
              <w:top w:val="nil"/>
              <w:left w:val="nil"/>
              <w:bottom w:val="single" w:color="auto" w:sz="4" w:space="0"/>
              <w:right w:val="single" w:color="auto" w:sz="4" w:space="0"/>
            </w:tcBorders>
            <w:noWrap w:val="0"/>
            <w:vAlign w:val="center"/>
          </w:tcPr>
          <w:p w14:paraId="7B17F5A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50≤X＜300</w:t>
            </w:r>
          </w:p>
        </w:tc>
        <w:tc>
          <w:tcPr>
            <w:tcW w:w="1627" w:type="dxa"/>
            <w:tcBorders>
              <w:top w:val="nil"/>
              <w:left w:val="nil"/>
              <w:bottom w:val="single" w:color="auto" w:sz="4" w:space="0"/>
              <w:right w:val="single" w:color="auto" w:sz="4" w:space="0"/>
            </w:tcBorders>
            <w:noWrap w:val="0"/>
            <w:vAlign w:val="center"/>
          </w:tcPr>
          <w:p w14:paraId="1FA43A7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10≤X＜50</w:t>
            </w:r>
          </w:p>
        </w:tc>
        <w:tc>
          <w:tcPr>
            <w:tcW w:w="1045" w:type="dxa"/>
            <w:tcBorders>
              <w:top w:val="nil"/>
              <w:left w:val="nil"/>
              <w:bottom w:val="single" w:color="auto" w:sz="4" w:space="0"/>
              <w:right w:val="single" w:color="auto" w:sz="4" w:space="0"/>
            </w:tcBorders>
            <w:noWrap w:val="0"/>
            <w:vAlign w:val="center"/>
          </w:tcPr>
          <w:p w14:paraId="5BF540B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5F45F7BA">
        <w:tblPrEx>
          <w:tblCellMar>
            <w:top w:w="0" w:type="dxa"/>
            <w:left w:w="108" w:type="dxa"/>
            <w:bottom w:w="0" w:type="dxa"/>
            <w:right w:w="108" w:type="dxa"/>
          </w:tblCellMar>
        </w:tblPrEx>
        <w:trPr>
          <w:trHeight w:val="225" w:hRule="atLeast"/>
          <w:jc w:val="center"/>
        </w:trPr>
        <w:tc>
          <w:tcPr>
            <w:tcW w:w="1921" w:type="dxa"/>
            <w:vMerge w:val="continue"/>
            <w:tcBorders>
              <w:top w:val="nil"/>
              <w:left w:val="single" w:color="auto" w:sz="4" w:space="0"/>
              <w:bottom w:val="single" w:color="auto" w:sz="4" w:space="0"/>
              <w:right w:val="single" w:color="auto" w:sz="4" w:space="0"/>
            </w:tcBorders>
            <w:noWrap w:val="0"/>
            <w:vAlign w:val="center"/>
          </w:tcPr>
          <w:p w14:paraId="1F73C64A">
            <w:pPr>
              <w:widowControl/>
              <w:jc w:val="center"/>
              <w:rPr>
                <w:rFonts w:hint="eastAsia" w:ascii="宋体" w:hAnsi="宋体" w:eastAsia="宋体" w:cs="宋体"/>
                <w:b/>
                <w:bCs/>
                <w:color w:val="auto"/>
                <w:kern w:val="0"/>
                <w:sz w:val="18"/>
                <w:szCs w:val="18"/>
                <w:highlight w:val="none"/>
              </w:rPr>
            </w:pPr>
          </w:p>
        </w:tc>
        <w:tc>
          <w:tcPr>
            <w:tcW w:w="1563" w:type="dxa"/>
            <w:tcBorders>
              <w:top w:val="nil"/>
              <w:left w:val="nil"/>
              <w:bottom w:val="single" w:color="auto" w:sz="4" w:space="0"/>
              <w:right w:val="single" w:color="auto" w:sz="4" w:space="0"/>
            </w:tcBorders>
            <w:noWrap w:val="0"/>
            <w:vAlign w:val="center"/>
          </w:tcPr>
          <w:p w14:paraId="472F307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1031" w:type="dxa"/>
            <w:tcBorders>
              <w:top w:val="nil"/>
              <w:left w:val="nil"/>
              <w:bottom w:val="single" w:color="auto" w:sz="4" w:space="0"/>
              <w:right w:val="single" w:color="auto" w:sz="4" w:space="0"/>
            </w:tcBorders>
            <w:noWrap w:val="0"/>
            <w:vAlign w:val="center"/>
          </w:tcPr>
          <w:p w14:paraId="17ACB08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30" w:type="dxa"/>
            <w:tcBorders>
              <w:top w:val="nil"/>
              <w:left w:val="nil"/>
              <w:bottom w:val="single" w:color="auto" w:sz="4" w:space="0"/>
              <w:right w:val="single" w:color="auto" w:sz="4" w:space="0"/>
            </w:tcBorders>
            <w:noWrap w:val="0"/>
            <w:vAlign w:val="center"/>
          </w:tcPr>
          <w:p w14:paraId="090755C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627" w:type="dxa"/>
            <w:tcBorders>
              <w:top w:val="nil"/>
              <w:left w:val="nil"/>
              <w:bottom w:val="single" w:color="auto" w:sz="4" w:space="0"/>
              <w:right w:val="single" w:color="auto" w:sz="4" w:space="0"/>
            </w:tcBorders>
            <w:noWrap w:val="0"/>
            <w:vAlign w:val="center"/>
          </w:tcPr>
          <w:p w14:paraId="25E4AA2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100≤Y＜500</w:t>
            </w:r>
          </w:p>
        </w:tc>
        <w:tc>
          <w:tcPr>
            <w:tcW w:w="1045" w:type="dxa"/>
            <w:tcBorders>
              <w:top w:val="nil"/>
              <w:left w:val="nil"/>
              <w:bottom w:val="single" w:color="auto" w:sz="4" w:space="0"/>
              <w:right w:val="single" w:color="auto" w:sz="4" w:space="0"/>
            </w:tcBorders>
            <w:noWrap w:val="0"/>
            <w:vAlign w:val="center"/>
          </w:tcPr>
          <w:p w14:paraId="4AD3896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11410864">
        <w:tblPrEx>
          <w:tblCellMar>
            <w:top w:w="0" w:type="dxa"/>
            <w:left w:w="108" w:type="dxa"/>
            <w:bottom w:w="0" w:type="dxa"/>
            <w:right w:w="108" w:type="dxa"/>
          </w:tblCellMar>
        </w:tblPrEx>
        <w:trPr>
          <w:trHeight w:val="225" w:hRule="atLeast"/>
          <w:jc w:val="center"/>
        </w:trPr>
        <w:tc>
          <w:tcPr>
            <w:tcW w:w="1921" w:type="dxa"/>
            <w:vMerge w:val="restart"/>
            <w:tcBorders>
              <w:top w:val="nil"/>
              <w:left w:val="single" w:color="auto" w:sz="4" w:space="0"/>
              <w:bottom w:val="single" w:color="auto" w:sz="4" w:space="0"/>
              <w:right w:val="single" w:color="auto" w:sz="4" w:space="0"/>
            </w:tcBorders>
            <w:noWrap w:val="0"/>
            <w:vAlign w:val="center"/>
          </w:tcPr>
          <w:p w14:paraId="429CBB12">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563" w:type="dxa"/>
            <w:tcBorders>
              <w:top w:val="nil"/>
              <w:left w:val="nil"/>
              <w:bottom w:val="single" w:color="auto" w:sz="4" w:space="0"/>
              <w:right w:val="single" w:color="auto" w:sz="4" w:space="0"/>
            </w:tcBorders>
            <w:noWrap w:val="0"/>
            <w:vAlign w:val="center"/>
          </w:tcPr>
          <w:p w14:paraId="059FB63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1031" w:type="dxa"/>
            <w:tcBorders>
              <w:top w:val="nil"/>
              <w:left w:val="nil"/>
              <w:bottom w:val="single" w:color="auto" w:sz="4" w:space="0"/>
              <w:right w:val="single" w:color="auto" w:sz="4" w:space="0"/>
            </w:tcBorders>
            <w:noWrap w:val="0"/>
            <w:vAlign w:val="center"/>
          </w:tcPr>
          <w:p w14:paraId="14C05B1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30" w:type="dxa"/>
            <w:tcBorders>
              <w:top w:val="nil"/>
              <w:left w:val="nil"/>
              <w:bottom w:val="single" w:color="auto" w:sz="4" w:space="0"/>
              <w:right w:val="single" w:color="auto" w:sz="4" w:space="0"/>
            </w:tcBorders>
            <w:noWrap w:val="0"/>
            <w:vAlign w:val="center"/>
          </w:tcPr>
          <w:p w14:paraId="08DA7DE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627" w:type="dxa"/>
            <w:tcBorders>
              <w:top w:val="nil"/>
              <w:left w:val="nil"/>
              <w:bottom w:val="single" w:color="auto" w:sz="4" w:space="0"/>
              <w:right w:val="single" w:color="auto" w:sz="4" w:space="0"/>
            </w:tcBorders>
            <w:noWrap w:val="0"/>
            <w:vAlign w:val="center"/>
          </w:tcPr>
          <w:p w14:paraId="43894B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045" w:type="dxa"/>
            <w:tcBorders>
              <w:top w:val="nil"/>
              <w:left w:val="nil"/>
              <w:bottom w:val="single" w:color="auto" w:sz="4" w:space="0"/>
              <w:right w:val="single" w:color="auto" w:sz="4" w:space="0"/>
            </w:tcBorders>
            <w:noWrap w:val="0"/>
            <w:vAlign w:val="center"/>
          </w:tcPr>
          <w:p w14:paraId="385AB2F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3EC46B87">
        <w:tblPrEx>
          <w:tblCellMar>
            <w:top w:w="0" w:type="dxa"/>
            <w:left w:w="108" w:type="dxa"/>
            <w:bottom w:w="0" w:type="dxa"/>
            <w:right w:w="108" w:type="dxa"/>
          </w:tblCellMar>
        </w:tblPrEx>
        <w:trPr>
          <w:trHeight w:val="225" w:hRule="atLeast"/>
          <w:jc w:val="center"/>
        </w:trPr>
        <w:tc>
          <w:tcPr>
            <w:tcW w:w="1921" w:type="dxa"/>
            <w:vMerge w:val="continue"/>
            <w:tcBorders>
              <w:top w:val="nil"/>
              <w:left w:val="single" w:color="auto" w:sz="4" w:space="0"/>
              <w:bottom w:val="single" w:color="auto" w:sz="4" w:space="0"/>
              <w:right w:val="single" w:color="auto" w:sz="4" w:space="0"/>
            </w:tcBorders>
            <w:noWrap w:val="0"/>
            <w:vAlign w:val="center"/>
          </w:tcPr>
          <w:p w14:paraId="01F1A637">
            <w:pPr>
              <w:widowControl/>
              <w:jc w:val="center"/>
              <w:rPr>
                <w:rFonts w:hint="eastAsia" w:ascii="宋体" w:hAnsi="宋体" w:eastAsia="宋体" w:cs="宋体"/>
                <w:b/>
                <w:bCs/>
                <w:color w:val="auto"/>
                <w:kern w:val="0"/>
                <w:sz w:val="18"/>
                <w:szCs w:val="18"/>
                <w:highlight w:val="none"/>
              </w:rPr>
            </w:pPr>
          </w:p>
        </w:tc>
        <w:tc>
          <w:tcPr>
            <w:tcW w:w="1563" w:type="dxa"/>
            <w:tcBorders>
              <w:top w:val="nil"/>
              <w:left w:val="nil"/>
              <w:bottom w:val="single" w:color="auto" w:sz="4" w:space="0"/>
              <w:right w:val="single" w:color="auto" w:sz="4" w:space="0"/>
            </w:tcBorders>
            <w:noWrap w:val="0"/>
            <w:vAlign w:val="center"/>
          </w:tcPr>
          <w:p w14:paraId="4B97759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1031" w:type="dxa"/>
            <w:tcBorders>
              <w:top w:val="nil"/>
              <w:left w:val="nil"/>
              <w:bottom w:val="single" w:color="auto" w:sz="4" w:space="0"/>
              <w:right w:val="single" w:color="auto" w:sz="4" w:space="0"/>
            </w:tcBorders>
            <w:noWrap w:val="0"/>
            <w:vAlign w:val="center"/>
          </w:tcPr>
          <w:p w14:paraId="477145C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30" w:type="dxa"/>
            <w:tcBorders>
              <w:top w:val="nil"/>
              <w:left w:val="nil"/>
              <w:bottom w:val="single" w:color="auto" w:sz="4" w:space="0"/>
              <w:right w:val="single" w:color="auto" w:sz="4" w:space="0"/>
            </w:tcBorders>
            <w:noWrap w:val="0"/>
            <w:vAlign w:val="center"/>
          </w:tcPr>
          <w:p w14:paraId="0D51614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1627" w:type="dxa"/>
            <w:tcBorders>
              <w:top w:val="nil"/>
              <w:left w:val="nil"/>
              <w:bottom w:val="single" w:color="auto" w:sz="4" w:space="0"/>
              <w:right w:val="single" w:color="auto" w:sz="4" w:space="0"/>
            </w:tcBorders>
            <w:noWrap w:val="0"/>
            <w:vAlign w:val="center"/>
          </w:tcPr>
          <w:p w14:paraId="41F267A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200≤Y＜3000</w:t>
            </w:r>
          </w:p>
        </w:tc>
        <w:tc>
          <w:tcPr>
            <w:tcW w:w="1045" w:type="dxa"/>
            <w:tcBorders>
              <w:top w:val="nil"/>
              <w:left w:val="nil"/>
              <w:bottom w:val="single" w:color="auto" w:sz="4" w:space="0"/>
              <w:right w:val="single" w:color="auto" w:sz="4" w:space="0"/>
            </w:tcBorders>
            <w:noWrap w:val="0"/>
            <w:vAlign w:val="center"/>
          </w:tcPr>
          <w:p w14:paraId="24FCD25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14:paraId="67290910">
        <w:tblPrEx>
          <w:tblCellMar>
            <w:top w:w="0" w:type="dxa"/>
            <w:left w:w="108" w:type="dxa"/>
            <w:bottom w:w="0" w:type="dxa"/>
            <w:right w:w="108" w:type="dxa"/>
          </w:tblCellMar>
        </w:tblPrEx>
        <w:trPr>
          <w:trHeight w:val="225" w:hRule="atLeast"/>
          <w:jc w:val="center"/>
        </w:trPr>
        <w:tc>
          <w:tcPr>
            <w:tcW w:w="1921" w:type="dxa"/>
            <w:vMerge w:val="restart"/>
            <w:tcBorders>
              <w:top w:val="nil"/>
              <w:left w:val="single" w:color="auto" w:sz="4" w:space="0"/>
              <w:bottom w:val="single" w:color="auto" w:sz="4" w:space="0"/>
              <w:right w:val="single" w:color="auto" w:sz="4" w:space="0"/>
            </w:tcBorders>
            <w:noWrap w:val="0"/>
            <w:vAlign w:val="center"/>
          </w:tcPr>
          <w:p w14:paraId="282A4F9F">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563" w:type="dxa"/>
            <w:tcBorders>
              <w:top w:val="nil"/>
              <w:left w:val="nil"/>
              <w:bottom w:val="single" w:color="auto" w:sz="4" w:space="0"/>
              <w:right w:val="single" w:color="auto" w:sz="4" w:space="0"/>
            </w:tcBorders>
            <w:noWrap w:val="0"/>
            <w:vAlign w:val="center"/>
          </w:tcPr>
          <w:p w14:paraId="4114401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1031" w:type="dxa"/>
            <w:tcBorders>
              <w:top w:val="nil"/>
              <w:left w:val="nil"/>
              <w:bottom w:val="single" w:color="auto" w:sz="4" w:space="0"/>
              <w:right w:val="single" w:color="auto" w:sz="4" w:space="0"/>
            </w:tcBorders>
            <w:noWrap w:val="0"/>
            <w:vAlign w:val="center"/>
          </w:tcPr>
          <w:p w14:paraId="098439C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30" w:type="dxa"/>
            <w:tcBorders>
              <w:top w:val="nil"/>
              <w:left w:val="nil"/>
              <w:bottom w:val="single" w:color="auto" w:sz="4" w:space="0"/>
              <w:right w:val="single" w:color="auto" w:sz="4" w:space="0"/>
            </w:tcBorders>
            <w:noWrap w:val="0"/>
            <w:vAlign w:val="center"/>
          </w:tcPr>
          <w:p w14:paraId="3B3A7D5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w:t>
            </w:r>
          </w:p>
        </w:tc>
        <w:tc>
          <w:tcPr>
            <w:tcW w:w="1627" w:type="dxa"/>
            <w:tcBorders>
              <w:top w:val="nil"/>
              <w:left w:val="nil"/>
              <w:bottom w:val="single" w:color="auto" w:sz="4" w:space="0"/>
              <w:right w:val="single" w:color="auto" w:sz="4" w:space="0"/>
            </w:tcBorders>
            <w:noWrap w:val="0"/>
            <w:vAlign w:val="center"/>
          </w:tcPr>
          <w:p w14:paraId="762E171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20≤X＜100</w:t>
            </w:r>
          </w:p>
        </w:tc>
        <w:tc>
          <w:tcPr>
            <w:tcW w:w="1045" w:type="dxa"/>
            <w:tcBorders>
              <w:top w:val="nil"/>
              <w:left w:val="nil"/>
              <w:bottom w:val="single" w:color="auto" w:sz="4" w:space="0"/>
              <w:right w:val="single" w:color="auto" w:sz="4" w:space="0"/>
            </w:tcBorders>
            <w:noWrap w:val="0"/>
            <w:vAlign w:val="center"/>
          </w:tcPr>
          <w:p w14:paraId="6915C1A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20C97E4F">
        <w:tblPrEx>
          <w:tblCellMar>
            <w:top w:w="0" w:type="dxa"/>
            <w:left w:w="108" w:type="dxa"/>
            <w:bottom w:w="0" w:type="dxa"/>
            <w:right w:w="108" w:type="dxa"/>
          </w:tblCellMar>
        </w:tblPrEx>
        <w:trPr>
          <w:trHeight w:val="225" w:hRule="atLeast"/>
          <w:jc w:val="center"/>
        </w:trPr>
        <w:tc>
          <w:tcPr>
            <w:tcW w:w="1921" w:type="dxa"/>
            <w:vMerge w:val="continue"/>
            <w:tcBorders>
              <w:top w:val="nil"/>
              <w:left w:val="single" w:color="auto" w:sz="4" w:space="0"/>
              <w:bottom w:val="single" w:color="auto" w:sz="4" w:space="0"/>
              <w:right w:val="single" w:color="auto" w:sz="4" w:space="0"/>
            </w:tcBorders>
            <w:noWrap w:val="0"/>
            <w:vAlign w:val="center"/>
          </w:tcPr>
          <w:p w14:paraId="4DB19A96">
            <w:pPr>
              <w:widowControl/>
              <w:jc w:val="center"/>
              <w:rPr>
                <w:rFonts w:hint="eastAsia" w:ascii="宋体" w:hAnsi="宋体" w:eastAsia="宋体" w:cs="宋体"/>
                <w:b/>
                <w:bCs/>
                <w:color w:val="auto"/>
                <w:kern w:val="0"/>
                <w:sz w:val="18"/>
                <w:szCs w:val="18"/>
                <w:highlight w:val="none"/>
              </w:rPr>
            </w:pPr>
          </w:p>
        </w:tc>
        <w:tc>
          <w:tcPr>
            <w:tcW w:w="1563" w:type="dxa"/>
            <w:tcBorders>
              <w:top w:val="nil"/>
              <w:left w:val="nil"/>
              <w:bottom w:val="single" w:color="auto" w:sz="4" w:space="0"/>
              <w:right w:val="single" w:color="auto" w:sz="4" w:space="0"/>
            </w:tcBorders>
            <w:noWrap w:val="0"/>
            <w:vAlign w:val="center"/>
          </w:tcPr>
          <w:p w14:paraId="5EBE718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1031" w:type="dxa"/>
            <w:tcBorders>
              <w:top w:val="nil"/>
              <w:left w:val="nil"/>
              <w:bottom w:val="single" w:color="auto" w:sz="4" w:space="0"/>
              <w:right w:val="single" w:color="auto" w:sz="4" w:space="0"/>
            </w:tcBorders>
            <w:noWrap w:val="0"/>
            <w:vAlign w:val="center"/>
          </w:tcPr>
          <w:p w14:paraId="77E978E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30" w:type="dxa"/>
            <w:tcBorders>
              <w:top w:val="nil"/>
              <w:left w:val="nil"/>
              <w:bottom w:val="single" w:color="auto" w:sz="4" w:space="0"/>
              <w:right w:val="single" w:color="auto" w:sz="4" w:space="0"/>
            </w:tcBorders>
            <w:noWrap w:val="0"/>
            <w:vAlign w:val="center"/>
          </w:tcPr>
          <w:p w14:paraId="05BD166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1627" w:type="dxa"/>
            <w:tcBorders>
              <w:top w:val="nil"/>
              <w:left w:val="nil"/>
              <w:bottom w:val="single" w:color="auto" w:sz="4" w:space="0"/>
              <w:right w:val="single" w:color="auto" w:sz="4" w:space="0"/>
            </w:tcBorders>
            <w:noWrap w:val="0"/>
            <w:vAlign w:val="center"/>
          </w:tcPr>
          <w:p w14:paraId="71CEFE2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1045" w:type="dxa"/>
            <w:tcBorders>
              <w:top w:val="nil"/>
              <w:left w:val="nil"/>
              <w:bottom w:val="single" w:color="auto" w:sz="4" w:space="0"/>
              <w:right w:val="single" w:color="auto" w:sz="4" w:space="0"/>
            </w:tcBorders>
            <w:noWrap w:val="0"/>
            <w:vAlign w:val="center"/>
          </w:tcPr>
          <w:p w14:paraId="7BBB643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2409C802">
        <w:tblPrEx>
          <w:tblCellMar>
            <w:top w:w="0" w:type="dxa"/>
            <w:left w:w="108" w:type="dxa"/>
            <w:bottom w:w="0" w:type="dxa"/>
            <w:right w:w="108" w:type="dxa"/>
          </w:tblCellMar>
        </w:tblPrEx>
        <w:trPr>
          <w:trHeight w:val="225" w:hRule="atLeast"/>
          <w:jc w:val="center"/>
        </w:trPr>
        <w:tc>
          <w:tcPr>
            <w:tcW w:w="1921" w:type="dxa"/>
            <w:vMerge w:val="restart"/>
            <w:tcBorders>
              <w:top w:val="nil"/>
              <w:left w:val="single" w:color="auto" w:sz="4" w:space="0"/>
              <w:bottom w:val="single" w:color="auto" w:sz="4" w:space="0"/>
              <w:right w:val="single" w:color="auto" w:sz="4" w:space="0"/>
            </w:tcBorders>
            <w:noWrap w:val="0"/>
            <w:vAlign w:val="center"/>
          </w:tcPr>
          <w:p w14:paraId="2FE2A7BF">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563" w:type="dxa"/>
            <w:tcBorders>
              <w:top w:val="nil"/>
              <w:left w:val="nil"/>
              <w:bottom w:val="single" w:color="auto" w:sz="4" w:space="0"/>
              <w:right w:val="single" w:color="auto" w:sz="4" w:space="0"/>
            </w:tcBorders>
            <w:noWrap w:val="0"/>
            <w:vAlign w:val="center"/>
          </w:tcPr>
          <w:p w14:paraId="7BFB7D3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1031" w:type="dxa"/>
            <w:tcBorders>
              <w:top w:val="nil"/>
              <w:left w:val="nil"/>
              <w:bottom w:val="single" w:color="auto" w:sz="4" w:space="0"/>
              <w:right w:val="single" w:color="auto" w:sz="4" w:space="0"/>
            </w:tcBorders>
            <w:noWrap w:val="0"/>
            <w:vAlign w:val="center"/>
          </w:tcPr>
          <w:p w14:paraId="4B21614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30" w:type="dxa"/>
            <w:tcBorders>
              <w:top w:val="nil"/>
              <w:left w:val="nil"/>
              <w:bottom w:val="single" w:color="auto" w:sz="4" w:space="0"/>
              <w:right w:val="single" w:color="auto" w:sz="4" w:space="0"/>
            </w:tcBorders>
            <w:noWrap w:val="0"/>
            <w:vAlign w:val="center"/>
          </w:tcPr>
          <w:p w14:paraId="40021CB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627" w:type="dxa"/>
            <w:tcBorders>
              <w:top w:val="nil"/>
              <w:left w:val="nil"/>
              <w:bottom w:val="single" w:color="auto" w:sz="4" w:space="0"/>
              <w:right w:val="single" w:color="auto" w:sz="4" w:space="0"/>
            </w:tcBorders>
            <w:noWrap w:val="0"/>
            <w:vAlign w:val="center"/>
          </w:tcPr>
          <w:p w14:paraId="30794FD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045" w:type="dxa"/>
            <w:tcBorders>
              <w:top w:val="nil"/>
              <w:left w:val="nil"/>
              <w:bottom w:val="single" w:color="auto" w:sz="4" w:space="0"/>
              <w:right w:val="single" w:color="auto" w:sz="4" w:space="0"/>
            </w:tcBorders>
            <w:noWrap w:val="0"/>
            <w:vAlign w:val="center"/>
          </w:tcPr>
          <w:p w14:paraId="6F9B53D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5AF9D8E6">
        <w:tblPrEx>
          <w:tblCellMar>
            <w:top w:w="0" w:type="dxa"/>
            <w:left w:w="108" w:type="dxa"/>
            <w:bottom w:w="0" w:type="dxa"/>
            <w:right w:w="108" w:type="dxa"/>
          </w:tblCellMar>
        </w:tblPrEx>
        <w:trPr>
          <w:trHeight w:val="225" w:hRule="atLeast"/>
          <w:jc w:val="center"/>
        </w:trPr>
        <w:tc>
          <w:tcPr>
            <w:tcW w:w="1921" w:type="dxa"/>
            <w:vMerge w:val="continue"/>
            <w:tcBorders>
              <w:top w:val="nil"/>
              <w:left w:val="single" w:color="auto" w:sz="4" w:space="0"/>
              <w:bottom w:val="single" w:color="auto" w:sz="4" w:space="0"/>
              <w:right w:val="single" w:color="auto" w:sz="4" w:space="0"/>
            </w:tcBorders>
            <w:noWrap w:val="0"/>
            <w:vAlign w:val="center"/>
          </w:tcPr>
          <w:p w14:paraId="03C1EF1D">
            <w:pPr>
              <w:widowControl/>
              <w:jc w:val="center"/>
              <w:rPr>
                <w:rFonts w:hint="eastAsia" w:ascii="宋体" w:hAnsi="宋体" w:eastAsia="宋体" w:cs="宋体"/>
                <w:b/>
                <w:bCs/>
                <w:color w:val="auto"/>
                <w:kern w:val="0"/>
                <w:sz w:val="18"/>
                <w:szCs w:val="18"/>
                <w:highlight w:val="none"/>
              </w:rPr>
            </w:pPr>
          </w:p>
        </w:tc>
        <w:tc>
          <w:tcPr>
            <w:tcW w:w="1563" w:type="dxa"/>
            <w:tcBorders>
              <w:top w:val="nil"/>
              <w:left w:val="nil"/>
              <w:bottom w:val="single" w:color="auto" w:sz="4" w:space="0"/>
              <w:right w:val="single" w:color="auto" w:sz="4" w:space="0"/>
            </w:tcBorders>
            <w:noWrap w:val="0"/>
            <w:vAlign w:val="center"/>
          </w:tcPr>
          <w:p w14:paraId="0789199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1031" w:type="dxa"/>
            <w:tcBorders>
              <w:top w:val="nil"/>
              <w:left w:val="nil"/>
              <w:bottom w:val="single" w:color="auto" w:sz="4" w:space="0"/>
              <w:right w:val="single" w:color="auto" w:sz="4" w:space="0"/>
            </w:tcBorders>
            <w:noWrap w:val="0"/>
            <w:vAlign w:val="center"/>
          </w:tcPr>
          <w:p w14:paraId="5420252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30" w:type="dxa"/>
            <w:tcBorders>
              <w:top w:val="nil"/>
              <w:left w:val="nil"/>
              <w:bottom w:val="single" w:color="auto" w:sz="4" w:space="0"/>
              <w:right w:val="single" w:color="auto" w:sz="4" w:space="0"/>
            </w:tcBorders>
            <w:noWrap w:val="0"/>
            <w:vAlign w:val="center"/>
          </w:tcPr>
          <w:p w14:paraId="3CCE8FC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1627" w:type="dxa"/>
            <w:tcBorders>
              <w:top w:val="nil"/>
              <w:left w:val="nil"/>
              <w:bottom w:val="single" w:color="auto" w:sz="4" w:space="0"/>
              <w:right w:val="single" w:color="auto" w:sz="4" w:space="0"/>
            </w:tcBorders>
            <w:noWrap w:val="0"/>
            <w:vAlign w:val="center"/>
          </w:tcPr>
          <w:p w14:paraId="3D3D7BF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045" w:type="dxa"/>
            <w:tcBorders>
              <w:top w:val="nil"/>
              <w:left w:val="nil"/>
              <w:bottom w:val="single" w:color="auto" w:sz="4" w:space="0"/>
              <w:right w:val="single" w:color="auto" w:sz="4" w:space="0"/>
            </w:tcBorders>
            <w:noWrap w:val="0"/>
            <w:vAlign w:val="center"/>
          </w:tcPr>
          <w:p w14:paraId="6D1B699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202385B8">
        <w:tblPrEx>
          <w:tblCellMar>
            <w:top w:w="0" w:type="dxa"/>
            <w:left w:w="108" w:type="dxa"/>
            <w:bottom w:w="0" w:type="dxa"/>
            <w:right w:w="108" w:type="dxa"/>
          </w:tblCellMar>
        </w:tblPrEx>
        <w:trPr>
          <w:trHeight w:val="225" w:hRule="atLeast"/>
          <w:jc w:val="center"/>
        </w:trPr>
        <w:tc>
          <w:tcPr>
            <w:tcW w:w="1921" w:type="dxa"/>
            <w:vMerge w:val="restart"/>
            <w:tcBorders>
              <w:top w:val="nil"/>
              <w:left w:val="single" w:color="auto" w:sz="4" w:space="0"/>
              <w:bottom w:val="single" w:color="auto" w:sz="4" w:space="0"/>
              <w:right w:val="single" w:color="auto" w:sz="4" w:space="0"/>
            </w:tcBorders>
            <w:noWrap w:val="0"/>
            <w:vAlign w:val="center"/>
          </w:tcPr>
          <w:p w14:paraId="15489576">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563" w:type="dxa"/>
            <w:tcBorders>
              <w:top w:val="nil"/>
              <w:left w:val="nil"/>
              <w:bottom w:val="single" w:color="auto" w:sz="4" w:space="0"/>
              <w:right w:val="single" w:color="auto" w:sz="4" w:space="0"/>
            </w:tcBorders>
            <w:noWrap w:val="0"/>
            <w:vAlign w:val="center"/>
          </w:tcPr>
          <w:p w14:paraId="6975556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1031" w:type="dxa"/>
            <w:tcBorders>
              <w:top w:val="nil"/>
              <w:left w:val="nil"/>
              <w:bottom w:val="single" w:color="auto" w:sz="4" w:space="0"/>
              <w:right w:val="single" w:color="auto" w:sz="4" w:space="0"/>
            </w:tcBorders>
            <w:noWrap w:val="0"/>
            <w:vAlign w:val="center"/>
          </w:tcPr>
          <w:p w14:paraId="63D9404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30" w:type="dxa"/>
            <w:tcBorders>
              <w:top w:val="nil"/>
              <w:left w:val="nil"/>
              <w:bottom w:val="single" w:color="auto" w:sz="4" w:space="0"/>
              <w:right w:val="single" w:color="auto" w:sz="4" w:space="0"/>
            </w:tcBorders>
            <w:noWrap w:val="0"/>
            <w:vAlign w:val="center"/>
          </w:tcPr>
          <w:p w14:paraId="11B6A86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627" w:type="dxa"/>
            <w:tcBorders>
              <w:top w:val="nil"/>
              <w:left w:val="nil"/>
              <w:bottom w:val="single" w:color="auto" w:sz="4" w:space="0"/>
              <w:right w:val="single" w:color="auto" w:sz="4" w:space="0"/>
            </w:tcBorders>
            <w:noWrap w:val="0"/>
            <w:vAlign w:val="center"/>
          </w:tcPr>
          <w:p w14:paraId="63A2B24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045" w:type="dxa"/>
            <w:tcBorders>
              <w:top w:val="nil"/>
              <w:left w:val="nil"/>
              <w:bottom w:val="single" w:color="auto" w:sz="4" w:space="0"/>
              <w:right w:val="single" w:color="auto" w:sz="4" w:space="0"/>
            </w:tcBorders>
            <w:noWrap w:val="0"/>
            <w:vAlign w:val="center"/>
          </w:tcPr>
          <w:p w14:paraId="090C91F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1218DA01">
        <w:tblPrEx>
          <w:tblCellMar>
            <w:top w:w="0" w:type="dxa"/>
            <w:left w:w="108" w:type="dxa"/>
            <w:bottom w:w="0" w:type="dxa"/>
            <w:right w:w="108" w:type="dxa"/>
          </w:tblCellMar>
        </w:tblPrEx>
        <w:trPr>
          <w:trHeight w:val="225" w:hRule="atLeast"/>
          <w:jc w:val="center"/>
        </w:trPr>
        <w:tc>
          <w:tcPr>
            <w:tcW w:w="1921" w:type="dxa"/>
            <w:vMerge w:val="continue"/>
            <w:tcBorders>
              <w:top w:val="nil"/>
              <w:left w:val="single" w:color="auto" w:sz="4" w:space="0"/>
              <w:bottom w:val="single" w:color="auto" w:sz="4" w:space="0"/>
              <w:right w:val="single" w:color="auto" w:sz="4" w:space="0"/>
            </w:tcBorders>
            <w:noWrap w:val="0"/>
            <w:vAlign w:val="center"/>
          </w:tcPr>
          <w:p w14:paraId="08CBAD6E">
            <w:pPr>
              <w:widowControl/>
              <w:jc w:val="center"/>
              <w:rPr>
                <w:rFonts w:hint="eastAsia" w:ascii="宋体" w:hAnsi="宋体" w:eastAsia="宋体" w:cs="宋体"/>
                <w:b/>
                <w:bCs/>
                <w:color w:val="auto"/>
                <w:kern w:val="0"/>
                <w:sz w:val="18"/>
                <w:szCs w:val="18"/>
                <w:highlight w:val="none"/>
              </w:rPr>
            </w:pPr>
          </w:p>
        </w:tc>
        <w:tc>
          <w:tcPr>
            <w:tcW w:w="1563" w:type="dxa"/>
            <w:tcBorders>
              <w:top w:val="nil"/>
              <w:left w:val="nil"/>
              <w:bottom w:val="single" w:color="auto" w:sz="4" w:space="0"/>
              <w:right w:val="single" w:color="auto" w:sz="4" w:space="0"/>
            </w:tcBorders>
            <w:noWrap w:val="0"/>
            <w:vAlign w:val="center"/>
          </w:tcPr>
          <w:p w14:paraId="1282AAA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1031" w:type="dxa"/>
            <w:tcBorders>
              <w:top w:val="nil"/>
              <w:left w:val="nil"/>
              <w:bottom w:val="single" w:color="auto" w:sz="4" w:space="0"/>
              <w:right w:val="single" w:color="auto" w:sz="4" w:space="0"/>
            </w:tcBorders>
            <w:noWrap w:val="0"/>
            <w:vAlign w:val="center"/>
          </w:tcPr>
          <w:p w14:paraId="0A70FE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30" w:type="dxa"/>
            <w:tcBorders>
              <w:top w:val="nil"/>
              <w:left w:val="nil"/>
              <w:bottom w:val="single" w:color="auto" w:sz="4" w:space="0"/>
              <w:right w:val="single" w:color="auto" w:sz="4" w:space="0"/>
            </w:tcBorders>
            <w:noWrap w:val="0"/>
            <w:vAlign w:val="center"/>
          </w:tcPr>
          <w:p w14:paraId="58B4F98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627" w:type="dxa"/>
            <w:tcBorders>
              <w:top w:val="nil"/>
              <w:left w:val="nil"/>
              <w:bottom w:val="single" w:color="auto" w:sz="4" w:space="0"/>
              <w:right w:val="single" w:color="auto" w:sz="4" w:space="0"/>
            </w:tcBorders>
            <w:noWrap w:val="0"/>
            <w:vAlign w:val="center"/>
          </w:tcPr>
          <w:p w14:paraId="7278E68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045" w:type="dxa"/>
            <w:tcBorders>
              <w:top w:val="nil"/>
              <w:left w:val="nil"/>
              <w:bottom w:val="single" w:color="auto" w:sz="4" w:space="0"/>
              <w:right w:val="single" w:color="auto" w:sz="4" w:space="0"/>
            </w:tcBorders>
            <w:noWrap w:val="0"/>
            <w:vAlign w:val="center"/>
          </w:tcPr>
          <w:p w14:paraId="1477D59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11FAB3EE">
        <w:tblPrEx>
          <w:tblCellMar>
            <w:top w:w="0" w:type="dxa"/>
            <w:left w:w="108" w:type="dxa"/>
            <w:bottom w:w="0" w:type="dxa"/>
            <w:right w:w="108" w:type="dxa"/>
          </w:tblCellMar>
        </w:tblPrEx>
        <w:trPr>
          <w:trHeight w:val="225" w:hRule="atLeast"/>
          <w:jc w:val="center"/>
        </w:trPr>
        <w:tc>
          <w:tcPr>
            <w:tcW w:w="1921" w:type="dxa"/>
            <w:vMerge w:val="restart"/>
            <w:tcBorders>
              <w:top w:val="nil"/>
              <w:left w:val="single" w:color="auto" w:sz="4" w:space="0"/>
              <w:bottom w:val="single" w:color="auto" w:sz="4" w:space="0"/>
              <w:right w:val="single" w:color="auto" w:sz="4" w:space="0"/>
            </w:tcBorders>
            <w:noWrap w:val="0"/>
            <w:vAlign w:val="center"/>
          </w:tcPr>
          <w:p w14:paraId="096E5C8F">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563" w:type="dxa"/>
            <w:tcBorders>
              <w:top w:val="nil"/>
              <w:left w:val="nil"/>
              <w:bottom w:val="single" w:color="auto" w:sz="4" w:space="0"/>
              <w:right w:val="single" w:color="auto" w:sz="4" w:space="0"/>
            </w:tcBorders>
            <w:noWrap w:val="0"/>
            <w:vAlign w:val="center"/>
          </w:tcPr>
          <w:p w14:paraId="077FF04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1031" w:type="dxa"/>
            <w:tcBorders>
              <w:top w:val="nil"/>
              <w:left w:val="nil"/>
              <w:bottom w:val="single" w:color="auto" w:sz="4" w:space="0"/>
              <w:right w:val="single" w:color="auto" w:sz="4" w:space="0"/>
            </w:tcBorders>
            <w:noWrap w:val="0"/>
            <w:vAlign w:val="center"/>
          </w:tcPr>
          <w:p w14:paraId="677A97C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30" w:type="dxa"/>
            <w:tcBorders>
              <w:top w:val="nil"/>
              <w:left w:val="nil"/>
              <w:bottom w:val="single" w:color="auto" w:sz="4" w:space="0"/>
              <w:right w:val="single" w:color="auto" w:sz="4" w:space="0"/>
            </w:tcBorders>
            <w:noWrap w:val="0"/>
            <w:vAlign w:val="center"/>
          </w:tcPr>
          <w:p w14:paraId="01F97B7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627" w:type="dxa"/>
            <w:tcBorders>
              <w:top w:val="nil"/>
              <w:left w:val="nil"/>
              <w:bottom w:val="single" w:color="auto" w:sz="4" w:space="0"/>
              <w:right w:val="single" w:color="auto" w:sz="4" w:space="0"/>
            </w:tcBorders>
            <w:noWrap w:val="0"/>
            <w:vAlign w:val="center"/>
          </w:tcPr>
          <w:p w14:paraId="34841BF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045" w:type="dxa"/>
            <w:tcBorders>
              <w:top w:val="nil"/>
              <w:left w:val="nil"/>
              <w:bottom w:val="single" w:color="auto" w:sz="4" w:space="0"/>
              <w:right w:val="single" w:color="auto" w:sz="4" w:space="0"/>
            </w:tcBorders>
            <w:noWrap w:val="0"/>
            <w:vAlign w:val="center"/>
          </w:tcPr>
          <w:p w14:paraId="74CCD06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055C830E">
        <w:tblPrEx>
          <w:tblCellMar>
            <w:top w:w="0" w:type="dxa"/>
            <w:left w:w="108" w:type="dxa"/>
            <w:bottom w:w="0" w:type="dxa"/>
            <w:right w:w="108" w:type="dxa"/>
          </w:tblCellMar>
        </w:tblPrEx>
        <w:trPr>
          <w:trHeight w:val="225" w:hRule="atLeast"/>
          <w:jc w:val="center"/>
        </w:trPr>
        <w:tc>
          <w:tcPr>
            <w:tcW w:w="1921" w:type="dxa"/>
            <w:vMerge w:val="continue"/>
            <w:tcBorders>
              <w:top w:val="nil"/>
              <w:left w:val="single" w:color="auto" w:sz="4" w:space="0"/>
              <w:bottom w:val="single" w:color="auto" w:sz="4" w:space="0"/>
              <w:right w:val="single" w:color="auto" w:sz="4" w:space="0"/>
            </w:tcBorders>
            <w:noWrap w:val="0"/>
            <w:vAlign w:val="center"/>
          </w:tcPr>
          <w:p w14:paraId="2A9F2972">
            <w:pPr>
              <w:widowControl/>
              <w:jc w:val="center"/>
              <w:rPr>
                <w:rFonts w:hint="eastAsia" w:ascii="宋体" w:hAnsi="宋体" w:eastAsia="宋体" w:cs="宋体"/>
                <w:b/>
                <w:bCs/>
                <w:color w:val="auto"/>
                <w:kern w:val="0"/>
                <w:sz w:val="18"/>
                <w:szCs w:val="18"/>
                <w:highlight w:val="none"/>
              </w:rPr>
            </w:pPr>
          </w:p>
        </w:tc>
        <w:tc>
          <w:tcPr>
            <w:tcW w:w="1563" w:type="dxa"/>
            <w:tcBorders>
              <w:top w:val="nil"/>
              <w:left w:val="nil"/>
              <w:bottom w:val="single" w:color="auto" w:sz="4" w:space="0"/>
              <w:right w:val="single" w:color="auto" w:sz="4" w:space="0"/>
            </w:tcBorders>
            <w:noWrap w:val="0"/>
            <w:vAlign w:val="center"/>
          </w:tcPr>
          <w:p w14:paraId="4A9FED2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1031" w:type="dxa"/>
            <w:tcBorders>
              <w:top w:val="nil"/>
              <w:left w:val="nil"/>
              <w:bottom w:val="single" w:color="auto" w:sz="4" w:space="0"/>
              <w:right w:val="single" w:color="auto" w:sz="4" w:space="0"/>
            </w:tcBorders>
            <w:noWrap w:val="0"/>
            <w:vAlign w:val="center"/>
          </w:tcPr>
          <w:p w14:paraId="7BE39B9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30" w:type="dxa"/>
            <w:tcBorders>
              <w:top w:val="nil"/>
              <w:left w:val="nil"/>
              <w:bottom w:val="single" w:color="auto" w:sz="4" w:space="0"/>
              <w:right w:val="single" w:color="auto" w:sz="4" w:space="0"/>
            </w:tcBorders>
            <w:noWrap w:val="0"/>
            <w:vAlign w:val="center"/>
          </w:tcPr>
          <w:p w14:paraId="7E029EB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627" w:type="dxa"/>
            <w:tcBorders>
              <w:top w:val="nil"/>
              <w:left w:val="nil"/>
              <w:bottom w:val="single" w:color="auto" w:sz="4" w:space="0"/>
              <w:right w:val="single" w:color="auto" w:sz="4" w:space="0"/>
            </w:tcBorders>
            <w:noWrap w:val="0"/>
            <w:vAlign w:val="center"/>
          </w:tcPr>
          <w:p w14:paraId="3BDA977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045" w:type="dxa"/>
            <w:tcBorders>
              <w:top w:val="nil"/>
              <w:left w:val="nil"/>
              <w:bottom w:val="single" w:color="auto" w:sz="4" w:space="0"/>
              <w:right w:val="single" w:color="auto" w:sz="4" w:space="0"/>
            </w:tcBorders>
            <w:noWrap w:val="0"/>
            <w:vAlign w:val="center"/>
          </w:tcPr>
          <w:p w14:paraId="6D04B64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208BC4C0">
        <w:tblPrEx>
          <w:tblCellMar>
            <w:top w:w="0" w:type="dxa"/>
            <w:left w:w="108" w:type="dxa"/>
            <w:bottom w:w="0" w:type="dxa"/>
            <w:right w:w="108" w:type="dxa"/>
          </w:tblCellMar>
        </w:tblPrEx>
        <w:trPr>
          <w:trHeight w:val="225" w:hRule="atLeast"/>
          <w:jc w:val="center"/>
        </w:trPr>
        <w:tc>
          <w:tcPr>
            <w:tcW w:w="1921" w:type="dxa"/>
            <w:vMerge w:val="restart"/>
            <w:tcBorders>
              <w:top w:val="nil"/>
              <w:left w:val="single" w:color="auto" w:sz="4" w:space="0"/>
              <w:bottom w:val="single" w:color="auto" w:sz="4" w:space="0"/>
              <w:right w:val="single" w:color="auto" w:sz="4" w:space="0"/>
            </w:tcBorders>
            <w:noWrap w:val="0"/>
            <w:vAlign w:val="center"/>
          </w:tcPr>
          <w:p w14:paraId="0C1211C2">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563" w:type="dxa"/>
            <w:tcBorders>
              <w:top w:val="nil"/>
              <w:left w:val="nil"/>
              <w:bottom w:val="single" w:color="auto" w:sz="4" w:space="0"/>
              <w:right w:val="single" w:color="auto" w:sz="4" w:space="0"/>
            </w:tcBorders>
            <w:noWrap w:val="0"/>
            <w:vAlign w:val="center"/>
          </w:tcPr>
          <w:p w14:paraId="4689BB8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1031" w:type="dxa"/>
            <w:tcBorders>
              <w:top w:val="nil"/>
              <w:left w:val="nil"/>
              <w:bottom w:val="single" w:color="auto" w:sz="4" w:space="0"/>
              <w:right w:val="single" w:color="auto" w:sz="4" w:space="0"/>
            </w:tcBorders>
            <w:noWrap w:val="0"/>
            <w:vAlign w:val="center"/>
          </w:tcPr>
          <w:p w14:paraId="10DA2FD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30" w:type="dxa"/>
            <w:tcBorders>
              <w:top w:val="nil"/>
              <w:left w:val="nil"/>
              <w:bottom w:val="single" w:color="auto" w:sz="4" w:space="0"/>
              <w:right w:val="single" w:color="auto" w:sz="4" w:space="0"/>
            </w:tcBorders>
            <w:noWrap w:val="0"/>
            <w:vAlign w:val="center"/>
          </w:tcPr>
          <w:p w14:paraId="29C2373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100≤X＜2000</w:t>
            </w:r>
          </w:p>
        </w:tc>
        <w:tc>
          <w:tcPr>
            <w:tcW w:w="1627" w:type="dxa"/>
            <w:tcBorders>
              <w:top w:val="nil"/>
              <w:left w:val="nil"/>
              <w:bottom w:val="single" w:color="auto" w:sz="4" w:space="0"/>
              <w:right w:val="single" w:color="auto" w:sz="4" w:space="0"/>
            </w:tcBorders>
            <w:noWrap w:val="0"/>
            <w:vAlign w:val="center"/>
          </w:tcPr>
          <w:p w14:paraId="2219950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045" w:type="dxa"/>
            <w:tcBorders>
              <w:top w:val="nil"/>
              <w:left w:val="nil"/>
              <w:bottom w:val="single" w:color="auto" w:sz="4" w:space="0"/>
              <w:right w:val="single" w:color="auto" w:sz="4" w:space="0"/>
            </w:tcBorders>
            <w:noWrap w:val="0"/>
            <w:vAlign w:val="center"/>
          </w:tcPr>
          <w:p w14:paraId="67E0F12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28D2851B">
        <w:tblPrEx>
          <w:tblCellMar>
            <w:top w:w="0" w:type="dxa"/>
            <w:left w:w="108" w:type="dxa"/>
            <w:bottom w:w="0" w:type="dxa"/>
            <w:right w:w="108" w:type="dxa"/>
          </w:tblCellMar>
        </w:tblPrEx>
        <w:trPr>
          <w:trHeight w:val="225" w:hRule="atLeast"/>
          <w:jc w:val="center"/>
        </w:trPr>
        <w:tc>
          <w:tcPr>
            <w:tcW w:w="1921" w:type="dxa"/>
            <w:vMerge w:val="continue"/>
            <w:tcBorders>
              <w:top w:val="nil"/>
              <w:left w:val="single" w:color="auto" w:sz="4" w:space="0"/>
              <w:bottom w:val="single" w:color="auto" w:sz="4" w:space="0"/>
              <w:right w:val="single" w:color="auto" w:sz="4" w:space="0"/>
            </w:tcBorders>
            <w:noWrap w:val="0"/>
            <w:vAlign w:val="center"/>
          </w:tcPr>
          <w:p w14:paraId="2BECBDD9">
            <w:pPr>
              <w:widowControl/>
              <w:jc w:val="center"/>
              <w:rPr>
                <w:rFonts w:hint="eastAsia" w:ascii="宋体" w:hAnsi="宋体" w:eastAsia="宋体" w:cs="宋体"/>
                <w:b/>
                <w:bCs/>
                <w:color w:val="auto"/>
                <w:kern w:val="0"/>
                <w:sz w:val="18"/>
                <w:szCs w:val="18"/>
                <w:highlight w:val="none"/>
              </w:rPr>
            </w:pPr>
          </w:p>
        </w:tc>
        <w:tc>
          <w:tcPr>
            <w:tcW w:w="1563" w:type="dxa"/>
            <w:tcBorders>
              <w:top w:val="nil"/>
              <w:left w:val="nil"/>
              <w:bottom w:val="single" w:color="auto" w:sz="4" w:space="0"/>
              <w:right w:val="single" w:color="auto" w:sz="4" w:space="0"/>
            </w:tcBorders>
            <w:noWrap w:val="0"/>
            <w:vAlign w:val="center"/>
          </w:tcPr>
          <w:p w14:paraId="419B894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1031" w:type="dxa"/>
            <w:tcBorders>
              <w:top w:val="nil"/>
              <w:left w:val="nil"/>
              <w:bottom w:val="single" w:color="auto" w:sz="4" w:space="0"/>
              <w:right w:val="single" w:color="auto" w:sz="4" w:space="0"/>
            </w:tcBorders>
            <w:noWrap w:val="0"/>
            <w:vAlign w:val="center"/>
          </w:tcPr>
          <w:p w14:paraId="35C15C2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30" w:type="dxa"/>
            <w:tcBorders>
              <w:top w:val="nil"/>
              <w:left w:val="nil"/>
              <w:bottom w:val="single" w:color="auto" w:sz="4" w:space="0"/>
              <w:right w:val="single" w:color="auto" w:sz="4" w:space="0"/>
            </w:tcBorders>
            <w:noWrap w:val="0"/>
            <w:vAlign w:val="center"/>
          </w:tcPr>
          <w:p w14:paraId="39A1CE3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1000≤Y＜100000</w:t>
            </w:r>
          </w:p>
        </w:tc>
        <w:tc>
          <w:tcPr>
            <w:tcW w:w="1627" w:type="dxa"/>
            <w:tcBorders>
              <w:top w:val="nil"/>
              <w:left w:val="nil"/>
              <w:bottom w:val="single" w:color="auto" w:sz="4" w:space="0"/>
              <w:right w:val="single" w:color="auto" w:sz="4" w:space="0"/>
            </w:tcBorders>
            <w:noWrap w:val="0"/>
            <w:vAlign w:val="center"/>
          </w:tcPr>
          <w:p w14:paraId="4CAC554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1045" w:type="dxa"/>
            <w:tcBorders>
              <w:top w:val="nil"/>
              <w:left w:val="nil"/>
              <w:bottom w:val="single" w:color="auto" w:sz="4" w:space="0"/>
              <w:right w:val="single" w:color="auto" w:sz="4" w:space="0"/>
            </w:tcBorders>
            <w:noWrap w:val="0"/>
            <w:vAlign w:val="center"/>
          </w:tcPr>
          <w:p w14:paraId="48A25BF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03F95CCD">
        <w:tblPrEx>
          <w:tblCellMar>
            <w:top w:w="0" w:type="dxa"/>
            <w:left w:w="108" w:type="dxa"/>
            <w:bottom w:w="0" w:type="dxa"/>
            <w:right w:w="108" w:type="dxa"/>
          </w:tblCellMar>
        </w:tblPrEx>
        <w:trPr>
          <w:trHeight w:val="225" w:hRule="atLeast"/>
          <w:jc w:val="center"/>
        </w:trPr>
        <w:tc>
          <w:tcPr>
            <w:tcW w:w="1921" w:type="dxa"/>
            <w:vMerge w:val="restart"/>
            <w:tcBorders>
              <w:top w:val="nil"/>
              <w:left w:val="single" w:color="auto" w:sz="4" w:space="0"/>
              <w:bottom w:val="single" w:color="auto" w:sz="4" w:space="0"/>
              <w:right w:val="single" w:color="auto" w:sz="4" w:space="0"/>
            </w:tcBorders>
            <w:noWrap w:val="0"/>
            <w:vAlign w:val="center"/>
          </w:tcPr>
          <w:p w14:paraId="72A3FB6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563" w:type="dxa"/>
            <w:tcBorders>
              <w:top w:val="nil"/>
              <w:left w:val="nil"/>
              <w:bottom w:val="single" w:color="auto" w:sz="4" w:space="0"/>
              <w:right w:val="single" w:color="auto" w:sz="4" w:space="0"/>
            </w:tcBorders>
            <w:noWrap w:val="0"/>
            <w:vAlign w:val="center"/>
          </w:tcPr>
          <w:p w14:paraId="37C584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1031" w:type="dxa"/>
            <w:tcBorders>
              <w:top w:val="nil"/>
              <w:left w:val="nil"/>
              <w:bottom w:val="single" w:color="auto" w:sz="4" w:space="0"/>
              <w:right w:val="single" w:color="auto" w:sz="4" w:space="0"/>
            </w:tcBorders>
            <w:noWrap w:val="0"/>
            <w:vAlign w:val="center"/>
          </w:tcPr>
          <w:p w14:paraId="520C3F6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30" w:type="dxa"/>
            <w:tcBorders>
              <w:top w:val="nil"/>
              <w:left w:val="nil"/>
              <w:bottom w:val="single" w:color="auto" w:sz="4" w:space="0"/>
              <w:right w:val="single" w:color="auto" w:sz="4" w:space="0"/>
            </w:tcBorders>
            <w:noWrap w:val="0"/>
            <w:vAlign w:val="center"/>
          </w:tcPr>
          <w:p w14:paraId="323AEE1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627" w:type="dxa"/>
            <w:tcBorders>
              <w:top w:val="nil"/>
              <w:left w:val="nil"/>
              <w:bottom w:val="single" w:color="auto" w:sz="4" w:space="0"/>
              <w:right w:val="single" w:color="auto" w:sz="4" w:space="0"/>
            </w:tcBorders>
            <w:noWrap w:val="0"/>
            <w:vAlign w:val="center"/>
          </w:tcPr>
          <w:p w14:paraId="41C5E61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045" w:type="dxa"/>
            <w:tcBorders>
              <w:top w:val="nil"/>
              <w:left w:val="nil"/>
              <w:bottom w:val="single" w:color="auto" w:sz="4" w:space="0"/>
              <w:right w:val="single" w:color="auto" w:sz="4" w:space="0"/>
            </w:tcBorders>
            <w:noWrap w:val="0"/>
            <w:vAlign w:val="center"/>
          </w:tcPr>
          <w:p w14:paraId="05F37C2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4A620AEF">
        <w:tblPrEx>
          <w:tblCellMar>
            <w:top w:w="0" w:type="dxa"/>
            <w:left w:w="108" w:type="dxa"/>
            <w:bottom w:w="0" w:type="dxa"/>
            <w:right w:w="108" w:type="dxa"/>
          </w:tblCellMar>
        </w:tblPrEx>
        <w:trPr>
          <w:trHeight w:val="225" w:hRule="atLeast"/>
          <w:jc w:val="center"/>
        </w:trPr>
        <w:tc>
          <w:tcPr>
            <w:tcW w:w="1921" w:type="dxa"/>
            <w:vMerge w:val="continue"/>
            <w:tcBorders>
              <w:top w:val="nil"/>
              <w:left w:val="single" w:color="auto" w:sz="4" w:space="0"/>
              <w:bottom w:val="single" w:color="auto" w:sz="4" w:space="0"/>
              <w:right w:val="single" w:color="auto" w:sz="4" w:space="0"/>
            </w:tcBorders>
            <w:noWrap w:val="0"/>
            <w:vAlign w:val="center"/>
          </w:tcPr>
          <w:p w14:paraId="5E04F0B3">
            <w:pPr>
              <w:widowControl/>
              <w:jc w:val="center"/>
              <w:rPr>
                <w:rFonts w:hint="eastAsia" w:ascii="宋体" w:hAnsi="宋体" w:eastAsia="宋体" w:cs="宋体"/>
                <w:b/>
                <w:bCs/>
                <w:color w:val="auto"/>
                <w:kern w:val="0"/>
                <w:sz w:val="18"/>
                <w:szCs w:val="18"/>
                <w:highlight w:val="none"/>
              </w:rPr>
            </w:pPr>
          </w:p>
        </w:tc>
        <w:tc>
          <w:tcPr>
            <w:tcW w:w="1563" w:type="dxa"/>
            <w:tcBorders>
              <w:top w:val="nil"/>
              <w:left w:val="nil"/>
              <w:bottom w:val="single" w:color="auto" w:sz="4" w:space="0"/>
              <w:right w:val="single" w:color="auto" w:sz="4" w:space="0"/>
            </w:tcBorders>
            <w:noWrap w:val="0"/>
            <w:vAlign w:val="center"/>
          </w:tcPr>
          <w:p w14:paraId="31CE9DA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1031" w:type="dxa"/>
            <w:tcBorders>
              <w:top w:val="nil"/>
              <w:left w:val="nil"/>
              <w:bottom w:val="single" w:color="auto" w:sz="4" w:space="0"/>
              <w:right w:val="single" w:color="auto" w:sz="4" w:space="0"/>
            </w:tcBorders>
            <w:noWrap w:val="0"/>
            <w:vAlign w:val="center"/>
          </w:tcPr>
          <w:p w14:paraId="39810A3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30" w:type="dxa"/>
            <w:tcBorders>
              <w:top w:val="nil"/>
              <w:left w:val="nil"/>
              <w:bottom w:val="single" w:color="auto" w:sz="4" w:space="0"/>
              <w:right w:val="single" w:color="auto" w:sz="4" w:space="0"/>
            </w:tcBorders>
            <w:noWrap w:val="0"/>
            <w:vAlign w:val="center"/>
          </w:tcPr>
          <w:p w14:paraId="0AF0837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1627" w:type="dxa"/>
            <w:tcBorders>
              <w:top w:val="nil"/>
              <w:left w:val="nil"/>
              <w:bottom w:val="single" w:color="auto" w:sz="4" w:space="0"/>
              <w:right w:val="single" w:color="auto" w:sz="4" w:space="0"/>
            </w:tcBorders>
            <w:noWrap w:val="0"/>
            <w:vAlign w:val="center"/>
          </w:tcPr>
          <w:p w14:paraId="2C5C139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50≤Y＜1000</w:t>
            </w:r>
          </w:p>
        </w:tc>
        <w:tc>
          <w:tcPr>
            <w:tcW w:w="1045" w:type="dxa"/>
            <w:tcBorders>
              <w:top w:val="nil"/>
              <w:left w:val="nil"/>
              <w:bottom w:val="single" w:color="auto" w:sz="4" w:space="0"/>
              <w:right w:val="single" w:color="auto" w:sz="4" w:space="0"/>
            </w:tcBorders>
            <w:noWrap w:val="0"/>
            <w:vAlign w:val="center"/>
          </w:tcPr>
          <w:p w14:paraId="7789EAD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5B36F4CB">
        <w:tblPrEx>
          <w:tblCellMar>
            <w:top w:w="0" w:type="dxa"/>
            <w:left w:w="108" w:type="dxa"/>
            <w:bottom w:w="0" w:type="dxa"/>
            <w:right w:w="108" w:type="dxa"/>
          </w:tblCellMar>
        </w:tblPrEx>
        <w:trPr>
          <w:trHeight w:val="225" w:hRule="atLeast"/>
          <w:jc w:val="center"/>
        </w:trPr>
        <w:tc>
          <w:tcPr>
            <w:tcW w:w="1921" w:type="dxa"/>
            <w:vMerge w:val="restart"/>
            <w:tcBorders>
              <w:top w:val="nil"/>
              <w:left w:val="single" w:color="auto" w:sz="4" w:space="0"/>
              <w:bottom w:val="single" w:color="auto" w:sz="4" w:space="0"/>
              <w:right w:val="single" w:color="auto" w:sz="4" w:space="0"/>
            </w:tcBorders>
            <w:noWrap w:val="0"/>
            <w:vAlign w:val="center"/>
          </w:tcPr>
          <w:p w14:paraId="2D531A1F">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563" w:type="dxa"/>
            <w:tcBorders>
              <w:top w:val="nil"/>
              <w:left w:val="nil"/>
              <w:bottom w:val="single" w:color="auto" w:sz="4" w:space="0"/>
              <w:right w:val="single" w:color="auto" w:sz="4" w:space="0"/>
            </w:tcBorders>
            <w:noWrap w:val="0"/>
            <w:vAlign w:val="center"/>
          </w:tcPr>
          <w:p w14:paraId="6F569BC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1031" w:type="dxa"/>
            <w:tcBorders>
              <w:top w:val="nil"/>
              <w:left w:val="nil"/>
              <w:bottom w:val="single" w:color="auto" w:sz="4" w:space="0"/>
              <w:right w:val="single" w:color="auto" w:sz="4" w:space="0"/>
            </w:tcBorders>
            <w:noWrap w:val="0"/>
            <w:vAlign w:val="center"/>
          </w:tcPr>
          <w:p w14:paraId="5B46B50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30" w:type="dxa"/>
            <w:tcBorders>
              <w:top w:val="nil"/>
              <w:left w:val="nil"/>
              <w:bottom w:val="single" w:color="auto" w:sz="4" w:space="0"/>
              <w:right w:val="single" w:color="auto" w:sz="4" w:space="0"/>
            </w:tcBorders>
            <w:noWrap w:val="0"/>
            <w:vAlign w:val="center"/>
          </w:tcPr>
          <w:p w14:paraId="18775E3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1000≤Y＜200000</w:t>
            </w:r>
          </w:p>
        </w:tc>
        <w:tc>
          <w:tcPr>
            <w:tcW w:w="1627" w:type="dxa"/>
            <w:tcBorders>
              <w:top w:val="nil"/>
              <w:left w:val="nil"/>
              <w:bottom w:val="single" w:color="auto" w:sz="4" w:space="0"/>
              <w:right w:val="single" w:color="auto" w:sz="4" w:space="0"/>
            </w:tcBorders>
            <w:noWrap w:val="0"/>
            <w:vAlign w:val="center"/>
          </w:tcPr>
          <w:p w14:paraId="1502D2B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100≤X＜1000</w:t>
            </w:r>
          </w:p>
        </w:tc>
        <w:tc>
          <w:tcPr>
            <w:tcW w:w="1045" w:type="dxa"/>
            <w:tcBorders>
              <w:top w:val="nil"/>
              <w:left w:val="nil"/>
              <w:bottom w:val="single" w:color="auto" w:sz="4" w:space="0"/>
              <w:right w:val="single" w:color="auto" w:sz="4" w:space="0"/>
            </w:tcBorders>
            <w:noWrap w:val="0"/>
            <w:vAlign w:val="center"/>
          </w:tcPr>
          <w:p w14:paraId="3246C20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452E876A">
        <w:tblPrEx>
          <w:tblCellMar>
            <w:top w:w="0" w:type="dxa"/>
            <w:left w:w="108" w:type="dxa"/>
            <w:bottom w:w="0" w:type="dxa"/>
            <w:right w:w="108" w:type="dxa"/>
          </w:tblCellMar>
        </w:tblPrEx>
        <w:trPr>
          <w:trHeight w:val="225" w:hRule="atLeast"/>
          <w:jc w:val="center"/>
        </w:trPr>
        <w:tc>
          <w:tcPr>
            <w:tcW w:w="1921" w:type="dxa"/>
            <w:vMerge w:val="continue"/>
            <w:tcBorders>
              <w:top w:val="nil"/>
              <w:left w:val="single" w:color="auto" w:sz="4" w:space="0"/>
              <w:bottom w:val="single" w:color="auto" w:sz="4" w:space="0"/>
              <w:right w:val="single" w:color="auto" w:sz="4" w:space="0"/>
            </w:tcBorders>
            <w:noWrap w:val="0"/>
            <w:vAlign w:val="center"/>
          </w:tcPr>
          <w:p w14:paraId="18871233">
            <w:pPr>
              <w:widowControl/>
              <w:jc w:val="center"/>
              <w:rPr>
                <w:rFonts w:hint="eastAsia" w:ascii="宋体" w:hAnsi="宋体" w:eastAsia="宋体" w:cs="宋体"/>
                <w:b/>
                <w:bCs/>
                <w:color w:val="auto"/>
                <w:kern w:val="0"/>
                <w:sz w:val="18"/>
                <w:szCs w:val="18"/>
                <w:highlight w:val="none"/>
              </w:rPr>
            </w:pPr>
          </w:p>
        </w:tc>
        <w:tc>
          <w:tcPr>
            <w:tcW w:w="1563" w:type="dxa"/>
            <w:tcBorders>
              <w:top w:val="nil"/>
              <w:left w:val="nil"/>
              <w:bottom w:val="single" w:color="auto" w:sz="4" w:space="0"/>
              <w:right w:val="single" w:color="auto" w:sz="4" w:space="0"/>
            </w:tcBorders>
            <w:noWrap w:val="0"/>
            <w:vAlign w:val="center"/>
          </w:tcPr>
          <w:p w14:paraId="6658B69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1031" w:type="dxa"/>
            <w:tcBorders>
              <w:top w:val="nil"/>
              <w:left w:val="nil"/>
              <w:bottom w:val="single" w:color="auto" w:sz="4" w:space="0"/>
              <w:right w:val="single" w:color="auto" w:sz="4" w:space="0"/>
            </w:tcBorders>
            <w:noWrap w:val="0"/>
            <w:vAlign w:val="center"/>
          </w:tcPr>
          <w:p w14:paraId="119750E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30" w:type="dxa"/>
            <w:tcBorders>
              <w:top w:val="nil"/>
              <w:left w:val="nil"/>
              <w:bottom w:val="single" w:color="auto" w:sz="4" w:space="0"/>
              <w:right w:val="single" w:color="auto" w:sz="4" w:space="0"/>
            </w:tcBorders>
            <w:noWrap w:val="0"/>
            <w:vAlign w:val="center"/>
          </w:tcPr>
          <w:p w14:paraId="64DD886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1627" w:type="dxa"/>
            <w:tcBorders>
              <w:top w:val="nil"/>
              <w:left w:val="nil"/>
              <w:bottom w:val="single" w:color="auto" w:sz="4" w:space="0"/>
              <w:right w:val="single" w:color="auto" w:sz="4" w:space="0"/>
            </w:tcBorders>
            <w:noWrap w:val="0"/>
            <w:vAlign w:val="center"/>
          </w:tcPr>
          <w:p w14:paraId="4755188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2000≤Y＜5000</w:t>
            </w:r>
          </w:p>
        </w:tc>
        <w:tc>
          <w:tcPr>
            <w:tcW w:w="1045" w:type="dxa"/>
            <w:tcBorders>
              <w:top w:val="nil"/>
              <w:left w:val="nil"/>
              <w:bottom w:val="single" w:color="auto" w:sz="4" w:space="0"/>
              <w:right w:val="single" w:color="auto" w:sz="4" w:space="0"/>
            </w:tcBorders>
            <w:noWrap w:val="0"/>
            <w:vAlign w:val="center"/>
          </w:tcPr>
          <w:p w14:paraId="5255DDD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w:t>
            </w:r>
          </w:p>
        </w:tc>
      </w:tr>
      <w:tr w14:paraId="76668545">
        <w:tblPrEx>
          <w:tblCellMar>
            <w:top w:w="0" w:type="dxa"/>
            <w:left w:w="108" w:type="dxa"/>
            <w:bottom w:w="0" w:type="dxa"/>
            <w:right w:w="108" w:type="dxa"/>
          </w:tblCellMar>
        </w:tblPrEx>
        <w:trPr>
          <w:trHeight w:val="225" w:hRule="atLeast"/>
          <w:jc w:val="center"/>
        </w:trPr>
        <w:tc>
          <w:tcPr>
            <w:tcW w:w="1921" w:type="dxa"/>
            <w:vMerge w:val="restart"/>
            <w:tcBorders>
              <w:top w:val="nil"/>
              <w:left w:val="single" w:color="auto" w:sz="4" w:space="0"/>
              <w:bottom w:val="single" w:color="auto" w:sz="4" w:space="0"/>
              <w:right w:val="single" w:color="auto" w:sz="4" w:space="0"/>
            </w:tcBorders>
            <w:noWrap w:val="0"/>
            <w:vAlign w:val="center"/>
          </w:tcPr>
          <w:p w14:paraId="48D2303C">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563" w:type="dxa"/>
            <w:tcBorders>
              <w:top w:val="nil"/>
              <w:left w:val="nil"/>
              <w:bottom w:val="single" w:color="auto" w:sz="4" w:space="0"/>
              <w:right w:val="single" w:color="auto" w:sz="4" w:space="0"/>
            </w:tcBorders>
            <w:noWrap w:val="0"/>
            <w:vAlign w:val="center"/>
          </w:tcPr>
          <w:p w14:paraId="2D6A2F2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1031" w:type="dxa"/>
            <w:tcBorders>
              <w:top w:val="nil"/>
              <w:left w:val="nil"/>
              <w:bottom w:val="single" w:color="auto" w:sz="4" w:space="0"/>
              <w:right w:val="single" w:color="auto" w:sz="4" w:space="0"/>
            </w:tcBorders>
            <w:noWrap w:val="0"/>
            <w:vAlign w:val="center"/>
          </w:tcPr>
          <w:p w14:paraId="0405657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30" w:type="dxa"/>
            <w:tcBorders>
              <w:top w:val="nil"/>
              <w:left w:val="nil"/>
              <w:bottom w:val="single" w:color="auto" w:sz="4" w:space="0"/>
              <w:right w:val="single" w:color="auto" w:sz="4" w:space="0"/>
            </w:tcBorders>
            <w:noWrap w:val="0"/>
            <w:vAlign w:val="center"/>
          </w:tcPr>
          <w:p w14:paraId="05684D1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627" w:type="dxa"/>
            <w:tcBorders>
              <w:top w:val="nil"/>
              <w:left w:val="nil"/>
              <w:bottom w:val="single" w:color="auto" w:sz="4" w:space="0"/>
              <w:right w:val="single" w:color="auto" w:sz="4" w:space="0"/>
            </w:tcBorders>
            <w:noWrap w:val="0"/>
            <w:vAlign w:val="center"/>
          </w:tcPr>
          <w:p w14:paraId="1111A18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045" w:type="dxa"/>
            <w:tcBorders>
              <w:top w:val="nil"/>
              <w:left w:val="nil"/>
              <w:bottom w:val="single" w:color="auto" w:sz="4" w:space="0"/>
              <w:right w:val="single" w:color="auto" w:sz="4" w:space="0"/>
            </w:tcBorders>
            <w:noWrap w:val="0"/>
            <w:vAlign w:val="center"/>
          </w:tcPr>
          <w:p w14:paraId="7F1784D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7AD7420F">
        <w:tblPrEx>
          <w:tblCellMar>
            <w:top w:w="0" w:type="dxa"/>
            <w:left w:w="108" w:type="dxa"/>
            <w:bottom w:w="0" w:type="dxa"/>
            <w:right w:w="108" w:type="dxa"/>
          </w:tblCellMar>
        </w:tblPrEx>
        <w:trPr>
          <w:trHeight w:val="225" w:hRule="atLeast"/>
          <w:jc w:val="center"/>
        </w:trPr>
        <w:tc>
          <w:tcPr>
            <w:tcW w:w="1921" w:type="dxa"/>
            <w:vMerge w:val="continue"/>
            <w:tcBorders>
              <w:top w:val="nil"/>
              <w:left w:val="single" w:color="auto" w:sz="4" w:space="0"/>
              <w:bottom w:val="single" w:color="auto" w:sz="4" w:space="0"/>
              <w:right w:val="single" w:color="auto" w:sz="4" w:space="0"/>
            </w:tcBorders>
            <w:noWrap w:val="0"/>
            <w:vAlign w:val="center"/>
          </w:tcPr>
          <w:p w14:paraId="135AF2A6">
            <w:pPr>
              <w:widowControl/>
              <w:jc w:val="center"/>
              <w:rPr>
                <w:rFonts w:hint="eastAsia" w:ascii="宋体" w:hAnsi="宋体" w:eastAsia="宋体" w:cs="宋体"/>
                <w:b/>
                <w:bCs/>
                <w:color w:val="auto"/>
                <w:kern w:val="0"/>
                <w:sz w:val="18"/>
                <w:szCs w:val="18"/>
                <w:highlight w:val="none"/>
              </w:rPr>
            </w:pPr>
          </w:p>
        </w:tc>
        <w:tc>
          <w:tcPr>
            <w:tcW w:w="1563" w:type="dxa"/>
            <w:tcBorders>
              <w:top w:val="nil"/>
              <w:left w:val="nil"/>
              <w:bottom w:val="single" w:color="auto" w:sz="4" w:space="0"/>
              <w:right w:val="single" w:color="auto" w:sz="4" w:space="0"/>
            </w:tcBorders>
            <w:noWrap w:val="0"/>
            <w:vAlign w:val="center"/>
          </w:tcPr>
          <w:p w14:paraId="0C30E43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1031" w:type="dxa"/>
            <w:tcBorders>
              <w:top w:val="nil"/>
              <w:left w:val="nil"/>
              <w:bottom w:val="single" w:color="auto" w:sz="4" w:space="0"/>
              <w:right w:val="single" w:color="auto" w:sz="4" w:space="0"/>
            </w:tcBorders>
            <w:noWrap w:val="0"/>
            <w:vAlign w:val="center"/>
          </w:tcPr>
          <w:p w14:paraId="6CDD2D1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30" w:type="dxa"/>
            <w:tcBorders>
              <w:top w:val="nil"/>
              <w:left w:val="nil"/>
              <w:bottom w:val="single" w:color="auto" w:sz="4" w:space="0"/>
              <w:right w:val="single" w:color="auto" w:sz="4" w:space="0"/>
            </w:tcBorders>
            <w:noWrap w:val="0"/>
            <w:vAlign w:val="center"/>
          </w:tcPr>
          <w:p w14:paraId="6059881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627" w:type="dxa"/>
            <w:tcBorders>
              <w:top w:val="nil"/>
              <w:left w:val="nil"/>
              <w:bottom w:val="single" w:color="auto" w:sz="4" w:space="0"/>
              <w:right w:val="single" w:color="auto" w:sz="4" w:space="0"/>
            </w:tcBorders>
            <w:noWrap w:val="0"/>
            <w:vAlign w:val="center"/>
          </w:tcPr>
          <w:p w14:paraId="45F2C58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500≤Y＜1000</w:t>
            </w:r>
          </w:p>
        </w:tc>
        <w:tc>
          <w:tcPr>
            <w:tcW w:w="1045" w:type="dxa"/>
            <w:tcBorders>
              <w:top w:val="nil"/>
              <w:left w:val="nil"/>
              <w:bottom w:val="single" w:color="auto" w:sz="4" w:space="0"/>
              <w:right w:val="single" w:color="auto" w:sz="4" w:space="0"/>
            </w:tcBorders>
            <w:noWrap w:val="0"/>
            <w:vAlign w:val="center"/>
          </w:tcPr>
          <w:p w14:paraId="6475AFC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14:paraId="62970619">
        <w:tblPrEx>
          <w:tblCellMar>
            <w:top w:w="0" w:type="dxa"/>
            <w:left w:w="108" w:type="dxa"/>
            <w:bottom w:w="0" w:type="dxa"/>
            <w:right w:w="108" w:type="dxa"/>
          </w:tblCellMar>
        </w:tblPrEx>
        <w:trPr>
          <w:trHeight w:val="225" w:hRule="atLeast"/>
          <w:jc w:val="center"/>
        </w:trPr>
        <w:tc>
          <w:tcPr>
            <w:tcW w:w="1921" w:type="dxa"/>
            <w:vMerge w:val="restart"/>
            <w:tcBorders>
              <w:top w:val="nil"/>
              <w:left w:val="single" w:color="auto" w:sz="4" w:space="0"/>
              <w:bottom w:val="single" w:color="auto" w:sz="4" w:space="0"/>
              <w:right w:val="single" w:color="auto" w:sz="4" w:space="0"/>
            </w:tcBorders>
            <w:noWrap w:val="0"/>
            <w:vAlign w:val="center"/>
          </w:tcPr>
          <w:p w14:paraId="6768B3BD">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563" w:type="dxa"/>
            <w:tcBorders>
              <w:top w:val="nil"/>
              <w:left w:val="nil"/>
              <w:bottom w:val="single" w:color="auto" w:sz="4" w:space="0"/>
              <w:right w:val="single" w:color="auto" w:sz="4" w:space="0"/>
            </w:tcBorders>
            <w:noWrap w:val="0"/>
            <w:vAlign w:val="center"/>
          </w:tcPr>
          <w:p w14:paraId="61623B3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1031" w:type="dxa"/>
            <w:tcBorders>
              <w:top w:val="nil"/>
              <w:left w:val="nil"/>
              <w:bottom w:val="single" w:color="auto" w:sz="4" w:space="0"/>
              <w:right w:val="single" w:color="auto" w:sz="4" w:space="0"/>
            </w:tcBorders>
            <w:noWrap w:val="0"/>
            <w:vAlign w:val="center"/>
          </w:tcPr>
          <w:p w14:paraId="252B1C1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30" w:type="dxa"/>
            <w:tcBorders>
              <w:top w:val="nil"/>
              <w:left w:val="nil"/>
              <w:bottom w:val="single" w:color="auto" w:sz="4" w:space="0"/>
              <w:right w:val="single" w:color="auto" w:sz="4" w:space="0"/>
            </w:tcBorders>
            <w:noWrap w:val="0"/>
            <w:vAlign w:val="center"/>
          </w:tcPr>
          <w:p w14:paraId="26C7DA8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627" w:type="dxa"/>
            <w:tcBorders>
              <w:top w:val="nil"/>
              <w:left w:val="nil"/>
              <w:bottom w:val="single" w:color="auto" w:sz="4" w:space="0"/>
              <w:right w:val="single" w:color="auto" w:sz="4" w:space="0"/>
            </w:tcBorders>
            <w:noWrap w:val="0"/>
            <w:vAlign w:val="center"/>
          </w:tcPr>
          <w:p w14:paraId="4ABC1DD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045" w:type="dxa"/>
            <w:tcBorders>
              <w:top w:val="nil"/>
              <w:left w:val="nil"/>
              <w:bottom w:val="single" w:color="auto" w:sz="4" w:space="0"/>
              <w:right w:val="single" w:color="auto" w:sz="4" w:space="0"/>
            </w:tcBorders>
            <w:noWrap w:val="0"/>
            <w:vAlign w:val="center"/>
          </w:tcPr>
          <w:p w14:paraId="3456236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19E8191C">
        <w:tblPrEx>
          <w:tblCellMar>
            <w:top w:w="0" w:type="dxa"/>
            <w:left w:w="108" w:type="dxa"/>
            <w:bottom w:w="0" w:type="dxa"/>
            <w:right w:w="108" w:type="dxa"/>
          </w:tblCellMar>
        </w:tblPrEx>
        <w:trPr>
          <w:trHeight w:val="225" w:hRule="atLeast"/>
          <w:jc w:val="center"/>
        </w:trPr>
        <w:tc>
          <w:tcPr>
            <w:tcW w:w="1921" w:type="dxa"/>
            <w:vMerge w:val="continue"/>
            <w:tcBorders>
              <w:top w:val="nil"/>
              <w:left w:val="single" w:color="auto" w:sz="4" w:space="0"/>
              <w:bottom w:val="single" w:color="auto" w:sz="4" w:space="0"/>
              <w:right w:val="single" w:color="auto" w:sz="4" w:space="0"/>
            </w:tcBorders>
            <w:noWrap w:val="0"/>
            <w:vAlign w:val="center"/>
          </w:tcPr>
          <w:p w14:paraId="70A3206A">
            <w:pPr>
              <w:widowControl/>
              <w:jc w:val="center"/>
              <w:rPr>
                <w:rFonts w:hint="eastAsia" w:ascii="宋体" w:hAnsi="宋体" w:eastAsia="宋体" w:cs="宋体"/>
                <w:b/>
                <w:bCs/>
                <w:color w:val="auto"/>
                <w:kern w:val="0"/>
                <w:sz w:val="18"/>
                <w:szCs w:val="18"/>
                <w:highlight w:val="none"/>
              </w:rPr>
            </w:pPr>
          </w:p>
        </w:tc>
        <w:tc>
          <w:tcPr>
            <w:tcW w:w="1563" w:type="dxa"/>
            <w:tcBorders>
              <w:top w:val="nil"/>
              <w:left w:val="nil"/>
              <w:bottom w:val="single" w:color="auto" w:sz="4" w:space="0"/>
              <w:right w:val="single" w:color="auto" w:sz="4" w:space="0"/>
            </w:tcBorders>
            <w:noWrap w:val="0"/>
            <w:vAlign w:val="center"/>
          </w:tcPr>
          <w:p w14:paraId="0D1A4D0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1031" w:type="dxa"/>
            <w:tcBorders>
              <w:top w:val="nil"/>
              <w:left w:val="nil"/>
              <w:bottom w:val="single" w:color="auto" w:sz="4" w:space="0"/>
              <w:right w:val="single" w:color="auto" w:sz="4" w:space="0"/>
            </w:tcBorders>
            <w:noWrap w:val="0"/>
            <w:vAlign w:val="center"/>
          </w:tcPr>
          <w:p w14:paraId="3A4448F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30" w:type="dxa"/>
            <w:tcBorders>
              <w:top w:val="nil"/>
              <w:left w:val="nil"/>
              <w:bottom w:val="single" w:color="auto" w:sz="4" w:space="0"/>
              <w:right w:val="single" w:color="auto" w:sz="4" w:space="0"/>
            </w:tcBorders>
            <w:noWrap w:val="0"/>
            <w:vAlign w:val="center"/>
          </w:tcPr>
          <w:p w14:paraId="2311549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8000≤Z＜120000</w:t>
            </w:r>
          </w:p>
        </w:tc>
        <w:tc>
          <w:tcPr>
            <w:tcW w:w="1627" w:type="dxa"/>
            <w:tcBorders>
              <w:top w:val="nil"/>
              <w:left w:val="nil"/>
              <w:bottom w:val="single" w:color="auto" w:sz="4" w:space="0"/>
              <w:right w:val="single" w:color="auto" w:sz="4" w:space="0"/>
            </w:tcBorders>
            <w:noWrap w:val="0"/>
            <w:vAlign w:val="center"/>
          </w:tcPr>
          <w:p w14:paraId="2D67169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100≤Z＜8000</w:t>
            </w:r>
          </w:p>
        </w:tc>
        <w:tc>
          <w:tcPr>
            <w:tcW w:w="1045" w:type="dxa"/>
            <w:tcBorders>
              <w:top w:val="nil"/>
              <w:left w:val="nil"/>
              <w:bottom w:val="single" w:color="auto" w:sz="4" w:space="0"/>
              <w:right w:val="single" w:color="auto" w:sz="4" w:space="0"/>
            </w:tcBorders>
            <w:noWrap w:val="0"/>
            <w:vAlign w:val="center"/>
          </w:tcPr>
          <w:p w14:paraId="4296494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964039B">
        <w:tblPrEx>
          <w:tblCellMar>
            <w:top w:w="0" w:type="dxa"/>
            <w:left w:w="108" w:type="dxa"/>
            <w:bottom w:w="0" w:type="dxa"/>
            <w:right w:w="108" w:type="dxa"/>
          </w:tblCellMar>
        </w:tblPrEx>
        <w:trPr>
          <w:trHeight w:val="225" w:hRule="atLeast"/>
          <w:jc w:val="center"/>
        </w:trPr>
        <w:tc>
          <w:tcPr>
            <w:tcW w:w="1921" w:type="dxa"/>
            <w:tcBorders>
              <w:top w:val="nil"/>
              <w:left w:val="single" w:color="auto" w:sz="4" w:space="0"/>
              <w:bottom w:val="single" w:color="auto" w:sz="4" w:space="0"/>
              <w:right w:val="single" w:color="auto" w:sz="4" w:space="0"/>
            </w:tcBorders>
            <w:noWrap w:val="0"/>
            <w:vAlign w:val="center"/>
          </w:tcPr>
          <w:p w14:paraId="4BF4ABD6">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563" w:type="dxa"/>
            <w:tcBorders>
              <w:top w:val="nil"/>
              <w:left w:val="nil"/>
              <w:bottom w:val="single" w:color="auto" w:sz="4" w:space="0"/>
              <w:right w:val="single" w:color="auto" w:sz="4" w:space="0"/>
            </w:tcBorders>
            <w:noWrap w:val="0"/>
            <w:vAlign w:val="center"/>
          </w:tcPr>
          <w:p w14:paraId="4D5D80D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1031" w:type="dxa"/>
            <w:tcBorders>
              <w:top w:val="nil"/>
              <w:left w:val="nil"/>
              <w:bottom w:val="single" w:color="auto" w:sz="4" w:space="0"/>
              <w:right w:val="single" w:color="auto" w:sz="4" w:space="0"/>
            </w:tcBorders>
            <w:noWrap w:val="0"/>
            <w:vAlign w:val="center"/>
          </w:tcPr>
          <w:p w14:paraId="413696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30" w:type="dxa"/>
            <w:tcBorders>
              <w:top w:val="nil"/>
              <w:left w:val="nil"/>
              <w:bottom w:val="single" w:color="auto" w:sz="4" w:space="0"/>
              <w:right w:val="single" w:color="auto" w:sz="4" w:space="0"/>
            </w:tcBorders>
            <w:noWrap w:val="0"/>
            <w:vAlign w:val="center"/>
          </w:tcPr>
          <w:p w14:paraId="70E9848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627" w:type="dxa"/>
            <w:tcBorders>
              <w:top w:val="nil"/>
              <w:left w:val="nil"/>
              <w:bottom w:val="single" w:color="auto" w:sz="4" w:space="0"/>
              <w:right w:val="single" w:color="auto" w:sz="4" w:space="0"/>
            </w:tcBorders>
            <w:noWrap w:val="0"/>
            <w:vAlign w:val="center"/>
          </w:tcPr>
          <w:p w14:paraId="0F49BB5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045" w:type="dxa"/>
            <w:tcBorders>
              <w:top w:val="nil"/>
              <w:left w:val="nil"/>
              <w:bottom w:val="single" w:color="auto" w:sz="4" w:space="0"/>
              <w:right w:val="single" w:color="auto" w:sz="4" w:space="0"/>
            </w:tcBorders>
            <w:noWrap w:val="0"/>
            <w:vAlign w:val="center"/>
          </w:tcPr>
          <w:p w14:paraId="69E8CC3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bl>
    <w:p w14:paraId="072102C3">
      <w:pPr>
        <w:spacing w:line="360" w:lineRule="auto"/>
        <w:ind w:firstLine="525" w:firstLineChars="250"/>
        <w:rPr>
          <w:rFonts w:hint="eastAsia" w:ascii="宋体" w:hAnsi="宋体" w:eastAsia="宋体" w:cs="宋体"/>
          <w:color w:val="auto"/>
          <w:szCs w:val="21"/>
          <w:highlight w:val="none"/>
        </w:rPr>
      </w:pPr>
    </w:p>
    <w:p w14:paraId="6F98EDFA">
      <w:pP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w:t>
      </w:r>
      <w:r>
        <w:rPr>
          <w:rFonts w:hint="eastAsia" w:ascii="宋体" w:hAnsi="宋体" w:cs="宋体"/>
          <w:color w:val="auto"/>
          <w:szCs w:val="21"/>
          <w:highlight w:val="none"/>
          <w:lang w:eastAsia="zh-CN"/>
        </w:rPr>
        <w:t>〔2011〕300号</w:t>
      </w:r>
      <w:r>
        <w:rPr>
          <w:rFonts w:hint="eastAsia" w:ascii="宋体" w:hAnsi="宋体" w:eastAsia="宋体" w:cs="宋体"/>
          <w:color w:val="auto"/>
          <w:szCs w:val="21"/>
          <w:highlight w:val="none"/>
        </w:rPr>
        <w:t>），大型、中型和小型企业须同时满足所列指标的下限，否则下划一档；微型企业只须满足所列指标中的一项即可。</w:t>
      </w:r>
    </w:p>
    <w:p w14:paraId="0367277E">
      <w:pPr>
        <w:spacing w:line="360" w:lineRule="auto"/>
        <w:jc w:val="left"/>
        <w:rPr>
          <w:rFonts w:hint="eastAsia" w:ascii="宋体" w:hAnsi="宋体" w:eastAsia="宋体" w:cs="宋体"/>
          <w:color w:val="auto"/>
          <w:szCs w:val="21"/>
          <w:highlight w:val="none"/>
        </w:rPr>
      </w:pPr>
    </w:p>
    <w:p w14:paraId="163C3DD5">
      <w:pPr>
        <w:spacing w:line="52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44"/>
          <w:szCs w:val="44"/>
          <w:highlight w:val="none"/>
        </w:rPr>
        <w:t>残疾人福利性单位声明函</w:t>
      </w:r>
    </w:p>
    <w:p w14:paraId="46AB63F5">
      <w:pPr>
        <w:spacing w:line="360" w:lineRule="auto"/>
        <w:contextualSpacing/>
        <w:rPr>
          <w:rFonts w:hint="eastAsia" w:ascii="宋体" w:hAnsi="宋体" w:eastAsia="宋体" w:cs="宋体"/>
          <w:color w:val="auto"/>
          <w:sz w:val="32"/>
          <w:szCs w:val="32"/>
          <w:highlight w:val="none"/>
        </w:rPr>
      </w:pPr>
    </w:p>
    <w:p w14:paraId="393BE650">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本单位郑重声明，根据《财政部 民政部 中国残疾人联合会关于促进残疾人就业政府采购政策的通知》（财库〔2017〕141号）的规定，本单位为符合条件的残疾人福利性单位，且本单位参加</w:t>
      </w:r>
    </w:p>
    <w:p w14:paraId="32D71C28">
      <w:pPr>
        <w:spacing w:line="360" w:lineRule="auto"/>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单位的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42E46D4E">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本单位对上述声明的真实性负责。如有虚假，将依法承担相应责任。</w:t>
      </w:r>
    </w:p>
    <w:p w14:paraId="5A7A8EFD">
      <w:pPr>
        <w:spacing w:line="360" w:lineRule="auto"/>
        <w:contextualSpacing/>
        <w:rPr>
          <w:rFonts w:hint="eastAsia" w:ascii="宋体" w:hAnsi="宋体" w:eastAsia="宋体" w:cs="宋体"/>
          <w:color w:val="auto"/>
          <w:szCs w:val="21"/>
          <w:highlight w:val="none"/>
        </w:rPr>
      </w:pPr>
    </w:p>
    <w:p w14:paraId="18F452AC">
      <w:pPr>
        <w:spacing w:line="360" w:lineRule="auto"/>
        <w:contextualSpacing/>
        <w:rPr>
          <w:rFonts w:hint="eastAsia" w:ascii="宋体" w:hAnsi="宋体" w:eastAsia="宋体" w:cs="宋体"/>
          <w:color w:val="auto"/>
          <w:szCs w:val="21"/>
          <w:highlight w:val="none"/>
        </w:rPr>
      </w:pPr>
    </w:p>
    <w:p w14:paraId="304C98F6">
      <w:pPr>
        <w:spacing w:line="360" w:lineRule="auto"/>
        <w:contextualSpacing/>
        <w:rPr>
          <w:rFonts w:hint="eastAsia" w:ascii="宋体" w:hAnsi="宋体" w:eastAsia="宋体" w:cs="宋体"/>
          <w:color w:val="auto"/>
          <w:szCs w:val="21"/>
          <w:highlight w:val="none"/>
        </w:rPr>
      </w:pPr>
    </w:p>
    <w:p w14:paraId="272E2DFD">
      <w:pPr>
        <w:spacing w:line="360" w:lineRule="auto"/>
        <w:ind w:firstLine="2100" w:firstLineChars="10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单位名称（盖章）：</w:t>
      </w:r>
    </w:p>
    <w:p w14:paraId="498E65F2">
      <w:pPr>
        <w:spacing w:line="360" w:lineRule="auto"/>
        <w:ind w:firstLine="3150" w:firstLineChars="15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w:t>
      </w:r>
    </w:p>
    <w:p w14:paraId="634A23AB">
      <w:pPr>
        <w:spacing w:line="360" w:lineRule="auto"/>
        <w:contextualSpacing/>
        <w:rPr>
          <w:rFonts w:hint="eastAsia" w:ascii="宋体" w:hAnsi="宋体" w:eastAsia="宋体" w:cs="宋体"/>
          <w:color w:val="auto"/>
          <w:szCs w:val="21"/>
          <w:highlight w:val="none"/>
        </w:rPr>
      </w:pPr>
    </w:p>
    <w:p w14:paraId="7E78E188">
      <w:pPr>
        <w:spacing w:line="360" w:lineRule="auto"/>
        <w:contextualSpacing/>
        <w:rPr>
          <w:rFonts w:hint="eastAsia" w:ascii="宋体" w:hAnsi="宋体" w:eastAsia="宋体" w:cs="宋体"/>
          <w:color w:val="auto"/>
          <w:szCs w:val="21"/>
          <w:highlight w:val="none"/>
        </w:rPr>
      </w:pPr>
    </w:p>
    <w:p w14:paraId="3479AFF1">
      <w:pPr>
        <w:spacing w:line="360" w:lineRule="auto"/>
        <w:contextualSpacing/>
        <w:rPr>
          <w:rFonts w:hint="eastAsia" w:ascii="宋体" w:hAnsi="宋体" w:eastAsia="宋体" w:cs="宋体"/>
          <w:color w:val="auto"/>
          <w:szCs w:val="21"/>
          <w:highlight w:val="none"/>
        </w:rPr>
      </w:pPr>
    </w:p>
    <w:p w14:paraId="62A5CB71">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注：请根据自己的真实情况出具《残疾人福利性单位声明函》。依法享受中小企业优惠政策的，采购人或者采购代理机构在公告成交结果时，同时公告其《残疾人福利性单位声明函》，接受社会监督。</w:t>
      </w:r>
    </w:p>
    <w:p w14:paraId="23C88EE1">
      <w:pPr>
        <w:pStyle w:val="3"/>
        <w:rPr>
          <w:rFonts w:hint="eastAsia" w:ascii="宋体" w:hAnsi="宋体" w:eastAsia="宋体" w:cs="宋体"/>
          <w:b/>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二、</w:t>
      </w:r>
      <w:r>
        <w:rPr>
          <w:rFonts w:hint="eastAsia" w:ascii="宋体" w:hAnsi="宋体" w:eastAsia="宋体" w:cs="宋体"/>
          <w:b/>
          <w:color w:val="auto"/>
          <w:sz w:val="32"/>
          <w:szCs w:val="32"/>
          <w:highlight w:val="none"/>
        </w:rPr>
        <w:t>商务文件格式</w:t>
      </w:r>
    </w:p>
    <w:p w14:paraId="0B3A8494">
      <w:pPr>
        <w:snapToGrid w:val="0"/>
        <w:spacing w:before="156" w:beforeLines="50" w:after="50" w:line="360" w:lineRule="auto"/>
        <w:jc w:val="lef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1.商务文件封面格式</w:t>
      </w:r>
    </w:p>
    <w:p w14:paraId="05E29E50">
      <w:pPr>
        <w:snapToGrid w:val="0"/>
        <w:spacing w:before="156"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p>
    <w:p w14:paraId="66F6E052">
      <w:pPr>
        <w:snapToGrid w:val="0"/>
        <w:spacing w:before="156" w:beforeLines="50" w:after="50"/>
        <w:rPr>
          <w:rFonts w:hint="eastAsia" w:ascii="宋体" w:hAnsi="宋体" w:eastAsia="宋体" w:cs="宋体"/>
          <w:color w:val="auto"/>
          <w:sz w:val="24"/>
          <w:szCs w:val="20"/>
          <w:highlight w:val="none"/>
        </w:rPr>
      </w:pPr>
    </w:p>
    <w:p w14:paraId="4CC9DA36">
      <w:pPr>
        <w:snapToGrid w:val="0"/>
        <w:spacing w:before="156" w:beforeLines="50" w:after="50"/>
        <w:jc w:val="center"/>
        <w:rPr>
          <w:rFonts w:hint="eastAsia" w:ascii="宋体" w:hAnsi="宋体" w:eastAsia="宋体" w:cs="宋体"/>
          <w:bCs/>
          <w:color w:val="auto"/>
          <w:sz w:val="84"/>
          <w:szCs w:val="84"/>
          <w:highlight w:val="none"/>
        </w:rPr>
      </w:pPr>
      <w:r>
        <w:rPr>
          <w:rFonts w:hint="eastAsia" w:ascii="宋体" w:hAnsi="宋体" w:eastAsia="宋体" w:cs="宋体"/>
          <w:bCs/>
          <w:color w:val="auto"/>
          <w:sz w:val="84"/>
          <w:szCs w:val="84"/>
          <w:highlight w:val="none"/>
        </w:rPr>
        <w:t>响  应  文  件</w:t>
      </w:r>
    </w:p>
    <w:p w14:paraId="2CAC8214">
      <w:pPr>
        <w:snapToGrid w:val="0"/>
        <w:spacing w:before="156" w:beforeLines="50" w:after="50"/>
        <w:jc w:val="center"/>
        <w:rPr>
          <w:rFonts w:hint="eastAsia" w:ascii="宋体" w:hAnsi="宋体" w:eastAsia="宋体" w:cs="宋体"/>
          <w:bCs/>
          <w:color w:val="auto"/>
          <w:sz w:val="32"/>
          <w:szCs w:val="32"/>
          <w:highlight w:val="none"/>
        </w:rPr>
      </w:pPr>
    </w:p>
    <w:p w14:paraId="345906F7">
      <w:pPr>
        <w:snapToGrid w:val="0"/>
        <w:spacing w:before="156" w:beforeLines="50" w:after="50"/>
        <w:jc w:val="center"/>
        <w:rPr>
          <w:rFonts w:hint="eastAsia" w:ascii="宋体" w:hAnsi="宋体" w:eastAsia="宋体" w:cs="宋体"/>
          <w:bCs/>
          <w:color w:val="auto"/>
          <w:sz w:val="32"/>
          <w:szCs w:val="32"/>
          <w:highlight w:val="none"/>
        </w:rPr>
      </w:pPr>
    </w:p>
    <w:p w14:paraId="495B1F12">
      <w:pPr>
        <w:snapToGrid w:val="0"/>
        <w:spacing w:before="156" w:beforeLines="50" w:after="50"/>
        <w:jc w:val="center"/>
        <w:rPr>
          <w:rFonts w:hint="eastAsia" w:ascii="宋体" w:hAnsi="宋体" w:eastAsia="宋体" w:cs="宋体"/>
          <w:bCs/>
          <w:color w:val="auto"/>
          <w:sz w:val="32"/>
          <w:szCs w:val="32"/>
          <w:highlight w:val="none"/>
        </w:rPr>
      </w:pPr>
    </w:p>
    <w:p w14:paraId="27AD56AC">
      <w:pPr>
        <w:snapToGrid w:val="0"/>
        <w:spacing w:before="156" w:beforeLines="50" w:after="50"/>
        <w:jc w:val="center"/>
        <w:rPr>
          <w:rFonts w:hint="eastAsia" w:ascii="宋体" w:hAnsi="宋体" w:eastAsia="宋体" w:cs="宋体"/>
          <w:bCs/>
          <w:color w:val="auto"/>
          <w:sz w:val="40"/>
          <w:szCs w:val="40"/>
          <w:highlight w:val="none"/>
        </w:rPr>
      </w:pPr>
      <w:r>
        <w:rPr>
          <w:rFonts w:hint="eastAsia" w:ascii="宋体" w:hAnsi="宋体" w:eastAsia="宋体" w:cs="宋体"/>
          <w:bCs/>
          <w:color w:val="auto"/>
          <w:sz w:val="40"/>
          <w:szCs w:val="40"/>
          <w:highlight w:val="none"/>
        </w:rPr>
        <w:t>商务文件</w:t>
      </w:r>
    </w:p>
    <w:p w14:paraId="398B524F">
      <w:pPr>
        <w:snapToGrid w:val="0"/>
        <w:spacing w:before="156" w:beforeLines="50" w:after="50"/>
        <w:rPr>
          <w:rFonts w:hint="eastAsia" w:ascii="宋体" w:hAnsi="宋体" w:eastAsia="宋体" w:cs="宋体"/>
          <w:bCs/>
          <w:color w:val="auto"/>
          <w:sz w:val="24"/>
          <w:szCs w:val="20"/>
          <w:highlight w:val="none"/>
        </w:rPr>
      </w:pPr>
    </w:p>
    <w:p w14:paraId="4B4076F7">
      <w:pPr>
        <w:snapToGrid w:val="0"/>
        <w:spacing w:before="156" w:beforeLines="50" w:after="50"/>
        <w:rPr>
          <w:rFonts w:hint="eastAsia" w:ascii="宋体" w:hAnsi="宋体" w:eastAsia="宋体" w:cs="宋体"/>
          <w:bCs/>
          <w:color w:val="auto"/>
          <w:sz w:val="24"/>
          <w:szCs w:val="20"/>
          <w:highlight w:val="none"/>
        </w:rPr>
      </w:pPr>
    </w:p>
    <w:p w14:paraId="33DC1EAC">
      <w:pPr>
        <w:snapToGrid w:val="0"/>
        <w:spacing w:before="156" w:beforeLines="50" w:after="50"/>
        <w:rPr>
          <w:rFonts w:hint="eastAsia" w:ascii="宋体" w:hAnsi="宋体" w:eastAsia="宋体" w:cs="宋体"/>
          <w:bCs/>
          <w:color w:val="auto"/>
          <w:sz w:val="24"/>
          <w:szCs w:val="20"/>
          <w:highlight w:val="none"/>
        </w:rPr>
      </w:pPr>
    </w:p>
    <w:p w14:paraId="26DB8DE4">
      <w:pPr>
        <w:snapToGrid w:val="0"/>
        <w:spacing w:before="156" w:beforeLines="50" w:after="50"/>
        <w:rPr>
          <w:rFonts w:hint="eastAsia" w:ascii="宋体" w:hAnsi="宋体" w:eastAsia="宋体" w:cs="宋体"/>
          <w:bCs/>
          <w:color w:val="auto"/>
          <w:sz w:val="24"/>
          <w:szCs w:val="20"/>
          <w:highlight w:val="none"/>
        </w:rPr>
      </w:pPr>
    </w:p>
    <w:p w14:paraId="02754A09">
      <w:pPr>
        <w:snapToGrid w:val="0"/>
        <w:spacing w:before="156"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15031439">
      <w:pPr>
        <w:snapToGrid w:val="0"/>
        <w:spacing w:before="156" w:beforeLines="50" w:after="50"/>
        <w:ind w:firstLine="720" w:firstLineChars="225"/>
        <w:rPr>
          <w:rFonts w:hint="eastAsia" w:ascii="宋体" w:hAnsi="宋体" w:eastAsia="宋体" w:cs="宋体"/>
          <w:bCs/>
          <w:color w:val="auto"/>
          <w:sz w:val="32"/>
          <w:szCs w:val="32"/>
          <w:highlight w:val="none"/>
        </w:rPr>
      </w:pPr>
    </w:p>
    <w:p w14:paraId="321B729F">
      <w:pPr>
        <w:snapToGrid w:val="0"/>
        <w:spacing w:before="156"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6E7D05EC">
      <w:pPr>
        <w:snapToGrid w:val="0"/>
        <w:spacing w:before="156" w:beforeLines="50" w:after="50"/>
        <w:ind w:firstLine="720" w:firstLineChars="225"/>
        <w:rPr>
          <w:rFonts w:hint="eastAsia" w:ascii="宋体" w:hAnsi="宋体" w:eastAsia="宋体" w:cs="宋体"/>
          <w:bCs/>
          <w:color w:val="auto"/>
          <w:sz w:val="32"/>
          <w:szCs w:val="32"/>
          <w:highlight w:val="none"/>
        </w:rPr>
      </w:pPr>
    </w:p>
    <w:p w14:paraId="49AE3728">
      <w:pPr>
        <w:snapToGrid w:val="0"/>
        <w:spacing w:before="156"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所竞分标：（没有，则填“无”或“/”）</w:t>
      </w:r>
    </w:p>
    <w:p w14:paraId="0E84E478">
      <w:pPr>
        <w:snapToGrid w:val="0"/>
        <w:spacing w:before="156" w:beforeLines="50" w:after="50"/>
        <w:ind w:firstLine="720" w:firstLineChars="225"/>
        <w:rPr>
          <w:rFonts w:hint="eastAsia" w:ascii="宋体" w:hAnsi="宋体" w:eastAsia="宋体" w:cs="宋体"/>
          <w:bCs/>
          <w:color w:val="auto"/>
          <w:sz w:val="32"/>
          <w:szCs w:val="32"/>
          <w:highlight w:val="none"/>
        </w:rPr>
      </w:pPr>
    </w:p>
    <w:p w14:paraId="41EF2590">
      <w:pPr>
        <w:pStyle w:val="6"/>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29BE314A">
      <w:pPr>
        <w:pStyle w:val="6"/>
        <w:snapToGrid w:val="0"/>
        <w:spacing w:before="50" w:after="50"/>
        <w:ind w:firstLine="720" w:firstLineChars="225"/>
        <w:rPr>
          <w:rFonts w:hint="eastAsia" w:ascii="宋体" w:hAnsi="宋体" w:eastAsia="宋体" w:cs="宋体"/>
          <w:bCs/>
          <w:color w:val="auto"/>
          <w:sz w:val="32"/>
          <w:szCs w:val="32"/>
          <w:highlight w:val="none"/>
        </w:rPr>
      </w:pPr>
    </w:p>
    <w:p w14:paraId="09A9C41C">
      <w:pPr>
        <w:pStyle w:val="6"/>
        <w:snapToGrid w:val="0"/>
        <w:spacing w:before="50" w:after="50"/>
        <w:ind w:firstLine="720" w:firstLineChars="225"/>
        <w:rPr>
          <w:rFonts w:hint="eastAsia" w:ascii="宋体" w:hAnsi="宋体" w:eastAsia="宋体" w:cs="宋体"/>
          <w:bCs/>
          <w:color w:val="auto"/>
          <w:sz w:val="32"/>
          <w:szCs w:val="32"/>
          <w:highlight w:val="none"/>
        </w:rPr>
      </w:pPr>
    </w:p>
    <w:p w14:paraId="1ABC4B84">
      <w:pPr>
        <w:pStyle w:val="6"/>
        <w:snapToGrid w:val="0"/>
        <w:spacing w:before="50" w:after="50"/>
        <w:ind w:firstLine="1280" w:firstLineChars="400"/>
        <w:rPr>
          <w:rFonts w:hint="eastAsia" w:ascii="宋体" w:hAnsi="宋体" w:eastAsia="宋体" w:cs="宋体"/>
          <w:bCs/>
          <w:color w:val="auto"/>
          <w:sz w:val="32"/>
          <w:szCs w:val="32"/>
          <w:highlight w:val="none"/>
        </w:rPr>
      </w:pPr>
    </w:p>
    <w:p w14:paraId="047C8DD4">
      <w:pPr>
        <w:snapToGrid w:val="0"/>
        <w:spacing w:before="156"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180E1EBE">
      <w:pPr>
        <w:snapToGrid w:val="0"/>
        <w:spacing w:before="156" w:beforeLines="50" w:after="50" w:line="360" w:lineRule="auto"/>
        <w:ind w:left="142"/>
        <w:jc w:val="left"/>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2.商务文件目录</w:t>
      </w:r>
    </w:p>
    <w:p w14:paraId="00F2543E">
      <w:pPr>
        <w:snapToGrid w:val="0"/>
        <w:spacing w:before="156" w:beforeLines="50" w:after="50" w:line="360" w:lineRule="auto"/>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根据磋商文件规定及供应商提供的材料自行编写目录（部分格式后附）。</w:t>
      </w:r>
    </w:p>
    <w:p w14:paraId="4677DC16">
      <w:pPr>
        <w:spacing w:line="400" w:lineRule="exact"/>
        <w:rPr>
          <w:rFonts w:hint="eastAsia" w:ascii="宋体" w:hAnsi="宋体" w:eastAsia="宋体" w:cs="宋体"/>
          <w:color w:val="auto"/>
          <w:sz w:val="32"/>
          <w:szCs w:val="32"/>
          <w:highlight w:val="none"/>
        </w:rPr>
      </w:pPr>
    </w:p>
    <w:p w14:paraId="1D492F71">
      <w:pPr>
        <w:spacing w:line="52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44"/>
          <w:szCs w:val="44"/>
          <w:highlight w:val="none"/>
        </w:rPr>
        <w:br w:type="page"/>
      </w:r>
      <w:r>
        <w:rPr>
          <w:rFonts w:hint="eastAsia" w:ascii="宋体" w:hAnsi="宋体" w:eastAsia="宋体" w:cs="宋体"/>
          <w:color w:val="auto"/>
          <w:sz w:val="44"/>
          <w:szCs w:val="44"/>
          <w:highlight w:val="none"/>
        </w:rPr>
        <w:t>无串通竞标行为的承诺函</w:t>
      </w:r>
    </w:p>
    <w:p w14:paraId="313535B1">
      <w:pPr>
        <w:spacing w:line="360" w:lineRule="auto"/>
        <w:ind w:firstLine="640" w:firstLineChars="200"/>
        <w:contextualSpacing/>
        <w:rPr>
          <w:rFonts w:hint="eastAsia" w:ascii="宋体" w:hAnsi="宋体" w:eastAsia="宋体" w:cs="宋体"/>
          <w:color w:val="auto"/>
          <w:sz w:val="32"/>
          <w:szCs w:val="32"/>
          <w:highlight w:val="none"/>
        </w:rPr>
      </w:pPr>
    </w:p>
    <w:p w14:paraId="2F0C6618">
      <w:pPr>
        <w:spacing w:line="360" w:lineRule="auto"/>
        <w:ind w:firstLine="422" w:firstLineChars="200"/>
        <w:contextualSpacing/>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一、我方承诺无下列相互串通竞标的情形：</w:t>
      </w:r>
    </w:p>
    <w:p w14:paraId="2765D390">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1.不同供应商的响应文件由同一单位或者个人编制；或者不同供应商报名的IP地址一致的；或者编制响应文件硬件设备CPU编号、硬盘编号、网卡地址一致的情况。</w:t>
      </w:r>
    </w:p>
    <w:p w14:paraId="140646EF">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62B415DE">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3.不同供应商的响应文件载明的项目管理员为同一个人；</w:t>
      </w:r>
    </w:p>
    <w:p w14:paraId="3FA94E14">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w:t>
      </w:r>
      <w:r>
        <w:rPr>
          <w:rFonts w:hint="eastAsia" w:ascii="宋体" w:hAnsi="宋体" w:eastAsia="宋体" w:cs="宋体"/>
          <w:color w:val="auto"/>
          <w:spacing w:val="-6"/>
          <w:szCs w:val="21"/>
          <w:highlight w:val="none"/>
        </w:rPr>
        <w:t>同供应商的响应文件异常一致或者竞标报价呈规律性差异；</w:t>
      </w:r>
    </w:p>
    <w:p w14:paraId="326D42B3">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2C590A2E">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p>
    <w:p w14:paraId="53F05FBD">
      <w:pPr>
        <w:spacing w:line="360" w:lineRule="auto"/>
        <w:ind w:firstLine="422" w:firstLineChars="200"/>
        <w:contextualSpacing/>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二、我方承诺无下列恶意串通的情形：</w:t>
      </w:r>
    </w:p>
    <w:p w14:paraId="0BF058D9">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683D1DC6">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74AD1B12">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w:t>
      </w:r>
      <w:r>
        <w:rPr>
          <w:rFonts w:hint="eastAsia" w:ascii="宋体" w:hAnsi="宋体" w:eastAsia="宋体" w:cs="宋体"/>
          <w:color w:val="auto"/>
          <w:spacing w:val="-6"/>
          <w:szCs w:val="21"/>
          <w:highlight w:val="none"/>
        </w:rPr>
        <w:t>应商之间协商报价、技术方案等响应文件的实质性内容；</w:t>
      </w:r>
    </w:p>
    <w:p w14:paraId="7F42D299">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2DBF9DB5">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5.供应商之间事先约定一致抬高或者压低竞标报价，或者在竞争性磋商项目中事先约定轮流以高价位或者低价位成交，或者事先约定由某一特定供应商成交，然后再参加竞标；</w:t>
      </w:r>
    </w:p>
    <w:p w14:paraId="14EC05D4">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679D2EAE">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w:t>
      </w:r>
      <w:r>
        <w:rPr>
          <w:rFonts w:hint="eastAsia" w:ascii="宋体" w:hAnsi="宋体" w:eastAsia="宋体" w:cs="宋体"/>
          <w:color w:val="auto"/>
          <w:spacing w:val="-6"/>
          <w:szCs w:val="21"/>
          <w:highlight w:val="none"/>
        </w:rPr>
        <w:t>谋求特定供应商成交或者排斥其他供应商的其他串通行为。</w:t>
      </w:r>
    </w:p>
    <w:p w14:paraId="1649BFF9">
      <w:pPr>
        <w:spacing w:line="360" w:lineRule="auto"/>
        <w:ind w:firstLine="420" w:firstLineChars="200"/>
        <w:contextualSpacing/>
        <w:rPr>
          <w:rFonts w:hint="eastAsia" w:ascii="宋体" w:hAnsi="宋体" w:eastAsia="宋体" w:cs="宋体"/>
          <w:color w:val="auto"/>
          <w:szCs w:val="21"/>
          <w:highlight w:val="none"/>
        </w:rPr>
      </w:pPr>
    </w:p>
    <w:p w14:paraId="5EFA4039">
      <w:pPr>
        <w:spacing w:line="360" w:lineRule="auto"/>
        <w:ind w:firstLine="422" w:firstLineChars="200"/>
        <w:contextualSpacing/>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以上情形一经核查属实，我方愿意承担一切后果，并不再寻求任何旨在减轻或者免除法律责任的辩解。</w:t>
      </w:r>
    </w:p>
    <w:p w14:paraId="252D4949">
      <w:pPr>
        <w:spacing w:line="360" w:lineRule="auto"/>
        <w:contextualSpacing/>
        <w:rPr>
          <w:rFonts w:hint="eastAsia" w:ascii="宋体" w:hAnsi="宋体" w:eastAsia="宋体" w:cs="宋体"/>
          <w:color w:val="auto"/>
          <w:szCs w:val="21"/>
          <w:highlight w:val="none"/>
        </w:rPr>
      </w:pPr>
    </w:p>
    <w:p w14:paraId="6FF7E015">
      <w:pPr>
        <w:spacing w:line="360" w:lineRule="auto"/>
        <w:ind w:firstLine="3150" w:firstLineChars="15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供应商（盖公章）：</w:t>
      </w:r>
    </w:p>
    <w:p w14:paraId="1A7643B2">
      <w:pPr>
        <w:spacing w:line="360" w:lineRule="auto"/>
        <w:ind w:firstLine="420" w:firstLineChars="200"/>
        <w:contextualSpacing/>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p w14:paraId="1BAE9FB0">
      <w:pPr>
        <w:spacing w:line="520" w:lineRule="exact"/>
        <w:jc w:val="center"/>
        <w:rPr>
          <w:rFonts w:hint="eastAsia" w:ascii="宋体" w:hAnsi="宋体" w:eastAsia="宋体" w:cs="宋体"/>
          <w:color w:val="auto"/>
          <w:sz w:val="32"/>
          <w:szCs w:val="32"/>
          <w:highlight w:val="none"/>
        </w:rPr>
      </w:pPr>
      <w:r>
        <w:rPr>
          <w:rFonts w:hint="eastAsia" w:ascii="宋体" w:hAnsi="宋体" w:eastAsia="宋体" w:cs="宋体"/>
          <w:bCs/>
          <w:color w:val="auto"/>
          <w:sz w:val="44"/>
          <w:szCs w:val="44"/>
          <w:highlight w:val="none"/>
        </w:rPr>
        <w:br w:type="page"/>
      </w:r>
      <w:r>
        <w:rPr>
          <w:rFonts w:hint="eastAsia" w:ascii="宋体" w:hAnsi="宋体" w:eastAsia="宋体" w:cs="宋体"/>
          <w:bCs/>
          <w:color w:val="auto"/>
          <w:sz w:val="44"/>
          <w:szCs w:val="44"/>
          <w:highlight w:val="none"/>
        </w:rPr>
        <w:t>法定代表人身份证明</w:t>
      </w:r>
    </w:p>
    <w:p w14:paraId="660C0680">
      <w:pPr>
        <w:spacing w:line="360" w:lineRule="auto"/>
        <w:ind w:left="540"/>
        <w:contextualSpacing/>
        <w:rPr>
          <w:rFonts w:hint="eastAsia" w:ascii="宋体" w:hAnsi="宋体" w:eastAsia="宋体" w:cs="宋体"/>
          <w:color w:val="auto"/>
          <w:sz w:val="32"/>
          <w:szCs w:val="32"/>
          <w:highlight w:val="none"/>
        </w:rPr>
      </w:pPr>
    </w:p>
    <w:p w14:paraId="0066C132">
      <w:pPr>
        <w:spacing w:line="360" w:lineRule="auto"/>
        <w:ind w:left="54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w:t>
      </w:r>
      <w:r>
        <w:rPr>
          <w:rFonts w:hint="eastAsia" w:ascii="宋体" w:hAnsi="宋体" w:eastAsia="宋体" w:cs="宋体"/>
          <w:color w:val="auto"/>
          <w:szCs w:val="21"/>
          <w:highlight w:val="none"/>
          <w:u w:val="single"/>
        </w:rPr>
        <w:t xml:space="preserve">                                                        </w:t>
      </w:r>
    </w:p>
    <w:p w14:paraId="5D12F013">
      <w:pPr>
        <w:spacing w:line="360" w:lineRule="auto"/>
        <w:ind w:left="54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w:t>
      </w:r>
      <w:r>
        <w:rPr>
          <w:rFonts w:hint="eastAsia" w:ascii="宋体" w:hAnsi="宋体" w:eastAsia="宋体" w:cs="宋体"/>
          <w:color w:val="auto"/>
          <w:szCs w:val="21"/>
          <w:highlight w:val="none"/>
          <w:u w:val="single"/>
        </w:rPr>
        <w:t xml:space="preserve">                                                        </w:t>
      </w:r>
    </w:p>
    <w:p w14:paraId="4B163DDA">
      <w:pPr>
        <w:spacing w:line="360" w:lineRule="auto"/>
        <w:ind w:left="54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    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性     别：</w:t>
      </w:r>
      <w:r>
        <w:rPr>
          <w:rFonts w:hint="eastAsia" w:ascii="宋体" w:hAnsi="宋体" w:eastAsia="宋体" w:cs="宋体"/>
          <w:color w:val="auto"/>
          <w:szCs w:val="21"/>
          <w:highlight w:val="none"/>
          <w:u w:val="single"/>
        </w:rPr>
        <w:t xml:space="preserve">                </w:t>
      </w:r>
    </w:p>
    <w:p w14:paraId="6855CD40">
      <w:pPr>
        <w:spacing w:line="360" w:lineRule="auto"/>
        <w:ind w:left="540"/>
        <w:contextualSpacing/>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年    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职     务：</w:t>
      </w:r>
      <w:r>
        <w:rPr>
          <w:rFonts w:hint="eastAsia" w:ascii="宋体" w:hAnsi="宋体" w:eastAsia="宋体" w:cs="宋体"/>
          <w:color w:val="auto"/>
          <w:szCs w:val="21"/>
          <w:highlight w:val="none"/>
          <w:u w:val="single"/>
        </w:rPr>
        <w:t xml:space="preserve">                </w:t>
      </w:r>
    </w:p>
    <w:p w14:paraId="58E7246F">
      <w:pPr>
        <w:spacing w:line="360" w:lineRule="auto"/>
        <w:ind w:left="54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身份证号码：</w:t>
      </w:r>
      <w:r>
        <w:rPr>
          <w:rFonts w:hint="eastAsia" w:ascii="宋体" w:hAnsi="宋体" w:eastAsia="宋体" w:cs="宋体"/>
          <w:color w:val="auto"/>
          <w:szCs w:val="21"/>
          <w:highlight w:val="none"/>
          <w:u w:val="single"/>
        </w:rPr>
        <w:t xml:space="preserve">                                        </w:t>
      </w:r>
    </w:p>
    <w:p w14:paraId="7193F6CB">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系</w:t>
      </w:r>
      <w:r>
        <w:rPr>
          <w:rFonts w:hint="eastAsia" w:ascii="宋体" w:hAnsi="宋体" w:eastAsia="宋体" w:cs="宋体"/>
          <w:color w:val="auto"/>
          <w:szCs w:val="21"/>
          <w:highlight w:val="none"/>
          <w:u w:val="single"/>
        </w:rPr>
        <w:t>（供应商名称）</w:t>
      </w:r>
      <w:r>
        <w:rPr>
          <w:rFonts w:hint="eastAsia" w:ascii="宋体" w:hAnsi="宋体" w:eastAsia="宋体" w:cs="宋体"/>
          <w:color w:val="auto"/>
          <w:szCs w:val="21"/>
          <w:highlight w:val="none"/>
        </w:rPr>
        <w:t>的法定代表人。</w:t>
      </w:r>
    </w:p>
    <w:p w14:paraId="12A1A3B8">
      <w:pPr>
        <w:spacing w:line="360" w:lineRule="auto"/>
        <w:ind w:left="54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特此证明。</w:t>
      </w:r>
    </w:p>
    <w:p w14:paraId="62914719">
      <w:pPr>
        <w:spacing w:line="360" w:lineRule="auto"/>
        <w:ind w:left="540"/>
        <w:contextualSpacing/>
        <w:rPr>
          <w:rFonts w:hint="eastAsia" w:ascii="宋体" w:hAnsi="宋体" w:eastAsia="宋体" w:cs="宋体"/>
          <w:color w:val="auto"/>
          <w:szCs w:val="21"/>
          <w:highlight w:val="none"/>
        </w:rPr>
      </w:pPr>
    </w:p>
    <w:p w14:paraId="3EAC6E5A">
      <w:pPr>
        <w:spacing w:line="360" w:lineRule="auto"/>
        <w:ind w:left="540"/>
        <w:contextualSpacing/>
        <w:rPr>
          <w:rFonts w:hint="eastAsia" w:ascii="宋体" w:hAnsi="宋体" w:eastAsia="宋体" w:cs="宋体"/>
          <w:color w:val="auto"/>
          <w:szCs w:val="21"/>
          <w:highlight w:val="none"/>
        </w:rPr>
      </w:pPr>
    </w:p>
    <w:p w14:paraId="679E6735">
      <w:pPr>
        <w:spacing w:line="360" w:lineRule="auto"/>
        <w:ind w:left="540"/>
        <w:contextualSpacing/>
        <w:rPr>
          <w:rFonts w:hint="eastAsia" w:ascii="宋体" w:hAnsi="宋体" w:eastAsia="宋体" w:cs="宋体"/>
          <w:color w:val="auto"/>
          <w:szCs w:val="21"/>
          <w:highlight w:val="none"/>
        </w:rPr>
      </w:pPr>
    </w:p>
    <w:p w14:paraId="2FDCE685">
      <w:pPr>
        <w:spacing w:line="360" w:lineRule="auto"/>
        <w:ind w:left="54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附件：法定代表人有效身份证正反面复印件</w:t>
      </w:r>
    </w:p>
    <w:p w14:paraId="4DCB329A">
      <w:pPr>
        <w:spacing w:line="360" w:lineRule="auto"/>
        <w:ind w:left="540"/>
        <w:contextualSpacing/>
        <w:rPr>
          <w:rFonts w:hint="eastAsia" w:ascii="宋体" w:hAnsi="宋体" w:eastAsia="宋体" w:cs="宋体"/>
          <w:color w:val="auto"/>
          <w:szCs w:val="21"/>
          <w:highlight w:val="none"/>
        </w:rPr>
      </w:pPr>
    </w:p>
    <w:p w14:paraId="6AE15BB1">
      <w:pPr>
        <w:spacing w:line="360" w:lineRule="auto"/>
        <w:ind w:left="540"/>
        <w:contextualSpacing/>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供应商（盖公章）：</w:t>
      </w:r>
    </w:p>
    <w:p w14:paraId="35CD43B3">
      <w:pPr>
        <w:spacing w:line="360" w:lineRule="auto"/>
        <w:ind w:firstLine="3570" w:firstLineChars="17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73F3DA35">
      <w:pPr>
        <w:spacing w:line="360" w:lineRule="auto"/>
        <w:contextualSpacing/>
        <w:jc w:val="center"/>
        <w:rPr>
          <w:rFonts w:hint="eastAsia" w:ascii="宋体" w:hAnsi="宋体" w:eastAsia="宋体" w:cs="宋体"/>
          <w:b/>
          <w:color w:val="auto"/>
          <w:szCs w:val="21"/>
          <w:highlight w:val="none"/>
        </w:rPr>
      </w:pPr>
    </w:p>
    <w:p w14:paraId="42C075F2">
      <w:pPr>
        <w:spacing w:line="360" w:lineRule="auto"/>
        <w:contextualSpacing/>
        <w:jc w:val="left"/>
        <w:rPr>
          <w:rFonts w:hint="eastAsia" w:ascii="宋体" w:hAnsi="宋体" w:eastAsia="宋体" w:cs="宋体"/>
          <w:color w:val="auto"/>
          <w:szCs w:val="21"/>
          <w:highlight w:val="none"/>
        </w:rPr>
      </w:pPr>
    </w:p>
    <w:p w14:paraId="3946F5E2">
      <w:pPr>
        <w:spacing w:line="360" w:lineRule="auto"/>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注：自然人竞标的无需提供。</w:t>
      </w:r>
    </w:p>
    <w:p w14:paraId="6856A8A6">
      <w:pPr>
        <w:adjustRightInd w:val="0"/>
        <w:snapToGrid w:val="0"/>
        <w:spacing w:line="300" w:lineRule="auto"/>
        <w:jc w:val="left"/>
        <w:rPr>
          <w:rFonts w:hint="eastAsia" w:ascii="宋体" w:hAnsi="宋体" w:eastAsia="宋体" w:cs="宋体"/>
          <w:b/>
          <w:color w:val="auto"/>
          <w:szCs w:val="21"/>
          <w:highlight w:val="none"/>
        </w:rPr>
      </w:pPr>
    </w:p>
    <w:p w14:paraId="5C75F34F">
      <w:pPr>
        <w:spacing w:line="500" w:lineRule="exact"/>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bookmarkStart w:id="38" w:name="_Hlk65853643"/>
      <w:r>
        <w:rPr>
          <w:rFonts w:hint="eastAsia" w:ascii="宋体" w:hAnsi="宋体" w:eastAsia="宋体" w:cs="宋体"/>
          <w:color w:val="auto"/>
          <w:sz w:val="44"/>
          <w:szCs w:val="44"/>
          <w:highlight w:val="none"/>
        </w:rPr>
        <w:t>授权委托书</w:t>
      </w:r>
    </w:p>
    <w:p w14:paraId="36E731F8">
      <w:pPr>
        <w:spacing w:line="520" w:lineRule="exact"/>
        <w:jc w:val="center"/>
        <w:rPr>
          <w:rFonts w:hint="eastAsia" w:ascii="宋体" w:hAnsi="宋体" w:eastAsia="宋体" w:cs="宋体"/>
          <w:color w:val="auto"/>
          <w:sz w:val="44"/>
          <w:szCs w:val="44"/>
          <w:highlight w:val="none"/>
        </w:rPr>
      </w:pPr>
      <w:r>
        <w:rPr>
          <w:rFonts w:hint="eastAsia" w:ascii="宋体" w:hAnsi="宋体" w:eastAsia="宋体" w:cs="宋体"/>
          <w:color w:val="auto"/>
          <w:sz w:val="32"/>
          <w:szCs w:val="32"/>
          <w:highlight w:val="none"/>
        </w:rPr>
        <w:t>（如有委托时）</w:t>
      </w:r>
    </w:p>
    <w:p w14:paraId="22FC19B3">
      <w:pPr>
        <w:spacing w:line="520" w:lineRule="exact"/>
        <w:rPr>
          <w:rFonts w:hint="eastAsia" w:ascii="宋体" w:hAnsi="宋体" w:eastAsia="宋体" w:cs="宋体"/>
          <w:color w:val="auto"/>
          <w:sz w:val="32"/>
          <w:szCs w:val="32"/>
          <w:highlight w:val="none"/>
        </w:rPr>
      </w:pPr>
    </w:p>
    <w:p w14:paraId="6ED796C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（采购人名称）</w:t>
      </w:r>
      <w:r>
        <w:rPr>
          <w:rFonts w:hint="eastAsia" w:ascii="宋体" w:hAnsi="宋体" w:eastAsia="宋体" w:cs="宋体"/>
          <w:color w:val="auto"/>
          <w:szCs w:val="21"/>
          <w:highlight w:val="none"/>
        </w:rPr>
        <w:t>：</w:t>
      </w:r>
    </w:p>
    <w:p w14:paraId="4736DB3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w:t>
      </w:r>
      <w:r>
        <w:rPr>
          <w:rFonts w:hint="eastAsia" w:ascii="宋体" w:hAnsi="宋体" w:eastAsia="宋体" w:cs="宋体"/>
          <w:color w:val="auto"/>
          <w:szCs w:val="21"/>
          <w:highlight w:val="none"/>
          <w:u w:val="single"/>
        </w:rPr>
        <w:t xml:space="preserve">  （姓名）  </w:t>
      </w:r>
      <w:r>
        <w:rPr>
          <w:rFonts w:hint="eastAsia" w:ascii="宋体" w:hAnsi="宋体" w:eastAsia="宋体" w:cs="宋体"/>
          <w:color w:val="auto"/>
          <w:szCs w:val="21"/>
          <w:highlight w:val="none"/>
        </w:rPr>
        <w:t>系</w:t>
      </w:r>
      <w:r>
        <w:rPr>
          <w:rFonts w:hint="eastAsia" w:ascii="宋体" w:hAnsi="宋体" w:eastAsia="宋体" w:cs="宋体"/>
          <w:color w:val="auto"/>
          <w:szCs w:val="21"/>
          <w:highlight w:val="none"/>
          <w:u w:val="single"/>
        </w:rPr>
        <w:t xml:space="preserve">  （供应商名称）  </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u w:val="single"/>
        </w:rPr>
        <w:t>法定代表人/负责人/自然人本人</w:t>
      </w:r>
      <w:r>
        <w:rPr>
          <w:rFonts w:hint="eastAsia" w:ascii="宋体" w:hAnsi="宋体" w:eastAsia="宋体" w:cs="宋体"/>
          <w:color w:val="auto"/>
          <w:szCs w:val="21"/>
          <w:highlight w:val="none"/>
        </w:rPr>
        <w:t>），现授权</w:t>
      </w:r>
      <w:r>
        <w:rPr>
          <w:rFonts w:hint="eastAsia" w:ascii="宋体" w:hAnsi="宋体" w:eastAsia="宋体" w:cs="宋体"/>
          <w:color w:val="auto"/>
          <w:szCs w:val="21"/>
          <w:highlight w:val="none"/>
          <w:u w:val="single"/>
        </w:rPr>
        <w:t xml:space="preserve"> （姓名） </w:t>
      </w:r>
      <w:r>
        <w:rPr>
          <w:rFonts w:hint="eastAsia" w:ascii="宋体" w:hAnsi="宋体" w:eastAsia="宋体" w:cs="宋体"/>
          <w:color w:val="auto"/>
          <w:szCs w:val="21"/>
          <w:highlight w:val="none"/>
        </w:rPr>
        <w:t>以我方的名义参加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项目的竞标活动，并代表我方全权办理针对上述项目的所有采购程序和环节的具体事务和签署相关文件。</w:t>
      </w:r>
    </w:p>
    <w:p w14:paraId="2811A7A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我方对委托代理人的签字事项负全部责任。</w:t>
      </w:r>
    </w:p>
    <w:p w14:paraId="434B649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本授权书自签署之日起生效，在撤销授权的书面通知以前，本授权书一直有效。委托代理人在授权书有效期内签署的所有文件不因授权的撤销而失效。</w:t>
      </w:r>
    </w:p>
    <w:p w14:paraId="68293B6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委托代理人无转委托权，特此委托。</w:t>
      </w:r>
    </w:p>
    <w:p w14:paraId="5F236A0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附：法定代表人身份证明及委托代理人有效身份证正反面复印件</w:t>
      </w:r>
    </w:p>
    <w:p w14:paraId="06F6B5AB">
      <w:pPr>
        <w:spacing w:line="360" w:lineRule="auto"/>
        <w:rPr>
          <w:rFonts w:hint="eastAsia" w:ascii="宋体" w:hAnsi="宋体" w:eastAsia="宋体" w:cs="宋体"/>
          <w:color w:val="auto"/>
          <w:szCs w:val="21"/>
          <w:highlight w:val="none"/>
        </w:rPr>
      </w:pPr>
    </w:p>
    <w:p w14:paraId="24D600F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委托代理人（签字或者电子签名）：         法定代表人（签字或者盖章）：</w:t>
      </w:r>
    </w:p>
    <w:p w14:paraId="0187115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委托代理人身份证号码：</w:t>
      </w:r>
    </w:p>
    <w:p w14:paraId="0DF30F05">
      <w:pPr>
        <w:spacing w:line="360" w:lineRule="auto"/>
        <w:ind w:left="4200" w:leftChars="2000" w:firstLine="0" w:firstLineChars="0"/>
        <w:rPr>
          <w:rFonts w:hint="eastAsia" w:ascii="宋体" w:hAnsi="宋体" w:eastAsia="宋体" w:cs="宋体"/>
          <w:color w:val="auto"/>
          <w:szCs w:val="21"/>
          <w:highlight w:val="none"/>
        </w:rPr>
      </w:pPr>
    </w:p>
    <w:p w14:paraId="27E54816">
      <w:pPr>
        <w:spacing w:line="360" w:lineRule="auto"/>
        <w:ind w:left="4200" w:leftChars="200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供应商（盖公章）：</w:t>
      </w:r>
    </w:p>
    <w:p w14:paraId="46F51E2D">
      <w:pPr>
        <w:spacing w:line="360" w:lineRule="auto"/>
        <w:ind w:left="4200" w:leftChars="2000"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p w14:paraId="4F47BF7A">
      <w:pPr>
        <w:spacing w:line="360" w:lineRule="auto"/>
        <w:rPr>
          <w:rFonts w:hint="eastAsia" w:ascii="宋体" w:hAnsi="宋体" w:eastAsia="宋体" w:cs="宋体"/>
          <w:color w:val="auto"/>
          <w:szCs w:val="21"/>
          <w:highlight w:val="none"/>
        </w:rPr>
      </w:pPr>
    </w:p>
    <w:p w14:paraId="2F62D9F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 法定代表人必须在授权委托书上亲笔签字或者盖章，委托代理人必须在授权委托书上亲笔签字或者电子签名，</w:t>
      </w:r>
      <w:r>
        <w:rPr>
          <w:rFonts w:hint="eastAsia" w:ascii="宋体" w:hAnsi="宋体" w:eastAsia="宋体" w:cs="宋体"/>
          <w:b/>
          <w:color w:val="auto"/>
          <w:szCs w:val="21"/>
          <w:highlight w:val="none"/>
        </w:rPr>
        <w:t>否则其响应文件按无效响应处理。</w:t>
      </w:r>
    </w:p>
    <w:p w14:paraId="3703A3CB">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bookmarkStart w:id="39" w:name="_Hlk65853109"/>
      <w:bookmarkStart w:id="40" w:name="_Hlk65853542"/>
      <w:r>
        <w:rPr>
          <w:rFonts w:hint="eastAsia" w:ascii="宋体" w:hAnsi="宋体" w:eastAsia="宋体" w:cs="宋体"/>
          <w:color w:val="auto"/>
          <w:szCs w:val="21"/>
          <w:highlight w:val="none"/>
        </w:rPr>
        <w:t>法人、其他组织竞标时“我方”是指“我单位”，自然人竞标时“我方”是指“本人”。</w:t>
      </w:r>
      <w:bookmarkEnd w:id="39"/>
    </w:p>
    <w:bookmarkEnd w:id="40"/>
    <w:p w14:paraId="634E689E">
      <w:pPr>
        <w:spacing w:line="360" w:lineRule="auto"/>
        <w:ind w:firstLine="420" w:firstLineChars="200"/>
        <w:jc w:val="left"/>
        <w:rPr>
          <w:rFonts w:hint="eastAsia" w:ascii="宋体" w:hAnsi="宋体" w:eastAsia="宋体" w:cs="宋体"/>
          <w:color w:val="auto"/>
          <w:szCs w:val="21"/>
          <w:highlight w:val="none"/>
        </w:rPr>
      </w:pPr>
    </w:p>
    <w:p w14:paraId="713F8740">
      <w:pPr>
        <w:spacing w:line="500" w:lineRule="exact"/>
        <w:jc w:val="center"/>
        <w:rPr>
          <w:rFonts w:hint="eastAsia" w:ascii="宋体" w:hAnsi="宋体" w:eastAsia="宋体" w:cs="宋体"/>
          <w:color w:val="auto"/>
          <w:sz w:val="44"/>
          <w:szCs w:val="44"/>
          <w:highlight w:val="none"/>
        </w:rPr>
      </w:pPr>
      <w:r>
        <w:rPr>
          <w:rFonts w:hint="eastAsia" w:ascii="宋体" w:hAnsi="宋体" w:eastAsia="宋体" w:cs="宋体"/>
          <w:color w:val="auto"/>
          <w:szCs w:val="21"/>
          <w:highlight w:val="none"/>
        </w:rPr>
        <w:br w:type="page"/>
      </w:r>
      <w:bookmarkEnd w:id="38"/>
      <w:r>
        <w:rPr>
          <w:rFonts w:hint="eastAsia" w:ascii="宋体" w:hAnsi="宋体" w:eastAsia="宋体" w:cs="宋体"/>
          <w:color w:val="auto"/>
          <w:sz w:val="44"/>
          <w:szCs w:val="44"/>
          <w:highlight w:val="none"/>
        </w:rPr>
        <w:t>磋商保证金提交凭证</w:t>
      </w:r>
    </w:p>
    <w:p w14:paraId="773ADDC2">
      <w:pPr>
        <w:spacing w:line="52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保证金汇款声明函</w:t>
      </w:r>
      <w:r>
        <w:rPr>
          <w:rFonts w:hint="eastAsia" w:ascii="宋体" w:hAnsi="宋体" w:cs="宋体"/>
          <w:color w:val="auto"/>
          <w:sz w:val="32"/>
          <w:szCs w:val="32"/>
          <w:highlight w:val="none"/>
          <w:lang w:eastAsia="zh-CN"/>
        </w:rPr>
        <w:t>（</w:t>
      </w:r>
      <w:r>
        <w:rPr>
          <w:rFonts w:hint="eastAsia" w:ascii="宋体" w:hAnsi="宋体" w:eastAsia="宋体" w:cs="宋体"/>
          <w:color w:val="auto"/>
          <w:sz w:val="32"/>
          <w:szCs w:val="32"/>
          <w:highlight w:val="none"/>
        </w:rPr>
        <w:t>适用银行转账</w:t>
      </w:r>
      <w:r>
        <w:rPr>
          <w:rFonts w:hint="eastAsia" w:ascii="宋体" w:hAnsi="宋体" w:cs="宋体"/>
          <w:color w:val="auto"/>
          <w:sz w:val="32"/>
          <w:szCs w:val="32"/>
          <w:highlight w:val="none"/>
          <w:lang w:eastAsia="zh-CN"/>
        </w:rPr>
        <w:t>）</w:t>
      </w:r>
    </w:p>
    <w:p w14:paraId="4E9990B0">
      <w:pPr>
        <w:pStyle w:val="19"/>
        <w:spacing w:line="440" w:lineRule="exact"/>
        <w:rPr>
          <w:rFonts w:hint="eastAsia" w:ascii="宋体" w:hAnsi="宋体" w:eastAsia="宋体" w:cs="宋体"/>
          <w:color w:val="auto"/>
          <w:sz w:val="21"/>
          <w:highlight w:val="none"/>
        </w:rPr>
      </w:pPr>
    </w:p>
    <w:p w14:paraId="5D5729EF">
      <w:pPr>
        <w:pStyle w:val="19"/>
        <w:spacing w:line="440" w:lineRule="exact"/>
        <w:rPr>
          <w:rFonts w:hint="eastAsia" w:ascii="宋体" w:hAnsi="宋体" w:eastAsia="宋体" w:cs="宋体"/>
          <w:color w:val="auto"/>
          <w:sz w:val="21"/>
          <w:highlight w:val="none"/>
        </w:rPr>
      </w:pPr>
      <w:r>
        <w:rPr>
          <w:rFonts w:hint="eastAsia" w:ascii="宋体" w:hAnsi="宋体" w:eastAsia="宋体" w:cs="宋体"/>
          <w:color w:val="auto"/>
          <w:sz w:val="21"/>
          <w:highlight w:val="none"/>
        </w:rPr>
        <w:t>致：</w:t>
      </w:r>
      <w:r>
        <w:rPr>
          <w:rFonts w:hint="eastAsia" w:ascii="宋体" w:hAnsi="宋体" w:eastAsia="宋体" w:cs="宋体"/>
          <w:color w:val="auto"/>
          <w:sz w:val="21"/>
          <w:highlight w:val="none"/>
          <w:u w:val="single"/>
        </w:rPr>
        <w:t xml:space="preserve"> 广西中信恒泰工程顾问有限公司</w:t>
      </w:r>
    </w:p>
    <w:p w14:paraId="5E4A25AE">
      <w:pPr>
        <w:spacing w:line="440" w:lineRule="exact"/>
        <w:ind w:firstLine="411" w:firstLineChars="196"/>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我方为____________</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项目名称</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项目编号：________</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递交保证金人民币大写________</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已于______年____月____日以银行主动划账方式划入你方账户。</w:t>
      </w:r>
    </w:p>
    <w:p w14:paraId="1A8E5C6A">
      <w:pPr>
        <w:spacing w:line="440" w:lineRule="exact"/>
        <w:ind w:firstLine="411" w:firstLineChars="196"/>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详见附件：银行出具的汇款单或转账凭证复印件。</w:t>
      </w:r>
    </w:p>
    <w:p w14:paraId="04D6850F">
      <w:pPr>
        <w:spacing w:line="440" w:lineRule="exact"/>
        <w:ind w:firstLine="411" w:firstLineChars="196"/>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退还保证金时请按以下内容划入我方账户。若因内容不全、错误、字迹潦草模糊导致该项目保证金未能及时退还或退还过程中发生错误，我方将承担全部责任和损失。</w:t>
      </w:r>
    </w:p>
    <w:tbl>
      <w:tblPr>
        <w:tblStyle w:val="31"/>
        <w:tblW w:w="9702" w:type="dxa"/>
        <w:jc w:val="center"/>
        <w:tblLayout w:type="fixed"/>
        <w:tblCellMar>
          <w:top w:w="0" w:type="dxa"/>
          <w:left w:w="108" w:type="dxa"/>
          <w:bottom w:w="0" w:type="dxa"/>
          <w:right w:w="108" w:type="dxa"/>
        </w:tblCellMar>
      </w:tblPr>
      <w:tblGrid>
        <w:gridCol w:w="1197"/>
        <w:gridCol w:w="284"/>
        <w:gridCol w:w="2268"/>
        <w:gridCol w:w="1984"/>
        <w:gridCol w:w="3207"/>
        <w:gridCol w:w="762"/>
      </w:tblGrid>
      <w:tr w14:paraId="29B29C29">
        <w:tblPrEx>
          <w:tblCellMar>
            <w:top w:w="0" w:type="dxa"/>
            <w:left w:w="108" w:type="dxa"/>
            <w:bottom w:w="0" w:type="dxa"/>
            <w:right w:w="108" w:type="dxa"/>
          </w:tblCellMar>
        </w:tblPrEx>
        <w:trPr>
          <w:trHeight w:val="488" w:hRule="atLeast"/>
          <w:jc w:val="center"/>
        </w:trPr>
        <w:tc>
          <w:tcPr>
            <w:tcW w:w="9702" w:type="dxa"/>
            <w:gridSpan w:val="6"/>
            <w:tcBorders>
              <w:top w:val="nil"/>
              <w:left w:val="nil"/>
              <w:bottom w:val="single" w:color="auto" w:sz="4" w:space="0"/>
              <w:right w:val="nil"/>
            </w:tcBorders>
            <w:noWrap w:val="0"/>
            <w:vAlign w:val="center"/>
          </w:tcPr>
          <w:p w14:paraId="5108FE8B">
            <w:pPr>
              <w:spacing w:after="156" w:afterLines="50" w:line="440" w:lineRule="exact"/>
              <w:jc w:val="center"/>
              <w:rPr>
                <w:rFonts w:hint="eastAsia" w:ascii="宋体" w:hAnsi="宋体" w:eastAsia="宋体" w:cs="宋体"/>
                <w:bCs/>
                <w:color w:val="auto"/>
                <w:kern w:val="0"/>
                <w:szCs w:val="21"/>
                <w:highlight w:val="none"/>
              </w:rPr>
            </w:pPr>
            <w:r>
              <w:rPr>
                <w:rFonts w:hint="eastAsia" w:ascii="宋体" w:hAnsi="宋体" w:eastAsia="宋体" w:cs="宋体"/>
                <w:b/>
                <w:color w:val="auto"/>
                <w:szCs w:val="21"/>
                <w:highlight w:val="none"/>
              </w:rPr>
              <w:t>保证金</w:t>
            </w:r>
            <w:r>
              <w:rPr>
                <w:rFonts w:hint="eastAsia" w:ascii="宋体" w:hAnsi="宋体" w:cs="宋体"/>
                <w:b/>
                <w:color w:val="auto"/>
                <w:szCs w:val="21"/>
                <w:highlight w:val="none"/>
                <w:lang w:eastAsia="zh-CN"/>
              </w:rPr>
              <w:t>缴款</w:t>
            </w:r>
            <w:r>
              <w:rPr>
                <w:rFonts w:hint="eastAsia" w:ascii="宋体" w:hAnsi="宋体" w:eastAsia="宋体" w:cs="宋体"/>
                <w:b/>
                <w:color w:val="auto"/>
                <w:szCs w:val="21"/>
                <w:highlight w:val="none"/>
              </w:rPr>
              <w:t>、退款函</w:t>
            </w:r>
          </w:p>
        </w:tc>
      </w:tr>
      <w:tr w14:paraId="0DED8D9D">
        <w:tblPrEx>
          <w:tblCellMar>
            <w:top w:w="0" w:type="dxa"/>
            <w:left w:w="108" w:type="dxa"/>
            <w:bottom w:w="0" w:type="dxa"/>
            <w:right w:w="108" w:type="dxa"/>
          </w:tblCellMar>
        </w:tblPrEx>
        <w:trPr>
          <w:trHeight w:val="397" w:hRule="atLeast"/>
          <w:jc w:val="center"/>
        </w:trPr>
        <w:tc>
          <w:tcPr>
            <w:tcW w:w="1481" w:type="dxa"/>
            <w:gridSpan w:val="2"/>
            <w:tcBorders>
              <w:top w:val="single" w:color="auto" w:sz="4" w:space="0"/>
              <w:left w:val="single" w:color="auto" w:sz="4" w:space="0"/>
              <w:bottom w:val="single" w:color="auto" w:sz="4" w:space="0"/>
              <w:right w:val="single" w:color="auto" w:sz="4" w:space="0"/>
            </w:tcBorders>
            <w:noWrap w:val="0"/>
            <w:vAlign w:val="center"/>
          </w:tcPr>
          <w:p w14:paraId="06B04FD7">
            <w:pPr>
              <w:widowControl/>
              <w:spacing w:line="440" w:lineRule="exact"/>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项目名称</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431D042">
            <w:pPr>
              <w:widowControl/>
              <w:spacing w:line="440" w:lineRule="exact"/>
              <w:jc w:val="center"/>
              <w:rPr>
                <w:rFonts w:hint="eastAsia" w:ascii="宋体" w:hAnsi="宋体" w:eastAsia="宋体" w:cs="宋体"/>
                <w:color w:val="auto"/>
                <w:kern w:val="0"/>
                <w:szCs w:val="21"/>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14:paraId="2B5693A0">
            <w:pPr>
              <w:widowControl/>
              <w:spacing w:line="440" w:lineRule="exact"/>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项目编号</w:t>
            </w:r>
          </w:p>
        </w:tc>
        <w:tc>
          <w:tcPr>
            <w:tcW w:w="3207" w:type="dxa"/>
            <w:tcBorders>
              <w:top w:val="single" w:color="auto" w:sz="4" w:space="0"/>
              <w:left w:val="single" w:color="auto" w:sz="4" w:space="0"/>
              <w:bottom w:val="single" w:color="auto" w:sz="4" w:space="0"/>
              <w:right w:val="single" w:color="auto" w:sz="4" w:space="0"/>
            </w:tcBorders>
            <w:noWrap w:val="0"/>
            <w:vAlign w:val="center"/>
          </w:tcPr>
          <w:p w14:paraId="024DABA1">
            <w:pPr>
              <w:widowControl/>
              <w:spacing w:line="440" w:lineRule="exact"/>
              <w:jc w:val="center"/>
              <w:rPr>
                <w:rFonts w:hint="eastAsia" w:ascii="宋体" w:hAnsi="宋体" w:eastAsia="宋体" w:cs="宋体"/>
                <w:color w:val="auto"/>
                <w:kern w:val="0"/>
                <w:szCs w:val="21"/>
                <w:highlight w:val="none"/>
              </w:rPr>
            </w:pPr>
          </w:p>
        </w:tc>
        <w:tc>
          <w:tcPr>
            <w:tcW w:w="762" w:type="dxa"/>
            <w:vMerge w:val="restart"/>
            <w:tcBorders>
              <w:top w:val="single" w:color="auto" w:sz="4" w:space="0"/>
              <w:left w:val="single" w:color="auto" w:sz="4" w:space="0"/>
              <w:bottom w:val="single" w:color="auto" w:sz="4" w:space="0"/>
              <w:right w:val="single" w:color="auto" w:sz="4" w:space="0"/>
            </w:tcBorders>
            <w:noWrap w:val="0"/>
            <w:vAlign w:val="center"/>
          </w:tcPr>
          <w:p w14:paraId="70B4AACE">
            <w:pPr>
              <w:widowControl/>
              <w:spacing w:line="44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请将保证金交款凭证复印件贴于下面</w:t>
            </w:r>
          </w:p>
        </w:tc>
      </w:tr>
      <w:tr w14:paraId="511ED596">
        <w:tblPrEx>
          <w:tblCellMar>
            <w:top w:w="0" w:type="dxa"/>
            <w:left w:w="108" w:type="dxa"/>
            <w:bottom w:w="0" w:type="dxa"/>
            <w:right w:w="108" w:type="dxa"/>
          </w:tblCellMar>
        </w:tblPrEx>
        <w:trPr>
          <w:trHeight w:val="397" w:hRule="atLeast"/>
          <w:jc w:val="center"/>
        </w:trPr>
        <w:tc>
          <w:tcPr>
            <w:tcW w:w="1481" w:type="dxa"/>
            <w:gridSpan w:val="2"/>
            <w:tcBorders>
              <w:top w:val="single" w:color="auto" w:sz="4" w:space="0"/>
              <w:left w:val="single" w:color="auto" w:sz="4" w:space="0"/>
              <w:bottom w:val="single" w:color="auto" w:sz="4" w:space="0"/>
              <w:right w:val="single" w:color="auto" w:sz="4" w:space="0"/>
            </w:tcBorders>
            <w:noWrap w:val="0"/>
            <w:vAlign w:val="center"/>
          </w:tcPr>
          <w:p w14:paraId="2EB7978C">
            <w:pPr>
              <w:widowControl/>
              <w:spacing w:line="440" w:lineRule="exact"/>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交款单位</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EDB0EDC">
            <w:pPr>
              <w:widowControl/>
              <w:spacing w:line="440" w:lineRule="exact"/>
              <w:jc w:val="center"/>
              <w:rPr>
                <w:rFonts w:hint="eastAsia" w:ascii="宋体" w:hAnsi="宋体" w:eastAsia="宋体" w:cs="宋体"/>
                <w:bCs/>
                <w:color w:val="auto"/>
                <w:kern w:val="0"/>
                <w:szCs w:val="21"/>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14:paraId="52EF4CEE">
            <w:pPr>
              <w:widowControl/>
              <w:spacing w:line="440" w:lineRule="exact"/>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联系人及电话</w:t>
            </w:r>
          </w:p>
        </w:tc>
        <w:tc>
          <w:tcPr>
            <w:tcW w:w="3207" w:type="dxa"/>
            <w:tcBorders>
              <w:top w:val="single" w:color="auto" w:sz="4" w:space="0"/>
              <w:left w:val="single" w:color="auto" w:sz="4" w:space="0"/>
              <w:bottom w:val="single" w:color="auto" w:sz="4" w:space="0"/>
              <w:right w:val="single" w:color="auto" w:sz="4" w:space="0"/>
            </w:tcBorders>
            <w:noWrap w:val="0"/>
            <w:vAlign w:val="center"/>
          </w:tcPr>
          <w:p w14:paraId="69F6328E">
            <w:pPr>
              <w:widowControl/>
              <w:spacing w:line="440" w:lineRule="exact"/>
              <w:jc w:val="center"/>
              <w:rPr>
                <w:rFonts w:hint="eastAsia" w:ascii="宋体" w:hAnsi="宋体" w:eastAsia="宋体" w:cs="宋体"/>
                <w:bCs/>
                <w:color w:val="auto"/>
                <w:kern w:val="0"/>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noWrap w:val="0"/>
            <w:vAlign w:val="center"/>
          </w:tcPr>
          <w:p w14:paraId="5D632056">
            <w:pPr>
              <w:widowControl/>
              <w:spacing w:line="440" w:lineRule="exact"/>
              <w:jc w:val="left"/>
              <w:rPr>
                <w:rFonts w:hint="eastAsia" w:ascii="宋体" w:hAnsi="宋体" w:eastAsia="宋体" w:cs="宋体"/>
                <w:color w:val="auto"/>
                <w:kern w:val="0"/>
                <w:szCs w:val="21"/>
                <w:highlight w:val="none"/>
              </w:rPr>
            </w:pPr>
          </w:p>
        </w:tc>
      </w:tr>
      <w:tr w14:paraId="029873ED">
        <w:tblPrEx>
          <w:tblCellMar>
            <w:top w:w="0" w:type="dxa"/>
            <w:left w:w="108" w:type="dxa"/>
            <w:bottom w:w="0" w:type="dxa"/>
            <w:right w:w="108" w:type="dxa"/>
          </w:tblCellMar>
        </w:tblPrEx>
        <w:trPr>
          <w:trHeight w:val="397" w:hRule="atLeast"/>
          <w:jc w:val="center"/>
        </w:trPr>
        <w:tc>
          <w:tcPr>
            <w:tcW w:w="1481" w:type="dxa"/>
            <w:gridSpan w:val="2"/>
            <w:tcBorders>
              <w:top w:val="single" w:color="auto" w:sz="4" w:space="0"/>
              <w:left w:val="single" w:color="auto" w:sz="4" w:space="0"/>
              <w:bottom w:val="single" w:color="auto" w:sz="4" w:space="0"/>
              <w:right w:val="single" w:color="auto" w:sz="4" w:space="0"/>
            </w:tcBorders>
            <w:noWrap w:val="0"/>
            <w:vAlign w:val="center"/>
          </w:tcPr>
          <w:p w14:paraId="2BA68914">
            <w:pPr>
              <w:widowControl/>
              <w:spacing w:line="440" w:lineRule="exact"/>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保证金金额</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FAA06AC">
            <w:pPr>
              <w:widowControl/>
              <w:spacing w:line="440" w:lineRule="exact"/>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w:t>
            </w:r>
          </w:p>
        </w:tc>
        <w:tc>
          <w:tcPr>
            <w:tcW w:w="5191" w:type="dxa"/>
            <w:gridSpan w:val="2"/>
            <w:vMerge w:val="restart"/>
            <w:tcBorders>
              <w:top w:val="single" w:color="auto" w:sz="4" w:space="0"/>
              <w:left w:val="single" w:color="auto" w:sz="4" w:space="0"/>
              <w:bottom w:val="single" w:color="auto" w:sz="4" w:space="0"/>
              <w:right w:val="single" w:color="auto" w:sz="4" w:space="0"/>
            </w:tcBorders>
            <w:noWrap w:val="0"/>
            <w:vAlign w:val="top"/>
          </w:tcPr>
          <w:p w14:paraId="21F1E5A3">
            <w:pPr>
              <w:spacing w:line="440" w:lineRule="exact"/>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若我单位未成交请采购人或采购代理机构于该项目成交通知书发出后5个工作日内将保证金退回原交款人。</w:t>
            </w:r>
          </w:p>
          <w:p w14:paraId="00D7AABE">
            <w:pPr>
              <w:spacing w:line="440" w:lineRule="exact"/>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 若我单位成交，请采购人或采购代理机构收到我单位提交的合同后5个工作日内将保证金退回原交款人。                                     </w:t>
            </w:r>
          </w:p>
          <w:p w14:paraId="047B67FF">
            <w:pPr>
              <w:spacing w:line="440" w:lineRule="exact"/>
              <w:contextualSpacing/>
              <w:jc w:val="left"/>
              <w:rPr>
                <w:rFonts w:hint="eastAsia" w:ascii="宋体" w:hAnsi="宋体" w:eastAsia="宋体" w:cs="宋体"/>
                <w:color w:val="auto"/>
                <w:szCs w:val="21"/>
                <w:highlight w:val="none"/>
              </w:rPr>
            </w:pPr>
          </w:p>
          <w:p w14:paraId="4FC6F83E">
            <w:pPr>
              <w:spacing w:line="440" w:lineRule="exact"/>
              <w:contextualSpacing/>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供应商名称（盖公章）：</w:t>
            </w:r>
          </w:p>
          <w:p w14:paraId="58DC44BE">
            <w:pPr>
              <w:spacing w:line="440" w:lineRule="exact"/>
              <w:ind w:firstLine="413" w:firstLineChars="196"/>
              <w:contextualSpacing/>
              <w:jc w:val="left"/>
              <w:rPr>
                <w:rFonts w:hint="eastAsia" w:ascii="宋体" w:hAnsi="宋体" w:eastAsia="宋体" w:cs="宋体"/>
                <w:bCs/>
                <w:color w:val="auto"/>
                <w:kern w:val="0"/>
                <w:szCs w:val="21"/>
                <w:highlight w:val="none"/>
              </w:rPr>
            </w:pPr>
            <w:r>
              <w:rPr>
                <w:rFonts w:hint="eastAsia" w:ascii="宋体" w:hAnsi="宋体" w:eastAsia="宋体" w:cs="宋体"/>
                <w:b/>
                <w:bCs/>
                <w:color w:val="auto"/>
                <w:szCs w:val="21"/>
                <w:highlight w:val="none"/>
              </w:rPr>
              <w:t xml:space="preserve">                       年   月   日</w:t>
            </w:r>
            <w:r>
              <w:rPr>
                <w:rFonts w:hint="eastAsia" w:ascii="宋体" w:hAnsi="宋体" w:eastAsia="宋体" w:cs="宋体"/>
                <w:b/>
                <w:bCs/>
                <w:color w:val="auto"/>
                <w:kern w:val="0"/>
                <w:szCs w:val="21"/>
                <w:highlight w:val="none"/>
              </w:rPr>
              <w:t xml:space="preserve"> </w:t>
            </w:r>
          </w:p>
        </w:tc>
        <w:tc>
          <w:tcPr>
            <w:tcW w:w="762" w:type="dxa"/>
            <w:vMerge w:val="continue"/>
            <w:tcBorders>
              <w:top w:val="single" w:color="auto" w:sz="4" w:space="0"/>
              <w:left w:val="single" w:color="auto" w:sz="4" w:space="0"/>
              <w:bottom w:val="single" w:color="auto" w:sz="4" w:space="0"/>
              <w:right w:val="single" w:color="auto" w:sz="4" w:space="0"/>
            </w:tcBorders>
            <w:noWrap w:val="0"/>
            <w:vAlign w:val="center"/>
          </w:tcPr>
          <w:p w14:paraId="081D3DE4">
            <w:pPr>
              <w:widowControl/>
              <w:spacing w:line="440" w:lineRule="exact"/>
              <w:jc w:val="left"/>
              <w:rPr>
                <w:rFonts w:hint="eastAsia" w:ascii="宋体" w:hAnsi="宋体" w:eastAsia="宋体" w:cs="宋体"/>
                <w:color w:val="auto"/>
                <w:kern w:val="0"/>
                <w:szCs w:val="21"/>
                <w:highlight w:val="none"/>
              </w:rPr>
            </w:pPr>
          </w:p>
        </w:tc>
      </w:tr>
      <w:tr w14:paraId="3E2EFE48">
        <w:tblPrEx>
          <w:tblCellMar>
            <w:top w:w="0" w:type="dxa"/>
            <w:left w:w="108" w:type="dxa"/>
            <w:bottom w:w="0" w:type="dxa"/>
            <w:right w:w="108" w:type="dxa"/>
          </w:tblCellMar>
        </w:tblPrEx>
        <w:trPr>
          <w:trHeight w:val="397" w:hRule="atLeast"/>
          <w:jc w:val="center"/>
        </w:trPr>
        <w:tc>
          <w:tcPr>
            <w:tcW w:w="3749" w:type="dxa"/>
            <w:gridSpan w:val="3"/>
            <w:tcBorders>
              <w:top w:val="single" w:color="auto" w:sz="4" w:space="0"/>
              <w:left w:val="single" w:color="auto" w:sz="4" w:space="0"/>
              <w:bottom w:val="single" w:color="auto" w:sz="4" w:space="0"/>
              <w:right w:val="single" w:color="auto" w:sz="4" w:space="0"/>
            </w:tcBorders>
            <w:noWrap w:val="0"/>
            <w:vAlign w:val="center"/>
          </w:tcPr>
          <w:p w14:paraId="6976909E">
            <w:pPr>
              <w:widowControl/>
              <w:spacing w:line="440" w:lineRule="exact"/>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退款信息</w:t>
            </w:r>
          </w:p>
        </w:tc>
        <w:tc>
          <w:tcPr>
            <w:tcW w:w="5191"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30B1683">
            <w:pPr>
              <w:spacing w:line="440" w:lineRule="exact"/>
              <w:jc w:val="center"/>
              <w:rPr>
                <w:rFonts w:hint="eastAsia" w:ascii="宋体" w:hAnsi="宋体" w:eastAsia="宋体" w:cs="宋体"/>
                <w:bCs/>
                <w:color w:val="auto"/>
                <w:kern w:val="0"/>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noWrap w:val="0"/>
            <w:vAlign w:val="center"/>
          </w:tcPr>
          <w:p w14:paraId="4DA7322A">
            <w:pPr>
              <w:widowControl/>
              <w:spacing w:line="440" w:lineRule="exact"/>
              <w:jc w:val="left"/>
              <w:rPr>
                <w:rFonts w:hint="eastAsia" w:ascii="宋体" w:hAnsi="宋体" w:eastAsia="宋体" w:cs="宋体"/>
                <w:color w:val="auto"/>
                <w:kern w:val="0"/>
                <w:szCs w:val="21"/>
                <w:highlight w:val="none"/>
              </w:rPr>
            </w:pPr>
          </w:p>
        </w:tc>
      </w:tr>
      <w:tr w14:paraId="54422CB8">
        <w:tblPrEx>
          <w:tblCellMar>
            <w:top w:w="0" w:type="dxa"/>
            <w:left w:w="108" w:type="dxa"/>
            <w:bottom w:w="0" w:type="dxa"/>
            <w:right w:w="108" w:type="dxa"/>
          </w:tblCellMar>
        </w:tblPrEx>
        <w:trPr>
          <w:trHeight w:val="397" w:hRule="atLeast"/>
          <w:jc w:val="center"/>
        </w:trPr>
        <w:tc>
          <w:tcPr>
            <w:tcW w:w="1197" w:type="dxa"/>
            <w:tcBorders>
              <w:top w:val="single" w:color="auto" w:sz="4" w:space="0"/>
              <w:left w:val="single" w:color="auto" w:sz="4" w:space="0"/>
              <w:bottom w:val="single" w:color="auto" w:sz="4" w:space="0"/>
              <w:right w:val="single" w:color="auto" w:sz="4" w:space="0"/>
            </w:tcBorders>
            <w:noWrap w:val="0"/>
            <w:vAlign w:val="center"/>
          </w:tcPr>
          <w:p w14:paraId="3FE4B76B">
            <w:pPr>
              <w:widowControl/>
              <w:spacing w:line="440" w:lineRule="exact"/>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户  名</w:t>
            </w:r>
          </w:p>
        </w:tc>
        <w:tc>
          <w:tcPr>
            <w:tcW w:w="2552" w:type="dxa"/>
            <w:gridSpan w:val="2"/>
            <w:tcBorders>
              <w:top w:val="single" w:color="auto" w:sz="4" w:space="0"/>
              <w:left w:val="single" w:color="auto" w:sz="4" w:space="0"/>
              <w:bottom w:val="single" w:color="auto" w:sz="4" w:space="0"/>
              <w:right w:val="single" w:color="auto" w:sz="4" w:space="0"/>
            </w:tcBorders>
            <w:noWrap w:val="0"/>
            <w:vAlign w:val="center"/>
          </w:tcPr>
          <w:p w14:paraId="4510B129">
            <w:pPr>
              <w:widowControl/>
              <w:spacing w:line="440" w:lineRule="exact"/>
              <w:jc w:val="center"/>
              <w:rPr>
                <w:rFonts w:hint="eastAsia" w:ascii="宋体" w:hAnsi="宋体" w:eastAsia="宋体" w:cs="宋体"/>
                <w:bCs/>
                <w:color w:val="auto"/>
                <w:kern w:val="0"/>
                <w:szCs w:val="21"/>
                <w:highlight w:val="none"/>
              </w:rPr>
            </w:pPr>
          </w:p>
        </w:tc>
        <w:tc>
          <w:tcPr>
            <w:tcW w:w="5191" w:type="dxa"/>
            <w:gridSpan w:val="2"/>
            <w:vMerge w:val="continue"/>
            <w:tcBorders>
              <w:top w:val="single" w:color="auto" w:sz="4" w:space="0"/>
              <w:left w:val="single" w:color="auto" w:sz="4" w:space="0"/>
              <w:bottom w:val="single" w:color="auto" w:sz="4" w:space="0"/>
              <w:right w:val="single" w:color="auto" w:sz="4" w:space="0"/>
            </w:tcBorders>
            <w:noWrap w:val="0"/>
            <w:vAlign w:val="top"/>
          </w:tcPr>
          <w:p w14:paraId="3AB84DB5">
            <w:pPr>
              <w:spacing w:line="440" w:lineRule="exact"/>
              <w:jc w:val="center"/>
              <w:rPr>
                <w:rFonts w:hint="eastAsia" w:ascii="宋体" w:hAnsi="宋体" w:eastAsia="宋体" w:cs="宋体"/>
                <w:bCs/>
                <w:color w:val="auto"/>
                <w:kern w:val="0"/>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noWrap w:val="0"/>
            <w:vAlign w:val="center"/>
          </w:tcPr>
          <w:p w14:paraId="45881A01">
            <w:pPr>
              <w:widowControl/>
              <w:spacing w:line="440" w:lineRule="exact"/>
              <w:jc w:val="left"/>
              <w:rPr>
                <w:rFonts w:hint="eastAsia" w:ascii="宋体" w:hAnsi="宋体" w:eastAsia="宋体" w:cs="宋体"/>
                <w:color w:val="auto"/>
                <w:kern w:val="0"/>
                <w:szCs w:val="21"/>
                <w:highlight w:val="none"/>
              </w:rPr>
            </w:pPr>
          </w:p>
        </w:tc>
      </w:tr>
      <w:tr w14:paraId="487A98D0">
        <w:tblPrEx>
          <w:tblCellMar>
            <w:top w:w="0" w:type="dxa"/>
            <w:left w:w="108" w:type="dxa"/>
            <w:bottom w:w="0" w:type="dxa"/>
            <w:right w:w="108" w:type="dxa"/>
          </w:tblCellMar>
        </w:tblPrEx>
        <w:trPr>
          <w:trHeight w:val="397" w:hRule="atLeast"/>
          <w:jc w:val="center"/>
        </w:trPr>
        <w:tc>
          <w:tcPr>
            <w:tcW w:w="1197" w:type="dxa"/>
            <w:tcBorders>
              <w:top w:val="single" w:color="auto" w:sz="4" w:space="0"/>
              <w:left w:val="single" w:color="auto" w:sz="4" w:space="0"/>
              <w:bottom w:val="single" w:color="auto" w:sz="4" w:space="0"/>
              <w:right w:val="single" w:color="auto" w:sz="4" w:space="0"/>
            </w:tcBorders>
            <w:noWrap w:val="0"/>
            <w:vAlign w:val="center"/>
          </w:tcPr>
          <w:p w14:paraId="01EB6195">
            <w:pPr>
              <w:widowControl/>
              <w:spacing w:line="440" w:lineRule="exact"/>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账  号</w:t>
            </w:r>
          </w:p>
        </w:tc>
        <w:tc>
          <w:tcPr>
            <w:tcW w:w="2552" w:type="dxa"/>
            <w:gridSpan w:val="2"/>
            <w:tcBorders>
              <w:top w:val="single" w:color="auto" w:sz="4" w:space="0"/>
              <w:left w:val="single" w:color="auto" w:sz="4" w:space="0"/>
              <w:bottom w:val="single" w:color="auto" w:sz="4" w:space="0"/>
              <w:right w:val="single" w:color="auto" w:sz="4" w:space="0"/>
            </w:tcBorders>
            <w:noWrap w:val="0"/>
            <w:vAlign w:val="center"/>
          </w:tcPr>
          <w:p w14:paraId="688F2ECC">
            <w:pPr>
              <w:widowControl/>
              <w:spacing w:line="440" w:lineRule="exact"/>
              <w:jc w:val="center"/>
              <w:rPr>
                <w:rFonts w:hint="eastAsia" w:ascii="宋体" w:hAnsi="宋体" w:eastAsia="宋体" w:cs="宋体"/>
                <w:bCs/>
                <w:color w:val="auto"/>
                <w:kern w:val="0"/>
                <w:szCs w:val="21"/>
                <w:highlight w:val="none"/>
              </w:rPr>
            </w:pPr>
          </w:p>
        </w:tc>
        <w:tc>
          <w:tcPr>
            <w:tcW w:w="5191"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6D4B5C9">
            <w:pPr>
              <w:spacing w:line="440" w:lineRule="exact"/>
              <w:jc w:val="center"/>
              <w:rPr>
                <w:rFonts w:hint="eastAsia" w:ascii="宋体" w:hAnsi="宋体" w:eastAsia="宋体" w:cs="宋体"/>
                <w:bCs/>
                <w:color w:val="auto"/>
                <w:kern w:val="0"/>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noWrap w:val="0"/>
            <w:vAlign w:val="center"/>
          </w:tcPr>
          <w:p w14:paraId="14BCF0E7">
            <w:pPr>
              <w:widowControl/>
              <w:spacing w:line="440" w:lineRule="exact"/>
              <w:jc w:val="left"/>
              <w:rPr>
                <w:rFonts w:hint="eastAsia" w:ascii="宋体" w:hAnsi="宋体" w:eastAsia="宋体" w:cs="宋体"/>
                <w:color w:val="auto"/>
                <w:kern w:val="0"/>
                <w:szCs w:val="21"/>
                <w:highlight w:val="none"/>
              </w:rPr>
            </w:pPr>
          </w:p>
        </w:tc>
      </w:tr>
      <w:tr w14:paraId="24158406">
        <w:tblPrEx>
          <w:tblCellMar>
            <w:top w:w="0" w:type="dxa"/>
            <w:left w:w="108" w:type="dxa"/>
            <w:bottom w:w="0" w:type="dxa"/>
            <w:right w:w="108" w:type="dxa"/>
          </w:tblCellMar>
        </w:tblPrEx>
        <w:trPr>
          <w:trHeight w:val="397" w:hRule="atLeast"/>
          <w:jc w:val="center"/>
        </w:trPr>
        <w:tc>
          <w:tcPr>
            <w:tcW w:w="1197" w:type="dxa"/>
            <w:tcBorders>
              <w:top w:val="single" w:color="auto" w:sz="4" w:space="0"/>
              <w:left w:val="single" w:color="auto" w:sz="4" w:space="0"/>
              <w:bottom w:val="single" w:color="auto" w:sz="4" w:space="0"/>
              <w:right w:val="single" w:color="auto" w:sz="4" w:space="0"/>
            </w:tcBorders>
            <w:noWrap w:val="0"/>
            <w:vAlign w:val="center"/>
          </w:tcPr>
          <w:p w14:paraId="2E201A68">
            <w:pPr>
              <w:widowControl/>
              <w:spacing w:line="440" w:lineRule="exact"/>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汇入地点</w:t>
            </w:r>
          </w:p>
        </w:tc>
        <w:tc>
          <w:tcPr>
            <w:tcW w:w="2552" w:type="dxa"/>
            <w:gridSpan w:val="2"/>
            <w:tcBorders>
              <w:top w:val="single" w:color="auto" w:sz="4" w:space="0"/>
              <w:left w:val="single" w:color="auto" w:sz="4" w:space="0"/>
              <w:bottom w:val="single" w:color="auto" w:sz="4" w:space="0"/>
              <w:right w:val="single" w:color="auto" w:sz="4" w:space="0"/>
            </w:tcBorders>
            <w:noWrap w:val="0"/>
            <w:vAlign w:val="center"/>
          </w:tcPr>
          <w:p w14:paraId="2C4BE0C6">
            <w:pPr>
              <w:widowControl/>
              <w:spacing w:line="440" w:lineRule="exact"/>
              <w:jc w:val="righ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 xml:space="preserve">省       市（县）  </w:t>
            </w:r>
          </w:p>
        </w:tc>
        <w:tc>
          <w:tcPr>
            <w:tcW w:w="5191"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2261025">
            <w:pPr>
              <w:spacing w:line="440" w:lineRule="exact"/>
              <w:jc w:val="center"/>
              <w:rPr>
                <w:rFonts w:hint="eastAsia" w:ascii="宋体" w:hAnsi="宋体" w:eastAsia="宋体" w:cs="宋体"/>
                <w:bCs/>
                <w:color w:val="auto"/>
                <w:kern w:val="0"/>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noWrap w:val="0"/>
            <w:vAlign w:val="center"/>
          </w:tcPr>
          <w:p w14:paraId="7497C35F">
            <w:pPr>
              <w:widowControl/>
              <w:spacing w:line="440" w:lineRule="exact"/>
              <w:jc w:val="left"/>
              <w:rPr>
                <w:rFonts w:hint="eastAsia" w:ascii="宋体" w:hAnsi="宋体" w:eastAsia="宋体" w:cs="宋体"/>
                <w:color w:val="auto"/>
                <w:kern w:val="0"/>
                <w:szCs w:val="21"/>
                <w:highlight w:val="none"/>
              </w:rPr>
            </w:pPr>
          </w:p>
        </w:tc>
      </w:tr>
      <w:tr w14:paraId="279B7719">
        <w:tblPrEx>
          <w:tblCellMar>
            <w:top w:w="0" w:type="dxa"/>
            <w:left w:w="108" w:type="dxa"/>
            <w:bottom w:w="0" w:type="dxa"/>
            <w:right w:w="108" w:type="dxa"/>
          </w:tblCellMar>
        </w:tblPrEx>
        <w:trPr>
          <w:jc w:val="center"/>
        </w:trPr>
        <w:tc>
          <w:tcPr>
            <w:tcW w:w="1197" w:type="dxa"/>
            <w:tcBorders>
              <w:top w:val="single" w:color="auto" w:sz="4" w:space="0"/>
              <w:left w:val="single" w:color="auto" w:sz="4" w:space="0"/>
              <w:bottom w:val="single" w:color="auto" w:sz="4" w:space="0"/>
              <w:right w:val="single" w:color="auto" w:sz="4" w:space="0"/>
            </w:tcBorders>
            <w:noWrap w:val="0"/>
            <w:vAlign w:val="center"/>
          </w:tcPr>
          <w:p w14:paraId="25AE8AEA">
            <w:pPr>
              <w:widowControl/>
              <w:spacing w:line="440" w:lineRule="exact"/>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开户银行</w:t>
            </w:r>
          </w:p>
        </w:tc>
        <w:tc>
          <w:tcPr>
            <w:tcW w:w="2552" w:type="dxa"/>
            <w:gridSpan w:val="2"/>
            <w:tcBorders>
              <w:top w:val="single" w:color="auto" w:sz="4" w:space="0"/>
              <w:left w:val="single" w:color="auto" w:sz="4" w:space="0"/>
              <w:bottom w:val="single" w:color="auto" w:sz="4" w:space="0"/>
              <w:right w:val="single" w:color="auto" w:sz="4" w:space="0"/>
            </w:tcBorders>
            <w:noWrap w:val="0"/>
            <w:vAlign w:val="center"/>
          </w:tcPr>
          <w:p w14:paraId="7473B484">
            <w:pPr>
              <w:widowControl/>
              <w:spacing w:line="440" w:lineRule="exact"/>
              <w:jc w:val="center"/>
              <w:rPr>
                <w:rFonts w:hint="eastAsia" w:ascii="宋体" w:hAnsi="宋体" w:eastAsia="宋体" w:cs="宋体"/>
                <w:bCs/>
                <w:color w:val="auto"/>
                <w:kern w:val="0"/>
                <w:szCs w:val="21"/>
                <w:highlight w:val="none"/>
              </w:rPr>
            </w:pPr>
          </w:p>
        </w:tc>
        <w:tc>
          <w:tcPr>
            <w:tcW w:w="5191"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0A63CC0">
            <w:pPr>
              <w:widowControl/>
              <w:spacing w:line="440" w:lineRule="exact"/>
              <w:jc w:val="center"/>
              <w:rPr>
                <w:rFonts w:hint="eastAsia" w:ascii="宋体" w:hAnsi="宋体" w:eastAsia="宋体" w:cs="宋体"/>
                <w:bCs/>
                <w:color w:val="auto"/>
                <w:kern w:val="0"/>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noWrap w:val="0"/>
            <w:vAlign w:val="center"/>
          </w:tcPr>
          <w:p w14:paraId="39153F8A">
            <w:pPr>
              <w:widowControl/>
              <w:spacing w:line="440" w:lineRule="exact"/>
              <w:jc w:val="left"/>
              <w:rPr>
                <w:rFonts w:hint="eastAsia" w:ascii="宋体" w:hAnsi="宋体" w:eastAsia="宋体" w:cs="宋体"/>
                <w:color w:val="auto"/>
                <w:kern w:val="0"/>
                <w:szCs w:val="21"/>
                <w:highlight w:val="none"/>
              </w:rPr>
            </w:pPr>
          </w:p>
        </w:tc>
      </w:tr>
      <w:tr w14:paraId="3C852C45">
        <w:tblPrEx>
          <w:tblCellMar>
            <w:top w:w="0" w:type="dxa"/>
            <w:left w:w="108" w:type="dxa"/>
            <w:bottom w:w="0" w:type="dxa"/>
            <w:right w:w="108" w:type="dxa"/>
          </w:tblCellMar>
        </w:tblPrEx>
        <w:trPr>
          <w:jc w:val="center"/>
        </w:trPr>
        <w:tc>
          <w:tcPr>
            <w:tcW w:w="9702" w:type="dxa"/>
            <w:gridSpan w:val="6"/>
            <w:tcBorders>
              <w:top w:val="single" w:color="auto" w:sz="4" w:space="0"/>
            </w:tcBorders>
            <w:noWrap w:val="0"/>
            <w:vAlign w:val="center"/>
          </w:tcPr>
          <w:p w14:paraId="450DB2F0">
            <w:pPr>
              <w:spacing w:line="440" w:lineRule="exact"/>
              <w:ind w:firstLine="411" w:firstLineChars="196"/>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附：保证金交款凭证复印件</w:t>
            </w:r>
          </w:p>
        </w:tc>
      </w:tr>
    </w:tbl>
    <w:p w14:paraId="02D07BAF">
      <w:pPr>
        <w:pStyle w:val="19"/>
        <w:ind w:firstLine="480" w:firstLineChars="200"/>
        <w:rPr>
          <w:rFonts w:hint="eastAsia" w:ascii="宋体" w:hAnsi="宋体" w:eastAsia="宋体" w:cs="宋体"/>
          <w:color w:val="auto"/>
          <w:sz w:val="24"/>
          <w:szCs w:val="24"/>
          <w:highlight w:val="none"/>
        </w:rPr>
      </w:pPr>
    </w:p>
    <w:tbl>
      <w:tblPr>
        <w:tblStyle w:val="3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913"/>
      </w:tblGrid>
      <w:tr w14:paraId="29D119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1" w:hRule="atLeast"/>
          <w:jc w:val="center"/>
        </w:trPr>
        <w:tc>
          <w:tcPr>
            <w:tcW w:w="5913" w:type="dxa"/>
            <w:tcBorders>
              <w:top w:val="single" w:color="auto" w:sz="4" w:space="0"/>
              <w:left w:val="single" w:color="auto" w:sz="4" w:space="0"/>
              <w:bottom w:val="single" w:color="auto" w:sz="4" w:space="0"/>
              <w:right w:val="single" w:color="auto" w:sz="4" w:space="0"/>
            </w:tcBorders>
            <w:noWrap w:val="0"/>
            <w:vAlign w:val="center"/>
          </w:tcPr>
          <w:p w14:paraId="367550EC">
            <w:pPr>
              <w:pStyle w:val="1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汇款单或转账凭证复印件</w:t>
            </w:r>
          </w:p>
        </w:tc>
      </w:tr>
    </w:tbl>
    <w:p w14:paraId="4CAAFD5C">
      <w:pPr>
        <w:spacing w:line="500" w:lineRule="exact"/>
        <w:jc w:val="center"/>
        <w:rPr>
          <w:rFonts w:hint="eastAsia" w:ascii="宋体" w:hAnsi="宋体" w:eastAsia="宋体" w:cs="宋体"/>
          <w:bCs/>
          <w:color w:val="auto"/>
          <w:sz w:val="44"/>
          <w:szCs w:val="44"/>
          <w:highlight w:val="none"/>
        </w:rPr>
      </w:pPr>
      <w:r>
        <w:rPr>
          <w:rFonts w:hint="eastAsia" w:ascii="宋体" w:hAnsi="宋体" w:eastAsia="宋体" w:cs="宋体"/>
          <w:color w:val="auto"/>
          <w:sz w:val="32"/>
          <w:szCs w:val="32"/>
          <w:highlight w:val="none"/>
        </w:rPr>
        <w:br w:type="page"/>
      </w:r>
      <w:r>
        <w:rPr>
          <w:rFonts w:hint="eastAsia" w:ascii="宋体" w:hAnsi="宋体" w:eastAsia="宋体" w:cs="宋体"/>
          <w:bCs/>
          <w:color w:val="auto"/>
          <w:sz w:val="44"/>
          <w:szCs w:val="44"/>
          <w:highlight w:val="none"/>
        </w:rPr>
        <w:t>商务要求偏离表</w:t>
      </w:r>
      <w:r>
        <w:rPr>
          <w:rFonts w:hint="eastAsia" w:ascii="宋体" w:hAnsi="宋体" w:eastAsia="宋体" w:cs="宋体"/>
          <w:bCs/>
          <w:color w:val="auto"/>
          <w:sz w:val="28"/>
          <w:szCs w:val="28"/>
          <w:highlight w:val="none"/>
        </w:rPr>
        <w:t>（格式）</w:t>
      </w:r>
    </w:p>
    <w:p w14:paraId="36CD11CD">
      <w:pPr>
        <w:spacing w:line="500" w:lineRule="exact"/>
        <w:jc w:val="center"/>
        <w:rPr>
          <w:rFonts w:hint="eastAsia" w:ascii="宋体" w:hAnsi="宋体" w:eastAsia="宋体" w:cs="宋体"/>
          <w:b/>
          <w:color w:val="auto"/>
          <w:sz w:val="32"/>
          <w:szCs w:val="32"/>
          <w:highlight w:val="none"/>
        </w:rPr>
      </w:pPr>
      <w:r>
        <w:rPr>
          <w:rFonts w:hint="eastAsia" w:ascii="宋体" w:hAnsi="宋体" w:eastAsia="宋体" w:cs="宋体"/>
          <w:bCs/>
          <w:color w:val="auto"/>
          <w:sz w:val="32"/>
          <w:szCs w:val="32"/>
          <w:highlight w:val="none"/>
        </w:rPr>
        <w:t>（注：按采购需求具体条款修改）</w:t>
      </w:r>
    </w:p>
    <w:p w14:paraId="2954107F">
      <w:pPr>
        <w:spacing w:line="360" w:lineRule="auto"/>
        <w:contextualSpacing/>
        <w:jc w:val="left"/>
        <w:rPr>
          <w:rFonts w:hint="eastAsia" w:ascii="宋体" w:hAnsi="宋体" w:eastAsia="宋体" w:cs="宋体"/>
          <w:color w:val="auto"/>
          <w:sz w:val="24"/>
          <w:highlight w:val="none"/>
        </w:rPr>
      </w:pPr>
    </w:p>
    <w:p w14:paraId="648C5067">
      <w:pPr>
        <w:pStyle w:val="19"/>
        <w:spacing w:line="360" w:lineRule="auto"/>
        <w:contextualSpacing/>
        <w:rPr>
          <w:rFonts w:hint="eastAsia" w:ascii="宋体" w:hAnsi="宋体" w:eastAsia="宋体" w:cs="宋体"/>
          <w:color w:val="auto"/>
          <w:sz w:val="21"/>
          <w:highlight w:val="none"/>
        </w:rPr>
      </w:pPr>
      <w:r>
        <w:rPr>
          <w:rFonts w:hint="eastAsia" w:ascii="宋体" w:hAnsi="宋体" w:eastAsia="宋体" w:cs="宋体"/>
          <w:color w:val="auto"/>
          <w:sz w:val="21"/>
          <w:highlight w:val="none"/>
        </w:rPr>
        <w:t>所竞分标：</w:t>
      </w:r>
      <w:r>
        <w:rPr>
          <w:rFonts w:hint="eastAsia" w:ascii="宋体" w:hAnsi="宋体" w:eastAsia="宋体" w:cs="宋体"/>
          <w:color w:val="auto"/>
          <w:sz w:val="21"/>
          <w:highlight w:val="none"/>
          <w:u w:val="single"/>
        </w:rPr>
        <w:t xml:space="preserve">              </w:t>
      </w:r>
    </w:p>
    <w:p w14:paraId="331DCF5E">
      <w:pPr>
        <w:spacing w:line="360" w:lineRule="auto"/>
        <w:contextualSpacing/>
        <w:jc w:val="left"/>
        <w:rPr>
          <w:rFonts w:hint="eastAsia" w:ascii="宋体" w:hAnsi="宋体" w:eastAsia="宋体" w:cs="宋体"/>
          <w:color w:val="auto"/>
          <w:szCs w:val="21"/>
          <w:highlight w:val="none"/>
          <w:u w:val="single"/>
        </w:rPr>
      </w:pPr>
    </w:p>
    <w:tbl>
      <w:tblPr>
        <w:tblStyle w:val="31"/>
        <w:tblpPr w:leftFromText="180" w:rightFromText="180" w:vertAnchor="text" w:horzAnchor="margin" w:tblpY="-9"/>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14:paraId="11337A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185A6DF5">
            <w:pPr>
              <w:spacing w:line="360" w:lineRule="auto"/>
              <w:contextualSpacing/>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25DC451F">
            <w:pPr>
              <w:spacing w:line="360" w:lineRule="auto"/>
              <w:contextualSpacing/>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磋商文件商务要求</w:t>
            </w:r>
          </w:p>
        </w:tc>
        <w:tc>
          <w:tcPr>
            <w:tcW w:w="2350" w:type="dxa"/>
            <w:tcBorders>
              <w:top w:val="single" w:color="auto" w:sz="4" w:space="0"/>
              <w:left w:val="single" w:color="auto" w:sz="4" w:space="0"/>
              <w:bottom w:val="single" w:color="auto" w:sz="4" w:space="0"/>
              <w:right w:val="single" w:color="auto" w:sz="4" w:space="0"/>
            </w:tcBorders>
            <w:noWrap w:val="0"/>
            <w:vAlign w:val="center"/>
          </w:tcPr>
          <w:p w14:paraId="2ED3FE2F">
            <w:pPr>
              <w:spacing w:line="360" w:lineRule="auto"/>
              <w:contextualSpacing/>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供应商的响应</w:t>
            </w:r>
          </w:p>
        </w:tc>
        <w:tc>
          <w:tcPr>
            <w:tcW w:w="2112" w:type="dxa"/>
            <w:tcBorders>
              <w:top w:val="single" w:color="auto" w:sz="4" w:space="0"/>
              <w:left w:val="single" w:color="auto" w:sz="4" w:space="0"/>
              <w:bottom w:val="single" w:color="auto" w:sz="4" w:space="0"/>
              <w:right w:val="single" w:color="auto" w:sz="4" w:space="0"/>
            </w:tcBorders>
            <w:noWrap w:val="0"/>
            <w:vAlign w:val="center"/>
          </w:tcPr>
          <w:p w14:paraId="55F804A7">
            <w:pPr>
              <w:spacing w:line="360" w:lineRule="auto"/>
              <w:contextualSpacing/>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478765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42F28A4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一、合同签订期</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491F8A75">
            <w:pPr>
              <w:spacing w:line="360" w:lineRule="auto"/>
              <w:contextualSpacing/>
              <w:jc w:val="center"/>
              <w:rPr>
                <w:rFonts w:hint="eastAsia" w:ascii="宋体" w:hAnsi="宋体" w:eastAsia="宋体" w:cs="宋体"/>
                <w:color w:val="auto"/>
                <w:szCs w:val="21"/>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16389045">
            <w:pPr>
              <w:spacing w:line="360" w:lineRule="auto"/>
              <w:contextualSpacing/>
              <w:jc w:val="center"/>
              <w:rPr>
                <w:rFonts w:hint="eastAsia" w:ascii="宋体" w:hAnsi="宋体" w:eastAsia="宋体" w:cs="宋体"/>
                <w:color w:val="auto"/>
                <w:szCs w:val="21"/>
                <w:highlight w:val="none"/>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103B40D9">
            <w:pPr>
              <w:spacing w:line="360" w:lineRule="auto"/>
              <w:contextualSpacing/>
              <w:jc w:val="center"/>
              <w:rPr>
                <w:rFonts w:hint="eastAsia" w:ascii="宋体" w:hAnsi="宋体" w:eastAsia="宋体" w:cs="宋体"/>
                <w:color w:val="auto"/>
                <w:szCs w:val="21"/>
                <w:highlight w:val="none"/>
              </w:rPr>
            </w:pPr>
          </w:p>
        </w:tc>
      </w:tr>
      <w:tr w14:paraId="6F0027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711C4D5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7260796F">
            <w:pPr>
              <w:spacing w:line="360" w:lineRule="auto"/>
              <w:contextualSpacing/>
              <w:jc w:val="center"/>
              <w:rPr>
                <w:rFonts w:hint="eastAsia" w:ascii="宋体" w:hAnsi="宋体" w:eastAsia="宋体" w:cs="宋体"/>
                <w:color w:val="auto"/>
                <w:szCs w:val="21"/>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48EE2F44">
            <w:pPr>
              <w:spacing w:line="360" w:lineRule="auto"/>
              <w:ind w:left="43"/>
              <w:contextualSpacing/>
              <w:jc w:val="center"/>
              <w:rPr>
                <w:rFonts w:hint="eastAsia" w:ascii="宋体" w:hAnsi="宋体" w:eastAsia="宋体" w:cs="宋体"/>
                <w:color w:val="auto"/>
                <w:szCs w:val="21"/>
                <w:highlight w:val="none"/>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6F78A39E">
            <w:pPr>
              <w:spacing w:line="360" w:lineRule="auto"/>
              <w:ind w:left="43"/>
              <w:contextualSpacing/>
              <w:jc w:val="center"/>
              <w:rPr>
                <w:rFonts w:hint="eastAsia" w:ascii="宋体" w:hAnsi="宋体" w:eastAsia="宋体" w:cs="宋体"/>
                <w:color w:val="auto"/>
                <w:szCs w:val="21"/>
                <w:highlight w:val="none"/>
              </w:rPr>
            </w:pPr>
          </w:p>
        </w:tc>
      </w:tr>
      <w:tr w14:paraId="1D0556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noWrap w:val="0"/>
            <w:vAlign w:val="center"/>
          </w:tcPr>
          <w:p w14:paraId="124076CB">
            <w:pPr>
              <w:spacing w:line="360" w:lineRule="auto"/>
              <w:contextualSpacing/>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44BE8EA8">
            <w:pPr>
              <w:spacing w:line="360" w:lineRule="auto"/>
              <w:contextualSpacing/>
              <w:jc w:val="center"/>
              <w:rPr>
                <w:rFonts w:hint="eastAsia" w:ascii="宋体" w:hAnsi="宋体" w:eastAsia="宋体" w:cs="宋体"/>
                <w:color w:val="auto"/>
                <w:szCs w:val="21"/>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77168F7A">
            <w:pPr>
              <w:spacing w:line="360" w:lineRule="auto"/>
              <w:contextualSpacing/>
              <w:jc w:val="center"/>
              <w:rPr>
                <w:rFonts w:hint="eastAsia" w:ascii="宋体" w:hAnsi="宋体" w:eastAsia="宋体" w:cs="宋体"/>
                <w:color w:val="auto"/>
                <w:szCs w:val="21"/>
                <w:highlight w:val="none"/>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562F4108">
            <w:pPr>
              <w:spacing w:line="360" w:lineRule="auto"/>
              <w:contextualSpacing/>
              <w:jc w:val="center"/>
              <w:rPr>
                <w:rFonts w:hint="eastAsia" w:ascii="宋体" w:hAnsi="宋体" w:eastAsia="宋体" w:cs="宋体"/>
                <w:color w:val="auto"/>
                <w:szCs w:val="21"/>
                <w:highlight w:val="none"/>
              </w:rPr>
            </w:pPr>
          </w:p>
        </w:tc>
      </w:tr>
    </w:tbl>
    <w:p w14:paraId="4EA8910A">
      <w:pPr>
        <w:pStyle w:val="13"/>
        <w:spacing w:after="0" w:line="360" w:lineRule="auto"/>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w:t>
      </w:r>
    </w:p>
    <w:p w14:paraId="24D35A0A">
      <w:pPr>
        <w:pStyle w:val="13"/>
        <w:spacing w:after="0" w:line="360" w:lineRule="auto"/>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 说明：应对照磋商文件“第二章 采购需求”中的商务要求逐条作出明确响应，并作出偏离说明。</w:t>
      </w:r>
    </w:p>
    <w:p w14:paraId="0503E762">
      <w:pPr>
        <w:spacing w:line="360" w:lineRule="auto"/>
        <w:contextualSpacing/>
        <w:jc w:val="left"/>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rPr>
        <w:t>2.供应商应根据自身的承诺，对照磋商文件要求在“偏离说明”中注明“正偏离</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负偏离”或者“无偏离”。既不属于“正偏离”也不属于“负偏离”即为“无偏离”。</w:t>
      </w:r>
    </w:p>
    <w:p w14:paraId="08879B7D">
      <w:pPr>
        <w:spacing w:line="360" w:lineRule="auto"/>
        <w:ind w:right="-817" w:rightChars="-389"/>
        <w:contextualSpacing/>
        <w:rPr>
          <w:rFonts w:hint="eastAsia" w:ascii="宋体" w:hAnsi="宋体" w:eastAsia="宋体" w:cs="宋体"/>
          <w:color w:val="auto"/>
          <w:szCs w:val="21"/>
          <w:highlight w:val="none"/>
        </w:rPr>
      </w:pPr>
    </w:p>
    <w:p w14:paraId="740A662F">
      <w:pPr>
        <w:spacing w:line="360" w:lineRule="auto"/>
        <w:ind w:right="-817" w:rightChars="-389" w:firstLine="840" w:firstLineChars="4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法定代表人或者委托代理人（签字或者电子签名）：                    </w:t>
      </w:r>
    </w:p>
    <w:p w14:paraId="7D5D86E1">
      <w:pPr>
        <w:spacing w:line="360" w:lineRule="auto"/>
        <w:ind w:right="-817" w:rightChars="-389" w:firstLine="2310" w:firstLineChars="11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供应商（盖公章）：      </w:t>
      </w:r>
    </w:p>
    <w:p w14:paraId="7F7A5A19">
      <w:pPr>
        <w:spacing w:line="360" w:lineRule="auto"/>
        <w:ind w:right="-817" w:rightChars="-389" w:firstLine="3570" w:firstLineChars="1700"/>
        <w:contextualSpacing/>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日期：   年   月   日</w:t>
      </w:r>
    </w:p>
    <w:p w14:paraId="7F666330">
      <w:pPr>
        <w:snapToGrid w:val="0"/>
        <w:spacing w:before="156" w:beforeLines="50" w:after="50"/>
        <w:ind w:left="142"/>
        <w:jc w:val="left"/>
        <w:rPr>
          <w:rFonts w:hint="eastAsia" w:ascii="宋体" w:hAnsi="宋体" w:eastAsia="宋体" w:cs="宋体"/>
          <w:b/>
          <w:color w:val="auto"/>
          <w:sz w:val="24"/>
          <w:highlight w:val="none"/>
        </w:rPr>
      </w:pPr>
      <w:r>
        <w:rPr>
          <w:rFonts w:hint="eastAsia" w:ascii="宋体" w:hAnsi="宋体" w:eastAsia="宋体" w:cs="宋体"/>
          <w:bCs/>
          <w:color w:val="auto"/>
          <w:sz w:val="44"/>
          <w:szCs w:val="44"/>
          <w:highlight w:val="none"/>
        </w:rPr>
        <w:br w:type="page"/>
      </w:r>
      <w:r>
        <w:rPr>
          <w:rFonts w:hint="eastAsia" w:ascii="宋体" w:hAnsi="宋体" w:eastAsia="宋体" w:cs="宋体"/>
          <w:b/>
          <w:color w:val="auto"/>
          <w:sz w:val="24"/>
          <w:highlight w:val="none"/>
        </w:rPr>
        <w:t>项目实施人员一览表格式</w:t>
      </w:r>
    </w:p>
    <w:p w14:paraId="26AC1F36">
      <w:pPr>
        <w:snapToGrid w:val="0"/>
        <w:spacing w:before="156" w:beforeLines="50" w:after="50"/>
        <w:ind w:left="142"/>
        <w:jc w:val="left"/>
        <w:rPr>
          <w:rFonts w:hint="eastAsia" w:ascii="宋体" w:hAnsi="宋体" w:eastAsia="宋体" w:cs="宋体"/>
          <w:b/>
          <w:color w:val="auto"/>
          <w:sz w:val="24"/>
          <w:highlight w:val="none"/>
        </w:rPr>
      </w:pPr>
    </w:p>
    <w:p w14:paraId="74182CED">
      <w:pPr>
        <w:spacing w:line="360" w:lineRule="auto"/>
        <w:ind w:left="142"/>
        <w:contextualSpacing/>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项目实施人员一览表</w:t>
      </w:r>
    </w:p>
    <w:p w14:paraId="62D57D83">
      <w:pPr>
        <w:pStyle w:val="19"/>
        <w:spacing w:line="360" w:lineRule="auto"/>
        <w:contextualSpacing/>
        <w:rPr>
          <w:rFonts w:hint="eastAsia" w:ascii="宋体" w:hAnsi="宋体" w:eastAsia="宋体" w:cs="宋体"/>
          <w:color w:val="auto"/>
          <w:sz w:val="21"/>
          <w:highlight w:val="none"/>
        </w:rPr>
      </w:pPr>
      <w:r>
        <w:rPr>
          <w:rFonts w:hint="eastAsia" w:ascii="宋体" w:hAnsi="宋体" w:eastAsia="宋体" w:cs="宋体"/>
          <w:color w:val="auto"/>
          <w:sz w:val="21"/>
          <w:highlight w:val="none"/>
        </w:rPr>
        <w:t>所竞分标：（没有，则填“无”或“/”）</w:t>
      </w:r>
    </w:p>
    <w:tbl>
      <w:tblPr>
        <w:tblStyle w:val="3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4"/>
        <w:gridCol w:w="1036"/>
        <w:gridCol w:w="2489"/>
        <w:gridCol w:w="2078"/>
        <w:gridCol w:w="2485"/>
      </w:tblGrid>
      <w:tr w14:paraId="040AB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pct"/>
            <w:noWrap w:val="0"/>
            <w:vAlign w:val="center"/>
          </w:tcPr>
          <w:p w14:paraId="7C78B949">
            <w:pPr>
              <w:spacing w:line="360" w:lineRule="auto"/>
              <w:contextualSpacing/>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558" w:type="pct"/>
            <w:noWrap w:val="0"/>
            <w:vAlign w:val="center"/>
          </w:tcPr>
          <w:p w14:paraId="561B44E7">
            <w:pPr>
              <w:spacing w:line="360" w:lineRule="auto"/>
              <w:contextualSpacing/>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1340" w:type="pct"/>
            <w:noWrap w:val="0"/>
            <w:vAlign w:val="center"/>
          </w:tcPr>
          <w:p w14:paraId="56FDE2E7">
            <w:pPr>
              <w:spacing w:line="360" w:lineRule="auto"/>
              <w:contextualSpacing/>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专业技术资格（职称）或者职业资格或者执业资格证或者其他证书</w:t>
            </w:r>
          </w:p>
        </w:tc>
        <w:tc>
          <w:tcPr>
            <w:tcW w:w="1119" w:type="pct"/>
            <w:noWrap w:val="0"/>
            <w:vAlign w:val="center"/>
          </w:tcPr>
          <w:p w14:paraId="477E91FD">
            <w:pPr>
              <w:spacing w:line="360" w:lineRule="auto"/>
              <w:contextualSpacing/>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证书编号</w:t>
            </w:r>
          </w:p>
        </w:tc>
        <w:tc>
          <w:tcPr>
            <w:tcW w:w="1338" w:type="pct"/>
            <w:noWrap w:val="0"/>
            <w:vAlign w:val="center"/>
          </w:tcPr>
          <w:p w14:paraId="473C077B">
            <w:pPr>
              <w:spacing w:line="360" w:lineRule="auto"/>
              <w:contextualSpacing/>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参加本单位</w:t>
            </w:r>
          </w:p>
          <w:p w14:paraId="602A13A0">
            <w:pPr>
              <w:spacing w:line="360" w:lineRule="auto"/>
              <w:contextualSpacing/>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工作时间</w:t>
            </w:r>
          </w:p>
        </w:tc>
      </w:tr>
      <w:tr w14:paraId="02EAF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pct"/>
            <w:noWrap w:val="0"/>
            <w:vAlign w:val="center"/>
          </w:tcPr>
          <w:p w14:paraId="41A3A9F0">
            <w:pPr>
              <w:spacing w:line="360" w:lineRule="auto"/>
              <w:contextualSpacing/>
              <w:jc w:val="center"/>
              <w:rPr>
                <w:rFonts w:hint="eastAsia" w:ascii="宋体" w:hAnsi="宋体" w:eastAsia="宋体" w:cs="宋体"/>
                <w:color w:val="auto"/>
                <w:szCs w:val="21"/>
                <w:highlight w:val="none"/>
              </w:rPr>
            </w:pPr>
          </w:p>
        </w:tc>
        <w:tc>
          <w:tcPr>
            <w:tcW w:w="558" w:type="pct"/>
            <w:noWrap w:val="0"/>
            <w:vAlign w:val="center"/>
          </w:tcPr>
          <w:p w14:paraId="747942D1">
            <w:pPr>
              <w:spacing w:line="360" w:lineRule="auto"/>
              <w:contextualSpacing/>
              <w:jc w:val="center"/>
              <w:rPr>
                <w:rFonts w:hint="eastAsia" w:ascii="宋体" w:hAnsi="宋体" w:eastAsia="宋体" w:cs="宋体"/>
                <w:color w:val="auto"/>
                <w:szCs w:val="21"/>
                <w:highlight w:val="none"/>
              </w:rPr>
            </w:pPr>
          </w:p>
        </w:tc>
        <w:tc>
          <w:tcPr>
            <w:tcW w:w="1340" w:type="pct"/>
            <w:noWrap w:val="0"/>
            <w:vAlign w:val="center"/>
          </w:tcPr>
          <w:p w14:paraId="7A6FB79B">
            <w:pPr>
              <w:spacing w:line="360" w:lineRule="auto"/>
              <w:contextualSpacing/>
              <w:jc w:val="center"/>
              <w:rPr>
                <w:rFonts w:hint="eastAsia" w:ascii="宋体" w:hAnsi="宋体" w:eastAsia="宋体" w:cs="宋体"/>
                <w:color w:val="auto"/>
                <w:szCs w:val="21"/>
                <w:highlight w:val="none"/>
              </w:rPr>
            </w:pPr>
          </w:p>
        </w:tc>
        <w:tc>
          <w:tcPr>
            <w:tcW w:w="1119" w:type="pct"/>
            <w:noWrap w:val="0"/>
            <w:vAlign w:val="center"/>
          </w:tcPr>
          <w:p w14:paraId="305B5FED">
            <w:pPr>
              <w:spacing w:line="360" w:lineRule="auto"/>
              <w:contextualSpacing/>
              <w:jc w:val="center"/>
              <w:rPr>
                <w:rFonts w:hint="eastAsia" w:ascii="宋体" w:hAnsi="宋体" w:eastAsia="宋体" w:cs="宋体"/>
                <w:color w:val="auto"/>
                <w:szCs w:val="21"/>
                <w:highlight w:val="none"/>
              </w:rPr>
            </w:pPr>
          </w:p>
        </w:tc>
        <w:tc>
          <w:tcPr>
            <w:tcW w:w="1338" w:type="pct"/>
            <w:noWrap w:val="0"/>
            <w:vAlign w:val="center"/>
          </w:tcPr>
          <w:p w14:paraId="78B56ACA">
            <w:pPr>
              <w:spacing w:line="360" w:lineRule="auto"/>
              <w:contextualSpacing/>
              <w:jc w:val="center"/>
              <w:rPr>
                <w:rFonts w:hint="eastAsia" w:ascii="宋体" w:hAnsi="宋体" w:eastAsia="宋体" w:cs="宋体"/>
                <w:color w:val="auto"/>
                <w:szCs w:val="21"/>
                <w:highlight w:val="none"/>
              </w:rPr>
            </w:pPr>
          </w:p>
        </w:tc>
      </w:tr>
      <w:tr w14:paraId="4CF4F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3" w:type="pct"/>
            <w:noWrap w:val="0"/>
            <w:vAlign w:val="center"/>
          </w:tcPr>
          <w:p w14:paraId="36CD4CEC">
            <w:pPr>
              <w:spacing w:line="360" w:lineRule="auto"/>
              <w:contextualSpacing/>
              <w:jc w:val="center"/>
              <w:rPr>
                <w:rFonts w:hint="eastAsia" w:ascii="宋体" w:hAnsi="宋体" w:eastAsia="宋体" w:cs="宋体"/>
                <w:color w:val="auto"/>
                <w:szCs w:val="21"/>
                <w:highlight w:val="none"/>
              </w:rPr>
            </w:pPr>
          </w:p>
        </w:tc>
        <w:tc>
          <w:tcPr>
            <w:tcW w:w="558" w:type="pct"/>
            <w:noWrap w:val="0"/>
            <w:vAlign w:val="center"/>
          </w:tcPr>
          <w:p w14:paraId="7C0E24AA">
            <w:pPr>
              <w:spacing w:line="360" w:lineRule="auto"/>
              <w:contextualSpacing/>
              <w:jc w:val="center"/>
              <w:rPr>
                <w:rFonts w:hint="eastAsia" w:ascii="宋体" w:hAnsi="宋体" w:eastAsia="宋体" w:cs="宋体"/>
                <w:color w:val="auto"/>
                <w:szCs w:val="21"/>
                <w:highlight w:val="none"/>
              </w:rPr>
            </w:pPr>
          </w:p>
        </w:tc>
        <w:tc>
          <w:tcPr>
            <w:tcW w:w="1340" w:type="pct"/>
            <w:noWrap w:val="0"/>
            <w:vAlign w:val="center"/>
          </w:tcPr>
          <w:p w14:paraId="653C907D">
            <w:pPr>
              <w:spacing w:line="360" w:lineRule="auto"/>
              <w:contextualSpacing/>
              <w:jc w:val="center"/>
              <w:rPr>
                <w:rFonts w:hint="eastAsia" w:ascii="宋体" w:hAnsi="宋体" w:eastAsia="宋体" w:cs="宋体"/>
                <w:color w:val="auto"/>
                <w:szCs w:val="21"/>
                <w:highlight w:val="none"/>
              </w:rPr>
            </w:pPr>
          </w:p>
        </w:tc>
        <w:tc>
          <w:tcPr>
            <w:tcW w:w="1119" w:type="pct"/>
            <w:noWrap w:val="0"/>
            <w:vAlign w:val="center"/>
          </w:tcPr>
          <w:p w14:paraId="7648A732">
            <w:pPr>
              <w:spacing w:line="360" w:lineRule="auto"/>
              <w:contextualSpacing/>
              <w:jc w:val="center"/>
              <w:rPr>
                <w:rFonts w:hint="eastAsia" w:ascii="宋体" w:hAnsi="宋体" w:eastAsia="宋体" w:cs="宋体"/>
                <w:color w:val="auto"/>
                <w:szCs w:val="21"/>
                <w:highlight w:val="none"/>
              </w:rPr>
            </w:pPr>
          </w:p>
        </w:tc>
        <w:tc>
          <w:tcPr>
            <w:tcW w:w="1338" w:type="pct"/>
            <w:noWrap w:val="0"/>
            <w:vAlign w:val="center"/>
          </w:tcPr>
          <w:p w14:paraId="08BC0C11">
            <w:pPr>
              <w:spacing w:line="360" w:lineRule="auto"/>
              <w:contextualSpacing/>
              <w:jc w:val="center"/>
              <w:rPr>
                <w:rFonts w:hint="eastAsia" w:ascii="宋体" w:hAnsi="宋体" w:eastAsia="宋体" w:cs="宋体"/>
                <w:color w:val="auto"/>
                <w:szCs w:val="21"/>
                <w:highlight w:val="none"/>
              </w:rPr>
            </w:pPr>
          </w:p>
        </w:tc>
      </w:tr>
      <w:tr w14:paraId="1F2D6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pct"/>
            <w:noWrap w:val="0"/>
            <w:vAlign w:val="center"/>
          </w:tcPr>
          <w:p w14:paraId="7BCC4A92">
            <w:pPr>
              <w:spacing w:line="360" w:lineRule="auto"/>
              <w:contextualSpacing/>
              <w:jc w:val="center"/>
              <w:rPr>
                <w:rFonts w:hint="eastAsia" w:ascii="宋体" w:hAnsi="宋体" w:eastAsia="宋体" w:cs="宋体"/>
                <w:color w:val="auto"/>
                <w:szCs w:val="21"/>
                <w:highlight w:val="none"/>
              </w:rPr>
            </w:pPr>
          </w:p>
        </w:tc>
        <w:tc>
          <w:tcPr>
            <w:tcW w:w="558" w:type="pct"/>
            <w:noWrap w:val="0"/>
            <w:vAlign w:val="center"/>
          </w:tcPr>
          <w:p w14:paraId="1F2DA0D1">
            <w:pPr>
              <w:spacing w:line="360" w:lineRule="auto"/>
              <w:contextualSpacing/>
              <w:jc w:val="center"/>
              <w:rPr>
                <w:rFonts w:hint="eastAsia" w:ascii="宋体" w:hAnsi="宋体" w:eastAsia="宋体" w:cs="宋体"/>
                <w:color w:val="auto"/>
                <w:szCs w:val="21"/>
                <w:highlight w:val="none"/>
              </w:rPr>
            </w:pPr>
          </w:p>
        </w:tc>
        <w:tc>
          <w:tcPr>
            <w:tcW w:w="1340" w:type="pct"/>
            <w:noWrap w:val="0"/>
            <w:vAlign w:val="center"/>
          </w:tcPr>
          <w:p w14:paraId="665757D0">
            <w:pPr>
              <w:spacing w:line="360" w:lineRule="auto"/>
              <w:contextualSpacing/>
              <w:jc w:val="center"/>
              <w:rPr>
                <w:rFonts w:hint="eastAsia" w:ascii="宋体" w:hAnsi="宋体" w:eastAsia="宋体" w:cs="宋体"/>
                <w:color w:val="auto"/>
                <w:szCs w:val="21"/>
                <w:highlight w:val="none"/>
              </w:rPr>
            </w:pPr>
          </w:p>
        </w:tc>
        <w:tc>
          <w:tcPr>
            <w:tcW w:w="1119" w:type="pct"/>
            <w:noWrap w:val="0"/>
            <w:vAlign w:val="center"/>
          </w:tcPr>
          <w:p w14:paraId="657DD787">
            <w:pPr>
              <w:spacing w:line="360" w:lineRule="auto"/>
              <w:contextualSpacing/>
              <w:jc w:val="center"/>
              <w:rPr>
                <w:rFonts w:hint="eastAsia" w:ascii="宋体" w:hAnsi="宋体" w:eastAsia="宋体" w:cs="宋体"/>
                <w:color w:val="auto"/>
                <w:szCs w:val="21"/>
                <w:highlight w:val="none"/>
              </w:rPr>
            </w:pPr>
          </w:p>
        </w:tc>
        <w:tc>
          <w:tcPr>
            <w:tcW w:w="1338" w:type="pct"/>
            <w:noWrap w:val="0"/>
            <w:vAlign w:val="center"/>
          </w:tcPr>
          <w:p w14:paraId="3E0D84E8">
            <w:pPr>
              <w:spacing w:line="360" w:lineRule="auto"/>
              <w:contextualSpacing/>
              <w:jc w:val="center"/>
              <w:rPr>
                <w:rFonts w:hint="eastAsia" w:ascii="宋体" w:hAnsi="宋体" w:eastAsia="宋体" w:cs="宋体"/>
                <w:color w:val="auto"/>
                <w:szCs w:val="21"/>
                <w:highlight w:val="none"/>
              </w:rPr>
            </w:pPr>
          </w:p>
        </w:tc>
      </w:tr>
    </w:tbl>
    <w:p w14:paraId="49D7FA98">
      <w:pPr>
        <w:spacing w:line="360" w:lineRule="auto"/>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7A956371">
      <w:pPr>
        <w:spacing w:line="360" w:lineRule="auto"/>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1.在填写时，如本表格不适合供应商的实际情况，可根据本表格式自行制表填写。</w:t>
      </w:r>
    </w:p>
    <w:p w14:paraId="1D960EFC">
      <w:pPr>
        <w:spacing w:line="360" w:lineRule="auto"/>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2.供应商应当附</w:t>
      </w:r>
      <w:r>
        <w:rPr>
          <w:rFonts w:hint="eastAsia" w:ascii="宋体" w:hAnsi="宋体" w:cs="宋体"/>
          <w:color w:val="auto"/>
          <w:szCs w:val="21"/>
          <w:highlight w:val="none"/>
          <w:lang w:val="en-US" w:eastAsia="zh-CN"/>
        </w:rPr>
        <w:t>人员相关证明材料</w:t>
      </w:r>
      <w:r>
        <w:rPr>
          <w:rFonts w:hint="eastAsia" w:ascii="宋体" w:hAnsi="宋体" w:eastAsia="宋体" w:cs="宋体"/>
          <w:color w:val="auto"/>
          <w:szCs w:val="21"/>
          <w:highlight w:val="none"/>
        </w:rPr>
        <w:t>的复印件并加盖供应商公章。</w:t>
      </w:r>
    </w:p>
    <w:p w14:paraId="63480F34">
      <w:pPr>
        <w:spacing w:line="360" w:lineRule="auto"/>
        <w:contextualSpacing/>
        <w:rPr>
          <w:rFonts w:hint="eastAsia" w:ascii="宋体" w:hAnsi="宋体" w:eastAsia="宋体" w:cs="宋体"/>
          <w:color w:val="auto"/>
          <w:szCs w:val="21"/>
          <w:highlight w:val="none"/>
        </w:rPr>
      </w:pPr>
    </w:p>
    <w:p w14:paraId="255AEE98">
      <w:pPr>
        <w:spacing w:line="360" w:lineRule="auto"/>
        <w:contextualSpacing/>
        <w:rPr>
          <w:rFonts w:hint="eastAsia" w:ascii="宋体" w:hAnsi="宋体" w:eastAsia="宋体" w:cs="宋体"/>
          <w:color w:val="auto"/>
          <w:spacing w:val="20"/>
          <w:szCs w:val="21"/>
          <w:highlight w:val="none"/>
          <w:u w:val="single"/>
        </w:rPr>
      </w:pPr>
      <w:r>
        <w:rPr>
          <w:rFonts w:hint="eastAsia" w:ascii="宋体" w:hAnsi="宋体" w:eastAsia="宋体" w:cs="宋体"/>
          <w:color w:val="auto"/>
          <w:szCs w:val="21"/>
          <w:highlight w:val="none"/>
        </w:rPr>
        <w:t>法定代表人或者委托代理人</w:t>
      </w:r>
      <w:r>
        <w:rPr>
          <w:rFonts w:hint="eastAsia" w:ascii="宋体" w:hAnsi="宋体" w:eastAsia="宋体" w:cs="宋体"/>
          <w:color w:val="auto"/>
          <w:spacing w:val="20"/>
          <w:szCs w:val="21"/>
          <w:highlight w:val="none"/>
        </w:rPr>
        <w:t>（签字或盖章）：</w:t>
      </w:r>
      <w:r>
        <w:rPr>
          <w:rFonts w:hint="eastAsia" w:ascii="宋体" w:hAnsi="宋体" w:eastAsia="宋体" w:cs="宋体"/>
          <w:color w:val="auto"/>
          <w:spacing w:val="20"/>
          <w:szCs w:val="21"/>
          <w:highlight w:val="none"/>
          <w:u w:val="single"/>
        </w:rPr>
        <w:t xml:space="preserve">        </w:t>
      </w:r>
    </w:p>
    <w:p w14:paraId="0445732F">
      <w:pPr>
        <w:spacing w:line="360" w:lineRule="auto"/>
        <w:contextualSpacing/>
        <w:jc w:val="left"/>
        <w:rPr>
          <w:rFonts w:hint="eastAsia" w:ascii="宋体" w:hAnsi="宋体" w:eastAsia="宋体" w:cs="宋体"/>
          <w:color w:val="auto"/>
          <w:spacing w:val="20"/>
          <w:szCs w:val="21"/>
          <w:highlight w:val="none"/>
        </w:rPr>
      </w:pPr>
      <w:r>
        <w:rPr>
          <w:rFonts w:hint="eastAsia" w:ascii="宋体" w:hAnsi="宋体" w:eastAsia="宋体" w:cs="宋体"/>
          <w:color w:val="auto"/>
          <w:spacing w:val="20"/>
          <w:szCs w:val="21"/>
          <w:highlight w:val="none"/>
        </w:rPr>
        <w:t>供应商（盖公章）：</w:t>
      </w:r>
      <w:r>
        <w:rPr>
          <w:rFonts w:hint="eastAsia" w:ascii="宋体" w:hAnsi="宋体" w:eastAsia="宋体" w:cs="宋体"/>
          <w:color w:val="auto"/>
          <w:spacing w:val="20"/>
          <w:szCs w:val="21"/>
          <w:highlight w:val="none"/>
          <w:u w:val="single"/>
        </w:rPr>
        <w:t xml:space="preserve">            </w:t>
      </w:r>
      <w:r>
        <w:rPr>
          <w:rFonts w:hint="eastAsia" w:ascii="宋体" w:hAnsi="宋体" w:eastAsia="宋体" w:cs="宋体"/>
          <w:color w:val="auto"/>
          <w:spacing w:val="20"/>
          <w:szCs w:val="21"/>
          <w:highlight w:val="none"/>
        </w:rPr>
        <w:t xml:space="preserve">              </w:t>
      </w:r>
    </w:p>
    <w:p w14:paraId="2D3798B0">
      <w:pPr>
        <w:spacing w:line="360" w:lineRule="auto"/>
        <w:contextualSpacing/>
        <w:jc w:val="left"/>
        <w:rPr>
          <w:rFonts w:hint="eastAsia" w:ascii="宋体" w:hAnsi="宋体" w:eastAsia="宋体" w:cs="宋体"/>
          <w:color w:val="auto"/>
          <w:szCs w:val="21"/>
          <w:highlight w:val="none"/>
        </w:rPr>
      </w:pPr>
      <w:r>
        <w:rPr>
          <w:rFonts w:hint="eastAsia" w:ascii="宋体" w:hAnsi="宋体" w:eastAsia="宋体" w:cs="宋体"/>
          <w:color w:val="auto"/>
          <w:spacing w:val="20"/>
          <w:szCs w:val="21"/>
          <w:highlight w:val="none"/>
        </w:rPr>
        <w:t>日 期：</w:t>
      </w:r>
      <w:r>
        <w:rPr>
          <w:rFonts w:hint="eastAsia" w:ascii="宋体" w:hAnsi="宋体" w:eastAsia="宋体" w:cs="宋体"/>
          <w:color w:val="auto"/>
          <w:spacing w:val="20"/>
          <w:szCs w:val="21"/>
          <w:highlight w:val="none"/>
          <w:u w:val="single"/>
        </w:rPr>
        <w:t xml:space="preserve">         </w:t>
      </w:r>
    </w:p>
    <w:p w14:paraId="4728446A">
      <w:pPr>
        <w:adjustRightInd w:val="0"/>
        <w:snapToGrid w:val="0"/>
        <w:spacing w:line="520" w:lineRule="exact"/>
        <w:rPr>
          <w:rFonts w:hint="eastAsia" w:ascii="宋体" w:hAnsi="宋体" w:eastAsia="宋体" w:cs="宋体"/>
          <w:bCs/>
          <w:color w:val="auto"/>
          <w:sz w:val="44"/>
          <w:szCs w:val="44"/>
          <w:highlight w:val="none"/>
        </w:rPr>
      </w:pPr>
    </w:p>
    <w:p w14:paraId="526E24D9">
      <w:pPr>
        <w:adjustRightInd w:val="0"/>
        <w:snapToGrid w:val="0"/>
        <w:spacing w:line="520" w:lineRule="exact"/>
        <w:ind w:firstLine="7040" w:firstLineChars="1600"/>
        <w:jc w:val="center"/>
        <w:rPr>
          <w:rFonts w:hint="eastAsia" w:ascii="宋体" w:hAnsi="宋体" w:eastAsia="宋体" w:cs="宋体"/>
          <w:bCs/>
          <w:color w:val="auto"/>
          <w:sz w:val="44"/>
          <w:szCs w:val="44"/>
          <w:highlight w:val="none"/>
        </w:rPr>
      </w:pPr>
    </w:p>
    <w:p w14:paraId="0A3CDD58">
      <w:pPr>
        <w:adjustRightInd w:val="0"/>
        <w:snapToGrid w:val="0"/>
        <w:spacing w:line="520" w:lineRule="exact"/>
        <w:ind w:firstLine="7040" w:firstLineChars="1600"/>
        <w:jc w:val="center"/>
        <w:rPr>
          <w:rFonts w:hint="eastAsia" w:ascii="宋体" w:hAnsi="宋体" w:eastAsia="宋体" w:cs="宋体"/>
          <w:bCs/>
          <w:color w:val="auto"/>
          <w:sz w:val="44"/>
          <w:szCs w:val="44"/>
          <w:highlight w:val="none"/>
        </w:rPr>
      </w:pPr>
    </w:p>
    <w:p w14:paraId="65C9A76A">
      <w:pPr>
        <w:adjustRightInd w:val="0"/>
        <w:snapToGrid w:val="0"/>
        <w:spacing w:line="520" w:lineRule="exact"/>
        <w:ind w:firstLine="7040" w:firstLineChars="1600"/>
        <w:jc w:val="center"/>
        <w:rPr>
          <w:rFonts w:hint="eastAsia" w:ascii="宋体" w:hAnsi="宋体" w:eastAsia="宋体" w:cs="宋体"/>
          <w:bCs/>
          <w:color w:val="auto"/>
          <w:sz w:val="44"/>
          <w:szCs w:val="44"/>
          <w:highlight w:val="none"/>
        </w:rPr>
      </w:pPr>
    </w:p>
    <w:p w14:paraId="1759CBC1">
      <w:pPr>
        <w:adjustRightInd w:val="0"/>
        <w:snapToGrid w:val="0"/>
        <w:spacing w:line="520" w:lineRule="exact"/>
        <w:rPr>
          <w:rFonts w:hint="eastAsia" w:ascii="宋体" w:hAnsi="宋体" w:eastAsia="宋体" w:cs="宋体"/>
          <w:color w:val="auto"/>
          <w:szCs w:val="21"/>
          <w:highlight w:val="none"/>
          <w:u w:val="single"/>
        </w:rPr>
      </w:pPr>
    </w:p>
    <w:p w14:paraId="7056B575">
      <w:pPr>
        <w:adjustRightInd w:val="0"/>
        <w:snapToGrid w:val="0"/>
        <w:spacing w:line="300" w:lineRule="auto"/>
        <w:outlineLvl w:val="1"/>
        <w:rPr>
          <w:rFonts w:hint="eastAsia" w:ascii="宋体" w:hAnsi="宋体" w:eastAsia="宋体" w:cs="宋体"/>
          <w:b/>
          <w:color w:val="auto"/>
          <w:sz w:val="32"/>
          <w:szCs w:val="32"/>
          <w:highlight w:val="none"/>
        </w:rPr>
      </w:pPr>
      <w:r>
        <w:rPr>
          <w:rFonts w:hint="eastAsia" w:ascii="宋体" w:hAnsi="宋体" w:eastAsia="宋体" w:cs="宋体"/>
          <w:bCs/>
          <w:color w:val="auto"/>
          <w:sz w:val="44"/>
          <w:szCs w:val="44"/>
          <w:highlight w:val="none"/>
        </w:rPr>
        <w:br w:type="page"/>
      </w:r>
      <w:r>
        <w:rPr>
          <w:rFonts w:hint="eastAsia" w:ascii="宋体" w:hAnsi="宋体" w:eastAsia="宋体" w:cs="宋体"/>
          <w:b/>
          <w:bCs/>
          <w:color w:val="auto"/>
          <w:sz w:val="32"/>
          <w:szCs w:val="32"/>
          <w:highlight w:val="none"/>
        </w:rPr>
        <w:t>三、</w:t>
      </w:r>
      <w:r>
        <w:rPr>
          <w:rFonts w:hint="eastAsia" w:ascii="宋体" w:hAnsi="宋体" w:eastAsia="宋体" w:cs="宋体"/>
          <w:b/>
          <w:color w:val="auto"/>
          <w:sz w:val="32"/>
          <w:szCs w:val="32"/>
          <w:highlight w:val="none"/>
        </w:rPr>
        <w:t>技术文件格式</w:t>
      </w:r>
    </w:p>
    <w:p w14:paraId="3211A342">
      <w:pPr>
        <w:snapToGrid w:val="0"/>
        <w:spacing w:before="156" w:beforeLines="50" w:after="50" w:line="360" w:lineRule="auto"/>
        <w:jc w:val="lef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1.技术文件封面格式</w:t>
      </w:r>
    </w:p>
    <w:p w14:paraId="4D03B2D5">
      <w:pPr>
        <w:snapToGrid w:val="0"/>
        <w:spacing w:before="156"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p>
    <w:p w14:paraId="50C5440E">
      <w:pPr>
        <w:snapToGrid w:val="0"/>
        <w:spacing w:before="156" w:beforeLines="50" w:after="50"/>
        <w:rPr>
          <w:rFonts w:hint="eastAsia" w:ascii="宋体" w:hAnsi="宋体" w:eastAsia="宋体" w:cs="宋体"/>
          <w:color w:val="auto"/>
          <w:sz w:val="24"/>
          <w:szCs w:val="20"/>
          <w:highlight w:val="none"/>
        </w:rPr>
      </w:pPr>
    </w:p>
    <w:p w14:paraId="1E0F7E44">
      <w:pPr>
        <w:snapToGrid w:val="0"/>
        <w:spacing w:before="156" w:beforeLines="50" w:after="50"/>
        <w:jc w:val="center"/>
        <w:rPr>
          <w:rFonts w:hint="eastAsia" w:ascii="宋体" w:hAnsi="宋体" w:eastAsia="宋体" w:cs="宋体"/>
          <w:bCs/>
          <w:color w:val="auto"/>
          <w:sz w:val="84"/>
          <w:szCs w:val="84"/>
          <w:highlight w:val="none"/>
        </w:rPr>
      </w:pPr>
      <w:r>
        <w:rPr>
          <w:rFonts w:hint="eastAsia" w:ascii="宋体" w:hAnsi="宋体" w:eastAsia="宋体" w:cs="宋体"/>
          <w:bCs/>
          <w:color w:val="auto"/>
          <w:sz w:val="84"/>
          <w:szCs w:val="84"/>
          <w:highlight w:val="none"/>
        </w:rPr>
        <w:t>响  应  文  件</w:t>
      </w:r>
    </w:p>
    <w:p w14:paraId="2C418A22">
      <w:pPr>
        <w:snapToGrid w:val="0"/>
        <w:spacing w:before="156" w:beforeLines="50" w:after="50"/>
        <w:jc w:val="center"/>
        <w:rPr>
          <w:rFonts w:hint="eastAsia" w:ascii="宋体" w:hAnsi="宋体" w:eastAsia="宋体" w:cs="宋体"/>
          <w:bCs/>
          <w:color w:val="auto"/>
          <w:sz w:val="32"/>
          <w:szCs w:val="32"/>
          <w:highlight w:val="none"/>
        </w:rPr>
      </w:pPr>
    </w:p>
    <w:p w14:paraId="5AF7D923">
      <w:pPr>
        <w:snapToGrid w:val="0"/>
        <w:spacing w:before="156" w:beforeLines="50" w:after="50"/>
        <w:jc w:val="center"/>
        <w:rPr>
          <w:rFonts w:hint="eastAsia" w:ascii="宋体" w:hAnsi="宋体" w:eastAsia="宋体" w:cs="宋体"/>
          <w:bCs/>
          <w:color w:val="auto"/>
          <w:sz w:val="32"/>
          <w:szCs w:val="32"/>
          <w:highlight w:val="none"/>
        </w:rPr>
      </w:pPr>
    </w:p>
    <w:p w14:paraId="6516F078">
      <w:pPr>
        <w:snapToGrid w:val="0"/>
        <w:spacing w:before="156" w:beforeLines="50" w:after="50"/>
        <w:jc w:val="center"/>
        <w:rPr>
          <w:rFonts w:hint="eastAsia" w:ascii="宋体" w:hAnsi="宋体" w:eastAsia="宋体" w:cs="宋体"/>
          <w:bCs/>
          <w:color w:val="auto"/>
          <w:sz w:val="40"/>
          <w:szCs w:val="40"/>
          <w:highlight w:val="none"/>
        </w:rPr>
      </w:pPr>
      <w:r>
        <w:rPr>
          <w:rFonts w:hint="eastAsia" w:ascii="宋体" w:hAnsi="宋体" w:eastAsia="宋体" w:cs="宋体"/>
          <w:bCs/>
          <w:color w:val="auto"/>
          <w:sz w:val="40"/>
          <w:szCs w:val="40"/>
          <w:highlight w:val="none"/>
        </w:rPr>
        <w:t>技术文件</w:t>
      </w:r>
    </w:p>
    <w:p w14:paraId="0ACB4F39">
      <w:pPr>
        <w:snapToGrid w:val="0"/>
        <w:spacing w:before="156" w:beforeLines="50" w:after="50"/>
        <w:rPr>
          <w:rFonts w:hint="eastAsia" w:ascii="宋体" w:hAnsi="宋体" w:eastAsia="宋体" w:cs="宋体"/>
          <w:bCs/>
          <w:color w:val="auto"/>
          <w:sz w:val="24"/>
          <w:szCs w:val="20"/>
          <w:highlight w:val="none"/>
        </w:rPr>
      </w:pPr>
    </w:p>
    <w:p w14:paraId="0D671F66">
      <w:pPr>
        <w:snapToGrid w:val="0"/>
        <w:spacing w:before="156" w:beforeLines="50" w:after="50"/>
        <w:rPr>
          <w:rFonts w:hint="eastAsia" w:ascii="宋体" w:hAnsi="宋体" w:eastAsia="宋体" w:cs="宋体"/>
          <w:bCs/>
          <w:color w:val="auto"/>
          <w:sz w:val="24"/>
          <w:szCs w:val="20"/>
          <w:highlight w:val="none"/>
        </w:rPr>
      </w:pPr>
    </w:p>
    <w:p w14:paraId="1EDC8398">
      <w:pPr>
        <w:snapToGrid w:val="0"/>
        <w:spacing w:before="156" w:beforeLines="50" w:after="50"/>
        <w:rPr>
          <w:rFonts w:hint="eastAsia" w:ascii="宋体" w:hAnsi="宋体" w:eastAsia="宋体" w:cs="宋体"/>
          <w:bCs/>
          <w:color w:val="auto"/>
          <w:sz w:val="24"/>
          <w:szCs w:val="20"/>
          <w:highlight w:val="none"/>
        </w:rPr>
      </w:pPr>
    </w:p>
    <w:p w14:paraId="4E048224">
      <w:pPr>
        <w:snapToGrid w:val="0"/>
        <w:spacing w:before="156" w:beforeLines="50" w:after="50"/>
        <w:rPr>
          <w:rFonts w:hint="eastAsia" w:ascii="宋体" w:hAnsi="宋体" w:eastAsia="宋体" w:cs="宋体"/>
          <w:bCs/>
          <w:color w:val="auto"/>
          <w:sz w:val="24"/>
          <w:szCs w:val="20"/>
          <w:highlight w:val="none"/>
        </w:rPr>
      </w:pPr>
    </w:p>
    <w:p w14:paraId="3317E1D7">
      <w:pPr>
        <w:snapToGrid w:val="0"/>
        <w:spacing w:before="156" w:beforeLines="50" w:after="50"/>
        <w:rPr>
          <w:rFonts w:hint="eastAsia" w:ascii="宋体" w:hAnsi="宋体" w:eastAsia="宋体" w:cs="宋体"/>
          <w:bCs/>
          <w:color w:val="auto"/>
          <w:sz w:val="24"/>
          <w:szCs w:val="20"/>
          <w:highlight w:val="none"/>
        </w:rPr>
      </w:pPr>
    </w:p>
    <w:p w14:paraId="799154F2">
      <w:pPr>
        <w:snapToGrid w:val="0"/>
        <w:spacing w:before="156"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1AAD35B">
      <w:pPr>
        <w:snapToGrid w:val="0"/>
        <w:spacing w:before="156" w:beforeLines="50" w:after="50"/>
        <w:ind w:firstLine="720" w:firstLineChars="225"/>
        <w:rPr>
          <w:rFonts w:hint="eastAsia" w:ascii="宋体" w:hAnsi="宋体" w:eastAsia="宋体" w:cs="宋体"/>
          <w:bCs/>
          <w:color w:val="auto"/>
          <w:sz w:val="32"/>
          <w:szCs w:val="32"/>
          <w:highlight w:val="none"/>
        </w:rPr>
      </w:pPr>
    </w:p>
    <w:p w14:paraId="5F7E4FFB">
      <w:pPr>
        <w:snapToGrid w:val="0"/>
        <w:spacing w:before="156"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7BB8FC76">
      <w:pPr>
        <w:snapToGrid w:val="0"/>
        <w:spacing w:before="156"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6F150ACB">
      <w:pPr>
        <w:snapToGrid w:val="0"/>
        <w:spacing w:before="156"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所竞分标：（没有，则填“无”或“/”）</w:t>
      </w:r>
    </w:p>
    <w:p w14:paraId="042B198F">
      <w:pPr>
        <w:snapToGrid w:val="0"/>
        <w:spacing w:before="156" w:beforeLines="50" w:after="50"/>
        <w:ind w:firstLine="720" w:firstLineChars="225"/>
        <w:rPr>
          <w:rFonts w:hint="eastAsia" w:ascii="宋体" w:hAnsi="宋体" w:eastAsia="宋体" w:cs="宋体"/>
          <w:bCs/>
          <w:color w:val="auto"/>
          <w:sz w:val="32"/>
          <w:szCs w:val="32"/>
          <w:highlight w:val="none"/>
        </w:rPr>
      </w:pPr>
    </w:p>
    <w:p w14:paraId="1D29B33B">
      <w:pPr>
        <w:pStyle w:val="6"/>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2272810D">
      <w:pPr>
        <w:pStyle w:val="6"/>
        <w:snapToGrid w:val="0"/>
        <w:spacing w:before="50" w:after="50"/>
        <w:ind w:firstLine="720" w:firstLineChars="225"/>
        <w:rPr>
          <w:rFonts w:hint="eastAsia" w:ascii="宋体" w:hAnsi="宋体" w:eastAsia="宋体" w:cs="宋体"/>
          <w:bCs/>
          <w:color w:val="auto"/>
          <w:sz w:val="32"/>
          <w:szCs w:val="32"/>
          <w:highlight w:val="none"/>
        </w:rPr>
      </w:pPr>
    </w:p>
    <w:p w14:paraId="2AB2DDCD">
      <w:pPr>
        <w:pStyle w:val="6"/>
        <w:snapToGrid w:val="0"/>
        <w:spacing w:before="50" w:after="50"/>
        <w:ind w:firstLine="720" w:firstLineChars="225"/>
        <w:rPr>
          <w:rFonts w:hint="eastAsia" w:ascii="宋体" w:hAnsi="宋体" w:eastAsia="宋体" w:cs="宋体"/>
          <w:bCs/>
          <w:color w:val="auto"/>
          <w:sz w:val="32"/>
          <w:szCs w:val="32"/>
          <w:highlight w:val="none"/>
        </w:rPr>
      </w:pPr>
    </w:p>
    <w:p w14:paraId="4E11053B">
      <w:pPr>
        <w:pStyle w:val="6"/>
        <w:snapToGrid w:val="0"/>
        <w:spacing w:before="50" w:after="50"/>
        <w:ind w:firstLine="1280" w:firstLineChars="400"/>
        <w:rPr>
          <w:rFonts w:hint="eastAsia" w:ascii="宋体" w:hAnsi="宋体" w:eastAsia="宋体" w:cs="宋体"/>
          <w:bCs/>
          <w:color w:val="auto"/>
          <w:sz w:val="32"/>
          <w:szCs w:val="32"/>
          <w:highlight w:val="none"/>
        </w:rPr>
      </w:pPr>
    </w:p>
    <w:p w14:paraId="1E046DAB">
      <w:pPr>
        <w:snapToGrid w:val="0"/>
        <w:spacing w:before="156"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5355F7A5">
      <w:pPr>
        <w:snapToGrid w:val="0"/>
        <w:spacing w:before="156" w:beforeLines="50" w:after="50" w:line="360" w:lineRule="auto"/>
        <w:ind w:left="142"/>
        <w:jc w:val="left"/>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2.技术文件目录</w:t>
      </w:r>
    </w:p>
    <w:p w14:paraId="0222F8EC">
      <w:pPr>
        <w:snapToGrid w:val="0"/>
        <w:spacing w:before="156" w:beforeLines="50" w:after="50" w:line="360" w:lineRule="auto"/>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根据磋商文件规定及供应商提供的材料自行编写目录（部分格式后附）。</w:t>
      </w:r>
    </w:p>
    <w:p w14:paraId="462A606C">
      <w:pPr>
        <w:spacing w:line="400" w:lineRule="exact"/>
        <w:rPr>
          <w:rFonts w:hint="eastAsia" w:ascii="宋体" w:hAnsi="宋体" w:eastAsia="宋体" w:cs="宋体"/>
          <w:color w:val="auto"/>
          <w:sz w:val="32"/>
          <w:szCs w:val="32"/>
          <w:highlight w:val="none"/>
        </w:rPr>
      </w:pPr>
    </w:p>
    <w:p w14:paraId="09FB3931">
      <w:pPr>
        <w:spacing w:line="520" w:lineRule="exact"/>
        <w:jc w:val="center"/>
        <w:rPr>
          <w:rFonts w:hint="eastAsia" w:ascii="宋体" w:hAnsi="宋体" w:eastAsia="宋体" w:cs="宋体"/>
          <w:bCs/>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cs="宋体"/>
          <w:bCs/>
          <w:color w:val="auto"/>
          <w:sz w:val="44"/>
          <w:szCs w:val="44"/>
          <w:highlight w:val="none"/>
          <w:lang w:val="en-US" w:eastAsia="zh-CN"/>
        </w:rPr>
        <w:t>服务</w:t>
      </w:r>
      <w:r>
        <w:rPr>
          <w:rFonts w:hint="eastAsia" w:ascii="宋体" w:hAnsi="宋体" w:eastAsia="宋体" w:cs="宋体"/>
          <w:bCs/>
          <w:color w:val="auto"/>
          <w:sz w:val="44"/>
          <w:szCs w:val="44"/>
          <w:highlight w:val="none"/>
        </w:rPr>
        <w:t>要求偏离表</w:t>
      </w:r>
    </w:p>
    <w:p w14:paraId="4680AE02">
      <w:pPr>
        <w:spacing w:line="520" w:lineRule="exact"/>
        <w:rPr>
          <w:rFonts w:hint="eastAsia" w:ascii="宋体" w:hAnsi="宋体" w:eastAsia="宋体" w:cs="宋体"/>
          <w:color w:val="auto"/>
          <w:sz w:val="32"/>
          <w:szCs w:val="32"/>
          <w:highlight w:val="none"/>
        </w:rPr>
      </w:pPr>
    </w:p>
    <w:p w14:paraId="4DEFD843">
      <w:pPr>
        <w:spacing w:line="360" w:lineRule="auto"/>
        <w:contextualSpacing/>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采购项目编号：</w:t>
      </w:r>
      <w:r>
        <w:rPr>
          <w:rFonts w:hint="eastAsia" w:ascii="宋体" w:hAnsi="宋体" w:eastAsia="宋体" w:cs="宋体"/>
          <w:color w:val="auto"/>
          <w:szCs w:val="21"/>
          <w:highlight w:val="none"/>
          <w:u w:val="single"/>
        </w:rPr>
        <w:t xml:space="preserve">                 </w:t>
      </w:r>
    </w:p>
    <w:p w14:paraId="1CF83641">
      <w:pPr>
        <w:spacing w:line="360" w:lineRule="auto"/>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采购项目名称：</w:t>
      </w:r>
      <w:r>
        <w:rPr>
          <w:rFonts w:hint="eastAsia" w:ascii="宋体" w:hAnsi="宋体" w:eastAsia="宋体" w:cs="宋体"/>
          <w:color w:val="auto"/>
          <w:szCs w:val="21"/>
          <w:highlight w:val="none"/>
          <w:u w:val="single"/>
        </w:rPr>
        <w:t xml:space="preserve">                 </w:t>
      </w:r>
    </w:p>
    <w:p w14:paraId="57E37581">
      <w:pPr>
        <w:spacing w:line="360" w:lineRule="auto"/>
        <w:contextualSpacing/>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分标号：（没有，则填“无”或“/”）</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699"/>
        <w:gridCol w:w="1165"/>
        <w:gridCol w:w="3105"/>
        <w:gridCol w:w="2793"/>
        <w:gridCol w:w="1524"/>
      </w:tblGrid>
      <w:tr w14:paraId="2C4297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376" w:type="pct"/>
            <w:noWrap w:val="0"/>
            <w:vAlign w:val="center"/>
          </w:tcPr>
          <w:p w14:paraId="4C064B39">
            <w:pPr>
              <w:pStyle w:val="16"/>
              <w:spacing w:line="360" w:lineRule="auto"/>
              <w:ind w:firstLine="0" w:firstLineChars="0"/>
              <w:contextualSpacing/>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序号</w:t>
            </w:r>
          </w:p>
        </w:tc>
        <w:tc>
          <w:tcPr>
            <w:tcW w:w="627" w:type="pct"/>
            <w:tcBorders>
              <w:right w:val="single" w:color="auto" w:sz="4" w:space="0"/>
            </w:tcBorders>
            <w:noWrap w:val="0"/>
            <w:vAlign w:val="center"/>
          </w:tcPr>
          <w:p w14:paraId="059D40BA">
            <w:pPr>
              <w:pStyle w:val="16"/>
              <w:spacing w:line="360" w:lineRule="auto"/>
              <w:ind w:firstLine="0" w:firstLineChars="0"/>
              <w:contextualSpacing/>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标的名称</w:t>
            </w:r>
          </w:p>
        </w:tc>
        <w:tc>
          <w:tcPr>
            <w:tcW w:w="1671" w:type="pct"/>
            <w:tcBorders>
              <w:left w:val="single" w:color="auto" w:sz="4" w:space="0"/>
            </w:tcBorders>
            <w:noWrap w:val="0"/>
            <w:vAlign w:val="center"/>
          </w:tcPr>
          <w:p w14:paraId="3D86BA83">
            <w:pPr>
              <w:pStyle w:val="16"/>
              <w:spacing w:line="360" w:lineRule="auto"/>
              <w:ind w:firstLine="0" w:firstLineChars="0"/>
              <w:contextualSpacing/>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磋商文件</w:t>
            </w:r>
            <w:r>
              <w:rPr>
                <w:rFonts w:hint="eastAsia" w:ascii="宋体" w:hAnsi="宋体" w:eastAsia="宋体" w:cs="宋体"/>
                <w:color w:val="auto"/>
                <w:kern w:val="2"/>
                <w:sz w:val="21"/>
                <w:szCs w:val="21"/>
                <w:highlight w:val="none"/>
                <w:lang w:val="en-US" w:eastAsia="zh-CN"/>
              </w:rPr>
              <w:t>服务</w:t>
            </w:r>
            <w:r>
              <w:rPr>
                <w:rFonts w:hint="eastAsia" w:ascii="宋体" w:hAnsi="宋体" w:eastAsia="宋体" w:cs="宋体"/>
                <w:color w:val="auto"/>
                <w:kern w:val="2"/>
                <w:sz w:val="21"/>
                <w:szCs w:val="21"/>
                <w:highlight w:val="none"/>
              </w:rPr>
              <w:t>要求</w:t>
            </w:r>
          </w:p>
        </w:tc>
        <w:tc>
          <w:tcPr>
            <w:tcW w:w="1503" w:type="pct"/>
            <w:noWrap w:val="0"/>
            <w:vAlign w:val="center"/>
          </w:tcPr>
          <w:p w14:paraId="39917006">
            <w:pPr>
              <w:pStyle w:val="16"/>
              <w:spacing w:line="360" w:lineRule="auto"/>
              <w:ind w:firstLine="0" w:firstLineChars="0"/>
              <w:contextualSpacing/>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竞标响应</w:t>
            </w:r>
          </w:p>
        </w:tc>
        <w:tc>
          <w:tcPr>
            <w:tcW w:w="820" w:type="pct"/>
            <w:noWrap w:val="0"/>
            <w:vAlign w:val="center"/>
          </w:tcPr>
          <w:p w14:paraId="5E2D1C61">
            <w:pPr>
              <w:pStyle w:val="16"/>
              <w:spacing w:line="360" w:lineRule="auto"/>
              <w:ind w:firstLine="0" w:firstLineChars="0"/>
              <w:contextualSpacing/>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偏离说明</w:t>
            </w:r>
          </w:p>
        </w:tc>
      </w:tr>
      <w:tr w14:paraId="63692C5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376" w:type="pct"/>
            <w:noWrap w:val="0"/>
            <w:vAlign w:val="center"/>
          </w:tcPr>
          <w:p w14:paraId="77E94A8F">
            <w:pPr>
              <w:pStyle w:val="16"/>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627" w:type="pct"/>
            <w:tcBorders>
              <w:right w:val="single" w:color="auto" w:sz="4" w:space="0"/>
            </w:tcBorders>
            <w:noWrap w:val="0"/>
            <w:vAlign w:val="center"/>
          </w:tcPr>
          <w:p w14:paraId="0192C2A9">
            <w:pPr>
              <w:pStyle w:val="16"/>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1671" w:type="pct"/>
            <w:tcBorders>
              <w:left w:val="single" w:color="auto" w:sz="4" w:space="0"/>
            </w:tcBorders>
            <w:noWrap w:val="0"/>
            <w:vAlign w:val="center"/>
          </w:tcPr>
          <w:p w14:paraId="30FD6C63">
            <w:pPr>
              <w:pStyle w:val="16"/>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1503" w:type="pct"/>
            <w:noWrap w:val="0"/>
            <w:vAlign w:val="center"/>
          </w:tcPr>
          <w:p w14:paraId="1BCE59DC">
            <w:pPr>
              <w:pStyle w:val="16"/>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820" w:type="pct"/>
            <w:noWrap w:val="0"/>
            <w:vAlign w:val="center"/>
          </w:tcPr>
          <w:p w14:paraId="7A28A751">
            <w:pPr>
              <w:pStyle w:val="16"/>
              <w:spacing w:line="360" w:lineRule="auto"/>
              <w:ind w:firstLine="0" w:firstLineChars="0"/>
              <w:contextualSpacing/>
              <w:jc w:val="center"/>
              <w:rPr>
                <w:rFonts w:hint="eastAsia" w:ascii="宋体" w:hAnsi="宋体" w:eastAsia="宋体" w:cs="宋体"/>
                <w:color w:val="auto"/>
                <w:kern w:val="2"/>
                <w:sz w:val="21"/>
                <w:szCs w:val="21"/>
                <w:highlight w:val="none"/>
              </w:rPr>
            </w:pPr>
          </w:p>
        </w:tc>
      </w:tr>
      <w:tr w14:paraId="62B429F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376" w:type="pct"/>
            <w:noWrap w:val="0"/>
            <w:vAlign w:val="center"/>
          </w:tcPr>
          <w:p w14:paraId="01755BFD">
            <w:pPr>
              <w:pStyle w:val="16"/>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627" w:type="pct"/>
            <w:tcBorders>
              <w:right w:val="single" w:color="auto" w:sz="4" w:space="0"/>
            </w:tcBorders>
            <w:noWrap w:val="0"/>
            <w:vAlign w:val="center"/>
          </w:tcPr>
          <w:p w14:paraId="198B9985">
            <w:pPr>
              <w:pStyle w:val="16"/>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1671" w:type="pct"/>
            <w:tcBorders>
              <w:left w:val="single" w:color="auto" w:sz="4" w:space="0"/>
            </w:tcBorders>
            <w:noWrap w:val="0"/>
            <w:vAlign w:val="center"/>
          </w:tcPr>
          <w:p w14:paraId="686FF16E">
            <w:pPr>
              <w:pStyle w:val="16"/>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1503" w:type="pct"/>
            <w:noWrap w:val="0"/>
            <w:vAlign w:val="center"/>
          </w:tcPr>
          <w:p w14:paraId="46062DBE">
            <w:pPr>
              <w:pStyle w:val="16"/>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820" w:type="pct"/>
            <w:noWrap w:val="0"/>
            <w:vAlign w:val="center"/>
          </w:tcPr>
          <w:p w14:paraId="5DF23F3C">
            <w:pPr>
              <w:pStyle w:val="16"/>
              <w:spacing w:line="360" w:lineRule="auto"/>
              <w:ind w:firstLine="0" w:firstLineChars="0"/>
              <w:contextualSpacing/>
              <w:jc w:val="center"/>
              <w:rPr>
                <w:rFonts w:hint="eastAsia" w:ascii="宋体" w:hAnsi="宋体" w:eastAsia="宋体" w:cs="宋体"/>
                <w:color w:val="auto"/>
                <w:kern w:val="2"/>
                <w:sz w:val="21"/>
                <w:szCs w:val="21"/>
                <w:highlight w:val="none"/>
              </w:rPr>
            </w:pPr>
          </w:p>
        </w:tc>
      </w:tr>
      <w:tr w14:paraId="742307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376" w:type="pct"/>
            <w:noWrap w:val="0"/>
            <w:vAlign w:val="center"/>
          </w:tcPr>
          <w:p w14:paraId="69EEB216">
            <w:pPr>
              <w:pStyle w:val="16"/>
              <w:spacing w:line="360" w:lineRule="auto"/>
              <w:ind w:firstLine="0" w:firstLineChars="0"/>
              <w:contextualSpacing/>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627" w:type="pct"/>
            <w:tcBorders>
              <w:right w:val="single" w:color="auto" w:sz="4" w:space="0"/>
            </w:tcBorders>
            <w:noWrap w:val="0"/>
            <w:vAlign w:val="center"/>
          </w:tcPr>
          <w:p w14:paraId="740917B8">
            <w:pPr>
              <w:pStyle w:val="16"/>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1671" w:type="pct"/>
            <w:tcBorders>
              <w:left w:val="single" w:color="auto" w:sz="4" w:space="0"/>
            </w:tcBorders>
            <w:noWrap w:val="0"/>
            <w:vAlign w:val="center"/>
          </w:tcPr>
          <w:p w14:paraId="5D7FCE7C">
            <w:pPr>
              <w:pStyle w:val="16"/>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1503" w:type="pct"/>
            <w:noWrap w:val="0"/>
            <w:vAlign w:val="center"/>
          </w:tcPr>
          <w:p w14:paraId="3814B25C">
            <w:pPr>
              <w:pStyle w:val="16"/>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820" w:type="pct"/>
            <w:tcBorders>
              <w:right w:val="single" w:color="auto" w:sz="4" w:space="0"/>
            </w:tcBorders>
            <w:noWrap w:val="0"/>
            <w:vAlign w:val="center"/>
          </w:tcPr>
          <w:p w14:paraId="2A646794">
            <w:pPr>
              <w:pStyle w:val="16"/>
              <w:spacing w:line="360" w:lineRule="auto"/>
              <w:ind w:firstLine="0" w:firstLineChars="0"/>
              <w:contextualSpacing/>
              <w:jc w:val="center"/>
              <w:rPr>
                <w:rFonts w:hint="eastAsia" w:ascii="宋体" w:hAnsi="宋体" w:eastAsia="宋体" w:cs="宋体"/>
                <w:color w:val="auto"/>
                <w:kern w:val="2"/>
                <w:sz w:val="21"/>
                <w:szCs w:val="21"/>
                <w:highlight w:val="none"/>
              </w:rPr>
            </w:pPr>
          </w:p>
        </w:tc>
      </w:tr>
    </w:tbl>
    <w:p w14:paraId="6B6E1933">
      <w:pPr>
        <w:adjustRightInd w:val="0"/>
        <w:spacing w:line="360" w:lineRule="auto"/>
        <w:contextualSpacing/>
        <w:rPr>
          <w:rFonts w:hint="eastAsia" w:ascii="宋体" w:hAnsi="宋体" w:eastAsia="宋体" w:cs="宋体"/>
          <w:color w:val="auto"/>
          <w:szCs w:val="21"/>
          <w:highlight w:val="none"/>
        </w:rPr>
      </w:pPr>
    </w:p>
    <w:p w14:paraId="3E6EE24C">
      <w:pPr>
        <w:pStyle w:val="16"/>
        <w:spacing w:line="360" w:lineRule="auto"/>
        <w:ind w:firstLine="0" w:firstLineChars="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23193ED3">
      <w:pPr>
        <w:pStyle w:val="16"/>
        <w:spacing w:line="360" w:lineRule="auto"/>
        <w:ind w:firstLine="0" w:firstLineChars="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说明：应对照磋商文件“第二章 采购需求”中的</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要求逐条作出明确响应，并作出偏离说明。</w:t>
      </w:r>
    </w:p>
    <w:p w14:paraId="0FFE1298">
      <w:pPr>
        <w:pStyle w:val="16"/>
        <w:spacing w:line="360" w:lineRule="auto"/>
        <w:ind w:firstLine="0" w:firstLineChars="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2.供应商应根据自身的承诺，对照磋商文件要求，在“偏离说明”中注明“正偏离”、“负偏离”或者“无偏离”。既不属于“正偏离”也不属于“负偏离”即为“无偏离”。</w:t>
      </w:r>
    </w:p>
    <w:p w14:paraId="0627F0F9">
      <w:pPr>
        <w:spacing w:line="360" w:lineRule="auto"/>
        <w:ind w:right="-817" w:rightChars="-389"/>
        <w:contextualSpacing/>
        <w:rPr>
          <w:rFonts w:hint="eastAsia" w:ascii="宋体" w:hAnsi="宋体" w:eastAsia="宋体" w:cs="宋体"/>
          <w:color w:val="auto"/>
          <w:szCs w:val="21"/>
          <w:highlight w:val="none"/>
        </w:rPr>
      </w:pPr>
    </w:p>
    <w:p w14:paraId="14A87376">
      <w:pPr>
        <w:spacing w:line="360" w:lineRule="auto"/>
        <w:ind w:right="-817" w:rightChars="-389" w:firstLine="840" w:firstLineChars="4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法定代表人或者委托代理人（签字或者电子签名）：                    </w:t>
      </w:r>
    </w:p>
    <w:p w14:paraId="35C4F6AC">
      <w:pPr>
        <w:spacing w:line="360" w:lineRule="auto"/>
        <w:ind w:right="-817" w:rightChars="-389" w:firstLine="2310" w:firstLineChars="11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供应商（盖公章）：      </w:t>
      </w:r>
    </w:p>
    <w:p w14:paraId="0B1BA39D">
      <w:pPr>
        <w:spacing w:line="360" w:lineRule="auto"/>
        <w:ind w:right="-817" w:rightChars="-389" w:firstLine="3570" w:firstLineChars="17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50B6A314">
      <w:pPr>
        <w:snapToGrid w:val="0"/>
        <w:spacing w:before="156" w:beforeLines="50" w:after="50"/>
        <w:ind w:left="142"/>
        <w:jc w:val="left"/>
        <w:outlineLvl w:val="1"/>
        <w:rPr>
          <w:rFonts w:hint="eastAsia" w:ascii="宋体" w:hAnsi="宋体" w:eastAsia="宋体" w:cs="宋体"/>
          <w:b/>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四、</w:t>
      </w:r>
      <w:r>
        <w:rPr>
          <w:rFonts w:hint="eastAsia" w:ascii="宋体" w:hAnsi="宋体" w:eastAsia="宋体" w:cs="宋体"/>
          <w:b/>
          <w:color w:val="auto"/>
          <w:sz w:val="32"/>
          <w:szCs w:val="32"/>
          <w:highlight w:val="none"/>
        </w:rPr>
        <w:t>报价文件格式</w:t>
      </w:r>
    </w:p>
    <w:p w14:paraId="0797973A">
      <w:pPr>
        <w:snapToGrid w:val="0"/>
        <w:spacing w:before="156" w:beforeLines="50" w:after="50" w:line="360" w:lineRule="auto"/>
        <w:jc w:val="lef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1.报价文件封面格式</w:t>
      </w:r>
    </w:p>
    <w:p w14:paraId="03C3E454">
      <w:pPr>
        <w:snapToGrid w:val="0"/>
        <w:spacing w:before="156"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p>
    <w:p w14:paraId="24764D94">
      <w:pPr>
        <w:snapToGrid w:val="0"/>
        <w:spacing w:before="156" w:beforeLines="50" w:after="50"/>
        <w:rPr>
          <w:rFonts w:hint="eastAsia" w:ascii="宋体" w:hAnsi="宋体" w:eastAsia="宋体" w:cs="宋体"/>
          <w:color w:val="auto"/>
          <w:sz w:val="24"/>
          <w:szCs w:val="20"/>
          <w:highlight w:val="none"/>
        </w:rPr>
      </w:pPr>
    </w:p>
    <w:p w14:paraId="574FA080">
      <w:pPr>
        <w:snapToGrid w:val="0"/>
        <w:spacing w:before="156" w:beforeLines="50" w:after="50"/>
        <w:jc w:val="center"/>
        <w:rPr>
          <w:rFonts w:hint="eastAsia" w:ascii="宋体" w:hAnsi="宋体" w:eastAsia="宋体" w:cs="宋体"/>
          <w:bCs/>
          <w:color w:val="auto"/>
          <w:sz w:val="84"/>
          <w:szCs w:val="84"/>
          <w:highlight w:val="none"/>
        </w:rPr>
      </w:pPr>
      <w:r>
        <w:rPr>
          <w:rFonts w:hint="eastAsia" w:ascii="宋体" w:hAnsi="宋体" w:eastAsia="宋体" w:cs="宋体"/>
          <w:bCs/>
          <w:color w:val="auto"/>
          <w:sz w:val="84"/>
          <w:szCs w:val="84"/>
          <w:highlight w:val="none"/>
        </w:rPr>
        <w:t>响  应  文  件</w:t>
      </w:r>
    </w:p>
    <w:p w14:paraId="709F3644">
      <w:pPr>
        <w:snapToGrid w:val="0"/>
        <w:spacing w:before="156" w:beforeLines="50" w:after="50"/>
        <w:jc w:val="center"/>
        <w:rPr>
          <w:rFonts w:hint="eastAsia" w:ascii="宋体" w:hAnsi="宋体" w:eastAsia="宋体" w:cs="宋体"/>
          <w:bCs/>
          <w:color w:val="auto"/>
          <w:sz w:val="32"/>
          <w:szCs w:val="32"/>
          <w:highlight w:val="none"/>
        </w:rPr>
      </w:pPr>
    </w:p>
    <w:p w14:paraId="23C2CB26">
      <w:pPr>
        <w:snapToGrid w:val="0"/>
        <w:spacing w:before="156" w:beforeLines="50" w:after="50"/>
        <w:jc w:val="center"/>
        <w:rPr>
          <w:rFonts w:hint="eastAsia" w:ascii="宋体" w:hAnsi="宋体" w:eastAsia="宋体" w:cs="宋体"/>
          <w:bCs/>
          <w:color w:val="auto"/>
          <w:sz w:val="32"/>
          <w:szCs w:val="32"/>
          <w:highlight w:val="none"/>
        </w:rPr>
      </w:pPr>
    </w:p>
    <w:p w14:paraId="2D1BFE4C">
      <w:pPr>
        <w:snapToGrid w:val="0"/>
        <w:spacing w:before="156" w:beforeLines="50" w:after="50"/>
        <w:jc w:val="center"/>
        <w:rPr>
          <w:rFonts w:hint="eastAsia" w:ascii="宋体" w:hAnsi="宋体" w:eastAsia="宋体" w:cs="宋体"/>
          <w:bCs/>
          <w:color w:val="auto"/>
          <w:sz w:val="40"/>
          <w:szCs w:val="40"/>
          <w:highlight w:val="none"/>
        </w:rPr>
      </w:pPr>
      <w:r>
        <w:rPr>
          <w:rFonts w:hint="eastAsia" w:ascii="宋体" w:hAnsi="宋体" w:eastAsia="宋体" w:cs="宋体"/>
          <w:bCs/>
          <w:color w:val="auto"/>
          <w:sz w:val="40"/>
          <w:szCs w:val="40"/>
          <w:highlight w:val="none"/>
        </w:rPr>
        <w:t>报价文件</w:t>
      </w:r>
    </w:p>
    <w:p w14:paraId="255148E0">
      <w:pPr>
        <w:snapToGrid w:val="0"/>
        <w:spacing w:before="156" w:beforeLines="50" w:after="50"/>
        <w:rPr>
          <w:rFonts w:hint="eastAsia" w:ascii="宋体" w:hAnsi="宋体" w:eastAsia="宋体" w:cs="宋体"/>
          <w:bCs/>
          <w:color w:val="auto"/>
          <w:sz w:val="24"/>
          <w:szCs w:val="20"/>
          <w:highlight w:val="none"/>
        </w:rPr>
      </w:pPr>
    </w:p>
    <w:p w14:paraId="1F41FFB0">
      <w:pPr>
        <w:snapToGrid w:val="0"/>
        <w:spacing w:before="156" w:beforeLines="50" w:after="50"/>
        <w:rPr>
          <w:rFonts w:hint="eastAsia" w:ascii="宋体" w:hAnsi="宋体" w:eastAsia="宋体" w:cs="宋体"/>
          <w:bCs/>
          <w:color w:val="auto"/>
          <w:sz w:val="24"/>
          <w:szCs w:val="20"/>
          <w:highlight w:val="none"/>
        </w:rPr>
      </w:pPr>
    </w:p>
    <w:p w14:paraId="2BD5D0AC">
      <w:pPr>
        <w:snapToGrid w:val="0"/>
        <w:spacing w:before="156" w:beforeLines="50" w:after="50"/>
        <w:rPr>
          <w:rFonts w:hint="eastAsia" w:ascii="宋体" w:hAnsi="宋体" w:eastAsia="宋体" w:cs="宋体"/>
          <w:bCs/>
          <w:color w:val="auto"/>
          <w:sz w:val="24"/>
          <w:szCs w:val="20"/>
          <w:highlight w:val="none"/>
        </w:rPr>
      </w:pPr>
    </w:p>
    <w:p w14:paraId="780EF513">
      <w:pPr>
        <w:snapToGrid w:val="0"/>
        <w:spacing w:before="156" w:beforeLines="50" w:after="50"/>
        <w:rPr>
          <w:rFonts w:hint="eastAsia" w:ascii="宋体" w:hAnsi="宋体" w:eastAsia="宋体" w:cs="宋体"/>
          <w:bCs/>
          <w:color w:val="auto"/>
          <w:sz w:val="24"/>
          <w:szCs w:val="20"/>
          <w:highlight w:val="none"/>
        </w:rPr>
      </w:pPr>
    </w:p>
    <w:p w14:paraId="4627D0C4">
      <w:pPr>
        <w:snapToGrid w:val="0"/>
        <w:spacing w:before="156" w:beforeLines="50" w:after="50"/>
        <w:rPr>
          <w:rFonts w:hint="eastAsia" w:ascii="宋体" w:hAnsi="宋体" w:eastAsia="宋体" w:cs="宋体"/>
          <w:bCs/>
          <w:color w:val="auto"/>
          <w:sz w:val="24"/>
          <w:szCs w:val="20"/>
          <w:highlight w:val="none"/>
        </w:rPr>
      </w:pPr>
    </w:p>
    <w:p w14:paraId="38B03D75">
      <w:pPr>
        <w:snapToGrid w:val="0"/>
        <w:spacing w:before="156"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7A980BF5">
      <w:pPr>
        <w:snapToGrid w:val="0"/>
        <w:spacing w:before="156" w:beforeLines="50" w:after="50"/>
        <w:ind w:firstLine="720" w:firstLineChars="225"/>
        <w:rPr>
          <w:rFonts w:hint="eastAsia" w:ascii="宋体" w:hAnsi="宋体" w:eastAsia="宋体" w:cs="宋体"/>
          <w:bCs/>
          <w:color w:val="auto"/>
          <w:sz w:val="32"/>
          <w:szCs w:val="32"/>
          <w:highlight w:val="none"/>
        </w:rPr>
      </w:pPr>
    </w:p>
    <w:p w14:paraId="5AB3022B">
      <w:pPr>
        <w:snapToGrid w:val="0"/>
        <w:spacing w:before="156"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155F74F9">
      <w:pPr>
        <w:snapToGrid w:val="0"/>
        <w:spacing w:before="156"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41D1D9C6">
      <w:pPr>
        <w:snapToGrid w:val="0"/>
        <w:spacing w:before="156"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所竞分标：（没有，则填“无”或“/”）</w:t>
      </w:r>
    </w:p>
    <w:p w14:paraId="1FA0F034">
      <w:pPr>
        <w:snapToGrid w:val="0"/>
        <w:spacing w:before="156" w:beforeLines="50" w:after="50"/>
        <w:ind w:firstLine="720" w:firstLineChars="225"/>
        <w:rPr>
          <w:rFonts w:hint="eastAsia" w:ascii="宋体" w:hAnsi="宋体" w:eastAsia="宋体" w:cs="宋体"/>
          <w:bCs/>
          <w:color w:val="auto"/>
          <w:sz w:val="32"/>
          <w:szCs w:val="32"/>
          <w:highlight w:val="none"/>
        </w:rPr>
      </w:pPr>
    </w:p>
    <w:p w14:paraId="143C3201">
      <w:pPr>
        <w:pStyle w:val="6"/>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66973E0B">
      <w:pPr>
        <w:pStyle w:val="6"/>
        <w:snapToGrid w:val="0"/>
        <w:spacing w:before="50" w:after="50"/>
        <w:ind w:firstLine="720" w:firstLineChars="225"/>
        <w:rPr>
          <w:rFonts w:hint="eastAsia" w:ascii="宋体" w:hAnsi="宋体" w:eastAsia="宋体" w:cs="宋体"/>
          <w:bCs/>
          <w:color w:val="auto"/>
          <w:sz w:val="32"/>
          <w:szCs w:val="32"/>
          <w:highlight w:val="none"/>
        </w:rPr>
      </w:pPr>
    </w:p>
    <w:p w14:paraId="5F83F6F0">
      <w:pPr>
        <w:pStyle w:val="6"/>
        <w:snapToGrid w:val="0"/>
        <w:spacing w:before="50" w:after="50"/>
        <w:ind w:firstLine="720" w:firstLineChars="225"/>
        <w:rPr>
          <w:rFonts w:hint="eastAsia" w:ascii="宋体" w:hAnsi="宋体" w:eastAsia="宋体" w:cs="宋体"/>
          <w:bCs/>
          <w:color w:val="auto"/>
          <w:sz w:val="32"/>
          <w:szCs w:val="32"/>
          <w:highlight w:val="none"/>
        </w:rPr>
      </w:pPr>
    </w:p>
    <w:p w14:paraId="76785ABA">
      <w:pPr>
        <w:pStyle w:val="6"/>
        <w:snapToGrid w:val="0"/>
        <w:spacing w:before="50" w:after="50"/>
        <w:ind w:firstLine="1280" w:firstLineChars="400"/>
        <w:rPr>
          <w:rFonts w:hint="eastAsia" w:ascii="宋体" w:hAnsi="宋体" w:eastAsia="宋体" w:cs="宋体"/>
          <w:bCs/>
          <w:color w:val="auto"/>
          <w:sz w:val="32"/>
          <w:szCs w:val="32"/>
          <w:highlight w:val="none"/>
        </w:rPr>
      </w:pPr>
    </w:p>
    <w:p w14:paraId="17ADE2FE">
      <w:pPr>
        <w:snapToGrid w:val="0"/>
        <w:spacing w:before="156"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4BC8F5AC">
      <w:pPr>
        <w:snapToGrid w:val="0"/>
        <w:spacing w:before="156" w:beforeLines="50" w:after="50" w:line="360" w:lineRule="auto"/>
        <w:ind w:left="142"/>
        <w:jc w:val="left"/>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2.报价文件目录</w:t>
      </w:r>
    </w:p>
    <w:p w14:paraId="7C73A265">
      <w:pPr>
        <w:snapToGrid w:val="0"/>
        <w:spacing w:before="156" w:beforeLines="50" w:after="50" w:line="360" w:lineRule="auto"/>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根据磋商文件规定及供应商提供的材料自行编写目录（部分格式后附）。</w:t>
      </w:r>
    </w:p>
    <w:p w14:paraId="57FBF5EE">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57C1613E">
      <w:pPr>
        <w:spacing w:line="500" w:lineRule="exact"/>
        <w:jc w:val="center"/>
        <w:rPr>
          <w:b/>
          <w:bCs/>
          <w:color w:val="auto"/>
          <w:kern w:val="0"/>
          <w:sz w:val="30"/>
          <w:szCs w:val="30"/>
          <w:highlight w:val="none"/>
        </w:rPr>
      </w:pPr>
      <w:r>
        <w:rPr>
          <w:rFonts w:hint="eastAsia"/>
          <w:b/>
          <w:bCs/>
          <w:color w:val="auto"/>
          <w:kern w:val="0"/>
          <w:sz w:val="30"/>
          <w:szCs w:val="30"/>
          <w:highlight w:val="none"/>
        </w:rPr>
        <w:t>响应函</w:t>
      </w:r>
    </w:p>
    <w:p w14:paraId="3E2BDBAE">
      <w:pPr>
        <w:spacing w:line="460" w:lineRule="exact"/>
        <w:rPr>
          <w:color w:val="auto"/>
          <w:kern w:val="0"/>
          <w:sz w:val="24"/>
          <w:highlight w:val="none"/>
        </w:rPr>
      </w:pPr>
    </w:p>
    <w:p w14:paraId="0BAA661D">
      <w:pPr>
        <w:spacing w:line="460" w:lineRule="exact"/>
        <w:rPr>
          <w:rFonts w:ascii="宋体" w:hAnsi="宋体" w:cs="宋体"/>
          <w:color w:val="auto"/>
          <w:kern w:val="0"/>
          <w:sz w:val="24"/>
          <w:highlight w:val="none"/>
        </w:rPr>
      </w:pPr>
      <w:r>
        <w:rPr>
          <w:rFonts w:hint="eastAsia" w:ascii="宋体" w:hAnsi="宋体" w:cs="宋体"/>
          <w:color w:val="auto"/>
          <w:kern w:val="0"/>
          <w:sz w:val="24"/>
          <w:highlight w:val="none"/>
        </w:rPr>
        <w:t>致：</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（采购代理机构名称）</w:t>
      </w:r>
    </w:p>
    <w:p w14:paraId="5EF5CEB8">
      <w:pPr>
        <w:spacing w:line="460" w:lineRule="exact"/>
        <w:ind w:firstLine="480" w:firstLineChars="200"/>
        <w:rPr>
          <w:rFonts w:ascii="宋体" w:hAnsi="宋体" w:cs="宋体"/>
          <w:color w:val="auto"/>
          <w:kern w:val="0"/>
          <w:sz w:val="24"/>
          <w:highlight w:val="none"/>
        </w:rPr>
      </w:pPr>
    </w:p>
    <w:p w14:paraId="6019B1A0">
      <w:pPr>
        <w:spacing w:line="4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我方已仔细阅读了贵方组织的</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项目（项目编号：</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）的竞争性磋商文件的全部内容，现正式递交下述文件参加贵方组织的本次政府采购活动： </w:t>
      </w:r>
    </w:p>
    <w:p w14:paraId="52BBC85D">
      <w:pPr>
        <w:spacing w:line="4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一、首次报价文件电子版（包含按“第三章 供应商须知”提交的全部文件）；</w:t>
      </w:r>
    </w:p>
    <w:p w14:paraId="2CE4F174">
      <w:pPr>
        <w:spacing w:line="4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二、技术文件电子版（包含按“第三章 供应商须知”提交的全部文件）；商务文件电子版（包含按“第三章 供应商须知”提交的全部文件）；</w:t>
      </w:r>
    </w:p>
    <w:p w14:paraId="44BDCDBB">
      <w:pPr>
        <w:spacing w:line="4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三、资格证明文件电子版（包含按“第三章供应商须知”提交的全部文件）。</w:t>
      </w:r>
    </w:p>
    <w:p w14:paraId="3FF3C495">
      <w:pPr>
        <w:spacing w:line="4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据此函，我方兹宣布：</w:t>
      </w:r>
    </w:p>
    <w:p w14:paraId="00DF627F">
      <w:pPr>
        <w:spacing w:line="460" w:lineRule="exact"/>
        <w:ind w:firstLine="482"/>
        <w:rPr>
          <w:rFonts w:ascii="宋体" w:hAnsi="宋体" w:cs="宋体"/>
          <w:color w:val="auto"/>
          <w:kern w:val="0"/>
          <w:sz w:val="24"/>
          <w:highlight w:val="none"/>
        </w:rPr>
      </w:pPr>
      <w:r>
        <w:rPr>
          <w:rFonts w:hint="eastAsia" w:ascii="宋体" w:hAnsi="宋体" w:cs="宋体"/>
          <w:color w:val="auto"/>
          <w:kern w:val="0"/>
          <w:sz w:val="24"/>
          <w:highlight w:val="none"/>
          <w:lang w:eastAsia="zh-CN"/>
        </w:rPr>
        <w:t>1.</w:t>
      </w:r>
      <w:r>
        <w:rPr>
          <w:rFonts w:hint="eastAsia" w:ascii="宋体" w:hAnsi="宋体" w:cs="宋体"/>
          <w:color w:val="auto"/>
          <w:kern w:val="0"/>
          <w:sz w:val="24"/>
          <w:highlight w:val="none"/>
        </w:rPr>
        <w:t>我方愿意以磋商时</w:t>
      </w:r>
      <w:r>
        <w:rPr>
          <w:rFonts w:hint="eastAsia" w:hAnsi="宋体" w:cs="宋体"/>
          <w:color w:val="auto"/>
          <w:sz w:val="24"/>
          <w:highlight w:val="none"/>
        </w:rPr>
        <w:t>提交的最后报价表中的竞标总</w:t>
      </w:r>
      <w:r>
        <w:rPr>
          <w:rFonts w:hint="eastAsia" w:ascii="宋体" w:hAnsi="宋体" w:cs="宋体"/>
          <w:color w:val="auto"/>
          <w:sz w:val="24"/>
          <w:highlight w:val="none"/>
        </w:rPr>
        <w:t>报价</w:t>
      </w:r>
      <w:r>
        <w:rPr>
          <w:rFonts w:hint="eastAsia" w:hAnsi="宋体" w:cs="宋体"/>
          <w:color w:val="auto"/>
          <w:sz w:val="24"/>
          <w:highlight w:val="none"/>
        </w:rPr>
        <w:t>，在承诺的</w:t>
      </w:r>
      <w:r>
        <w:rPr>
          <w:rFonts w:hint="eastAsia" w:ascii="宋体" w:hAnsi="宋体" w:cs="宋体"/>
          <w:color w:val="auto"/>
          <w:kern w:val="0"/>
          <w:sz w:val="24"/>
          <w:highlight w:val="none"/>
        </w:rPr>
        <w:t>服务时间</w:t>
      </w:r>
      <w:r>
        <w:rPr>
          <w:rFonts w:hint="eastAsia" w:hAnsi="宋体" w:cs="宋体"/>
          <w:color w:val="auto"/>
          <w:sz w:val="24"/>
          <w:highlight w:val="none"/>
        </w:rPr>
        <w:t>内</w:t>
      </w:r>
      <w:r>
        <w:rPr>
          <w:rFonts w:hint="eastAsia" w:ascii="宋体" w:hAnsi="宋体" w:cs="宋体"/>
          <w:color w:val="auto"/>
          <w:kern w:val="0"/>
          <w:sz w:val="24"/>
          <w:highlight w:val="none"/>
        </w:rPr>
        <w:t>提供本项目竞争性磋商文件第二章“采购需求”中相应的采购内容</w:t>
      </w:r>
      <w:r>
        <w:rPr>
          <w:rFonts w:hint="eastAsia" w:hAnsi="宋体" w:cs="宋体"/>
          <w:color w:val="auto"/>
          <w:sz w:val="24"/>
          <w:highlight w:val="none"/>
        </w:rPr>
        <w:t>，具体详见最后报价表</w:t>
      </w:r>
      <w:r>
        <w:rPr>
          <w:rFonts w:hint="eastAsia" w:ascii="宋体" w:hAnsi="宋体" w:cs="宋体"/>
          <w:color w:val="auto"/>
          <w:kern w:val="0"/>
          <w:sz w:val="24"/>
          <w:highlight w:val="none"/>
        </w:rPr>
        <w:t>。</w:t>
      </w:r>
    </w:p>
    <w:p w14:paraId="28E7D4EB">
      <w:pPr>
        <w:spacing w:line="460" w:lineRule="exact"/>
        <w:ind w:firstLine="482"/>
        <w:rPr>
          <w:rFonts w:ascii="宋体" w:hAnsi="宋体" w:cs="宋体"/>
          <w:color w:val="auto"/>
          <w:kern w:val="0"/>
          <w:sz w:val="24"/>
          <w:highlight w:val="none"/>
        </w:rPr>
      </w:pPr>
      <w:r>
        <w:rPr>
          <w:rFonts w:hint="eastAsia" w:ascii="宋体" w:hAnsi="宋体" w:cs="宋体"/>
          <w:color w:val="auto"/>
          <w:kern w:val="0"/>
          <w:sz w:val="24"/>
          <w:highlight w:val="none"/>
          <w:lang w:eastAsia="zh-CN"/>
        </w:rPr>
        <w:t>2.</w:t>
      </w:r>
      <w:r>
        <w:rPr>
          <w:rFonts w:hint="eastAsia" w:ascii="宋体" w:hAnsi="宋体" w:cs="宋体"/>
          <w:color w:val="auto"/>
          <w:kern w:val="0"/>
          <w:sz w:val="24"/>
          <w:highlight w:val="none"/>
        </w:rPr>
        <w:t>我方同意自本项目竞争性磋商文件采购公告规定的提交响应文件截止时间起遵循本响应函，并承诺在“第三章 供应商须知”规定的竞标有效期内不修改、撤销响应文件。</w:t>
      </w:r>
    </w:p>
    <w:p w14:paraId="7B6A1F61">
      <w:pPr>
        <w:spacing w:line="460" w:lineRule="exact"/>
        <w:ind w:firstLine="482"/>
        <w:rPr>
          <w:rFonts w:ascii="宋体" w:hAnsi="宋体" w:cs="宋体"/>
          <w:color w:val="auto"/>
          <w:kern w:val="0"/>
          <w:sz w:val="24"/>
          <w:highlight w:val="none"/>
        </w:rPr>
      </w:pPr>
      <w:r>
        <w:rPr>
          <w:rFonts w:hint="eastAsia" w:ascii="宋体" w:hAnsi="宋体" w:cs="宋体"/>
          <w:color w:val="auto"/>
          <w:kern w:val="0"/>
          <w:sz w:val="24"/>
          <w:highlight w:val="none"/>
          <w:lang w:eastAsia="zh-CN"/>
        </w:rPr>
        <w:t>3.</w:t>
      </w:r>
      <w:r>
        <w:rPr>
          <w:rFonts w:hint="eastAsia" w:ascii="宋体" w:hAnsi="宋体" w:cs="宋体"/>
          <w:color w:val="auto"/>
          <w:kern w:val="0"/>
          <w:sz w:val="24"/>
          <w:highlight w:val="none"/>
        </w:rPr>
        <w:t>我方在此声明，所递交的响应文件及有关资料内容完整、真实和准确。</w:t>
      </w:r>
    </w:p>
    <w:p w14:paraId="4654AA02">
      <w:pPr>
        <w:spacing w:line="460" w:lineRule="exact"/>
        <w:ind w:firstLine="482"/>
        <w:rPr>
          <w:rFonts w:ascii="宋体" w:hAnsi="宋体" w:cs="宋体"/>
          <w:color w:val="auto"/>
          <w:kern w:val="0"/>
          <w:sz w:val="24"/>
          <w:highlight w:val="none"/>
        </w:rPr>
      </w:pPr>
      <w:r>
        <w:rPr>
          <w:rFonts w:hint="eastAsia" w:ascii="宋体" w:hAnsi="宋体" w:cs="宋体"/>
          <w:color w:val="auto"/>
          <w:kern w:val="0"/>
          <w:sz w:val="24"/>
          <w:highlight w:val="none"/>
          <w:lang w:eastAsia="zh-CN"/>
        </w:rPr>
        <w:t>4.</w:t>
      </w:r>
      <w:r>
        <w:rPr>
          <w:rFonts w:hint="eastAsia" w:ascii="宋体" w:hAnsi="宋体" w:cs="宋体"/>
          <w:color w:val="auto"/>
          <w:kern w:val="0"/>
          <w:sz w:val="24"/>
          <w:highlight w:val="none"/>
        </w:rPr>
        <w:t>如本项目采购内容涉及须符合国家强制规定的，我方承诺我方本次竞标均符合国家有关强制规定。</w:t>
      </w:r>
    </w:p>
    <w:p w14:paraId="4E6ABE17">
      <w:pPr>
        <w:spacing w:line="460" w:lineRule="exact"/>
        <w:ind w:firstLine="482"/>
        <w:rPr>
          <w:rFonts w:ascii="宋体" w:hAnsi="宋体" w:cs="宋体"/>
          <w:color w:val="auto"/>
          <w:kern w:val="0"/>
          <w:sz w:val="24"/>
          <w:highlight w:val="none"/>
        </w:rPr>
      </w:pPr>
      <w:r>
        <w:rPr>
          <w:rFonts w:hint="eastAsia" w:ascii="宋体" w:hAnsi="宋体" w:cs="宋体"/>
          <w:color w:val="auto"/>
          <w:kern w:val="0"/>
          <w:sz w:val="24"/>
          <w:highlight w:val="none"/>
          <w:lang w:eastAsia="zh-CN"/>
        </w:rPr>
        <w:t>5.</w:t>
      </w:r>
      <w:r>
        <w:rPr>
          <w:rFonts w:hint="eastAsia" w:ascii="宋体" w:hAnsi="宋体" w:cs="宋体"/>
          <w:color w:val="auto"/>
          <w:kern w:val="0"/>
          <w:sz w:val="24"/>
          <w:highlight w:val="none"/>
        </w:rPr>
        <w:t>如我方成交，我方承诺在收到成交通知书后，在成交通知书规定的期限内，根据竞争性磋商文件、我方的响应文件及有关澄清承诺书的要求按第六章“合同文本”与采购人订立书面合同，并按照合同约定承担完成合同的责任和义务。</w:t>
      </w:r>
    </w:p>
    <w:p w14:paraId="65331A70">
      <w:pPr>
        <w:spacing w:line="460" w:lineRule="exact"/>
        <w:ind w:firstLine="482"/>
        <w:rPr>
          <w:rFonts w:ascii="宋体" w:hAnsi="宋体" w:cs="宋体"/>
          <w:color w:val="auto"/>
          <w:kern w:val="0"/>
          <w:sz w:val="24"/>
          <w:highlight w:val="none"/>
        </w:rPr>
      </w:pPr>
      <w:r>
        <w:rPr>
          <w:rFonts w:hint="eastAsia" w:ascii="宋体" w:hAnsi="宋体" w:cs="宋体"/>
          <w:color w:val="auto"/>
          <w:kern w:val="0"/>
          <w:sz w:val="24"/>
          <w:highlight w:val="none"/>
          <w:lang w:eastAsia="zh-CN"/>
        </w:rPr>
        <w:t>6.</w:t>
      </w:r>
      <w:r>
        <w:rPr>
          <w:rFonts w:hint="eastAsia" w:ascii="宋体" w:hAnsi="宋体" w:cs="宋体"/>
          <w:color w:val="auto"/>
          <w:kern w:val="0"/>
          <w:sz w:val="24"/>
          <w:highlight w:val="none"/>
        </w:rPr>
        <w:t>我方已详细审核竞争性磋商文件，我方知道必须放弃提出含糊不清或误解问题的权利。</w:t>
      </w:r>
    </w:p>
    <w:p w14:paraId="62A3694A">
      <w:pPr>
        <w:spacing w:line="460" w:lineRule="exact"/>
        <w:ind w:firstLine="482"/>
        <w:rPr>
          <w:rFonts w:ascii="宋体" w:hAnsi="宋体" w:cs="宋体"/>
          <w:color w:val="auto"/>
          <w:kern w:val="0"/>
          <w:sz w:val="24"/>
          <w:highlight w:val="none"/>
        </w:rPr>
      </w:pPr>
      <w:r>
        <w:rPr>
          <w:rFonts w:hint="eastAsia" w:ascii="宋体" w:hAnsi="宋体" w:cs="宋体"/>
          <w:color w:val="auto"/>
          <w:kern w:val="0"/>
          <w:sz w:val="24"/>
          <w:highlight w:val="none"/>
          <w:lang w:eastAsia="zh-CN"/>
        </w:rPr>
        <w:t>7.</w:t>
      </w:r>
      <w:r>
        <w:rPr>
          <w:rFonts w:hint="eastAsia" w:ascii="宋体" w:hAnsi="宋体" w:cs="宋体"/>
          <w:color w:val="auto"/>
          <w:kern w:val="0"/>
          <w:sz w:val="24"/>
          <w:highlight w:val="none"/>
        </w:rPr>
        <w:t>我方承诺满足竞争性磋商文件第六章“合同文本”的条款，承担完成合同的责任和义务。</w:t>
      </w:r>
    </w:p>
    <w:p w14:paraId="7154A6AA">
      <w:pPr>
        <w:spacing w:line="460" w:lineRule="exact"/>
        <w:ind w:firstLine="482"/>
        <w:rPr>
          <w:rFonts w:ascii="宋体" w:hAnsi="宋体" w:cs="宋体"/>
          <w:color w:val="auto"/>
          <w:kern w:val="0"/>
          <w:sz w:val="24"/>
          <w:highlight w:val="none"/>
        </w:rPr>
      </w:pPr>
      <w:r>
        <w:rPr>
          <w:rFonts w:hint="eastAsia" w:ascii="宋体" w:hAnsi="宋体" w:cs="宋体"/>
          <w:color w:val="auto"/>
          <w:kern w:val="0"/>
          <w:sz w:val="24"/>
          <w:highlight w:val="none"/>
          <w:lang w:eastAsia="zh-CN"/>
        </w:rPr>
        <w:t>8.</w:t>
      </w:r>
      <w:r>
        <w:rPr>
          <w:rFonts w:hint="eastAsia" w:ascii="宋体" w:hAnsi="宋体" w:cs="宋体"/>
          <w:color w:val="auto"/>
          <w:kern w:val="0"/>
          <w:sz w:val="24"/>
          <w:highlight w:val="none"/>
        </w:rPr>
        <w:t>我方同意应贵方要求提供与</w:t>
      </w:r>
      <w:r>
        <w:rPr>
          <w:rFonts w:hint="eastAsia" w:ascii="宋体" w:hAnsi="宋体" w:cs="宋体"/>
          <w:color w:val="auto"/>
          <w:kern w:val="0"/>
          <w:sz w:val="24"/>
          <w:highlight w:val="none"/>
          <w:lang w:eastAsia="zh-CN"/>
        </w:rPr>
        <w:t>本次</w:t>
      </w:r>
      <w:r>
        <w:rPr>
          <w:rFonts w:hint="eastAsia" w:ascii="宋体" w:hAnsi="宋体" w:cs="宋体"/>
          <w:color w:val="auto"/>
          <w:kern w:val="0"/>
          <w:sz w:val="24"/>
          <w:highlight w:val="none"/>
        </w:rPr>
        <w:t>竞标有关的任何数据或资料。若贵方需要，我方愿意提供我方作出的一切承诺的证明材料。</w:t>
      </w:r>
    </w:p>
    <w:p w14:paraId="622CB286">
      <w:pPr>
        <w:spacing w:line="460" w:lineRule="exact"/>
        <w:ind w:firstLine="482"/>
        <w:rPr>
          <w:rFonts w:ascii="宋体" w:hAnsi="宋体" w:cs="宋体"/>
          <w:color w:val="auto"/>
          <w:kern w:val="0"/>
          <w:sz w:val="24"/>
          <w:highlight w:val="none"/>
        </w:rPr>
      </w:pPr>
      <w:r>
        <w:rPr>
          <w:rFonts w:hint="eastAsia" w:ascii="宋体" w:hAnsi="宋体" w:cs="宋体"/>
          <w:color w:val="auto"/>
          <w:kern w:val="0"/>
          <w:sz w:val="24"/>
          <w:highlight w:val="none"/>
          <w:lang w:eastAsia="zh-CN"/>
        </w:rPr>
        <w:t>9.</w:t>
      </w:r>
      <w:r>
        <w:rPr>
          <w:rFonts w:hint="eastAsia" w:ascii="宋体" w:hAnsi="宋体" w:cs="宋体"/>
          <w:color w:val="auto"/>
          <w:kern w:val="0"/>
          <w:sz w:val="24"/>
          <w:highlight w:val="none"/>
        </w:rPr>
        <w:t>我方完全理解贵方不一定接受响应报价最低的供应商为成交供应商的行为。</w:t>
      </w:r>
    </w:p>
    <w:p w14:paraId="38E1DD3B">
      <w:pPr>
        <w:spacing w:line="460" w:lineRule="exact"/>
        <w:ind w:firstLine="482"/>
        <w:rPr>
          <w:rFonts w:ascii="宋体" w:hAnsi="宋体" w:cs="宋体"/>
          <w:color w:val="auto"/>
          <w:kern w:val="0"/>
          <w:sz w:val="24"/>
          <w:highlight w:val="none"/>
        </w:rPr>
      </w:pPr>
      <w:r>
        <w:rPr>
          <w:rFonts w:hint="eastAsia" w:ascii="宋体" w:hAnsi="宋体" w:cs="宋体"/>
          <w:color w:val="auto"/>
          <w:kern w:val="0"/>
          <w:sz w:val="24"/>
          <w:highlight w:val="none"/>
          <w:lang w:eastAsia="zh-CN"/>
        </w:rPr>
        <w:t>10.</w:t>
      </w:r>
      <w:r>
        <w:rPr>
          <w:rFonts w:hint="eastAsia" w:ascii="宋体" w:hAnsi="宋体" w:cs="宋体"/>
          <w:color w:val="auto"/>
          <w:kern w:val="0"/>
          <w:sz w:val="24"/>
          <w:highlight w:val="none"/>
        </w:rPr>
        <w:t>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42A07A6">
      <w:pPr>
        <w:numPr>
          <w:ilvl w:val="0"/>
          <w:numId w:val="3"/>
        </w:numPr>
        <w:tabs>
          <w:tab w:val="left" w:pos="945"/>
        </w:tabs>
        <w:spacing w:line="460" w:lineRule="exact"/>
        <w:rPr>
          <w:rFonts w:ascii="宋体" w:hAnsi="宋体" w:cs="宋体"/>
          <w:color w:val="auto"/>
          <w:kern w:val="0"/>
          <w:sz w:val="24"/>
          <w:highlight w:val="none"/>
        </w:rPr>
      </w:pPr>
      <w:r>
        <w:rPr>
          <w:rFonts w:hint="eastAsia" w:ascii="宋体" w:hAnsi="宋体" w:cs="宋体"/>
          <w:color w:val="auto"/>
          <w:kern w:val="0"/>
          <w:sz w:val="24"/>
          <w:highlight w:val="none"/>
        </w:rPr>
        <w:t>提供虚假材料谋取中标、成交的；</w:t>
      </w:r>
    </w:p>
    <w:p w14:paraId="5EF61F46">
      <w:pPr>
        <w:numPr>
          <w:ilvl w:val="0"/>
          <w:numId w:val="3"/>
        </w:numPr>
        <w:tabs>
          <w:tab w:val="left" w:pos="945"/>
        </w:tabs>
        <w:spacing w:line="460" w:lineRule="exact"/>
        <w:rPr>
          <w:rFonts w:ascii="宋体" w:hAnsi="宋体" w:cs="宋体"/>
          <w:color w:val="auto"/>
          <w:kern w:val="0"/>
          <w:sz w:val="24"/>
          <w:highlight w:val="none"/>
        </w:rPr>
      </w:pPr>
      <w:r>
        <w:rPr>
          <w:rFonts w:hint="eastAsia" w:ascii="宋体" w:hAnsi="宋体" w:cs="宋体"/>
          <w:color w:val="auto"/>
          <w:kern w:val="0"/>
          <w:sz w:val="24"/>
          <w:highlight w:val="none"/>
        </w:rPr>
        <w:t>采取不正当手段诋毁、排挤其他供应商的；</w:t>
      </w:r>
    </w:p>
    <w:p w14:paraId="77A840E2">
      <w:pPr>
        <w:numPr>
          <w:ilvl w:val="0"/>
          <w:numId w:val="3"/>
        </w:numPr>
        <w:tabs>
          <w:tab w:val="left" w:pos="945"/>
        </w:tabs>
        <w:spacing w:line="460" w:lineRule="exact"/>
        <w:rPr>
          <w:rFonts w:ascii="宋体" w:hAnsi="宋体" w:cs="宋体"/>
          <w:color w:val="auto"/>
          <w:kern w:val="0"/>
          <w:sz w:val="24"/>
          <w:highlight w:val="none"/>
        </w:rPr>
      </w:pPr>
      <w:r>
        <w:rPr>
          <w:rFonts w:hint="eastAsia" w:ascii="宋体" w:hAnsi="宋体" w:cs="宋体"/>
          <w:color w:val="auto"/>
          <w:kern w:val="0"/>
          <w:sz w:val="24"/>
          <w:highlight w:val="none"/>
        </w:rPr>
        <w:t>与采购人、其他供应商或者采购代理机构恶意串通的；</w:t>
      </w:r>
    </w:p>
    <w:p w14:paraId="55E03F3D">
      <w:pPr>
        <w:numPr>
          <w:ilvl w:val="0"/>
          <w:numId w:val="3"/>
        </w:numPr>
        <w:tabs>
          <w:tab w:val="left" w:pos="945"/>
        </w:tabs>
        <w:spacing w:line="460" w:lineRule="exact"/>
        <w:rPr>
          <w:rFonts w:ascii="宋体" w:hAnsi="宋体" w:cs="宋体"/>
          <w:color w:val="auto"/>
          <w:kern w:val="0"/>
          <w:sz w:val="24"/>
          <w:highlight w:val="none"/>
        </w:rPr>
      </w:pPr>
      <w:r>
        <w:rPr>
          <w:rFonts w:hint="eastAsia" w:ascii="宋体" w:hAnsi="宋体" w:cs="宋体"/>
          <w:color w:val="auto"/>
          <w:kern w:val="0"/>
          <w:sz w:val="24"/>
          <w:highlight w:val="none"/>
        </w:rPr>
        <w:t>向采购人、采购代理机构行贿或者提供其他不正当利益的；</w:t>
      </w:r>
    </w:p>
    <w:p w14:paraId="5E6F2DDB">
      <w:pPr>
        <w:numPr>
          <w:ilvl w:val="0"/>
          <w:numId w:val="3"/>
        </w:numPr>
        <w:tabs>
          <w:tab w:val="left" w:pos="945"/>
        </w:tabs>
        <w:spacing w:line="460" w:lineRule="exact"/>
        <w:rPr>
          <w:rFonts w:ascii="宋体" w:hAnsi="宋体" w:cs="宋体"/>
          <w:color w:val="auto"/>
          <w:kern w:val="0"/>
          <w:sz w:val="24"/>
          <w:highlight w:val="none"/>
        </w:rPr>
      </w:pPr>
      <w:r>
        <w:rPr>
          <w:rFonts w:hint="eastAsia" w:ascii="宋体" w:hAnsi="宋体" w:cs="宋体"/>
          <w:color w:val="auto"/>
          <w:kern w:val="0"/>
          <w:sz w:val="24"/>
          <w:highlight w:val="none"/>
        </w:rPr>
        <w:t>在采购过程中与采购人进行协商磋商的；</w:t>
      </w:r>
    </w:p>
    <w:p w14:paraId="7A8CDE63">
      <w:pPr>
        <w:numPr>
          <w:ilvl w:val="0"/>
          <w:numId w:val="3"/>
        </w:numPr>
        <w:tabs>
          <w:tab w:val="left" w:pos="945"/>
        </w:tabs>
        <w:spacing w:line="460" w:lineRule="exact"/>
        <w:rPr>
          <w:rFonts w:ascii="宋体" w:hAnsi="宋体" w:cs="宋体"/>
          <w:color w:val="auto"/>
          <w:kern w:val="0"/>
          <w:sz w:val="24"/>
          <w:highlight w:val="none"/>
        </w:rPr>
      </w:pPr>
      <w:r>
        <w:rPr>
          <w:rFonts w:hint="eastAsia" w:ascii="宋体" w:hAnsi="宋体" w:cs="宋体"/>
          <w:color w:val="auto"/>
          <w:kern w:val="0"/>
          <w:sz w:val="24"/>
          <w:highlight w:val="none"/>
        </w:rPr>
        <w:t>拒绝有关部门监督检查或提供虚假情况的。</w:t>
      </w:r>
    </w:p>
    <w:p w14:paraId="1D338594">
      <w:pPr>
        <w:spacing w:line="460" w:lineRule="exact"/>
        <w:ind w:firstLine="420"/>
        <w:rPr>
          <w:rFonts w:ascii="宋体" w:hAnsi="宋体" w:cs="宋体"/>
          <w:b/>
          <w:bCs/>
          <w:color w:val="auto"/>
          <w:kern w:val="0"/>
          <w:sz w:val="24"/>
          <w:highlight w:val="none"/>
        </w:rPr>
      </w:pPr>
      <w:r>
        <w:rPr>
          <w:rFonts w:hint="eastAsia" w:ascii="宋体" w:hAnsi="宋体" w:cs="宋体"/>
          <w:b/>
          <w:bCs/>
          <w:color w:val="auto"/>
          <w:kern w:val="0"/>
          <w:sz w:val="24"/>
          <w:highlight w:val="none"/>
          <w:lang w:eastAsia="zh-CN"/>
        </w:rPr>
        <w:t>11.</w:t>
      </w:r>
      <w:r>
        <w:rPr>
          <w:rFonts w:hint="eastAsia" w:ascii="宋体" w:hAnsi="宋体" w:cs="宋体"/>
          <w:b/>
          <w:bCs/>
          <w:color w:val="auto"/>
          <w:kern w:val="0"/>
          <w:sz w:val="24"/>
          <w:highlight w:val="none"/>
        </w:rPr>
        <w:t>以上事项如有虚假或者隐瞒，我方愿意承担一切后果，并不再寻求任何旨在减轻或者免除法律责任的辩解。</w:t>
      </w:r>
    </w:p>
    <w:p w14:paraId="5C9019A9">
      <w:pPr>
        <w:spacing w:line="460" w:lineRule="exact"/>
        <w:ind w:firstLine="420"/>
        <w:rPr>
          <w:rFonts w:ascii="宋体" w:hAnsi="宋体" w:cs="宋体"/>
          <w:b/>
          <w:bCs/>
          <w:color w:val="auto"/>
          <w:kern w:val="0"/>
          <w:sz w:val="24"/>
          <w:highlight w:val="none"/>
        </w:rPr>
      </w:pPr>
      <w:r>
        <w:rPr>
          <w:rFonts w:hint="eastAsia" w:ascii="宋体" w:hAnsi="宋体" w:cs="宋体"/>
          <w:b/>
          <w:bCs/>
          <w:color w:val="auto"/>
          <w:kern w:val="0"/>
          <w:sz w:val="24"/>
          <w:highlight w:val="none"/>
          <w:lang w:eastAsia="zh-CN"/>
        </w:rPr>
        <w:t>12.</w:t>
      </w:r>
      <w:r>
        <w:rPr>
          <w:rFonts w:hint="eastAsia" w:ascii="宋体" w:hAnsi="宋体" w:cs="宋体"/>
          <w:b/>
          <w:bCs/>
          <w:color w:val="auto"/>
          <w:kern w:val="0"/>
          <w:sz w:val="24"/>
          <w:highlight w:val="none"/>
        </w:rPr>
        <w:t xml:space="preserve">与本磋商有关的一切正式往来信函请寄： </w:t>
      </w:r>
    </w:p>
    <w:p w14:paraId="6B763068">
      <w:pPr>
        <w:spacing w:line="460" w:lineRule="exact"/>
        <w:ind w:firstLine="420"/>
        <w:rPr>
          <w:rFonts w:ascii="宋体" w:hAnsi="宋体" w:cs="宋体"/>
          <w:color w:val="auto"/>
          <w:kern w:val="0"/>
          <w:sz w:val="24"/>
          <w:highlight w:val="none"/>
        </w:rPr>
      </w:pPr>
      <w:r>
        <w:rPr>
          <w:rFonts w:hint="eastAsia" w:ascii="宋体" w:hAnsi="宋体" w:cs="宋体"/>
          <w:color w:val="auto"/>
          <w:kern w:val="0"/>
          <w:sz w:val="24"/>
          <w:highlight w:val="none"/>
        </w:rPr>
        <w:t>地址：</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1B17DE80">
      <w:pPr>
        <w:spacing w:line="460" w:lineRule="exact"/>
        <w:ind w:firstLine="420"/>
        <w:rPr>
          <w:rFonts w:ascii="宋体" w:hAnsi="宋体" w:cs="宋体"/>
          <w:color w:val="auto"/>
          <w:kern w:val="0"/>
          <w:sz w:val="24"/>
          <w:highlight w:val="none"/>
          <w:u w:val="single"/>
        </w:rPr>
      </w:pPr>
      <w:r>
        <w:rPr>
          <w:rFonts w:hint="eastAsia" w:ascii="宋体" w:hAnsi="宋体" w:cs="宋体"/>
          <w:color w:val="auto"/>
          <w:kern w:val="0"/>
          <w:sz w:val="24"/>
          <w:highlight w:val="none"/>
        </w:rPr>
        <w:t>电话：</w:t>
      </w:r>
      <w:r>
        <w:rPr>
          <w:rFonts w:hint="eastAsia" w:ascii="宋体" w:hAnsi="宋体" w:cs="宋体"/>
          <w:color w:val="auto"/>
          <w:kern w:val="0"/>
          <w:sz w:val="24"/>
          <w:highlight w:val="none"/>
          <w:u w:val="single"/>
        </w:rPr>
        <w:t xml:space="preserve">                                      　　　　　　　　　</w:t>
      </w:r>
    </w:p>
    <w:p w14:paraId="5A3AF2E1">
      <w:pPr>
        <w:spacing w:line="460" w:lineRule="exact"/>
        <w:ind w:firstLine="420"/>
        <w:rPr>
          <w:rFonts w:ascii="宋体" w:hAnsi="宋体" w:cs="宋体"/>
          <w:color w:val="auto"/>
          <w:kern w:val="0"/>
          <w:sz w:val="24"/>
          <w:highlight w:val="none"/>
          <w:u w:val="single"/>
        </w:rPr>
      </w:pPr>
      <w:r>
        <w:rPr>
          <w:rFonts w:hint="eastAsia" w:ascii="宋体" w:hAnsi="宋体" w:cs="宋体"/>
          <w:color w:val="auto"/>
          <w:kern w:val="0"/>
          <w:sz w:val="24"/>
          <w:highlight w:val="none"/>
        </w:rPr>
        <w:t>传真：</w:t>
      </w:r>
      <w:r>
        <w:rPr>
          <w:rFonts w:hint="eastAsia" w:ascii="宋体" w:hAnsi="宋体" w:cs="宋体"/>
          <w:color w:val="auto"/>
          <w:kern w:val="0"/>
          <w:sz w:val="24"/>
          <w:highlight w:val="none"/>
          <w:u w:val="single"/>
        </w:rPr>
        <w:t>　　　　　　　　　　　　　　　　　　　　　　　　　　　　</w:t>
      </w:r>
    </w:p>
    <w:p w14:paraId="3A82C7E9">
      <w:pPr>
        <w:spacing w:line="460" w:lineRule="exact"/>
        <w:ind w:firstLine="420"/>
        <w:rPr>
          <w:rFonts w:ascii="宋体" w:hAnsi="宋体" w:cs="宋体"/>
          <w:color w:val="auto"/>
          <w:sz w:val="24"/>
          <w:highlight w:val="none"/>
        </w:rPr>
      </w:pPr>
      <w:r>
        <w:rPr>
          <w:rFonts w:hint="eastAsia" w:ascii="宋体" w:hAnsi="宋体" w:cs="宋体"/>
          <w:color w:val="auto"/>
          <w:kern w:val="0"/>
          <w:sz w:val="24"/>
          <w:highlight w:val="none"/>
        </w:rPr>
        <w:t>电子邮箱：</w:t>
      </w:r>
      <w:r>
        <w:rPr>
          <w:rFonts w:hint="eastAsia" w:ascii="宋体" w:hAnsi="宋体" w:cs="宋体"/>
          <w:color w:val="auto"/>
          <w:kern w:val="0"/>
          <w:sz w:val="24"/>
          <w:highlight w:val="none"/>
          <w:u w:val="single"/>
        </w:rPr>
        <w:t>　　　　　　　　　　　　　　　　　　　　　　　　　　</w:t>
      </w:r>
    </w:p>
    <w:p w14:paraId="2E9A8943">
      <w:pPr>
        <w:spacing w:line="460" w:lineRule="exact"/>
        <w:ind w:firstLine="420"/>
        <w:rPr>
          <w:rFonts w:ascii="宋体" w:hAnsi="宋体" w:cs="宋体"/>
          <w:color w:val="auto"/>
          <w:kern w:val="0"/>
          <w:sz w:val="24"/>
          <w:highlight w:val="none"/>
          <w:u w:val="single"/>
        </w:rPr>
      </w:pPr>
      <w:r>
        <w:rPr>
          <w:rFonts w:hint="eastAsia" w:ascii="宋体" w:hAnsi="宋体" w:cs="宋体"/>
          <w:color w:val="auto"/>
          <w:kern w:val="0"/>
          <w:sz w:val="24"/>
          <w:highlight w:val="none"/>
        </w:rPr>
        <w:t>邮政编码：</w:t>
      </w:r>
      <w:r>
        <w:rPr>
          <w:rFonts w:hint="eastAsia" w:ascii="宋体" w:hAnsi="宋体" w:cs="宋体"/>
          <w:color w:val="auto"/>
          <w:kern w:val="0"/>
          <w:sz w:val="24"/>
          <w:highlight w:val="none"/>
          <w:u w:val="single"/>
        </w:rPr>
        <w:t xml:space="preserve">                                                    </w:t>
      </w:r>
    </w:p>
    <w:p w14:paraId="7CCDE296">
      <w:pPr>
        <w:spacing w:line="460" w:lineRule="exact"/>
        <w:ind w:firstLine="420"/>
        <w:rPr>
          <w:rFonts w:ascii="宋体" w:hAnsi="宋体" w:cs="宋体"/>
          <w:color w:val="auto"/>
          <w:kern w:val="0"/>
          <w:sz w:val="24"/>
          <w:highlight w:val="none"/>
          <w:u w:val="single"/>
        </w:rPr>
      </w:pPr>
      <w:r>
        <w:rPr>
          <w:rFonts w:hint="eastAsia" w:ascii="宋体" w:hAnsi="宋体" w:cs="宋体"/>
          <w:color w:val="auto"/>
          <w:kern w:val="0"/>
          <w:sz w:val="24"/>
          <w:highlight w:val="none"/>
        </w:rPr>
        <w:t>开户名称：</w:t>
      </w:r>
      <w:r>
        <w:rPr>
          <w:rFonts w:hint="eastAsia" w:ascii="宋体" w:hAnsi="宋体" w:cs="宋体"/>
          <w:color w:val="auto"/>
          <w:kern w:val="0"/>
          <w:sz w:val="24"/>
          <w:highlight w:val="none"/>
          <w:u w:val="single"/>
        </w:rPr>
        <w:t xml:space="preserve">                                                    </w:t>
      </w:r>
    </w:p>
    <w:p w14:paraId="7276BC9A">
      <w:pPr>
        <w:spacing w:line="460" w:lineRule="exact"/>
        <w:ind w:firstLine="420"/>
        <w:rPr>
          <w:rFonts w:ascii="宋体" w:hAnsi="宋体" w:cs="宋体"/>
          <w:color w:val="auto"/>
          <w:kern w:val="0"/>
          <w:sz w:val="24"/>
          <w:highlight w:val="none"/>
          <w:u w:val="single"/>
        </w:rPr>
      </w:pPr>
      <w:r>
        <w:rPr>
          <w:rFonts w:hint="eastAsia" w:ascii="宋体" w:hAnsi="宋体" w:cs="宋体"/>
          <w:color w:val="auto"/>
          <w:kern w:val="0"/>
          <w:sz w:val="24"/>
          <w:highlight w:val="none"/>
        </w:rPr>
        <w:t>开户银行：</w:t>
      </w:r>
      <w:r>
        <w:rPr>
          <w:rFonts w:hint="eastAsia" w:ascii="宋体" w:hAnsi="宋体" w:cs="宋体"/>
          <w:color w:val="auto"/>
          <w:kern w:val="0"/>
          <w:sz w:val="24"/>
          <w:highlight w:val="none"/>
          <w:u w:val="single"/>
        </w:rPr>
        <w:t xml:space="preserve">                                                    </w:t>
      </w:r>
    </w:p>
    <w:p w14:paraId="136FACB4">
      <w:pPr>
        <w:spacing w:line="460" w:lineRule="exact"/>
        <w:ind w:firstLine="420"/>
        <w:rPr>
          <w:rFonts w:ascii="宋体" w:hAnsi="宋体" w:cs="宋体"/>
          <w:color w:val="auto"/>
          <w:kern w:val="0"/>
          <w:sz w:val="24"/>
          <w:highlight w:val="none"/>
          <w:u w:val="single"/>
        </w:rPr>
      </w:pPr>
      <w:r>
        <w:rPr>
          <w:rFonts w:hint="eastAsia" w:ascii="宋体" w:hAnsi="宋体" w:cs="宋体"/>
          <w:color w:val="auto"/>
          <w:kern w:val="0"/>
          <w:sz w:val="24"/>
          <w:highlight w:val="none"/>
        </w:rPr>
        <w:t>银行账号：</w:t>
      </w:r>
      <w:r>
        <w:rPr>
          <w:rFonts w:hint="eastAsia" w:ascii="宋体" w:hAnsi="宋体" w:cs="宋体"/>
          <w:color w:val="auto"/>
          <w:kern w:val="0"/>
          <w:sz w:val="24"/>
          <w:highlight w:val="none"/>
          <w:u w:val="single"/>
        </w:rPr>
        <w:t xml:space="preserve">                                                    </w:t>
      </w:r>
    </w:p>
    <w:p w14:paraId="23142643">
      <w:pPr>
        <w:pStyle w:val="17"/>
        <w:tabs>
          <w:tab w:val="left" w:pos="939"/>
        </w:tabs>
        <w:spacing w:line="460" w:lineRule="exact"/>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特此承诺。</w:t>
      </w:r>
    </w:p>
    <w:p w14:paraId="17EC501D">
      <w:pPr>
        <w:spacing w:line="360" w:lineRule="auto"/>
        <w:contextualSpacing/>
        <w:jc w:val="left"/>
        <w:rPr>
          <w:rFonts w:ascii="宋体" w:hAnsi="宋体" w:cs="宋体"/>
          <w:color w:val="auto"/>
          <w:szCs w:val="21"/>
          <w:highlight w:val="none"/>
        </w:rPr>
      </w:pPr>
    </w:p>
    <w:p w14:paraId="01104124">
      <w:pPr>
        <w:autoSpaceDE w:val="0"/>
        <w:autoSpaceDN w:val="0"/>
        <w:spacing w:line="360" w:lineRule="auto"/>
        <w:ind w:firstLine="5670" w:firstLineChars="27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供应商（盖公章）：</w:t>
      </w:r>
    </w:p>
    <w:p w14:paraId="53023E6A">
      <w:pPr>
        <w:autoSpaceDE w:val="0"/>
        <w:autoSpaceDN w:val="0"/>
        <w:spacing w:line="360" w:lineRule="auto"/>
        <w:ind w:firstLine="6480" w:firstLineChars="27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25BCC302">
      <w:pPr>
        <w:snapToGrid w:val="0"/>
        <w:spacing w:before="156" w:beforeLines="50" w:after="50" w:line="360" w:lineRule="auto"/>
        <w:ind w:firstLine="640" w:firstLineChars="200"/>
        <w:rPr>
          <w:rFonts w:hint="eastAsia" w:ascii="宋体" w:hAnsi="宋体" w:eastAsia="宋体" w:cs="宋体"/>
          <w:color w:val="auto"/>
          <w:sz w:val="32"/>
          <w:szCs w:val="32"/>
          <w:highlight w:val="none"/>
        </w:rPr>
      </w:pPr>
    </w:p>
    <w:p w14:paraId="5AA42D61">
      <w:pPr>
        <w:spacing w:line="400" w:lineRule="exact"/>
        <w:rPr>
          <w:rFonts w:hint="eastAsia" w:ascii="宋体" w:hAnsi="宋体" w:eastAsia="宋体" w:cs="宋体"/>
          <w:color w:val="auto"/>
          <w:sz w:val="32"/>
          <w:szCs w:val="32"/>
          <w:highlight w:val="none"/>
        </w:rPr>
      </w:pPr>
    </w:p>
    <w:p w14:paraId="091589F3">
      <w:pPr>
        <w:spacing w:line="520" w:lineRule="exact"/>
        <w:jc w:val="center"/>
        <w:rPr>
          <w:rFonts w:hint="eastAsia" w:ascii="宋体" w:hAnsi="宋体" w:eastAsia="宋体" w:cs="宋体"/>
          <w:bCs/>
          <w:color w:val="auto"/>
          <w:sz w:val="32"/>
          <w:szCs w:val="32"/>
          <w:highlight w:val="none"/>
        </w:rPr>
      </w:pPr>
      <w:r>
        <w:rPr>
          <w:rFonts w:hint="eastAsia" w:ascii="宋体" w:hAnsi="宋体" w:eastAsia="宋体" w:cs="宋体"/>
          <w:color w:val="auto"/>
          <w:sz w:val="44"/>
          <w:szCs w:val="44"/>
          <w:highlight w:val="none"/>
        </w:rPr>
        <w:br w:type="page"/>
      </w:r>
      <w:r>
        <w:rPr>
          <w:rFonts w:hint="eastAsia" w:ascii="宋体" w:hAnsi="宋体" w:eastAsia="宋体" w:cs="宋体"/>
          <w:bCs/>
          <w:color w:val="auto"/>
          <w:sz w:val="44"/>
          <w:szCs w:val="44"/>
          <w:highlight w:val="none"/>
        </w:rPr>
        <w:t>竞  标  报  价  表</w:t>
      </w:r>
    </w:p>
    <w:p w14:paraId="471030BE">
      <w:pPr>
        <w:spacing w:line="440" w:lineRule="exact"/>
        <w:jc w:val="center"/>
        <w:rPr>
          <w:rFonts w:hint="eastAsia" w:ascii="宋体" w:hAnsi="宋体" w:eastAsia="宋体" w:cs="宋体"/>
          <w:bCs/>
          <w:color w:val="auto"/>
          <w:sz w:val="32"/>
          <w:szCs w:val="32"/>
          <w:highlight w:val="none"/>
        </w:rPr>
      </w:pPr>
    </w:p>
    <w:p w14:paraId="2400BED7">
      <w:pPr>
        <w:spacing w:line="360" w:lineRule="auto"/>
        <w:contextualSpacing/>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u w:val="single"/>
        </w:rPr>
        <w:t xml:space="preserve">                </w:t>
      </w:r>
    </w:p>
    <w:p w14:paraId="48F4FEB5">
      <w:pPr>
        <w:spacing w:line="360" w:lineRule="auto"/>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4B6B3CEA">
      <w:pPr>
        <w:spacing w:line="360" w:lineRule="auto"/>
        <w:contextualSpacing/>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分标：（没有，则填“无”或“/”）</w:t>
      </w:r>
    </w:p>
    <w:p w14:paraId="64F5AFA4">
      <w:pPr>
        <w:spacing w:line="360" w:lineRule="auto"/>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745F8AB5">
      <w:pPr>
        <w:spacing w:line="360" w:lineRule="auto"/>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w:t>
      </w:r>
      <w:r>
        <w:rPr>
          <w:rFonts w:hint="eastAsia" w:ascii="宋体" w:hAnsi="宋体" w:cs="宋体"/>
          <w:color w:val="auto"/>
          <w:szCs w:val="21"/>
          <w:highlight w:val="none"/>
          <w:lang w:val="en-US" w:eastAsia="zh-CN"/>
        </w:rPr>
        <w:t>单</w:t>
      </w:r>
      <w:r>
        <w:rPr>
          <w:rFonts w:hint="eastAsia" w:ascii="宋体" w:hAnsi="宋体" w:eastAsia="宋体" w:cs="宋体"/>
          <w:bCs/>
          <w:color w:val="auto"/>
          <w:sz w:val="24"/>
          <w:szCs w:val="24"/>
          <w:highlight w:val="none"/>
        </w:rPr>
        <w:t>位：元</w:t>
      </w:r>
    </w:p>
    <w:tbl>
      <w:tblPr>
        <w:tblStyle w:val="31"/>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2614"/>
        <w:gridCol w:w="746"/>
        <w:gridCol w:w="868"/>
        <w:gridCol w:w="2190"/>
        <w:gridCol w:w="1992"/>
      </w:tblGrid>
      <w:tr w14:paraId="7E669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685" w:type="dxa"/>
            <w:tcBorders>
              <w:top w:val="single" w:color="auto" w:sz="4" w:space="0"/>
              <w:left w:val="single" w:color="auto" w:sz="4" w:space="0"/>
              <w:bottom w:val="single" w:color="auto" w:sz="4" w:space="0"/>
              <w:right w:val="single" w:color="auto" w:sz="4" w:space="0"/>
            </w:tcBorders>
            <w:noWrap w:val="0"/>
            <w:vAlign w:val="center"/>
          </w:tcPr>
          <w:p w14:paraId="2AC4B1C6">
            <w:pPr>
              <w:spacing w:line="360" w:lineRule="auto"/>
              <w:contextualSpacing/>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614" w:type="dxa"/>
            <w:tcBorders>
              <w:top w:val="single" w:color="auto" w:sz="4" w:space="0"/>
              <w:left w:val="single" w:color="auto" w:sz="4" w:space="0"/>
              <w:bottom w:val="single" w:color="auto" w:sz="4" w:space="0"/>
              <w:right w:val="single" w:color="auto" w:sz="4" w:space="0"/>
            </w:tcBorders>
            <w:noWrap w:val="0"/>
            <w:vAlign w:val="center"/>
          </w:tcPr>
          <w:p w14:paraId="6C915483">
            <w:pPr>
              <w:spacing w:line="360" w:lineRule="auto"/>
              <w:contextualSpacing/>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标的名称</w:t>
            </w:r>
          </w:p>
        </w:tc>
        <w:tc>
          <w:tcPr>
            <w:tcW w:w="746" w:type="dxa"/>
            <w:tcBorders>
              <w:top w:val="single" w:color="auto" w:sz="4" w:space="0"/>
              <w:left w:val="single" w:color="auto" w:sz="4" w:space="0"/>
              <w:bottom w:val="single" w:color="auto" w:sz="4" w:space="0"/>
              <w:right w:val="single" w:color="auto" w:sz="4" w:space="0"/>
            </w:tcBorders>
            <w:noWrap w:val="0"/>
            <w:vAlign w:val="center"/>
          </w:tcPr>
          <w:p w14:paraId="5BD7ADAE">
            <w:pPr>
              <w:spacing w:line="360" w:lineRule="auto"/>
              <w:contextualSpacing/>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868" w:type="dxa"/>
            <w:tcBorders>
              <w:top w:val="single" w:color="auto" w:sz="4" w:space="0"/>
              <w:left w:val="single" w:color="auto" w:sz="4" w:space="0"/>
              <w:bottom w:val="single" w:color="auto" w:sz="4" w:space="0"/>
              <w:right w:val="single" w:color="auto" w:sz="4" w:space="0"/>
            </w:tcBorders>
            <w:noWrap w:val="0"/>
            <w:vAlign w:val="center"/>
          </w:tcPr>
          <w:p w14:paraId="40D0F511">
            <w:pPr>
              <w:spacing w:line="360" w:lineRule="auto"/>
              <w:contextualSpacing/>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2190" w:type="dxa"/>
            <w:tcBorders>
              <w:top w:val="single" w:color="auto" w:sz="4" w:space="0"/>
              <w:left w:val="single" w:color="auto" w:sz="4" w:space="0"/>
              <w:bottom w:val="single" w:color="auto" w:sz="4" w:space="0"/>
              <w:right w:val="single" w:color="auto" w:sz="4" w:space="0"/>
            </w:tcBorders>
            <w:noWrap w:val="0"/>
            <w:vAlign w:val="center"/>
          </w:tcPr>
          <w:p w14:paraId="7531F56A">
            <w:pPr>
              <w:spacing w:line="360" w:lineRule="auto"/>
              <w:contextualSpacing/>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总报价</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元</w:t>
            </w:r>
            <w:r>
              <w:rPr>
                <w:rFonts w:hint="eastAsia" w:ascii="宋体" w:hAnsi="宋体" w:cs="宋体"/>
                <w:color w:val="auto"/>
                <w:szCs w:val="21"/>
                <w:highlight w:val="none"/>
                <w:lang w:eastAsia="zh-CN"/>
              </w:rPr>
              <w:t>）</w:t>
            </w:r>
          </w:p>
        </w:tc>
        <w:tc>
          <w:tcPr>
            <w:tcW w:w="1992" w:type="dxa"/>
            <w:tcBorders>
              <w:top w:val="single" w:color="auto" w:sz="4" w:space="0"/>
              <w:left w:val="single" w:color="auto" w:sz="4" w:space="0"/>
              <w:bottom w:val="single" w:color="auto" w:sz="4" w:space="0"/>
              <w:right w:val="single" w:color="auto" w:sz="4" w:space="0"/>
            </w:tcBorders>
            <w:noWrap w:val="0"/>
            <w:vAlign w:val="center"/>
          </w:tcPr>
          <w:p w14:paraId="777BDB9B">
            <w:pPr>
              <w:spacing w:line="360" w:lineRule="auto"/>
              <w:contextualSpacing/>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5E338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685" w:type="dxa"/>
            <w:tcBorders>
              <w:top w:val="single" w:color="auto" w:sz="4" w:space="0"/>
              <w:left w:val="single" w:color="auto" w:sz="4" w:space="0"/>
              <w:bottom w:val="single" w:color="auto" w:sz="4" w:space="0"/>
              <w:right w:val="single" w:color="auto" w:sz="4" w:space="0"/>
            </w:tcBorders>
            <w:noWrap w:val="0"/>
            <w:vAlign w:val="center"/>
          </w:tcPr>
          <w:p w14:paraId="13DFC8B1">
            <w:pPr>
              <w:spacing w:line="360" w:lineRule="auto"/>
              <w:contextualSpacing/>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614" w:type="dxa"/>
            <w:tcBorders>
              <w:top w:val="single" w:color="auto" w:sz="4" w:space="0"/>
              <w:left w:val="single" w:color="auto" w:sz="4" w:space="0"/>
              <w:bottom w:val="single" w:color="auto" w:sz="4" w:space="0"/>
              <w:right w:val="single" w:color="auto" w:sz="4" w:space="0"/>
            </w:tcBorders>
            <w:noWrap w:val="0"/>
            <w:vAlign w:val="center"/>
          </w:tcPr>
          <w:p w14:paraId="68C32D8D">
            <w:pPr>
              <w:spacing w:line="360" w:lineRule="auto"/>
              <w:contextualSpacing/>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营养健康食堂建设提升项目</w:t>
            </w:r>
          </w:p>
        </w:tc>
        <w:tc>
          <w:tcPr>
            <w:tcW w:w="746" w:type="dxa"/>
            <w:tcBorders>
              <w:top w:val="single" w:color="auto" w:sz="4" w:space="0"/>
              <w:left w:val="single" w:color="auto" w:sz="4" w:space="0"/>
              <w:bottom w:val="single" w:color="auto" w:sz="4" w:space="0"/>
              <w:right w:val="single" w:color="auto" w:sz="4" w:space="0"/>
            </w:tcBorders>
            <w:noWrap w:val="0"/>
            <w:vAlign w:val="center"/>
          </w:tcPr>
          <w:p w14:paraId="597443F9">
            <w:pPr>
              <w:spacing w:line="360" w:lineRule="auto"/>
              <w:contextualSpacing/>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w:t>
            </w:r>
          </w:p>
        </w:tc>
        <w:tc>
          <w:tcPr>
            <w:tcW w:w="868" w:type="dxa"/>
            <w:tcBorders>
              <w:top w:val="single" w:color="auto" w:sz="4" w:space="0"/>
              <w:left w:val="single" w:color="auto" w:sz="4" w:space="0"/>
              <w:bottom w:val="single" w:color="auto" w:sz="4" w:space="0"/>
              <w:right w:val="single" w:color="auto" w:sz="4" w:space="0"/>
            </w:tcBorders>
            <w:noWrap w:val="0"/>
            <w:vAlign w:val="center"/>
          </w:tcPr>
          <w:p w14:paraId="6F18F364">
            <w:pPr>
              <w:spacing w:line="360" w:lineRule="auto"/>
              <w:contextualSpacing/>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项</w:t>
            </w:r>
          </w:p>
        </w:tc>
        <w:tc>
          <w:tcPr>
            <w:tcW w:w="2190" w:type="dxa"/>
            <w:tcBorders>
              <w:top w:val="single" w:color="auto" w:sz="4" w:space="0"/>
              <w:left w:val="single" w:color="auto" w:sz="4" w:space="0"/>
              <w:bottom w:val="single" w:color="auto" w:sz="4" w:space="0"/>
              <w:right w:val="single" w:color="auto" w:sz="4" w:space="0"/>
            </w:tcBorders>
            <w:noWrap w:val="0"/>
            <w:vAlign w:val="center"/>
          </w:tcPr>
          <w:p w14:paraId="7FCDDDEC">
            <w:pPr>
              <w:spacing w:line="360" w:lineRule="auto"/>
              <w:ind w:firstLine="630" w:firstLineChars="300"/>
              <w:contextualSpacing/>
              <w:jc w:val="both"/>
              <w:rPr>
                <w:rFonts w:hint="eastAsia" w:ascii="宋体" w:hAnsi="宋体" w:eastAsia="宋体" w:cs="宋体"/>
                <w:color w:val="auto"/>
                <w:szCs w:val="21"/>
                <w:highlight w:val="none"/>
                <w:lang w:val="en-US" w:eastAsia="zh-CN"/>
              </w:rPr>
            </w:pPr>
          </w:p>
        </w:tc>
        <w:tc>
          <w:tcPr>
            <w:tcW w:w="1992" w:type="dxa"/>
            <w:tcBorders>
              <w:top w:val="single" w:color="auto" w:sz="4" w:space="0"/>
              <w:left w:val="single" w:color="auto" w:sz="4" w:space="0"/>
              <w:bottom w:val="single" w:color="auto" w:sz="4" w:space="0"/>
              <w:right w:val="single" w:color="auto" w:sz="4" w:space="0"/>
            </w:tcBorders>
            <w:noWrap w:val="0"/>
            <w:vAlign w:val="top"/>
          </w:tcPr>
          <w:p w14:paraId="0EBC30FE">
            <w:pPr>
              <w:spacing w:line="360" w:lineRule="auto"/>
              <w:contextualSpacing/>
              <w:rPr>
                <w:rFonts w:hint="eastAsia" w:ascii="宋体" w:hAnsi="宋体" w:eastAsia="宋体" w:cs="宋体"/>
                <w:color w:val="auto"/>
                <w:szCs w:val="21"/>
                <w:highlight w:val="none"/>
              </w:rPr>
            </w:pPr>
          </w:p>
        </w:tc>
      </w:tr>
      <w:tr w14:paraId="354B7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6"/>
            <w:tcBorders>
              <w:top w:val="single" w:color="auto" w:sz="4" w:space="0"/>
              <w:left w:val="single" w:color="auto" w:sz="4" w:space="0"/>
              <w:bottom w:val="single" w:color="auto" w:sz="4" w:space="0"/>
              <w:right w:val="single" w:color="auto" w:sz="4" w:space="0"/>
            </w:tcBorders>
            <w:noWrap w:val="0"/>
            <w:vAlign w:val="center"/>
          </w:tcPr>
          <w:p w14:paraId="1366962C">
            <w:pPr>
              <w:spacing w:line="360" w:lineRule="auto"/>
              <w:contextualSpacing/>
              <w:rPr>
                <w:rFonts w:hint="eastAsia" w:ascii="宋体" w:hAnsi="宋体" w:eastAsia="宋体" w:cs="宋体"/>
                <w:color w:val="auto"/>
                <w:szCs w:val="21"/>
                <w:highlight w:val="none"/>
              </w:rPr>
            </w:pPr>
            <w:r>
              <w:rPr>
                <w:rFonts w:hint="eastAsia" w:ascii="宋体" w:hAnsi="宋体" w:cs="宋体"/>
                <w:color w:val="auto"/>
                <w:kern w:val="0"/>
                <w:sz w:val="24"/>
                <w:highlight w:val="none"/>
              </w:rPr>
              <w:t>总报价</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（大写）人民币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（小写）¥        </w:t>
            </w:r>
          </w:p>
        </w:tc>
      </w:tr>
      <w:tr w14:paraId="75BD7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6"/>
            <w:tcBorders>
              <w:top w:val="single" w:color="auto" w:sz="4" w:space="0"/>
              <w:left w:val="single" w:color="auto" w:sz="4" w:space="0"/>
              <w:bottom w:val="single" w:color="auto" w:sz="4" w:space="0"/>
              <w:right w:val="single" w:color="auto" w:sz="4" w:space="0"/>
            </w:tcBorders>
            <w:noWrap w:val="0"/>
            <w:vAlign w:val="center"/>
          </w:tcPr>
          <w:p w14:paraId="54C0360C">
            <w:pPr>
              <w:pStyle w:val="28"/>
              <w:numPr>
                <w:ilvl w:val="0"/>
                <w:numId w:val="0"/>
              </w:numPr>
              <w:ind w:left="0" w:leftChars="0" w:firstLine="0" w:firstLineChars="0"/>
              <w:rPr>
                <w:rFonts w:hint="default"/>
                <w:color w:val="auto"/>
                <w:highlight w:val="none"/>
                <w:lang w:val="en-US" w:eastAsia="zh-CN"/>
              </w:rPr>
            </w:pPr>
            <w:r>
              <w:rPr>
                <w:rFonts w:hint="eastAsia" w:ascii="宋体" w:hAnsi="宋体" w:cs="宋体"/>
                <w:b/>
                <w:bCs/>
                <w:color w:val="auto"/>
                <w:szCs w:val="21"/>
                <w:highlight w:val="none"/>
                <w:lang w:val="en-US" w:eastAsia="zh-CN"/>
              </w:rPr>
              <w:t>备注：</w:t>
            </w:r>
          </w:p>
        </w:tc>
      </w:tr>
    </w:tbl>
    <w:p w14:paraId="51EC9C11">
      <w:pPr>
        <w:spacing w:line="360" w:lineRule="auto"/>
        <w:contextualSpacing/>
        <w:jc w:val="left"/>
        <w:rPr>
          <w:rFonts w:hint="eastAsia" w:ascii="宋体" w:hAnsi="宋体" w:eastAsia="宋体" w:cs="宋体"/>
          <w:color w:val="auto"/>
          <w:szCs w:val="21"/>
          <w:highlight w:val="none"/>
        </w:rPr>
      </w:pPr>
    </w:p>
    <w:p w14:paraId="1FC38FAC">
      <w:pPr>
        <w:spacing w:line="360" w:lineRule="auto"/>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w:t>
      </w:r>
    </w:p>
    <w:p w14:paraId="61E3DEA1">
      <w:pPr>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1.供应商的报价表必须加盖供应商公章并由法定代表人或者委托代理人签字或者电子签名，</w:t>
      </w:r>
      <w:r>
        <w:rPr>
          <w:rFonts w:hint="eastAsia" w:ascii="宋体" w:hAnsi="宋体" w:eastAsia="宋体" w:cs="宋体"/>
          <w:b/>
          <w:color w:val="auto"/>
          <w:szCs w:val="21"/>
          <w:highlight w:val="none"/>
        </w:rPr>
        <w:t>否则其响应文件按无效响应处理</w:t>
      </w:r>
      <w:r>
        <w:rPr>
          <w:rFonts w:hint="eastAsia" w:ascii="宋体" w:hAnsi="宋体" w:eastAsia="宋体" w:cs="宋体"/>
          <w:color w:val="auto"/>
          <w:szCs w:val="21"/>
          <w:highlight w:val="none"/>
        </w:rPr>
        <w:t>。</w:t>
      </w:r>
    </w:p>
    <w:p w14:paraId="5C392185">
      <w:pPr>
        <w:spacing w:line="360" w:lineRule="auto"/>
        <w:ind w:firstLine="420" w:firstLineChars="200"/>
        <w:contextualSpacing/>
        <w:jc w:val="left"/>
        <w:rPr>
          <w:rFonts w:hint="eastAsia" w:ascii="宋体" w:hAnsi="宋体" w:eastAsia="宋体" w:cs="宋体"/>
          <w:b/>
          <w:color w:val="auto"/>
          <w:szCs w:val="21"/>
          <w:highlight w:val="none"/>
        </w:rPr>
      </w:pPr>
      <w:r>
        <w:rPr>
          <w:rFonts w:hint="eastAsia" w:ascii="宋体" w:hAnsi="宋体" w:eastAsia="宋体" w:cs="宋体"/>
          <w:bCs/>
          <w:color w:val="auto"/>
          <w:szCs w:val="21"/>
          <w:highlight w:val="none"/>
        </w:rPr>
        <w:t>2.</w:t>
      </w:r>
      <w:r>
        <w:rPr>
          <w:rFonts w:hint="eastAsia" w:ascii="宋体" w:hAnsi="宋体" w:eastAsia="宋体" w:cs="宋体"/>
          <w:color w:val="auto"/>
          <w:szCs w:val="21"/>
          <w:highlight w:val="none"/>
        </w:rPr>
        <w:t>报价一经涂改，应在涂改处加盖供应商公章或者由法定代表人或者委托代理人签字或者电子签名</w:t>
      </w:r>
      <w:r>
        <w:rPr>
          <w:rFonts w:hint="eastAsia" w:ascii="宋体" w:hAnsi="宋体" w:eastAsia="宋体" w:cs="宋体"/>
          <w:b/>
          <w:color w:val="auto"/>
          <w:szCs w:val="21"/>
          <w:highlight w:val="none"/>
        </w:rPr>
        <w:t>，否则其响应文件按无效响应处理。</w:t>
      </w:r>
    </w:p>
    <w:p w14:paraId="6E8E985D">
      <w:pPr>
        <w:spacing w:line="360" w:lineRule="auto"/>
        <w:ind w:right="-817" w:rightChars="-389"/>
        <w:contextualSpacing/>
        <w:rPr>
          <w:rFonts w:hint="eastAsia" w:ascii="宋体" w:hAnsi="宋体" w:eastAsia="宋体" w:cs="宋体"/>
          <w:color w:val="auto"/>
          <w:szCs w:val="21"/>
          <w:highlight w:val="none"/>
        </w:rPr>
      </w:pPr>
    </w:p>
    <w:p w14:paraId="0A7EDBC1">
      <w:pPr>
        <w:spacing w:line="360" w:lineRule="auto"/>
        <w:ind w:right="-817" w:rightChars="-389" w:firstLine="2310" w:firstLineChars="11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法定代表人或者委托代理人（签字或者电子签名）：                    </w:t>
      </w:r>
    </w:p>
    <w:p w14:paraId="60B4B289">
      <w:pPr>
        <w:spacing w:line="360" w:lineRule="auto"/>
        <w:ind w:right="-817" w:rightChars="-389" w:firstLine="2310" w:firstLineChars="11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供应商（盖公章）：      </w:t>
      </w:r>
    </w:p>
    <w:p w14:paraId="40387970">
      <w:pPr>
        <w:spacing w:line="360" w:lineRule="auto"/>
        <w:ind w:right="-817" w:rightChars="-389" w:firstLine="3570" w:firstLineChars="1700"/>
        <w:contextualSpacing/>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日期：   年   月   日</w:t>
      </w:r>
    </w:p>
    <w:p w14:paraId="3801B21F">
      <w:pPr>
        <w:jc w:val="center"/>
        <w:outlineLvl w:val="0"/>
        <w:rPr>
          <w:rFonts w:hint="eastAsia" w:ascii="Times New Roman" w:hAnsi="Times New Roman" w:eastAsia="宋体" w:cs="Times New Roman"/>
          <w:b/>
          <w:bCs/>
          <w:color w:val="auto"/>
          <w:kern w:val="44"/>
          <w:sz w:val="44"/>
          <w:szCs w:val="44"/>
          <w:highlight w:val="none"/>
          <w:lang w:val="en-US" w:eastAsia="zh-CN" w:bidi="ar-SA"/>
        </w:rPr>
      </w:pPr>
      <w:r>
        <w:rPr>
          <w:rFonts w:hint="eastAsia" w:ascii="宋体" w:hAnsi="宋体" w:eastAsia="宋体" w:cs="宋体"/>
          <w:b/>
          <w:color w:val="auto"/>
          <w:sz w:val="32"/>
          <w:szCs w:val="32"/>
          <w:highlight w:val="none"/>
        </w:rPr>
        <w:br w:type="page"/>
      </w:r>
      <w:bookmarkStart w:id="41" w:name="_Toc170496365"/>
      <w:r>
        <w:rPr>
          <w:rFonts w:hint="eastAsia" w:ascii="Times New Roman" w:hAnsi="Times New Roman" w:eastAsia="宋体" w:cs="Times New Roman"/>
          <w:b/>
          <w:bCs/>
          <w:color w:val="auto"/>
          <w:kern w:val="44"/>
          <w:sz w:val="44"/>
          <w:szCs w:val="44"/>
          <w:highlight w:val="none"/>
          <w:lang w:val="en-US" w:eastAsia="zh-CN" w:bidi="ar-SA"/>
        </w:rPr>
        <w:t>第六章 合同文本</w:t>
      </w:r>
      <w:bookmarkEnd w:id="41"/>
    </w:p>
    <w:p w14:paraId="701B925D">
      <w:pPr>
        <w:snapToGrid w:val="0"/>
        <w:spacing w:line="400" w:lineRule="exact"/>
        <w:jc w:val="left"/>
        <w:rPr>
          <w:rFonts w:hint="eastAsia" w:ascii="宋体" w:hAnsi="宋体" w:eastAsia="宋体" w:cs="宋体"/>
          <w:color w:val="auto"/>
          <w:sz w:val="28"/>
          <w:szCs w:val="28"/>
          <w:highlight w:val="none"/>
        </w:rPr>
      </w:pPr>
    </w:p>
    <w:p w14:paraId="174A9849">
      <w:pPr>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8"/>
          <w:szCs w:val="28"/>
          <w:highlight w:val="none"/>
        </w:rPr>
        <w:t>“广西政府政采云平台”合同编号：</w:t>
      </w:r>
    </w:p>
    <w:p w14:paraId="53989BD1">
      <w:pPr>
        <w:tabs>
          <w:tab w:val="left" w:pos="2520"/>
        </w:tabs>
        <w:spacing w:line="840" w:lineRule="exact"/>
        <w:ind w:firstLine="420"/>
        <w:jc w:val="center"/>
        <w:rPr>
          <w:rFonts w:hint="eastAsia" w:ascii="宋体" w:hAnsi="宋体" w:cs="宋体"/>
          <w:b/>
          <w:bCs/>
          <w:color w:val="auto"/>
          <w:sz w:val="72"/>
          <w:szCs w:val="20"/>
          <w:highlight w:val="none"/>
        </w:rPr>
      </w:pPr>
    </w:p>
    <w:p w14:paraId="6DA409AD">
      <w:pPr>
        <w:tabs>
          <w:tab w:val="left" w:pos="2520"/>
        </w:tabs>
        <w:spacing w:line="840" w:lineRule="exact"/>
        <w:ind w:firstLine="420"/>
        <w:jc w:val="center"/>
        <w:rPr>
          <w:rFonts w:ascii="宋体" w:hAnsi="宋体" w:cs="宋体"/>
          <w:b/>
          <w:bCs/>
          <w:color w:val="auto"/>
          <w:sz w:val="72"/>
          <w:szCs w:val="20"/>
          <w:highlight w:val="none"/>
        </w:rPr>
      </w:pPr>
      <w:r>
        <w:rPr>
          <w:rFonts w:hint="eastAsia" w:ascii="宋体" w:hAnsi="宋体" w:cs="宋体"/>
          <w:b/>
          <w:bCs/>
          <w:color w:val="auto"/>
          <w:sz w:val="72"/>
          <w:szCs w:val="20"/>
          <w:highlight w:val="none"/>
        </w:rPr>
        <w:t>采购合同书</w:t>
      </w:r>
    </w:p>
    <w:p w14:paraId="4BE5F501">
      <w:pPr>
        <w:tabs>
          <w:tab w:val="left" w:pos="2835"/>
        </w:tabs>
        <w:spacing w:line="400" w:lineRule="exact"/>
        <w:rPr>
          <w:rFonts w:ascii="宋体" w:hAnsi="宋体" w:cs="宋体"/>
          <w:color w:val="auto"/>
          <w:szCs w:val="20"/>
          <w:highlight w:val="none"/>
        </w:rPr>
      </w:pPr>
    </w:p>
    <w:p w14:paraId="693DF7EC">
      <w:pPr>
        <w:tabs>
          <w:tab w:val="left" w:pos="2835"/>
        </w:tabs>
        <w:spacing w:line="400" w:lineRule="exact"/>
        <w:rPr>
          <w:rFonts w:ascii="宋体" w:hAnsi="宋体" w:cs="宋体"/>
          <w:color w:val="auto"/>
          <w:szCs w:val="20"/>
          <w:highlight w:val="none"/>
        </w:rPr>
      </w:pPr>
    </w:p>
    <w:p w14:paraId="6D8AAA7D">
      <w:pPr>
        <w:tabs>
          <w:tab w:val="left" w:pos="2835"/>
        </w:tabs>
        <w:spacing w:line="400" w:lineRule="exact"/>
        <w:rPr>
          <w:rFonts w:ascii="宋体" w:hAnsi="宋体" w:cs="宋体"/>
          <w:color w:val="auto"/>
          <w:szCs w:val="20"/>
          <w:highlight w:val="none"/>
        </w:rPr>
      </w:pPr>
    </w:p>
    <w:p w14:paraId="1DE5C44D">
      <w:pPr>
        <w:tabs>
          <w:tab w:val="left" w:pos="2835"/>
        </w:tabs>
        <w:spacing w:line="400" w:lineRule="exact"/>
        <w:rPr>
          <w:rFonts w:ascii="宋体" w:hAnsi="宋体" w:cs="宋体"/>
          <w:color w:val="auto"/>
          <w:szCs w:val="20"/>
          <w:highlight w:val="none"/>
        </w:rPr>
      </w:pPr>
    </w:p>
    <w:p w14:paraId="1A6DEFF5">
      <w:pPr>
        <w:tabs>
          <w:tab w:val="left" w:pos="2835"/>
          <w:tab w:val="left" w:pos="3240"/>
        </w:tabs>
        <w:spacing w:line="360" w:lineRule="auto"/>
        <w:jc w:val="center"/>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rPr>
        <w:t>项目名称：</w:t>
      </w:r>
      <w:r>
        <w:rPr>
          <w:rFonts w:hint="eastAsia" w:ascii="宋体" w:hAnsi="宋体" w:cs="宋体"/>
          <w:b/>
          <w:color w:val="auto"/>
          <w:sz w:val="30"/>
          <w:szCs w:val="30"/>
          <w:highlight w:val="none"/>
          <w:lang w:eastAsia="zh-CN"/>
        </w:rPr>
        <w:t>营养健康食堂建设提升项目</w:t>
      </w:r>
    </w:p>
    <w:p w14:paraId="140856F6">
      <w:pPr>
        <w:tabs>
          <w:tab w:val="left" w:pos="2835"/>
        </w:tabs>
        <w:spacing w:line="360" w:lineRule="auto"/>
        <w:jc w:val="center"/>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rPr>
        <w:t>项目编号：</w:t>
      </w:r>
      <w:r>
        <w:rPr>
          <w:rFonts w:hint="eastAsia" w:ascii="宋体" w:hAnsi="宋体" w:cs="宋体"/>
          <w:b/>
          <w:color w:val="auto"/>
          <w:kern w:val="2"/>
          <w:sz w:val="32"/>
          <w:szCs w:val="32"/>
          <w:highlight w:val="none"/>
          <w:lang w:eastAsia="zh-CN"/>
        </w:rPr>
        <w:t>GXZC2026-C3-001565-GXZX</w:t>
      </w:r>
    </w:p>
    <w:p w14:paraId="070A0A76">
      <w:pPr>
        <w:tabs>
          <w:tab w:val="left" w:pos="2835"/>
        </w:tabs>
        <w:spacing w:line="360" w:lineRule="auto"/>
        <w:rPr>
          <w:rFonts w:ascii="宋体" w:hAnsi="宋体" w:cs="宋体"/>
          <w:b/>
          <w:color w:val="auto"/>
          <w:sz w:val="30"/>
          <w:szCs w:val="30"/>
          <w:highlight w:val="none"/>
        </w:rPr>
      </w:pPr>
    </w:p>
    <w:p w14:paraId="6A0EA555">
      <w:pPr>
        <w:tabs>
          <w:tab w:val="left" w:pos="2835"/>
        </w:tabs>
        <w:spacing w:line="360" w:lineRule="auto"/>
        <w:rPr>
          <w:rFonts w:ascii="宋体" w:hAnsi="宋体" w:cs="宋体"/>
          <w:b/>
          <w:color w:val="auto"/>
          <w:sz w:val="30"/>
          <w:szCs w:val="30"/>
          <w:highlight w:val="none"/>
        </w:rPr>
      </w:pPr>
    </w:p>
    <w:p w14:paraId="4CEB4111">
      <w:pPr>
        <w:tabs>
          <w:tab w:val="left" w:pos="2835"/>
        </w:tabs>
        <w:spacing w:line="360" w:lineRule="auto"/>
        <w:rPr>
          <w:rFonts w:ascii="宋体" w:hAnsi="宋体" w:cs="宋体"/>
          <w:b/>
          <w:color w:val="auto"/>
          <w:sz w:val="30"/>
          <w:szCs w:val="30"/>
          <w:highlight w:val="none"/>
        </w:rPr>
      </w:pPr>
    </w:p>
    <w:p w14:paraId="7DA6AC3F">
      <w:pPr>
        <w:tabs>
          <w:tab w:val="left" w:pos="2835"/>
        </w:tabs>
        <w:spacing w:line="360" w:lineRule="auto"/>
        <w:rPr>
          <w:rFonts w:ascii="宋体" w:hAnsi="宋体" w:cs="宋体"/>
          <w:b/>
          <w:color w:val="auto"/>
          <w:sz w:val="30"/>
          <w:szCs w:val="30"/>
          <w:highlight w:val="none"/>
        </w:rPr>
      </w:pPr>
    </w:p>
    <w:p w14:paraId="2B37F7D8">
      <w:pPr>
        <w:spacing w:line="600" w:lineRule="exact"/>
        <w:ind w:firstLine="1205" w:firstLineChars="400"/>
        <w:rPr>
          <w:rFonts w:hint="eastAsia" w:ascii="宋体" w:hAnsi="宋体" w:eastAsia="宋体"/>
          <w:b/>
          <w:color w:val="auto"/>
          <w:sz w:val="32"/>
          <w:szCs w:val="32"/>
          <w:highlight w:val="none"/>
          <w:lang w:eastAsia="zh-CN"/>
        </w:rPr>
      </w:pPr>
      <w:r>
        <w:rPr>
          <w:rFonts w:hint="eastAsia" w:ascii="宋体" w:hAnsi="宋体" w:cs="宋体"/>
          <w:b/>
          <w:color w:val="auto"/>
          <w:sz w:val="30"/>
          <w:szCs w:val="30"/>
          <w:highlight w:val="none"/>
        </w:rPr>
        <w:t>采购人</w:t>
      </w:r>
      <w:r>
        <w:rPr>
          <w:rFonts w:hint="eastAsia" w:ascii="宋体" w:hAnsi="宋体" w:cs="宋体"/>
          <w:b/>
          <w:color w:val="auto"/>
          <w:sz w:val="30"/>
          <w:szCs w:val="30"/>
          <w:highlight w:val="none"/>
          <w:lang w:eastAsia="zh-CN"/>
        </w:rPr>
        <w:t>（</w:t>
      </w:r>
      <w:r>
        <w:rPr>
          <w:rFonts w:hint="eastAsia" w:ascii="宋体" w:hAnsi="宋体" w:cs="宋体"/>
          <w:b/>
          <w:color w:val="auto"/>
          <w:sz w:val="30"/>
          <w:szCs w:val="30"/>
          <w:highlight w:val="none"/>
        </w:rPr>
        <w:t>甲方</w:t>
      </w:r>
      <w:r>
        <w:rPr>
          <w:rFonts w:hint="eastAsia" w:ascii="宋体" w:hAnsi="宋体" w:cs="宋体"/>
          <w:b/>
          <w:color w:val="auto"/>
          <w:sz w:val="30"/>
          <w:szCs w:val="30"/>
          <w:highlight w:val="none"/>
          <w:lang w:eastAsia="zh-CN"/>
        </w:rPr>
        <w:t>）</w:t>
      </w:r>
      <w:r>
        <w:rPr>
          <w:rFonts w:hint="eastAsia" w:ascii="宋体" w:hAnsi="宋体" w:cs="宋体"/>
          <w:b/>
          <w:color w:val="auto"/>
          <w:sz w:val="30"/>
          <w:szCs w:val="30"/>
          <w:highlight w:val="none"/>
        </w:rPr>
        <w:t>：</w:t>
      </w:r>
      <w:r>
        <w:rPr>
          <w:rFonts w:hint="eastAsia" w:ascii="宋体" w:hAnsi="宋体"/>
          <w:b/>
          <w:color w:val="auto"/>
          <w:sz w:val="32"/>
          <w:szCs w:val="32"/>
          <w:highlight w:val="none"/>
          <w:u w:val="single"/>
          <w:lang w:eastAsia="zh-CN"/>
        </w:rPr>
        <w:t>广西壮族自治区卫生健康委员会幼儿园</w:t>
      </w:r>
    </w:p>
    <w:p w14:paraId="51F107C0">
      <w:pPr>
        <w:tabs>
          <w:tab w:val="left" w:pos="2835"/>
        </w:tabs>
        <w:spacing w:line="360" w:lineRule="auto"/>
        <w:ind w:firstLine="1205" w:firstLineChars="400"/>
        <w:rPr>
          <w:rFonts w:ascii="宋体" w:hAnsi="宋体" w:cs="宋体"/>
          <w:b/>
          <w:color w:val="auto"/>
          <w:sz w:val="30"/>
          <w:szCs w:val="30"/>
          <w:highlight w:val="none"/>
        </w:rPr>
      </w:pPr>
      <w:r>
        <w:rPr>
          <w:rFonts w:hint="eastAsia" w:ascii="宋体" w:hAnsi="宋体" w:cs="宋体"/>
          <w:b/>
          <w:color w:val="auto"/>
          <w:sz w:val="30"/>
          <w:szCs w:val="30"/>
          <w:highlight w:val="none"/>
        </w:rPr>
        <w:t>成交供应商</w:t>
      </w:r>
      <w:r>
        <w:rPr>
          <w:rFonts w:hint="eastAsia" w:ascii="宋体" w:hAnsi="宋体" w:cs="宋体"/>
          <w:b/>
          <w:color w:val="auto"/>
          <w:sz w:val="30"/>
          <w:szCs w:val="30"/>
          <w:highlight w:val="none"/>
          <w:lang w:eastAsia="zh-CN"/>
        </w:rPr>
        <w:t>（</w:t>
      </w:r>
      <w:r>
        <w:rPr>
          <w:rFonts w:hint="eastAsia" w:ascii="宋体" w:hAnsi="宋体" w:cs="宋体"/>
          <w:b/>
          <w:color w:val="auto"/>
          <w:sz w:val="30"/>
          <w:szCs w:val="30"/>
          <w:highlight w:val="none"/>
        </w:rPr>
        <w:t>乙方</w:t>
      </w:r>
      <w:r>
        <w:rPr>
          <w:rFonts w:hint="eastAsia" w:ascii="宋体" w:hAnsi="宋体" w:cs="宋体"/>
          <w:b/>
          <w:color w:val="auto"/>
          <w:sz w:val="30"/>
          <w:szCs w:val="30"/>
          <w:highlight w:val="none"/>
          <w:lang w:eastAsia="zh-CN"/>
        </w:rPr>
        <w:t>）</w:t>
      </w:r>
      <w:r>
        <w:rPr>
          <w:rFonts w:hint="eastAsia" w:ascii="宋体" w:hAnsi="宋体" w:cs="宋体"/>
          <w:b/>
          <w:color w:val="auto"/>
          <w:sz w:val="30"/>
          <w:szCs w:val="30"/>
          <w:highlight w:val="none"/>
        </w:rPr>
        <w:t>：</w:t>
      </w:r>
      <w:r>
        <w:rPr>
          <w:rFonts w:hint="eastAsia" w:ascii="宋体" w:hAnsi="宋体" w:cs="宋体"/>
          <w:b/>
          <w:color w:val="auto"/>
          <w:sz w:val="30"/>
          <w:szCs w:val="30"/>
          <w:highlight w:val="none"/>
          <w:u w:val="single"/>
        </w:rPr>
        <w:t xml:space="preserve">                 </w:t>
      </w:r>
      <w:r>
        <w:rPr>
          <w:rFonts w:hint="eastAsia" w:ascii="宋体" w:hAnsi="宋体" w:cs="宋体"/>
          <w:b/>
          <w:color w:val="auto"/>
          <w:sz w:val="30"/>
          <w:szCs w:val="30"/>
          <w:highlight w:val="none"/>
          <w:u w:val="single"/>
          <w:lang w:val="en-US" w:eastAsia="zh-CN"/>
        </w:rPr>
        <w:t xml:space="preserve">            </w:t>
      </w:r>
      <w:r>
        <w:rPr>
          <w:rFonts w:hint="eastAsia" w:ascii="宋体" w:hAnsi="宋体" w:cs="宋体"/>
          <w:b/>
          <w:color w:val="auto"/>
          <w:sz w:val="30"/>
          <w:szCs w:val="30"/>
          <w:highlight w:val="none"/>
          <w:u w:val="single"/>
        </w:rPr>
        <w:t xml:space="preserve">   </w:t>
      </w:r>
    </w:p>
    <w:p w14:paraId="27A22C5E">
      <w:pPr>
        <w:tabs>
          <w:tab w:val="left" w:pos="2835"/>
        </w:tabs>
        <w:spacing w:line="360" w:lineRule="auto"/>
        <w:rPr>
          <w:rFonts w:ascii="宋体" w:hAnsi="宋体" w:cs="宋体"/>
          <w:b/>
          <w:color w:val="auto"/>
          <w:sz w:val="30"/>
          <w:szCs w:val="30"/>
          <w:highlight w:val="none"/>
        </w:rPr>
      </w:pPr>
    </w:p>
    <w:p w14:paraId="67EE9AEA">
      <w:pPr>
        <w:tabs>
          <w:tab w:val="left" w:pos="2835"/>
        </w:tabs>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签订合同地点：</w:t>
      </w:r>
      <w:r>
        <w:rPr>
          <w:rFonts w:hint="eastAsia" w:ascii="宋体" w:hAnsi="宋体" w:cs="宋体"/>
          <w:bCs/>
          <w:color w:val="auto"/>
          <w:sz w:val="24"/>
          <w:highlight w:val="none"/>
          <w:lang w:val="en-US" w:eastAsia="zh-CN"/>
        </w:rPr>
        <w:t>广西南宁市青秀区</w:t>
      </w:r>
      <w:r>
        <w:rPr>
          <w:rFonts w:hint="eastAsia" w:ascii="宋体" w:hAnsi="宋体" w:cs="宋体"/>
          <w:bCs/>
          <w:color w:val="auto"/>
          <w:sz w:val="24"/>
          <w:highlight w:val="none"/>
        </w:rPr>
        <w:t xml:space="preserve">       </w:t>
      </w:r>
    </w:p>
    <w:p w14:paraId="17816D08">
      <w:pPr>
        <w:tabs>
          <w:tab w:val="left" w:pos="2835"/>
        </w:tabs>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签订合同时间：202</w:t>
      </w:r>
      <w:r>
        <w:rPr>
          <w:rFonts w:hint="eastAsia" w:ascii="宋体" w:hAnsi="宋体" w:cs="宋体"/>
          <w:bCs/>
          <w:color w:val="auto"/>
          <w:sz w:val="24"/>
          <w:highlight w:val="none"/>
          <w:lang w:val="en-US" w:eastAsia="zh-CN"/>
        </w:rPr>
        <w:t>6</w:t>
      </w:r>
      <w:r>
        <w:rPr>
          <w:rFonts w:hint="eastAsia" w:ascii="宋体" w:hAnsi="宋体" w:cs="宋体"/>
          <w:bCs/>
          <w:color w:val="auto"/>
          <w:sz w:val="24"/>
          <w:highlight w:val="none"/>
        </w:rPr>
        <w:t>年   月   日</w:t>
      </w:r>
    </w:p>
    <w:p w14:paraId="369623B8">
      <w:pPr>
        <w:rPr>
          <w:rFonts w:ascii="宋体" w:hAnsi="Courier New"/>
          <w:b/>
          <w:color w:val="auto"/>
          <w:sz w:val="44"/>
          <w:szCs w:val="44"/>
          <w:highlight w:val="none"/>
        </w:rPr>
      </w:pPr>
    </w:p>
    <w:p w14:paraId="02F89488">
      <w:pPr>
        <w:rPr>
          <w:rFonts w:ascii="宋体" w:hAnsi="Courier New"/>
          <w:b/>
          <w:color w:val="auto"/>
          <w:sz w:val="44"/>
          <w:szCs w:val="44"/>
          <w:highlight w:val="none"/>
        </w:rPr>
      </w:pPr>
      <w:r>
        <w:rPr>
          <w:rFonts w:hint="eastAsia" w:ascii="宋体" w:hAnsi="Courier New"/>
          <w:b/>
          <w:color w:val="auto"/>
          <w:sz w:val="44"/>
          <w:szCs w:val="44"/>
          <w:highlight w:val="none"/>
        </w:rPr>
        <w:br w:type="page"/>
      </w:r>
    </w:p>
    <w:p w14:paraId="5552F7AB">
      <w:pPr>
        <w:rPr>
          <w:rFonts w:ascii="宋体" w:hAnsi="Courier New"/>
          <w:b/>
          <w:color w:val="auto"/>
          <w:sz w:val="44"/>
          <w:szCs w:val="44"/>
          <w:highlight w:val="none"/>
        </w:rPr>
      </w:pPr>
    </w:p>
    <w:p w14:paraId="1822D17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b/>
          <w:bCs/>
          <w:color w:val="auto"/>
          <w:sz w:val="32"/>
          <w:szCs w:val="32"/>
          <w:highlight w:val="none"/>
        </w:rPr>
      </w:pPr>
      <w:r>
        <w:rPr>
          <w:rFonts w:hint="eastAsia"/>
          <w:b/>
          <w:bCs/>
          <w:color w:val="auto"/>
          <w:sz w:val="32"/>
          <w:szCs w:val="32"/>
          <w:highlight w:val="none"/>
        </w:rPr>
        <w:t>广西壮族自治区政府采购合同</w:t>
      </w:r>
    </w:p>
    <w:p w14:paraId="32616D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宋体" w:hAnsi="宋体" w:cs="宋体"/>
          <w:color w:val="auto"/>
          <w:szCs w:val="21"/>
          <w:highlight w:val="none"/>
        </w:rPr>
      </w:pPr>
      <w:r>
        <w:rPr>
          <w:rFonts w:hint="eastAsia" w:ascii="宋体" w:hAnsi="宋体" w:cs="宋体"/>
          <w:color w:val="auto"/>
          <w:kern w:val="0"/>
          <w:szCs w:val="21"/>
          <w:highlight w:val="none"/>
        </w:rPr>
        <w:t xml:space="preserve">                                    </w:t>
      </w:r>
    </w:p>
    <w:p w14:paraId="5E319980">
      <w:pPr>
        <w:spacing w:line="400" w:lineRule="exact"/>
        <w:ind w:right="800"/>
        <w:rPr>
          <w:rFonts w:ascii="宋体" w:hAnsi="宋体" w:cs="宋体"/>
          <w:bCs/>
          <w:color w:val="auto"/>
          <w:szCs w:val="21"/>
          <w:highlight w:val="none"/>
          <w:u w:val="single"/>
        </w:rPr>
      </w:pPr>
      <w:r>
        <w:rPr>
          <w:rFonts w:hint="eastAsia" w:ascii="宋体" w:hAnsi="宋体" w:cs="宋体"/>
          <w:color w:val="auto"/>
          <w:szCs w:val="21"/>
          <w:highlight w:val="none"/>
        </w:rPr>
        <w:t>采购计划号：</w:t>
      </w:r>
      <w:r>
        <w:rPr>
          <w:rFonts w:hint="eastAsia" w:ascii="宋体" w:hAnsi="宋体" w:cs="宋体"/>
          <w:color w:val="auto"/>
          <w:szCs w:val="21"/>
          <w:highlight w:val="none"/>
          <w:u w:val="single"/>
          <w:lang w:val="en-US" w:eastAsia="zh-CN"/>
        </w:rPr>
        <w:t xml:space="preserve"> 广西政采[2026]10146号-001、002</w:t>
      </w:r>
      <w:r>
        <w:rPr>
          <w:rFonts w:hint="eastAsia" w:ascii="宋体" w:hAnsi="宋体" w:cs="宋体"/>
          <w:color w:val="auto"/>
          <w:szCs w:val="21"/>
          <w:highlight w:val="none"/>
          <w:lang w:val="en-US" w:eastAsia="zh-CN"/>
        </w:rPr>
        <w:t xml:space="preserve">  </w:t>
      </w:r>
      <w:r>
        <w:rPr>
          <w:rFonts w:hint="eastAsia" w:ascii="宋体" w:hAnsi="宋体" w:cs="宋体"/>
          <w:bCs/>
          <w:color w:val="auto"/>
          <w:szCs w:val="21"/>
          <w:highlight w:val="none"/>
        </w:rPr>
        <w:t>合同编号：</w:t>
      </w:r>
      <w:r>
        <w:rPr>
          <w:rFonts w:hint="eastAsia" w:ascii="宋体" w:hAnsi="宋体" w:cs="宋体"/>
          <w:color w:val="auto"/>
          <w:szCs w:val="21"/>
          <w:highlight w:val="none"/>
          <w:u w:val="single"/>
          <w:lang w:val="en-US" w:eastAsia="zh-CN"/>
        </w:rPr>
        <w:t xml:space="preserve">                                </w:t>
      </w:r>
    </w:p>
    <w:p w14:paraId="1DBBB65A">
      <w:pPr>
        <w:spacing w:line="400" w:lineRule="exact"/>
        <w:rPr>
          <w:rFonts w:ascii="宋体" w:hAnsi="宋体" w:cs="宋体"/>
          <w:color w:val="auto"/>
          <w:szCs w:val="21"/>
          <w:highlight w:val="none"/>
        </w:rPr>
      </w:pPr>
      <w:r>
        <w:rPr>
          <w:rFonts w:hint="eastAsia" w:ascii="宋体" w:hAnsi="宋体" w:cs="宋体"/>
          <w:color w:val="auto"/>
          <w:szCs w:val="21"/>
          <w:highlight w:val="none"/>
        </w:rPr>
        <w:t>采购人（甲方）：</w:t>
      </w:r>
      <w:r>
        <w:rPr>
          <w:rFonts w:hint="eastAsia" w:ascii="宋体" w:hAnsi="宋体" w:cs="宋体"/>
          <w:color w:val="auto"/>
          <w:szCs w:val="21"/>
          <w:highlight w:val="none"/>
          <w:u w:val="single"/>
        </w:rPr>
        <w:t>广西壮族自治区卫生健康委员会幼儿园</w:t>
      </w:r>
    </w:p>
    <w:p w14:paraId="1BC64BC8">
      <w:pPr>
        <w:spacing w:line="400" w:lineRule="exact"/>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rPr>
        <w:t>成交供应商（乙方）：</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 xml:space="preserve">  </w:t>
      </w:r>
    </w:p>
    <w:p w14:paraId="76003163">
      <w:pPr>
        <w:spacing w:line="400" w:lineRule="exact"/>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lang w:eastAsia="zh-CN"/>
        </w:rPr>
        <w:t>营养健康食堂建设提升项目</w:t>
      </w:r>
      <w:r>
        <w:rPr>
          <w:rFonts w:hint="eastAsia" w:ascii="宋体" w:hAnsi="宋体" w:cs="宋体"/>
          <w:color w:val="auto"/>
          <w:szCs w:val="21"/>
          <w:highlight w:val="none"/>
          <w:u w:val="none"/>
          <w:lang w:val="en-US" w:eastAsia="zh-CN"/>
        </w:rPr>
        <w:t xml:space="preserve">                         </w:t>
      </w:r>
      <w:r>
        <w:rPr>
          <w:rFonts w:hint="eastAsia" w:ascii="宋体" w:hAnsi="宋体" w:cs="宋体"/>
          <w:color w:val="auto"/>
          <w:szCs w:val="21"/>
          <w:highlight w:val="none"/>
        </w:rPr>
        <w:t>项目编号：</w:t>
      </w:r>
      <w:r>
        <w:rPr>
          <w:rFonts w:hint="eastAsia" w:ascii="宋体" w:hAnsi="宋体" w:cs="宋体"/>
          <w:color w:val="auto"/>
          <w:szCs w:val="21"/>
          <w:highlight w:val="none"/>
          <w:u w:val="single"/>
          <w:lang w:eastAsia="zh-CN"/>
        </w:rPr>
        <w:t>GXZC2026-C3-001565-GXZX</w:t>
      </w:r>
    </w:p>
    <w:p w14:paraId="04A4E4D5">
      <w:pPr>
        <w:spacing w:line="400" w:lineRule="exact"/>
        <w:rPr>
          <w:rFonts w:ascii="宋体" w:hAnsi="宋体" w:cs="宋体"/>
          <w:color w:val="auto"/>
          <w:szCs w:val="21"/>
          <w:highlight w:val="none"/>
          <w:u w:val="single"/>
        </w:rPr>
      </w:pPr>
      <w:r>
        <w:rPr>
          <w:rFonts w:hint="eastAsia" w:ascii="宋体" w:hAnsi="宋体" w:cs="宋体"/>
          <w:color w:val="auto"/>
          <w:szCs w:val="21"/>
          <w:highlight w:val="none"/>
        </w:rPr>
        <w:t>签订地点：</w:t>
      </w:r>
      <w:r>
        <w:rPr>
          <w:rFonts w:hint="eastAsia" w:ascii="宋体" w:hAnsi="宋体" w:cs="宋体"/>
          <w:color w:val="auto"/>
          <w:szCs w:val="21"/>
          <w:highlight w:val="none"/>
          <w:u w:val="single"/>
        </w:rPr>
        <w:t>广西南宁市青秀区</w:t>
      </w:r>
      <w:r>
        <w:rPr>
          <w:rFonts w:hint="eastAsia" w:ascii="宋体" w:hAnsi="宋体" w:cs="宋体"/>
          <w:color w:val="auto"/>
          <w:szCs w:val="21"/>
          <w:highlight w:val="none"/>
          <w:u w:val="none"/>
          <w:lang w:val="en-US" w:eastAsia="zh-CN"/>
        </w:rPr>
        <w:t xml:space="preserve">                            </w:t>
      </w:r>
      <w:r>
        <w:rPr>
          <w:rFonts w:hint="eastAsia" w:ascii="宋体" w:hAnsi="宋体" w:cs="宋体"/>
          <w:color w:val="auto"/>
          <w:szCs w:val="21"/>
          <w:highlight w:val="none"/>
        </w:rPr>
        <w:t>签订时间：</w:t>
      </w:r>
      <w:r>
        <w:rPr>
          <w:rFonts w:hint="eastAsia" w:ascii="宋体" w:hAnsi="宋体" w:cs="宋体"/>
          <w:bCs/>
          <w:color w:val="auto"/>
          <w:sz w:val="24"/>
          <w:highlight w:val="none"/>
          <w:u w:val="single"/>
        </w:rPr>
        <w:t>202</w:t>
      </w:r>
      <w:r>
        <w:rPr>
          <w:rFonts w:hint="eastAsia" w:ascii="宋体" w:hAnsi="宋体" w:cs="宋体"/>
          <w:bCs/>
          <w:color w:val="auto"/>
          <w:sz w:val="24"/>
          <w:highlight w:val="none"/>
          <w:u w:val="single"/>
          <w:lang w:val="en-US" w:eastAsia="zh-CN"/>
        </w:rPr>
        <w:t>6</w:t>
      </w:r>
      <w:r>
        <w:rPr>
          <w:rFonts w:hint="eastAsia" w:ascii="宋体" w:hAnsi="宋体" w:cs="宋体"/>
          <w:bCs/>
          <w:color w:val="auto"/>
          <w:sz w:val="24"/>
          <w:highlight w:val="none"/>
          <w:u w:val="single"/>
        </w:rPr>
        <w:t>年   月   日</w:t>
      </w:r>
    </w:p>
    <w:p w14:paraId="6FAAFEC5">
      <w:pPr>
        <w:spacing w:line="400" w:lineRule="exact"/>
        <w:rPr>
          <w:rFonts w:ascii="宋体" w:hAnsi="宋体" w:cs="宋体"/>
          <w:color w:val="auto"/>
          <w:szCs w:val="21"/>
          <w:highlight w:val="none"/>
        </w:rPr>
      </w:pPr>
      <w:r>
        <w:rPr>
          <w:rFonts w:hint="eastAsia" w:ascii="宋体" w:hAnsi="宋体" w:cs="宋体"/>
          <w:color w:val="auto"/>
          <w:szCs w:val="21"/>
          <w:highlight w:val="none"/>
        </w:rPr>
        <w:t>本合同为中小企业预留合同：</w:t>
      </w:r>
      <w:r>
        <w:rPr>
          <w:rFonts w:hint="eastAsia" w:ascii="宋体" w:hAnsi="宋体" w:cs="宋体"/>
          <w:color w:val="auto"/>
          <w:szCs w:val="21"/>
          <w:highlight w:val="none"/>
          <w:u w:val="single"/>
        </w:rPr>
        <w:t>（是/否）</w:t>
      </w:r>
      <w:r>
        <w:rPr>
          <w:rFonts w:hint="eastAsia" w:ascii="宋体" w:hAnsi="宋体" w:cs="宋体"/>
          <w:color w:val="auto"/>
          <w:szCs w:val="21"/>
          <w:highlight w:val="none"/>
        </w:rPr>
        <w:t>。</w:t>
      </w:r>
    </w:p>
    <w:p w14:paraId="1821227A">
      <w:pPr>
        <w:spacing w:line="400" w:lineRule="exact"/>
        <w:ind w:firstLine="420" w:firstLineChars="200"/>
        <w:rPr>
          <w:rFonts w:ascii="宋体" w:hAnsi="宋体" w:cs="宋体"/>
          <w:color w:val="auto"/>
          <w:szCs w:val="21"/>
          <w:highlight w:val="none"/>
        </w:rPr>
      </w:pPr>
    </w:p>
    <w:p w14:paraId="0D478A5E">
      <w:pPr>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根据《中华人民共和国政府采购法》《中华人民共和国民法典》等法律、法规规定，按照招标文件规定条款和中标供应商投标文件及其承诺，甲乙双方签订本合同。</w:t>
      </w:r>
    </w:p>
    <w:p w14:paraId="2C4363DC">
      <w:pPr>
        <w:spacing w:line="48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第一条　合同标的</w:t>
      </w:r>
    </w:p>
    <w:p w14:paraId="18573EE5">
      <w:pPr>
        <w:spacing w:line="4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cs="宋体"/>
          <w:color w:val="auto"/>
          <w:szCs w:val="21"/>
          <w:highlight w:val="none"/>
        </w:rPr>
        <w:t>服务一览表</w:t>
      </w:r>
    </w:p>
    <w:tbl>
      <w:tblPr>
        <w:tblStyle w:val="31"/>
        <w:tblW w:w="9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3942"/>
        <w:gridCol w:w="1080"/>
        <w:gridCol w:w="1260"/>
        <w:gridCol w:w="1775"/>
        <w:gridCol w:w="957"/>
      </w:tblGrid>
      <w:tr w14:paraId="566B4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3A90A427">
            <w:pPr>
              <w:rPr>
                <w:rFonts w:ascii="宋体" w:hAnsi="宋体" w:cs="宋体"/>
                <w:color w:val="auto"/>
                <w:sz w:val="21"/>
                <w:szCs w:val="21"/>
                <w:highlight w:val="none"/>
              </w:rPr>
            </w:pPr>
            <w:r>
              <w:rPr>
                <w:rFonts w:hint="eastAsia" w:ascii="宋体" w:hAnsi="宋体" w:cs="宋体"/>
                <w:color w:val="auto"/>
                <w:sz w:val="21"/>
                <w:szCs w:val="21"/>
                <w:highlight w:val="none"/>
              </w:rPr>
              <w:t>序号</w:t>
            </w:r>
          </w:p>
        </w:tc>
        <w:tc>
          <w:tcPr>
            <w:tcW w:w="3942" w:type="dxa"/>
            <w:tcBorders>
              <w:top w:val="single" w:color="auto" w:sz="4" w:space="0"/>
              <w:left w:val="single" w:color="auto" w:sz="4" w:space="0"/>
              <w:bottom w:val="single" w:color="auto" w:sz="4" w:space="0"/>
              <w:right w:val="single" w:color="auto" w:sz="4" w:space="0"/>
            </w:tcBorders>
            <w:vAlign w:val="center"/>
          </w:tcPr>
          <w:p w14:paraId="38A00A1C">
            <w:pPr>
              <w:jc w:val="center"/>
              <w:rPr>
                <w:rFonts w:ascii="宋体" w:hAnsi="宋体" w:cs="宋体"/>
                <w:color w:val="auto"/>
                <w:sz w:val="21"/>
                <w:szCs w:val="21"/>
                <w:highlight w:val="none"/>
              </w:rPr>
            </w:pPr>
            <w:r>
              <w:rPr>
                <w:rFonts w:hint="eastAsia" w:ascii="宋体" w:hAnsi="宋体" w:cs="宋体"/>
                <w:color w:val="auto"/>
                <w:sz w:val="21"/>
                <w:szCs w:val="21"/>
                <w:highlight w:val="none"/>
              </w:rPr>
              <w:t>标的名称</w:t>
            </w:r>
          </w:p>
        </w:tc>
        <w:tc>
          <w:tcPr>
            <w:tcW w:w="1080" w:type="dxa"/>
            <w:tcBorders>
              <w:top w:val="single" w:color="auto" w:sz="4" w:space="0"/>
              <w:left w:val="single" w:color="auto" w:sz="4" w:space="0"/>
              <w:bottom w:val="single" w:color="auto" w:sz="4" w:space="0"/>
              <w:right w:val="single" w:color="auto" w:sz="4" w:space="0"/>
            </w:tcBorders>
            <w:vAlign w:val="center"/>
          </w:tcPr>
          <w:p w14:paraId="7D372DC6">
            <w:pPr>
              <w:spacing w:line="360" w:lineRule="auto"/>
              <w:contextualSpacing/>
              <w:jc w:val="center"/>
              <w:rPr>
                <w:rFonts w:ascii="宋体" w:hAnsi="宋体" w:cs="宋体"/>
                <w:color w:val="auto"/>
                <w:sz w:val="21"/>
                <w:szCs w:val="21"/>
                <w:highlight w:val="none"/>
              </w:rPr>
            </w:pPr>
            <w:r>
              <w:rPr>
                <w:rFonts w:hint="eastAsia" w:ascii="宋体" w:hAnsi="宋体" w:eastAsia="宋体" w:cs="宋体"/>
                <w:color w:val="auto"/>
                <w:szCs w:val="21"/>
                <w:highlight w:val="none"/>
              </w:rPr>
              <w:t>数量</w:t>
            </w:r>
          </w:p>
        </w:tc>
        <w:tc>
          <w:tcPr>
            <w:tcW w:w="1260" w:type="dxa"/>
            <w:tcBorders>
              <w:top w:val="single" w:color="auto" w:sz="4" w:space="0"/>
              <w:left w:val="single" w:color="auto" w:sz="4" w:space="0"/>
              <w:bottom w:val="single" w:color="auto" w:sz="4" w:space="0"/>
              <w:right w:val="single" w:color="auto" w:sz="4" w:space="0"/>
            </w:tcBorders>
            <w:vAlign w:val="center"/>
          </w:tcPr>
          <w:p w14:paraId="2D4C707D">
            <w:pPr>
              <w:spacing w:line="360" w:lineRule="auto"/>
              <w:contextualSpacing/>
              <w:jc w:val="center"/>
              <w:rPr>
                <w:rFonts w:ascii="宋体" w:hAnsi="宋体" w:cs="宋体"/>
                <w:color w:val="auto"/>
                <w:sz w:val="21"/>
                <w:szCs w:val="21"/>
                <w:highlight w:val="none"/>
              </w:rPr>
            </w:pPr>
            <w:r>
              <w:rPr>
                <w:rFonts w:hint="eastAsia" w:ascii="宋体" w:hAnsi="宋体" w:eastAsia="宋体" w:cs="宋体"/>
                <w:color w:val="auto"/>
                <w:szCs w:val="21"/>
                <w:highlight w:val="none"/>
              </w:rPr>
              <w:t>单位</w:t>
            </w:r>
          </w:p>
        </w:tc>
        <w:tc>
          <w:tcPr>
            <w:tcW w:w="1775" w:type="dxa"/>
            <w:tcBorders>
              <w:top w:val="single" w:color="auto" w:sz="4" w:space="0"/>
              <w:left w:val="single" w:color="auto" w:sz="4" w:space="0"/>
              <w:bottom w:val="single" w:color="auto" w:sz="4" w:space="0"/>
              <w:right w:val="single" w:color="auto" w:sz="4" w:space="0"/>
            </w:tcBorders>
            <w:vAlign w:val="center"/>
          </w:tcPr>
          <w:p w14:paraId="45804C5B">
            <w:pPr>
              <w:spacing w:line="360" w:lineRule="auto"/>
              <w:jc w:val="center"/>
              <w:rPr>
                <w:rFonts w:ascii="宋体" w:hAnsi="宋体" w:cs="宋体"/>
                <w:color w:val="auto"/>
                <w:sz w:val="21"/>
                <w:szCs w:val="21"/>
                <w:highlight w:val="none"/>
              </w:rPr>
            </w:pPr>
            <w:r>
              <w:rPr>
                <w:rFonts w:hint="eastAsia" w:ascii="宋体" w:hAnsi="宋体" w:eastAsia="宋体" w:cs="宋体"/>
                <w:color w:val="auto"/>
                <w:szCs w:val="21"/>
                <w:highlight w:val="none"/>
              </w:rPr>
              <w:t>总报价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元</w:t>
            </w:r>
            <w:r>
              <w:rPr>
                <w:rFonts w:hint="eastAsia" w:ascii="宋体" w:hAnsi="宋体" w:eastAsia="宋体" w:cs="宋体"/>
                <w:color w:val="auto"/>
                <w:szCs w:val="21"/>
                <w:highlight w:val="none"/>
                <w:lang w:eastAsia="zh-CN"/>
              </w:rPr>
              <w:t>）</w:t>
            </w:r>
          </w:p>
        </w:tc>
        <w:tc>
          <w:tcPr>
            <w:tcW w:w="957" w:type="dxa"/>
            <w:tcBorders>
              <w:top w:val="single" w:color="auto" w:sz="4" w:space="0"/>
              <w:left w:val="single" w:color="auto" w:sz="4" w:space="0"/>
              <w:bottom w:val="single" w:color="auto" w:sz="4" w:space="0"/>
              <w:right w:val="single" w:color="auto" w:sz="4" w:space="0"/>
            </w:tcBorders>
            <w:vAlign w:val="center"/>
          </w:tcPr>
          <w:p w14:paraId="5C2AC9CD">
            <w:pPr>
              <w:jc w:val="center"/>
              <w:rPr>
                <w:rFonts w:ascii="宋体" w:hAnsi="宋体" w:cs="宋体"/>
                <w:color w:val="auto"/>
                <w:sz w:val="21"/>
                <w:szCs w:val="21"/>
                <w:highlight w:val="none"/>
              </w:rPr>
            </w:pPr>
            <w:r>
              <w:rPr>
                <w:rFonts w:hint="eastAsia" w:ascii="宋体" w:hAnsi="宋体" w:cs="宋体"/>
                <w:color w:val="auto"/>
                <w:sz w:val="21"/>
                <w:szCs w:val="21"/>
                <w:highlight w:val="none"/>
              </w:rPr>
              <w:t>备注</w:t>
            </w:r>
          </w:p>
        </w:tc>
      </w:tr>
      <w:tr w14:paraId="04EC3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4E8FF5CB">
            <w:pPr>
              <w:jc w:val="center"/>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3942" w:type="dxa"/>
            <w:tcBorders>
              <w:top w:val="single" w:color="auto" w:sz="4" w:space="0"/>
              <w:left w:val="single" w:color="auto" w:sz="4" w:space="0"/>
              <w:right w:val="single" w:color="auto" w:sz="4" w:space="0"/>
            </w:tcBorders>
            <w:vAlign w:val="center"/>
          </w:tcPr>
          <w:p w14:paraId="3045581B">
            <w:pPr>
              <w:spacing w:line="360" w:lineRule="auto"/>
              <w:contextualSpacing/>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营养健康食堂建设提升项目</w:t>
            </w:r>
          </w:p>
        </w:tc>
        <w:tc>
          <w:tcPr>
            <w:tcW w:w="1080" w:type="dxa"/>
            <w:tcBorders>
              <w:top w:val="single" w:color="auto" w:sz="4" w:space="0"/>
              <w:left w:val="single" w:color="auto" w:sz="4" w:space="0"/>
              <w:bottom w:val="single" w:color="auto" w:sz="4" w:space="0"/>
              <w:right w:val="single" w:color="auto" w:sz="4" w:space="0"/>
            </w:tcBorders>
            <w:vAlign w:val="center"/>
          </w:tcPr>
          <w:p w14:paraId="7F234FBE">
            <w:pPr>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1260" w:type="dxa"/>
            <w:tcBorders>
              <w:top w:val="single" w:color="auto" w:sz="4" w:space="0"/>
              <w:left w:val="single" w:color="auto" w:sz="4" w:space="0"/>
              <w:bottom w:val="single" w:color="auto" w:sz="4" w:space="0"/>
              <w:right w:val="single" w:color="auto" w:sz="4" w:space="0"/>
            </w:tcBorders>
            <w:vAlign w:val="center"/>
          </w:tcPr>
          <w:p w14:paraId="01918078">
            <w:pPr>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项</w:t>
            </w:r>
          </w:p>
        </w:tc>
        <w:tc>
          <w:tcPr>
            <w:tcW w:w="1775" w:type="dxa"/>
            <w:tcBorders>
              <w:top w:val="single" w:color="auto" w:sz="4" w:space="0"/>
              <w:left w:val="single" w:color="auto" w:sz="4" w:space="0"/>
              <w:bottom w:val="single" w:color="auto" w:sz="4" w:space="0"/>
              <w:right w:val="single" w:color="auto" w:sz="4" w:space="0"/>
            </w:tcBorders>
            <w:vAlign w:val="center"/>
          </w:tcPr>
          <w:p w14:paraId="62AC0673">
            <w:pPr>
              <w:rPr>
                <w:rFonts w:ascii="宋体" w:hAnsi="宋体" w:cs="宋体"/>
                <w:color w:val="auto"/>
                <w:sz w:val="21"/>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01E7BF7F">
            <w:pPr>
              <w:rPr>
                <w:rFonts w:ascii="宋体" w:hAnsi="宋体" w:cs="宋体"/>
                <w:color w:val="auto"/>
                <w:sz w:val="21"/>
                <w:szCs w:val="21"/>
                <w:highlight w:val="none"/>
              </w:rPr>
            </w:pPr>
          </w:p>
        </w:tc>
      </w:tr>
      <w:tr w14:paraId="11743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7" w:hRule="atLeast"/>
          <w:jc w:val="center"/>
        </w:trPr>
        <w:tc>
          <w:tcPr>
            <w:tcW w:w="9733" w:type="dxa"/>
            <w:gridSpan w:val="6"/>
            <w:tcBorders>
              <w:top w:val="single" w:color="auto" w:sz="4" w:space="0"/>
              <w:left w:val="single" w:color="auto" w:sz="4" w:space="0"/>
              <w:bottom w:val="single" w:color="auto" w:sz="4" w:space="0"/>
              <w:right w:val="single" w:color="auto" w:sz="4" w:space="0"/>
            </w:tcBorders>
            <w:vAlign w:val="center"/>
          </w:tcPr>
          <w:p w14:paraId="26D2D28A">
            <w:pPr>
              <w:rPr>
                <w:rFonts w:ascii="宋体" w:hAnsi="宋体" w:cs="宋体"/>
                <w:color w:val="auto"/>
                <w:sz w:val="21"/>
                <w:szCs w:val="21"/>
                <w:highlight w:val="none"/>
              </w:rPr>
            </w:pPr>
            <w:r>
              <w:rPr>
                <w:rFonts w:hint="eastAsia" w:ascii="宋体" w:cs="仿宋_GB2312"/>
                <w:color w:val="auto"/>
                <w:sz w:val="21"/>
                <w:szCs w:val="21"/>
                <w:highlight w:val="none"/>
                <w:lang w:eastAsia="zh-CN"/>
              </w:rPr>
              <w:t>合计</w:t>
            </w:r>
            <w:r>
              <w:rPr>
                <w:rFonts w:hint="eastAsia" w:ascii="宋体" w:hAnsi="宋体" w:cs="宋体"/>
                <w:color w:val="auto"/>
                <w:kern w:val="0"/>
                <w:sz w:val="21"/>
                <w:szCs w:val="21"/>
                <w:highlight w:val="none"/>
              </w:rPr>
              <w:t>总报价</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（大写）人民币    </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 xml:space="preserve">   （小写）¥        </w:t>
            </w:r>
          </w:p>
        </w:tc>
      </w:tr>
    </w:tbl>
    <w:p w14:paraId="753C4AB6">
      <w:pPr>
        <w:snapToGrid w:val="0"/>
        <w:spacing w:line="372"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2.</w:t>
      </w:r>
      <w:r>
        <w:rPr>
          <w:rFonts w:hint="eastAsia" w:ascii="宋体" w:hAnsi="宋体" w:cs="宋体"/>
          <w:color w:val="auto"/>
          <w:szCs w:val="21"/>
          <w:highlight w:val="none"/>
        </w:rPr>
        <w:t>合同合计金额包括但不限于满足本次竞标全部采购需求所应提供的服务，以及伴随的货物价格；报价包括但不限于</w:t>
      </w:r>
      <w:r>
        <w:rPr>
          <w:rFonts w:hint="eastAsia" w:ascii="宋体" w:hAnsi="宋体" w:cs="宋体"/>
          <w:color w:val="auto"/>
          <w:szCs w:val="21"/>
          <w:highlight w:val="none"/>
          <w:lang w:eastAsia="zh-CN"/>
        </w:rPr>
        <w:t>：</w:t>
      </w:r>
      <w:r>
        <w:rPr>
          <w:rFonts w:hint="eastAsia" w:ascii="Arial" w:hAnsi="Arial" w:eastAsia="宋体" w:cs="Arial"/>
          <w:color w:val="auto"/>
          <w:szCs w:val="21"/>
          <w:highlight w:val="none"/>
          <w:lang w:val="en-US" w:eastAsia="zh-CN"/>
        </w:rPr>
        <w:t>本项目采用总价包干，包含人员工资、社保、保险、劳保用品、培训、管理、利润、税金等一切费用。</w:t>
      </w:r>
    </w:p>
    <w:p w14:paraId="04924196">
      <w:pPr>
        <w:spacing w:line="48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第二条　质量保证</w:t>
      </w:r>
    </w:p>
    <w:p w14:paraId="24E909D4">
      <w:pPr>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乙方所提供的服务及服务内容必须与</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文件承诺相一致，有国家强制性标准的，还必须符合国家强制性标准的规定，没有国家强制性标准但有其他强制性标准的，必须符合其他强制性标准的规定。</w:t>
      </w:r>
    </w:p>
    <w:p w14:paraId="7BBB2277">
      <w:pPr>
        <w:spacing w:line="48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第三条　权利及义务</w:t>
      </w:r>
    </w:p>
    <w:p w14:paraId="023844D1">
      <w:pPr>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cs="宋体"/>
          <w:color w:val="auto"/>
          <w:szCs w:val="21"/>
          <w:highlight w:val="none"/>
        </w:rPr>
        <w:t>甲方权利义务</w:t>
      </w:r>
    </w:p>
    <w:p w14:paraId="4EFC452C">
      <w:pPr>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1.1甲方有权监管乙方对食堂的管理服务工作。</w:t>
      </w:r>
    </w:p>
    <w:p w14:paraId="0EAF5487">
      <w:pPr>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1.2甲方负责无偿提供给乙方加工制作工作餐、招待餐的场所，设备设施、就餐用具、厨房用具及办公场所、负责该场所内发生的水电费、燃料费用、物料采购费、洗涤用品费用等费用的支出。</w:t>
      </w:r>
    </w:p>
    <w:p w14:paraId="7892F0D3">
      <w:pPr>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甲方提供就餐人数计划，乙方按甲方的供餐计划进行食品加工。如遇甲方节假日加班或临时就餐人数调整的，必须至少提前2小时准确通知乙方，否则造成甲方员工不能按时就餐时由甲方负责解释处理，责任由甲方自行承担。</w:t>
      </w:r>
    </w:p>
    <w:p w14:paraId="60E643E0">
      <w:pPr>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1.4甲方可根据需要，提出招待餐和</w:t>
      </w:r>
      <w:r>
        <w:rPr>
          <w:rFonts w:hint="eastAsia" w:ascii="宋体" w:hAnsi="宋体" w:cs="宋体"/>
          <w:color w:val="auto"/>
          <w:szCs w:val="21"/>
          <w:highlight w:val="none"/>
          <w:lang w:eastAsia="zh-CN"/>
        </w:rPr>
        <w:t>其他</w:t>
      </w:r>
      <w:r>
        <w:rPr>
          <w:rFonts w:hint="eastAsia" w:ascii="宋体" w:hAnsi="宋体" w:cs="宋体"/>
          <w:color w:val="auto"/>
          <w:szCs w:val="21"/>
          <w:highlight w:val="none"/>
        </w:rPr>
        <w:t>临时就餐计划，但须给乙方合理的备餐时间。</w:t>
      </w:r>
    </w:p>
    <w:p w14:paraId="62A18C6D">
      <w:pPr>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1.5甲方有责任维护乙方的合法权利。</w:t>
      </w:r>
    </w:p>
    <w:p w14:paraId="2DB17138">
      <w:pPr>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1.6甲方为乙方提供食品加工和员工就餐场地，员工就餐场地内所有设施、设备（含柜子、窗帘、空调、电视机等）均属甲方所有。</w:t>
      </w:r>
    </w:p>
    <w:p w14:paraId="52498C71">
      <w:pPr>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1.7甲方对乙方人员有建议调整权，对不符合甲方要求人员有权拒绝进入食堂工作，乙方应充分采纳甲方意见，及时给予调整。</w:t>
      </w:r>
    </w:p>
    <w:p w14:paraId="1119B1D5">
      <w:pPr>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1.8甲方负责向乙方提供制作干部职工餐所需的食材、辅料。</w:t>
      </w:r>
    </w:p>
    <w:p w14:paraId="76B3DF04">
      <w:pPr>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1.9对移交给乙方承包劳务管理涉及的房产、设施、设备等资产享有法定所有权，并享有监督权。</w:t>
      </w:r>
    </w:p>
    <w:p w14:paraId="36DB65A6">
      <w:pPr>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1.10有权对乙方员工进行健康抽查，对存在的问题，甲方有权要求乙方改进。</w:t>
      </w:r>
    </w:p>
    <w:p w14:paraId="7312EF3A">
      <w:pPr>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1.11对乙方服务中由于乙方原因所发生的员工伤害事故，依照本合同和有关法律法规由乙方独立承担刑事责任和民事赔偿责任，甲方有督促权。</w:t>
      </w:r>
    </w:p>
    <w:p w14:paraId="52E48C7B">
      <w:pPr>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1.13向乙方提供现有的经甲乙双方认可的设施和设备（具体以双方确认的财产移交清单为准）。</w:t>
      </w:r>
    </w:p>
    <w:p w14:paraId="358A8593">
      <w:pPr>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eastAsia="zh-CN"/>
        </w:rPr>
        <w:t>2.</w:t>
      </w:r>
      <w:r>
        <w:rPr>
          <w:rFonts w:hint="eastAsia" w:ascii="宋体" w:hAnsi="宋体" w:cs="宋体"/>
          <w:color w:val="auto"/>
          <w:szCs w:val="21"/>
          <w:highlight w:val="none"/>
        </w:rPr>
        <w:t>乙方权利义务</w:t>
      </w:r>
    </w:p>
    <w:p w14:paraId="3915D6B5">
      <w:pPr>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2.1乙方负责按甲方计划的就餐人数及开餐时间准时开餐，保证员工在规定时间就餐。</w:t>
      </w:r>
    </w:p>
    <w:p w14:paraId="4F1B8823">
      <w:pPr>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2.2在本合同期内，如因乙方人员使用不当，造成电器、设备的损坏的，</w:t>
      </w:r>
      <w:r>
        <w:rPr>
          <w:rFonts w:hint="eastAsia" w:ascii="宋体" w:hAnsi="宋体" w:cs="宋体"/>
          <w:color w:val="auto"/>
          <w:szCs w:val="21"/>
          <w:highlight w:val="none"/>
          <w:lang w:eastAsia="zh-CN"/>
        </w:rPr>
        <w:t>属于</w:t>
      </w:r>
      <w:r>
        <w:rPr>
          <w:rFonts w:hint="eastAsia" w:ascii="宋体" w:hAnsi="宋体" w:cs="宋体"/>
          <w:color w:val="auto"/>
          <w:szCs w:val="21"/>
          <w:highlight w:val="none"/>
        </w:rPr>
        <w:t xml:space="preserve">保修期内的，由乙方负责联系维修；超过保修期的，由乙方自行负责维修并承担相关费用；如因乙方原因造成遗失的，按该电器、设备原价赔偿。 </w:t>
      </w:r>
    </w:p>
    <w:p w14:paraId="4BBBAA68">
      <w:pPr>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2.3在本合同有效期内，乙方人员所需的办公用品、工作服以及劳保用品（工作中使用的水鞋、厨师帽、一次性手套、一次性口罩、纱线手套、围裙、袖套、擦汗巾）等由乙方自行负责。</w:t>
      </w:r>
    </w:p>
    <w:p w14:paraId="51E68CF1">
      <w:pPr>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2.4如确因需要，需添置（购买）食堂使用的相关设备，乙方必须提前一个月以书面报告形式向甲方提出采购申请计划，由甲方对采购申请进行核实批准后，甲方再安排采购。</w:t>
      </w:r>
    </w:p>
    <w:p w14:paraId="215A7A03">
      <w:pPr>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2.5甲方提供给乙方使用的所有设备、餐具等，双方需签署移交手续。如在使用过程中发生自然损坏的，乙方及时告知甲方；如在使用中有人为损坏、缺失由乙方负责维修并作出相应的赔偿。合同期内乙方无权转租、处置。合同期满后，乙方必须将甲方提供的厨具、餐具及相关电器设备归还甲方，甲方对设备进行清点移交，发现遗（缺）失或乙方损坏的餐具（合理损耗率为3%），超过合理损耗率的由乙方按原价承担损失；相关电器设备如有损坏、遗失，按3.2款约定处理。如因甲方原因导致毁损的电器未能修复或修复未果的，乙方必须立即通知甲方，由甲方负责处理；如发现有上述情况而乙方故意隐瞒的，由乙方负完全责任（全额赔偿）。</w:t>
      </w:r>
    </w:p>
    <w:p w14:paraId="1BF9E244">
      <w:pPr>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2.6乙方必须执行国家卫生标准，</w:t>
      </w:r>
      <w:r>
        <w:rPr>
          <w:rFonts w:hint="eastAsia" w:ascii="宋体" w:hAnsi="宋体" w:cs="宋体"/>
          <w:color w:val="auto"/>
          <w:szCs w:val="21"/>
          <w:highlight w:val="none"/>
          <w:lang w:val="en-US" w:eastAsia="zh-CN"/>
        </w:rPr>
        <w:t>遵守《中华人民共和国食品安全法》</w:t>
      </w:r>
      <w:r>
        <w:rPr>
          <w:rFonts w:hint="eastAsia" w:ascii="宋体" w:hAnsi="宋体" w:cs="宋体"/>
          <w:color w:val="auto"/>
          <w:szCs w:val="21"/>
          <w:highlight w:val="none"/>
        </w:rPr>
        <w:t>、《</w:t>
      </w:r>
      <w:r>
        <w:rPr>
          <w:rFonts w:hint="eastAsia" w:ascii="宋体" w:hAnsi="宋体" w:cs="宋体"/>
          <w:color w:val="auto"/>
          <w:szCs w:val="21"/>
          <w:highlight w:val="none"/>
          <w:lang w:eastAsia="zh-CN"/>
        </w:rPr>
        <w:t>中华人民共和国食品安全法实施条例</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等相关法律法规的</w:t>
      </w:r>
      <w:r>
        <w:rPr>
          <w:rFonts w:hint="eastAsia" w:ascii="宋体" w:hAnsi="宋体" w:cs="宋体"/>
          <w:color w:val="auto"/>
          <w:szCs w:val="21"/>
          <w:highlight w:val="none"/>
        </w:rPr>
        <w:t>要求，乙方食品加工从业人员应向甲方出具健康证明，每年进行健康证年审，并随时接受甲方的检查。食品加工场地、炊具、餐具和食品加工原料必须符合卫生要求，确保员工饮食卫生，无任何危害人体健康事故发生。</w:t>
      </w:r>
    </w:p>
    <w:p w14:paraId="575844EA">
      <w:pPr>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2.7乙方有义务为甲方提供良好的就餐服务，做到礼貌待人、文明用语、服务规范，员工统一穿戴工作服。每年对其员工服务技能、烹饪技术培训至少三次以上，并建立员工培训档案。</w:t>
      </w:r>
    </w:p>
    <w:p w14:paraId="76FEBA10">
      <w:pPr>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2.8乙方负责在食品加工结束后一小时内清扫厨房和相关设施，保证餐厅厨房的清洁卫生。</w:t>
      </w:r>
    </w:p>
    <w:p w14:paraId="73F8175A">
      <w:pPr>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2.9乙方应不断改进烹调技术，以不断提高餐饮质量。</w:t>
      </w:r>
    </w:p>
    <w:p w14:paraId="5B16F826">
      <w:pPr>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2.10乙方不得将承包权以任何方式转让给第三方。</w:t>
      </w:r>
    </w:p>
    <w:p w14:paraId="15822B0F">
      <w:pPr>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2.11乙方要认真听取食堂管理人员和职工代表意见，不断改进服务工作质量和菜肴品种、口味，满足甲方要求。</w:t>
      </w:r>
    </w:p>
    <w:p w14:paraId="174210E2">
      <w:pPr>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2.12乙方不得以任何形式擅自同意外来人员在甲方员工餐厅就餐，乙方当班从业人员必须按规定的时间用餐，如有违反，</w:t>
      </w:r>
      <w:r>
        <w:rPr>
          <w:rFonts w:hint="eastAsia" w:ascii="宋体" w:hAnsi="宋体" w:cs="宋体"/>
          <w:color w:val="auto"/>
          <w:szCs w:val="21"/>
          <w:highlight w:val="none"/>
          <w:lang w:val="en-US" w:eastAsia="zh-CN"/>
        </w:rPr>
        <w:t>则甲方有权扣减</w:t>
      </w:r>
      <w:r>
        <w:rPr>
          <w:rFonts w:hint="eastAsia" w:ascii="宋体" w:hAnsi="宋体" w:cs="宋体"/>
          <w:color w:val="auto"/>
          <w:szCs w:val="21"/>
          <w:highlight w:val="none"/>
        </w:rPr>
        <w:t>乙方当月劳务费200元/次，因此造成的一切后果由乙方负责。</w:t>
      </w:r>
    </w:p>
    <w:p w14:paraId="6C3A1A69">
      <w:pPr>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2.13乙方配置的主要人员技术技能等级和烹饪水平必须满足甲方要求并报甲方备案。</w:t>
      </w:r>
    </w:p>
    <w:p w14:paraId="2A04E031">
      <w:pPr>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2.14乙方指定人员与甲方共同对食品加工原材料（食材）进行验收，对不合格的食品加工原材料有权拒绝接收。</w:t>
      </w:r>
    </w:p>
    <w:p w14:paraId="0747B402">
      <w:pPr>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2.15乙方必须按约定提供配齐管理员、厨师和厨工等所有岗位服务人员。</w:t>
      </w:r>
    </w:p>
    <w:p w14:paraId="5D7739B0">
      <w:pPr>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2.16乙方须按《</w:t>
      </w:r>
      <w:r>
        <w:rPr>
          <w:rFonts w:hint="eastAsia" w:ascii="宋体" w:hAnsi="宋体" w:cs="宋体"/>
          <w:color w:val="auto"/>
          <w:szCs w:val="21"/>
          <w:highlight w:val="none"/>
          <w:lang w:eastAsia="zh-CN"/>
        </w:rPr>
        <w:t>中华人民共和国劳动合同法</w:t>
      </w:r>
      <w:r>
        <w:rPr>
          <w:rFonts w:hint="eastAsia" w:ascii="宋体" w:hAnsi="宋体" w:cs="宋体"/>
          <w:color w:val="auto"/>
          <w:szCs w:val="21"/>
          <w:highlight w:val="none"/>
        </w:rPr>
        <w:t>》规定，与其作业员工建立劳动关系，并缴纳社保费用，乙方所有在甲方约定作业场所内的作业人员与甲方没有任何劳动关系，若乙方与作业人员产生劳动纠纷</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包括劳动安全等）</w:t>
      </w:r>
      <w:r>
        <w:rPr>
          <w:rFonts w:hint="eastAsia" w:ascii="宋体" w:hAnsi="宋体" w:cs="宋体"/>
          <w:color w:val="auto"/>
          <w:szCs w:val="21"/>
          <w:highlight w:val="none"/>
        </w:rPr>
        <w:t>均与甲方无关。</w:t>
      </w:r>
    </w:p>
    <w:p w14:paraId="2AC4FA83">
      <w:pPr>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2.17乙方应加强日常安全教育和安全作业检查。对因不按安全操作规程而导致在作业过程中出现的伤亡事故，乙方必须负责处理并承担全部责任。</w:t>
      </w:r>
    </w:p>
    <w:p w14:paraId="243CEBAD">
      <w:pPr>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2.18合同期内，乙方对甲方提供的资产必须保持设备完好。如因使用期限已满自然损坏的设施，应由乙方及时上报甲方审定后报废，乙方不得擅自处理。</w:t>
      </w:r>
    </w:p>
    <w:p w14:paraId="264DA789">
      <w:pPr>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2.19树立良好的企业形象，建立良好的社会关系，自觉遵守国家有关特种行业的各项管理规定。</w:t>
      </w:r>
    </w:p>
    <w:p w14:paraId="0A3F3925">
      <w:pPr>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2.20做好各项安全工作，特别是要严格执行消防和卫生、安全等工作，自觉接受有关部门的监督检查。如因乙方责任发生火灾、工伤事故以及</w:t>
      </w:r>
      <w:r>
        <w:rPr>
          <w:rFonts w:hint="eastAsia" w:ascii="宋体" w:hAnsi="宋体" w:cs="宋体"/>
          <w:color w:val="auto"/>
          <w:szCs w:val="21"/>
          <w:highlight w:val="none"/>
          <w:lang w:eastAsia="zh-CN"/>
        </w:rPr>
        <w:t>其他</w:t>
      </w:r>
      <w:r>
        <w:rPr>
          <w:rFonts w:hint="eastAsia" w:ascii="宋体" w:hAnsi="宋体" w:cs="宋体"/>
          <w:color w:val="auto"/>
          <w:szCs w:val="21"/>
          <w:highlight w:val="none"/>
        </w:rPr>
        <w:t>恶性案件的，乙方必须独自承担法律责任和经济责任，情节特别严重的甲方有权单方面解除合同，且不承担违约责任。</w:t>
      </w:r>
    </w:p>
    <w:p w14:paraId="51B421E8">
      <w:pPr>
        <w:spacing w:line="480" w:lineRule="exact"/>
        <w:ind w:firstLine="422" w:firstLineChars="200"/>
        <w:jc w:val="left"/>
        <w:rPr>
          <w:rFonts w:ascii="宋体" w:hAnsi="宋体" w:cs="宋体"/>
          <w:b/>
          <w:bCs/>
          <w:color w:val="auto"/>
          <w:szCs w:val="21"/>
          <w:highlight w:val="none"/>
          <w:u w:val="single"/>
        </w:rPr>
      </w:pPr>
      <w:r>
        <w:rPr>
          <w:rFonts w:hint="eastAsia" w:ascii="宋体" w:hAnsi="宋体" w:cs="宋体"/>
          <w:b/>
          <w:bCs/>
          <w:color w:val="auto"/>
          <w:szCs w:val="21"/>
          <w:highlight w:val="none"/>
        </w:rPr>
        <w:t>第四条　交付和验收</w:t>
      </w:r>
    </w:p>
    <w:p w14:paraId="67E48061">
      <w:pPr>
        <w:spacing w:line="48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lang w:eastAsia="zh-CN"/>
        </w:rPr>
        <w:t>1.</w:t>
      </w:r>
      <w:r>
        <w:rPr>
          <w:rFonts w:hint="eastAsia" w:ascii="宋体" w:hAnsi="宋体" w:cs="宋体"/>
          <w:color w:val="auto"/>
          <w:szCs w:val="21"/>
          <w:highlight w:val="none"/>
        </w:rPr>
        <w:t>服务期限：</w:t>
      </w:r>
      <w:r>
        <w:rPr>
          <w:rFonts w:hint="eastAsia" w:ascii="宋体" w:hAnsi="宋体" w:cs="宋体"/>
          <w:color w:val="auto"/>
          <w:szCs w:val="21"/>
          <w:highlight w:val="none"/>
          <w:u w:val="single"/>
        </w:rPr>
        <w:t>一年（从签订合同之日起）</w:t>
      </w:r>
      <w:r>
        <w:rPr>
          <w:rFonts w:hint="eastAsia" w:ascii="宋体" w:hAnsi="宋体" w:cs="宋体"/>
          <w:color w:val="auto"/>
          <w:szCs w:val="21"/>
          <w:highlight w:val="none"/>
          <w:u w:val="none"/>
          <w:lang w:eastAsia="zh-CN"/>
        </w:rPr>
        <w:t>，</w:t>
      </w:r>
      <w:r>
        <w:rPr>
          <w:rFonts w:hint="eastAsia" w:ascii="宋体" w:hAnsi="宋体" w:cs="宋体"/>
          <w:color w:val="auto"/>
          <w:szCs w:val="21"/>
          <w:highlight w:val="none"/>
        </w:rPr>
        <w:t>服务地点：</w:t>
      </w:r>
      <w:r>
        <w:rPr>
          <w:rFonts w:hint="eastAsia" w:ascii="宋体" w:hAnsi="宋体" w:cs="宋体"/>
          <w:color w:val="auto"/>
          <w:szCs w:val="21"/>
          <w:highlight w:val="none"/>
          <w:u w:val="single"/>
        </w:rPr>
        <w:t>广西壮族自治区卫生健康委员会幼儿园，总园：青秀区双拥路14号、凌铁分园：青秀区凌铁村105-1号、卫职分园：兴宁区昆仑大道 8 号 。</w:t>
      </w:r>
    </w:p>
    <w:p w14:paraId="02DD1312">
      <w:pPr>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eastAsia="zh-CN"/>
        </w:rPr>
        <w:t>2.</w:t>
      </w:r>
      <w:r>
        <w:rPr>
          <w:rFonts w:hint="eastAsia" w:ascii="宋体" w:hAnsi="宋体" w:cs="宋体"/>
          <w:color w:val="auto"/>
          <w:szCs w:val="21"/>
          <w:highlight w:val="none"/>
        </w:rPr>
        <w:t>乙方应按响应文件的承诺向甲方提供相应的服务。</w:t>
      </w:r>
    </w:p>
    <w:p w14:paraId="49BBA0B4">
      <w:pPr>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eastAsia="zh-CN"/>
        </w:rPr>
        <w:t>3.</w:t>
      </w:r>
      <w:r>
        <w:rPr>
          <w:rFonts w:hint="eastAsia" w:ascii="宋体" w:hAnsi="宋体" w:cs="宋体"/>
          <w:color w:val="auto"/>
          <w:szCs w:val="21"/>
          <w:highlight w:val="none"/>
        </w:rPr>
        <w:t>乙方提供不符合投标文件和本合同规定的服务，甲方有权拒绝接受。</w:t>
      </w:r>
    </w:p>
    <w:p w14:paraId="644B8E5D">
      <w:pPr>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eastAsia="zh-CN"/>
        </w:rPr>
        <w:t>4.</w:t>
      </w:r>
      <w:r>
        <w:rPr>
          <w:rFonts w:hint="eastAsia" w:ascii="宋体" w:hAnsi="宋体" w:cs="宋体"/>
          <w:color w:val="auto"/>
          <w:szCs w:val="21"/>
          <w:highlight w:val="none"/>
        </w:rPr>
        <w:t>乙方完成服务后应及时书面通知甲方进行验收，甲方应在收到通知后五个工作日内进行验收，逾期不开始验收的，乙方可视同验收合格。验收合格后由甲乙双方签署验收单并盖章确认，甲乙双方各执一份。</w:t>
      </w:r>
    </w:p>
    <w:p w14:paraId="67561715">
      <w:pPr>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eastAsia="zh-CN"/>
        </w:rPr>
        <w:t>5.</w:t>
      </w:r>
      <w:r>
        <w:rPr>
          <w:rFonts w:hint="eastAsia" w:ascii="宋体" w:hAnsi="宋体" w:cs="宋体"/>
          <w:color w:val="auto"/>
          <w:szCs w:val="21"/>
          <w:highlight w:val="none"/>
        </w:rPr>
        <w:t>甲乙双方应按照《广西壮族自治区政府采购项目履约验收管理办法》、双方合同、投标文件验收。</w:t>
      </w:r>
    </w:p>
    <w:p w14:paraId="41766A02">
      <w:pPr>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eastAsia="zh-CN"/>
        </w:rPr>
        <w:t>6.</w:t>
      </w:r>
      <w:r>
        <w:rPr>
          <w:rFonts w:hint="eastAsia" w:ascii="宋体" w:hAnsi="宋体" w:cs="宋体"/>
          <w:color w:val="auto"/>
          <w:szCs w:val="21"/>
          <w:highlight w:val="none"/>
        </w:rPr>
        <w:t>甲方在初步验收或者最终验收过程中如发现乙方提供的服务成果不满足投标文件及本合同规定的，可暂缓向乙方付款，直到乙方及时完善并提交相应的服务成果且经甲方验收合格后，方可办理付款。</w:t>
      </w:r>
    </w:p>
    <w:p w14:paraId="034D7E3F">
      <w:pPr>
        <w:spacing w:line="4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eastAsia="zh-CN"/>
        </w:rPr>
        <w:t>7.</w:t>
      </w:r>
      <w:r>
        <w:rPr>
          <w:rFonts w:hint="eastAsia" w:ascii="宋体" w:hAnsi="宋体" w:cs="宋体"/>
          <w:color w:val="auto"/>
          <w:szCs w:val="21"/>
          <w:highlight w:val="none"/>
        </w:rPr>
        <w:t>甲</w:t>
      </w:r>
      <w:r>
        <w:rPr>
          <w:rFonts w:hint="eastAsia" w:ascii="宋体" w:hAnsi="宋体" w:cs="宋体"/>
          <w:color w:val="auto"/>
          <w:szCs w:val="21"/>
          <w:highlight w:val="none"/>
          <w:lang w:eastAsia="zh-CN"/>
        </w:rPr>
        <w:t>方在</w:t>
      </w:r>
      <w:r>
        <w:rPr>
          <w:rFonts w:hint="eastAsia" w:ascii="宋体" w:hAnsi="宋体" w:cs="宋体"/>
          <w:color w:val="auto"/>
          <w:szCs w:val="21"/>
          <w:highlight w:val="none"/>
        </w:rPr>
        <w:t>验收时以书面形式提出异议的，乙方应自收到甲方书面异议后五个工作日内及时予以解决，否则甲方有权不出具服务验收合格单。</w:t>
      </w:r>
    </w:p>
    <w:p w14:paraId="68E6EBE4">
      <w:pPr>
        <w:pStyle w:val="22"/>
        <w:rPr>
          <w:rFonts w:hint="default" w:eastAsia="宋体"/>
          <w:color w:val="auto"/>
          <w:highlight w:val="none"/>
          <w:lang w:val="en-US" w:eastAsia="zh-CN"/>
        </w:rPr>
      </w:pPr>
    </w:p>
    <w:p w14:paraId="2281403D">
      <w:pPr>
        <w:spacing w:line="48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第五条  付款方式</w:t>
      </w:r>
    </w:p>
    <w:p w14:paraId="78905925">
      <w:pPr>
        <w:spacing w:line="48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lang w:val="en-US" w:eastAsia="zh-CN"/>
        </w:rPr>
        <w:t>甲方</w:t>
      </w:r>
      <w:r>
        <w:rPr>
          <w:rFonts w:hint="eastAsia" w:ascii="宋体" w:hAnsi="宋体" w:cs="宋体"/>
          <w:color w:val="auto"/>
          <w:szCs w:val="21"/>
          <w:highlight w:val="none"/>
          <w:u w:val="single"/>
        </w:rPr>
        <w:t>按月与</w:t>
      </w:r>
      <w:r>
        <w:rPr>
          <w:rFonts w:hint="eastAsia" w:ascii="宋体" w:hAnsi="宋体" w:cs="宋体"/>
          <w:color w:val="auto"/>
          <w:szCs w:val="21"/>
          <w:highlight w:val="none"/>
          <w:u w:val="single"/>
          <w:lang w:val="en-US" w:eastAsia="zh-CN"/>
        </w:rPr>
        <w:t>乙方</w:t>
      </w:r>
      <w:r>
        <w:rPr>
          <w:rFonts w:hint="eastAsia" w:ascii="宋体" w:hAnsi="宋体" w:cs="宋体"/>
          <w:color w:val="auto"/>
          <w:szCs w:val="21"/>
          <w:highlight w:val="none"/>
          <w:u w:val="single"/>
        </w:rPr>
        <w:t>结算合同款项，乙方每月最后一天向甲方提交上月考核资料及</w:t>
      </w:r>
      <w:r>
        <w:rPr>
          <w:rFonts w:hint="eastAsia" w:ascii="宋体" w:hAnsi="宋体" w:eastAsia="宋体" w:cs="宋体"/>
          <w:color w:val="auto"/>
          <w:kern w:val="2"/>
          <w:sz w:val="21"/>
          <w:szCs w:val="21"/>
          <w:highlight w:val="none"/>
          <w:u w:val="single"/>
          <w:lang w:val="en-US" w:eastAsia="zh-CN" w:bidi="ar-SA"/>
        </w:rPr>
        <w:t>合法正规的增值税发票</w:t>
      </w:r>
      <w:r>
        <w:rPr>
          <w:rFonts w:hint="eastAsia" w:ascii="宋体" w:hAnsi="宋体" w:cs="宋体"/>
          <w:color w:val="auto"/>
          <w:szCs w:val="21"/>
          <w:highlight w:val="none"/>
          <w:u w:val="single"/>
        </w:rPr>
        <w:t>，甲方下月10日之前支付上月费用；每笔款项均以人民币（</w:t>
      </w:r>
      <w:r>
        <w:rPr>
          <w:rFonts w:hint="eastAsia" w:ascii="宋体" w:hAnsi="宋体" w:cs="宋体"/>
          <w:color w:val="auto"/>
          <w:szCs w:val="21"/>
          <w:highlight w:val="none"/>
          <w:u w:val="single"/>
          <w:lang w:eastAsia="zh-CN"/>
        </w:rPr>
        <w:t>转账</w:t>
      </w:r>
      <w:r>
        <w:rPr>
          <w:rFonts w:hint="eastAsia" w:ascii="宋体" w:hAnsi="宋体" w:cs="宋体"/>
          <w:color w:val="auto"/>
          <w:szCs w:val="21"/>
          <w:highlight w:val="none"/>
          <w:u w:val="single"/>
        </w:rPr>
        <w:t>）方式支付。</w:t>
      </w:r>
    </w:p>
    <w:p w14:paraId="32A71A0D">
      <w:pPr>
        <w:spacing w:line="48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第六条　履约保证金</w:t>
      </w:r>
    </w:p>
    <w:p w14:paraId="63A3C170">
      <w:pPr>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履约保证金金额：</w:t>
      </w:r>
      <w:r>
        <w:rPr>
          <w:rFonts w:hint="eastAsia" w:ascii="宋体" w:hAnsi="宋体" w:cs="宋体"/>
          <w:iCs/>
          <w:color w:val="auto"/>
          <w:szCs w:val="21"/>
          <w:highlight w:val="none"/>
        </w:rPr>
        <w:t xml:space="preserve">按成交金额的 </w:t>
      </w:r>
      <w:r>
        <w:rPr>
          <w:rFonts w:hint="eastAsia" w:ascii="宋体" w:hAnsi="宋体" w:cs="宋体"/>
          <w:iCs/>
          <w:color w:val="auto"/>
          <w:szCs w:val="21"/>
          <w:highlight w:val="none"/>
          <w:lang w:val="en-US" w:eastAsia="zh-CN"/>
        </w:rPr>
        <w:t>2</w:t>
      </w:r>
      <w:r>
        <w:rPr>
          <w:rFonts w:hint="eastAsia" w:ascii="宋体" w:hAnsi="宋体" w:cs="宋体"/>
          <w:iCs/>
          <w:color w:val="auto"/>
          <w:szCs w:val="21"/>
          <w:highlight w:val="none"/>
        </w:rPr>
        <w:t xml:space="preserve"> %</w:t>
      </w:r>
      <w:r>
        <w:rPr>
          <w:rFonts w:hint="eastAsia" w:ascii="宋体" w:hAnsi="宋体" w:cs="宋体"/>
          <w:iCs/>
          <w:color w:val="auto"/>
          <w:szCs w:val="21"/>
          <w:highlight w:val="none"/>
          <w:lang w:val="en-US" w:eastAsia="zh-CN"/>
        </w:rPr>
        <w:t xml:space="preserve"> 向甲方</w:t>
      </w:r>
      <w:r>
        <w:rPr>
          <w:rFonts w:hint="eastAsia" w:ascii="宋体" w:hAnsi="宋体" w:cs="宋体"/>
          <w:iCs/>
          <w:color w:val="auto"/>
          <w:szCs w:val="21"/>
          <w:highlight w:val="none"/>
        </w:rPr>
        <w:t>支付履约保证金，在合同签订前提交至指定账户或保函原件交至</w:t>
      </w:r>
      <w:r>
        <w:rPr>
          <w:rFonts w:hint="eastAsia" w:ascii="宋体" w:hAnsi="宋体" w:cs="宋体"/>
          <w:iCs/>
          <w:color w:val="auto"/>
          <w:szCs w:val="21"/>
          <w:highlight w:val="none"/>
          <w:lang w:val="en-US" w:eastAsia="zh-CN"/>
        </w:rPr>
        <w:t>甲方</w:t>
      </w:r>
      <w:r>
        <w:rPr>
          <w:rFonts w:hint="eastAsia" w:ascii="宋体" w:hAnsi="宋体" w:cs="宋体"/>
          <w:iCs/>
          <w:color w:val="auto"/>
          <w:szCs w:val="21"/>
          <w:highlight w:val="none"/>
        </w:rPr>
        <w:t>处保管</w:t>
      </w:r>
      <w:r>
        <w:rPr>
          <w:rFonts w:hint="eastAsia" w:ascii="宋体" w:hAnsi="宋体" w:cs="宋体"/>
          <w:color w:val="auto"/>
          <w:szCs w:val="21"/>
          <w:highlight w:val="none"/>
          <w:lang w:eastAsia="zh-CN"/>
        </w:rPr>
        <w:t>（</w:t>
      </w:r>
      <w:r>
        <w:rPr>
          <w:rFonts w:hint="eastAsia" w:ascii="宋体" w:hAnsi="宋体"/>
          <w:color w:val="auto"/>
          <w:szCs w:val="21"/>
          <w:highlight w:val="none"/>
          <w:u w:val="single"/>
          <w:lang w:val="en-US" w:eastAsia="zh-CN"/>
        </w:rPr>
        <w:t xml:space="preserve">即人民币大写          </w:t>
      </w:r>
      <w:r>
        <w:rPr>
          <w:rFonts w:hint="eastAsia" w:ascii="宋体" w:hAnsi="宋体"/>
          <w:color w:val="auto"/>
          <w:szCs w:val="21"/>
          <w:highlight w:val="none"/>
          <w:u w:val="single"/>
        </w:rPr>
        <w:t>（¥</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）收取</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14:paraId="410B9131">
      <w:pPr>
        <w:spacing w:line="4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履约保证金递交方式：以银行转账、支票、汇票、本票或者金融机构、担保机构出具的保函等非现金形式提交。</w:t>
      </w:r>
    </w:p>
    <w:p w14:paraId="79D48BEB">
      <w:pPr>
        <w:spacing w:line="48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履约保证金退付方式、时间及条件：</w:t>
      </w:r>
      <w:r>
        <w:rPr>
          <w:rFonts w:hint="eastAsia" w:ascii="宋体" w:hAnsi="宋体" w:cs="宋体"/>
          <w:color w:val="auto"/>
          <w:szCs w:val="21"/>
          <w:highlight w:val="none"/>
          <w:lang w:val="en-US" w:eastAsia="zh-CN"/>
        </w:rPr>
        <w:t>乙方</w:t>
      </w:r>
      <w:r>
        <w:rPr>
          <w:rFonts w:hint="eastAsia" w:ascii="宋体" w:hAnsi="宋体" w:cs="宋体"/>
          <w:color w:val="auto"/>
          <w:szCs w:val="21"/>
          <w:highlight w:val="none"/>
          <w:u w:val="single"/>
        </w:rPr>
        <w:t>无违约情况的，履约保证金于项目验收合格后退还（采购人在接到申请和相关票据后无息退还）</w:t>
      </w:r>
    </w:p>
    <w:p w14:paraId="5EA2D820">
      <w:pPr>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签订合同后，如成交供应商不按双方签订的合同规定履约，则没收其全部履约保证金，履约保证金不足以赔偿损失的，按实际损失赔偿。</w:t>
      </w:r>
    </w:p>
    <w:p w14:paraId="05424DFB">
      <w:pPr>
        <w:spacing w:line="48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第七条 税费</w:t>
      </w:r>
    </w:p>
    <w:p w14:paraId="12AEC222">
      <w:pPr>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本合同执行中相关的一切税费均由乙方负担。</w:t>
      </w:r>
    </w:p>
    <w:p w14:paraId="51A10DB3">
      <w:pPr>
        <w:numPr>
          <w:ilvl w:val="0"/>
          <w:numId w:val="0"/>
        </w:numPr>
        <w:spacing w:line="480" w:lineRule="exact"/>
        <w:ind w:firstLine="422" w:firstLineChars="200"/>
        <w:jc w:val="left"/>
        <w:rPr>
          <w:rFonts w:hint="eastAsia" w:ascii="宋体" w:hAnsi="宋体" w:cs="宋体"/>
          <w:b/>
          <w:bCs/>
          <w:color w:val="auto"/>
          <w:szCs w:val="21"/>
          <w:highlight w:val="none"/>
        </w:rPr>
      </w:pPr>
      <w:r>
        <w:rPr>
          <w:rFonts w:hint="eastAsia" w:ascii="宋体" w:hAnsi="宋体" w:eastAsia="宋体" w:cs="宋体"/>
          <w:b/>
          <w:bCs/>
          <w:color w:val="auto"/>
          <w:kern w:val="2"/>
          <w:sz w:val="21"/>
          <w:szCs w:val="21"/>
          <w:highlight w:val="none"/>
          <w:lang w:val="en-US" w:eastAsia="zh-CN" w:bidi="ar-SA"/>
        </w:rPr>
        <w:t>第八条　</w:t>
      </w:r>
      <w:r>
        <w:rPr>
          <w:rFonts w:hint="eastAsia" w:ascii="宋体" w:hAnsi="宋体" w:cs="宋体"/>
          <w:b/>
          <w:bCs/>
          <w:color w:val="auto"/>
          <w:szCs w:val="21"/>
          <w:highlight w:val="none"/>
        </w:rPr>
        <w:t>违约责任</w:t>
      </w:r>
    </w:p>
    <w:p w14:paraId="3A25410A">
      <w:pPr>
        <w:numPr>
          <w:ilvl w:val="0"/>
          <w:numId w:val="0"/>
        </w:numPr>
        <w:spacing w:line="4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rPr>
        <w:t>除不可抗力原因外，乙方没有按照合同规定的时间提供服务的，甲方可要求乙方支付违约金。每推迟一天按合同金额的3‰支付违约金，该违约金累计不超过合同金额的10%。</w:t>
      </w:r>
    </w:p>
    <w:p w14:paraId="13170770">
      <w:pPr>
        <w:numPr>
          <w:ilvl w:val="0"/>
          <w:numId w:val="0"/>
        </w:numPr>
        <w:spacing w:line="4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eastAsia="zh-CN"/>
        </w:rPr>
        <w:t>2.</w:t>
      </w:r>
      <w:r>
        <w:rPr>
          <w:rFonts w:hint="eastAsia" w:ascii="宋体" w:hAnsi="宋体" w:cs="宋体"/>
          <w:color w:val="auto"/>
          <w:szCs w:val="21"/>
          <w:highlight w:val="none"/>
        </w:rPr>
        <w:t>乙方提供的服务如侵犯了第三方合法权益而引发的任何纠纷或者诉讼，均由乙方负责交涉并承担全部责任。</w:t>
      </w:r>
    </w:p>
    <w:p w14:paraId="487E14BB">
      <w:pPr>
        <w:numPr>
          <w:ilvl w:val="0"/>
          <w:numId w:val="0"/>
        </w:numPr>
        <w:spacing w:line="4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lang w:eastAsia="zh-CN"/>
        </w:rPr>
        <w:t>3.</w:t>
      </w:r>
      <w:r>
        <w:rPr>
          <w:rFonts w:hint="eastAsia" w:ascii="宋体" w:hAnsi="宋体"/>
          <w:color w:val="auto"/>
          <w:szCs w:val="21"/>
          <w:highlight w:val="none"/>
        </w:rPr>
        <w:t>甲方延期付款的，每天向乙方偿付延期款额3‰滞纳金，但滞纳金累计不得超过延期款额5%。</w:t>
      </w:r>
    </w:p>
    <w:p w14:paraId="74B0D272">
      <w:pPr>
        <w:numPr>
          <w:ilvl w:val="0"/>
          <w:numId w:val="0"/>
        </w:numPr>
        <w:spacing w:line="4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对乙方的管理要求</w:t>
      </w:r>
    </w:p>
    <w:p w14:paraId="4B28A938">
      <w:pPr>
        <w:numPr>
          <w:ilvl w:val="0"/>
          <w:numId w:val="0"/>
        </w:numPr>
        <w:spacing w:line="480" w:lineRule="exact"/>
        <w:ind w:firstLine="420" w:firstLineChars="20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（1）合同期内因乙方按规定、规范和要求进行工作，造成发生重大工作失误、事故，造成严重后果的，每发生一起，扣除履约保证金的2%，造成甲方或第三方损失的，甲方有权追偿。</w:t>
      </w:r>
    </w:p>
    <w:p w14:paraId="771AACC7">
      <w:pPr>
        <w:numPr>
          <w:ilvl w:val="0"/>
          <w:numId w:val="0"/>
        </w:numPr>
        <w:spacing w:line="480" w:lineRule="exact"/>
        <w:ind w:firstLine="420" w:firstLineChars="20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乙方因服务工作不到位造成甲方被自治区、市、城区等相关部门通报或合同期内乙方发生一起重大工作失误、事故，造成严重后果的，甲方有权单方终止服务合同，造成甲方或第三方损失的，甲方有权追究赔偿。</w:t>
      </w:r>
    </w:p>
    <w:p w14:paraId="52944406">
      <w:pPr>
        <w:numPr>
          <w:ilvl w:val="0"/>
          <w:numId w:val="0"/>
        </w:numPr>
        <w:spacing w:line="480" w:lineRule="exact"/>
        <w:ind w:firstLine="420" w:firstLineChars="20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乙方进驻服务前，项目管理人员必须通过甲方面试审核后任用。乙方进驻服务后，人员配置中要求需经过甲方面试确定的各岗位，如面试不合格，乙方必须按甲方要求更换人员，乙方在3天内不予更换则视为违约，累计违约2次，第3次起每次扣除乙方服务费200元/次。服务期内乙方应确保本项目管理人员的稳定，管理人员变更必须征得甲方同意，未经甲方同意的管理人员变更须向甲方支付1000元/人次的违约金及管理培训费用。</w:t>
      </w:r>
    </w:p>
    <w:p w14:paraId="55788437">
      <w:pPr>
        <w:numPr>
          <w:ilvl w:val="0"/>
          <w:numId w:val="0"/>
        </w:numPr>
        <w:spacing w:line="480" w:lineRule="exact"/>
        <w:ind w:firstLine="420" w:firstLineChars="20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4）以上各项服务人员须接受甲方相关部门的管理，还须遵守国家法律法规、国家意识形态工作要求、国家餐饮服务管理标准及甲方相关管理规定，对达不到管理要求的，乙方必须按甲方要求更换，乙方在3天内不予更换则视为违约，累计违约2次，第3次起每次扣除乙方服务费200元/次。</w:t>
      </w:r>
    </w:p>
    <w:p w14:paraId="77865E1D">
      <w:pPr>
        <w:numPr>
          <w:ilvl w:val="0"/>
          <w:numId w:val="0"/>
        </w:numPr>
        <w:spacing w:line="480" w:lineRule="exact"/>
        <w:ind w:firstLine="420" w:firstLineChars="20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5）甲方对乙方的服务定期每月进行考核。考核达80分以上为合格。考核低于80分，甲方可以扣当月服务费2%作为违约金；考核低于70分，甲方可以扣当月服务费5%作为违约金；考核低于60分，甲方可以扣当月服务费10%作为违约金，并可以解除合同。</w:t>
      </w:r>
    </w:p>
    <w:p w14:paraId="5F585818">
      <w:pPr>
        <w:numPr>
          <w:ilvl w:val="0"/>
          <w:numId w:val="0"/>
        </w:numPr>
        <w:spacing w:line="480" w:lineRule="exact"/>
        <w:ind w:firstLine="420" w:firstLineChars="20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（6）乙方有不按参数文件规定执行，违反甲方规章制度，拒不落实甲方工作要求和有下列行为的，每发现一次，甲方有权扣除乙方服务费1000元，若累计发现有下列行为之一达3次以上的，甲方有权单方解除合同：</w:t>
      </w:r>
    </w:p>
    <w:p w14:paraId="1818461A">
      <w:pPr>
        <w:numPr>
          <w:ilvl w:val="0"/>
          <w:numId w:val="0"/>
        </w:numPr>
        <w:spacing w:line="480" w:lineRule="exact"/>
        <w:ind w:firstLine="420" w:firstLineChars="20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①人员投入不足造成供餐延误事故的；</w:t>
      </w:r>
    </w:p>
    <w:p w14:paraId="4B47D506">
      <w:pPr>
        <w:numPr>
          <w:ilvl w:val="0"/>
          <w:numId w:val="0"/>
        </w:numPr>
        <w:spacing w:line="480" w:lineRule="exact"/>
        <w:ind w:firstLine="420" w:firstLineChars="20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②月考核分数低于80分的（相关考核标准详见附件2：食堂运维管理服务质量月考核表）；</w:t>
      </w:r>
    </w:p>
    <w:p w14:paraId="3460ACDB">
      <w:pPr>
        <w:numPr>
          <w:ilvl w:val="0"/>
          <w:numId w:val="0"/>
        </w:numPr>
        <w:spacing w:line="480" w:lineRule="exact"/>
        <w:ind w:firstLine="420" w:firstLineChars="20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③未体检导致传染性疾病带入；</w:t>
      </w:r>
    </w:p>
    <w:p w14:paraId="7A21E414">
      <w:pPr>
        <w:numPr>
          <w:ilvl w:val="0"/>
          <w:numId w:val="0"/>
        </w:numPr>
        <w:spacing w:line="480" w:lineRule="exact"/>
        <w:ind w:firstLine="420" w:firstLineChars="20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④未按时发放工资造成安全隐患；</w:t>
      </w:r>
    </w:p>
    <w:p w14:paraId="06ABDAC8">
      <w:pPr>
        <w:numPr>
          <w:ilvl w:val="0"/>
          <w:numId w:val="0"/>
        </w:numPr>
        <w:spacing w:line="480" w:lineRule="exact"/>
        <w:ind w:firstLine="420" w:firstLineChars="20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⑤违反安全条例、安全操作规程，造成人员伤亡事故或甲方财产重大损失的；</w:t>
      </w:r>
    </w:p>
    <w:p w14:paraId="0B160099">
      <w:pPr>
        <w:numPr>
          <w:ilvl w:val="0"/>
          <w:numId w:val="0"/>
        </w:numPr>
        <w:spacing w:line="480" w:lineRule="exact"/>
        <w:ind w:firstLine="420" w:firstLineChars="20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⑥携带违禁物品（武器、毒品、爆炸品、易燃品、强腐蚀性物品等）进甲方</w:t>
      </w:r>
      <w:r>
        <w:rPr>
          <w:rFonts w:hint="eastAsia" w:ascii="宋体" w:hAnsi="宋体" w:eastAsia="宋体" w:cs="宋体"/>
          <w:color w:val="auto"/>
          <w:sz w:val="21"/>
          <w:szCs w:val="21"/>
          <w:highlight w:val="none"/>
          <w:lang w:val="en-US" w:eastAsia="zh-CN"/>
        </w:rPr>
        <w:t>园区的</w:t>
      </w:r>
      <w:r>
        <w:rPr>
          <w:rFonts w:hint="eastAsia" w:ascii="宋体" w:hAnsi="宋体" w:eastAsia="宋体" w:cs="Times New Roman"/>
          <w:color w:val="auto"/>
          <w:kern w:val="2"/>
          <w:sz w:val="21"/>
          <w:szCs w:val="21"/>
          <w:highlight w:val="none"/>
          <w:lang w:val="en-US" w:eastAsia="zh-CN" w:bidi="ar-SA"/>
        </w:rPr>
        <w:t>；</w:t>
      </w:r>
    </w:p>
    <w:p w14:paraId="270A20C2">
      <w:pPr>
        <w:numPr>
          <w:ilvl w:val="0"/>
          <w:numId w:val="0"/>
        </w:numPr>
        <w:spacing w:line="480" w:lineRule="exact"/>
        <w:ind w:firstLine="420" w:firstLineChars="20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⑦在甲方内进行违法乱纪行为、违反治安管理条例等行为的；</w:t>
      </w:r>
    </w:p>
    <w:p w14:paraId="6E02C40D">
      <w:pPr>
        <w:numPr>
          <w:ilvl w:val="0"/>
          <w:numId w:val="0"/>
        </w:numPr>
        <w:spacing w:line="480" w:lineRule="exact"/>
        <w:ind w:firstLine="420" w:firstLineChars="20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⑧因服务人员内部矛盾影响甲方正常办公、开放秩序的。</w:t>
      </w:r>
    </w:p>
    <w:p w14:paraId="0083EA7F">
      <w:pPr>
        <w:numPr>
          <w:ilvl w:val="0"/>
          <w:numId w:val="0"/>
        </w:numPr>
        <w:spacing w:line="480" w:lineRule="exact"/>
        <w:ind w:firstLine="420" w:firstLineChars="200"/>
        <w:jc w:val="left"/>
        <w:rPr>
          <w:rFonts w:hint="eastAsia" w:ascii="宋体" w:hAnsi="宋体"/>
          <w:color w:val="auto"/>
          <w:szCs w:val="21"/>
          <w:highlight w:val="none"/>
        </w:rPr>
      </w:pPr>
      <w:r>
        <w:rPr>
          <w:rFonts w:hint="eastAsia" w:ascii="宋体" w:hAnsi="宋体" w:eastAsia="宋体" w:cs="Times New Roman"/>
          <w:color w:val="auto"/>
          <w:kern w:val="2"/>
          <w:sz w:val="21"/>
          <w:szCs w:val="21"/>
          <w:highlight w:val="none"/>
          <w:lang w:val="en-US" w:eastAsia="zh-CN" w:bidi="ar-SA"/>
        </w:rPr>
        <w:t>5.</w:t>
      </w:r>
      <w:r>
        <w:rPr>
          <w:rFonts w:hint="eastAsia" w:ascii="宋体" w:hAnsi="宋体"/>
          <w:color w:val="auto"/>
          <w:szCs w:val="21"/>
          <w:highlight w:val="none"/>
        </w:rPr>
        <w:t>对本项目管理人员的要求</w:t>
      </w:r>
    </w:p>
    <w:p w14:paraId="6C5D3EB7">
      <w:pPr>
        <w:numPr>
          <w:ilvl w:val="0"/>
          <w:numId w:val="0"/>
        </w:numPr>
        <w:spacing w:line="4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乙方</w:t>
      </w:r>
      <w:r>
        <w:rPr>
          <w:rFonts w:hint="eastAsia" w:ascii="宋体" w:hAnsi="宋体"/>
          <w:color w:val="auto"/>
          <w:szCs w:val="21"/>
          <w:highlight w:val="none"/>
        </w:rPr>
        <w:t>项目经理、主管不按参数文件规定执行，不履行项目经理、主管职责，违反</w:t>
      </w:r>
      <w:r>
        <w:rPr>
          <w:rFonts w:hint="eastAsia" w:ascii="宋体" w:hAnsi="宋体"/>
          <w:color w:val="auto"/>
          <w:szCs w:val="21"/>
          <w:highlight w:val="none"/>
          <w:lang w:eastAsia="zh-CN"/>
        </w:rPr>
        <w:t>甲方</w:t>
      </w:r>
      <w:r>
        <w:rPr>
          <w:rFonts w:hint="eastAsia" w:ascii="宋体" w:hAnsi="宋体"/>
          <w:color w:val="auto"/>
          <w:szCs w:val="21"/>
          <w:highlight w:val="none"/>
        </w:rPr>
        <w:t>规章制度的，每发生一起，</w:t>
      </w:r>
      <w:r>
        <w:rPr>
          <w:rFonts w:hint="eastAsia" w:ascii="宋体" w:hAnsi="宋体"/>
          <w:color w:val="auto"/>
          <w:szCs w:val="21"/>
          <w:highlight w:val="none"/>
          <w:lang w:eastAsia="zh-CN"/>
        </w:rPr>
        <w:t>甲方</w:t>
      </w:r>
      <w:r>
        <w:rPr>
          <w:rFonts w:hint="eastAsia" w:ascii="宋体" w:hAnsi="宋体"/>
          <w:color w:val="auto"/>
          <w:szCs w:val="21"/>
          <w:highlight w:val="none"/>
        </w:rPr>
        <w:t>扣除当月应支付</w:t>
      </w:r>
      <w:r>
        <w:rPr>
          <w:rFonts w:hint="eastAsia" w:ascii="宋体" w:hAnsi="宋体"/>
          <w:color w:val="auto"/>
          <w:szCs w:val="21"/>
          <w:highlight w:val="none"/>
          <w:lang w:eastAsia="zh-CN"/>
        </w:rPr>
        <w:t>乙方</w:t>
      </w:r>
      <w:r>
        <w:rPr>
          <w:rFonts w:hint="eastAsia" w:ascii="宋体" w:hAnsi="宋体"/>
          <w:color w:val="auto"/>
          <w:szCs w:val="21"/>
          <w:highlight w:val="none"/>
        </w:rPr>
        <w:t>服务费2000元，并责令</w:t>
      </w:r>
      <w:r>
        <w:rPr>
          <w:rFonts w:hint="eastAsia" w:ascii="宋体" w:hAnsi="宋体"/>
          <w:color w:val="auto"/>
          <w:szCs w:val="21"/>
          <w:highlight w:val="none"/>
          <w:lang w:eastAsia="zh-CN"/>
        </w:rPr>
        <w:t>乙方</w:t>
      </w:r>
      <w:r>
        <w:rPr>
          <w:rFonts w:hint="eastAsia" w:ascii="宋体" w:hAnsi="宋体"/>
          <w:color w:val="auto"/>
          <w:szCs w:val="21"/>
          <w:highlight w:val="none"/>
        </w:rPr>
        <w:t>严肃纪律、调整人员。</w:t>
      </w:r>
    </w:p>
    <w:p w14:paraId="5D1E4520">
      <w:pPr>
        <w:numPr>
          <w:ilvl w:val="0"/>
          <w:numId w:val="0"/>
        </w:numPr>
        <w:spacing w:line="4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①私自带无关人员进入</w:t>
      </w:r>
      <w:r>
        <w:rPr>
          <w:rFonts w:hint="eastAsia" w:ascii="宋体" w:hAnsi="宋体"/>
          <w:color w:val="auto"/>
          <w:szCs w:val="21"/>
          <w:highlight w:val="none"/>
          <w:lang w:eastAsia="zh-CN"/>
        </w:rPr>
        <w:t>甲方</w:t>
      </w:r>
      <w:r>
        <w:rPr>
          <w:rFonts w:hint="eastAsia" w:ascii="宋体" w:hAnsi="宋体"/>
          <w:color w:val="auto"/>
          <w:szCs w:val="21"/>
          <w:highlight w:val="none"/>
        </w:rPr>
        <w:t>单位非公共开放部位的；</w:t>
      </w:r>
    </w:p>
    <w:p w14:paraId="6C18F473">
      <w:pPr>
        <w:numPr>
          <w:ilvl w:val="0"/>
          <w:numId w:val="0"/>
        </w:numPr>
        <w:spacing w:line="4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②在考勤、值班、检查、记录（包括书面和口头）弄虚作假，伪造的；</w:t>
      </w:r>
    </w:p>
    <w:p w14:paraId="7387F30E">
      <w:pPr>
        <w:numPr>
          <w:ilvl w:val="0"/>
          <w:numId w:val="0"/>
        </w:numPr>
        <w:spacing w:line="4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③对</w:t>
      </w:r>
      <w:r>
        <w:rPr>
          <w:rFonts w:hint="eastAsia" w:ascii="宋体" w:hAnsi="宋体"/>
          <w:color w:val="auto"/>
          <w:szCs w:val="21"/>
          <w:highlight w:val="none"/>
          <w:lang w:eastAsia="zh-CN"/>
        </w:rPr>
        <w:t>甲方</w:t>
      </w:r>
      <w:r>
        <w:rPr>
          <w:rFonts w:hint="eastAsia" w:ascii="宋体" w:hAnsi="宋体"/>
          <w:color w:val="auto"/>
          <w:szCs w:val="21"/>
          <w:highlight w:val="none"/>
        </w:rPr>
        <w:t>工作通知、投诉在1个工作日内不处理不上报的；</w:t>
      </w:r>
    </w:p>
    <w:p w14:paraId="34346883">
      <w:pPr>
        <w:numPr>
          <w:ilvl w:val="0"/>
          <w:numId w:val="0"/>
        </w:numPr>
        <w:spacing w:line="4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④利用工作之便索要、收受他人贿赂、贪污公款、谋取私利的；</w:t>
      </w:r>
    </w:p>
    <w:p w14:paraId="78A871AB">
      <w:pPr>
        <w:numPr>
          <w:ilvl w:val="0"/>
          <w:numId w:val="0"/>
        </w:numPr>
        <w:spacing w:line="4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⑤发现安全隐患不及时排查、报告的；</w:t>
      </w:r>
    </w:p>
    <w:p w14:paraId="7D9E0C7B">
      <w:pPr>
        <w:numPr>
          <w:ilvl w:val="0"/>
          <w:numId w:val="0"/>
        </w:numPr>
        <w:spacing w:line="4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⑥不接受不配合督查人员查岗的；</w:t>
      </w:r>
    </w:p>
    <w:p w14:paraId="0C01292A">
      <w:pPr>
        <w:numPr>
          <w:ilvl w:val="0"/>
          <w:numId w:val="0"/>
        </w:numPr>
        <w:spacing w:line="4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⑦主管以上领导手机不24小时开机的。</w:t>
      </w:r>
    </w:p>
    <w:p w14:paraId="62553955">
      <w:pPr>
        <w:numPr>
          <w:ilvl w:val="0"/>
          <w:numId w:val="0"/>
        </w:numPr>
        <w:spacing w:line="480" w:lineRule="exact"/>
        <w:ind w:firstLine="420" w:firstLineChars="200"/>
        <w:jc w:val="left"/>
        <w:rPr>
          <w:rFonts w:hint="eastAsia" w:ascii="宋体" w:hAnsi="宋体"/>
          <w:color w:val="auto"/>
          <w:szCs w:val="21"/>
          <w:highlight w:val="none"/>
        </w:rPr>
      </w:pPr>
      <w:r>
        <w:rPr>
          <w:rFonts w:hint="eastAsia" w:ascii="宋体" w:hAnsi="宋体" w:eastAsia="宋体" w:cs="Times New Roman"/>
          <w:color w:val="auto"/>
          <w:kern w:val="2"/>
          <w:sz w:val="21"/>
          <w:szCs w:val="21"/>
          <w:highlight w:val="none"/>
          <w:lang w:val="en-US" w:eastAsia="zh-CN" w:bidi="ar-SA"/>
        </w:rPr>
        <w:t>（2）</w:t>
      </w:r>
      <w:r>
        <w:rPr>
          <w:rFonts w:hint="eastAsia" w:ascii="宋体" w:hAnsi="宋体"/>
          <w:color w:val="auto"/>
          <w:szCs w:val="21"/>
          <w:highlight w:val="none"/>
        </w:rPr>
        <w:t>项目经理、主管有不按规定时间上下班，外出不指定临时负责人，不服从</w:t>
      </w:r>
      <w:r>
        <w:rPr>
          <w:rFonts w:hint="eastAsia" w:ascii="宋体" w:hAnsi="宋体"/>
          <w:color w:val="auto"/>
          <w:szCs w:val="21"/>
          <w:highlight w:val="none"/>
          <w:lang w:eastAsia="zh-CN"/>
        </w:rPr>
        <w:t>甲方</w:t>
      </w:r>
      <w:r>
        <w:rPr>
          <w:rFonts w:hint="eastAsia" w:ascii="宋体" w:hAnsi="宋体"/>
          <w:color w:val="auto"/>
          <w:szCs w:val="21"/>
          <w:highlight w:val="none"/>
        </w:rPr>
        <w:t>管理，对</w:t>
      </w:r>
      <w:r>
        <w:rPr>
          <w:rFonts w:hint="eastAsia" w:ascii="宋体" w:hAnsi="宋体"/>
          <w:color w:val="auto"/>
          <w:szCs w:val="21"/>
          <w:highlight w:val="none"/>
          <w:lang w:eastAsia="zh-CN"/>
        </w:rPr>
        <w:t>甲方</w:t>
      </w:r>
      <w:r>
        <w:rPr>
          <w:rFonts w:hint="eastAsia" w:ascii="宋体" w:hAnsi="宋体"/>
          <w:color w:val="auto"/>
          <w:szCs w:val="21"/>
          <w:highlight w:val="none"/>
        </w:rPr>
        <w:t>投诉3个工作日内不上报、不处理，不落实</w:t>
      </w:r>
      <w:r>
        <w:rPr>
          <w:rFonts w:hint="eastAsia" w:ascii="宋体" w:hAnsi="宋体"/>
          <w:color w:val="auto"/>
          <w:szCs w:val="21"/>
          <w:highlight w:val="none"/>
          <w:lang w:eastAsia="zh-CN"/>
        </w:rPr>
        <w:t>甲方</w:t>
      </w:r>
      <w:r>
        <w:rPr>
          <w:rFonts w:hint="eastAsia" w:ascii="宋体" w:hAnsi="宋体"/>
          <w:color w:val="auto"/>
          <w:szCs w:val="21"/>
          <w:highlight w:val="none"/>
        </w:rPr>
        <w:t>交办任务，不检查督促食堂安全、管理、卫生保洁质量等行为的，每发现一次扣除</w:t>
      </w:r>
      <w:r>
        <w:rPr>
          <w:rFonts w:hint="eastAsia" w:ascii="宋体" w:hAnsi="宋体"/>
          <w:color w:val="auto"/>
          <w:szCs w:val="21"/>
          <w:highlight w:val="none"/>
          <w:lang w:eastAsia="zh-CN"/>
        </w:rPr>
        <w:t>乙方</w:t>
      </w:r>
      <w:r>
        <w:rPr>
          <w:rFonts w:hint="eastAsia" w:ascii="宋体" w:hAnsi="宋体"/>
          <w:color w:val="auto"/>
          <w:szCs w:val="21"/>
          <w:highlight w:val="none"/>
        </w:rPr>
        <w:t>服务费500元。</w:t>
      </w:r>
    </w:p>
    <w:p w14:paraId="15146878">
      <w:pPr>
        <w:numPr>
          <w:ilvl w:val="0"/>
          <w:numId w:val="0"/>
        </w:numPr>
        <w:spacing w:line="4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lang w:eastAsia="zh-CN"/>
        </w:rPr>
        <w:t>6.</w:t>
      </w:r>
      <w:r>
        <w:rPr>
          <w:rFonts w:hint="eastAsia" w:ascii="宋体" w:hAnsi="宋体"/>
          <w:color w:val="auto"/>
          <w:szCs w:val="21"/>
          <w:highlight w:val="none"/>
        </w:rPr>
        <w:t>对本项目服务人员的管理要求</w:t>
      </w:r>
    </w:p>
    <w:p w14:paraId="26EC2A61">
      <w:pPr>
        <w:numPr>
          <w:ilvl w:val="0"/>
          <w:numId w:val="0"/>
        </w:numPr>
        <w:spacing w:line="4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乙方</w:t>
      </w:r>
      <w:r>
        <w:rPr>
          <w:rFonts w:hint="eastAsia" w:ascii="宋体" w:hAnsi="宋体" w:eastAsia="宋体" w:cs="宋体"/>
          <w:color w:val="auto"/>
          <w:sz w:val="21"/>
          <w:szCs w:val="21"/>
          <w:highlight w:val="none"/>
          <w:lang w:val="en-US" w:eastAsia="zh-CN"/>
        </w:rPr>
        <w:t>服务人员如发生以下违规情形之一，每发生一起，采购人扣除当月应支付</w:t>
      </w:r>
      <w:r>
        <w:rPr>
          <w:rFonts w:hint="eastAsia" w:ascii="宋体" w:hAnsi="宋体"/>
          <w:color w:val="auto"/>
          <w:szCs w:val="21"/>
          <w:highlight w:val="none"/>
          <w:lang w:eastAsia="zh-CN"/>
        </w:rPr>
        <w:t>乙方</w:t>
      </w:r>
      <w:r>
        <w:rPr>
          <w:rFonts w:hint="eastAsia" w:ascii="宋体" w:hAnsi="宋体" w:eastAsia="宋体" w:cs="宋体"/>
          <w:color w:val="auto"/>
          <w:sz w:val="21"/>
          <w:szCs w:val="21"/>
          <w:highlight w:val="none"/>
          <w:lang w:val="en-US" w:eastAsia="zh-CN"/>
        </w:rPr>
        <w:t>服务费100元，并责令</w:t>
      </w:r>
      <w:r>
        <w:rPr>
          <w:rFonts w:hint="eastAsia" w:ascii="宋体" w:hAnsi="宋体"/>
          <w:color w:val="auto"/>
          <w:szCs w:val="21"/>
          <w:highlight w:val="none"/>
          <w:lang w:eastAsia="zh-CN"/>
        </w:rPr>
        <w:t>乙方</w:t>
      </w:r>
      <w:r>
        <w:rPr>
          <w:rFonts w:hint="eastAsia" w:ascii="宋体" w:hAnsi="宋体" w:eastAsia="宋体" w:cs="宋体"/>
          <w:color w:val="auto"/>
          <w:sz w:val="21"/>
          <w:szCs w:val="21"/>
          <w:highlight w:val="none"/>
          <w:lang w:val="en-US" w:eastAsia="zh-CN"/>
        </w:rPr>
        <w:t>严肃纪律、调整人员。</w:t>
      </w:r>
      <w:r>
        <w:rPr>
          <w:rFonts w:hint="eastAsia" w:ascii="宋体" w:hAnsi="宋体"/>
          <w:color w:val="auto"/>
          <w:szCs w:val="21"/>
          <w:highlight w:val="none"/>
          <w:lang w:eastAsia="zh-CN"/>
        </w:rPr>
        <w:t>乙方</w:t>
      </w:r>
      <w:r>
        <w:rPr>
          <w:rFonts w:hint="eastAsia" w:ascii="宋体" w:hAnsi="宋体" w:eastAsia="宋体" w:cs="宋体"/>
          <w:color w:val="auto"/>
          <w:sz w:val="21"/>
          <w:szCs w:val="21"/>
          <w:highlight w:val="none"/>
          <w:lang w:val="en-US" w:eastAsia="zh-CN"/>
        </w:rPr>
        <w:t>整改不力，连续2个月内此类情形发生5起</w:t>
      </w:r>
      <w:r>
        <w:rPr>
          <w:rFonts w:hint="eastAsia" w:ascii="宋体" w:hAnsi="宋体" w:eastAsia="宋体" w:cs="宋体"/>
          <w:color w:val="auto"/>
          <w:sz w:val="21"/>
          <w:szCs w:val="21"/>
          <w:highlight w:val="none"/>
          <w:lang w:val="en-US" w:eastAsia="zh-Hans"/>
        </w:rPr>
        <w:t>（含本数）</w:t>
      </w:r>
      <w:r>
        <w:rPr>
          <w:rFonts w:hint="eastAsia" w:ascii="宋体" w:hAnsi="宋体" w:eastAsia="宋体" w:cs="宋体"/>
          <w:color w:val="auto"/>
          <w:sz w:val="21"/>
          <w:szCs w:val="21"/>
          <w:highlight w:val="none"/>
          <w:lang w:val="en-US" w:eastAsia="zh-CN"/>
        </w:rPr>
        <w:t>以上的，违约金额加倍。</w:t>
      </w:r>
    </w:p>
    <w:p w14:paraId="263E44CD">
      <w:pPr>
        <w:numPr>
          <w:ilvl w:val="0"/>
          <w:numId w:val="0"/>
        </w:numPr>
        <w:spacing w:line="4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①</w:t>
      </w:r>
      <w:r>
        <w:rPr>
          <w:rFonts w:hint="eastAsia" w:ascii="宋体" w:hAnsi="宋体"/>
          <w:color w:val="auto"/>
          <w:szCs w:val="21"/>
          <w:highlight w:val="none"/>
          <w:lang w:eastAsia="zh-CN"/>
        </w:rPr>
        <w:t>乙方</w:t>
      </w:r>
      <w:r>
        <w:rPr>
          <w:rFonts w:hint="eastAsia" w:ascii="宋体" w:hAnsi="宋体"/>
          <w:color w:val="auto"/>
          <w:szCs w:val="21"/>
          <w:highlight w:val="none"/>
        </w:rPr>
        <w:t>服务人员未按</w:t>
      </w:r>
      <w:r>
        <w:rPr>
          <w:rFonts w:hint="eastAsia" w:ascii="宋体" w:hAnsi="宋体"/>
          <w:color w:val="auto"/>
          <w:szCs w:val="21"/>
          <w:highlight w:val="none"/>
          <w:lang w:eastAsia="zh-CN"/>
        </w:rPr>
        <w:t>甲方</w:t>
      </w:r>
      <w:r>
        <w:rPr>
          <w:rFonts w:hint="eastAsia" w:ascii="宋体" w:hAnsi="宋体"/>
          <w:color w:val="auto"/>
          <w:szCs w:val="21"/>
          <w:highlight w:val="none"/>
        </w:rPr>
        <w:t>食堂管理服务要求进行服务的；</w:t>
      </w:r>
    </w:p>
    <w:p w14:paraId="06C4EFF1">
      <w:pPr>
        <w:numPr>
          <w:ilvl w:val="0"/>
          <w:numId w:val="0"/>
        </w:numPr>
        <w:spacing w:line="4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②迟到早退，脱岗、睡岗、酒后上岗的；工作散漫，粗心大意造成工作差错的；不穿工作服、不</w:t>
      </w:r>
      <w:r>
        <w:rPr>
          <w:rFonts w:hint="eastAsia" w:ascii="宋体" w:hAnsi="宋体"/>
          <w:color w:val="auto"/>
          <w:szCs w:val="21"/>
          <w:highlight w:val="none"/>
          <w:lang w:eastAsia="zh-CN"/>
        </w:rPr>
        <w:t>戴</w:t>
      </w:r>
      <w:r>
        <w:rPr>
          <w:rFonts w:hint="eastAsia" w:ascii="宋体" w:hAnsi="宋体"/>
          <w:color w:val="auto"/>
          <w:szCs w:val="21"/>
          <w:highlight w:val="none"/>
        </w:rPr>
        <w:t>工作牌；不按要求检查、记录的；</w:t>
      </w:r>
    </w:p>
    <w:p w14:paraId="7F0A23AC">
      <w:pPr>
        <w:numPr>
          <w:ilvl w:val="0"/>
          <w:numId w:val="0"/>
        </w:numPr>
        <w:spacing w:line="4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③响应不及时的，消极怠工，态度不端正，造成工作被动，拖拉，不能及时完成任务的；</w:t>
      </w:r>
    </w:p>
    <w:p w14:paraId="1A64682A">
      <w:pPr>
        <w:numPr>
          <w:ilvl w:val="0"/>
          <w:numId w:val="0"/>
        </w:numPr>
        <w:spacing w:line="4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④不尊重教职工及家长，与教职工及家长发生言语、肢体冲突，被教职工及家长投诉的；工作时间吃喝、读书看报、打牌、听音乐、下棋、会客、玩手机等做与工作无关事情的；乱丢垃圾、乱写乱画，故意损坏</w:t>
      </w:r>
      <w:r>
        <w:rPr>
          <w:rFonts w:hint="eastAsia" w:ascii="宋体" w:hAnsi="宋体"/>
          <w:color w:val="auto"/>
          <w:szCs w:val="21"/>
          <w:highlight w:val="none"/>
          <w:lang w:eastAsia="zh-CN"/>
        </w:rPr>
        <w:t>甲方</w:t>
      </w:r>
      <w:r>
        <w:rPr>
          <w:rFonts w:hint="eastAsia" w:ascii="宋体" w:hAnsi="宋体"/>
          <w:color w:val="auto"/>
          <w:szCs w:val="21"/>
          <w:highlight w:val="none"/>
        </w:rPr>
        <w:t>财物的；在</w:t>
      </w:r>
      <w:r>
        <w:rPr>
          <w:rFonts w:hint="eastAsia" w:ascii="宋体" w:hAnsi="宋体"/>
          <w:color w:val="auto"/>
          <w:szCs w:val="21"/>
          <w:highlight w:val="none"/>
          <w:lang w:eastAsia="zh-CN"/>
        </w:rPr>
        <w:t>甲方</w:t>
      </w:r>
      <w:r>
        <w:rPr>
          <w:rFonts w:hint="eastAsia" w:ascii="宋体" w:hAnsi="宋体"/>
          <w:color w:val="auto"/>
          <w:szCs w:val="21"/>
          <w:highlight w:val="none"/>
        </w:rPr>
        <w:t>单位打架斗殴酗酒闹事的；</w:t>
      </w:r>
    </w:p>
    <w:p w14:paraId="17519807">
      <w:pPr>
        <w:numPr>
          <w:ilvl w:val="0"/>
          <w:numId w:val="0"/>
        </w:numPr>
        <w:spacing w:line="4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⑤厨房工作管辖区域或管辖设施设备脏乱差的；对管理区域内设施设备不检查不登记的；</w:t>
      </w:r>
    </w:p>
    <w:p w14:paraId="51BC2728">
      <w:pPr>
        <w:numPr>
          <w:ilvl w:val="0"/>
          <w:numId w:val="0"/>
        </w:numPr>
        <w:spacing w:line="4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⑥服务人员工作时间不接受不配合督查人员查岗的；</w:t>
      </w:r>
    </w:p>
    <w:p w14:paraId="1667B5D3">
      <w:pPr>
        <w:numPr>
          <w:ilvl w:val="0"/>
          <w:numId w:val="0"/>
        </w:numPr>
        <w:spacing w:line="4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⑦对</w:t>
      </w:r>
      <w:r>
        <w:rPr>
          <w:rFonts w:hint="eastAsia" w:ascii="宋体" w:hAnsi="宋体"/>
          <w:color w:val="auto"/>
          <w:szCs w:val="21"/>
          <w:highlight w:val="none"/>
          <w:lang w:eastAsia="zh-CN"/>
        </w:rPr>
        <w:t>甲方</w:t>
      </w:r>
      <w:r>
        <w:rPr>
          <w:rFonts w:hint="eastAsia" w:ascii="宋体" w:hAnsi="宋体"/>
          <w:color w:val="auto"/>
          <w:szCs w:val="21"/>
          <w:highlight w:val="none"/>
        </w:rPr>
        <w:t>提出的整改不按时限要求及时处理，将食堂材料私拿私用的；</w:t>
      </w:r>
    </w:p>
    <w:p w14:paraId="6C357D7B">
      <w:pPr>
        <w:numPr>
          <w:ilvl w:val="0"/>
          <w:numId w:val="0"/>
        </w:numPr>
        <w:spacing w:line="4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⑧不按时间要求交接班的，当班时无工作和交接班记录的；工作范围内文字档案未及时整理归档的；</w:t>
      </w:r>
    </w:p>
    <w:p w14:paraId="09AD7427">
      <w:pPr>
        <w:numPr>
          <w:ilvl w:val="0"/>
          <w:numId w:val="0"/>
        </w:numPr>
        <w:spacing w:line="4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⑨未按要求上报统计报表、检查数据的；个人资料不实，弄虚作假的；在禁烟区吸烟的；拾遗不报的；上班时间干私活的；</w:t>
      </w:r>
    </w:p>
    <w:p w14:paraId="6DE7EA82">
      <w:pPr>
        <w:numPr>
          <w:ilvl w:val="0"/>
          <w:numId w:val="0"/>
        </w:numPr>
        <w:spacing w:line="4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⑩持假证上岗、违反操作规程、携带危险物品、私自配取</w:t>
      </w:r>
      <w:r>
        <w:rPr>
          <w:rFonts w:hint="eastAsia" w:ascii="宋体" w:hAnsi="宋体"/>
          <w:color w:val="auto"/>
          <w:szCs w:val="21"/>
          <w:highlight w:val="none"/>
          <w:lang w:eastAsia="zh-CN"/>
        </w:rPr>
        <w:t>甲方</w:t>
      </w:r>
      <w:r>
        <w:rPr>
          <w:rFonts w:hint="eastAsia" w:ascii="宋体" w:hAnsi="宋体"/>
          <w:color w:val="auto"/>
          <w:szCs w:val="21"/>
          <w:highlight w:val="none"/>
        </w:rPr>
        <w:t>单位钥匙的；</w:t>
      </w:r>
    </w:p>
    <w:p w14:paraId="31F37225">
      <w:pPr>
        <w:numPr>
          <w:ilvl w:val="0"/>
          <w:numId w:val="0"/>
        </w:numPr>
        <w:spacing w:line="4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⑪发现问题不及时处理汇报，造成不良后果的；无特殊原因不完成</w:t>
      </w:r>
      <w:r>
        <w:rPr>
          <w:rFonts w:hint="eastAsia" w:ascii="宋体" w:hAnsi="宋体"/>
          <w:color w:val="auto"/>
          <w:szCs w:val="21"/>
          <w:highlight w:val="none"/>
          <w:lang w:eastAsia="zh-CN"/>
        </w:rPr>
        <w:t>甲方</w:t>
      </w:r>
      <w:r>
        <w:rPr>
          <w:rFonts w:hint="eastAsia" w:ascii="宋体" w:hAnsi="宋体"/>
          <w:color w:val="auto"/>
          <w:szCs w:val="21"/>
          <w:highlight w:val="none"/>
        </w:rPr>
        <w:t>交待的任务的。</w:t>
      </w:r>
    </w:p>
    <w:p w14:paraId="4381396E">
      <w:pPr>
        <w:numPr>
          <w:ilvl w:val="0"/>
          <w:numId w:val="0"/>
        </w:numPr>
        <w:spacing w:line="480" w:lineRule="exact"/>
        <w:ind w:firstLine="420" w:firstLineChars="200"/>
        <w:jc w:val="left"/>
        <w:rPr>
          <w:rFonts w:ascii="宋体" w:hAnsi="宋体" w:cs="宋体"/>
          <w:b/>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上述</w:t>
      </w:r>
      <w:r>
        <w:rPr>
          <w:rFonts w:hint="eastAsia" w:ascii="宋体" w:hAnsi="宋体"/>
          <w:color w:val="auto"/>
          <w:szCs w:val="21"/>
          <w:highlight w:val="none"/>
          <w:lang w:eastAsia="zh-CN"/>
        </w:rPr>
        <w:t>乙方</w:t>
      </w:r>
      <w:r>
        <w:rPr>
          <w:rFonts w:hint="eastAsia" w:ascii="宋体" w:hAnsi="宋体"/>
          <w:color w:val="auto"/>
          <w:szCs w:val="21"/>
          <w:highlight w:val="none"/>
        </w:rPr>
        <w:t>的违约金由</w:t>
      </w:r>
      <w:r>
        <w:rPr>
          <w:rFonts w:hint="eastAsia" w:ascii="宋体" w:hAnsi="宋体"/>
          <w:color w:val="auto"/>
          <w:szCs w:val="21"/>
          <w:highlight w:val="none"/>
          <w:lang w:eastAsia="zh-CN"/>
        </w:rPr>
        <w:t>甲方</w:t>
      </w:r>
      <w:r>
        <w:rPr>
          <w:rFonts w:hint="eastAsia" w:ascii="宋体" w:hAnsi="宋体"/>
          <w:color w:val="auto"/>
          <w:szCs w:val="21"/>
          <w:highlight w:val="none"/>
        </w:rPr>
        <w:t>直接从运维服务费、履约保证金里扣除。</w:t>
      </w:r>
    </w:p>
    <w:p w14:paraId="2522F9C7">
      <w:pPr>
        <w:spacing w:line="480" w:lineRule="exact"/>
        <w:ind w:firstLine="420" w:firstLineChars="200"/>
        <w:jc w:val="left"/>
        <w:rPr>
          <w:rFonts w:ascii="宋体" w:hAnsi="宋体" w:cs="宋体"/>
          <w:b/>
          <w:bCs/>
          <w:color w:val="auto"/>
          <w:szCs w:val="21"/>
          <w:highlight w:val="none"/>
        </w:rPr>
      </w:pPr>
      <w:r>
        <w:rPr>
          <w:rFonts w:hint="eastAsia" w:ascii="宋体" w:hAnsi="宋体" w:cs="宋体"/>
          <w:color w:val="auto"/>
          <w:szCs w:val="21"/>
          <w:highlight w:val="none"/>
        </w:rPr>
        <w:t xml:space="preserve"> </w:t>
      </w:r>
      <w:r>
        <w:rPr>
          <w:rFonts w:hint="eastAsia" w:ascii="宋体" w:hAnsi="宋体" w:cs="宋体"/>
          <w:b/>
          <w:bCs/>
          <w:color w:val="auto"/>
          <w:szCs w:val="21"/>
          <w:highlight w:val="none"/>
        </w:rPr>
        <w:t>第九条 不可抗力事件处理</w:t>
      </w:r>
    </w:p>
    <w:p w14:paraId="118050FE">
      <w:pPr>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cs="宋体"/>
          <w:color w:val="auto"/>
          <w:szCs w:val="21"/>
          <w:highlight w:val="none"/>
        </w:rPr>
        <w:t>在合同有效期内，任何一方因不可抗力事件导致不能履行合同，则合同履行期可延长，其延长期与不可抗力影响期相同。</w:t>
      </w:r>
    </w:p>
    <w:p w14:paraId="10AD8C0E">
      <w:pPr>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eastAsia="zh-CN"/>
        </w:rPr>
        <w:t>2.</w:t>
      </w:r>
      <w:r>
        <w:rPr>
          <w:rFonts w:hint="eastAsia" w:ascii="宋体" w:hAnsi="宋体" w:cs="宋体"/>
          <w:color w:val="auto"/>
          <w:szCs w:val="21"/>
          <w:highlight w:val="none"/>
        </w:rPr>
        <w:t>不可抗力事件发生后，应立即通知对方，并寄送有关权威机构出具的证明。</w:t>
      </w:r>
    </w:p>
    <w:p w14:paraId="47AB5292">
      <w:pPr>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eastAsia="zh-CN"/>
        </w:rPr>
        <w:t>3.</w:t>
      </w:r>
      <w:r>
        <w:rPr>
          <w:rFonts w:hint="eastAsia" w:ascii="宋体" w:hAnsi="宋体" w:cs="宋体"/>
          <w:color w:val="auto"/>
          <w:szCs w:val="21"/>
          <w:highlight w:val="none"/>
        </w:rPr>
        <w:t>不可抗力事件延续一百二十天以上，双方应通过友好协商，确定是否继续履行合同。</w:t>
      </w:r>
    </w:p>
    <w:p w14:paraId="3A4C9436">
      <w:pPr>
        <w:spacing w:line="48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第十条  合同争议解决</w:t>
      </w:r>
    </w:p>
    <w:p w14:paraId="2928F7D9">
      <w:pPr>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cs="宋体"/>
          <w:color w:val="auto"/>
          <w:szCs w:val="21"/>
          <w:highlight w:val="none"/>
        </w:rPr>
        <w:t>因服务质量问题发生争议的，应邀请国家认可的质量检测机构对服务质量进行鉴定。服务符合标准或要求的，鉴定费由甲方承担；服务不符合标准或要求的，鉴定费由乙方承担。</w:t>
      </w:r>
    </w:p>
    <w:p w14:paraId="60723CF9">
      <w:pPr>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eastAsia="zh-CN"/>
        </w:rPr>
        <w:t>2.</w:t>
      </w:r>
      <w:r>
        <w:rPr>
          <w:rFonts w:hint="eastAsia" w:ascii="宋体" w:hAnsi="宋体" w:cs="宋体"/>
          <w:color w:val="auto"/>
          <w:szCs w:val="21"/>
          <w:highlight w:val="none"/>
        </w:rPr>
        <w:t>因履行本合同引起的或与本合同有关的争议，甲乙双方应首先通过友好协商解决，解决在执行合同过程中所发生的或与合同有关的一切争端。如果协商不能解决，任一方可向</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所在地的人民法院提起诉讼。</w:t>
      </w:r>
    </w:p>
    <w:p w14:paraId="47DBB78B">
      <w:pPr>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eastAsia="zh-CN"/>
        </w:rPr>
        <w:t>3.</w:t>
      </w:r>
      <w:r>
        <w:rPr>
          <w:rFonts w:hint="eastAsia" w:ascii="宋体" w:hAnsi="宋体" w:cs="宋体"/>
          <w:color w:val="auto"/>
          <w:szCs w:val="21"/>
          <w:highlight w:val="none"/>
        </w:rPr>
        <w:t>在诉讼期间，除正在进行诉讼的部分外，合同的其他部分应继续执行。</w:t>
      </w:r>
    </w:p>
    <w:p w14:paraId="318EBEEE">
      <w:pPr>
        <w:spacing w:line="48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第十一条 合同生效及其它</w:t>
      </w:r>
    </w:p>
    <w:p w14:paraId="59965328">
      <w:pPr>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cs="宋体"/>
          <w:color w:val="auto"/>
          <w:szCs w:val="21"/>
          <w:highlight w:val="none"/>
        </w:rPr>
        <w:t>合同经双方法定代表人或者授权代表签字并加盖单位公章后生效（委托代理人签字的需后附法定代表人授权委托书，格式自拟）。</w:t>
      </w:r>
    </w:p>
    <w:p w14:paraId="69310E0D">
      <w:pPr>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eastAsia="zh-CN"/>
        </w:rPr>
        <w:t>2.</w:t>
      </w:r>
      <w:r>
        <w:rPr>
          <w:rFonts w:hint="eastAsia" w:ascii="宋体" w:hAnsi="宋体" w:cs="宋体"/>
          <w:color w:val="auto"/>
          <w:szCs w:val="21"/>
          <w:highlight w:val="none"/>
        </w:rPr>
        <w:t>合同执行中涉及采购资金和采购内容修改或者补充的，根据相关规定要求，如须经财政部门审批的，须履行审批手续，并签书面补充协议报财政部门备案，方可作为主合同不可分割的一部分。</w:t>
      </w:r>
    </w:p>
    <w:p w14:paraId="4CF6BBA2">
      <w:pPr>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eastAsia="zh-CN"/>
        </w:rPr>
        <w:t>3.</w:t>
      </w:r>
      <w:r>
        <w:rPr>
          <w:rFonts w:hint="eastAsia" w:ascii="宋体" w:hAnsi="宋体" w:cs="宋体"/>
          <w:color w:val="auto"/>
          <w:szCs w:val="21"/>
          <w:highlight w:val="none"/>
        </w:rPr>
        <w:t>本合同未尽事宜，遵照《中华人民共和国民法典》有关条文执行。</w:t>
      </w:r>
    </w:p>
    <w:p w14:paraId="72BBDEA5">
      <w:pPr>
        <w:spacing w:line="48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第十二条　合同的变更、终止与转让</w:t>
      </w:r>
    </w:p>
    <w:p w14:paraId="52821A94">
      <w:pPr>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除《中华人民共和国政府采购法》第五十条规定的情形外，本合同一经签订，甲乙双方不得擅自变更、中止或终止。</w:t>
      </w:r>
    </w:p>
    <w:p w14:paraId="4765E219">
      <w:pPr>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（一）合同的变更</w:t>
      </w:r>
    </w:p>
    <w:p w14:paraId="2D02E227">
      <w:pPr>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cs="宋体"/>
          <w:color w:val="auto"/>
          <w:szCs w:val="21"/>
          <w:highlight w:val="none"/>
        </w:rPr>
        <w:t>在合同履行过程中，</w:t>
      </w:r>
      <w:r>
        <w:rPr>
          <w:rFonts w:hint="eastAsia" w:ascii="宋体" w:hAnsi="宋体" w:cs="宋体"/>
          <w:color w:val="auto"/>
          <w:szCs w:val="21"/>
          <w:highlight w:val="none"/>
          <w:lang w:eastAsia="zh-CN"/>
        </w:rPr>
        <w:t>甲、乙</w:t>
      </w:r>
      <w:r>
        <w:rPr>
          <w:rFonts w:hint="eastAsia" w:ascii="宋体" w:hAnsi="宋体" w:cs="宋体"/>
          <w:color w:val="auto"/>
          <w:szCs w:val="21"/>
          <w:highlight w:val="none"/>
        </w:rPr>
        <w:t>双方可就合同履行的时间、地点和方式等协商进行变更。协商一致后，双方应签订书面的补充协议。</w:t>
      </w:r>
    </w:p>
    <w:p w14:paraId="1E450B9A">
      <w:pPr>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eastAsia="zh-CN"/>
        </w:rPr>
        <w:t>2.</w:t>
      </w:r>
      <w:r>
        <w:rPr>
          <w:rFonts w:hint="eastAsia" w:ascii="宋体" w:hAnsi="宋体" w:cs="宋体"/>
          <w:color w:val="auto"/>
          <w:szCs w:val="21"/>
          <w:highlight w:val="none"/>
        </w:rPr>
        <w:t>在不改变合同其他条款的前提下，</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有权在合同价款改变正负百分之十的范围内追加或减少与合同标的相同的货物或服务，并就此与</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签订补充合同，</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不得拒绝。</w:t>
      </w:r>
    </w:p>
    <w:p w14:paraId="08ECABE3">
      <w:pPr>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eastAsia="zh-CN"/>
        </w:rPr>
        <w:t>3.</w:t>
      </w:r>
      <w:r>
        <w:rPr>
          <w:rFonts w:hint="eastAsia" w:ascii="宋体" w:hAnsi="宋体" w:cs="宋体"/>
          <w:color w:val="auto"/>
          <w:szCs w:val="21"/>
          <w:highlight w:val="none"/>
        </w:rPr>
        <w:t>除了双方签署书面协议，并成为合同不可分割的一部分之外，合同条件不得有任何变更。</w:t>
      </w:r>
    </w:p>
    <w:p w14:paraId="5D860411">
      <w:pPr>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（二）合同转让和分包</w:t>
      </w:r>
    </w:p>
    <w:p w14:paraId="36F9890A">
      <w:pPr>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cs="宋体"/>
          <w:color w:val="auto"/>
          <w:szCs w:val="21"/>
          <w:highlight w:val="none"/>
        </w:rPr>
        <w:t>乙方不得以任何形式部分或全部转让其应履行的合同义务。</w:t>
      </w:r>
    </w:p>
    <w:p w14:paraId="485A204A">
      <w:pPr>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eastAsia="zh-CN"/>
        </w:rPr>
        <w:t>2.</w:t>
      </w:r>
      <w:r>
        <w:rPr>
          <w:rFonts w:hint="eastAsia" w:ascii="宋体" w:hAnsi="宋体" w:cs="宋体"/>
          <w:color w:val="auto"/>
          <w:szCs w:val="21"/>
          <w:highlight w:val="none"/>
        </w:rPr>
        <w:t>除非在投标文件中提出的分包项目和建议的分包人，乙方不得采用分包方式履行合同。</w:t>
      </w:r>
    </w:p>
    <w:p w14:paraId="0617C8C3">
      <w:pPr>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eastAsia="zh-CN"/>
        </w:rPr>
        <w:t>3.</w:t>
      </w:r>
      <w:r>
        <w:rPr>
          <w:rFonts w:hint="eastAsia" w:ascii="宋体" w:hAnsi="宋体" w:cs="宋体"/>
          <w:color w:val="auto"/>
          <w:szCs w:val="21"/>
          <w:highlight w:val="none"/>
        </w:rPr>
        <w:t>在合同实施过程中，除非乙方违约，甲方不得指定分包人。</w:t>
      </w:r>
    </w:p>
    <w:p w14:paraId="7DC57400">
      <w:pPr>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eastAsia="zh-CN"/>
        </w:rPr>
        <w:t>4.</w:t>
      </w:r>
      <w:r>
        <w:rPr>
          <w:rFonts w:hint="eastAsia" w:ascii="宋体" w:hAnsi="宋体" w:cs="宋体"/>
          <w:color w:val="auto"/>
          <w:szCs w:val="21"/>
          <w:highlight w:val="none"/>
        </w:rPr>
        <w:t>如果乙方未能在协议规定的限期或甲方同意延长的限期内提供部分或全部服务，甲方可向乙方发出书面的违约通知书，提出终止</w:t>
      </w:r>
      <w:r>
        <w:rPr>
          <w:rFonts w:hint="eastAsia" w:ascii="宋体" w:hAnsi="宋体" w:cs="宋体"/>
          <w:color w:val="auto"/>
          <w:szCs w:val="21"/>
          <w:highlight w:val="none"/>
          <w:lang w:eastAsia="zh-CN"/>
        </w:rPr>
        <w:t>部分</w:t>
      </w:r>
      <w:r>
        <w:rPr>
          <w:rFonts w:hint="eastAsia" w:ascii="宋体" w:hAnsi="宋体" w:cs="宋体"/>
          <w:color w:val="auto"/>
          <w:szCs w:val="21"/>
          <w:highlight w:val="none"/>
        </w:rPr>
        <w:t>或全部协议。甲方可在任何时候出于自身的便利向乙方发出书面通知终止部分合同，甲方在合同总价中扣除该终止部分货物/服务的价款，并不再对乙方作出额外赔偿。</w:t>
      </w:r>
    </w:p>
    <w:p w14:paraId="651DE78C">
      <w:pPr>
        <w:spacing w:line="48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第十三条　签订本合同依据</w:t>
      </w:r>
    </w:p>
    <w:p w14:paraId="09D613CA">
      <w:pPr>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下述合同附件为本合同不可分割的部分并与本合同具有同等效力：</w:t>
      </w:r>
    </w:p>
    <w:p w14:paraId="770E787F">
      <w:pPr>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（1）成交通知书；</w:t>
      </w:r>
    </w:p>
    <w:p w14:paraId="60EBB451">
      <w:pPr>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（2）响应报价表；</w:t>
      </w:r>
    </w:p>
    <w:p w14:paraId="5F94F803">
      <w:pPr>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（3）商务条款偏离表和服务需求偏离表；</w:t>
      </w:r>
    </w:p>
    <w:p w14:paraId="372ACE33">
      <w:pPr>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（4）服务方案（服务承诺书）；</w:t>
      </w:r>
    </w:p>
    <w:p w14:paraId="05655915">
      <w:pPr>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（5）响应文件中的其他相关文件；</w:t>
      </w:r>
    </w:p>
    <w:p w14:paraId="29B881B4">
      <w:pPr>
        <w:pStyle w:val="26"/>
        <w:spacing w:line="480" w:lineRule="exact"/>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（6）磋商文件的采购需求</w:t>
      </w:r>
    </w:p>
    <w:p w14:paraId="1690AA16">
      <w:pPr>
        <w:spacing w:line="4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（7）上述合同文件互相补充和解释。如果合同文件之间存在矛盾或者不一致之处，以上述文件的排列顺序在先者为准。</w:t>
      </w:r>
    </w:p>
    <w:p w14:paraId="4DB18421">
      <w:pPr>
        <w:spacing w:line="480" w:lineRule="exact"/>
        <w:ind w:firstLine="422" w:firstLineChars="200"/>
        <w:jc w:val="left"/>
        <w:rPr>
          <w:rFonts w:ascii="宋体" w:hAnsi="宋体" w:cs="宋体"/>
          <w:color w:val="auto"/>
          <w:szCs w:val="21"/>
          <w:highlight w:val="none"/>
        </w:rPr>
      </w:pPr>
      <w:r>
        <w:rPr>
          <w:rFonts w:hint="eastAsia" w:ascii="宋体" w:hAnsi="宋体" w:cs="宋体"/>
          <w:b/>
          <w:bCs/>
          <w:color w:val="auto"/>
          <w:szCs w:val="21"/>
          <w:highlight w:val="none"/>
        </w:rPr>
        <w:t>第十四条</w:t>
      </w:r>
      <w:r>
        <w:rPr>
          <w:rFonts w:hint="eastAsia" w:ascii="宋体" w:hAnsi="宋体" w:cs="宋体"/>
          <w:color w:val="auto"/>
          <w:szCs w:val="21"/>
          <w:highlight w:val="none"/>
        </w:rPr>
        <w:t>　本合同未尽事宜，遵照《中华人民共和国民法典》有关条文执行。</w:t>
      </w:r>
    </w:p>
    <w:p w14:paraId="091A1908">
      <w:pPr>
        <w:spacing w:line="480" w:lineRule="exact"/>
        <w:ind w:firstLine="422" w:firstLineChars="200"/>
        <w:jc w:val="left"/>
        <w:rPr>
          <w:rFonts w:hint="eastAsia" w:ascii="宋体" w:hAnsi="宋体" w:cs="宋体"/>
          <w:color w:val="auto"/>
          <w:szCs w:val="21"/>
          <w:highlight w:val="none"/>
        </w:rPr>
      </w:pPr>
      <w:r>
        <w:rPr>
          <w:rFonts w:hint="eastAsia" w:ascii="宋体" w:hAnsi="宋体" w:cs="宋体"/>
          <w:b/>
          <w:bCs/>
          <w:color w:val="auto"/>
          <w:szCs w:val="21"/>
          <w:highlight w:val="none"/>
        </w:rPr>
        <w:t>第十五条</w:t>
      </w:r>
      <w:r>
        <w:rPr>
          <w:rFonts w:hint="eastAsia" w:ascii="宋体" w:hAnsi="宋体" w:cs="宋体"/>
          <w:color w:val="auto"/>
          <w:szCs w:val="21"/>
          <w:highlight w:val="none"/>
        </w:rPr>
        <w:t xml:space="preserve">  </w:t>
      </w:r>
      <w:r>
        <w:rPr>
          <w:rFonts w:hint="eastAsia" w:ascii="宋体" w:hAnsi="宋体"/>
          <w:color w:val="auto"/>
          <w:szCs w:val="21"/>
          <w:highlight w:val="none"/>
        </w:rPr>
        <w:t>本合同一式</w:t>
      </w:r>
      <w:r>
        <w:rPr>
          <w:rFonts w:hint="eastAsia" w:ascii="宋体" w:hAnsi="宋体"/>
          <w:color w:val="auto"/>
          <w:szCs w:val="21"/>
          <w:highlight w:val="none"/>
          <w:lang w:val="en-US" w:eastAsia="zh-CN"/>
        </w:rPr>
        <w:t>七</w:t>
      </w:r>
      <w:r>
        <w:rPr>
          <w:rFonts w:hint="eastAsia" w:ascii="宋体" w:hAnsi="宋体"/>
          <w:color w:val="auto"/>
          <w:szCs w:val="21"/>
          <w:highlight w:val="none"/>
        </w:rPr>
        <w:t>份，具有同等法律效力，自甲乙双方法定代表</w:t>
      </w:r>
      <w:r>
        <w:rPr>
          <w:rFonts w:hint="eastAsia" w:ascii="宋体" w:hAnsi="宋体"/>
          <w:color w:val="auto"/>
          <w:szCs w:val="21"/>
          <w:highlight w:val="none"/>
          <w:lang w:val="en-US" w:eastAsia="zh-CN"/>
        </w:rPr>
        <w:t>人</w:t>
      </w:r>
      <w:r>
        <w:rPr>
          <w:rFonts w:hint="eastAsia" w:ascii="宋体" w:hAnsi="宋体"/>
          <w:color w:val="auto"/>
          <w:szCs w:val="21"/>
          <w:highlight w:val="none"/>
        </w:rPr>
        <w:t>或被授权代表人签字并加盖单位公章后正式生效。甲方执</w:t>
      </w:r>
      <w:r>
        <w:rPr>
          <w:rFonts w:hint="eastAsia" w:ascii="宋体" w:hAnsi="宋体"/>
          <w:color w:val="auto"/>
          <w:szCs w:val="21"/>
          <w:highlight w:val="none"/>
          <w:lang w:val="en-US" w:eastAsia="zh-CN"/>
        </w:rPr>
        <w:t>四</w:t>
      </w:r>
      <w:r>
        <w:rPr>
          <w:rFonts w:hint="eastAsia" w:ascii="宋体" w:hAnsi="宋体"/>
          <w:color w:val="auto"/>
          <w:szCs w:val="21"/>
          <w:highlight w:val="none"/>
        </w:rPr>
        <w:t>份，乙方执</w:t>
      </w:r>
      <w:r>
        <w:rPr>
          <w:rFonts w:hint="eastAsia" w:ascii="宋体" w:hAnsi="宋体"/>
          <w:color w:val="auto"/>
          <w:szCs w:val="21"/>
          <w:highlight w:val="none"/>
          <w:lang w:val="en-US" w:eastAsia="zh-CN"/>
        </w:rPr>
        <w:t>二</w:t>
      </w:r>
      <w:r>
        <w:rPr>
          <w:rFonts w:hint="eastAsia" w:ascii="宋体" w:hAnsi="宋体"/>
          <w:color w:val="auto"/>
          <w:szCs w:val="21"/>
          <w:highlight w:val="none"/>
        </w:rPr>
        <w:t>份</w:t>
      </w:r>
      <w:r>
        <w:rPr>
          <w:rFonts w:hint="eastAsia" w:ascii="宋体" w:hAnsi="宋体"/>
          <w:color w:val="auto"/>
          <w:szCs w:val="21"/>
          <w:highlight w:val="none"/>
          <w:lang w:eastAsia="zh-CN"/>
        </w:rPr>
        <w:t>，</w:t>
      </w:r>
      <w:r>
        <w:rPr>
          <w:rFonts w:hint="eastAsia" w:ascii="宋体" w:hAnsi="宋体" w:cs="宋体"/>
          <w:color w:val="auto"/>
          <w:szCs w:val="21"/>
          <w:highlight w:val="none"/>
        </w:rPr>
        <w:t>采购代理机构一份</w:t>
      </w:r>
      <w:r>
        <w:rPr>
          <w:rFonts w:hint="eastAsia" w:ascii="宋体" w:hAnsi="宋体"/>
          <w:color w:val="auto"/>
          <w:szCs w:val="21"/>
          <w:highlight w:val="none"/>
        </w:rPr>
        <w:t>。</w:t>
      </w:r>
    </w:p>
    <w:p w14:paraId="461AB1DD">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本合同自签订之日起2个工作日内，甲方应当将采购合同在广西壮族自治区财政厅指定的媒体上公告。</w:t>
      </w:r>
    </w:p>
    <w:tbl>
      <w:tblPr>
        <w:tblStyle w:val="31"/>
        <w:tblW w:w="9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4583"/>
      </w:tblGrid>
      <w:tr w14:paraId="5FD43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4582" w:type="dxa"/>
            <w:tcBorders>
              <w:top w:val="single" w:color="auto" w:sz="4" w:space="0"/>
              <w:left w:val="single" w:color="auto" w:sz="4" w:space="0"/>
              <w:bottom w:val="single" w:color="auto" w:sz="4" w:space="0"/>
              <w:right w:val="single" w:color="auto" w:sz="4" w:space="0"/>
            </w:tcBorders>
            <w:vAlign w:val="center"/>
          </w:tcPr>
          <w:p w14:paraId="6640C563">
            <w:pPr>
              <w:snapToGrid w:val="0"/>
              <w:spacing w:line="360" w:lineRule="auto"/>
              <w:rPr>
                <w:rFonts w:ascii="宋体" w:cs="宋体"/>
                <w:color w:val="auto"/>
                <w:szCs w:val="21"/>
                <w:highlight w:val="none"/>
              </w:rPr>
            </w:pPr>
            <w:r>
              <w:rPr>
                <w:rFonts w:hint="eastAsia" w:ascii="宋体" w:cs="宋体"/>
                <w:color w:val="auto"/>
                <w:szCs w:val="21"/>
                <w:highlight w:val="none"/>
              </w:rPr>
              <w:t>甲方：（章）广西壮族自治区卫生健康委员会幼儿园</w:t>
            </w:r>
          </w:p>
          <w:p w14:paraId="3CFE0A4D">
            <w:pPr>
              <w:snapToGrid w:val="0"/>
              <w:spacing w:line="360" w:lineRule="auto"/>
              <w:ind w:firstLine="945" w:firstLineChars="450"/>
              <w:jc w:val="right"/>
              <w:rPr>
                <w:rFonts w:ascii="宋体" w:cs="宋体"/>
                <w:color w:val="auto"/>
                <w:szCs w:val="21"/>
                <w:highlight w:val="none"/>
              </w:rPr>
            </w:pPr>
          </w:p>
          <w:p w14:paraId="4CA856A7">
            <w:pPr>
              <w:snapToGrid w:val="0"/>
              <w:spacing w:line="360" w:lineRule="auto"/>
              <w:ind w:firstLine="945" w:firstLineChars="450"/>
              <w:jc w:val="right"/>
              <w:rPr>
                <w:rFonts w:ascii="宋体" w:cs="宋体"/>
                <w:color w:val="auto"/>
                <w:szCs w:val="21"/>
                <w:highlight w:val="none"/>
              </w:rPr>
            </w:pPr>
            <w:r>
              <w:rPr>
                <w:rFonts w:hint="eastAsia" w:ascii="宋体" w:cs="宋体"/>
                <w:color w:val="auto"/>
                <w:szCs w:val="21"/>
                <w:highlight w:val="none"/>
              </w:rPr>
              <w:t>年    月    日</w:t>
            </w:r>
          </w:p>
        </w:tc>
        <w:tc>
          <w:tcPr>
            <w:tcW w:w="4583" w:type="dxa"/>
            <w:tcBorders>
              <w:top w:val="single" w:color="auto" w:sz="4" w:space="0"/>
              <w:left w:val="single" w:color="auto" w:sz="4" w:space="0"/>
              <w:bottom w:val="single" w:color="auto" w:sz="4" w:space="0"/>
              <w:right w:val="single" w:color="auto" w:sz="4" w:space="0"/>
            </w:tcBorders>
            <w:vAlign w:val="center"/>
          </w:tcPr>
          <w:p w14:paraId="7078B8B1">
            <w:pPr>
              <w:snapToGrid w:val="0"/>
              <w:spacing w:line="360" w:lineRule="auto"/>
              <w:rPr>
                <w:rFonts w:ascii="宋体" w:cs="宋体"/>
                <w:color w:val="auto"/>
                <w:szCs w:val="21"/>
                <w:highlight w:val="none"/>
              </w:rPr>
            </w:pPr>
            <w:r>
              <w:rPr>
                <w:rFonts w:hint="eastAsia" w:ascii="宋体" w:cs="宋体"/>
                <w:color w:val="auto"/>
                <w:szCs w:val="21"/>
                <w:highlight w:val="none"/>
              </w:rPr>
              <w:t>乙方：（章）</w:t>
            </w:r>
          </w:p>
          <w:p w14:paraId="0B09EBFF">
            <w:pPr>
              <w:snapToGrid w:val="0"/>
              <w:spacing w:line="360" w:lineRule="auto"/>
              <w:jc w:val="right"/>
              <w:rPr>
                <w:rFonts w:ascii="宋体" w:cs="宋体"/>
                <w:color w:val="auto"/>
                <w:szCs w:val="21"/>
                <w:highlight w:val="none"/>
              </w:rPr>
            </w:pPr>
          </w:p>
          <w:p w14:paraId="6E07E643">
            <w:pPr>
              <w:snapToGrid w:val="0"/>
              <w:spacing w:line="360" w:lineRule="auto"/>
              <w:jc w:val="right"/>
              <w:rPr>
                <w:rFonts w:ascii="宋体" w:cs="宋体"/>
                <w:color w:val="auto"/>
                <w:szCs w:val="21"/>
                <w:highlight w:val="none"/>
              </w:rPr>
            </w:pPr>
            <w:r>
              <w:rPr>
                <w:rFonts w:hint="eastAsia" w:ascii="宋体" w:cs="宋体"/>
                <w:color w:val="auto"/>
                <w:szCs w:val="21"/>
                <w:highlight w:val="none"/>
              </w:rPr>
              <w:t>年    月    日</w:t>
            </w:r>
          </w:p>
        </w:tc>
      </w:tr>
      <w:tr w14:paraId="40B77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4582" w:type="dxa"/>
            <w:tcBorders>
              <w:top w:val="single" w:color="auto" w:sz="4" w:space="0"/>
              <w:left w:val="single" w:color="auto" w:sz="4" w:space="0"/>
              <w:bottom w:val="single" w:color="auto" w:sz="4" w:space="0"/>
              <w:right w:val="single" w:color="auto" w:sz="4" w:space="0"/>
            </w:tcBorders>
            <w:vAlign w:val="center"/>
          </w:tcPr>
          <w:p w14:paraId="00021DF9">
            <w:pPr>
              <w:snapToGrid w:val="0"/>
              <w:spacing w:line="360" w:lineRule="auto"/>
              <w:rPr>
                <w:rFonts w:ascii="宋体" w:cs="宋体"/>
                <w:color w:val="auto"/>
                <w:szCs w:val="21"/>
                <w:highlight w:val="none"/>
              </w:rPr>
            </w:pPr>
            <w:r>
              <w:rPr>
                <w:rFonts w:hint="eastAsia" w:ascii="宋体" w:cs="宋体"/>
                <w:color w:val="auto"/>
                <w:szCs w:val="21"/>
                <w:highlight w:val="none"/>
              </w:rPr>
              <w:t>单位地址：</w:t>
            </w:r>
            <w:r>
              <w:rPr>
                <w:rFonts w:hint="eastAsia" w:ascii="宋体" w:hAnsi="宋体" w:cs="宋体"/>
                <w:color w:val="auto"/>
                <w:szCs w:val="21"/>
                <w:highlight w:val="none"/>
              </w:rPr>
              <w:t>南宁市双拥路14号</w:t>
            </w:r>
          </w:p>
        </w:tc>
        <w:tc>
          <w:tcPr>
            <w:tcW w:w="4583" w:type="dxa"/>
            <w:tcBorders>
              <w:top w:val="single" w:color="auto" w:sz="4" w:space="0"/>
              <w:left w:val="single" w:color="auto" w:sz="4" w:space="0"/>
              <w:bottom w:val="single" w:color="auto" w:sz="4" w:space="0"/>
              <w:right w:val="single" w:color="auto" w:sz="4" w:space="0"/>
            </w:tcBorders>
            <w:vAlign w:val="center"/>
          </w:tcPr>
          <w:p w14:paraId="27142E94">
            <w:pPr>
              <w:snapToGrid w:val="0"/>
              <w:spacing w:line="360" w:lineRule="auto"/>
              <w:rPr>
                <w:rFonts w:ascii="宋体" w:cs="宋体"/>
                <w:color w:val="auto"/>
                <w:szCs w:val="21"/>
                <w:highlight w:val="none"/>
              </w:rPr>
            </w:pPr>
            <w:r>
              <w:rPr>
                <w:rFonts w:hint="eastAsia" w:ascii="宋体" w:cs="宋体"/>
                <w:color w:val="auto"/>
                <w:szCs w:val="21"/>
                <w:highlight w:val="none"/>
              </w:rPr>
              <w:t>单位地址：</w:t>
            </w:r>
          </w:p>
        </w:tc>
      </w:tr>
      <w:tr w14:paraId="7C1A1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4582" w:type="dxa"/>
            <w:tcBorders>
              <w:top w:val="single" w:color="auto" w:sz="4" w:space="0"/>
              <w:left w:val="single" w:color="auto" w:sz="4" w:space="0"/>
              <w:bottom w:val="single" w:color="auto" w:sz="4" w:space="0"/>
              <w:right w:val="single" w:color="auto" w:sz="4" w:space="0"/>
            </w:tcBorders>
            <w:vAlign w:val="center"/>
          </w:tcPr>
          <w:p w14:paraId="36066F41">
            <w:pPr>
              <w:snapToGrid w:val="0"/>
              <w:spacing w:line="360" w:lineRule="auto"/>
              <w:rPr>
                <w:rFonts w:ascii="宋体" w:cs="宋体"/>
                <w:color w:val="auto"/>
                <w:szCs w:val="21"/>
                <w:highlight w:val="none"/>
              </w:rPr>
            </w:pPr>
            <w:r>
              <w:rPr>
                <w:rFonts w:hint="eastAsia" w:ascii="宋体" w:cs="宋体"/>
                <w:color w:val="auto"/>
                <w:szCs w:val="21"/>
                <w:highlight w:val="none"/>
              </w:rPr>
              <w:t>法定代表人：</w:t>
            </w:r>
          </w:p>
        </w:tc>
        <w:tc>
          <w:tcPr>
            <w:tcW w:w="4583" w:type="dxa"/>
            <w:tcBorders>
              <w:top w:val="single" w:color="auto" w:sz="4" w:space="0"/>
              <w:left w:val="single" w:color="auto" w:sz="4" w:space="0"/>
              <w:bottom w:val="single" w:color="auto" w:sz="4" w:space="0"/>
              <w:right w:val="single" w:color="auto" w:sz="4" w:space="0"/>
            </w:tcBorders>
            <w:vAlign w:val="center"/>
          </w:tcPr>
          <w:p w14:paraId="3A07B4D6">
            <w:pPr>
              <w:snapToGrid w:val="0"/>
              <w:spacing w:line="360" w:lineRule="auto"/>
              <w:rPr>
                <w:rFonts w:ascii="宋体" w:cs="宋体"/>
                <w:color w:val="auto"/>
                <w:szCs w:val="21"/>
                <w:highlight w:val="none"/>
              </w:rPr>
            </w:pPr>
            <w:r>
              <w:rPr>
                <w:rFonts w:hint="eastAsia" w:ascii="宋体" w:cs="宋体"/>
                <w:color w:val="auto"/>
                <w:szCs w:val="21"/>
                <w:highlight w:val="none"/>
              </w:rPr>
              <w:t>法定代表人：</w:t>
            </w:r>
          </w:p>
        </w:tc>
      </w:tr>
      <w:tr w14:paraId="340AE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jc w:val="center"/>
        </w:trPr>
        <w:tc>
          <w:tcPr>
            <w:tcW w:w="4582" w:type="dxa"/>
            <w:tcBorders>
              <w:top w:val="single" w:color="auto" w:sz="4" w:space="0"/>
              <w:left w:val="single" w:color="auto" w:sz="4" w:space="0"/>
              <w:bottom w:val="single" w:color="auto" w:sz="4" w:space="0"/>
              <w:right w:val="single" w:color="auto" w:sz="4" w:space="0"/>
            </w:tcBorders>
            <w:vAlign w:val="center"/>
          </w:tcPr>
          <w:p w14:paraId="03F72B43">
            <w:pPr>
              <w:snapToGrid w:val="0"/>
              <w:spacing w:line="360" w:lineRule="auto"/>
              <w:rPr>
                <w:rFonts w:ascii="宋体" w:cs="宋体"/>
                <w:color w:val="auto"/>
                <w:szCs w:val="21"/>
                <w:highlight w:val="none"/>
              </w:rPr>
            </w:pPr>
            <w:r>
              <w:rPr>
                <w:rFonts w:hint="eastAsia" w:ascii="宋体" w:cs="宋体"/>
                <w:color w:val="auto"/>
                <w:szCs w:val="21"/>
                <w:highlight w:val="none"/>
              </w:rPr>
              <w:t>委托代理人：</w:t>
            </w:r>
          </w:p>
        </w:tc>
        <w:tc>
          <w:tcPr>
            <w:tcW w:w="4583" w:type="dxa"/>
            <w:tcBorders>
              <w:top w:val="single" w:color="auto" w:sz="4" w:space="0"/>
              <w:left w:val="single" w:color="auto" w:sz="4" w:space="0"/>
              <w:bottom w:val="single" w:color="auto" w:sz="4" w:space="0"/>
              <w:right w:val="single" w:color="auto" w:sz="4" w:space="0"/>
            </w:tcBorders>
            <w:vAlign w:val="center"/>
          </w:tcPr>
          <w:p w14:paraId="35F790F3">
            <w:pPr>
              <w:snapToGrid w:val="0"/>
              <w:spacing w:line="360" w:lineRule="auto"/>
              <w:rPr>
                <w:rFonts w:ascii="宋体" w:cs="宋体"/>
                <w:color w:val="auto"/>
                <w:szCs w:val="21"/>
                <w:highlight w:val="none"/>
              </w:rPr>
            </w:pPr>
            <w:r>
              <w:rPr>
                <w:rFonts w:hint="eastAsia" w:ascii="宋体" w:cs="宋体"/>
                <w:color w:val="auto"/>
                <w:szCs w:val="21"/>
                <w:highlight w:val="none"/>
              </w:rPr>
              <w:t>委托代理人：</w:t>
            </w:r>
          </w:p>
        </w:tc>
      </w:tr>
      <w:tr w14:paraId="206EE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4582" w:type="dxa"/>
            <w:tcBorders>
              <w:top w:val="single" w:color="auto" w:sz="4" w:space="0"/>
              <w:left w:val="single" w:color="auto" w:sz="4" w:space="0"/>
              <w:bottom w:val="single" w:color="auto" w:sz="4" w:space="0"/>
              <w:right w:val="single" w:color="auto" w:sz="4" w:space="0"/>
            </w:tcBorders>
            <w:vAlign w:val="center"/>
          </w:tcPr>
          <w:p w14:paraId="30867D36">
            <w:pPr>
              <w:snapToGrid w:val="0"/>
              <w:spacing w:line="360" w:lineRule="auto"/>
              <w:rPr>
                <w:rFonts w:ascii="宋体" w:cs="宋体"/>
                <w:color w:val="auto"/>
                <w:szCs w:val="21"/>
                <w:highlight w:val="none"/>
              </w:rPr>
            </w:pPr>
            <w:r>
              <w:rPr>
                <w:rFonts w:hint="eastAsia" w:ascii="宋体" w:cs="宋体"/>
                <w:color w:val="auto"/>
                <w:szCs w:val="21"/>
                <w:highlight w:val="none"/>
              </w:rPr>
              <w:t>电话：</w:t>
            </w:r>
          </w:p>
        </w:tc>
        <w:tc>
          <w:tcPr>
            <w:tcW w:w="4583" w:type="dxa"/>
            <w:tcBorders>
              <w:top w:val="single" w:color="auto" w:sz="4" w:space="0"/>
              <w:left w:val="single" w:color="auto" w:sz="4" w:space="0"/>
              <w:bottom w:val="single" w:color="auto" w:sz="4" w:space="0"/>
              <w:right w:val="single" w:color="auto" w:sz="4" w:space="0"/>
            </w:tcBorders>
            <w:vAlign w:val="center"/>
          </w:tcPr>
          <w:p w14:paraId="5E48A233">
            <w:pPr>
              <w:snapToGrid w:val="0"/>
              <w:spacing w:line="360" w:lineRule="auto"/>
              <w:rPr>
                <w:rFonts w:ascii="宋体" w:cs="宋体"/>
                <w:color w:val="auto"/>
                <w:szCs w:val="21"/>
                <w:highlight w:val="none"/>
              </w:rPr>
            </w:pPr>
            <w:r>
              <w:rPr>
                <w:rFonts w:hint="eastAsia" w:ascii="宋体" w:cs="宋体"/>
                <w:color w:val="auto"/>
                <w:szCs w:val="21"/>
                <w:highlight w:val="none"/>
              </w:rPr>
              <w:t>电话：</w:t>
            </w:r>
          </w:p>
        </w:tc>
      </w:tr>
      <w:tr w14:paraId="20EE9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4582" w:type="dxa"/>
            <w:tcBorders>
              <w:top w:val="single" w:color="auto" w:sz="4" w:space="0"/>
              <w:left w:val="single" w:color="auto" w:sz="4" w:space="0"/>
              <w:bottom w:val="single" w:color="auto" w:sz="4" w:space="0"/>
              <w:right w:val="single" w:color="auto" w:sz="4" w:space="0"/>
            </w:tcBorders>
            <w:vAlign w:val="center"/>
          </w:tcPr>
          <w:p w14:paraId="29F3D99E">
            <w:pPr>
              <w:snapToGrid w:val="0"/>
              <w:spacing w:line="360" w:lineRule="auto"/>
              <w:rPr>
                <w:rFonts w:ascii="宋体" w:cs="宋体"/>
                <w:color w:val="auto"/>
                <w:szCs w:val="21"/>
                <w:highlight w:val="none"/>
              </w:rPr>
            </w:pPr>
            <w:r>
              <w:rPr>
                <w:rFonts w:hint="eastAsia" w:ascii="宋体" w:cs="宋体"/>
                <w:color w:val="auto"/>
                <w:szCs w:val="21"/>
                <w:highlight w:val="none"/>
              </w:rPr>
              <w:t>开户银行：</w:t>
            </w:r>
            <w:r>
              <w:rPr>
                <w:rFonts w:hint="eastAsia" w:ascii="宋体" w:hAnsi="宋体" w:cs="宋体"/>
                <w:color w:val="auto"/>
                <w:szCs w:val="21"/>
                <w:highlight w:val="none"/>
              </w:rPr>
              <w:t>建行南宁市</w:t>
            </w:r>
            <w:r>
              <w:rPr>
                <w:rFonts w:hint="eastAsia" w:ascii="宋体" w:hAnsi="宋体" w:cs="宋体"/>
                <w:color w:val="auto"/>
                <w:szCs w:val="21"/>
                <w:highlight w:val="none"/>
                <w:lang w:eastAsia="zh-CN"/>
              </w:rPr>
              <w:t>桃源</w:t>
            </w:r>
            <w:r>
              <w:rPr>
                <w:rFonts w:hint="eastAsia" w:ascii="宋体" w:hAnsi="宋体" w:cs="宋体"/>
                <w:color w:val="auto"/>
                <w:szCs w:val="21"/>
                <w:highlight w:val="none"/>
              </w:rPr>
              <w:t xml:space="preserve">支行 </w:t>
            </w:r>
          </w:p>
        </w:tc>
        <w:tc>
          <w:tcPr>
            <w:tcW w:w="4583" w:type="dxa"/>
            <w:tcBorders>
              <w:top w:val="single" w:color="auto" w:sz="4" w:space="0"/>
              <w:left w:val="single" w:color="auto" w:sz="4" w:space="0"/>
              <w:bottom w:val="single" w:color="auto" w:sz="4" w:space="0"/>
              <w:right w:val="single" w:color="auto" w:sz="4" w:space="0"/>
            </w:tcBorders>
            <w:vAlign w:val="center"/>
          </w:tcPr>
          <w:p w14:paraId="104B6A5C">
            <w:pPr>
              <w:snapToGrid w:val="0"/>
              <w:spacing w:line="360" w:lineRule="auto"/>
              <w:rPr>
                <w:rFonts w:ascii="宋体" w:cs="宋体"/>
                <w:color w:val="auto"/>
                <w:szCs w:val="21"/>
                <w:highlight w:val="none"/>
              </w:rPr>
            </w:pPr>
            <w:r>
              <w:rPr>
                <w:rFonts w:hint="eastAsia" w:ascii="宋体" w:cs="宋体"/>
                <w:color w:val="auto"/>
                <w:szCs w:val="21"/>
                <w:highlight w:val="none"/>
              </w:rPr>
              <w:t>开户银行：</w:t>
            </w:r>
          </w:p>
        </w:tc>
      </w:tr>
      <w:tr w14:paraId="584BB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4582" w:type="dxa"/>
            <w:tcBorders>
              <w:top w:val="single" w:color="auto" w:sz="4" w:space="0"/>
              <w:left w:val="single" w:color="auto" w:sz="4" w:space="0"/>
              <w:bottom w:val="single" w:color="auto" w:sz="4" w:space="0"/>
              <w:right w:val="single" w:color="auto" w:sz="4" w:space="0"/>
            </w:tcBorders>
            <w:vAlign w:val="center"/>
          </w:tcPr>
          <w:p w14:paraId="0E3C4902">
            <w:pPr>
              <w:snapToGrid w:val="0"/>
              <w:spacing w:line="360" w:lineRule="auto"/>
              <w:rPr>
                <w:rFonts w:ascii="宋体" w:cs="宋体"/>
                <w:color w:val="auto"/>
                <w:szCs w:val="21"/>
                <w:highlight w:val="none"/>
              </w:rPr>
            </w:pPr>
            <w:r>
              <w:rPr>
                <w:rFonts w:hint="eastAsia" w:ascii="宋体" w:cs="宋体"/>
                <w:color w:val="auto"/>
                <w:szCs w:val="21"/>
                <w:highlight w:val="none"/>
              </w:rPr>
              <w:t>账号：</w:t>
            </w:r>
            <w:r>
              <w:rPr>
                <w:rFonts w:hint="eastAsia" w:ascii="宋体" w:hAnsi="宋体" w:cs="宋体"/>
                <w:color w:val="auto"/>
                <w:szCs w:val="21"/>
                <w:highlight w:val="none"/>
              </w:rPr>
              <w:t>45001604554050501031</w:t>
            </w:r>
          </w:p>
        </w:tc>
        <w:tc>
          <w:tcPr>
            <w:tcW w:w="4583" w:type="dxa"/>
            <w:tcBorders>
              <w:top w:val="single" w:color="auto" w:sz="4" w:space="0"/>
              <w:left w:val="single" w:color="auto" w:sz="4" w:space="0"/>
              <w:bottom w:val="single" w:color="auto" w:sz="4" w:space="0"/>
              <w:right w:val="single" w:color="auto" w:sz="4" w:space="0"/>
            </w:tcBorders>
            <w:vAlign w:val="center"/>
          </w:tcPr>
          <w:p w14:paraId="255A3FA5">
            <w:pPr>
              <w:snapToGrid w:val="0"/>
              <w:spacing w:line="360" w:lineRule="auto"/>
              <w:rPr>
                <w:rFonts w:ascii="宋体" w:cs="宋体"/>
                <w:color w:val="auto"/>
                <w:szCs w:val="21"/>
                <w:highlight w:val="none"/>
              </w:rPr>
            </w:pPr>
            <w:r>
              <w:rPr>
                <w:rFonts w:hint="eastAsia" w:ascii="宋体" w:cs="宋体"/>
                <w:color w:val="auto"/>
                <w:szCs w:val="21"/>
                <w:highlight w:val="none"/>
              </w:rPr>
              <w:t>账号：</w:t>
            </w:r>
          </w:p>
        </w:tc>
      </w:tr>
      <w:tr w14:paraId="24E61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4582" w:type="dxa"/>
            <w:tcBorders>
              <w:top w:val="single" w:color="auto" w:sz="4" w:space="0"/>
              <w:left w:val="single" w:color="auto" w:sz="4" w:space="0"/>
              <w:bottom w:val="single" w:color="auto" w:sz="4" w:space="0"/>
              <w:right w:val="single" w:color="auto" w:sz="4" w:space="0"/>
            </w:tcBorders>
            <w:vAlign w:val="center"/>
          </w:tcPr>
          <w:p w14:paraId="34A97A96">
            <w:pPr>
              <w:snapToGrid w:val="0"/>
              <w:spacing w:line="360" w:lineRule="auto"/>
              <w:rPr>
                <w:rFonts w:ascii="宋体" w:cs="宋体"/>
                <w:color w:val="auto"/>
                <w:szCs w:val="21"/>
                <w:highlight w:val="none"/>
              </w:rPr>
            </w:pPr>
            <w:r>
              <w:rPr>
                <w:rFonts w:hint="eastAsia" w:ascii="宋体" w:cs="宋体"/>
                <w:color w:val="auto"/>
                <w:szCs w:val="21"/>
                <w:highlight w:val="none"/>
              </w:rPr>
              <w:t>邮政编码：</w:t>
            </w:r>
            <w:r>
              <w:rPr>
                <w:rFonts w:hint="eastAsia" w:ascii="宋体" w:hAnsi="宋体" w:cs="宋体"/>
                <w:color w:val="auto"/>
                <w:szCs w:val="21"/>
                <w:highlight w:val="none"/>
                <w:lang w:val="en-US" w:eastAsia="zh-CN"/>
              </w:rPr>
              <w:t>530021</w:t>
            </w:r>
          </w:p>
        </w:tc>
        <w:tc>
          <w:tcPr>
            <w:tcW w:w="4583" w:type="dxa"/>
            <w:tcBorders>
              <w:top w:val="single" w:color="auto" w:sz="4" w:space="0"/>
              <w:left w:val="single" w:color="auto" w:sz="4" w:space="0"/>
              <w:bottom w:val="single" w:color="auto" w:sz="4" w:space="0"/>
              <w:right w:val="single" w:color="auto" w:sz="4" w:space="0"/>
            </w:tcBorders>
            <w:vAlign w:val="center"/>
          </w:tcPr>
          <w:p w14:paraId="122E24F7">
            <w:pPr>
              <w:snapToGrid w:val="0"/>
              <w:spacing w:line="360" w:lineRule="auto"/>
              <w:rPr>
                <w:rFonts w:ascii="宋体" w:cs="宋体"/>
                <w:color w:val="auto"/>
                <w:szCs w:val="21"/>
                <w:highlight w:val="none"/>
              </w:rPr>
            </w:pPr>
            <w:r>
              <w:rPr>
                <w:rFonts w:hint="eastAsia" w:ascii="宋体" w:cs="宋体"/>
                <w:color w:val="auto"/>
                <w:szCs w:val="21"/>
                <w:highlight w:val="none"/>
              </w:rPr>
              <w:t>邮政编码：</w:t>
            </w:r>
          </w:p>
        </w:tc>
      </w:tr>
    </w:tbl>
    <w:p w14:paraId="36A77845">
      <w:pP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br w:type="page"/>
      </w:r>
    </w:p>
    <w:p w14:paraId="61CB3071">
      <w:pPr>
        <w:snapToGrid w:val="0"/>
        <w:spacing w:line="36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广西壮族自治区政府采购项目合同验收书</w:t>
      </w:r>
    </w:p>
    <w:p w14:paraId="71CBABE3">
      <w:pPr>
        <w:widowControl/>
        <w:snapToGrid w:val="0"/>
        <w:spacing w:before="100" w:beforeAutospacing="1" w:after="100" w:afterAutospacing="1" w:line="320" w:lineRule="exact"/>
        <w:ind w:left="-359" w:leftChars="-171"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根据政府采购项目（</w:t>
      </w:r>
      <w:r>
        <w:rPr>
          <w:rFonts w:hint="eastAsia" w:ascii="宋体" w:hAnsi="宋体" w:eastAsia="宋体" w:cs="宋体"/>
          <w:color w:val="auto"/>
          <w:kern w:val="0"/>
          <w:sz w:val="21"/>
          <w:szCs w:val="21"/>
          <w:highlight w:val="none"/>
          <w:u w:val="single"/>
        </w:rPr>
        <w:t xml:space="preserve">采购合同编号：     </w:t>
      </w:r>
      <w:r>
        <w:rPr>
          <w:rFonts w:hint="eastAsia" w:ascii="宋体" w:hAnsi="宋体" w:eastAsia="宋体" w:cs="宋体"/>
          <w:color w:val="auto"/>
          <w:kern w:val="0"/>
          <w:sz w:val="21"/>
          <w:szCs w:val="21"/>
          <w:highlight w:val="none"/>
        </w:rPr>
        <w:t>）的约定，我单位对（</w:t>
      </w:r>
      <w:r>
        <w:rPr>
          <w:rFonts w:hint="eastAsia" w:ascii="宋体" w:hAnsi="宋体" w:eastAsia="宋体" w:cs="宋体"/>
          <w:color w:val="auto"/>
          <w:kern w:val="0"/>
          <w:sz w:val="21"/>
          <w:szCs w:val="21"/>
          <w:highlight w:val="none"/>
          <w:u w:val="single"/>
        </w:rPr>
        <w:t xml:space="preserve">  项目名称   </w:t>
      </w:r>
      <w:r>
        <w:rPr>
          <w:rFonts w:hint="eastAsia" w:ascii="宋体" w:hAnsi="宋体" w:eastAsia="宋体" w:cs="宋体"/>
          <w:color w:val="auto"/>
          <w:kern w:val="0"/>
          <w:sz w:val="21"/>
          <w:szCs w:val="21"/>
          <w:highlight w:val="none"/>
        </w:rPr>
        <w:t>）政府采购项目中标（或成交）供应商（</w:t>
      </w:r>
      <w:r>
        <w:rPr>
          <w:rFonts w:hint="eastAsia" w:ascii="宋体" w:hAnsi="宋体" w:eastAsia="宋体" w:cs="宋体"/>
          <w:color w:val="auto"/>
          <w:kern w:val="0"/>
          <w:sz w:val="21"/>
          <w:szCs w:val="21"/>
          <w:highlight w:val="none"/>
          <w:u w:val="single"/>
        </w:rPr>
        <w:t xml:space="preserve">            公司名称              </w:t>
      </w:r>
      <w:r>
        <w:rPr>
          <w:rFonts w:hint="eastAsia" w:ascii="宋体" w:hAnsi="宋体" w:eastAsia="宋体" w:cs="宋体"/>
          <w:color w:val="auto"/>
          <w:kern w:val="0"/>
          <w:sz w:val="21"/>
          <w:szCs w:val="21"/>
          <w:highlight w:val="none"/>
        </w:rPr>
        <w:t>）提供的货物（或工程、服务）进行了验收，验收情况如下：</w:t>
      </w:r>
    </w:p>
    <w:tbl>
      <w:tblPr>
        <w:tblStyle w:val="31"/>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527"/>
        <w:gridCol w:w="2294"/>
        <w:gridCol w:w="946"/>
        <w:gridCol w:w="2495"/>
        <w:gridCol w:w="205"/>
        <w:gridCol w:w="793"/>
        <w:gridCol w:w="1367"/>
      </w:tblGrid>
      <w:tr w14:paraId="2EAE96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97" w:hRule="atLeast"/>
          <w:jc w:val="center"/>
        </w:trPr>
        <w:tc>
          <w:tcPr>
            <w:tcW w:w="3821" w:type="dxa"/>
            <w:gridSpan w:val="2"/>
            <w:tcBorders>
              <w:top w:val="single" w:color="auto" w:sz="8" w:space="0"/>
              <w:left w:val="single" w:color="auto" w:sz="8" w:space="0"/>
              <w:bottom w:val="single" w:color="auto" w:sz="8" w:space="0"/>
              <w:right w:val="single" w:color="auto" w:sz="8" w:space="0"/>
            </w:tcBorders>
            <w:noWrap w:val="0"/>
            <w:vAlign w:val="center"/>
          </w:tcPr>
          <w:p w14:paraId="51A34D93">
            <w:pPr>
              <w:widowControl/>
              <w:snapToGrid w:val="0"/>
              <w:spacing w:before="100" w:beforeAutospacing="1" w:after="100" w:afterAutospacing="1" w:line="320" w:lineRule="exact"/>
              <w:ind w:left="-3" w:firstLine="4" w:firstLineChars="2"/>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验收方式：</w:t>
            </w:r>
          </w:p>
        </w:tc>
        <w:tc>
          <w:tcPr>
            <w:tcW w:w="5806" w:type="dxa"/>
            <w:gridSpan w:val="5"/>
            <w:tcBorders>
              <w:top w:val="single" w:color="auto" w:sz="8" w:space="0"/>
              <w:left w:val="single" w:color="auto" w:sz="8" w:space="0"/>
              <w:bottom w:val="single" w:color="auto" w:sz="8" w:space="0"/>
              <w:right w:val="single" w:color="auto" w:sz="8" w:space="0"/>
            </w:tcBorders>
            <w:noWrap w:val="0"/>
            <w:vAlign w:val="center"/>
          </w:tcPr>
          <w:p w14:paraId="5BFF27F1">
            <w:pPr>
              <w:widowControl/>
              <w:snapToGrid w:val="0"/>
              <w:spacing w:before="100" w:beforeAutospacing="1" w:after="100" w:afterAutospacing="1" w:line="320" w:lineRule="exact"/>
              <w:ind w:left="-3" w:firstLine="420" w:firstLineChars="20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□自行验收         □委托验收</w:t>
            </w:r>
          </w:p>
        </w:tc>
      </w:tr>
      <w:tr w14:paraId="6E4A2D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22" w:hRule="atLeast"/>
          <w:jc w:val="center"/>
        </w:trPr>
        <w:tc>
          <w:tcPr>
            <w:tcW w:w="1527" w:type="dxa"/>
            <w:tcBorders>
              <w:top w:val="single" w:color="auto" w:sz="8" w:space="0"/>
              <w:left w:val="single" w:color="auto" w:sz="8" w:space="0"/>
              <w:bottom w:val="single" w:color="auto" w:sz="8" w:space="0"/>
              <w:right w:val="single" w:color="auto" w:sz="8" w:space="0"/>
            </w:tcBorders>
            <w:noWrap w:val="0"/>
            <w:vAlign w:val="center"/>
          </w:tcPr>
          <w:p w14:paraId="22933D8E">
            <w:pPr>
              <w:widowControl/>
              <w:snapToGrid w:val="0"/>
              <w:spacing w:before="100" w:beforeAutospacing="1" w:after="100" w:afterAutospacing="1" w:line="320" w:lineRule="exact"/>
              <w:ind w:firstLine="2" w:firstLineChars="1"/>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2294" w:type="dxa"/>
            <w:tcBorders>
              <w:top w:val="single" w:color="auto" w:sz="8" w:space="0"/>
              <w:left w:val="single" w:color="auto" w:sz="8" w:space="0"/>
              <w:bottom w:val="single" w:color="auto" w:sz="8" w:space="0"/>
              <w:right w:val="single" w:color="auto" w:sz="8" w:space="0"/>
            </w:tcBorders>
            <w:noWrap w:val="0"/>
            <w:vAlign w:val="center"/>
          </w:tcPr>
          <w:p w14:paraId="471B9EDD">
            <w:pPr>
              <w:widowControl/>
              <w:snapToGrid w:val="0"/>
              <w:spacing w:before="100" w:beforeAutospacing="1" w:after="100" w:afterAutospacing="1" w:line="320" w:lineRule="exact"/>
              <w:ind w:left="-3" w:firstLine="2" w:firstLineChars="1"/>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名  称</w:t>
            </w:r>
          </w:p>
        </w:tc>
        <w:tc>
          <w:tcPr>
            <w:tcW w:w="3441" w:type="dxa"/>
            <w:gridSpan w:val="2"/>
            <w:tcBorders>
              <w:top w:val="single" w:color="auto" w:sz="8" w:space="0"/>
              <w:left w:val="single" w:color="auto" w:sz="8" w:space="0"/>
              <w:bottom w:val="single" w:color="auto" w:sz="8" w:space="0"/>
              <w:right w:val="single" w:color="auto" w:sz="8" w:space="0"/>
            </w:tcBorders>
            <w:noWrap w:val="0"/>
            <w:vAlign w:val="center"/>
          </w:tcPr>
          <w:p w14:paraId="69B3C7D4">
            <w:pPr>
              <w:widowControl/>
              <w:snapToGrid w:val="0"/>
              <w:spacing w:before="100" w:beforeAutospacing="1" w:after="100" w:afterAutospacing="1" w:line="320" w:lineRule="exact"/>
              <w:ind w:left="-3" w:firstLine="2" w:firstLineChars="1"/>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货物型号规格、标准及配置等（或服务内容、标准）</w:t>
            </w:r>
          </w:p>
        </w:tc>
        <w:tc>
          <w:tcPr>
            <w:tcW w:w="998" w:type="dxa"/>
            <w:gridSpan w:val="2"/>
            <w:tcBorders>
              <w:top w:val="single" w:color="auto" w:sz="8" w:space="0"/>
              <w:left w:val="single" w:color="auto" w:sz="8" w:space="0"/>
              <w:bottom w:val="single" w:color="auto" w:sz="8" w:space="0"/>
              <w:right w:val="single" w:color="auto" w:sz="8" w:space="0"/>
            </w:tcBorders>
            <w:noWrap w:val="0"/>
            <w:vAlign w:val="center"/>
          </w:tcPr>
          <w:p w14:paraId="50F03C1A">
            <w:pPr>
              <w:widowControl/>
              <w:snapToGrid w:val="0"/>
              <w:spacing w:before="100" w:beforeAutospacing="1" w:after="100" w:afterAutospacing="1" w:line="32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数量</w:t>
            </w:r>
          </w:p>
        </w:tc>
        <w:tc>
          <w:tcPr>
            <w:tcW w:w="1367" w:type="dxa"/>
            <w:tcBorders>
              <w:top w:val="single" w:color="auto" w:sz="8" w:space="0"/>
              <w:left w:val="single" w:color="auto" w:sz="8" w:space="0"/>
              <w:bottom w:val="single" w:color="auto" w:sz="8" w:space="0"/>
              <w:right w:val="single" w:color="auto" w:sz="8" w:space="0"/>
            </w:tcBorders>
            <w:noWrap w:val="0"/>
            <w:vAlign w:val="center"/>
          </w:tcPr>
          <w:p w14:paraId="78403C43">
            <w:pPr>
              <w:widowControl/>
              <w:snapToGrid w:val="0"/>
              <w:spacing w:before="100" w:beforeAutospacing="1" w:after="100" w:afterAutospacing="1" w:line="320" w:lineRule="exact"/>
              <w:ind w:left="-3" w:firstLine="2" w:firstLineChars="1"/>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金  额</w:t>
            </w:r>
          </w:p>
        </w:tc>
      </w:tr>
      <w:tr w14:paraId="2D5594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27" w:type="dxa"/>
            <w:tcBorders>
              <w:top w:val="single" w:color="auto" w:sz="8" w:space="0"/>
              <w:left w:val="single" w:color="auto" w:sz="8" w:space="0"/>
              <w:bottom w:val="single" w:color="auto" w:sz="8" w:space="0"/>
              <w:right w:val="single" w:color="auto" w:sz="8" w:space="0"/>
            </w:tcBorders>
            <w:noWrap w:val="0"/>
            <w:vAlign w:val="center"/>
          </w:tcPr>
          <w:p w14:paraId="47870750">
            <w:pPr>
              <w:widowControl/>
              <w:snapToGrid w:val="0"/>
              <w:spacing w:before="100" w:beforeAutospacing="1" w:after="100" w:afterAutospacing="1" w:line="320" w:lineRule="exact"/>
              <w:ind w:left="-3" w:firstLine="4" w:firstLineChars="2"/>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2294" w:type="dxa"/>
            <w:tcBorders>
              <w:top w:val="single" w:color="auto" w:sz="8" w:space="0"/>
              <w:left w:val="single" w:color="auto" w:sz="8" w:space="0"/>
              <w:bottom w:val="single" w:color="auto" w:sz="8" w:space="0"/>
              <w:right w:val="single" w:color="auto" w:sz="8" w:space="0"/>
            </w:tcBorders>
            <w:noWrap w:val="0"/>
            <w:vAlign w:val="center"/>
          </w:tcPr>
          <w:p w14:paraId="2A55B2A0">
            <w:pPr>
              <w:widowControl/>
              <w:snapToGrid w:val="0"/>
              <w:spacing w:before="100" w:beforeAutospacing="1" w:after="100" w:afterAutospacing="1" w:line="320" w:lineRule="exact"/>
              <w:ind w:left="-3"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3441" w:type="dxa"/>
            <w:gridSpan w:val="2"/>
            <w:tcBorders>
              <w:top w:val="single" w:color="auto" w:sz="8" w:space="0"/>
              <w:left w:val="single" w:color="auto" w:sz="8" w:space="0"/>
              <w:bottom w:val="single" w:color="auto" w:sz="8" w:space="0"/>
              <w:right w:val="single" w:color="auto" w:sz="8" w:space="0"/>
            </w:tcBorders>
            <w:noWrap w:val="0"/>
            <w:vAlign w:val="center"/>
          </w:tcPr>
          <w:p w14:paraId="24F2EB9F">
            <w:pPr>
              <w:widowControl/>
              <w:snapToGrid w:val="0"/>
              <w:spacing w:before="100" w:beforeAutospacing="1" w:after="100" w:afterAutospacing="1" w:line="320" w:lineRule="exact"/>
              <w:ind w:left="-3"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998" w:type="dxa"/>
            <w:gridSpan w:val="2"/>
            <w:tcBorders>
              <w:top w:val="single" w:color="auto" w:sz="8" w:space="0"/>
              <w:left w:val="single" w:color="auto" w:sz="8" w:space="0"/>
              <w:bottom w:val="single" w:color="auto" w:sz="8" w:space="0"/>
              <w:right w:val="single" w:color="auto" w:sz="8" w:space="0"/>
            </w:tcBorders>
            <w:noWrap w:val="0"/>
            <w:vAlign w:val="center"/>
          </w:tcPr>
          <w:p w14:paraId="5C626116">
            <w:pPr>
              <w:widowControl/>
              <w:snapToGrid w:val="0"/>
              <w:spacing w:before="100" w:beforeAutospacing="1" w:after="100" w:afterAutospacing="1" w:line="3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1367" w:type="dxa"/>
            <w:tcBorders>
              <w:top w:val="single" w:color="auto" w:sz="8" w:space="0"/>
              <w:left w:val="single" w:color="auto" w:sz="8" w:space="0"/>
              <w:bottom w:val="single" w:color="auto" w:sz="8" w:space="0"/>
              <w:right w:val="single" w:color="auto" w:sz="8" w:space="0"/>
            </w:tcBorders>
            <w:noWrap w:val="0"/>
            <w:vAlign w:val="center"/>
          </w:tcPr>
          <w:p w14:paraId="04D026E0">
            <w:pPr>
              <w:widowControl/>
              <w:snapToGrid w:val="0"/>
              <w:spacing w:before="100" w:beforeAutospacing="1" w:after="100" w:afterAutospacing="1" w:line="3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796BEE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27" w:type="dxa"/>
            <w:tcBorders>
              <w:top w:val="single" w:color="auto" w:sz="8" w:space="0"/>
              <w:left w:val="single" w:color="auto" w:sz="8" w:space="0"/>
              <w:bottom w:val="single" w:color="auto" w:sz="8" w:space="0"/>
              <w:right w:val="single" w:color="auto" w:sz="8" w:space="0"/>
            </w:tcBorders>
            <w:noWrap w:val="0"/>
            <w:vAlign w:val="center"/>
          </w:tcPr>
          <w:p w14:paraId="2DCC13B1">
            <w:pPr>
              <w:widowControl/>
              <w:snapToGrid w:val="0"/>
              <w:spacing w:before="100" w:beforeAutospacing="1" w:after="100" w:afterAutospacing="1" w:line="320" w:lineRule="exact"/>
              <w:ind w:left="-3"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2294" w:type="dxa"/>
            <w:tcBorders>
              <w:top w:val="single" w:color="auto" w:sz="8" w:space="0"/>
              <w:left w:val="single" w:color="auto" w:sz="8" w:space="0"/>
              <w:bottom w:val="single" w:color="auto" w:sz="8" w:space="0"/>
              <w:right w:val="single" w:color="auto" w:sz="8" w:space="0"/>
            </w:tcBorders>
            <w:noWrap w:val="0"/>
            <w:vAlign w:val="center"/>
          </w:tcPr>
          <w:p w14:paraId="74861231">
            <w:pPr>
              <w:widowControl/>
              <w:snapToGrid w:val="0"/>
              <w:spacing w:before="100" w:beforeAutospacing="1" w:after="100" w:afterAutospacing="1" w:line="320" w:lineRule="exact"/>
              <w:ind w:left="-3"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3441" w:type="dxa"/>
            <w:gridSpan w:val="2"/>
            <w:tcBorders>
              <w:top w:val="single" w:color="auto" w:sz="8" w:space="0"/>
              <w:left w:val="single" w:color="auto" w:sz="8" w:space="0"/>
              <w:bottom w:val="single" w:color="auto" w:sz="8" w:space="0"/>
              <w:right w:val="single" w:color="auto" w:sz="8" w:space="0"/>
            </w:tcBorders>
            <w:noWrap w:val="0"/>
            <w:vAlign w:val="center"/>
          </w:tcPr>
          <w:p w14:paraId="44174A83">
            <w:pPr>
              <w:widowControl/>
              <w:snapToGrid w:val="0"/>
              <w:spacing w:before="100" w:beforeAutospacing="1" w:after="100" w:afterAutospacing="1" w:line="320" w:lineRule="exact"/>
              <w:ind w:left="-3"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998" w:type="dxa"/>
            <w:gridSpan w:val="2"/>
            <w:tcBorders>
              <w:top w:val="single" w:color="auto" w:sz="8" w:space="0"/>
              <w:left w:val="single" w:color="auto" w:sz="8" w:space="0"/>
              <w:bottom w:val="single" w:color="auto" w:sz="8" w:space="0"/>
              <w:right w:val="single" w:color="auto" w:sz="8" w:space="0"/>
            </w:tcBorders>
            <w:noWrap w:val="0"/>
            <w:vAlign w:val="center"/>
          </w:tcPr>
          <w:p w14:paraId="185B15D2">
            <w:pPr>
              <w:widowControl/>
              <w:snapToGrid w:val="0"/>
              <w:spacing w:before="100" w:beforeAutospacing="1" w:after="100" w:afterAutospacing="1" w:line="3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1367" w:type="dxa"/>
            <w:tcBorders>
              <w:top w:val="single" w:color="auto" w:sz="8" w:space="0"/>
              <w:left w:val="single" w:color="auto" w:sz="8" w:space="0"/>
              <w:bottom w:val="single" w:color="auto" w:sz="8" w:space="0"/>
              <w:right w:val="single" w:color="auto" w:sz="8" w:space="0"/>
            </w:tcBorders>
            <w:noWrap w:val="0"/>
            <w:vAlign w:val="center"/>
          </w:tcPr>
          <w:p w14:paraId="61633045">
            <w:pPr>
              <w:widowControl/>
              <w:snapToGrid w:val="0"/>
              <w:spacing w:before="100" w:beforeAutospacing="1" w:after="100" w:afterAutospacing="1" w:line="3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1865B9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27" w:type="dxa"/>
            <w:tcBorders>
              <w:top w:val="single" w:color="auto" w:sz="8" w:space="0"/>
              <w:left w:val="single" w:color="auto" w:sz="8" w:space="0"/>
              <w:bottom w:val="single" w:color="auto" w:sz="8" w:space="0"/>
              <w:right w:val="single" w:color="auto" w:sz="8" w:space="0"/>
            </w:tcBorders>
            <w:noWrap w:val="0"/>
            <w:vAlign w:val="center"/>
          </w:tcPr>
          <w:p w14:paraId="5C24B711">
            <w:pPr>
              <w:widowControl/>
              <w:snapToGrid w:val="0"/>
              <w:spacing w:before="100" w:beforeAutospacing="1" w:after="100" w:afterAutospacing="1" w:line="320" w:lineRule="exact"/>
              <w:ind w:left="-3"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2294" w:type="dxa"/>
            <w:tcBorders>
              <w:top w:val="single" w:color="auto" w:sz="8" w:space="0"/>
              <w:left w:val="single" w:color="auto" w:sz="8" w:space="0"/>
              <w:bottom w:val="single" w:color="auto" w:sz="8" w:space="0"/>
              <w:right w:val="single" w:color="auto" w:sz="8" w:space="0"/>
            </w:tcBorders>
            <w:noWrap w:val="0"/>
            <w:vAlign w:val="center"/>
          </w:tcPr>
          <w:p w14:paraId="5C75AE65">
            <w:pPr>
              <w:widowControl/>
              <w:snapToGrid w:val="0"/>
              <w:spacing w:before="100" w:beforeAutospacing="1" w:after="100" w:afterAutospacing="1" w:line="320" w:lineRule="exact"/>
              <w:ind w:left="-3"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3441" w:type="dxa"/>
            <w:gridSpan w:val="2"/>
            <w:tcBorders>
              <w:top w:val="single" w:color="auto" w:sz="8" w:space="0"/>
              <w:left w:val="single" w:color="auto" w:sz="8" w:space="0"/>
              <w:bottom w:val="single" w:color="auto" w:sz="8" w:space="0"/>
              <w:right w:val="single" w:color="auto" w:sz="8" w:space="0"/>
            </w:tcBorders>
            <w:noWrap w:val="0"/>
            <w:vAlign w:val="center"/>
          </w:tcPr>
          <w:p w14:paraId="1DEB8314">
            <w:pPr>
              <w:widowControl/>
              <w:snapToGrid w:val="0"/>
              <w:spacing w:before="100" w:beforeAutospacing="1" w:after="100" w:afterAutospacing="1" w:line="320" w:lineRule="exact"/>
              <w:ind w:left="-3"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998" w:type="dxa"/>
            <w:gridSpan w:val="2"/>
            <w:tcBorders>
              <w:top w:val="single" w:color="auto" w:sz="8" w:space="0"/>
              <w:left w:val="single" w:color="auto" w:sz="8" w:space="0"/>
              <w:bottom w:val="single" w:color="auto" w:sz="8" w:space="0"/>
              <w:right w:val="single" w:color="auto" w:sz="8" w:space="0"/>
            </w:tcBorders>
            <w:noWrap w:val="0"/>
            <w:vAlign w:val="center"/>
          </w:tcPr>
          <w:p w14:paraId="087177FE">
            <w:pPr>
              <w:widowControl/>
              <w:snapToGrid w:val="0"/>
              <w:spacing w:before="100" w:beforeAutospacing="1" w:after="100" w:afterAutospacing="1" w:line="3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1367" w:type="dxa"/>
            <w:tcBorders>
              <w:top w:val="single" w:color="auto" w:sz="8" w:space="0"/>
              <w:left w:val="single" w:color="auto" w:sz="8" w:space="0"/>
              <w:bottom w:val="single" w:color="auto" w:sz="8" w:space="0"/>
              <w:right w:val="single" w:color="auto" w:sz="8" w:space="0"/>
            </w:tcBorders>
            <w:noWrap w:val="0"/>
            <w:vAlign w:val="center"/>
          </w:tcPr>
          <w:p w14:paraId="4BAFE3B6">
            <w:pPr>
              <w:widowControl/>
              <w:snapToGrid w:val="0"/>
              <w:spacing w:before="100" w:beforeAutospacing="1" w:after="100" w:afterAutospacing="1" w:line="3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46CADD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7262" w:type="dxa"/>
            <w:gridSpan w:val="4"/>
            <w:tcBorders>
              <w:top w:val="single" w:color="auto" w:sz="8" w:space="0"/>
              <w:left w:val="single" w:color="auto" w:sz="8" w:space="0"/>
              <w:bottom w:val="single" w:color="auto" w:sz="8" w:space="0"/>
              <w:right w:val="single" w:color="auto" w:sz="8" w:space="0"/>
            </w:tcBorders>
            <w:noWrap w:val="0"/>
            <w:vAlign w:val="center"/>
          </w:tcPr>
          <w:p w14:paraId="3E037D82">
            <w:pPr>
              <w:widowControl/>
              <w:snapToGrid w:val="0"/>
              <w:spacing w:before="100" w:beforeAutospacing="1" w:after="100" w:afterAutospacing="1" w:line="320" w:lineRule="exact"/>
              <w:ind w:left="-3" w:firstLine="4" w:firstLineChars="2"/>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        计</w:t>
            </w:r>
          </w:p>
        </w:tc>
        <w:tc>
          <w:tcPr>
            <w:tcW w:w="998" w:type="dxa"/>
            <w:gridSpan w:val="2"/>
            <w:tcBorders>
              <w:top w:val="single" w:color="auto" w:sz="8" w:space="0"/>
              <w:left w:val="single" w:color="auto" w:sz="8" w:space="0"/>
              <w:bottom w:val="single" w:color="auto" w:sz="8" w:space="0"/>
              <w:right w:val="single" w:color="auto" w:sz="8" w:space="0"/>
            </w:tcBorders>
            <w:noWrap w:val="0"/>
            <w:vAlign w:val="center"/>
          </w:tcPr>
          <w:p w14:paraId="0EA2D4AD">
            <w:pPr>
              <w:widowControl/>
              <w:snapToGrid w:val="0"/>
              <w:spacing w:before="100" w:beforeAutospacing="1" w:after="100" w:afterAutospacing="1" w:line="3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1367" w:type="dxa"/>
            <w:tcBorders>
              <w:top w:val="single" w:color="auto" w:sz="8" w:space="0"/>
              <w:left w:val="single" w:color="auto" w:sz="8" w:space="0"/>
              <w:bottom w:val="single" w:color="auto" w:sz="8" w:space="0"/>
              <w:right w:val="single" w:color="auto" w:sz="8" w:space="0"/>
            </w:tcBorders>
            <w:noWrap w:val="0"/>
            <w:vAlign w:val="center"/>
          </w:tcPr>
          <w:p w14:paraId="769CC99F">
            <w:pPr>
              <w:widowControl/>
              <w:snapToGrid w:val="0"/>
              <w:spacing w:before="100" w:beforeAutospacing="1" w:after="100" w:afterAutospacing="1" w:line="3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14:paraId="0E6C55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jc w:val="center"/>
        </w:trPr>
        <w:tc>
          <w:tcPr>
            <w:tcW w:w="9627" w:type="dxa"/>
            <w:gridSpan w:val="7"/>
            <w:tcBorders>
              <w:top w:val="single" w:color="auto" w:sz="8" w:space="0"/>
              <w:left w:val="single" w:color="auto" w:sz="8" w:space="0"/>
              <w:bottom w:val="single" w:color="auto" w:sz="8" w:space="0"/>
              <w:right w:val="single" w:color="auto" w:sz="8" w:space="0"/>
            </w:tcBorders>
            <w:noWrap w:val="0"/>
            <w:vAlign w:val="center"/>
          </w:tcPr>
          <w:p w14:paraId="3BDC46CC">
            <w:pPr>
              <w:widowControl/>
              <w:snapToGrid w:val="0"/>
              <w:spacing w:before="100" w:beforeAutospacing="1" w:after="100" w:afterAutospacing="1" w:line="320" w:lineRule="exact"/>
              <w:ind w:firstLine="2" w:firstLineChars="1"/>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合计大写金额：   仟    佰    拾    万    仟    佰    拾    元</w:t>
            </w:r>
          </w:p>
        </w:tc>
      </w:tr>
      <w:tr w14:paraId="522657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jc w:val="center"/>
        </w:trPr>
        <w:tc>
          <w:tcPr>
            <w:tcW w:w="1527" w:type="dxa"/>
            <w:tcBorders>
              <w:top w:val="single" w:color="auto" w:sz="8" w:space="0"/>
              <w:left w:val="single" w:color="auto" w:sz="8" w:space="0"/>
              <w:bottom w:val="single" w:color="auto" w:sz="8" w:space="0"/>
              <w:right w:val="single" w:color="auto" w:sz="8" w:space="0"/>
            </w:tcBorders>
            <w:noWrap w:val="0"/>
            <w:vAlign w:val="center"/>
          </w:tcPr>
          <w:p w14:paraId="036321A3">
            <w:pPr>
              <w:widowControl/>
              <w:snapToGrid w:val="0"/>
              <w:spacing w:before="100" w:beforeAutospacing="1" w:after="100" w:afterAutospacing="1" w:line="320" w:lineRule="exact"/>
              <w:ind w:firstLine="2" w:firstLineChars="1"/>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实际供货日期</w:t>
            </w:r>
          </w:p>
        </w:tc>
        <w:tc>
          <w:tcPr>
            <w:tcW w:w="3240" w:type="dxa"/>
            <w:gridSpan w:val="2"/>
            <w:tcBorders>
              <w:top w:val="single" w:color="auto" w:sz="8" w:space="0"/>
              <w:left w:val="single" w:color="auto" w:sz="8" w:space="0"/>
              <w:bottom w:val="single" w:color="auto" w:sz="8" w:space="0"/>
              <w:right w:val="single" w:color="auto" w:sz="8" w:space="0"/>
            </w:tcBorders>
            <w:noWrap w:val="0"/>
            <w:vAlign w:val="center"/>
          </w:tcPr>
          <w:p w14:paraId="2818F1C5">
            <w:pPr>
              <w:snapToGrid w:val="0"/>
              <w:spacing w:before="100" w:beforeAutospacing="1" w:after="100" w:afterAutospacing="1" w:line="320" w:lineRule="exact"/>
              <w:ind w:firstLine="420" w:firstLineChars="200"/>
              <w:jc w:val="left"/>
              <w:rPr>
                <w:rFonts w:hint="eastAsia" w:ascii="宋体" w:hAnsi="宋体" w:eastAsia="宋体" w:cs="宋体"/>
                <w:color w:val="auto"/>
                <w:kern w:val="0"/>
                <w:sz w:val="21"/>
                <w:szCs w:val="21"/>
                <w:highlight w:val="none"/>
              </w:rPr>
            </w:pPr>
          </w:p>
        </w:tc>
        <w:tc>
          <w:tcPr>
            <w:tcW w:w="2700" w:type="dxa"/>
            <w:gridSpan w:val="2"/>
            <w:tcBorders>
              <w:top w:val="single" w:color="auto" w:sz="8" w:space="0"/>
              <w:left w:val="single" w:color="auto" w:sz="8" w:space="0"/>
              <w:bottom w:val="single" w:color="auto" w:sz="8" w:space="0"/>
              <w:right w:val="single" w:color="auto" w:sz="8" w:space="0"/>
            </w:tcBorders>
            <w:noWrap w:val="0"/>
            <w:vAlign w:val="center"/>
          </w:tcPr>
          <w:p w14:paraId="3EA4F978">
            <w:pPr>
              <w:snapToGrid w:val="0"/>
              <w:spacing w:before="100" w:beforeAutospacing="1" w:after="100" w:afterAutospacing="1" w:line="320" w:lineRule="exact"/>
              <w:ind w:firstLine="39" w:firstLineChars="19"/>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合同交付验收日期</w:t>
            </w:r>
          </w:p>
        </w:tc>
        <w:tc>
          <w:tcPr>
            <w:tcW w:w="2160" w:type="dxa"/>
            <w:gridSpan w:val="2"/>
            <w:tcBorders>
              <w:top w:val="single" w:color="auto" w:sz="8" w:space="0"/>
              <w:left w:val="single" w:color="auto" w:sz="8" w:space="0"/>
              <w:bottom w:val="single" w:color="auto" w:sz="8" w:space="0"/>
              <w:right w:val="single" w:color="auto" w:sz="8" w:space="0"/>
            </w:tcBorders>
            <w:noWrap w:val="0"/>
            <w:vAlign w:val="center"/>
          </w:tcPr>
          <w:p w14:paraId="0D7C0C1D">
            <w:pPr>
              <w:snapToGrid w:val="0"/>
              <w:spacing w:before="100" w:beforeAutospacing="1" w:after="100" w:afterAutospacing="1" w:line="320" w:lineRule="exact"/>
              <w:ind w:firstLine="420" w:firstLineChars="200"/>
              <w:jc w:val="left"/>
              <w:rPr>
                <w:rFonts w:hint="eastAsia" w:ascii="宋体" w:hAnsi="宋体" w:eastAsia="宋体" w:cs="宋体"/>
                <w:color w:val="auto"/>
                <w:kern w:val="0"/>
                <w:sz w:val="21"/>
                <w:szCs w:val="21"/>
                <w:highlight w:val="none"/>
              </w:rPr>
            </w:pPr>
          </w:p>
        </w:tc>
      </w:tr>
      <w:tr w14:paraId="6BFC69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3" w:hRule="atLeast"/>
          <w:jc w:val="center"/>
        </w:trPr>
        <w:tc>
          <w:tcPr>
            <w:tcW w:w="152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7E2C3C1">
            <w:pPr>
              <w:widowControl/>
              <w:snapToGrid w:val="0"/>
              <w:spacing w:before="100" w:beforeAutospacing="1" w:after="100" w:afterAutospacing="1" w:line="32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验收具体内容</w:t>
            </w:r>
          </w:p>
        </w:tc>
        <w:tc>
          <w:tcPr>
            <w:tcW w:w="8100" w:type="dxa"/>
            <w:gridSpan w:val="6"/>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B41130F">
            <w:pPr>
              <w:widowControl/>
              <w:snapToGrid w:val="0"/>
              <w:spacing w:before="100" w:beforeAutospacing="1" w:after="100" w:afterAutospacing="1" w:line="32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（应</w:t>
            </w:r>
            <w:r>
              <w:rPr>
                <w:rFonts w:hint="eastAsia" w:ascii="宋体" w:hAnsi="宋体" w:eastAsia="宋体" w:cs="宋体"/>
                <w:color w:val="auto"/>
                <w:kern w:val="0"/>
                <w:sz w:val="21"/>
                <w:szCs w:val="21"/>
                <w:highlight w:val="none"/>
              </w:rPr>
              <w:t>按采购合同、</w:t>
            </w:r>
            <w:r>
              <w:rPr>
                <w:rFonts w:hint="eastAsia" w:ascii="宋体" w:hAnsi="宋体" w:cs="宋体"/>
                <w:color w:val="auto"/>
                <w:kern w:val="0"/>
                <w:sz w:val="21"/>
                <w:szCs w:val="21"/>
                <w:highlight w:val="none"/>
                <w:lang w:eastAsia="zh-CN"/>
              </w:rPr>
              <w:t>采购文件</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响应</w:t>
            </w:r>
            <w:r>
              <w:rPr>
                <w:rFonts w:hint="eastAsia" w:ascii="宋体" w:hAnsi="宋体" w:eastAsia="宋体" w:cs="宋体"/>
                <w:color w:val="auto"/>
                <w:kern w:val="0"/>
                <w:sz w:val="21"/>
                <w:szCs w:val="21"/>
                <w:highlight w:val="none"/>
              </w:rPr>
              <w:t>文件及验收方案等进行验收；并核对</w:t>
            </w:r>
            <w:r>
              <w:rPr>
                <w:rFonts w:hint="eastAsia" w:ascii="宋体" w:hAnsi="宋体" w:eastAsia="宋体" w:cs="宋体"/>
                <w:color w:val="auto"/>
                <w:sz w:val="21"/>
                <w:szCs w:val="21"/>
                <w:highlight w:val="none"/>
              </w:rPr>
              <w:t>中标或者成交供应商在安装调试等方面是否违反合同约定或服务规范要求、提供的质量保证证明材料是否齐全、应有的配件及附件是否达到合同约定等</w:t>
            </w:r>
            <w:r>
              <w:rPr>
                <w:rFonts w:hint="eastAsia" w:ascii="宋体" w:hAnsi="宋体" w:eastAsia="宋体" w:cs="宋体"/>
                <w:color w:val="auto"/>
                <w:kern w:val="0"/>
                <w:sz w:val="21"/>
                <w:szCs w:val="21"/>
                <w:highlight w:val="none"/>
              </w:rPr>
              <w:t>。可附件</w:t>
            </w:r>
            <w:r>
              <w:rPr>
                <w:rFonts w:hint="eastAsia" w:ascii="宋体" w:hAnsi="宋体" w:cs="宋体"/>
                <w:color w:val="auto"/>
                <w:kern w:val="0"/>
                <w:sz w:val="21"/>
                <w:szCs w:val="21"/>
                <w:highlight w:val="none"/>
                <w:lang w:eastAsia="zh-CN"/>
              </w:rPr>
              <w:t>）</w:t>
            </w:r>
          </w:p>
        </w:tc>
      </w:tr>
      <w:tr w14:paraId="3BA5BD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32" w:hRule="atLeast"/>
          <w:jc w:val="center"/>
        </w:trPr>
        <w:tc>
          <w:tcPr>
            <w:tcW w:w="1527"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7F9D3F0">
            <w:pPr>
              <w:widowControl/>
              <w:spacing w:before="100" w:beforeAutospacing="1" w:after="100" w:afterAutospacing="1" w:line="32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验收小组意见</w:t>
            </w:r>
          </w:p>
        </w:tc>
        <w:tc>
          <w:tcPr>
            <w:tcW w:w="8100" w:type="dxa"/>
            <w:gridSpan w:val="6"/>
            <w:tcBorders>
              <w:top w:val="single" w:color="auto" w:sz="8" w:space="0"/>
              <w:left w:val="single" w:color="auto" w:sz="8" w:space="0"/>
              <w:bottom w:val="single" w:color="auto" w:sz="4" w:space="0"/>
              <w:right w:val="single" w:color="auto" w:sz="8" w:space="0"/>
            </w:tcBorders>
            <w:noWrap w:val="0"/>
            <w:vAlign w:val="center"/>
          </w:tcPr>
          <w:p w14:paraId="72A9A6BD">
            <w:pPr>
              <w:widowControl/>
              <w:spacing w:before="100" w:beforeAutospacing="1" w:after="100" w:afterAutospacing="1" w:line="32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验收结论性意见：</w:t>
            </w:r>
          </w:p>
        </w:tc>
      </w:tr>
      <w:tr w14:paraId="70EBF5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07" w:hRule="atLeast"/>
          <w:jc w:val="center"/>
        </w:trPr>
        <w:tc>
          <w:tcPr>
            <w:tcW w:w="1527" w:type="dxa"/>
            <w:vMerge w:val="continue"/>
            <w:tcBorders>
              <w:top w:val="single" w:color="auto" w:sz="8" w:space="0"/>
              <w:left w:val="single" w:color="auto" w:sz="8" w:space="0"/>
              <w:bottom w:val="single" w:color="auto" w:sz="8" w:space="0"/>
              <w:right w:val="single" w:color="auto" w:sz="8" w:space="0"/>
            </w:tcBorders>
            <w:noWrap w:val="0"/>
            <w:vAlign w:val="center"/>
          </w:tcPr>
          <w:p w14:paraId="0262AEEF">
            <w:pPr>
              <w:widowControl/>
              <w:spacing w:line="320" w:lineRule="exact"/>
              <w:jc w:val="left"/>
              <w:rPr>
                <w:rFonts w:hint="eastAsia" w:ascii="宋体" w:hAnsi="宋体" w:eastAsia="宋体" w:cs="宋体"/>
                <w:color w:val="auto"/>
                <w:kern w:val="0"/>
                <w:sz w:val="21"/>
                <w:szCs w:val="21"/>
                <w:highlight w:val="none"/>
              </w:rPr>
            </w:pPr>
          </w:p>
        </w:tc>
        <w:tc>
          <w:tcPr>
            <w:tcW w:w="8100" w:type="dxa"/>
            <w:gridSpan w:val="6"/>
            <w:tcBorders>
              <w:top w:val="single" w:color="auto" w:sz="4" w:space="0"/>
              <w:left w:val="single" w:color="auto" w:sz="8" w:space="0"/>
              <w:bottom w:val="single" w:color="auto" w:sz="8" w:space="0"/>
              <w:right w:val="single" w:color="auto" w:sz="8" w:space="0"/>
            </w:tcBorders>
            <w:noWrap w:val="0"/>
            <w:vAlign w:val="center"/>
          </w:tcPr>
          <w:p w14:paraId="261CF0D0">
            <w:pPr>
              <w:spacing w:before="100" w:beforeAutospacing="1" w:after="100" w:afterAutospacing="1" w:line="32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有异议的意见和说明理由：</w:t>
            </w:r>
          </w:p>
          <w:p w14:paraId="17DFE87C">
            <w:pPr>
              <w:spacing w:before="100" w:beforeAutospacing="1" w:after="100" w:afterAutospacing="1" w:line="32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签字：</w:t>
            </w:r>
          </w:p>
        </w:tc>
      </w:tr>
      <w:tr w14:paraId="30AA7E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7" w:hRule="atLeast"/>
          <w:jc w:val="center"/>
        </w:trPr>
        <w:tc>
          <w:tcPr>
            <w:tcW w:w="9627" w:type="dxa"/>
            <w:gridSpan w:val="7"/>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C523EC4">
            <w:pPr>
              <w:widowControl/>
              <w:spacing w:before="100" w:beforeAutospacing="1" w:after="100" w:afterAutospacing="1" w:line="32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验收小组成员签字：</w:t>
            </w:r>
          </w:p>
        </w:tc>
      </w:tr>
      <w:tr w14:paraId="7E2DA6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36" w:hRule="atLeast"/>
          <w:jc w:val="center"/>
        </w:trPr>
        <w:tc>
          <w:tcPr>
            <w:tcW w:w="9627" w:type="dxa"/>
            <w:gridSpan w:val="7"/>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F5479D9">
            <w:pPr>
              <w:widowControl/>
              <w:spacing w:before="100" w:beforeAutospacing="1" w:after="100" w:afterAutospacing="1" w:line="32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监督人员或其他相关人员签字：</w:t>
            </w:r>
          </w:p>
          <w:p w14:paraId="3A5B03EB">
            <w:pPr>
              <w:widowControl/>
              <w:spacing w:before="100" w:beforeAutospacing="1" w:after="100" w:afterAutospacing="1" w:line="320" w:lineRule="exact"/>
              <w:ind w:firstLine="65" w:firstLineChars="31"/>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或受邀机构的意见（盖章）：</w:t>
            </w:r>
          </w:p>
        </w:tc>
      </w:tr>
      <w:tr w14:paraId="1970D3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58" w:hRule="atLeast"/>
          <w:jc w:val="center"/>
        </w:trPr>
        <w:tc>
          <w:tcPr>
            <w:tcW w:w="4767" w:type="dxa"/>
            <w:gridSpan w:val="3"/>
            <w:tcBorders>
              <w:top w:val="single" w:color="auto" w:sz="8" w:space="0"/>
              <w:left w:val="single" w:color="auto" w:sz="8" w:space="0"/>
              <w:bottom w:val="single" w:color="auto" w:sz="8" w:space="0"/>
              <w:right w:val="nil"/>
            </w:tcBorders>
            <w:noWrap w:val="0"/>
            <w:tcMar>
              <w:top w:w="0" w:type="dxa"/>
              <w:left w:w="108" w:type="dxa"/>
              <w:bottom w:w="0" w:type="dxa"/>
              <w:right w:w="108" w:type="dxa"/>
            </w:tcMar>
            <w:vAlign w:val="center"/>
          </w:tcPr>
          <w:p w14:paraId="7B7F5ABE">
            <w:pPr>
              <w:widowControl/>
              <w:spacing w:before="100" w:beforeAutospacing="1" w:after="100" w:afterAutospacing="1" w:line="320" w:lineRule="exact"/>
              <w:ind w:firstLine="65" w:firstLineChars="31"/>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中标或者成交供应商负责人签字或盖章：</w:t>
            </w:r>
          </w:p>
          <w:p w14:paraId="53862045">
            <w:pPr>
              <w:widowControl/>
              <w:spacing w:before="100" w:beforeAutospacing="1" w:after="100" w:afterAutospacing="1" w:line="32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联系电话：         年 月 日</w:t>
            </w:r>
          </w:p>
        </w:tc>
        <w:tc>
          <w:tcPr>
            <w:tcW w:w="4860" w:type="dxa"/>
            <w:gridSpan w:val="4"/>
            <w:tcBorders>
              <w:top w:val="single" w:color="auto" w:sz="8" w:space="0"/>
              <w:left w:val="nil"/>
              <w:bottom w:val="single" w:color="auto" w:sz="8" w:space="0"/>
              <w:right w:val="single" w:color="auto" w:sz="8" w:space="0"/>
            </w:tcBorders>
            <w:noWrap w:val="0"/>
            <w:vAlign w:val="center"/>
          </w:tcPr>
          <w:p w14:paraId="5F5DAAB2">
            <w:pPr>
              <w:widowControl/>
              <w:spacing w:before="100" w:beforeAutospacing="1" w:after="100" w:afterAutospacing="1" w:line="32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采购人或受托机构的意见（盖章）：</w:t>
            </w:r>
          </w:p>
          <w:p w14:paraId="39A517D0">
            <w:pPr>
              <w:widowControl/>
              <w:spacing w:before="100" w:beforeAutospacing="1" w:after="100" w:afterAutospacing="1" w:line="32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联系电话：                 年   月   日</w:t>
            </w:r>
          </w:p>
        </w:tc>
      </w:tr>
    </w:tbl>
    <w:p w14:paraId="21C9549A">
      <w:pPr>
        <w:widowControl/>
        <w:jc w:val="left"/>
        <w:rPr>
          <w:rFonts w:hint="eastAsia" w:ascii="宋体" w:hAnsi="宋体" w:eastAsia="宋体" w:cs="宋体"/>
          <w:color w:val="auto"/>
          <w:spacing w:val="-10"/>
          <w:kern w:val="0"/>
          <w:sz w:val="21"/>
          <w:szCs w:val="21"/>
          <w:highlight w:val="none"/>
        </w:rPr>
      </w:pPr>
      <w:r>
        <w:rPr>
          <w:rFonts w:hint="eastAsia" w:ascii="宋体" w:hAnsi="宋体" w:eastAsia="宋体" w:cs="宋体"/>
          <w:color w:val="auto"/>
          <w:spacing w:val="-10"/>
          <w:kern w:val="0"/>
          <w:sz w:val="21"/>
          <w:szCs w:val="21"/>
          <w:highlight w:val="none"/>
        </w:rPr>
        <w:t>备注：本报告单一式4份（采购单位1份、供应商1份、采购监督部门备案1份、采购代理机构1份）。</w:t>
      </w:r>
    </w:p>
    <w:p w14:paraId="14E59EEF">
      <w:pPr>
        <w:spacing w:before="120" w:line="320" w:lineRule="atLeast"/>
        <w:jc w:val="left"/>
        <w:outlineLvl w:val="9"/>
        <w:rPr>
          <w:rFonts w:hint="eastAsia" w:ascii="宋体" w:hAnsi="宋体" w:eastAsia="宋体" w:cs="宋体"/>
          <w:b/>
          <w:bCs/>
          <w:color w:val="auto"/>
          <w:kern w:val="0"/>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b/>
          <w:bCs/>
          <w:color w:val="auto"/>
          <w:kern w:val="0"/>
          <w:sz w:val="21"/>
          <w:szCs w:val="21"/>
          <w:highlight w:val="none"/>
        </w:rPr>
        <w:t>合同附件</w:t>
      </w:r>
    </w:p>
    <w:p w14:paraId="3327592B">
      <w:pPr>
        <w:snapToGrid w:val="0"/>
        <w:spacing w:line="36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政府采购项目履约保函退付意见书</w:t>
      </w:r>
    </w:p>
    <w:p w14:paraId="50288FE3">
      <w:pPr>
        <w:jc w:val="center"/>
        <w:rPr>
          <w:rFonts w:hint="eastAsia" w:ascii="宋体" w:hAnsi="宋体" w:eastAsia="宋体" w:cs="宋体"/>
          <w:color w:val="auto"/>
          <w:sz w:val="21"/>
          <w:szCs w:val="21"/>
          <w:highlight w:val="none"/>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640"/>
      </w:tblGrid>
      <w:tr w14:paraId="02D55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noWrap w:val="0"/>
            <w:vAlign w:val="center"/>
          </w:tcPr>
          <w:p w14:paraId="0B440A8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w:t>
            </w:r>
          </w:p>
          <w:p w14:paraId="7B41C7E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w:t>
            </w:r>
          </w:p>
          <w:p w14:paraId="657286B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w:t>
            </w:r>
          </w:p>
          <w:p w14:paraId="79A5CDC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申</w:t>
            </w:r>
          </w:p>
          <w:p w14:paraId="3F3651E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请</w:t>
            </w:r>
          </w:p>
        </w:tc>
        <w:tc>
          <w:tcPr>
            <w:tcW w:w="8640" w:type="dxa"/>
            <w:noWrap w:val="0"/>
            <w:vAlign w:val="center"/>
          </w:tcPr>
          <w:p w14:paraId="50E4E316">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w:t>
            </w:r>
          </w:p>
        </w:tc>
      </w:tr>
      <w:tr w14:paraId="3E499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noWrap w:val="0"/>
            <w:vAlign w:val="center"/>
          </w:tcPr>
          <w:p w14:paraId="42C34CF2">
            <w:pPr>
              <w:rPr>
                <w:rFonts w:hint="eastAsia" w:ascii="宋体" w:hAnsi="宋体" w:eastAsia="宋体" w:cs="宋体"/>
                <w:color w:val="auto"/>
                <w:sz w:val="21"/>
                <w:szCs w:val="21"/>
                <w:highlight w:val="none"/>
              </w:rPr>
            </w:pPr>
          </w:p>
        </w:tc>
        <w:tc>
          <w:tcPr>
            <w:tcW w:w="8640" w:type="dxa"/>
            <w:noWrap w:val="0"/>
            <w:vAlign w:val="center"/>
          </w:tcPr>
          <w:p w14:paraId="500232B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r>
      <w:tr w14:paraId="24F58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noWrap w:val="0"/>
            <w:vAlign w:val="top"/>
          </w:tcPr>
          <w:p w14:paraId="5F4C9ADD">
            <w:pPr>
              <w:rPr>
                <w:rFonts w:hint="eastAsia" w:ascii="宋体" w:hAnsi="宋体" w:eastAsia="宋体" w:cs="宋体"/>
                <w:color w:val="auto"/>
                <w:sz w:val="21"/>
                <w:szCs w:val="21"/>
                <w:highlight w:val="none"/>
              </w:rPr>
            </w:pPr>
          </w:p>
        </w:tc>
        <w:tc>
          <w:tcPr>
            <w:tcW w:w="8640" w:type="dxa"/>
            <w:noWrap w:val="0"/>
            <w:vAlign w:val="top"/>
          </w:tcPr>
          <w:p w14:paraId="08F723D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74138843">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该项目已于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日验收并交付使用。根据合同规定，该项目的履约保证期限于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日已满，请将履约保函</w:t>
            </w:r>
          </w:p>
          <w:p w14:paraId="79BB843E">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（小写）退付到达以下地址。</w:t>
            </w:r>
          </w:p>
          <w:p w14:paraId="4840644F">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联系人及电话：</w:t>
            </w:r>
          </w:p>
          <w:p w14:paraId="1C14AF61">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14:paraId="3F1A10E7">
            <w:pPr>
              <w:spacing w:line="5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供应商签章：</w:t>
            </w:r>
          </w:p>
          <w:p w14:paraId="2B57B96C">
            <w:pPr>
              <w:spacing w:line="5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     日</w:t>
            </w:r>
          </w:p>
        </w:tc>
      </w:tr>
      <w:tr w14:paraId="6682F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center"/>
          </w:tcPr>
          <w:p w14:paraId="5B6AB87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w:t>
            </w:r>
          </w:p>
          <w:p w14:paraId="54D9D7B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购</w:t>
            </w:r>
          </w:p>
          <w:p w14:paraId="224FF6A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w:t>
            </w:r>
          </w:p>
          <w:p w14:paraId="482C95D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位</w:t>
            </w:r>
          </w:p>
          <w:p w14:paraId="739CA2E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意</w:t>
            </w:r>
          </w:p>
          <w:p w14:paraId="73B179E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w:t>
            </w:r>
          </w:p>
        </w:tc>
        <w:tc>
          <w:tcPr>
            <w:tcW w:w="8640" w:type="dxa"/>
            <w:noWrap w:val="0"/>
            <w:vAlign w:val="top"/>
          </w:tcPr>
          <w:p w14:paraId="3C6A8BB5">
            <w:pPr>
              <w:rPr>
                <w:rFonts w:hint="eastAsia" w:ascii="宋体" w:hAnsi="宋体" w:eastAsia="宋体" w:cs="宋体"/>
                <w:color w:val="auto"/>
                <w:sz w:val="21"/>
                <w:szCs w:val="21"/>
                <w:highlight w:val="none"/>
              </w:rPr>
            </w:pPr>
          </w:p>
          <w:p w14:paraId="06DB680C">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退付意见：是否同意退付履约保函及退付金额：</w:t>
            </w:r>
          </w:p>
          <w:p w14:paraId="3582A81E">
            <w:pPr>
              <w:rPr>
                <w:rFonts w:hint="eastAsia" w:ascii="宋体" w:hAnsi="宋体" w:eastAsia="宋体" w:cs="宋体"/>
                <w:color w:val="auto"/>
                <w:sz w:val="21"/>
                <w:szCs w:val="21"/>
                <w:highlight w:val="none"/>
              </w:rPr>
            </w:pPr>
          </w:p>
          <w:p w14:paraId="5A66B4F3">
            <w:pPr>
              <w:rPr>
                <w:rFonts w:hint="eastAsia" w:ascii="宋体" w:hAnsi="宋体" w:eastAsia="宋体" w:cs="宋体"/>
                <w:color w:val="auto"/>
                <w:sz w:val="21"/>
                <w:szCs w:val="21"/>
                <w:highlight w:val="none"/>
              </w:rPr>
            </w:pPr>
          </w:p>
          <w:p w14:paraId="1DABCDC5">
            <w:pPr>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联系人及电话：                                 采购单位签章</w:t>
            </w:r>
          </w:p>
          <w:p w14:paraId="5F4C2AC6">
            <w:pPr>
              <w:spacing w:line="5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     日</w:t>
            </w:r>
          </w:p>
        </w:tc>
      </w:tr>
      <w:tr w14:paraId="5AB77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center"/>
          </w:tcPr>
          <w:p w14:paraId="2FD145A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财</w:t>
            </w:r>
          </w:p>
          <w:p w14:paraId="4C97BD6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务</w:t>
            </w:r>
          </w:p>
          <w:p w14:paraId="5169743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部</w:t>
            </w:r>
          </w:p>
          <w:p w14:paraId="5CF5F0D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门</w:t>
            </w:r>
          </w:p>
          <w:p w14:paraId="18E3BC5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意</w:t>
            </w:r>
          </w:p>
          <w:p w14:paraId="7CF2A1C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w:t>
            </w:r>
          </w:p>
        </w:tc>
        <w:tc>
          <w:tcPr>
            <w:tcW w:w="8640" w:type="dxa"/>
            <w:noWrap w:val="0"/>
            <w:vAlign w:val="top"/>
          </w:tcPr>
          <w:p w14:paraId="5898C065">
            <w:pPr>
              <w:spacing w:line="6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此表于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月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日收到。</w:t>
            </w:r>
          </w:p>
          <w:p w14:paraId="29434691">
            <w:pPr>
              <w:spacing w:line="6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会计审核：</w:t>
            </w:r>
          </w:p>
          <w:p w14:paraId="1BA0F93E">
            <w:pPr>
              <w:spacing w:line="6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财务负责人审核：</w:t>
            </w:r>
          </w:p>
          <w:p w14:paraId="0011BC0E">
            <w:pPr>
              <w:spacing w:line="6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单位负责人签字：</w:t>
            </w:r>
          </w:p>
          <w:p w14:paraId="59291421">
            <w:pPr>
              <w:spacing w:line="6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出纳办理转账日期：</w:t>
            </w:r>
          </w:p>
        </w:tc>
      </w:tr>
    </w:tbl>
    <w:p w14:paraId="70F6AC0B">
      <w:pPr>
        <w:pStyle w:val="14"/>
        <w:ind w:left="450" w:leftChars="114" w:hanging="211" w:hangingChars="1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注：供应商凭经采购单位审批的退付意见书到相关财务部办理履约保函退付事宜。</w:t>
      </w:r>
    </w:p>
    <w:p w14:paraId="6DED4833">
      <w:pPr>
        <w:snapToGrid w:val="0"/>
        <w:spacing w:line="444" w:lineRule="exact"/>
        <w:ind w:left="-61" w:firstLine="514"/>
        <w:rPr>
          <w:rFonts w:hint="eastAsia" w:ascii="仿宋" w:hAnsi="仿宋" w:eastAsia="仿宋" w:cs="仿宋"/>
          <w:b/>
          <w:color w:val="auto"/>
          <w:highlight w:val="none"/>
        </w:rPr>
      </w:pPr>
    </w:p>
    <w:p w14:paraId="6A81A9B5">
      <w:pPr>
        <w:spacing w:line="360" w:lineRule="auto"/>
        <w:jc w:val="left"/>
        <w:rPr>
          <w:rFonts w:hint="eastAsia" w:ascii="宋体" w:hAnsi="宋体"/>
          <w:b/>
          <w:bCs/>
          <w:color w:val="auto"/>
          <w:sz w:val="32"/>
          <w:szCs w:val="32"/>
          <w:highlight w:val="none"/>
        </w:rPr>
      </w:pPr>
      <w:r>
        <w:rPr>
          <w:rFonts w:hint="eastAsia" w:ascii="宋体" w:hAnsi="宋体" w:cs="宋体"/>
          <w:color w:val="auto"/>
          <w:sz w:val="6"/>
          <w:szCs w:val="6"/>
          <w:highlight w:val="none"/>
        </w:rPr>
        <w:br w:type="page"/>
      </w:r>
      <w:r>
        <w:rPr>
          <w:rFonts w:hint="eastAsia" w:ascii="宋体" w:hAnsi="宋体"/>
          <w:b/>
          <w:bCs/>
          <w:color w:val="auto"/>
          <w:sz w:val="32"/>
          <w:szCs w:val="32"/>
          <w:highlight w:val="none"/>
        </w:rPr>
        <w:t>其他文书、文件格式</w:t>
      </w:r>
    </w:p>
    <w:p w14:paraId="61EECCA0">
      <w:pPr>
        <w:pStyle w:val="19"/>
        <w:spacing w:line="360" w:lineRule="auto"/>
        <w:ind w:firstLine="400" w:firstLineChars="200"/>
        <w:contextualSpacing/>
        <w:rPr>
          <w:color w:val="auto"/>
          <w:highlight w:val="none"/>
        </w:rPr>
      </w:pPr>
    </w:p>
    <w:p w14:paraId="1B02AE08">
      <w:pPr>
        <w:spacing w:line="360" w:lineRule="auto"/>
        <w:jc w:val="center"/>
        <w:rPr>
          <w:rFonts w:hint="eastAsia" w:ascii="宋体" w:hAnsi="宋体"/>
          <w:b/>
          <w:bCs/>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质疑函</w:t>
      </w:r>
      <w:r>
        <w:rPr>
          <w:rFonts w:hint="eastAsia" w:ascii="方正小标宋简体" w:hAnsi="方正小标宋简体" w:eastAsia="方正小标宋简体" w:cs="方正小标宋简体"/>
          <w:color w:val="auto"/>
          <w:sz w:val="28"/>
          <w:szCs w:val="28"/>
          <w:highlight w:val="none"/>
        </w:rPr>
        <w:t>（格式）</w:t>
      </w:r>
    </w:p>
    <w:p w14:paraId="40546547">
      <w:pPr>
        <w:pStyle w:val="19"/>
        <w:spacing w:line="360" w:lineRule="auto"/>
        <w:ind w:firstLine="422" w:firstLineChars="200"/>
        <w:contextualSpacing/>
        <w:rPr>
          <w:rFonts w:hAnsi="宋体"/>
          <w:b/>
          <w:bCs/>
          <w:color w:val="auto"/>
          <w:sz w:val="21"/>
          <w:highlight w:val="none"/>
        </w:rPr>
      </w:pPr>
      <w:r>
        <w:rPr>
          <w:rFonts w:hint="eastAsia" w:hAnsi="宋体"/>
          <w:b/>
          <w:bCs/>
          <w:color w:val="auto"/>
          <w:sz w:val="21"/>
          <w:highlight w:val="none"/>
        </w:rPr>
        <w:t>一、质疑供应商基本信息：</w:t>
      </w:r>
    </w:p>
    <w:p w14:paraId="065B17A9">
      <w:pPr>
        <w:pStyle w:val="19"/>
        <w:spacing w:line="360" w:lineRule="auto"/>
        <w:ind w:firstLine="420" w:firstLineChars="200"/>
        <w:contextualSpacing/>
        <w:rPr>
          <w:rFonts w:hint="eastAsia" w:hAnsi="宋体"/>
          <w:bCs/>
          <w:color w:val="auto"/>
          <w:sz w:val="21"/>
          <w:highlight w:val="none"/>
          <w:u w:val="single"/>
        </w:rPr>
      </w:pPr>
      <w:r>
        <w:rPr>
          <w:rFonts w:hint="eastAsia" w:hAnsi="宋体"/>
          <w:bCs/>
          <w:color w:val="auto"/>
          <w:sz w:val="21"/>
          <w:highlight w:val="none"/>
        </w:rPr>
        <w:t>质疑供应商：</w:t>
      </w:r>
      <w:r>
        <w:rPr>
          <w:rFonts w:hint="eastAsia" w:hAnsi="宋体"/>
          <w:bCs/>
          <w:color w:val="auto"/>
          <w:sz w:val="21"/>
          <w:highlight w:val="none"/>
          <w:u w:val="single"/>
        </w:rPr>
        <w:t xml:space="preserve">                                       </w:t>
      </w:r>
      <w:r>
        <w:rPr>
          <w:rFonts w:hint="eastAsia" w:hAnsi="宋体"/>
          <w:bCs/>
          <w:color w:val="auto"/>
          <w:sz w:val="21"/>
          <w:highlight w:val="none"/>
        </w:rPr>
        <w:t xml:space="preserve">                 </w:t>
      </w:r>
    </w:p>
    <w:p w14:paraId="7EC33044">
      <w:pPr>
        <w:pStyle w:val="19"/>
        <w:spacing w:line="360" w:lineRule="auto"/>
        <w:ind w:firstLine="420" w:firstLineChars="200"/>
        <w:contextualSpacing/>
        <w:rPr>
          <w:rFonts w:hint="eastAsia" w:hAnsi="宋体"/>
          <w:bCs/>
          <w:color w:val="auto"/>
          <w:sz w:val="21"/>
          <w:highlight w:val="none"/>
        </w:rPr>
      </w:pPr>
      <w:r>
        <w:rPr>
          <w:rFonts w:hAnsi="宋体"/>
          <w:bCs/>
          <w:color w:val="auto"/>
          <w:sz w:val="21"/>
          <w:highlight w:val="none"/>
        </w:rPr>
        <w:t>地址</w:t>
      </w:r>
      <w:r>
        <w:rPr>
          <w:rFonts w:hint="eastAsia" w:hAnsi="宋体"/>
          <w:bCs/>
          <w:color w:val="auto"/>
          <w:sz w:val="21"/>
          <w:highlight w:val="none"/>
        </w:rPr>
        <w:t>：</w:t>
      </w:r>
      <w:r>
        <w:rPr>
          <w:rFonts w:hint="eastAsia" w:hAnsi="宋体"/>
          <w:bCs/>
          <w:color w:val="auto"/>
          <w:sz w:val="21"/>
          <w:highlight w:val="none"/>
          <w:u w:val="single"/>
        </w:rPr>
        <w:t xml:space="preserve">                                          </w:t>
      </w:r>
      <w:r>
        <w:rPr>
          <w:rFonts w:hAnsi="宋体"/>
          <w:bCs/>
          <w:color w:val="auto"/>
          <w:sz w:val="21"/>
          <w:highlight w:val="none"/>
        </w:rPr>
        <w:t>邮编</w:t>
      </w:r>
      <w:r>
        <w:rPr>
          <w:rFonts w:hint="eastAsia" w:hAnsi="宋体"/>
          <w:bCs/>
          <w:color w:val="auto"/>
          <w:sz w:val="21"/>
          <w:highlight w:val="none"/>
        </w:rPr>
        <w:t>：</w:t>
      </w:r>
      <w:r>
        <w:rPr>
          <w:rFonts w:hint="eastAsia" w:hAnsi="宋体"/>
          <w:bCs/>
          <w:color w:val="auto"/>
          <w:sz w:val="21"/>
          <w:highlight w:val="none"/>
          <w:u w:val="single"/>
        </w:rPr>
        <w:t xml:space="preserve">                  </w:t>
      </w:r>
      <w:r>
        <w:rPr>
          <w:rFonts w:hint="eastAsia" w:hAnsi="宋体"/>
          <w:bCs/>
          <w:color w:val="auto"/>
          <w:sz w:val="21"/>
          <w:highlight w:val="none"/>
        </w:rPr>
        <w:t xml:space="preserve">                 </w:t>
      </w:r>
    </w:p>
    <w:p w14:paraId="2F4DE436">
      <w:pPr>
        <w:pStyle w:val="19"/>
        <w:spacing w:line="360" w:lineRule="auto"/>
        <w:ind w:firstLine="420" w:firstLineChars="200"/>
        <w:contextualSpacing/>
        <w:rPr>
          <w:rFonts w:hint="eastAsia" w:hAnsi="宋体"/>
          <w:bCs/>
          <w:color w:val="auto"/>
          <w:sz w:val="21"/>
          <w:highlight w:val="none"/>
        </w:rPr>
      </w:pPr>
      <w:r>
        <w:rPr>
          <w:rFonts w:hAnsi="宋体"/>
          <w:bCs/>
          <w:color w:val="auto"/>
          <w:sz w:val="21"/>
          <w:highlight w:val="none"/>
        </w:rPr>
        <w:t>联系人</w:t>
      </w:r>
      <w:r>
        <w:rPr>
          <w:rFonts w:hint="eastAsia" w:hAnsi="宋体"/>
          <w:bCs/>
          <w:color w:val="auto"/>
          <w:sz w:val="21"/>
          <w:highlight w:val="none"/>
        </w:rPr>
        <w:t>：</w:t>
      </w:r>
      <w:r>
        <w:rPr>
          <w:rFonts w:hint="eastAsia" w:hAnsi="宋体"/>
          <w:bCs/>
          <w:color w:val="auto"/>
          <w:sz w:val="21"/>
          <w:highlight w:val="none"/>
          <w:u w:val="single"/>
        </w:rPr>
        <w:t xml:space="preserve">                     </w:t>
      </w:r>
      <w:r>
        <w:rPr>
          <w:rFonts w:hAnsi="宋体"/>
          <w:bCs/>
          <w:color w:val="auto"/>
          <w:sz w:val="21"/>
          <w:highlight w:val="none"/>
        </w:rPr>
        <w:t>联系电话</w:t>
      </w:r>
      <w:r>
        <w:rPr>
          <w:rFonts w:hint="eastAsia" w:hAnsi="宋体"/>
          <w:bCs/>
          <w:color w:val="auto"/>
          <w:sz w:val="21"/>
          <w:highlight w:val="none"/>
        </w:rPr>
        <w:t>：</w:t>
      </w:r>
      <w:r>
        <w:rPr>
          <w:rFonts w:hint="eastAsia" w:hAnsi="宋体"/>
          <w:bCs/>
          <w:color w:val="auto"/>
          <w:sz w:val="21"/>
          <w:highlight w:val="none"/>
          <w:u w:val="single"/>
        </w:rPr>
        <w:t xml:space="preserve">                 </w:t>
      </w:r>
    </w:p>
    <w:p w14:paraId="3A606DB0">
      <w:pPr>
        <w:pStyle w:val="19"/>
        <w:spacing w:line="360" w:lineRule="auto"/>
        <w:ind w:firstLine="420" w:firstLineChars="200"/>
        <w:contextualSpacing/>
        <w:rPr>
          <w:rFonts w:hint="eastAsia" w:hAnsi="宋体"/>
          <w:bCs/>
          <w:color w:val="auto"/>
          <w:sz w:val="21"/>
          <w:highlight w:val="none"/>
        </w:rPr>
      </w:pPr>
      <w:r>
        <w:rPr>
          <w:rFonts w:hint="eastAsia" w:hAnsi="宋体"/>
          <w:bCs/>
          <w:color w:val="auto"/>
          <w:sz w:val="21"/>
          <w:highlight w:val="none"/>
        </w:rPr>
        <w:t>授权代表：</w:t>
      </w:r>
      <w:r>
        <w:rPr>
          <w:rFonts w:hint="eastAsia" w:hAnsi="宋体"/>
          <w:bCs/>
          <w:color w:val="auto"/>
          <w:sz w:val="21"/>
          <w:highlight w:val="none"/>
          <w:u w:val="single"/>
        </w:rPr>
        <w:t xml:space="preserve">                      </w:t>
      </w:r>
    </w:p>
    <w:p w14:paraId="192499A6">
      <w:pPr>
        <w:pStyle w:val="19"/>
        <w:spacing w:line="360" w:lineRule="auto"/>
        <w:ind w:firstLine="420" w:firstLineChars="200"/>
        <w:contextualSpacing/>
        <w:rPr>
          <w:rFonts w:hint="eastAsia" w:hAnsi="宋体"/>
          <w:bCs/>
          <w:color w:val="auto"/>
          <w:sz w:val="21"/>
          <w:highlight w:val="none"/>
          <w:u w:val="single"/>
        </w:rPr>
      </w:pPr>
      <w:r>
        <w:rPr>
          <w:rFonts w:hAnsi="宋体"/>
          <w:bCs/>
          <w:color w:val="auto"/>
          <w:sz w:val="21"/>
          <w:highlight w:val="none"/>
        </w:rPr>
        <w:t>联系</w:t>
      </w:r>
      <w:r>
        <w:rPr>
          <w:rFonts w:hint="eastAsia" w:hAnsi="宋体"/>
          <w:bCs/>
          <w:color w:val="auto"/>
          <w:sz w:val="21"/>
          <w:highlight w:val="none"/>
        </w:rPr>
        <w:t>电话：</w:t>
      </w:r>
      <w:r>
        <w:rPr>
          <w:rFonts w:hint="eastAsia" w:hAnsi="宋体"/>
          <w:bCs/>
          <w:color w:val="auto"/>
          <w:sz w:val="21"/>
          <w:highlight w:val="none"/>
          <w:u w:val="single"/>
        </w:rPr>
        <w:t xml:space="preserve">                      </w:t>
      </w:r>
    </w:p>
    <w:p w14:paraId="3EB8C97C">
      <w:pPr>
        <w:pStyle w:val="19"/>
        <w:spacing w:line="360" w:lineRule="auto"/>
        <w:ind w:firstLine="420" w:firstLineChars="200"/>
        <w:contextualSpacing/>
        <w:rPr>
          <w:rFonts w:hint="eastAsia" w:hAnsi="宋体"/>
          <w:bCs/>
          <w:color w:val="auto"/>
          <w:sz w:val="21"/>
          <w:highlight w:val="none"/>
        </w:rPr>
      </w:pPr>
      <w:r>
        <w:rPr>
          <w:rFonts w:hAnsi="宋体"/>
          <w:bCs/>
          <w:color w:val="auto"/>
          <w:sz w:val="21"/>
          <w:highlight w:val="none"/>
        </w:rPr>
        <w:t>地址</w:t>
      </w:r>
      <w:r>
        <w:rPr>
          <w:rFonts w:hint="eastAsia" w:hAnsi="宋体"/>
          <w:bCs/>
          <w:color w:val="auto"/>
          <w:sz w:val="21"/>
          <w:highlight w:val="none"/>
        </w:rPr>
        <w:t>：</w:t>
      </w:r>
      <w:r>
        <w:rPr>
          <w:rFonts w:hint="eastAsia" w:hAnsi="宋体"/>
          <w:bCs/>
          <w:color w:val="auto"/>
          <w:sz w:val="21"/>
          <w:highlight w:val="none"/>
          <w:u w:val="single"/>
        </w:rPr>
        <w:t xml:space="preserve">                 </w:t>
      </w:r>
      <w:r>
        <w:rPr>
          <w:rFonts w:hAnsi="宋体"/>
          <w:bCs/>
          <w:color w:val="auto"/>
          <w:sz w:val="21"/>
          <w:highlight w:val="none"/>
        </w:rPr>
        <w:t>邮编</w:t>
      </w:r>
      <w:r>
        <w:rPr>
          <w:rFonts w:hint="eastAsia" w:hAnsi="宋体"/>
          <w:bCs/>
          <w:color w:val="auto"/>
          <w:sz w:val="21"/>
          <w:highlight w:val="none"/>
        </w:rPr>
        <w:t>：</w:t>
      </w:r>
      <w:r>
        <w:rPr>
          <w:rFonts w:hint="eastAsia" w:hAnsi="宋体"/>
          <w:bCs/>
          <w:color w:val="auto"/>
          <w:sz w:val="21"/>
          <w:highlight w:val="none"/>
          <w:u w:val="single"/>
        </w:rPr>
        <w:t xml:space="preserve">                  </w:t>
      </w:r>
      <w:r>
        <w:rPr>
          <w:rFonts w:hint="eastAsia" w:hAnsi="宋体"/>
          <w:bCs/>
          <w:color w:val="auto"/>
          <w:sz w:val="21"/>
          <w:highlight w:val="none"/>
        </w:rPr>
        <w:t xml:space="preserve">     </w:t>
      </w:r>
    </w:p>
    <w:p w14:paraId="6095F959">
      <w:pPr>
        <w:pStyle w:val="19"/>
        <w:spacing w:line="360" w:lineRule="auto"/>
        <w:ind w:firstLine="422" w:firstLineChars="200"/>
        <w:contextualSpacing/>
        <w:rPr>
          <w:rFonts w:hint="eastAsia" w:hAnsi="宋体"/>
          <w:b/>
          <w:bCs/>
          <w:color w:val="auto"/>
          <w:sz w:val="21"/>
          <w:highlight w:val="none"/>
        </w:rPr>
      </w:pPr>
      <w:r>
        <w:rPr>
          <w:rFonts w:hint="eastAsia" w:hAnsi="宋体"/>
          <w:b/>
          <w:bCs/>
          <w:color w:val="auto"/>
          <w:sz w:val="21"/>
          <w:highlight w:val="none"/>
        </w:rPr>
        <w:t>二、质疑项目基本情况：</w:t>
      </w:r>
    </w:p>
    <w:p w14:paraId="61D77B5D">
      <w:pPr>
        <w:pStyle w:val="19"/>
        <w:spacing w:line="360" w:lineRule="auto"/>
        <w:ind w:left="25" w:leftChars="12" w:firstLine="413" w:firstLineChars="197"/>
        <w:contextualSpacing/>
        <w:rPr>
          <w:rFonts w:hint="eastAsia" w:hAnsi="宋体"/>
          <w:color w:val="auto"/>
          <w:sz w:val="21"/>
          <w:highlight w:val="none"/>
        </w:rPr>
      </w:pPr>
      <w:r>
        <w:rPr>
          <w:rFonts w:hint="eastAsia" w:hAnsi="宋体"/>
          <w:bCs/>
          <w:color w:val="auto"/>
          <w:sz w:val="21"/>
          <w:highlight w:val="none"/>
        </w:rPr>
        <w:t>质疑</w:t>
      </w:r>
      <w:r>
        <w:rPr>
          <w:rFonts w:hint="eastAsia" w:hAnsi="宋体"/>
          <w:color w:val="auto"/>
          <w:sz w:val="21"/>
          <w:highlight w:val="none"/>
        </w:rPr>
        <w:t>项目的名称：</w:t>
      </w:r>
      <w:r>
        <w:rPr>
          <w:rFonts w:hint="eastAsia" w:hAnsi="宋体"/>
          <w:bCs/>
          <w:color w:val="auto"/>
          <w:sz w:val="21"/>
          <w:highlight w:val="none"/>
          <w:u w:val="single"/>
        </w:rPr>
        <w:t xml:space="preserve">                                     </w:t>
      </w:r>
    </w:p>
    <w:p w14:paraId="35EBCD34">
      <w:pPr>
        <w:pStyle w:val="19"/>
        <w:spacing w:line="360" w:lineRule="auto"/>
        <w:ind w:left="25" w:leftChars="12" w:firstLine="413" w:firstLineChars="197"/>
        <w:contextualSpacing/>
        <w:rPr>
          <w:rFonts w:hint="eastAsia" w:hAnsi="宋体"/>
          <w:color w:val="auto"/>
          <w:sz w:val="21"/>
          <w:highlight w:val="none"/>
        </w:rPr>
      </w:pPr>
      <w:r>
        <w:rPr>
          <w:rFonts w:hint="eastAsia" w:hAnsi="宋体"/>
          <w:bCs/>
          <w:color w:val="auto"/>
          <w:sz w:val="21"/>
          <w:highlight w:val="none"/>
        </w:rPr>
        <w:t>质疑</w:t>
      </w:r>
      <w:r>
        <w:rPr>
          <w:rFonts w:hint="eastAsia" w:hAnsi="宋体"/>
          <w:color w:val="auto"/>
          <w:sz w:val="21"/>
          <w:highlight w:val="none"/>
        </w:rPr>
        <w:t>项目的编号：</w:t>
      </w:r>
      <w:r>
        <w:rPr>
          <w:rFonts w:hint="eastAsia" w:hAnsi="宋体"/>
          <w:bCs/>
          <w:color w:val="auto"/>
          <w:sz w:val="21"/>
          <w:highlight w:val="none"/>
          <w:u w:val="single"/>
        </w:rPr>
        <w:t xml:space="preserve">                                     </w:t>
      </w:r>
    </w:p>
    <w:p w14:paraId="7BC8F875">
      <w:pPr>
        <w:pStyle w:val="19"/>
        <w:spacing w:line="360" w:lineRule="auto"/>
        <w:ind w:left="25" w:leftChars="12" w:firstLine="413" w:firstLineChars="197"/>
        <w:contextualSpacing/>
        <w:rPr>
          <w:rFonts w:hint="eastAsia" w:hAnsi="宋体"/>
          <w:color w:val="auto"/>
          <w:sz w:val="21"/>
          <w:highlight w:val="none"/>
        </w:rPr>
      </w:pPr>
      <w:r>
        <w:rPr>
          <w:rFonts w:hint="eastAsia" w:hAnsi="宋体"/>
          <w:color w:val="auto"/>
          <w:sz w:val="21"/>
          <w:highlight w:val="none"/>
        </w:rPr>
        <w:t>采购人名称：</w:t>
      </w:r>
      <w:r>
        <w:rPr>
          <w:rFonts w:hint="eastAsia" w:hAnsi="宋体"/>
          <w:bCs/>
          <w:color w:val="auto"/>
          <w:sz w:val="21"/>
          <w:highlight w:val="none"/>
          <w:u w:val="single"/>
        </w:rPr>
        <w:t xml:space="preserve">                                         </w:t>
      </w:r>
    </w:p>
    <w:p w14:paraId="2A6AC6B9">
      <w:pPr>
        <w:pStyle w:val="19"/>
        <w:spacing w:line="360" w:lineRule="auto"/>
        <w:ind w:left="25" w:leftChars="12" w:firstLine="413" w:firstLineChars="197"/>
        <w:contextualSpacing/>
        <w:rPr>
          <w:rFonts w:hint="eastAsia" w:hAnsi="宋体"/>
          <w:color w:val="auto"/>
          <w:sz w:val="21"/>
          <w:highlight w:val="none"/>
        </w:rPr>
      </w:pPr>
      <w:r>
        <w:rPr>
          <w:rFonts w:hint="eastAsia" w:hAnsi="宋体"/>
          <w:color w:val="auto"/>
          <w:sz w:val="21"/>
          <w:highlight w:val="none"/>
        </w:rPr>
        <w:t>质疑事项：</w:t>
      </w:r>
    </w:p>
    <w:p w14:paraId="317DAFA6">
      <w:pPr>
        <w:pStyle w:val="19"/>
        <w:spacing w:line="360" w:lineRule="auto"/>
        <w:ind w:left="25" w:leftChars="12" w:firstLine="308" w:firstLineChars="147"/>
        <w:contextualSpacing/>
        <w:rPr>
          <w:rFonts w:hint="eastAsia" w:hAnsi="宋体"/>
          <w:color w:val="auto"/>
          <w:sz w:val="21"/>
          <w:highlight w:val="none"/>
        </w:rPr>
      </w:pPr>
      <w:r>
        <w:rPr>
          <w:rFonts w:hint="eastAsia" w:hAnsi="宋体"/>
          <w:color w:val="auto"/>
          <w:sz w:val="21"/>
          <w:highlight w:val="none"/>
        </w:rPr>
        <w:t>□采购文件   采购文件获取日期：</w:t>
      </w:r>
      <w:r>
        <w:rPr>
          <w:rFonts w:hint="eastAsia" w:hAnsi="宋体"/>
          <w:bCs/>
          <w:color w:val="auto"/>
          <w:sz w:val="21"/>
          <w:highlight w:val="none"/>
          <w:u w:val="single"/>
        </w:rPr>
        <w:t xml:space="preserve">                                   </w:t>
      </w:r>
    </w:p>
    <w:p w14:paraId="45B10A36">
      <w:pPr>
        <w:pStyle w:val="19"/>
        <w:spacing w:line="360" w:lineRule="auto"/>
        <w:ind w:left="25" w:leftChars="12" w:firstLine="308" w:firstLineChars="147"/>
        <w:contextualSpacing/>
        <w:rPr>
          <w:rFonts w:hint="eastAsia" w:hAnsi="宋体"/>
          <w:color w:val="auto"/>
          <w:sz w:val="21"/>
          <w:highlight w:val="none"/>
        </w:rPr>
      </w:pPr>
      <w:r>
        <w:rPr>
          <w:rFonts w:hint="eastAsia" w:hAnsi="宋体"/>
          <w:color w:val="auto"/>
          <w:sz w:val="21"/>
          <w:highlight w:val="none"/>
        </w:rPr>
        <w:t xml:space="preserve">□采购过程   </w:t>
      </w:r>
    </w:p>
    <w:p w14:paraId="5F3916C8">
      <w:pPr>
        <w:pStyle w:val="19"/>
        <w:spacing w:line="360" w:lineRule="auto"/>
        <w:ind w:left="25" w:leftChars="12" w:firstLine="308" w:firstLineChars="147"/>
        <w:contextualSpacing/>
        <w:rPr>
          <w:rFonts w:hint="eastAsia" w:hAnsi="宋体"/>
          <w:bCs/>
          <w:color w:val="auto"/>
          <w:sz w:val="21"/>
          <w:highlight w:val="none"/>
          <w:u w:val="single"/>
        </w:rPr>
      </w:pPr>
      <w:r>
        <w:rPr>
          <w:rFonts w:hint="eastAsia" w:hAnsi="宋体"/>
          <w:color w:val="auto"/>
          <w:sz w:val="21"/>
          <w:highlight w:val="none"/>
        </w:rPr>
        <w:t xml:space="preserve">□成交结果   </w:t>
      </w:r>
    </w:p>
    <w:p w14:paraId="4BA408C0">
      <w:pPr>
        <w:pStyle w:val="19"/>
        <w:spacing w:line="360" w:lineRule="auto"/>
        <w:ind w:left="25" w:leftChars="12" w:firstLine="413" w:firstLineChars="196"/>
        <w:contextualSpacing/>
        <w:rPr>
          <w:rFonts w:hint="eastAsia" w:hAnsi="宋体"/>
          <w:b/>
          <w:color w:val="auto"/>
          <w:sz w:val="21"/>
          <w:highlight w:val="none"/>
        </w:rPr>
      </w:pPr>
      <w:r>
        <w:rPr>
          <w:rFonts w:hint="eastAsia" w:hAnsi="宋体"/>
          <w:b/>
          <w:color w:val="auto"/>
          <w:sz w:val="21"/>
          <w:highlight w:val="none"/>
        </w:rPr>
        <w:t>三、质疑事项具体内容</w:t>
      </w:r>
    </w:p>
    <w:p w14:paraId="53BC1E09">
      <w:pPr>
        <w:pStyle w:val="19"/>
        <w:spacing w:line="360" w:lineRule="auto"/>
        <w:ind w:left="25" w:leftChars="12" w:firstLine="413" w:firstLineChars="197"/>
        <w:contextualSpacing/>
        <w:rPr>
          <w:rFonts w:hint="eastAsia" w:hAnsi="宋体"/>
          <w:color w:val="auto"/>
          <w:sz w:val="21"/>
          <w:highlight w:val="none"/>
        </w:rPr>
      </w:pPr>
      <w:r>
        <w:rPr>
          <w:rFonts w:hint="eastAsia" w:hAnsi="宋体"/>
          <w:color w:val="auto"/>
          <w:sz w:val="21"/>
          <w:highlight w:val="none"/>
        </w:rPr>
        <w:t>质疑事项1：</w:t>
      </w:r>
      <w:r>
        <w:rPr>
          <w:rFonts w:hint="eastAsia" w:hAnsi="宋体"/>
          <w:bCs/>
          <w:color w:val="auto"/>
          <w:sz w:val="21"/>
          <w:highlight w:val="none"/>
          <w:u w:val="single"/>
        </w:rPr>
        <w:t xml:space="preserve">                                                                    </w:t>
      </w:r>
    </w:p>
    <w:p w14:paraId="55583846">
      <w:pPr>
        <w:pStyle w:val="19"/>
        <w:spacing w:line="360" w:lineRule="auto"/>
        <w:ind w:left="25" w:leftChars="12" w:firstLine="413" w:firstLineChars="197"/>
        <w:contextualSpacing/>
        <w:rPr>
          <w:rFonts w:hint="eastAsia" w:hAnsi="宋体"/>
          <w:color w:val="auto"/>
          <w:sz w:val="21"/>
          <w:highlight w:val="none"/>
        </w:rPr>
      </w:pPr>
      <w:r>
        <w:rPr>
          <w:rFonts w:hint="eastAsia" w:hAnsi="宋体"/>
          <w:color w:val="auto"/>
          <w:sz w:val="21"/>
          <w:highlight w:val="none"/>
        </w:rPr>
        <w:t>事实依据：</w:t>
      </w:r>
      <w:r>
        <w:rPr>
          <w:rFonts w:hint="eastAsia" w:hAnsi="宋体"/>
          <w:bCs/>
          <w:color w:val="auto"/>
          <w:sz w:val="21"/>
          <w:highlight w:val="none"/>
          <w:u w:val="single"/>
        </w:rPr>
        <w:t xml:space="preserve">                                                                      </w:t>
      </w:r>
    </w:p>
    <w:p w14:paraId="1FF1F060">
      <w:pPr>
        <w:pStyle w:val="19"/>
        <w:spacing w:line="360" w:lineRule="auto"/>
        <w:ind w:left="25" w:leftChars="12" w:firstLine="413" w:firstLineChars="197"/>
        <w:contextualSpacing/>
        <w:rPr>
          <w:rFonts w:hint="eastAsia" w:hAnsi="宋体"/>
          <w:color w:val="auto"/>
          <w:sz w:val="21"/>
          <w:highlight w:val="none"/>
        </w:rPr>
      </w:pPr>
      <w:r>
        <w:rPr>
          <w:rFonts w:hint="eastAsia" w:hAnsi="宋体"/>
          <w:color w:val="auto"/>
          <w:sz w:val="21"/>
          <w:highlight w:val="none"/>
        </w:rPr>
        <w:t>法律依据：</w:t>
      </w:r>
      <w:r>
        <w:rPr>
          <w:rFonts w:hint="eastAsia" w:hAnsi="宋体"/>
          <w:color w:val="auto"/>
          <w:sz w:val="21"/>
          <w:highlight w:val="none"/>
          <w:u w:val="single"/>
        </w:rPr>
        <w:t xml:space="preserve">                                                        </w:t>
      </w:r>
      <w:r>
        <w:rPr>
          <w:rFonts w:hint="eastAsia" w:hAnsi="宋体"/>
          <w:bCs/>
          <w:color w:val="auto"/>
          <w:sz w:val="21"/>
          <w:highlight w:val="none"/>
          <w:u w:val="single"/>
        </w:rPr>
        <w:t xml:space="preserve">               </w:t>
      </w:r>
    </w:p>
    <w:p w14:paraId="7C863363">
      <w:pPr>
        <w:pStyle w:val="19"/>
        <w:spacing w:line="360" w:lineRule="auto"/>
        <w:ind w:left="25" w:leftChars="12" w:firstLine="413" w:firstLineChars="197"/>
        <w:contextualSpacing/>
        <w:rPr>
          <w:rFonts w:hint="eastAsia" w:hAnsi="宋体"/>
          <w:color w:val="auto"/>
          <w:sz w:val="21"/>
          <w:highlight w:val="none"/>
        </w:rPr>
      </w:pPr>
      <w:r>
        <w:rPr>
          <w:rFonts w:hint="eastAsia" w:hAnsi="宋体"/>
          <w:color w:val="auto"/>
          <w:sz w:val="21"/>
          <w:highlight w:val="none"/>
        </w:rPr>
        <w:t>质疑事项2</w:t>
      </w:r>
    </w:p>
    <w:p w14:paraId="291E7FD1">
      <w:pPr>
        <w:pStyle w:val="19"/>
        <w:spacing w:line="360" w:lineRule="auto"/>
        <w:ind w:left="25" w:leftChars="12" w:firstLine="413" w:firstLineChars="197"/>
        <w:contextualSpacing/>
        <w:rPr>
          <w:rFonts w:hint="eastAsia" w:hAnsi="宋体"/>
          <w:color w:val="auto"/>
          <w:sz w:val="21"/>
          <w:highlight w:val="none"/>
        </w:rPr>
      </w:pPr>
      <w:r>
        <w:rPr>
          <w:rFonts w:hAnsi="宋体"/>
          <w:color w:val="auto"/>
          <w:sz w:val="21"/>
          <w:highlight w:val="none"/>
        </w:rPr>
        <w:t>……</w:t>
      </w:r>
    </w:p>
    <w:p w14:paraId="18040E5E">
      <w:pPr>
        <w:pStyle w:val="19"/>
        <w:spacing w:line="360" w:lineRule="auto"/>
        <w:ind w:left="25" w:leftChars="12" w:firstLine="413" w:firstLineChars="197"/>
        <w:contextualSpacing/>
        <w:rPr>
          <w:rFonts w:hint="eastAsia" w:hAnsi="宋体"/>
          <w:color w:val="auto"/>
          <w:sz w:val="21"/>
          <w:highlight w:val="none"/>
        </w:rPr>
      </w:pPr>
      <w:r>
        <w:rPr>
          <w:rFonts w:hint="eastAsia" w:hAnsi="宋体"/>
          <w:color w:val="auto"/>
          <w:sz w:val="21"/>
          <w:highlight w:val="none"/>
        </w:rPr>
        <w:t>四、与质疑事项相关的质疑请求：</w:t>
      </w:r>
    </w:p>
    <w:p w14:paraId="166FCA24">
      <w:pPr>
        <w:pStyle w:val="19"/>
        <w:spacing w:line="360" w:lineRule="auto"/>
        <w:ind w:left="25" w:leftChars="12" w:firstLine="413" w:firstLineChars="197"/>
        <w:contextualSpacing/>
        <w:rPr>
          <w:rFonts w:hint="eastAsia" w:hAnsi="宋体"/>
          <w:color w:val="auto"/>
          <w:sz w:val="21"/>
          <w:highlight w:val="none"/>
        </w:rPr>
      </w:pPr>
      <w:r>
        <w:rPr>
          <w:rFonts w:hint="eastAsia" w:hAnsi="宋体"/>
          <w:color w:val="auto"/>
          <w:sz w:val="21"/>
          <w:highlight w:val="none"/>
        </w:rPr>
        <w:t>请求：</w:t>
      </w:r>
      <w:r>
        <w:rPr>
          <w:rFonts w:hint="eastAsia" w:hAnsi="宋体"/>
          <w:bCs/>
          <w:color w:val="auto"/>
          <w:sz w:val="21"/>
          <w:highlight w:val="none"/>
          <w:u w:val="single"/>
        </w:rPr>
        <w:t xml:space="preserve">                                                                </w:t>
      </w:r>
    </w:p>
    <w:p w14:paraId="740C51D8">
      <w:pPr>
        <w:pStyle w:val="19"/>
        <w:spacing w:line="360" w:lineRule="auto"/>
        <w:ind w:left="25" w:leftChars="12" w:firstLine="308" w:firstLineChars="147"/>
        <w:contextualSpacing/>
        <w:rPr>
          <w:rFonts w:hint="eastAsia" w:hAnsi="宋体"/>
          <w:color w:val="auto"/>
          <w:sz w:val="21"/>
          <w:highlight w:val="none"/>
        </w:rPr>
      </w:pPr>
    </w:p>
    <w:p w14:paraId="5ACF6BD8">
      <w:pPr>
        <w:pStyle w:val="19"/>
        <w:spacing w:line="360" w:lineRule="auto"/>
        <w:ind w:left="25" w:leftChars="12" w:firstLine="413" w:firstLineChars="197"/>
        <w:contextualSpacing/>
        <w:rPr>
          <w:rFonts w:hint="eastAsia" w:hAnsi="宋体"/>
          <w:color w:val="auto"/>
          <w:sz w:val="21"/>
          <w:highlight w:val="none"/>
        </w:rPr>
      </w:pPr>
      <w:r>
        <w:rPr>
          <w:rFonts w:hint="eastAsia" w:hAnsi="宋体"/>
          <w:color w:val="auto"/>
          <w:sz w:val="21"/>
          <w:highlight w:val="none"/>
        </w:rPr>
        <w:t>签字（签章）：                                       公章：</w:t>
      </w:r>
    </w:p>
    <w:p w14:paraId="693A8E53">
      <w:pPr>
        <w:pStyle w:val="19"/>
        <w:spacing w:line="360" w:lineRule="auto"/>
        <w:ind w:firstLine="420" w:firstLineChars="200"/>
        <w:contextualSpacing/>
        <w:rPr>
          <w:rFonts w:hint="eastAsia" w:hAnsi="宋体"/>
          <w:b/>
          <w:color w:val="auto"/>
          <w:sz w:val="21"/>
          <w:highlight w:val="none"/>
        </w:rPr>
      </w:pPr>
      <w:r>
        <w:rPr>
          <w:rFonts w:hint="eastAsia" w:hAnsi="宋体"/>
          <w:color w:val="auto"/>
          <w:sz w:val="21"/>
          <w:highlight w:val="none"/>
        </w:rPr>
        <w:t>日期：</w:t>
      </w:r>
    </w:p>
    <w:p w14:paraId="0DC2512D">
      <w:pPr>
        <w:pStyle w:val="19"/>
        <w:spacing w:line="360" w:lineRule="auto"/>
        <w:contextualSpacing/>
        <w:rPr>
          <w:rFonts w:hint="eastAsia" w:hAnsi="宋体"/>
          <w:b/>
          <w:color w:val="auto"/>
          <w:sz w:val="21"/>
          <w:highlight w:val="none"/>
        </w:rPr>
      </w:pPr>
      <w:r>
        <w:rPr>
          <w:rFonts w:hint="eastAsia" w:hAnsi="宋体"/>
          <w:b/>
          <w:color w:val="auto"/>
          <w:sz w:val="21"/>
          <w:highlight w:val="none"/>
        </w:rPr>
        <w:t>说明：</w:t>
      </w:r>
    </w:p>
    <w:p w14:paraId="637EBF6C">
      <w:pPr>
        <w:pStyle w:val="19"/>
        <w:spacing w:line="360" w:lineRule="auto"/>
        <w:ind w:left="25" w:leftChars="12" w:firstLine="310" w:firstLineChars="147"/>
        <w:contextualSpacing/>
        <w:rPr>
          <w:rFonts w:hint="eastAsia" w:hAnsi="宋体"/>
          <w:b/>
          <w:bCs/>
          <w:color w:val="auto"/>
          <w:sz w:val="21"/>
          <w:highlight w:val="none"/>
        </w:rPr>
      </w:pPr>
      <w:r>
        <w:rPr>
          <w:rFonts w:hint="eastAsia" w:hAnsi="宋体"/>
          <w:b/>
          <w:color w:val="auto"/>
          <w:sz w:val="21"/>
          <w:highlight w:val="none"/>
        </w:rPr>
        <w:t>1.供应商提出质疑时，应提交质疑函和必要的证明材料</w:t>
      </w:r>
      <w:r>
        <w:rPr>
          <w:rFonts w:hint="eastAsia" w:hAnsi="宋体"/>
          <w:b/>
          <w:bCs/>
          <w:color w:val="auto"/>
          <w:sz w:val="21"/>
          <w:highlight w:val="none"/>
        </w:rPr>
        <w:t>。</w:t>
      </w:r>
    </w:p>
    <w:p w14:paraId="0E0C8063">
      <w:pPr>
        <w:pStyle w:val="19"/>
        <w:spacing w:line="360" w:lineRule="auto"/>
        <w:ind w:left="25" w:leftChars="12" w:firstLine="310" w:firstLineChars="147"/>
        <w:contextualSpacing/>
        <w:rPr>
          <w:rFonts w:hint="eastAsia" w:hAnsi="宋体"/>
          <w:b/>
          <w:color w:val="auto"/>
          <w:sz w:val="21"/>
          <w:highlight w:val="none"/>
        </w:rPr>
      </w:pPr>
      <w:r>
        <w:rPr>
          <w:rFonts w:hint="eastAsia" w:hAnsi="宋体"/>
          <w:b/>
          <w:color w:val="auto"/>
          <w:sz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08DF223">
      <w:pPr>
        <w:pStyle w:val="19"/>
        <w:spacing w:line="360" w:lineRule="auto"/>
        <w:ind w:left="25" w:leftChars="12" w:firstLine="310" w:firstLineChars="147"/>
        <w:contextualSpacing/>
        <w:rPr>
          <w:rFonts w:hint="eastAsia" w:hAnsi="宋体"/>
          <w:b/>
          <w:color w:val="auto"/>
          <w:sz w:val="21"/>
          <w:highlight w:val="none"/>
        </w:rPr>
      </w:pPr>
      <w:r>
        <w:rPr>
          <w:rFonts w:hint="eastAsia" w:hAnsi="宋体"/>
          <w:b/>
          <w:color w:val="auto"/>
          <w:sz w:val="21"/>
          <w:highlight w:val="none"/>
        </w:rPr>
        <w:t>3.质疑函的质疑事项应具体、明确，并有必要的事实依据和法律依据。</w:t>
      </w:r>
    </w:p>
    <w:p w14:paraId="7698D2EB">
      <w:pPr>
        <w:pStyle w:val="19"/>
        <w:spacing w:line="360" w:lineRule="auto"/>
        <w:ind w:left="25" w:leftChars="12" w:firstLine="310" w:firstLineChars="147"/>
        <w:contextualSpacing/>
        <w:rPr>
          <w:rFonts w:hint="eastAsia" w:hAnsi="宋体"/>
          <w:b/>
          <w:color w:val="auto"/>
          <w:sz w:val="21"/>
          <w:highlight w:val="none"/>
        </w:rPr>
      </w:pPr>
      <w:r>
        <w:rPr>
          <w:rFonts w:hint="eastAsia" w:hAnsi="宋体"/>
          <w:b/>
          <w:color w:val="auto"/>
          <w:sz w:val="21"/>
          <w:highlight w:val="none"/>
        </w:rPr>
        <w:t>4.质疑函的质疑请求应与质疑事项相关。</w:t>
      </w:r>
    </w:p>
    <w:p w14:paraId="5F9A7A00">
      <w:pPr>
        <w:pStyle w:val="19"/>
        <w:spacing w:line="360" w:lineRule="auto"/>
        <w:ind w:left="25" w:leftChars="12" w:firstLine="310" w:firstLineChars="147"/>
        <w:contextualSpacing/>
        <w:rPr>
          <w:rFonts w:hint="eastAsia" w:hAnsi="宋体"/>
          <w:b/>
          <w:color w:val="auto"/>
          <w:sz w:val="21"/>
          <w:highlight w:val="none"/>
        </w:rPr>
      </w:pPr>
      <w:r>
        <w:rPr>
          <w:rFonts w:hint="eastAsia" w:hAnsi="宋体"/>
          <w:b/>
          <w:color w:val="auto"/>
          <w:sz w:val="21"/>
          <w:highlight w:val="none"/>
        </w:rPr>
        <w:t>5.质疑供应商为法人或者其他组织的，质疑函应由法定代表人、主要负责人，或者其授权代表签字或者盖章，并加盖公章。</w:t>
      </w:r>
    </w:p>
    <w:p w14:paraId="2B4E1A20">
      <w:pPr>
        <w:pStyle w:val="19"/>
        <w:snapToGrid w:val="0"/>
        <w:rPr>
          <w:rFonts w:hint="eastAsia"/>
          <w:b/>
          <w:color w:val="auto"/>
          <w:sz w:val="24"/>
          <w:szCs w:val="24"/>
          <w:highlight w:val="none"/>
        </w:rPr>
      </w:pPr>
    </w:p>
    <w:p w14:paraId="53E30E80">
      <w:pPr>
        <w:rPr>
          <w:rFonts w:hint="eastAsia"/>
          <w:color w:val="auto"/>
          <w:sz w:val="32"/>
          <w:szCs w:val="40"/>
          <w:highlight w:val="none"/>
        </w:rPr>
      </w:pPr>
    </w:p>
    <w:p w14:paraId="68B912E9">
      <w:pPr>
        <w:rPr>
          <w:rFonts w:hint="eastAsia"/>
          <w:color w:val="auto"/>
          <w:sz w:val="32"/>
          <w:szCs w:val="40"/>
          <w:highlight w:val="none"/>
        </w:rPr>
      </w:pPr>
    </w:p>
    <w:p w14:paraId="74C911CE">
      <w:pPr>
        <w:rPr>
          <w:rFonts w:hint="eastAsia"/>
          <w:color w:val="auto"/>
          <w:sz w:val="32"/>
          <w:szCs w:val="40"/>
          <w:highlight w:val="none"/>
        </w:rPr>
      </w:pPr>
    </w:p>
    <w:p w14:paraId="14E7606D">
      <w:pPr>
        <w:rPr>
          <w:rFonts w:hint="eastAsia"/>
          <w:color w:val="auto"/>
          <w:sz w:val="32"/>
          <w:szCs w:val="40"/>
          <w:highlight w:val="none"/>
        </w:rPr>
      </w:pPr>
    </w:p>
    <w:p w14:paraId="54AA88DF">
      <w:pPr>
        <w:rPr>
          <w:rFonts w:hint="eastAsia"/>
          <w:color w:val="auto"/>
          <w:sz w:val="32"/>
          <w:szCs w:val="40"/>
          <w:highlight w:val="none"/>
        </w:rPr>
      </w:pPr>
    </w:p>
    <w:p w14:paraId="6D525B21">
      <w:pPr>
        <w:rPr>
          <w:rFonts w:hint="eastAsia"/>
          <w:color w:val="auto"/>
          <w:sz w:val="32"/>
          <w:szCs w:val="40"/>
          <w:highlight w:val="none"/>
        </w:rPr>
      </w:pPr>
    </w:p>
    <w:p w14:paraId="490D4B55">
      <w:pPr>
        <w:rPr>
          <w:rFonts w:hint="eastAsia"/>
          <w:color w:val="auto"/>
          <w:sz w:val="32"/>
          <w:szCs w:val="40"/>
          <w:highlight w:val="none"/>
        </w:rPr>
      </w:pPr>
    </w:p>
    <w:p w14:paraId="24DE2E02">
      <w:pPr>
        <w:rPr>
          <w:rFonts w:hint="eastAsia"/>
          <w:color w:val="auto"/>
          <w:sz w:val="32"/>
          <w:szCs w:val="40"/>
          <w:highlight w:val="none"/>
        </w:rPr>
      </w:pPr>
    </w:p>
    <w:p w14:paraId="774F0458">
      <w:pPr>
        <w:rPr>
          <w:rFonts w:hint="eastAsia"/>
          <w:color w:val="auto"/>
          <w:sz w:val="32"/>
          <w:szCs w:val="40"/>
          <w:highlight w:val="none"/>
        </w:rPr>
      </w:pPr>
    </w:p>
    <w:p w14:paraId="33E6FF72">
      <w:pPr>
        <w:rPr>
          <w:rFonts w:hint="eastAsia"/>
          <w:color w:val="auto"/>
          <w:sz w:val="32"/>
          <w:szCs w:val="40"/>
          <w:highlight w:val="none"/>
        </w:rPr>
      </w:pPr>
    </w:p>
    <w:p w14:paraId="4AB36850">
      <w:pPr>
        <w:rPr>
          <w:rFonts w:hint="eastAsia"/>
          <w:color w:val="auto"/>
          <w:sz w:val="32"/>
          <w:szCs w:val="40"/>
          <w:highlight w:val="none"/>
        </w:rPr>
      </w:pPr>
    </w:p>
    <w:p w14:paraId="29DE5355">
      <w:pPr>
        <w:rPr>
          <w:rFonts w:hint="eastAsia"/>
          <w:color w:val="auto"/>
          <w:sz w:val="32"/>
          <w:szCs w:val="40"/>
          <w:highlight w:val="none"/>
        </w:rPr>
      </w:pPr>
    </w:p>
    <w:p w14:paraId="5A19A452">
      <w:pPr>
        <w:rPr>
          <w:rFonts w:hint="eastAsia"/>
          <w:color w:val="auto"/>
          <w:sz w:val="32"/>
          <w:szCs w:val="40"/>
          <w:highlight w:val="none"/>
        </w:rPr>
      </w:pPr>
    </w:p>
    <w:p w14:paraId="33FAB9F0">
      <w:pPr>
        <w:rPr>
          <w:rFonts w:hint="eastAsia"/>
          <w:color w:val="auto"/>
          <w:sz w:val="32"/>
          <w:szCs w:val="40"/>
          <w:highlight w:val="none"/>
        </w:rPr>
      </w:pPr>
    </w:p>
    <w:p w14:paraId="6929DD46">
      <w:pPr>
        <w:spacing w:line="360" w:lineRule="auto"/>
        <w:jc w:val="center"/>
        <w:rPr>
          <w:rFonts w:hint="eastAsia" w:ascii="方正小标宋简体" w:hAnsi="方正小标宋简体" w:eastAsia="方正小标宋简体" w:cs="方正小标宋简体"/>
          <w:color w:val="auto"/>
          <w:sz w:val="24"/>
          <w:highlight w:val="none"/>
        </w:rPr>
      </w:pPr>
      <w:r>
        <w:rPr>
          <w:rFonts w:ascii="方正小标宋简体" w:hAnsi="方正小标宋简体" w:eastAsia="方正小标宋简体" w:cs="方正小标宋简体"/>
          <w:color w:val="auto"/>
          <w:sz w:val="44"/>
          <w:szCs w:val="44"/>
          <w:highlight w:val="none"/>
        </w:rPr>
        <w:br w:type="page"/>
      </w:r>
      <w:r>
        <w:rPr>
          <w:rFonts w:hint="eastAsia" w:ascii="方正小标宋简体" w:hAnsi="方正小标宋简体" w:eastAsia="方正小标宋简体" w:cs="方正小标宋简体"/>
          <w:color w:val="auto"/>
          <w:sz w:val="44"/>
          <w:szCs w:val="44"/>
          <w:highlight w:val="none"/>
        </w:rPr>
        <w:t>投诉书</w:t>
      </w:r>
      <w:r>
        <w:rPr>
          <w:rFonts w:hint="eastAsia" w:ascii="方正小标宋简体" w:hAnsi="方正小标宋简体" w:eastAsia="方正小标宋简体" w:cs="方正小标宋简体"/>
          <w:color w:val="auto"/>
          <w:sz w:val="28"/>
          <w:szCs w:val="28"/>
          <w:highlight w:val="none"/>
        </w:rPr>
        <w:t>（格式）</w:t>
      </w:r>
    </w:p>
    <w:p w14:paraId="4C55558A">
      <w:pPr>
        <w:pStyle w:val="19"/>
        <w:snapToGrid w:val="0"/>
        <w:spacing w:line="360" w:lineRule="auto"/>
        <w:ind w:firstLine="422" w:firstLineChars="200"/>
        <w:rPr>
          <w:rFonts w:hAnsi="宋体"/>
          <w:b/>
          <w:bCs/>
          <w:color w:val="auto"/>
          <w:sz w:val="21"/>
          <w:highlight w:val="none"/>
        </w:rPr>
      </w:pPr>
      <w:r>
        <w:rPr>
          <w:rFonts w:hint="eastAsia" w:hAnsi="宋体"/>
          <w:b/>
          <w:bCs/>
          <w:color w:val="auto"/>
          <w:sz w:val="21"/>
          <w:highlight w:val="none"/>
        </w:rPr>
        <w:t>一、投诉相关主体基本情况：</w:t>
      </w:r>
    </w:p>
    <w:p w14:paraId="70C4A5DA">
      <w:pPr>
        <w:pStyle w:val="19"/>
        <w:snapToGrid w:val="0"/>
        <w:spacing w:line="360" w:lineRule="auto"/>
        <w:ind w:firstLine="420" w:firstLineChars="200"/>
        <w:rPr>
          <w:rFonts w:hint="eastAsia" w:hAnsi="宋体"/>
          <w:bCs/>
          <w:color w:val="auto"/>
          <w:sz w:val="21"/>
          <w:highlight w:val="none"/>
          <w:u w:val="single"/>
        </w:rPr>
      </w:pPr>
      <w:r>
        <w:rPr>
          <w:rFonts w:hint="eastAsia" w:hAnsi="宋体"/>
          <w:bCs/>
          <w:color w:val="auto"/>
          <w:sz w:val="21"/>
          <w:highlight w:val="none"/>
        </w:rPr>
        <w:t>供应商：</w:t>
      </w:r>
      <w:r>
        <w:rPr>
          <w:rFonts w:hint="eastAsia" w:hAnsi="宋体"/>
          <w:bCs/>
          <w:color w:val="auto"/>
          <w:sz w:val="21"/>
          <w:highlight w:val="none"/>
          <w:u w:val="single"/>
        </w:rPr>
        <w:t xml:space="preserve">                                                                        </w:t>
      </w:r>
      <w:r>
        <w:rPr>
          <w:rFonts w:hint="eastAsia" w:hAnsi="宋体"/>
          <w:bCs/>
          <w:color w:val="auto"/>
          <w:sz w:val="21"/>
          <w:highlight w:val="none"/>
        </w:rPr>
        <w:t xml:space="preserve">                 </w:t>
      </w:r>
    </w:p>
    <w:p w14:paraId="192F6E5D">
      <w:pPr>
        <w:pStyle w:val="19"/>
        <w:snapToGrid w:val="0"/>
        <w:spacing w:line="360" w:lineRule="auto"/>
        <w:ind w:firstLine="420" w:firstLineChars="200"/>
        <w:rPr>
          <w:rFonts w:hint="eastAsia" w:hAnsi="宋体"/>
          <w:bCs/>
          <w:color w:val="auto"/>
          <w:sz w:val="21"/>
          <w:highlight w:val="none"/>
        </w:rPr>
      </w:pPr>
      <w:r>
        <w:rPr>
          <w:rFonts w:hAnsi="宋体"/>
          <w:bCs/>
          <w:color w:val="auto"/>
          <w:sz w:val="21"/>
          <w:highlight w:val="none"/>
        </w:rPr>
        <w:t>地址</w:t>
      </w:r>
      <w:r>
        <w:rPr>
          <w:rFonts w:hint="eastAsia" w:hAnsi="宋体"/>
          <w:bCs/>
          <w:color w:val="auto"/>
          <w:sz w:val="21"/>
          <w:highlight w:val="none"/>
        </w:rPr>
        <w:t>：</w:t>
      </w:r>
      <w:r>
        <w:rPr>
          <w:rFonts w:hint="eastAsia" w:hAnsi="宋体"/>
          <w:bCs/>
          <w:color w:val="auto"/>
          <w:sz w:val="21"/>
          <w:highlight w:val="none"/>
          <w:u w:val="single"/>
        </w:rPr>
        <w:t xml:space="preserve">                                          </w:t>
      </w:r>
      <w:r>
        <w:rPr>
          <w:rFonts w:hAnsi="宋体"/>
          <w:bCs/>
          <w:color w:val="auto"/>
          <w:sz w:val="21"/>
          <w:highlight w:val="none"/>
        </w:rPr>
        <w:t>邮编</w:t>
      </w:r>
      <w:r>
        <w:rPr>
          <w:rFonts w:hint="eastAsia" w:hAnsi="宋体"/>
          <w:bCs/>
          <w:color w:val="auto"/>
          <w:sz w:val="21"/>
          <w:highlight w:val="none"/>
        </w:rPr>
        <w:t>：</w:t>
      </w:r>
      <w:r>
        <w:rPr>
          <w:rFonts w:hint="eastAsia" w:hAnsi="宋体"/>
          <w:bCs/>
          <w:color w:val="auto"/>
          <w:sz w:val="21"/>
          <w:highlight w:val="none"/>
          <w:u w:val="single"/>
        </w:rPr>
        <w:t xml:space="preserve">                          </w:t>
      </w:r>
      <w:r>
        <w:rPr>
          <w:rFonts w:hint="eastAsia" w:hAnsi="宋体"/>
          <w:bCs/>
          <w:color w:val="auto"/>
          <w:sz w:val="21"/>
          <w:highlight w:val="none"/>
        </w:rPr>
        <w:t xml:space="preserve">                 </w:t>
      </w:r>
    </w:p>
    <w:p w14:paraId="0C4236B8">
      <w:pPr>
        <w:pStyle w:val="19"/>
        <w:snapToGrid w:val="0"/>
        <w:spacing w:line="360" w:lineRule="auto"/>
        <w:ind w:firstLine="420" w:firstLineChars="200"/>
        <w:rPr>
          <w:rFonts w:hint="eastAsia" w:hAnsi="宋体"/>
          <w:bCs/>
          <w:color w:val="auto"/>
          <w:sz w:val="21"/>
          <w:highlight w:val="none"/>
          <w:u w:val="single"/>
        </w:rPr>
      </w:pPr>
      <w:r>
        <w:rPr>
          <w:rFonts w:hint="eastAsia" w:hAnsi="宋体"/>
          <w:bCs/>
          <w:color w:val="auto"/>
          <w:sz w:val="21"/>
          <w:highlight w:val="none"/>
        </w:rPr>
        <w:t>法定代表人/主要负责人：</w:t>
      </w:r>
      <w:r>
        <w:rPr>
          <w:rFonts w:hint="eastAsia" w:hAnsi="宋体"/>
          <w:bCs/>
          <w:color w:val="auto"/>
          <w:sz w:val="21"/>
          <w:highlight w:val="none"/>
          <w:u w:val="single"/>
        </w:rPr>
        <w:t xml:space="preserve">                                                         </w:t>
      </w:r>
    </w:p>
    <w:p w14:paraId="7F351AE6">
      <w:pPr>
        <w:pStyle w:val="19"/>
        <w:snapToGrid w:val="0"/>
        <w:spacing w:line="360" w:lineRule="auto"/>
        <w:ind w:firstLine="420" w:firstLineChars="200"/>
        <w:rPr>
          <w:rFonts w:hint="eastAsia" w:hAnsi="宋体"/>
          <w:bCs/>
          <w:color w:val="auto"/>
          <w:sz w:val="21"/>
          <w:highlight w:val="none"/>
        </w:rPr>
      </w:pPr>
      <w:r>
        <w:rPr>
          <w:rFonts w:hAnsi="宋体"/>
          <w:bCs/>
          <w:color w:val="auto"/>
          <w:sz w:val="21"/>
          <w:highlight w:val="none"/>
        </w:rPr>
        <w:t>联系电话</w:t>
      </w:r>
      <w:r>
        <w:rPr>
          <w:rFonts w:hint="eastAsia" w:hAnsi="宋体"/>
          <w:bCs/>
          <w:color w:val="auto"/>
          <w:sz w:val="21"/>
          <w:highlight w:val="none"/>
        </w:rPr>
        <w:t>：</w:t>
      </w:r>
      <w:r>
        <w:rPr>
          <w:rFonts w:hint="eastAsia" w:hAnsi="宋体"/>
          <w:bCs/>
          <w:color w:val="auto"/>
          <w:sz w:val="21"/>
          <w:highlight w:val="none"/>
          <w:u w:val="single"/>
        </w:rPr>
        <w:t xml:space="preserve">                                         </w:t>
      </w:r>
    </w:p>
    <w:p w14:paraId="2709B62E">
      <w:pPr>
        <w:pStyle w:val="19"/>
        <w:snapToGrid w:val="0"/>
        <w:spacing w:line="360" w:lineRule="auto"/>
        <w:ind w:firstLine="420" w:firstLineChars="200"/>
        <w:rPr>
          <w:rFonts w:hint="eastAsia" w:hAnsi="宋体"/>
          <w:bCs/>
          <w:color w:val="auto"/>
          <w:sz w:val="21"/>
          <w:highlight w:val="none"/>
          <w:u w:val="single"/>
        </w:rPr>
      </w:pPr>
      <w:r>
        <w:rPr>
          <w:rFonts w:hint="eastAsia" w:hAnsi="宋体"/>
          <w:bCs/>
          <w:color w:val="auto"/>
          <w:sz w:val="21"/>
          <w:highlight w:val="none"/>
        </w:rPr>
        <w:t>授权代表：</w:t>
      </w:r>
      <w:r>
        <w:rPr>
          <w:rFonts w:hint="eastAsia" w:hAnsi="宋体"/>
          <w:bCs/>
          <w:color w:val="auto"/>
          <w:sz w:val="21"/>
          <w:highlight w:val="none"/>
          <w:u w:val="single"/>
        </w:rPr>
        <w:t xml:space="preserve">                                         </w:t>
      </w:r>
      <w:r>
        <w:rPr>
          <w:rFonts w:hAnsi="宋体"/>
          <w:bCs/>
          <w:color w:val="auto"/>
          <w:sz w:val="21"/>
          <w:highlight w:val="none"/>
        </w:rPr>
        <w:t>联系</w:t>
      </w:r>
      <w:r>
        <w:rPr>
          <w:rFonts w:hint="eastAsia" w:hAnsi="宋体"/>
          <w:bCs/>
          <w:color w:val="auto"/>
          <w:sz w:val="21"/>
          <w:highlight w:val="none"/>
        </w:rPr>
        <w:t>电话：</w:t>
      </w:r>
      <w:r>
        <w:rPr>
          <w:rFonts w:hint="eastAsia" w:hAnsi="宋体"/>
          <w:bCs/>
          <w:color w:val="auto"/>
          <w:sz w:val="21"/>
          <w:highlight w:val="none"/>
          <w:u w:val="single"/>
        </w:rPr>
        <w:t xml:space="preserve">                   </w:t>
      </w:r>
    </w:p>
    <w:p w14:paraId="3A030ABE">
      <w:pPr>
        <w:pStyle w:val="19"/>
        <w:snapToGrid w:val="0"/>
        <w:spacing w:line="360" w:lineRule="auto"/>
        <w:ind w:firstLine="420" w:firstLineChars="200"/>
        <w:rPr>
          <w:rFonts w:hint="eastAsia" w:hAnsi="宋体"/>
          <w:bCs/>
          <w:color w:val="auto"/>
          <w:sz w:val="21"/>
          <w:highlight w:val="none"/>
          <w:u w:val="single"/>
        </w:rPr>
      </w:pPr>
      <w:r>
        <w:rPr>
          <w:rFonts w:hAnsi="宋体"/>
          <w:bCs/>
          <w:color w:val="auto"/>
          <w:sz w:val="21"/>
          <w:highlight w:val="none"/>
        </w:rPr>
        <w:t>地址</w:t>
      </w:r>
      <w:r>
        <w:rPr>
          <w:rFonts w:hint="eastAsia" w:hAnsi="宋体"/>
          <w:bCs/>
          <w:color w:val="auto"/>
          <w:sz w:val="21"/>
          <w:highlight w:val="none"/>
        </w:rPr>
        <w:t>：</w:t>
      </w:r>
      <w:r>
        <w:rPr>
          <w:rFonts w:hint="eastAsia" w:hAnsi="宋体"/>
          <w:bCs/>
          <w:color w:val="auto"/>
          <w:sz w:val="21"/>
          <w:highlight w:val="none"/>
          <w:u w:val="single"/>
        </w:rPr>
        <w:t xml:space="preserve">                                                            </w:t>
      </w:r>
    </w:p>
    <w:p w14:paraId="6D625376">
      <w:pPr>
        <w:pStyle w:val="19"/>
        <w:snapToGrid w:val="0"/>
        <w:spacing w:line="360" w:lineRule="auto"/>
        <w:ind w:firstLine="420" w:firstLineChars="200"/>
        <w:rPr>
          <w:rFonts w:hint="eastAsia" w:hAnsi="宋体"/>
          <w:bCs/>
          <w:color w:val="auto"/>
          <w:sz w:val="21"/>
          <w:highlight w:val="none"/>
        </w:rPr>
      </w:pPr>
      <w:r>
        <w:rPr>
          <w:rFonts w:hAnsi="宋体"/>
          <w:bCs/>
          <w:color w:val="auto"/>
          <w:sz w:val="21"/>
          <w:highlight w:val="none"/>
        </w:rPr>
        <w:t>邮编</w:t>
      </w:r>
      <w:r>
        <w:rPr>
          <w:rFonts w:hint="eastAsia" w:hAnsi="宋体"/>
          <w:bCs/>
          <w:color w:val="auto"/>
          <w:sz w:val="21"/>
          <w:highlight w:val="none"/>
        </w:rPr>
        <w:t>：</w:t>
      </w:r>
      <w:r>
        <w:rPr>
          <w:rFonts w:hint="eastAsia" w:hAnsi="宋体"/>
          <w:bCs/>
          <w:color w:val="auto"/>
          <w:sz w:val="21"/>
          <w:highlight w:val="none"/>
          <w:u w:val="single"/>
        </w:rPr>
        <w:t xml:space="preserve">         </w:t>
      </w:r>
      <w:r>
        <w:rPr>
          <w:rFonts w:hint="eastAsia" w:hAnsi="宋体"/>
          <w:bCs/>
          <w:color w:val="auto"/>
          <w:sz w:val="21"/>
          <w:highlight w:val="none"/>
        </w:rPr>
        <w:t xml:space="preserve">   </w:t>
      </w:r>
    </w:p>
    <w:p w14:paraId="1612C7F5">
      <w:pPr>
        <w:pStyle w:val="19"/>
        <w:snapToGrid w:val="0"/>
        <w:spacing w:line="360" w:lineRule="auto"/>
        <w:ind w:firstLine="420" w:firstLineChars="200"/>
        <w:rPr>
          <w:rFonts w:hint="eastAsia" w:hAnsi="宋体"/>
          <w:bCs/>
          <w:color w:val="auto"/>
          <w:sz w:val="21"/>
          <w:highlight w:val="none"/>
        </w:rPr>
      </w:pPr>
      <w:r>
        <w:rPr>
          <w:rFonts w:hint="eastAsia" w:hAnsi="宋体"/>
          <w:bCs/>
          <w:color w:val="auto"/>
          <w:sz w:val="21"/>
          <w:highlight w:val="none"/>
        </w:rPr>
        <w:t>被投诉人1：</w:t>
      </w:r>
    </w:p>
    <w:p w14:paraId="5E73F0B6">
      <w:pPr>
        <w:pStyle w:val="19"/>
        <w:snapToGrid w:val="0"/>
        <w:spacing w:line="360" w:lineRule="auto"/>
        <w:ind w:firstLine="420" w:firstLineChars="200"/>
        <w:rPr>
          <w:rFonts w:hint="eastAsia" w:hAnsi="宋体"/>
          <w:bCs/>
          <w:color w:val="auto"/>
          <w:sz w:val="21"/>
          <w:highlight w:val="none"/>
          <w:u w:val="single"/>
        </w:rPr>
      </w:pPr>
      <w:r>
        <w:rPr>
          <w:rFonts w:hint="eastAsia" w:hAnsi="宋体"/>
          <w:bCs/>
          <w:color w:val="auto"/>
          <w:sz w:val="21"/>
          <w:highlight w:val="none"/>
        </w:rPr>
        <w:t>地址：</w:t>
      </w:r>
      <w:r>
        <w:rPr>
          <w:rFonts w:hint="eastAsia" w:hAnsi="宋体"/>
          <w:bCs/>
          <w:color w:val="auto"/>
          <w:sz w:val="21"/>
          <w:highlight w:val="none"/>
          <w:u w:val="single"/>
        </w:rPr>
        <w:t xml:space="preserve">                                                            </w:t>
      </w:r>
    </w:p>
    <w:p w14:paraId="6C66273A">
      <w:pPr>
        <w:pStyle w:val="19"/>
        <w:snapToGrid w:val="0"/>
        <w:spacing w:line="360" w:lineRule="auto"/>
        <w:ind w:firstLine="420" w:firstLineChars="200"/>
        <w:rPr>
          <w:rFonts w:hint="eastAsia" w:hAnsi="宋体"/>
          <w:bCs/>
          <w:color w:val="auto"/>
          <w:sz w:val="21"/>
          <w:highlight w:val="none"/>
        </w:rPr>
      </w:pPr>
      <w:r>
        <w:rPr>
          <w:rFonts w:hAnsi="宋体"/>
          <w:bCs/>
          <w:color w:val="auto"/>
          <w:sz w:val="21"/>
          <w:highlight w:val="none"/>
        </w:rPr>
        <w:t>邮编</w:t>
      </w:r>
      <w:r>
        <w:rPr>
          <w:rFonts w:hint="eastAsia" w:hAnsi="宋体"/>
          <w:bCs/>
          <w:color w:val="auto"/>
          <w:sz w:val="21"/>
          <w:highlight w:val="none"/>
        </w:rPr>
        <w:t>：</w:t>
      </w:r>
      <w:r>
        <w:rPr>
          <w:rFonts w:hint="eastAsia" w:hAnsi="宋体"/>
          <w:bCs/>
          <w:color w:val="auto"/>
          <w:sz w:val="21"/>
          <w:highlight w:val="none"/>
          <w:u w:val="single"/>
        </w:rPr>
        <w:t xml:space="preserve">         </w:t>
      </w:r>
      <w:r>
        <w:rPr>
          <w:rFonts w:hint="eastAsia" w:hAnsi="宋体"/>
          <w:bCs/>
          <w:color w:val="auto"/>
          <w:sz w:val="21"/>
          <w:highlight w:val="none"/>
        </w:rPr>
        <w:t xml:space="preserve">  </w:t>
      </w:r>
    </w:p>
    <w:p w14:paraId="63D1483B">
      <w:pPr>
        <w:pStyle w:val="19"/>
        <w:snapToGrid w:val="0"/>
        <w:spacing w:line="360" w:lineRule="auto"/>
        <w:ind w:firstLine="420" w:firstLineChars="200"/>
        <w:rPr>
          <w:rFonts w:hint="eastAsia" w:hAnsi="宋体"/>
          <w:bCs/>
          <w:color w:val="auto"/>
          <w:sz w:val="21"/>
          <w:highlight w:val="none"/>
          <w:u w:val="single"/>
        </w:rPr>
      </w:pPr>
      <w:r>
        <w:rPr>
          <w:rFonts w:hint="eastAsia" w:hAnsi="宋体"/>
          <w:bCs/>
          <w:color w:val="auto"/>
          <w:sz w:val="21"/>
          <w:highlight w:val="none"/>
        </w:rPr>
        <w:t>联系人：</w:t>
      </w:r>
      <w:r>
        <w:rPr>
          <w:rFonts w:hint="eastAsia" w:hAnsi="宋体"/>
          <w:bCs/>
          <w:color w:val="auto"/>
          <w:sz w:val="21"/>
          <w:highlight w:val="none"/>
          <w:u w:val="single"/>
        </w:rPr>
        <w:t xml:space="preserve">                                                </w:t>
      </w:r>
      <w:r>
        <w:rPr>
          <w:rFonts w:hAnsi="宋体"/>
          <w:bCs/>
          <w:color w:val="auto"/>
          <w:sz w:val="21"/>
          <w:highlight w:val="none"/>
        </w:rPr>
        <w:t>联系</w:t>
      </w:r>
      <w:r>
        <w:rPr>
          <w:rFonts w:hint="eastAsia" w:hAnsi="宋体"/>
          <w:bCs/>
          <w:color w:val="auto"/>
          <w:sz w:val="21"/>
          <w:highlight w:val="none"/>
        </w:rPr>
        <w:t>电话：</w:t>
      </w:r>
      <w:r>
        <w:rPr>
          <w:rFonts w:hint="eastAsia" w:hAnsi="宋体"/>
          <w:bCs/>
          <w:color w:val="auto"/>
          <w:sz w:val="21"/>
          <w:highlight w:val="none"/>
          <w:u w:val="single"/>
        </w:rPr>
        <w:t xml:space="preserve">                </w:t>
      </w:r>
    </w:p>
    <w:p w14:paraId="7B45E006">
      <w:pPr>
        <w:pStyle w:val="19"/>
        <w:snapToGrid w:val="0"/>
        <w:spacing w:line="360" w:lineRule="auto"/>
        <w:ind w:firstLine="420" w:firstLineChars="200"/>
        <w:rPr>
          <w:rFonts w:hint="eastAsia" w:hAnsi="宋体"/>
          <w:bCs/>
          <w:color w:val="auto"/>
          <w:sz w:val="21"/>
          <w:highlight w:val="none"/>
        </w:rPr>
      </w:pPr>
      <w:r>
        <w:rPr>
          <w:rFonts w:hint="eastAsia" w:hAnsi="宋体"/>
          <w:bCs/>
          <w:color w:val="auto"/>
          <w:sz w:val="21"/>
          <w:highlight w:val="none"/>
        </w:rPr>
        <w:t>被投诉人2：</w:t>
      </w:r>
    </w:p>
    <w:p w14:paraId="6DF7B15D">
      <w:pPr>
        <w:pStyle w:val="19"/>
        <w:snapToGrid w:val="0"/>
        <w:spacing w:line="360" w:lineRule="auto"/>
        <w:ind w:firstLine="420" w:firstLineChars="200"/>
        <w:rPr>
          <w:rFonts w:hint="eastAsia" w:hAnsi="宋体"/>
          <w:bCs/>
          <w:color w:val="auto"/>
          <w:sz w:val="21"/>
          <w:highlight w:val="none"/>
        </w:rPr>
      </w:pPr>
      <w:r>
        <w:rPr>
          <w:rFonts w:hAnsi="宋体"/>
          <w:bCs/>
          <w:color w:val="auto"/>
          <w:sz w:val="21"/>
          <w:highlight w:val="none"/>
        </w:rPr>
        <w:t>……</w:t>
      </w:r>
    </w:p>
    <w:p w14:paraId="734A8CF0">
      <w:pPr>
        <w:pStyle w:val="19"/>
        <w:snapToGrid w:val="0"/>
        <w:spacing w:line="360" w:lineRule="auto"/>
        <w:ind w:firstLine="420" w:firstLineChars="200"/>
        <w:rPr>
          <w:rFonts w:hint="eastAsia" w:hAnsi="宋体"/>
          <w:bCs/>
          <w:color w:val="auto"/>
          <w:sz w:val="21"/>
          <w:highlight w:val="none"/>
          <w:u w:val="single"/>
        </w:rPr>
      </w:pPr>
      <w:r>
        <w:rPr>
          <w:rFonts w:hint="eastAsia" w:hAnsi="宋体"/>
          <w:bCs/>
          <w:color w:val="auto"/>
          <w:sz w:val="21"/>
          <w:highlight w:val="none"/>
        </w:rPr>
        <w:t>相关供应商：</w:t>
      </w:r>
      <w:r>
        <w:rPr>
          <w:rFonts w:hint="eastAsia" w:hAnsi="宋体"/>
          <w:bCs/>
          <w:color w:val="auto"/>
          <w:sz w:val="21"/>
          <w:highlight w:val="none"/>
          <w:u w:val="single"/>
        </w:rPr>
        <w:t xml:space="preserve">                                                                       </w:t>
      </w:r>
    </w:p>
    <w:p w14:paraId="72CA0562">
      <w:pPr>
        <w:pStyle w:val="19"/>
        <w:snapToGrid w:val="0"/>
        <w:spacing w:line="360" w:lineRule="auto"/>
        <w:ind w:firstLine="420" w:firstLineChars="200"/>
        <w:rPr>
          <w:rFonts w:hint="eastAsia" w:hAnsi="宋体"/>
          <w:bCs/>
          <w:color w:val="auto"/>
          <w:sz w:val="21"/>
          <w:highlight w:val="none"/>
          <w:u w:val="single"/>
        </w:rPr>
      </w:pPr>
      <w:r>
        <w:rPr>
          <w:rFonts w:hAnsi="宋体"/>
          <w:bCs/>
          <w:color w:val="auto"/>
          <w:sz w:val="21"/>
          <w:highlight w:val="none"/>
        </w:rPr>
        <w:t>地址</w:t>
      </w:r>
      <w:r>
        <w:rPr>
          <w:rFonts w:hint="eastAsia" w:hAnsi="宋体"/>
          <w:bCs/>
          <w:color w:val="auto"/>
          <w:sz w:val="21"/>
          <w:highlight w:val="none"/>
        </w:rPr>
        <w:t>：</w:t>
      </w:r>
      <w:r>
        <w:rPr>
          <w:rFonts w:hint="eastAsia" w:hAnsi="宋体"/>
          <w:bCs/>
          <w:color w:val="auto"/>
          <w:sz w:val="21"/>
          <w:highlight w:val="none"/>
          <w:u w:val="single"/>
        </w:rPr>
        <w:t xml:space="preserve">                                              </w:t>
      </w:r>
      <w:r>
        <w:rPr>
          <w:rFonts w:hAnsi="宋体"/>
          <w:bCs/>
          <w:color w:val="auto"/>
          <w:sz w:val="21"/>
          <w:highlight w:val="none"/>
        </w:rPr>
        <w:t>邮编</w:t>
      </w:r>
      <w:r>
        <w:rPr>
          <w:rFonts w:hint="eastAsia" w:hAnsi="宋体"/>
          <w:bCs/>
          <w:color w:val="auto"/>
          <w:sz w:val="21"/>
          <w:highlight w:val="none"/>
        </w:rPr>
        <w:t>：</w:t>
      </w:r>
      <w:r>
        <w:rPr>
          <w:rFonts w:hint="eastAsia" w:hAnsi="宋体"/>
          <w:bCs/>
          <w:color w:val="auto"/>
          <w:sz w:val="21"/>
          <w:highlight w:val="none"/>
          <w:u w:val="single"/>
        </w:rPr>
        <w:t xml:space="preserve">                         </w:t>
      </w:r>
    </w:p>
    <w:p w14:paraId="5D3962A4">
      <w:pPr>
        <w:pStyle w:val="19"/>
        <w:snapToGrid w:val="0"/>
        <w:spacing w:line="360" w:lineRule="auto"/>
        <w:ind w:firstLine="420" w:firstLineChars="200"/>
        <w:rPr>
          <w:rFonts w:hint="eastAsia" w:hAnsi="宋体"/>
          <w:bCs/>
          <w:color w:val="auto"/>
          <w:sz w:val="21"/>
          <w:highlight w:val="none"/>
        </w:rPr>
      </w:pPr>
      <w:r>
        <w:rPr>
          <w:rFonts w:hint="eastAsia" w:hAnsi="宋体"/>
          <w:bCs/>
          <w:color w:val="auto"/>
          <w:sz w:val="21"/>
          <w:highlight w:val="none"/>
        </w:rPr>
        <w:t>联系人：</w:t>
      </w:r>
      <w:r>
        <w:rPr>
          <w:rFonts w:hint="eastAsia" w:hAnsi="宋体"/>
          <w:bCs/>
          <w:color w:val="auto"/>
          <w:sz w:val="21"/>
          <w:highlight w:val="none"/>
          <w:u w:val="single"/>
        </w:rPr>
        <w:t xml:space="preserve">                                            </w:t>
      </w:r>
      <w:r>
        <w:rPr>
          <w:rFonts w:hAnsi="宋体"/>
          <w:bCs/>
          <w:color w:val="auto"/>
          <w:sz w:val="21"/>
          <w:highlight w:val="none"/>
        </w:rPr>
        <w:t>联系</w:t>
      </w:r>
      <w:r>
        <w:rPr>
          <w:rFonts w:hint="eastAsia" w:hAnsi="宋体"/>
          <w:bCs/>
          <w:color w:val="auto"/>
          <w:sz w:val="21"/>
          <w:highlight w:val="none"/>
        </w:rPr>
        <w:t>电话：</w:t>
      </w:r>
      <w:r>
        <w:rPr>
          <w:rFonts w:hint="eastAsia" w:hAnsi="宋体"/>
          <w:bCs/>
          <w:color w:val="auto"/>
          <w:sz w:val="21"/>
          <w:highlight w:val="none"/>
          <w:u w:val="single"/>
        </w:rPr>
        <w:t xml:space="preserve">                     </w:t>
      </w:r>
      <w:r>
        <w:rPr>
          <w:rFonts w:hint="eastAsia" w:hAnsi="宋体"/>
          <w:bCs/>
          <w:color w:val="auto"/>
          <w:sz w:val="21"/>
          <w:highlight w:val="none"/>
        </w:rPr>
        <w:t xml:space="preserve">                </w:t>
      </w:r>
    </w:p>
    <w:p w14:paraId="7311B3E0">
      <w:pPr>
        <w:pStyle w:val="19"/>
        <w:snapToGrid w:val="0"/>
        <w:spacing w:line="360" w:lineRule="auto"/>
        <w:ind w:firstLine="422" w:firstLineChars="200"/>
        <w:rPr>
          <w:rFonts w:hint="eastAsia" w:hAnsi="宋体"/>
          <w:b/>
          <w:bCs/>
          <w:color w:val="auto"/>
          <w:sz w:val="21"/>
          <w:highlight w:val="none"/>
        </w:rPr>
      </w:pPr>
      <w:r>
        <w:rPr>
          <w:rFonts w:hint="eastAsia" w:hAnsi="宋体"/>
          <w:b/>
          <w:bCs/>
          <w:color w:val="auto"/>
          <w:sz w:val="21"/>
          <w:highlight w:val="none"/>
        </w:rPr>
        <w:t>二、投诉项目基本情况：</w:t>
      </w:r>
    </w:p>
    <w:p w14:paraId="03FCFA5E">
      <w:pPr>
        <w:pStyle w:val="19"/>
        <w:spacing w:line="360" w:lineRule="auto"/>
        <w:ind w:left="25" w:leftChars="12" w:firstLine="413" w:firstLineChars="197"/>
        <w:rPr>
          <w:rFonts w:hint="eastAsia" w:hAnsi="宋体"/>
          <w:color w:val="auto"/>
          <w:sz w:val="21"/>
          <w:highlight w:val="none"/>
        </w:rPr>
      </w:pPr>
      <w:r>
        <w:rPr>
          <w:rFonts w:hint="eastAsia" w:hAnsi="宋体"/>
          <w:bCs/>
          <w:color w:val="auto"/>
          <w:sz w:val="21"/>
          <w:highlight w:val="none"/>
        </w:rPr>
        <w:t>采购</w:t>
      </w:r>
      <w:r>
        <w:rPr>
          <w:rFonts w:hint="eastAsia" w:hAnsi="宋体"/>
          <w:color w:val="auto"/>
          <w:sz w:val="21"/>
          <w:highlight w:val="none"/>
        </w:rPr>
        <w:t>项目的名称：</w:t>
      </w:r>
      <w:r>
        <w:rPr>
          <w:rFonts w:hint="eastAsia" w:hAnsi="宋体"/>
          <w:bCs/>
          <w:color w:val="auto"/>
          <w:sz w:val="21"/>
          <w:highlight w:val="none"/>
          <w:u w:val="single"/>
        </w:rPr>
        <w:t xml:space="preserve">                                                                   </w:t>
      </w:r>
    </w:p>
    <w:p w14:paraId="490290D9">
      <w:pPr>
        <w:pStyle w:val="19"/>
        <w:spacing w:line="360" w:lineRule="auto"/>
        <w:ind w:left="25" w:leftChars="12" w:firstLine="413" w:firstLineChars="197"/>
        <w:rPr>
          <w:rFonts w:hint="eastAsia" w:hAnsi="宋体"/>
          <w:color w:val="auto"/>
          <w:sz w:val="21"/>
          <w:highlight w:val="none"/>
        </w:rPr>
      </w:pPr>
      <w:r>
        <w:rPr>
          <w:rFonts w:hint="eastAsia" w:hAnsi="宋体"/>
          <w:bCs/>
          <w:color w:val="auto"/>
          <w:sz w:val="21"/>
          <w:highlight w:val="none"/>
        </w:rPr>
        <w:t>采购</w:t>
      </w:r>
      <w:r>
        <w:rPr>
          <w:rFonts w:hint="eastAsia" w:hAnsi="宋体"/>
          <w:color w:val="auto"/>
          <w:sz w:val="21"/>
          <w:highlight w:val="none"/>
        </w:rPr>
        <w:t>项目的编号：</w:t>
      </w:r>
      <w:r>
        <w:rPr>
          <w:rFonts w:hint="eastAsia" w:hAnsi="宋体"/>
          <w:bCs/>
          <w:color w:val="auto"/>
          <w:sz w:val="21"/>
          <w:highlight w:val="none"/>
          <w:u w:val="single"/>
        </w:rPr>
        <w:t xml:space="preserve">                                          </w:t>
      </w:r>
    </w:p>
    <w:p w14:paraId="189CE36C">
      <w:pPr>
        <w:pStyle w:val="19"/>
        <w:spacing w:line="360" w:lineRule="auto"/>
        <w:ind w:left="25" w:leftChars="12" w:firstLine="413" w:firstLineChars="197"/>
        <w:rPr>
          <w:rFonts w:hint="eastAsia" w:hAnsi="宋体"/>
          <w:bCs/>
          <w:color w:val="auto"/>
          <w:sz w:val="21"/>
          <w:highlight w:val="none"/>
          <w:u w:val="single"/>
        </w:rPr>
      </w:pPr>
      <w:r>
        <w:rPr>
          <w:rFonts w:hint="eastAsia" w:hAnsi="宋体"/>
          <w:color w:val="auto"/>
          <w:sz w:val="21"/>
          <w:highlight w:val="none"/>
        </w:rPr>
        <w:t>采购人名称：</w:t>
      </w:r>
      <w:r>
        <w:rPr>
          <w:rFonts w:hint="eastAsia" w:hAnsi="宋体"/>
          <w:bCs/>
          <w:color w:val="auto"/>
          <w:sz w:val="21"/>
          <w:highlight w:val="none"/>
          <w:u w:val="single"/>
        </w:rPr>
        <w:t xml:space="preserve">                                                                        </w:t>
      </w:r>
    </w:p>
    <w:p w14:paraId="20453B4D">
      <w:pPr>
        <w:pStyle w:val="19"/>
        <w:spacing w:line="360" w:lineRule="auto"/>
        <w:ind w:left="25" w:leftChars="12" w:firstLine="413" w:firstLineChars="197"/>
        <w:rPr>
          <w:rFonts w:hint="eastAsia" w:hAnsi="宋体"/>
          <w:bCs/>
          <w:color w:val="auto"/>
          <w:sz w:val="21"/>
          <w:highlight w:val="none"/>
          <w:u w:val="single"/>
        </w:rPr>
      </w:pPr>
      <w:r>
        <w:rPr>
          <w:rFonts w:hint="eastAsia" w:hAnsi="宋体"/>
          <w:color w:val="auto"/>
          <w:sz w:val="21"/>
          <w:highlight w:val="none"/>
        </w:rPr>
        <w:t>代理机构名称：</w:t>
      </w:r>
      <w:r>
        <w:rPr>
          <w:rFonts w:hint="eastAsia" w:hAnsi="宋体"/>
          <w:bCs/>
          <w:color w:val="auto"/>
          <w:sz w:val="21"/>
          <w:highlight w:val="none"/>
          <w:u w:val="single"/>
        </w:rPr>
        <w:t xml:space="preserve">                                                                      </w:t>
      </w:r>
    </w:p>
    <w:p w14:paraId="735E799A">
      <w:pPr>
        <w:pStyle w:val="19"/>
        <w:spacing w:line="360" w:lineRule="auto"/>
        <w:ind w:left="25" w:leftChars="12" w:firstLine="413" w:firstLineChars="197"/>
        <w:rPr>
          <w:rFonts w:hint="eastAsia" w:hAnsi="宋体"/>
          <w:bCs/>
          <w:color w:val="auto"/>
          <w:sz w:val="21"/>
          <w:highlight w:val="none"/>
          <w:u w:val="single"/>
        </w:rPr>
      </w:pPr>
      <w:r>
        <w:rPr>
          <w:rFonts w:hint="eastAsia" w:hAnsi="宋体"/>
          <w:bCs/>
          <w:color w:val="auto"/>
          <w:sz w:val="21"/>
          <w:highlight w:val="none"/>
        </w:rPr>
        <w:t>竞争性磋商文件公告：</w:t>
      </w:r>
      <w:r>
        <w:rPr>
          <w:rFonts w:hint="eastAsia" w:hAnsi="宋体"/>
          <w:bCs/>
          <w:color w:val="auto"/>
          <w:sz w:val="21"/>
          <w:highlight w:val="none"/>
          <w:u w:val="single"/>
        </w:rPr>
        <w:t>是/否</w:t>
      </w:r>
      <w:r>
        <w:rPr>
          <w:rFonts w:hint="eastAsia" w:hAnsi="宋体"/>
          <w:bCs/>
          <w:color w:val="auto"/>
          <w:sz w:val="21"/>
          <w:highlight w:val="none"/>
        </w:rPr>
        <w:t>公告期限：</w:t>
      </w:r>
      <w:r>
        <w:rPr>
          <w:rFonts w:hint="eastAsia" w:hAnsi="宋体"/>
          <w:bCs/>
          <w:color w:val="auto"/>
          <w:sz w:val="21"/>
          <w:highlight w:val="none"/>
          <w:u w:val="single"/>
        </w:rPr>
        <w:t xml:space="preserve">                                                       </w:t>
      </w:r>
    </w:p>
    <w:p w14:paraId="40878798">
      <w:pPr>
        <w:pStyle w:val="19"/>
        <w:spacing w:line="360" w:lineRule="auto"/>
        <w:ind w:left="25" w:leftChars="12" w:firstLine="413" w:firstLineChars="197"/>
        <w:rPr>
          <w:rFonts w:hint="eastAsia" w:hAnsi="宋体"/>
          <w:b/>
          <w:color w:val="auto"/>
          <w:sz w:val="21"/>
          <w:highlight w:val="none"/>
        </w:rPr>
      </w:pPr>
      <w:r>
        <w:rPr>
          <w:rFonts w:hint="eastAsia" w:hAnsi="宋体"/>
          <w:bCs/>
          <w:color w:val="auto"/>
          <w:sz w:val="21"/>
          <w:highlight w:val="none"/>
        </w:rPr>
        <w:t>采购结果公告：</w:t>
      </w:r>
      <w:r>
        <w:rPr>
          <w:rFonts w:hint="eastAsia" w:hAnsi="宋体"/>
          <w:bCs/>
          <w:color w:val="auto"/>
          <w:sz w:val="21"/>
          <w:highlight w:val="none"/>
          <w:u w:val="single"/>
        </w:rPr>
        <w:t>是/否</w:t>
      </w:r>
      <w:r>
        <w:rPr>
          <w:rFonts w:hint="eastAsia" w:hAnsi="宋体"/>
          <w:bCs/>
          <w:color w:val="auto"/>
          <w:sz w:val="21"/>
          <w:highlight w:val="none"/>
        </w:rPr>
        <w:t>公告期限：</w:t>
      </w:r>
      <w:r>
        <w:rPr>
          <w:rFonts w:hint="eastAsia" w:hAnsi="宋体"/>
          <w:bCs/>
          <w:color w:val="auto"/>
          <w:sz w:val="21"/>
          <w:highlight w:val="none"/>
          <w:u w:val="single"/>
        </w:rPr>
        <w:t xml:space="preserve">                                                       </w:t>
      </w:r>
    </w:p>
    <w:p w14:paraId="1D2AC1B5">
      <w:pPr>
        <w:pStyle w:val="19"/>
        <w:spacing w:line="360" w:lineRule="auto"/>
        <w:ind w:left="25" w:leftChars="12" w:firstLine="413" w:firstLineChars="196"/>
        <w:rPr>
          <w:rFonts w:hint="eastAsia" w:hAnsi="宋体"/>
          <w:b/>
          <w:color w:val="auto"/>
          <w:sz w:val="21"/>
          <w:highlight w:val="none"/>
        </w:rPr>
      </w:pPr>
      <w:r>
        <w:rPr>
          <w:rFonts w:hint="eastAsia" w:hAnsi="宋体"/>
          <w:b/>
          <w:color w:val="auto"/>
          <w:sz w:val="21"/>
          <w:highlight w:val="none"/>
        </w:rPr>
        <w:t>三、质疑基本情况</w:t>
      </w:r>
    </w:p>
    <w:p w14:paraId="7F2637CF">
      <w:pPr>
        <w:pStyle w:val="19"/>
        <w:spacing w:line="360" w:lineRule="auto"/>
        <w:ind w:firstLine="420" w:firstLineChars="200"/>
        <w:rPr>
          <w:rFonts w:hint="eastAsia" w:hAnsi="宋体"/>
          <w:color w:val="auto"/>
          <w:sz w:val="21"/>
          <w:highlight w:val="none"/>
        </w:rPr>
      </w:pPr>
      <w:r>
        <w:rPr>
          <w:rFonts w:hint="eastAsia" w:hAnsi="宋体"/>
          <w:color w:val="auto"/>
          <w:sz w:val="21"/>
          <w:highlight w:val="none"/>
        </w:rPr>
        <w:t>投诉人于</w:t>
      </w:r>
      <w:r>
        <w:rPr>
          <w:rFonts w:hint="eastAsia" w:hAnsi="宋体"/>
          <w:color w:val="auto"/>
          <w:sz w:val="21"/>
          <w:highlight w:val="none"/>
          <w:u w:val="single"/>
        </w:rPr>
        <w:t xml:space="preserve">      </w:t>
      </w:r>
      <w:r>
        <w:rPr>
          <w:rFonts w:hint="eastAsia" w:hAnsi="宋体"/>
          <w:color w:val="auto"/>
          <w:sz w:val="21"/>
          <w:highlight w:val="none"/>
        </w:rPr>
        <w:t>年</w:t>
      </w:r>
      <w:r>
        <w:rPr>
          <w:rFonts w:hint="eastAsia" w:hAnsi="宋体"/>
          <w:color w:val="auto"/>
          <w:sz w:val="21"/>
          <w:highlight w:val="none"/>
          <w:u w:val="single"/>
        </w:rPr>
        <w:t xml:space="preserve">   </w:t>
      </w:r>
      <w:r>
        <w:rPr>
          <w:rFonts w:hint="eastAsia" w:hAnsi="宋体"/>
          <w:color w:val="auto"/>
          <w:sz w:val="21"/>
          <w:highlight w:val="none"/>
        </w:rPr>
        <w:t>月</w:t>
      </w:r>
      <w:r>
        <w:rPr>
          <w:rFonts w:hint="eastAsia" w:hAnsi="宋体"/>
          <w:color w:val="auto"/>
          <w:sz w:val="21"/>
          <w:highlight w:val="none"/>
          <w:u w:val="single"/>
        </w:rPr>
        <w:t xml:space="preserve">   </w:t>
      </w:r>
      <w:r>
        <w:rPr>
          <w:rFonts w:hint="eastAsia" w:hAnsi="宋体"/>
          <w:color w:val="auto"/>
          <w:sz w:val="21"/>
          <w:highlight w:val="none"/>
        </w:rPr>
        <w:t>日，向</w:t>
      </w:r>
      <w:r>
        <w:rPr>
          <w:rFonts w:hint="eastAsia" w:hAnsi="宋体"/>
          <w:color w:val="auto"/>
          <w:sz w:val="21"/>
          <w:highlight w:val="none"/>
          <w:u w:val="single"/>
        </w:rPr>
        <w:t xml:space="preserve">                                </w:t>
      </w:r>
      <w:r>
        <w:rPr>
          <w:rFonts w:hint="eastAsia" w:hAnsi="宋体"/>
          <w:color w:val="auto"/>
          <w:sz w:val="21"/>
          <w:highlight w:val="none"/>
        </w:rPr>
        <w:t>提出质疑，质疑事项为：</w:t>
      </w:r>
    </w:p>
    <w:p w14:paraId="46CA2E7E">
      <w:pPr>
        <w:pStyle w:val="19"/>
        <w:spacing w:line="360" w:lineRule="auto"/>
        <w:ind w:firstLine="241"/>
        <w:rPr>
          <w:rFonts w:hint="eastAsia" w:hAnsi="宋体"/>
          <w:bCs/>
          <w:color w:val="auto"/>
          <w:sz w:val="21"/>
          <w:highlight w:val="none"/>
          <w:u w:val="single"/>
        </w:rPr>
      </w:pPr>
      <w:r>
        <w:rPr>
          <w:rFonts w:hint="eastAsia" w:hAnsi="宋体"/>
          <w:color w:val="auto"/>
          <w:sz w:val="21"/>
          <w:highlight w:val="none"/>
        </w:rPr>
        <w:t xml:space="preserve">    </w:t>
      </w:r>
      <w:r>
        <w:rPr>
          <w:rFonts w:hint="eastAsia" w:hAnsi="宋体"/>
          <w:bCs/>
          <w:color w:val="auto"/>
          <w:sz w:val="21"/>
          <w:highlight w:val="none"/>
          <w:u w:val="single"/>
        </w:rPr>
        <w:t xml:space="preserve">                                                                                      </w:t>
      </w:r>
    </w:p>
    <w:p w14:paraId="4C6B60F9">
      <w:pPr>
        <w:pStyle w:val="19"/>
        <w:spacing w:line="360" w:lineRule="auto"/>
        <w:ind w:firstLine="241"/>
        <w:rPr>
          <w:rFonts w:hint="eastAsia" w:hAnsi="宋体"/>
          <w:bCs/>
          <w:color w:val="auto"/>
          <w:sz w:val="21"/>
          <w:highlight w:val="none"/>
          <w:u w:val="single"/>
        </w:rPr>
      </w:pPr>
      <w:r>
        <w:rPr>
          <w:rFonts w:hint="eastAsia" w:hAnsi="宋体"/>
          <w:bCs/>
          <w:color w:val="auto"/>
          <w:sz w:val="21"/>
          <w:highlight w:val="none"/>
        </w:rPr>
        <w:t xml:space="preserve">    </w:t>
      </w:r>
      <w:r>
        <w:rPr>
          <w:rFonts w:hint="eastAsia" w:hAnsi="宋体"/>
          <w:bCs/>
          <w:color w:val="auto"/>
          <w:sz w:val="21"/>
          <w:highlight w:val="none"/>
          <w:u w:val="single"/>
        </w:rPr>
        <w:t xml:space="preserve">                                                                                      </w:t>
      </w:r>
    </w:p>
    <w:p w14:paraId="3FC76749">
      <w:pPr>
        <w:pStyle w:val="19"/>
        <w:spacing w:line="360" w:lineRule="auto"/>
        <w:ind w:firstLine="420" w:firstLineChars="200"/>
        <w:rPr>
          <w:rFonts w:hint="eastAsia" w:hAnsi="宋体"/>
          <w:color w:val="auto"/>
          <w:sz w:val="21"/>
          <w:highlight w:val="none"/>
        </w:rPr>
      </w:pPr>
      <w:r>
        <w:rPr>
          <w:rFonts w:hint="eastAsia" w:hAnsi="宋体"/>
          <w:bCs/>
          <w:color w:val="auto"/>
          <w:sz w:val="21"/>
          <w:highlight w:val="none"/>
          <w:u w:val="single"/>
        </w:rPr>
        <w:t>采购人/代理机构</w:t>
      </w:r>
      <w:r>
        <w:rPr>
          <w:rFonts w:hint="eastAsia" w:hAnsi="宋体"/>
          <w:bCs/>
          <w:color w:val="auto"/>
          <w:sz w:val="21"/>
          <w:highlight w:val="none"/>
        </w:rPr>
        <w:t>于</w:t>
      </w:r>
      <w:r>
        <w:rPr>
          <w:rFonts w:hint="eastAsia" w:hAnsi="宋体"/>
          <w:color w:val="auto"/>
          <w:sz w:val="21"/>
          <w:highlight w:val="none"/>
          <w:u w:val="single"/>
        </w:rPr>
        <w:t xml:space="preserve">      </w:t>
      </w:r>
      <w:r>
        <w:rPr>
          <w:rFonts w:hint="eastAsia" w:hAnsi="宋体"/>
          <w:color w:val="auto"/>
          <w:sz w:val="21"/>
          <w:highlight w:val="none"/>
        </w:rPr>
        <w:t>年</w:t>
      </w:r>
      <w:r>
        <w:rPr>
          <w:rFonts w:hint="eastAsia" w:hAnsi="宋体"/>
          <w:color w:val="auto"/>
          <w:sz w:val="21"/>
          <w:highlight w:val="none"/>
          <w:u w:val="single"/>
        </w:rPr>
        <w:t xml:space="preserve">   </w:t>
      </w:r>
      <w:r>
        <w:rPr>
          <w:rFonts w:hint="eastAsia" w:hAnsi="宋体"/>
          <w:color w:val="auto"/>
          <w:sz w:val="21"/>
          <w:highlight w:val="none"/>
        </w:rPr>
        <w:t>月</w:t>
      </w:r>
      <w:r>
        <w:rPr>
          <w:rFonts w:hint="eastAsia" w:hAnsi="宋体"/>
          <w:color w:val="auto"/>
          <w:sz w:val="21"/>
          <w:highlight w:val="none"/>
          <w:u w:val="single"/>
        </w:rPr>
        <w:t xml:space="preserve">   </w:t>
      </w:r>
      <w:r>
        <w:rPr>
          <w:rFonts w:hint="eastAsia" w:hAnsi="宋体"/>
          <w:color w:val="auto"/>
          <w:sz w:val="21"/>
          <w:highlight w:val="none"/>
        </w:rPr>
        <w:t>日，</w:t>
      </w:r>
      <w:r>
        <w:rPr>
          <w:rFonts w:hint="eastAsia" w:hAnsi="宋体"/>
          <w:bCs/>
          <w:color w:val="auto"/>
          <w:sz w:val="21"/>
          <w:highlight w:val="none"/>
        </w:rPr>
        <w:t xml:space="preserve">就质疑事项作出了答复/没有在法定期限内作出答复。                                                                                             </w:t>
      </w:r>
    </w:p>
    <w:p w14:paraId="0150D994">
      <w:pPr>
        <w:pStyle w:val="19"/>
        <w:spacing w:line="360" w:lineRule="auto"/>
        <w:ind w:left="25" w:leftChars="12" w:firstLine="413" w:firstLineChars="196"/>
        <w:rPr>
          <w:rFonts w:hint="eastAsia" w:hAnsi="宋体"/>
          <w:b/>
          <w:color w:val="auto"/>
          <w:sz w:val="21"/>
          <w:highlight w:val="none"/>
        </w:rPr>
      </w:pPr>
      <w:r>
        <w:rPr>
          <w:rFonts w:hint="eastAsia" w:hAnsi="宋体"/>
          <w:b/>
          <w:color w:val="auto"/>
          <w:sz w:val="21"/>
          <w:highlight w:val="none"/>
        </w:rPr>
        <w:t>四、投诉事项具体内容</w:t>
      </w:r>
    </w:p>
    <w:p w14:paraId="16B9DC2B">
      <w:pPr>
        <w:pStyle w:val="19"/>
        <w:spacing w:line="360" w:lineRule="auto"/>
        <w:ind w:left="25" w:leftChars="12" w:firstLine="413" w:firstLineChars="197"/>
        <w:rPr>
          <w:rFonts w:hint="eastAsia" w:hAnsi="宋体"/>
          <w:bCs/>
          <w:color w:val="auto"/>
          <w:sz w:val="21"/>
          <w:highlight w:val="none"/>
          <w:u w:val="single"/>
        </w:rPr>
      </w:pPr>
      <w:r>
        <w:rPr>
          <w:rFonts w:hint="eastAsia" w:hAnsi="宋体"/>
          <w:color w:val="auto"/>
          <w:sz w:val="21"/>
          <w:highlight w:val="none"/>
        </w:rPr>
        <w:t>投诉事项1：</w:t>
      </w:r>
      <w:r>
        <w:rPr>
          <w:rFonts w:hint="eastAsia" w:hAnsi="宋体"/>
          <w:bCs/>
          <w:color w:val="auto"/>
          <w:sz w:val="21"/>
          <w:highlight w:val="none"/>
          <w:u w:val="single"/>
        </w:rPr>
        <w:t xml:space="preserve">                                                                           </w:t>
      </w:r>
    </w:p>
    <w:p w14:paraId="67D261D1">
      <w:pPr>
        <w:pStyle w:val="19"/>
        <w:spacing w:line="360" w:lineRule="auto"/>
        <w:ind w:firstLine="420" w:firstLineChars="200"/>
        <w:rPr>
          <w:rFonts w:hint="eastAsia" w:hAnsi="宋体"/>
          <w:bCs/>
          <w:color w:val="auto"/>
          <w:sz w:val="21"/>
          <w:highlight w:val="none"/>
          <w:u w:val="single"/>
        </w:rPr>
      </w:pPr>
      <w:r>
        <w:rPr>
          <w:rFonts w:hint="eastAsia" w:hAnsi="宋体"/>
          <w:bCs/>
          <w:color w:val="auto"/>
          <w:sz w:val="21"/>
          <w:highlight w:val="none"/>
        </w:rPr>
        <w:t>事实依据：</w:t>
      </w:r>
      <w:r>
        <w:rPr>
          <w:rFonts w:hint="eastAsia" w:hAnsi="宋体"/>
          <w:color w:val="auto"/>
          <w:sz w:val="21"/>
          <w:highlight w:val="none"/>
        </w:rPr>
        <w:t xml:space="preserve"> </w:t>
      </w:r>
      <w:r>
        <w:rPr>
          <w:rFonts w:hint="eastAsia" w:hAnsi="宋体"/>
          <w:bCs/>
          <w:color w:val="auto"/>
          <w:sz w:val="21"/>
          <w:highlight w:val="none"/>
          <w:u w:val="single"/>
        </w:rPr>
        <w:t xml:space="preserve">                                                                                      </w:t>
      </w:r>
    </w:p>
    <w:p w14:paraId="032EA960">
      <w:pPr>
        <w:pStyle w:val="19"/>
        <w:spacing w:line="360" w:lineRule="auto"/>
        <w:ind w:left="25" w:leftChars="12" w:firstLine="413" w:firstLineChars="197"/>
        <w:rPr>
          <w:rFonts w:hint="eastAsia" w:hAnsi="宋体"/>
          <w:color w:val="auto"/>
          <w:sz w:val="21"/>
          <w:highlight w:val="none"/>
        </w:rPr>
      </w:pPr>
      <w:r>
        <w:rPr>
          <w:rFonts w:hint="eastAsia" w:hAnsi="宋体"/>
          <w:bCs/>
          <w:color w:val="auto"/>
          <w:sz w:val="21"/>
          <w:highlight w:val="none"/>
          <w:u w:val="single"/>
        </w:rPr>
        <w:t xml:space="preserve">                                                                                        </w:t>
      </w:r>
    </w:p>
    <w:p w14:paraId="75EE3C66">
      <w:pPr>
        <w:pStyle w:val="19"/>
        <w:spacing w:line="360" w:lineRule="auto"/>
        <w:ind w:firstLine="420" w:firstLineChars="200"/>
        <w:rPr>
          <w:rFonts w:hint="eastAsia" w:hAnsi="宋体"/>
          <w:bCs/>
          <w:color w:val="auto"/>
          <w:sz w:val="21"/>
          <w:highlight w:val="none"/>
          <w:u w:val="single"/>
        </w:rPr>
      </w:pPr>
      <w:r>
        <w:rPr>
          <w:rFonts w:hint="eastAsia" w:hAnsi="宋体"/>
          <w:bCs/>
          <w:color w:val="auto"/>
          <w:sz w:val="21"/>
          <w:highlight w:val="none"/>
        </w:rPr>
        <w:t>法律依据：</w:t>
      </w:r>
      <w:r>
        <w:rPr>
          <w:rFonts w:hint="eastAsia" w:hAnsi="宋体"/>
          <w:color w:val="auto"/>
          <w:sz w:val="21"/>
          <w:highlight w:val="none"/>
        </w:rPr>
        <w:t xml:space="preserve"> </w:t>
      </w:r>
      <w:r>
        <w:rPr>
          <w:rFonts w:hint="eastAsia" w:hAnsi="宋体"/>
          <w:bCs/>
          <w:color w:val="auto"/>
          <w:sz w:val="21"/>
          <w:highlight w:val="none"/>
          <w:u w:val="single"/>
        </w:rPr>
        <w:t xml:space="preserve">                                                                                      </w:t>
      </w:r>
    </w:p>
    <w:p w14:paraId="4CE5631D">
      <w:pPr>
        <w:pStyle w:val="19"/>
        <w:spacing w:line="360" w:lineRule="auto"/>
        <w:ind w:left="25" w:leftChars="12" w:firstLine="308" w:firstLineChars="147"/>
        <w:rPr>
          <w:rFonts w:hint="eastAsia" w:hAnsi="宋体"/>
          <w:bCs/>
          <w:color w:val="auto"/>
          <w:sz w:val="21"/>
          <w:highlight w:val="none"/>
          <w:u w:val="single"/>
        </w:rPr>
      </w:pPr>
      <w:r>
        <w:rPr>
          <w:rFonts w:hint="eastAsia" w:hAnsi="宋体"/>
          <w:bCs/>
          <w:color w:val="auto"/>
          <w:sz w:val="21"/>
          <w:highlight w:val="none"/>
        </w:rPr>
        <w:t xml:space="preserve"> </w:t>
      </w:r>
      <w:r>
        <w:rPr>
          <w:rFonts w:hint="eastAsia" w:hAnsi="宋体"/>
          <w:bCs/>
          <w:color w:val="auto"/>
          <w:sz w:val="21"/>
          <w:highlight w:val="none"/>
          <w:u w:val="single"/>
        </w:rPr>
        <w:t xml:space="preserve">                                                                                        </w:t>
      </w:r>
    </w:p>
    <w:p w14:paraId="3ABD90A1">
      <w:pPr>
        <w:pStyle w:val="19"/>
        <w:spacing w:line="360" w:lineRule="auto"/>
        <w:ind w:left="25" w:leftChars="12" w:firstLine="413" w:firstLineChars="197"/>
        <w:rPr>
          <w:rFonts w:hint="eastAsia" w:hAnsi="宋体"/>
          <w:bCs/>
          <w:color w:val="auto"/>
          <w:sz w:val="21"/>
          <w:highlight w:val="none"/>
        </w:rPr>
      </w:pPr>
      <w:r>
        <w:rPr>
          <w:rFonts w:hint="eastAsia" w:hAnsi="宋体"/>
          <w:color w:val="auto"/>
          <w:sz w:val="21"/>
          <w:highlight w:val="none"/>
        </w:rPr>
        <w:t xml:space="preserve">投诉事项2  </w:t>
      </w:r>
      <w:r>
        <w:rPr>
          <w:rFonts w:hint="eastAsia" w:hAnsi="宋体"/>
          <w:bCs/>
          <w:color w:val="auto"/>
          <w:sz w:val="21"/>
          <w:highlight w:val="none"/>
        </w:rPr>
        <w:t xml:space="preserve">   </w:t>
      </w:r>
    </w:p>
    <w:p w14:paraId="5977DEC7">
      <w:pPr>
        <w:pStyle w:val="19"/>
        <w:spacing w:line="360" w:lineRule="auto"/>
        <w:ind w:left="25" w:leftChars="12" w:firstLine="413" w:firstLineChars="197"/>
        <w:rPr>
          <w:rFonts w:hint="eastAsia" w:hAnsi="宋体"/>
          <w:bCs/>
          <w:color w:val="auto"/>
          <w:sz w:val="21"/>
          <w:highlight w:val="none"/>
        </w:rPr>
      </w:pPr>
      <w:r>
        <w:rPr>
          <w:rFonts w:hAnsi="宋体"/>
          <w:bCs/>
          <w:color w:val="auto"/>
          <w:sz w:val="21"/>
          <w:highlight w:val="none"/>
        </w:rPr>
        <w:t>……</w:t>
      </w:r>
    </w:p>
    <w:p w14:paraId="38157BC2">
      <w:pPr>
        <w:pStyle w:val="19"/>
        <w:spacing w:line="360" w:lineRule="auto"/>
        <w:ind w:left="25" w:leftChars="12" w:firstLine="413" w:firstLineChars="196"/>
        <w:rPr>
          <w:rFonts w:hint="eastAsia" w:hAnsi="宋体"/>
          <w:b/>
          <w:color w:val="auto"/>
          <w:sz w:val="21"/>
          <w:highlight w:val="none"/>
        </w:rPr>
      </w:pPr>
      <w:r>
        <w:rPr>
          <w:rFonts w:hint="eastAsia" w:hAnsi="宋体"/>
          <w:b/>
          <w:color w:val="auto"/>
          <w:sz w:val="21"/>
          <w:highlight w:val="none"/>
        </w:rPr>
        <w:t>五、与投诉事项相关的投诉请求：</w:t>
      </w:r>
    </w:p>
    <w:p w14:paraId="7CE71B06">
      <w:pPr>
        <w:pStyle w:val="19"/>
        <w:spacing w:line="360" w:lineRule="auto"/>
        <w:ind w:left="25" w:leftChars="12" w:firstLine="413" w:firstLineChars="197"/>
        <w:rPr>
          <w:rFonts w:hint="eastAsia" w:hAnsi="宋体"/>
          <w:color w:val="auto"/>
          <w:sz w:val="21"/>
          <w:highlight w:val="none"/>
        </w:rPr>
      </w:pPr>
      <w:r>
        <w:rPr>
          <w:rFonts w:hint="eastAsia" w:hAnsi="宋体"/>
          <w:color w:val="auto"/>
          <w:sz w:val="21"/>
          <w:highlight w:val="none"/>
        </w:rPr>
        <w:t>请求：</w:t>
      </w:r>
      <w:r>
        <w:rPr>
          <w:rFonts w:hint="eastAsia" w:hAnsi="宋体"/>
          <w:bCs/>
          <w:color w:val="auto"/>
          <w:sz w:val="21"/>
          <w:highlight w:val="none"/>
          <w:u w:val="single"/>
        </w:rPr>
        <w:t xml:space="preserve">                                                                                 </w:t>
      </w:r>
    </w:p>
    <w:p w14:paraId="292FB0FA">
      <w:pPr>
        <w:pStyle w:val="19"/>
        <w:spacing w:line="360" w:lineRule="auto"/>
        <w:ind w:left="25" w:leftChars="12" w:firstLine="308" w:firstLineChars="147"/>
        <w:rPr>
          <w:rFonts w:hint="eastAsia" w:hAnsi="宋体"/>
          <w:color w:val="auto"/>
          <w:sz w:val="21"/>
          <w:highlight w:val="none"/>
        </w:rPr>
      </w:pPr>
    </w:p>
    <w:p w14:paraId="52F1A5E6">
      <w:pPr>
        <w:pStyle w:val="19"/>
        <w:spacing w:line="360" w:lineRule="auto"/>
        <w:ind w:left="25" w:leftChars="12" w:firstLine="413" w:firstLineChars="197"/>
        <w:rPr>
          <w:rFonts w:hint="eastAsia" w:hAnsi="宋体"/>
          <w:color w:val="auto"/>
          <w:sz w:val="21"/>
          <w:highlight w:val="none"/>
        </w:rPr>
      </w:pPr>
      <w:r>
        <w:rPr>
          <w:rFonts w:hint="eastAsia" w:hAnsi="宋体"/>
          <w:color w:val="auto"/>
          <w:sz w:val="21"/>
          <w:highlight w:val="none"/>
        </w:rPr>
        <w:t>签字（签章）：                                       公章：</w:t>
      </w:r>
    </w:p>
    <w:p w14:paraId="562FD5C0">
      <w:pPr>
        <w:pStyle w:val="19"/>
        <w:spacing w:line="360" w:lineRule="auto"/>
        <w:ind w:left="25" w:leftChars="12" w:firstLine="308" w:firstLineChars="147"/>
        <w:rPr>
          <w:rFonts w:hint="eastAsia" w:hAnsi="宋体"/>
          <w:color w:val="auto"/>
          <w:sz w:val="21"/>
          <w:highlight w:val="none"/>
        </w:rPr>
      </w:pPr>
    </w:p>
    <w:p w14:paraId="07FB916C">
      <w:pPr>
        <w:pStyle w:val="19"/>
        <w:spacing w:line="360" w:lineRule="auto"/>
        <w:ind w:left="25" w:leftChars="12" w:firstLine="413" w:firstLineChars="197"/>
        <w:rPr>
          <w:rFonts w:hint="eastAsia" w:hAnsi="宋体"/>
          <w:color w:val="auto"/>
          <w:sz w:val="21"/>
          <w:highlight w:val="none"/>
        </w:rPr>
      </w:pPr>
      <w:r>
        <w:rPr>
          <w:rFonts w:hint="eastAsia" w:hAnsi="宋体"/>
          <w:color w:val="auto"/>
          <w:sz w:val="21"/>
          <w:highlight w:val="none"/>
        </w:rPr>
        <w:t>日期：</w:t>
      </w:r>
    </w:p>
    <w:p w14:paraId="7A0A9C03">
      <w:pPr>
        <w:pStyle w:val="19"/>
        <w:spacing w:line="360" w:lineRule="auto"/>
        <w:ind w:left="25" w:leftChars="12" w:firstLine="413" w:firstLineChars="197"/>
        <w:rPr>
          <w:rFonts w:hint="eastAsia" w:hAnsi="宋体"/>
          <w:b/>
          <w:color w:val="auto"/>
          <w:sz w:val="21"/>
          <w:highlight w:val="none"/>
        </w:rPr>
      </w:pPr>
      <w:r>
        <w:rPr>
          <w:rFonts w:hint="eastAsia" w:hAnsi="宋体"/>
          <w:bCs/>
          <w:color w:val="auto"/>
          <w:sz w:val="21"/>
          <w:highlight w:val="none"/>
        </w:rPr>
        <w:t xml:space="preserve">                                                                                 </w:t>
      </w:r>
    </w:p>
    <w:p w14:paraId="271747AA">
      <w:pPr>
        <w:pStyle w:val="19"/>
        <w:snapToGrid w:val="0"/>
        <w:spacing w:line="360" w:lineRule="auto"/>
        <w:rPr>
          <w:rFonts w:hint="eastAsia" w:hAnsi="宋体"/>
          <w:b/>
          <w:color w:val="auto"/>
          <w:sz w:val="21"/>
          <w:highlight w:val="none"/>
        </w:rPr>
      </w:pPr>
      <w:r>
        <w:rPr>
          <w:rFonts w:hint="eastAsia" w:hAnsi="宋体"/>
          <w:b/>
          <w:color w:val="auto"/>
          <w:sz w:val="21"/>
          <w:highlight w:val="none"/>
        </w:rPr>
        <w:t>说明：</w:t>
      </w:r>
    </w:p>
    <w:p w14:paraId="7399E6FC">
      <w:pPr>
        <w:pStyle w:val="19"/>
        <w:spacing w:line="360" w:lineRule="auto"/>
        <w:ind w:left="25" w:leftChars="12" w:firstLine="310" w:firstLineChars="147"/>
        <w:rPr>
          <w:rFonts w:hint="eastAsia" w:hAnsi="宋体"/>
          <w:b/>
          <w:bCs/>
          <w:color w:val="auto"/>
          <w:sz w:val="21"/>
          <w:highlight w:val="none"/>
        </w:rPr>
      </w:pPr>
      <w:r>
        <w:rPr>
          <w:rFonts w:hint="eastAsia" w:hAnsi="宋体"/>
          <w:b/>
          <w:color w:val="auto"/>
          <w:sz w:val="21"/>
          <w:highlight w:val="none"/>
        </w:rPr>
        <w:t>1.投诉人提起投诉时，应当提交投诉书和必要的证明材料，并按照被投诉人和与投诉事项有关的供应商数量提供投诉书副本</w:t>
      </w:r>
      <w:r>
        <w:rPr>
          <w:rFonts w:hint="eastAsia" w:hAnsi="宋体"/>
          <w:b/>
          <w:bCs/>
          <w:color w:val="auto"/>
          <w:sz w:val="21"/>
          <w:highlight w:val="none"/>
        </w:rPr>
        <w:t>。</w:t>
      </w:r>
    </w:p>
    <w:p w14:paraId="551F33F3">
      <w:pPr>
        <w:pStyle w:val="19"/>
        <w:spacing w:line="360" w:lineRule="auto"/>
        <w:ind w:left="25" w:leftChars="12" w:firstLine="310" w:firstLineChars="147"/>
        <w:rPr>
          <w:rFonts w:hint="eastAsia" w:hAnsi="宋体"/>
          <w:b/>
          <w:color w:val="auto"/>
          <w:sz w:val="21"/>
          <w:highlight w:val="none"/>
        </w:rPr>
      </w:pPr>
      <w:r>
        <w:rPr>
          <w:rFonts w:hint="eastAsia" w:hAnsi="宋体"/>
          <w:b/>
          <w:color w:val="auto"/>
          <w:sz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549C920F">
      <w:pPr>
        <w:pStyle w:val="19"/>
        <w:spacing w:line="360" w:lineRule="auto"/>
        <w:ind w:left="25" w:leftChars="12" w:firstLine="310" w:firstLineChars="147"/>
        <w:rPr>
          <w:rFonts w:hint="eastAsia" w:hAnsi="宋体"/>
          <w:b/>
          <w:color w:val="auto"/>
          <w:sz w:val="21"/>
          <w:highlight w:val="none"/>
        </w:rPr>
      </w:pPr>
      <w:r>
        <w:rPr>
          <w:rFonts w:hint="eastAsia" w:hAnsi="宋体"/>
          <w:b/>
          <w:color w:val="auto"/>
          <w:sz w:val="21"/>
          <w:highlight w:val="none"/>
        </w:rPr>
        <w:t>3.投诉书应简要列明质疑事项，质疑函、质疑答复等作为附件材料提供。</w:t>
      </w:r>
    </w:p>
    <w:p w14:paraId="36BE056B">
      <w:pPr>
        <w:pStyle w:val="19"/>
        <w:spacing w:line="360" w:lineRule="auto"/>
        <w:ind w:left="25" w:leftChars="12" w:firstLine="310" w:firstLineChars="147"/>
        <w:rPr>
          <w:rFonts w:hint="eastAsia" w:hAnsi="宋体"/>
          <w:b/>
          <w:color w:val="auto"/>
          <w:sz w:val="21"/>
          <w:highlight w:val="none"/>
        </w:rPr>
      </w:pPr>
      <w:r>
        <w:rPr>
          <w:rFonts w:hint="eastAsia" w:hAnsi="宋体"/>
          <w:b/>
          <w:color w:val="auto"/>
          <w:sz w:val="21"/>
          <w:highlight w:val="none"/>
        </w:rPr>
        <w:t>4.投诉书的投诉事项应具体、明确，并有必要的事实依据和法律依据。</w:t>
      </w:r>
    </w:p>
    <w:p w14:paraId="4FB6F488">
      <w:pPr>
        <w:pStyle w:val="19"/>
        <w:spacing w:line="360" w:lineRule="auto"/>
        <w:ind w:left="25" w:leftChars="12" w:firstLine="310" w:firstLineChars="147"/>
        <w:rPr>
          <w:rFonts w:hint="eastAsia" w:hAnsi="宋体"/>
          <w:b/>
          <w:color w:val="auto"/>
          <w:sz w:val="21"/>
          <w:highlight w:val="none"/>
        </w:rPr>
      </w:pPr>
      <w:r>
        <w:rPr>
          <w:rFonts w:hint="eastAsia" w:hAnsi="宋体"/>
          <w:b/>
          <w:color w:val="auto"/>
          <w:sz w:val="21"/>
          <w:highlight w:val="none"/>
        </w:rPr>
        <w:t>5.投诉书的投诉请求应与投诉事项相关。</w:t>
      </w:r>
    </w:p>
    <w:p w14:paraId="3EB757F0">
      <w:pPr>
        <w:pStyle w:val="19"/>
        <w:spacing w:line="360" w:lineRule="auto"/>
        <w:ind w:left="25" w:leftChars="12" w:firstLine="310" w:firstLineChars="147"/>
        <w:rPr>
          <w:rFonts w:hint="eastAsia" w:hAnsi="宋体"/>
          <w:b/>
          <w:color w:val="auto"/>
          <w:highlight w:val="none"/>
        </w:rPr>
      </w:pPr>
      <w:r>
        <w:rPr>
          <w:rFonts w:hint="eastAsia" w:hAnsi="宋体"/>
          <w:b/>
          <w:color w:val="auto"/>
          <w:sz w:val="21"/>
          <w:highlight w:val="none"/>
        </w:rPr>
        <w:t>6.投诉人为法人或者其他组织的，投诉书应由法定代表人、主要负责人，或者其授权代表签字或者盖章，并加盖公章。</w:t>
      </w:r>
    </w:p>
    <w:p w14:paraId="7DA895BD">
      <w:pPr>
        <w:spacing w:before="4"/>
        <w:rPr>
          <w:rFonts w:hint="eastAsia" w:ascii="宋体" w:hAnsi="宋体" w:cs="宋体"/>
          <w:color w:val="auto"/>
          <w:sz w:val="6"/>
          <w:szCs w:val="6"/>
          <w:highlight w:val="none"/>
        </w:rPr>
      </w:pPr>
    </w:p>
    <w:p w14:paraId="614EC649">
      <w:pPr>
        <w:spacing w:before="4"/>
        <w:rPr>
          <w:rFonts w:hint="eastAsia" w:ascii="宋体" w:hAnsi="宋体" w:cs="宋体"/>
          <w:color w:val="auto"/>
          <w:sz w:val="6"/>
          <w:szCs w:val="6"/>
          <w:highlight w:val="none"/>
        </w:rPr>
      </w:pPr>
    </w:p>
    <w:p w14:paraId="35502958">
      <w:pPr>
        <w:spacing w:before="4"/>
        <w:rPr>
          <w:rFonts w:hint="eastAsia" w:ascii="宋体" w:hAnsi="宋体" w:cs="宋体"/>
          <w:color w:val="auto"/>
          <w:sz w:val="6"/>
          <w:szCs w:val="6"/>
          <w:highlight w:val="none"/>
        </w:rPr>
      </w:pPr>
    </w:p>
    <w:p w14:paraId="20873583">
      <w:pPr>
        <w:spacing w:before="4"/>
        <w:rPr>
          <w:rFonts w:hint="eastAsia" w:ascii="宋体" w:hAnsi="宋体" w:cs="宋体"/>
          <w:color w:val="auto"/>
          <w:sz w:val="6"/>
          <w:szCs w:val="6"/>
          <w:highlight w:val="none"/>
        </w:rPr>
      </w:pPr>
    </w:p>
    <w:p w14:paraId="3E5C5BB2">
      <w:pPr>
        <w:spacing w:before="4"/>
        <w:rPr>
          <w:rFonts w:hint="eastAsia" w:ascii="宋体" w:hAnsi="宋体" w:cs="宋体"/>
          <w:color w:val="auto"/>
          <w:sz w:val="6"/>
          <w:szCs w:val="6"/>
          <w:highlight w:val="none"/>
        </w:rPr>
      </w:pPr>
    </w:p>
    <w:p w14:paraId="39AC40B7">
      <w:pPr>
        <w:tabs>
          <w:tab w:val="left" w:pos="5598"/>
        </w:tabs>
        <w:spacing w:before="4"/>
        <w:rPr>
          <w:rFonts w:hint="eastAsia" w:ascii="宋体" w:hAnsi="宋体" w:eastAsia="宋体" w:cs="宋体"/>
          <w:color w:val="auto"/>
          <w:sz w:val="6"/>
          <w:szCs w:val="6"/>
          <w:highlight w:val="none"/>
          <w:lang w:eastAsia="zh-CN"/>
        </w:rPr>
      </w:pPr>
      <w:r>
        <w:rPr>
          <w:rFonts w:hint="eastAsia" w:ascii="宋体" w:hAnsi="宋体" w:cs="宋体"/>
          <w:color w:val="auto"/>
          <w:sz w:val="6"/>
          <w:szCs w:val="6"/>
          <w:highlight w:val="none"/>
          <w:lang w:eastAsia="zh-CN"/>
        </w:rPr>
        <w:tab/>
      </w:r>
    </w:p>
    <w:sectPr>
      <w:footerReference r:id="rId8" w:type="first"/>
      <w:footerReference r:id="rId7" w:type="default"/>
      <w:pgSz w:w="11906" w:h="16838"/>
      <w:pgMar w:top="1418" w:right="1418" w:bottom="1418" w:left="1418" w:header="851" w:footer="567"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A890046-DA6D-46AA-8742-D0F4927E93F0}"/>
  </w:font>
  <w:font w:name="黑体">
    <w:panose1 w:val="02010609060101010101"/>
    <w:charset w:val="86"/>
    <w:family w:val="auto"/>
    <w:pitch w:val="default"/>
    <w:sig w:usb0="800002BF" w:usb1="38CF7CFA" w:usb2="00000016" w:usb3="00000000" w:csb0="00040001" w:csb1="00000000"/>
    <w:embedRegular r:id="rId2" w:fontKey="{7337CBA7-C9D9-497D-B3A3-9B7ADF01F4DB}"/>
  </w:font>
  <w:font w:name="Courier New">
    <w:panose1 w:val="02070309020205020404"/>
    <w:charset w:val="01"/>
    <w:family w:val="modern"/>
    <w:pitch w:val="default"/>
    <w:sig w:usb0="E0002EFF" w:usb1="C0007843" w:usb2="00000009" w:usb3="00000000" w:csb0="400001FF" w:csb1="FFFF0000"/>
    <w:embedRegular r:id="rId3" w:fontKey="{544C92F5-ABFB-4311-AA24-73C069DA79AE}"/>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embedRegular r:id="rId4" w:fontKey="{9B8F00DF-7B3A-410C-B6A4-7C37ED9DD7DD}"/>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Arial Unicode MS">
    <w:altName w:val="Arial"/>
    <w:panose1 w:val="020B0604020202020204"/>
    <w:charset w:val="00"/>
    <w:family w:val="swiss"/>
    <w:pitch w:val="default"/>
    <w:sig w:usb0="00000000" w:usb1="00000000" w:usb2="0000003F" w:usb3="00000000" w:csb0="003F01FF" w:csb1="00000000"/>
  </w:font>
  <w:font w:name="仿宋">
    <w:panose1 w:val="02010609060101010101"/>
    <w:charset w:val="86"/>
    <w:family w:val="modern"/>
    <w:pitch w:val="default"/>
    <w:sig w:usb0="800002BF" w:usb1="38CF7CFA" w:usb2="00000016" w:usb3="00000000" w:csb0="00040001" w:csb1="00000000"/>
    <w:embedRegular r:id="rId5" w:fontKey="{95277B48-9B3A-4309-ADE2-CF04AF7C2F6F}"/>
  </w:font>
  <w:font w:name="方正小标宋简体">
    <w:panose1 w:val="02000000000000000000"/>
    <w:charset w:val="86"/>
    <w:family w:val="auto"/>
    <w:pitch w:val="default"/>
    <w:sig w:usb0="00000001" w:usb1="08000000" w:usb2="00000000" w:usb3="00000000" w:csb0="00040000" w:csb1="00000000"/>
    <w:embedRegular r:id="rId6" w:fontKey="{EF3CA517-AB09-4D86-9179-A06AB9843E34}"/>
  </w:font>
  <w:font w:name="WPSEMBED1">
    <w:panose1 w:val="02010609030101010101"/>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2F73D">
    <w:pPr>
      <w:pStyle w:val="22"/>
      <w:tabs>
        <w:tab w:val="center" w:pos="4439"/>
        <w:tab w:val="clear" w:pos="4153"/>
      </w:tabs>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12F32C">
                          <w:pPr>
                            <w:pStyle w:val="2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512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HsiNWHLAQAAnAMAAA4AAAAAAAAAAQAgAAAAHgEAAGRycy9lMm9E&#10;b2MueG1sUEsFBgAAAAAGAAYAWQEAAFsFAAAAAA==&#10;">
              <v:fill on="f" focussize="0,0"/>
              <v:stroke on="f"/>
              <v:imagedata o:title=""/>
              <o:lock v:ext="edit" aspectratio="f"/>
              <v:textbox inset="0mm,0mm,0mm,0mm" style="mso-fit-shape-to-text:t;">
                <w:txbxContent>
                  <w:p w14:paraId="7912F32C">
                    <w:pPr>
                      <w:pStyle w:val="22"/>
                    </w:pPr>
                    <w:r>
                      <w:fldChar w:fldCharType="begin"/>
                    </w:r>
                    <w:r>
                      <w:instrText xml:space="preserve"> PAGE  \* MERGEFORMAT </w:instrText>
                    </w:r>
                    <w:r>
                      <w:fldChar w:fldCharType="separate"/>
                    </w:r>
                    <w:r>
                      <w:t>1</w:t>
                    </w:r>
                    <w:r>
                      <w:fldChar w:fldCharType="end"/>
                    </w:r>
                  </w:p>
                </w:txbxContent>
              </v:textbox>
            </v:shape>
          </w:pict>
        </mc:Fallback>
      </mc:AlternateContent>
    </w:r>
  </w:p>
  <w:p w14:paraId="3B815C30">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D910D">
    <w:pPr>
      <w:pStyle w:val="22"/>
      <w:tabs>
        <w:tab w:val="center" w:pos="4439"/>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5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1AB030"/>
                      </w:txbxContent>
                    </wps:txbx>
                    <wps:bodyPr wrap="none" lIns="0" tIns="0" rIns="0" bIns="0" upright="0">
                      <a:spAutoFit/>
                    </wps:bodyPr>
                  </wps:wsp>
                </a:graphicData>
              </a:graphic>
            </wp:anchor>
          </w:drawing>
        </mc:Choice>
        <mc:Fallback>
          <w:pict>
            <v:shape id="文本框 512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exRYzLAQAAnAMAAA4AAAAAAAAAAQAgAAAAHgEAAGRycy9lMm9E&#10;b2MueG1sUEsFBgAAAAAGAAYAWQEAAFsFAAAAAA==&#10;">
              <v:fill on="f" focussize="0,0"/>
              <v:stroke on="f"/>
              <v:imagedata o:title=""/>
              <o:lock v:ext="edit" aspectratio="f"/>
              <v:textbox inset="0mm,0mm,0mm,0mm" style="mso-fit-shape-to-text:t;">
                <w:txbxContent>
                  <w:p w14:paraId="5F1AB030"/>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A61FD">
    <w:pPr>
      <w:pStyle w:val="2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225678">
                          <w:pPr>
                            <w:pStyle w:val="22"/>
                            <w:jc w:val="center"/>
                          </w:pPr>
                          <w:r>
                            <w:fldChar w:fldCharType="begin"/>
                          </w:r>
                          <w:r>
                            <w:instrText xml:space="preserve"> PAGE  \* MERGEFORMAT </w:instrText>
                          </w:r>
                          <w:r>
                            <w:fldChar w:fldCharType="separate"/>
                          </w:r>
                          <w:r>
                            <w:t>71</w:t>
                          </w:r>
                          <w:r>
                            <w:fldChar w:fldCharType="end"/>
                          </w:r>
                        </w:p>
                      </w:txbxContent>
                    </wps:txbx>
                    <wps:bodyPr wrap="none" lIns="0" tIns="0" rIns="0" bIns="0" upright="0">
                      <a:spAutoFit/>
                    </wps:bodyPr>
                  </wps:wsp>
                </a:graphicData>
              </a:graphic>
            </wp:anchor>
          </w:drawing>
        </mc:Choice>
        <mc:Fallback>
          <w:pict>
            <v:shape id="文本框 512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j9y18sBAACcAwAADgAAAGRycy9lMm9Eb2MueG1srVPNjtMwEL4j8Q6W&#10;79RpB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3m1&#10;XC2zQn2AGhPvAqam4a0fcG9mP6AzEx9UtPmLlAjGUd/zVV85JCLyo/Vqva4wJDA2XxCfPTwPEdI7&#10;6S3JRkMjDrDoyk8fII2pc0qu5vytNqYM0bi/HIiZPSz3PvaYrTTsh4nQ3rdn5NPj7BvqcNUpMe8d&#10;SpvXZDbibOxn4xiiPnRlj3I9CG+OCZsoveUKI+xUGIdW2E0Llrfiz3vJevi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4/ctfLAQAAnAMAAA4AAAAAAAAAAQAgAAAAHgEAAGRycy9lMm9E&#10;b2MueG1sUEsFBgAAAAAGAAYAWQEAAFsFAAAAAA==&#10;">
              <v:fill on="f" focussize="0,0"/>
              <v:stroke on="f"/>
              <v:imagedata o:title=""/>
              <o:lock v:ext="edit" aspectratio="f"/>
              <v:textbox inset="0mm,0mm,0mm,0mm" style="mso-fit-shape-to-text:t;">
                <w:txbxContent>
                  <w:p w14:paraId="60225678">
                    <w:pPr>
                      <w:pStyle w:val="22"/>
                      <w:jc w:val="center"/>
                    </w:pPr>
                    <w:r>
                      <w:fldChar w:fldCharType="begin"/>
                    </w:r>
                    <w:r>
                      <w:instrText xml:space="preserve"> PAGE  \* MERGEFORMAT </w:instrText>
                    </w:r>
                    <w:r>
                      <w:fldChar w:fldCharType="separate"/>
                    </w:r>
                    <w:r>
                      <w:t>71</w:t>
                    </w:r>
                    <w:r>
                      <w:fldChar w:fldCharType="end"/>
                    </w:r>
                  </w:p>
                </w:txbxContent>
              </v:textbox>
            </v:shape>
          </w:pict>
        </mc:Fallback>
      </mc:AlternateContent>
    </w:r>
  </w:p>
  <w:p w14:paraId="7EE490DB">
    <w:pPr>
      <w:pStyle w:val="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487E3">
    <w:pPr>
      <w:pStyle w:val="2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7EAB9D">
                          <w:pPr>
                            <w:pStyle w:val="22"/>
                            <w:rPr>
                              <w:rFonts w:hint="eastAsia"/>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upright="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a4T1fLAQAAnAMAAA4AAAAAAAAAAQAgAAAAHgEAAGRycy9lMm9E&#10;b2MueG1sUEsFBgAAAAAGAAYAWQEAAFsFAAAAAA==&#10;">
              <v:fill on="f" focussize="0,0"/>
              <v:stroke on="f"/>
              <v:imagedata o:title=""/>
              <o:lock v:ext="edit" aspectratio="f"/>
              <v:textbox inset="0mm,0mm,0mm,0mm" style="mso-fit-shape-to-text:t;">
                <w:txbxContent>
                  <w:p w14:paraId="227EAB9D">
                    <w:pPr>
                      <w:pStyle w:val="22"/>
                      <w:rPr>
                        <w:rFonts w:hint="eastAsia"/>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733CF">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2B788">
    <w:pPr>
      <w:pStyle w:val="2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1397A4CA"/>
    <w:multiLevelType w:val="singleLevel"/>
    <w:tmpl w:val="1397A4CA"/>
    <w:lvl w:ilvl="0" w:tentative="0">
      <w:start w:val="1"/>
      <w:numFmt w:val="decimal"/>
      <w:lvlText w:val="%1."/>
      <w:lvlJc w:val="left"/>
      <w:pPr>
        <w:tabs>
          <w:tab w:val="left" w:pos="312"/>
        </w:tabs>
      </w:pPr>
    </w:lvl>
  </w:abstractNum>
  <w:abstractNum w:abstractNumId="2">
    <w:nsid w:val="28274848"/>
    <w:multiLevelType w:val="singleLevel"/>
    <w:tmpl w:val="28274848"/>
    <w:lvl w:ilvl="0" w:tentative="0">
      <w:start w:val="1"/>
      <w:numFmt w:val="decimal"/>
      <w:suff w:val="nothing"/>
      <w:lvlText w:val="%1）"/>
      <w:lvlJc w:val="left"/>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3,4,5,6,7"/>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yNTViMjA3MjY4ZmVjNTUyZmIyZmFmYTg4YjYyY2YifQ=="/>
  </w:docVars>
  <w:rsids>
    <w:rsidRoot w:val="00F34B14"/>
    <w:rsid w:val="00000672"/>
    <w:rsid w:val="00001013"/>
    <w:rsid w:val="00001799"/>
    <w:rsid w:val="00001AF2"/>
    <w:rsid w:val="00001ECA"/>
    <w:rsid w:val="00002D29"/>
    <w:rsid w:val="00002EAF"/>
    <w:rsid w:val="00003B93"/>
    <w:rsid w:val="0000474D"/>
    <w:rsid w:val="00005FDF"/>
    <w:rsid w:val="00006851"/>
    <w:rsid w:val="000070B3"/>
    <w:rsid w:val="000076B8"/>
    <w:rsid w:val="000109DC"/>
    <w:rsid w:val="00010D39"/>
    <w:rsid w:val="0001172C"/>
    <w:rsid w:val="00011BC9"/>
    <w:rsid w:val="00012854"/>
    <w:rsid w:val="00012EA6"/>
    <w:rsid w:val="00013359"/>
    <w:rsid w:val="000139CF"/>
    <w:rsid w:val="00013AA4"/>
    <w:rsid w:val="00013DFE"/>
    <w:rsid w:val="000141EA"/>
    <w:rsid w:val="00014CA1"/>
    <w:rsid w:val="00016ABC"/>
    <w:rsid w:val="00016DE6"/>
    <w:rsid w:val="000177DB"/>
    <w:rsid w:val="000179C9"/>
    <w:rsid w:val="00017CCC"/>
    <w:rsid w:val="00020227"/>
    <w:rsid w:val="00020263"/>
    <w:rsid w:val="00020455"/>
    <w:rsid w:val="00020813"/>
    <w:rsid w:val="000220B2"/>
    <w:rsid w:val="0002264C"/>
    <w:rsid w:val="00022731"/>
    <w:rsid w:val="00022792"/>
    <w:rsid w:val="00024463"/>
    <w:rsid w:val="00024E1C"/>
    <w:rsid w:val="00025461"/>
    <w:rsid w:val="00025636"/>
    <w:rsid w:val="00025E36"/>
    <w:rsid w:val="00026855"/>
    <w:rsid w:val="00026886"/>
    <w:rsid w:val="0002785D"/>
    <w:rsid w:val="000307BE"/>
    <w:rsid w:val="00030927"/>
    <w:rsid w:val="000313DC"/>
    <w:rsid w:val="000329E0"/>
    <w:rsid w:val="000352E9"/>
    <w:rsid w:val="00035494"/>
    <w:rsid w:val="00036125"/>
    <w:rsid w:val="000365AC"/>
    <w:rsid w:val="00036A07"/>
    <w:rsid w:val="00036C95"/>
    <w:rsid w:val="0003780B"/>
    <w:rsid w:val="00040571"/>
    <w:rsid w:val="00040973"/>
    <w:rsid w:val="0004156E"/>
    <w:rsid w:val="00041713"/>
    <w:rsid w:val="00041C18"/>
    <w:rsid w:val="00044263"/>
    <w:rsid w:val="0004440C"/>
    <w:rsid w:val="000451F1"/>
    <w:rsid w:val="00046B5E"/>
    <w:rsid w:val="000470CB"/>
    <w:rsid w:val="000479FF"/>
    <w:rsid w:val="000509D9"/>
    <w:rsid w:val="000512AF"/>
    <w:rsid w:val="00051ACB"/>
    <w:rsid w:val="000533E7"/>
    <w:rsid w:val="00055D41"/>
    <w:rsid w:val="00056EF6"/>
    <w:rsid w:val="00057CD6"/>
    <w:rsid w:val="00060370"/>
    <w:rsid w:val="00060DCE"/>
    <w:rsid w:val="000610E3"/>
    <w:rsid w:val="000614F3"/>
    <w:rsid w:val="000623B4"/>
    <w:rsid w:val="00062405"/>
    <w:rsid w:val="00062B42"/>
    <w:rsid w:val="000634A7"/>
    <w:rsid w:val="00063B0B"/>
    <w:rsid w:val="00063F81"/>
    <w:rsid w:val="00064847"/>
    <w:rsid w:val="00064F97"/>
    <w:rsid w:val="00065E08"/>
    <w:rsid w:val="000673E2"/>
    <w:rsid w:val="0007027E"/>
    <w:rsid w:val="0007063F"/>
    <w:rsid w:val="000707FD"/>
    <w:rsid w:val="00070949"/>
    <w:rsid w:val="00070CD2"/>
    <w:rsid w:val="000711E4"/>
    <w:rsid w:val="000720A1"/>
    <w:rsid w:val="000724D9"/>
    <w:rsid w:val="00072AED"/>
    <w:rsid w:val="00073F47"/>
    <w:rsid w:val="0007492F"/>
    <w:rsid w:val="00074ED8"/>
    <w:rsid w:val="00075B7E"/>
    <w:rsid w:val="00077ACA"/>
    <w:rsid w:val="00077C70"/>
    <w:rsid w:val="000813B5"/>
    <w:rsid w:val="0008191E"/>
    <w:rsid w:val="00081BA3"/>
    <w:rsid w:val="00081D2E"/>
    <w:rsid w:val="00081F89"/>
    <w:rsid w:val="00082619"/>
    <w:rsid w:val="00082D02"/>
    <w:rsid w:val="00083871"/>
    <w:rsid w:val="00083B91"/>
    <w:rsid w:val="0008473C"/>
    <w:rsid w:val="0008520B"/>
    <w:rsid w:val="000857DE"/>
    <w:rsid w:val="00085817"/>
    <w:rsid w:val="000860BD"/>
    <w:rsid w:val="0008694B"/>
    <w:rsid w:val="000871B8"/>
    <w:rsid w:val="00087B0A"/>
    <w:rsid w:val="000904D2"/>
    <w:rsid w:val="000916DA"/>
    <w:rsid w:val="00092442"/>
    <w:rsid w:val="000929EF"/>
    <w:rsid w:val="00092C26"/>
    <w:rsid w:val="000933BE"/>
    <w:rsid w:val="0009560F"/>
    <w:rsid w:val="0009588E"/>
    <w:rsid w:val="000959EE"/>
    <w:rsid w:val="00096DB9"/>
    <w:rsid w:val="00097183"/>
    <w:rsid w:val="000972CB"/>
    <w:rsid w:val="00097608"/>
    <w:rsid w:val="000A1175"/>
    <w:rsid w:val="000A13F3"/>
    <w:rsid w:val="000A23B1"/>
    <w:rsid w:val="000A2B0E"/>
    <w:rsid w:val="000A398F"/>
    <w:rsid w:val="000A448C"/>
    <w:rsid w:val="000A509C"/>
    <w:rsid w:val="000A54A7"/>
    <w:rsid w:val="000A5712"/>
    <w:rsid w:val="000A6007"/>
    <w:rsid w:val="000A65A6"/>
    <w:rsid w:val="000A70E3"/>
    <w:rsid w:val="000A7275"/>
    <w:rsid w:val="000A7A12"/>
    <w:rsid w:val="000A7A72"/>
    <w:rsid w:val="000B1202"/>
    <w:rsid w:val="000B13B8"/>
    <w:rsid w:val="000B1801"/>
    <w:rsid w:val="000B1D0C"/>
    <w:rsid w:val="000B2273"/>
    <w:rsid w:val="000B2BC6"/>
    <w:rsid w:val="000B2D03"/>
    <w:rsid w:val="000B37F2"/>
    <w:rsid w:val="000B3815"/>
    <w:rsid w:val="000B3C7B"/>
    <w:rsid w:val="000B4321"/>
    <w:rsid w:val="000B6A6B"/>
    <w:rsid w:val="000B6C95"/>
    <w:rsid w:val="000B79FC"/>
    <w:rsid w:val="000C1679"/>
    <w:rsid w:val="000C1EE3"/>
    <w:rsid w:val="000C3AE7"/>
    <w:rsid w:val="000C3CC9"/>
    <w:rsid w:val="000C6DE4"/>
    <w:rsid w:val="000C7202"/>
    <w:rsid w:val="000D0A89"/>
    <w:rsid w:val="000D1389"/>
    <w:rsid w:val="000D1798"/>
    <w:rsid w:val="000D2626"/>
    <w:rsid w:val="000D320C"/>
    <w:rsid w:val="000D341C"/>
    <w:rsid w:val="000D411D"/>
    <w:rsid w:val="000D4589"/>
    <w:rsid w:val="000D4809"/>
    <w:rsid w:val="000D73DD"/>
    <w:rsid w:val="000E18DC"/>
    <w:rsid w:val="000E1C51"/>
    <w:rsid w:val="000E28AB"/>
    <w:rsid w:val="000E2E3E"/>
    <w:rsid w:val="000E310E"/>
    <w:rsid w:val="000E3583"/>
    <w:rsid w:val="000E370E"/>
    <w:rsid w:val="000E3A72"/>
    <w:rsid w:val="000E3AF0"/>
    <w:rsid w:val="000E4E04"/>
    <w:rsid w:val="000E693B"/>
    <w:rsid w:val="000E6EC9"/>
    <w:rsid w:val="000E70B4"/>
    <w:rsid w:val="000E7B62"/>
    <w:rsid w:val="000F0E1E"/>
    <w:rsid w:val="000F1A1B"/>
    <w:rsid w:val="000F2A95"/>
    <w:rsid w:val="000F3281"/>
    <w:rsid w:val="000F32FD"/>
    <w:rsid w:val="000F3733"/>
    <w:rsid w:val="000F5F8B"/>
    <w:rsid w:val="000F6153"/>
    <w:rsid w:val="000F64AA"/>
    <w:rsid w:val="000F7AF4"/>
    <w:rsid w:val="000F7C33"/>
    <w:rsid w:val="000F7F0C"/>
    <w:rsid w:val="001004D6"/>
    <w:rsid w:val="00101820"/>
    <w:rsid w:val="00101D1B"/>
    <w:rsid w:val="00102676"/>
    <w:rsid w:val="001029C1"/>
    <w:rsid w:val="00103646"/>
    <w:rsid w:val="00103918"/>
    <w:rsid w:val="00104897"/>
    <w:rsid w:val="00104EDE"/>
    <w:rsid w:val="00105CDA"/>
    <w:rsid w:val="00106BEE"/>
    <w:rsid w:val="0010711C"/>
    <w:rsid w:val="00107BDF"/>
    <w:rsid w:val="00107C74"/>
    <w:rsid w:val="0011091C"/>
    <w:rsid w:val="00111266"/>
    <w:rsid w:val="001112EB"/>
    <w:rsid w:val="0011247D"/>
    <w:rsid w:val="00112FFB"/>
    <w:rsid w:val="00113678"/>
    <w:rsid w:val="00113A7D"/>
    <w:rsid w:val="00113C3E"/>
    <w:rsid w:val="00115132"/>
    <w:rsid w:val="00115E11"/>
    <w:rsid w:val="00115EEE"/>
    <w:rsid w:val="00115F56"/>
    <w:rsid w:val="00116CA9"/>
    <w:rsid w:val="00116F38"/>
    <w:rsid w:val="001170A4"/>
    <w:rsid w:val="00117AE7"/>
    <w:rsid w:val="00117B85"/>
    <w:rsid w:val="00117CBD"/>
    <w:rsid w:val="0012006A"/>
    <w:rsid w:val="00121979"/>
    <w:rsid w:val="00122064"/>
    <w:rsid w:val="00124341"/>
    <w:rsid w:val="00124492"/>
    <w:rsid w:val="00124B12"/>
    <w:rsid w:val="001250A0"/>
    <w:rsid w:val="001263B8"/>
    <w:rsid w:val="00130217"/>
    <w:rsid w:val="00130783"/>
    <w:rsid w:val="00130A47"/>
    <w:rsid w:val="00132B47"/>
    <w:rsid w:val="001337F8"/>
    <w:rsid w:val="001348B4"/>
    <w:rsid w:val="001351CB"/>
    <w:rsid w:val="00135530"/>
    <w:rsid w:val="00135947"/>
    <w:rsid w:val="001359A2"/>
    <w:rsid w:val="00135F92"/>
    <w:rsid w:val="00136020"/>
    <w:rsid w:val="0013641C"/>
    <w:rsid w:val="00136445"/>
    <w:rsid w:val="00137389"/>
    <w:rsid w:val="00140132"/>
    <w:rsid w:val="00141C9C"/>
    <w:rsid w:val="001424DE"/>
    <w:rsid w:val="0014277F"/>
    <w:rsid w:val="001434BE"/>
    <w:rsid w:val="00143AAD"/>
    <w:rsid w:val="00144050"/>
    <w:rsid w:val="00144369"/>
    <w:rsid w:val="0014479F"/>
    <w:rsid w:val="001452B4"/>
    <w:rsid w:val="00145320"/>
    <w:rsid w:val="001476D3"/>
    <w:rsid w:val="001505B6"/>
    <w:rsid w:val="001509CF"/>
    <w:rsid w:val="00150D1D"/>
    <w:rsid w:val="001525AA"/>
    <w:rsid w:val="00152A87"/>
    <w:rsid w:val="00152AC1"/>
    <w:rsid w:val="00153BB5"/>
    <w:rsid w:val="00154342"/>
    <w:rsid w:val="00154518"/>
    <w:rsid w:val="00155512"/>
    <w:rsid w:val="00156303"/>
    <w:rsid w:val="00156359"/>
    <w:rsid w:val="00156686"/>
    <w:rsid w:val="00156DD6"/>
    <w:rsid w:val="0016086E"/>
    <w:rsid w:val="00160D0C"/>
    <w:rsid w:val="00160DD1"/>
    <w:rsid w:val="00161172"/>
    <w:rsid w:val="00161998"/>
    <w:rsid w:val="00161E65"/>
    <w:rsid w:val="00162597"/>
    <w:rsid w:val="001629AF"/>
    <w:rsid w:val="001629FD"/>
    <w:rsid w:val="001630EF"/>
    <w:rsid w:val="0016428A"/>
    <w:rsid w:val="001647C9"/>
    <w:rsid w:val="00165627"/>
    <w:rsid w:val="00165987"/>
    <w:rsid w:val="001661A3"/>
    <w:rsid w:val="00167226"/>
    <w:rsid w:val="001677C9"/>
    <w:rsid w:val="0016782B"/>
    <w:rsid w:val="0016784D"/>
    <w:rsid w:val="00167853"/>
    <w:rsid w:val="00167887"/>
    <w:rsid w:val="00170C37"/>
    <w:rsid w:val="001720EF"/>
    <w:rsid w:val="00172CA8"/>
    <w:rsid w:val="00173256"/>
    <w:rsid w:val="00173B0E"/>
    <w:rsid w:val="00173E03"/>
    <w:rsid w:val="001747F4"/>
    <w:rsid w:val="0017512C"/>
    <w:rsid w:val="001756AF"/>
    <w:rsid w:val="0017586A"/>
    <w:rsid w:val="00175BA6"/>
    <w:rsid w:val="00175FDC"/>
    <w:rsid w:val="00176CA7"/>
    <w:rsid w:val="00176D0C"/>
    <w:rsid w:val="00176F8E"/>
    <w:rsid w:val="001778C5"/>
    <w:rsid w:val="00177E56"/>
    <w:rsid w:val="00177F0A"/>
    <w:rsid w:val="00180DA0"/>
    <w:rsid w:val="00181EAD"/>
    <w:rsid w:val="00182862"/>
    <w:rsid w:val="00184F57"/>
    <w:rsid w:val="00185091"/>
    <w:rsid w:val="00185544"/>
    <w:rsid w:val="00185617"/>
    <w:rsid w:val="00186FE1"/>
    <w:rsid w:val="00187A14"/>
    <w:rsid w:val="0019171E"/>
    <w:rsid w:val="00192368"/>
    <w:rsid w:val="001923A0"/>
    <w:rsid w:val="001928B1"/>
    <w:rsid w:val="00193537"/>
    <w:rsid w:val="00193846"/>
    <w:rsid w:val="00193CA5"/>
    <w:rsid w:val="00193FD7"/>
    <w:rsid w:val="00195424"/>
    <w:rsid w:val="001955FF"/>
    <w:rsid w:val="00197EDD"/>
    <w:rsid w:val="001A02B3"/>
    <w:rsid w:val="001A04BB"/>
    <w:rsid w:val="001A08D0"/>
    <w:rsid w:val="001A0E82"/>
    <w:rsid w:val="001A1B39"/>
    <w:rsid w:val="001A2120"/>
    <w:rsid w:val="001A2256"/>
    <w:rsid w:val="001A28C6"/>
    <w:rsid w:val="001A2E69"/>
    <w:rsid w:val="001A30F7"/>
    <w:rsid w:val="001A3C34"/>
    <w:rsid w:val="001A3EDE"/>
    <w:rsid w:val="001A4222"/>
    <w:rsid w:val="001A50EA"/>
    <w:rsid w:val="001A5E24"/>
    <w:rsid w:val="001A624D"/>
    <w:rsid w:val="001A6795"/>
    <w:rsid w:val="001A6B27"/>
    <w:rsid w:val="001A6D8B"/>
    <w:rsid w:val="001A6DAA"/>
    <w:rsid w:val="001A7717"/>
    <w:rsid w:val="001A793A"/>
    <w:rsid w:val="001B125A"/>
    <w:rsid w:val="001B1EBA"/>
    <w:rsid w:val="001B2142"/>
    <w:rsid w:val="001B2C23"/>
    <w:rsid w:val="001B2F2B"/>
    <w:rsid w:val="001B327A"/>
    <w:rsid w:val="001B35DE"/>
    <w:rsid w:val="001B3A13"/>
    <w:rsid w:val="001B3F5C"/>
    <w:rsid w:val="001B57C9"/>
    <w:rsid w:val="001B59FF"/>
    <w:rsid w:val="001B6512"/>
    <w:rsid w:val="001B65D7"/>
    <w:rsid w:val="001B6752"/>
    <w:rsid w:val="001B6768"/>
    <w:rsid w:val="001B6F1F"/>
    <w:rsid w:val="001B79E3"/>
    <w:rsid w:val="001B7ECC"/>
    <w:rsid w:val="001C025B"/>
    <w:rsid w:val="001C115F"/>
    <w:rsid w:val="001C1E3E"/>
    <w:rsid w:val="001C1EAB"/>
    <w:rsid w:val="001C25A7"/>
    <w:rsid w:val="001C318C"/>
    <w:rsid w:val="001C35C4"/>
    <w:rsid w:val="001C4287"/>
    <w:rsid w:val="001C4479"/>
    <w:rsid w:val="001C5190"/>
    <w:rsid w:val="001C6081"/>
    <w:rsid w:val="001C73EB"/>
    <w:rsid w:val="001C7B48"/>
    <w:rsid w:val="001C7CFB"/>
    <w:rsid w:val="001D0CFB"/>
    <w:rsid w:val="001D1A0D"/>
    <w:rsid w:val="001D2D0D"/>
    <w:rsid w:val="001D343C"/>
    <w:rsid w:val="001D58A1"/>
    <w:rsid w:val="001D58C2"/>
    <w:rsid w:val="001D5A8A"/>
    <w:rsid w:val="001D61CA"/>
    <w:rsid w:val="001D6E87"/>
    <w:rsid w:val="001D735E"/>
    <w:rsid w:val="001D73C8"/>
    <w:rsid w:val="001D7BC6"/>
    <w:rsid w:val="001E129E"/>
    <w:rsid w:val="001E175C"/>
    <w:rsid w:val="001E1B0E"/>
    <w:rsid w:val="001E3B63"/>
    <w:rsid w:val="001E5A94"/>
    <w:rsid w:val="001F2A2E"/>
    <w:rsid w:val="001F2FDF"/>
    <w:rsid w:val="001F3356"/>
    <w:rsid w:val="001F3C63"/>
    <w:rsid w:val="001F4460"/>
    <w:rsid w:val="001F711A"/>
    <w:rsid w:val="001F75B0"/>
    <w:rsid w:val="001F7822"/>
    <w:rsid w:val="0020057C"/>
    <w:rsid w:val="002008A0"/>
    <w:rsid w:val="00200CE5"/>
    <w:rsid w:val="00200F7C"/>
    <w:rsid w:val="002014DB"/>
    <w:rsid w:val="0020150B"/>
    <w:rsid w:val="00201E12"/>
    <w:rsid w:val="00202295"/>
    <w:rsid w:val="002033B5"/>
    <w:rsid w:val="0020382C"/>
    <w:rsid w:val="00203FBD"/>
    <w:rsid w:val="0020437A"/>
    <w:rsid w:val="0020454C"/>
    <w:rsid w:val="00204740"/>
    <w:rsid w:val="00205129"/>
    <w:rsid w:val="0020521F"/>
    <w:rsid w:val="0020532C"/>
    <w:rsid w:val="002114C7"/>
    <w:rsid w:val="0021302C"/>
    <w:rsid w:val="00213B1C"/>
    <w:rsid w:val="00213F1E"/>
    <w:rsid w:val="00214202"/>
    <w:rsid w:val="002148E3"/>
    <w:rsid w:val="0021552D"/>
    <w:rsid w:val="002156AE"/>
    <w:rsid w:val="00215E99"/>
    <w:rsid w:val="0022054D"/>
    <w:rsid w:val="00220A95"/>
    <w:rsid w:val="0022107B"/>
    <w:rsid w:val="00223DDB"/>
    <w:rsid w:val="00223FA4"/>
    <w:rsid w:val="00223FB0"/>
    <w:rsid w:val="00224067"/>
    <w:rsid w:val="0022421C"/>
    <w:rsid w:val="00224C4A"/>
    <w:rsid w:val="00224E83"/>
    <w:rsid w:val="00225664"/>
    <w:rsid w:val="0022663D"/>
    <w:rsid w:val="00227F2D"/>
    <w:rsid w:val="0023096E"/>
    <w:rsid w:val="00231851"/>
    <w:rsid w:val="002319FB"/>
    <w:rsid w:val="00231B89"/>
    <w:rsid w:val="00231F11"/>
    <w:rsid w:val="00231F5E"/>
    <w:rsid w:val="002346B4"/>
    <w:rsid w:val="00234F6E"/>
    <w:rsid w:val="002355BE"/>
    <w:rsid w:val="002358EA"/>
    <w:rsid w:val="00236578"/>
    <w:rsid w:val="00236DE9"/>
    <w:rsid w:val="00237342"/>
    <w:rsid w:val="00237D5A"/>
    <w:rsid w:val="00240AEF"/>
    <w:rsid w:val="00240D75"/>
    <w:rsid w:val="002415AE"/>
    <w:rsid w:val="00241D3C"/>
    <w:rsid w:val="00242109"/>
    <w:rsid w:val="00243189"/>
    <w:rsid w:val="002439AB"/>
    <w:rsid w:val="00243C19"/>
    <w:rsid w:val="00244AE8"/>
    <w:rsid w:val="00244DC9"/>
    <w:rsid w:val="00245587"/>
    <w:rsid w:val="002459B4"/>
    <w:rsid w:val="00245F2B"/>
    <w:rsid w:val="002466CD"/>
    <w:rsid w:val="00247F3A"/>
    <w:rsid w:val="00250122"/>
    <w:rsid w:val="00250755"/>
    <w:rsid w:val="00251043"/>
    <w:rsid w:val="00251C4A"/>
    <w:rsid w:val="0025271C"/>
    <w:rsid w:val="002533CD"/>
    <w:rsid w:val="002535EA"/>
    <w:rsid w:val="00254EAB"/>
    <w:rsid w:val="002557AF"/>
    <w:rsid w:val="0025589C"/>
    <w:rsid w:val="00255B62"/>
    <w:rsid w:val="002566B1"/>
    <w:rsid w:val="002575E3"/>
    <w:rsid w:val="00257A74"/>
    <w:rsid w:val="00257C5D"/>
    <w:rsid w:val="002603C1"/>
    <w:rsid w:val="002609A1"/>
    <w:rsid w:val="002612B1"/>
    <w:rsid w:val="00263BBE"/>
    <w:rsid w:val="00266165"/>
    <w:rsid w:val="00266F2C"/>
    <w:rsid w:val="0027125E"/>
    <w:rsid w:val="00271767"/>
    <w:rsid w:val="00272293"/>
    <w:rsid w:val="002723C8"/>
    <w:rsid w:val="00273C2A"/>
    <w:rsid w:val="00273CBE"/>
    <w:rsid w:val="002746B1"/>
    <w:rsid w:val="00274BAD"/>
    <w:rsid w:val="002756BF"/>
    <w:rsid w:val="00282D56"/>
    <w:rsid w:val="0028352B"/>
    <w:rsid w:val="002835B0"/>
    <w:rsid w:val="00283BD5"/>
    <w:rsid w:val="00283C74"/>
    <w:rsid w:val="0028407E"/>
    <w:rsid w:val="0028410F"/>
    <w:rsid w:val="00284572"/>
    <w:rsid w:val="002850AA"/>
    <w:rsid w:val="00285221"/>
    <w:rsid w:val="00286FB5"/>
    <w:rsid w:val="00287763"/>
    <w:rsid w:val="00290606"/>
    <w:rsid w:val="002909B2"/>
    <w:rsid w:val="0029198B"/>
    <w:rsid w:val="00291D6D"/>
    <w:rsid w:val="00291FF1"/>
    <w:rsid w:val="00292AA2"/>
    <w:rsid w:val="00293361"/>
    <w:rsid w:val="00294401"/>
    <w:rsid w:val="00294F10"/>
    <w:rsid w:val="002952B1"/>
    <w:rsid w:val="00295D11"/>
    <w:rsid w:val="00296FB6"/>
    <w:rsid w:val="002A0001"/>
    <w:rsid w:val="002A0BD9"/>
    <w:rsid w:val="002A0C3A"/>
    <w:rsid w:val="002A0DF8"/>
    <w:rsid w:val="002A1130"/>
    <w:rsid w:val="002A1880"/>
    <w:rsid w:val="002A23B7"/>
    <w:rsid w:val="002A3A57"/>
    <w:rsid w:val="002A4B4F"/>
    <w:rsid w:val="002A500F"/>
    <w:rsid w:val="002A57A8"/>
    <w:rsid w:val="002A6DEF"/>
    <w:rsid w:val="002A770B"/>
    <w:rsid w:val="002B013E"/>
    <w:rsid w:val="002B058D"/>
    <w:rsid w:val="002B0C16"/>
    <w:rsid w:val="002B2AC5"/>
    <w:rsid w:val="002B3528"/>
    <w:rsid w:val="002B3539"/>
    <w:rsid w:val="002B4532"/>
    <w:rsid w:val="002B5042"/>
    <w:rsid w:val="002B69CC"/>
    <w:rsid w:val="002B6D71"/>
    <w:rsid w:val="002C03AE"/>
    <w:rsid w:val="002C0C1C"/>
    <w:rsid w:val="002C17CB"/>
    <w:rsid w:val="002C40E2"/>
    <w:rsid w:val="002C53AD"/>
    <w:rsid w:val="002C54C2"/>
    <w:rsid w:val="002C5D34"/>
    <w:rsid w:val="002C60BB"/>
    <w:rsid w:val="002C661A"/>
    <w:rsid w:val="002C71F0"/>
    <w:rsid w:val="002D0D6F"/>
    <w:rsid w:val="002D25FC"/>
    <w:rsid w:val="002D4AC6"/>
    <w:rsid w:val="002D5BF5"/>
    <w:rsid w:val="002D5EE8"/>
    <w:rsid w:val="002D7018"/>
    <w:rsid w:val="002D7360"/>
    <w:rsid w:val="002D7648"/>
    <w:rsid w:val="002D7C80"/>
    <w:rsid w:val="002E109C"/>
    <w:rsid w:val="002E193E"/>
    <w:rsid w:val="002E1A94"/>
    <w:rsid w:val="002E1D55"/>
    <w:rsid w:val="002E26C4"/>
    <w:rsid w:val="002E2734"/>
    <w:rsid w:val="002E30A5"/>
    <w:rsid w:val="002E4443"/>
    <w:rsid w:val="002E47E4"/>
    <w:rsid w:val="002E4BF9"/>
    <w:rsid w:val="002E4D61"/>
    <w:rsid w:val="002E68A7"/>
    <w:rsid w:val="002E6E6C"/>
    <w:rsid w:val="002F016E"/>
    <w:rsid w:val="002F0522"/>
    <w:rsid w:val="002F16DD"/>
    <w:rsid w:val="002F199D"/>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2CCB"/>
    <w:rsid w:val="00302EFC"/>
    <w:rsid w:val="00303243"/>
    <w:rsid w:val="00303BCC"/>
    <w:rsid w:val="00303F2B"/>
    <w:rsid w:val="00303F8D"/>
    <w:rsid w:val="00304840"/>
    <w:rsid w:val="0030572D"/>
    <w:rsid w:val="0030586A"/>
    <w:rsid w:val="0030622D"/>
    <w:rsid w:val="00306811"/>
    <w:rsid w:val="00306F32"/>
    <w:rsid w:val="003074C5"/>
    <w:rsid w:val="00307A3C"/>
    <w:rsid w:val="00307FA4"/>
    <w:rsid w:val="00310290"/>
    <w:rsid w:val="00310CC1"/>
    <w:rsid w:val="00312504"/>
    <w:rsid w:val="00312A51"/>
    <w:rsid w:val="00312B89"/>
    <w:rsid w:val="00313026"/>
    <w:rsid w:val="00313913"/>
    <w:rsid w:val="0031421F"/>
    <w:rsid w:val="00314B31"/>
    <w:rsid w:val="00315A65"/>
    <w:rsid w:val="003165D7"/>
    <w:rsid w:val="00317BA7"/>
    <w:rsid w:val="00320BE2"/>
    <w:rsid w:val="00321886"/>
    <w:rsid w:val="00321EDC"/>
    <w:rsid w:val="00323694"/>
    <w:rsid w:val="00323BE7"/>
    <w:rsid w:val="00324C3A"/>
    <w:rsid w:val="00324D63"/>
    <w:rsid w:val="003255AF"/>
    <w:rsid w:val="003256EB"/>
    <w:rsid w:val="003259DB"/>
    <w:rsid w:val="00327E56"/>
    <w:rsid w:val="003314D9"/>
    <w:rsid w:val="00331653"/>
    <w:rsid w:val="00331A48"/>
    <w:rsid w:val="00331BCC"/>
    <w:rsid w:val="003330C9"/>
    <w:rsid w:val="0033364C"/>
    <w:rsid w:val="00334415"/>
    <w:rsid w:val="00335EA1"/>
    <w:rsid w:val="0033691E"/>
    <w:rsid w:val="00336A6A"/>
    <w:rsid w:val="00336CCB"/>
    <w:rsid w:val="003411D1"/>
    <w:rsid w:val="003416BA"/>
    <w:rsid w:val="00342148"/>
    <w:rsid w:val="00342E38"/>
    <w:rsid w:val="00342F99"/>
    <w:rsid w:val="0034575A"/>
    <w:rsid w:val="00345F57"/>
    <w:rsid w:val="00346A51"/>
    <w:rsid w:val="0034727B"/>
    <w:rsid w:val="00350458"/>
    <w:rsid w:val="00350E6C"/>
    <w:rsid w:val="003518A6"/>
    <w:rsid w:val="00351E7F"/>
    <w:rsid w:val="00352953"/>
    <w:rsid w:val="00353A8F"/>
    <w:rsid w:val="00354062"/>
    <w:rsid w:val="0035459E"/>
    <w:rsid w:val="00355C0D"/>
    <w:rsid w:val="003566A9"/>
    <w:rsid w:val="00356988"/>
    <w:rsid w:val="003569D3"/>
    <w:rsid w:val="00356CE9"/>
    <w:rsid w:val="003570BB"/>
    <w:rsid w:val="00357128"/>
    <w:rsid w:val="0035755E"/>
    <w:rsid w:val="00357A80"/>
    <w:rsid w:val="00361441"/>
    <w:rsid w:val="00361B8B"/>
    <w:rsid w:val="00363916"/>
    <w:rsid w:val="00363F39"/>
    <w:rsid w:val="003640FC"/>
    <w:rsid w:val="0036445C"/>
    <w:rsid w:val="00364627"/>
    <w:rsid w:val="00364AB0"/>
    <w:rsid w:val="00364D71"/>
    <w:rsid w:val="003667B0"/>
    <w:rsid w:val="003667DD"/>
    <w:rsid w:val="00366B48"/>
    <w:rsid w:val="00367764"/>
    <w:rsid w:val="00370316"/>
    <w:rsid w:val="003704C8"/>
    <w:rsid w:val="00370DC7"/>
    <w:rsid w:val="00371CBD"/>
    <w:rsid w:val="00371F20"/>
    <w:rsid w:val="003721E3"/>
    <w:rsid w:val="00372B98"/>
    <w:rsid w:val="003737B7"/>
    <w:rsid w:val="003739D4"/>
    <w:rsid w:val="003740CC"/>
    <w:rsid w:val="003745F4"/>
    <w:rsid w:val="0037491A"/>
    <w:rsid w:val="00374E79"/>
    <w:rsid w:val="0037529A"/>
    <w:rsid w:val="00375388"/>
    <w:rsid w:val="00375559"/>
    <w:rsid w:val="00375FB9"/>
    <w:rsid w:val="00376170"/>
    <w:rsid w:val="00376851"/>
    <w:rsid w:val="00376FA2"/>
    <w:rsid w:val="00377133"/>
    <w:rsid w:val="00377A3B"/>
    <w:rsid w:val="00377E3C"/>
    <w:rsid w:val="00380874"/>
    <w:rsid w:val="00380BBE"/>
    <w:rsid w:val="00381D70"/>
    <w:rsid w:val="0038235E"/>
    <w:rsid w:val="003829D0"/>
    <w:rsid w:val="0038326A"/>
    <w:rsid w:val="0038444F"/>
    <w:rsid w:val="003861F0"/>
    <w:rsid w:val="00387051"/>
    <w:rsid w:val="00387ECF"/>
    <w:rsid w:val="0039021B"/>
    <w:rsid w:val="003903F7"/>
    <w:rsid w:val="00390429"/>
    <w:rsid w:val="00390666"/>
    <w:rsid w:val="003906A0"/>
    <w:rsid w:val="00391E03"/>
    <w:rsid w:val="003931AF"/>
    <w:rsid w:val="0039366C"/>
    <w:rsid w:val="00393EC8"/>
    <w:rsid w:val="00395E42"/>
    <w:rsid w:val="00396409"/>
    <w:rsid w:val="00396A2D"/>
    <w:rsid w:val="00396FC3"/>
    <w:rsid w:val="003A0DB4"/>
    <w:rsid w:val="003A1A94"/>
    <w:rsid w:val="003A204E"/>
    <w:rsid w:val="003A2D25"/>
    <w:rsid w:val="003A5728"/>
    <w:rsid w:val="003A60E7"/>
    <w:rsid w:val="003A7092"/>
    <w:rsid w:val="003A72A1"/>
    <w:rsid w:val="003A7611"/>
    <w:rsid w:val="003A7D1F"/>
    <w:rsid w:val="003B0A61"/>
    <w:rsid w:val="003B0B6A"/>
    <w:rsid w:val="003B22F7"/>
    <w:rsid w:val="003B29CF"/>
    <w:rsid w:val="003B3A90"/>
    <w:rsid w:val="003B3D01"/>
    <w:rsid w:val="003B534F"/>
    <w:rsid w:val="003B751E"/>
    <w:rsid w:val="003B7A79"/>
    <w:rsid w:val="003C0FE1"/>
    <w:rsid w:val="003C151A"/>
    <w:rsid w:val="003C350C"/>
    <w:rsid w:val="003C3903"/>
    <w:rsid w:val="003C3BA0"/>
    <w:rsid w:val="003C4580"/>
    <w:rsid w:val="003C5658"/>
    <w:rsid w:val="003C5C5E"/>
    <w:rsid w:val="003C6746"/>
    <w:rsid w:val="003C7555"/>
    <w:rsid w:val="003C7898"/>
    <w:rsid w:val="003C7B16"/>
    <w:rsid w:val="003D0FF5"/>
    <w:rsid w:val="003D104E"/>
    <w:rsid w:val="003D11A3"/>
    <w:rsid w:val="003D1537"/>
    <w:rsid w:val="003D183C"/>
    <w:rsid w:val="003D2061"/>
    <w:rsid w:val="003D2D1B"/>
    <w:rsid w:val="003D48C7"/>
    <w:rsid w:val="003D4C27"/>
    <w:rsid w:val="003D7109"/>
    <w:rsid w:val="003D7C75"/>
    <w:rsid w:val="003D7CE8"/>
    <w:rsid w:val="003E0514"/>
    <w:rsid w:val="003E1032"/>
    <w:rsid w:val="003E12C8"/>
    <w:rsid w:val="003E1904"/>
    <w:rsid w:val="003E1E29"/>
    <w:rsid w:val="003E285E"/>
    <w:rsid w:val="003E3124"/>
    <w:rsid w:val="003E3300"/>
    <w:rsid w:val="003E3BBF"/>
    <w:rsid w:val="003E43D3"/>
    <w:rsid w:val="003E458E"/>
    <w:rsid w:val="003E48E1"/>
    <w:rsid w:val="003E50F4"/>
    <w:rsid w:val="003E59BB"/>
    <w:rsid w:val="003E6225"/>
    <w:rsid w:val="003E65AC"/>
    <w:rsid w:val="003E66AE"/>
    <w:rsid w:val="003E72B9"/>
    <w:rsid w:val="003E7612"/>
    <w:rsid w:val="003E7ED4"/>
    <w:rsid w:val="003F0E52"/>
    <w:rsid w:val="003F0F6B"/>
    <w:rsid w:val="003F1FC6"/>
    <w:rsid w:val="003F1FE3"/>
    <w:rsid w:val="003F20DF"/>
    <w:rsid w:val="003F2359"/>
    <w:rsid w:val="003F3232"/>
    <w:rsid w:val="003F3865"/>
    <w:rsid w:val="003F38AC"/>
    <w:rsid w:val="003F3D55"/>
    <w:rsid w:val="003F44E2"/>
    <w:rsid w:val="003F4632"/>
    <w:rsid w:val="003F47BA"/>
    <w:rsid w:val="003F4FE6"/>
    <w:rsid w:val="003F5638"/>
    <w:rsid w:val="003F59E9"/>
    <w:rsid w:val="003F6617"/>
    <w:rsid w:val="00402332"/>
    <w:rsid w:val="004025C2"/>
    <w:rsid w:val="00403195"/>
    <w:rsid w:val="004033A9"/>
    <w:rsid w:val="00403E55"/>
    <w:rsid w:val="0040407C"/>
    <w:rsid w:val="0040416C"/>
    <w:rsid w:val="00404681"/>
    <w:rsid w:val="00405445"/>
    <w:rsid w:val="00405AC1"/>
    <w:rsid w:val="00406923"/>
    <w:rsid w:val="00407198"/>
    <w:rsid w:val="0040763D"/>
    <w:rsid w:val="00410D17"/>
    <w:rsid w:val="00410EBA"/>
    <w:rsid w:val="00412039"/>
    <w:rsid w:val="00412AA9"/>
    <w:rsid w:val="00413442"/>
    <w:rsid w:val="00413821"/>
    <w:rsid w:val="00413BA5"/>
    <w:rsid w:val="004141A3"/>
    <w:rsid w:val="0041421A"/>
    <w:rsid w:val="00414909"/>
    <w:rsid w:val="0041582F"/>
    <w:rsid w:val="00416112"/>
    <w:rsid w:val="00417AE0"/>
    <w:rsid w:val="00417BAA"/>
    <w:rsid w:val="0042042B"/>
    <w:rsid w:val="00420B45"/>
    <w:rsid w:val="00420D7A"/>
    <w:rsid w:val="00421257"/>
    <w:rsid w:val="00422193"/>
    <w:rsid w:val="004223DE"/>
    <w:rsid w:val="00422A10"/>
    <w:rsid w:val="00424D17"/>
    <w:rsid w:val="00425DFD"/>
    <w:rsid w:val="004263A3"/>
    <w:rsid w:val="00427713"/>
    <w:rsid w:val="00427CCC"/>
    <w:rsid w:val="0043013A"/>
    <w:rsid w:val="00430421"/>
    <w:rsid w:val="00430A36"/>
    <w:rsid w:val="00430B4F"/>
    <w:rsid w:val="00431084"/>
    <w:rsid w:val="004310D7"/>
    <w:rsid w:val="004322D6"/>
    <w:rsid w:val="00432589"/>
    <w:rsid w:val="00432A94"/>
    <w:rsid w:val="00432C95"/>
    <w:rsid w:val="00433827"/>
    <w:rsid w:val="00433A40"/>
    <w:rsid w:val="00434B70"/>
    <w:rsid w:val="00435779"/>
    <w:rsid w:val="004360C8"/>
    <w:rsid w:val="00436823"/>
    <w:rsid w:val="004371D5"/>
    <w:rsid w:val="00437FA3"/>
    <w:rsid w:val="0044006B"/>
    <w:rsid w:val="0044033F"/>
    <w:rsid w:val="00440630"/>
    <w:rsid w:val="00440B89"/>
    <w:rsid w:val="00441F0F"/>
    <w:rsid w:val="00442965"/>
    <w:rsid w:val="004432B6"/>
    <w:rsid w:val="00444157"/>
    <w:rsid w:val="0044417C"/>
    <w:rsid w:val="0044433F"/>
    <w:rsid w:val="00444DB3"/>
    <w:rsid w:val="00445617"/>
    <w:rsid w:val="00445A2F"/>
    <w:rsid w:val="0044684E"/>
    <w:rsid w:val="00446F22"/>
    <w:rsid w:val="0045019F"/>
    <w:rsid w:val="00450320"/>
    <w:rsid w:val="004503A4"/>
    <w:rsid w:val="0045052E"/>
    <w:rsid w:val="00450555"/>
    <w:rsid w:val="004506FA"/>
    <w:rsid w:val="00450DC6"/>
    <w:rsid w:val="004516A5"/>
    <w:rsid w:val="00451753"/>
    <w:rsid w:val="00451E9C"/>
    <w:rsid w:val="0045226B"/>
    <w:rsid w:val="0045280F"/>
    <w:rsid w:val="004535AE"/>
    <w:rsid w:val="0045444D"/>
    <w:rsid w:val="0045463A"/>
    <w:rsid w:val="00454AC9"/>
    <w:rsid w:val="00455050"/>
    <w:rsid w:val="004554A3"/>
    <w:rsid w:val="00455A6E"/>
    <w:rsid w:val="00455EAD"/>
    <w:rsid w:val="004578EB"/>
    <w:rsid w:val="004604D5"/>
    <w:rsid w:val="00460697"/>
    <w:rsid w:val="0046117B"/>
    <w:rsid w:val="00461FC2"/>
    <w:rsid w:val="004639AD"/>
    <w:rsid w:val="00464AB7"/>
    <w:rsid w:val="00465DE5"/>
    <w:rsid w:val="00467EF8"/>
    <w:rsid w:val="00472429"/>
    <w:rsid w:val="004725E5"/>
    <w:rsid w:val="00472751"/>
    <w:rsid w:val="00473128"/>
    <w:rsid w:val="00475078"/>
    <w:rsid w:val="00475767"/>
    <w:rsid w:val="004761F7"/>
    <w:rsid w:val="004779A0"/>
    <w:rsid w:val="00480659"/>
    <w:rsid w:val="004808E3"/>
    <w:rsid w:val="00481016"/>
    <w:rsid w:val="0048204C"/>
    <w:rsid w:val="004821BB"/>
    <w:rsid w:val="0048237A"/>
    <w:rsid w:val="00482698"/>
    <w:rsid w:val="004826FE"/>
    <w:rsid w:val="004827D5"/>
    <w:rsid w:val="00482AF2"/>
    <w:rsid w:val="004830C9"/>
    <w:rsid w:val="00483347"/>
    <w:rsid w:val="00483E2E"/>
    <w:rsid w:val="00484B69"/>
    <w:rsid w:val="00485406"/>
    <w:rsid w:val="0048590F"/>
    <w:rsid w:val="00486D60"/>
    <w:rsid w:val="00491049"/>
    <w:rsid w:val="00491FA1"/>
    <w:rsid w:val="00492A25"/>
    <w:rsid w:val="004938A3"/>
    <w:rsid w:val="0049558B"/>
    <w:rsid w:val="00496350"/>
    <w:rsid w:val="0049797C"/>
    <w:rsid w:val="004A0DAD"/>
    <w:rsid w:val="004A1405"/>
    <w:rsid w:val="004A1FC6"/>
    <w:rsid w:val="004A2E5F"/>
    <w:rsid w:val="004A38C2"/>
    <w:rsid w:val="004A3C03"/>
    <w:rsid w:val="004A3DB7"/>
    <w:rsid w:val="004A463B"/>
    <w:rsid w:val="004A5088"/>
    <w:rsid w:val="004A5255"/>
    <w:rsid w:val="004A6CB0"/>
    <w:rsid w:val="004A70FF"/>
    <w:rsid w:val="004A7EDE"/>
    <w:rsid w:val="004B0D93"/>
    <w:rsid w:val="004B1FA4"/>
    <w:rsid w:val="004B23EC"/>
    <w:rsid w:val="004B29AC"/>
    <w:rsid w:val="004B35DF"/>
    <w:rsid w:val="004B3627"/>
    <w:rsid w:val="004B4922"/>
    <w:rsid w:val="004B57DF"/>
    <w:rsid w:val="004B5976"/>
    <w:rsid w:val="004B60F7"/>
    <w:rsid w:val="004B6A0C"/>
    <w:rsid w:val="004B722E"/>
    <w:rsid w:val="004B72E8"/>
    <w:rsid w:val="004C01A5"/>
    <w:rsid w:val="004C0412"/>
    <w:rsid w:val="004C2138"/>
    <w:rsid w:val="004C3940"/>
    <w:rsid w:val="004C51FD"/>
    <w:rsid w:val="004C65A8"/>
    <w:rsid w:val="004C6689"/>
    <w:rsid w:val="004C691F"/>
    <w:rsid w:val="004D139A"/>
    <w:rsid w:val="004D14DC"/>
    <w:rsid w:val="004D17C6"/>
    <w:rsid w:val="004D2858"/>
    <w:rsid w:val="004D2E49"/>
    <w:rsid w:val="004D35BA"/>
    <w:rsid w:val="004D38E5"/>
    <w:rsid w:val="004D3C5A"/>
    <w:rsid w:val="004D449A"/>
    <w:rsid w:val="004D4701"/>
    <w:rsid w:val="004D47C7"/>
    <w:rsid w:val="004D4AD8"/>
    <w:rsid w:val="004D4B2B"/>
    <w:rsid w:val="004D4F35"/>
    <w:rsid w:val="004D51EE"/>
    <w:rsid w:val="004D5D45"/>
    <w:rsid w:val="004D618D"/>
    <w:rsid w:val="004D62A9"/>
    <w:rsid w:val="004D6750"/>
    <w:rsid w:val="004D6FC3"/>
    <w:rsid w:val="004D7476"/>
    <w:rsid w:val="004D7716"/>
    <w:rsid w:val="004E0306"/>
    <w:rsid w:val="004E0572"/>
    <w:rsid w:val="004E1641"/>
    <w:rsid w:val="004E1686"/>
    <w:rsid w:val="004E1818"/>
    <w:rsid w:val="004E1990"/>
    <w:rsid w:val="004E25A8"/>
    <w:rsid w:val="004E3930"/>
    <w:rsid w:val="004E3ED9"/>
    <w:rsid w:val="004E5866"/>
    <w:rsid w:val="004E6097"/>
    <w:rsid w:val="004E61EF"/>
    <w:rsid w:val="004E63C6"/>
    <w:rsid w:val="004E67AC"/>
    <w:rsid w:val="004E76A7"/>
    <w:rsid w:val="004E7B03"/>
    <w:rsid w:val="004F0064"/>
    <w:rsid w:val="004F03B6"/>
    <w:rsid w:val="004F06AC"/>
    <w:rsid w:val="004F0E50"/>
    <w:rsid w:val="004F1D2A"/>
    <w:rsid w:val="004F2074"/>
    <w:rsid w:val="004F243F"/>
    <w:rsid w:val="004F252C"/>
    <w:rsid w:val="004F36A3"/>
    <w:rsid w:val="004F3E0C"/>
    <w:rsid w:val="004F4308"/>
    <w:rsid w:val="004F7160"/>
    <w:rsid w:val="00500258"/>
    <w:rsid w:val="00500B2D"/>
    <w:rsid w:val="00501A99"/>
    <w:rsid w:val="00503180"/>
    <w:rsid w:val="005038A4"/>
    <w:rsid w:val="00505450"/>
    <w:rsid w:val="005100B7"/>
    <w:rsid w:val="005105DE"/>
    <w:rsid w:val="005113C9"/>
    <w:rsid w:val="00512050"/>
    <w:rsid w:val="00512055"/>
    <w:rsid w:val="0051280C"/>
    <w:rsid w:val="00512842"/>
    <w:rsid w:val="005128BE"/>
    <w:rsid w:val="0051356F"/>
    <w:rsid w:val="00513E7C"/>
    <w:rsid w:val="005140BB"/>
    <w:rsid w:val="005142C6"/>
    <w:rsid w:val="00514FBE"/>
    <w:rsid w:val="00514FD9"/>
    <w:rsid w:val="0051550A"/>
    <w:rsid w:val="00515810"/>
    <w:rsid w:val="0051608F"/>
    <w:rsid w:val="00516480"/>
    <w:rsid w:val="00520815"/>
    <w:rsid w:val="00520843"/>
    <w:rsid w:val="00520EF8"/>
    <w:rsid w:val="005210F7"/>
    <w:rsid w:val="00521753"/>
    <w:rsid w:val="00521F1C"/>
    <w:rsid w:val="0052239D"/>
    <w:rsid w:val="005224EE"/>
    <w:rsid w:val="00522879"/>
    <w:rsid w:val="00523BB1"/>
    <w:rsid w:val="00524B23"/>
    <w:rsid w:val="0052570E"/>
    <w:rsid w:val="005260CD"/>
    <w:rsid w:val="00526265"/>
    <w:rsid w:val="0052655D"/>
    <w:rsid w:val="005265E0"/>
    <w:rsid w:val="00526BC3"/>
    <w:rsid w:val="00531761"/>
    <w:rsid w:val="0053248F"/>
    <w:rsid w:val="00532561"/>
    <w:rsid w:val="005327AB"/>
    <w:rsid w:val="00532AB8"/>
    <w:rsid w:val="00532D98"/>
    <w:rsid w:val="0053332A"/>
    <w:rsid w:val="0053358A"/>
    <w:rsid w:val="00534668"/>
    <w:rsid w:val="00534DDD"/>
    <w:rsid w:val="00535291"/>
    <w:rsid w:val="00535A94"/>
    <w:rsid w:val="00537874"/>
    <w:rsid w:val="0053795F"/>
    <w:rsid w:val="00537D3D"/>
    <w:rsid w:val="00540511"/>
    <w:rsid w:val="00540578"/>
    <w:rsid w:val="00540808"/>
    <w:rsid w:val="0054080E"/>
    <w:rsid w:val="00540D1A"/>
    <w:rsid w:val="00540EA1"/>
    <w:rsid w:val="00541E5A"/>
    <w:rsid w:val="0054358E"/>
    <w:rsid w:val="00543AF4"/>
    <w:rsid w:val="00543F53"/>
    <w:rsid w:val="00544191"/>
    <w:rsid w:val="0054440C"/>
    <w:rsid w:val="005448EC"/>
    <w:rsid w:val="00544C0A"/>
    <w:rsid w:val="00544F39"/>
    <w:rsid w:val="005457FB"/>
    <w:rsid w:val="005458CD"/>
    <w:rsid w:val="00546F90"/>
    <w:rsid w:val="00547EFB"/>
    <w:rsid w:val="005522F2"/>
    <w:rsid w:val="005531DF"/>
    <w:rsid w:val="00553874"/>
    <w:rsid w:val="00554577"/>
    <w:rsid w:val="00554AD8"/>
    <w:rsid w:val="00554F78"/>
    <w:rsid w:val="00555DA1"/>
    <w:rsid w:val="00556366"/>
    <w:rsid w:val="005565DF"/>
    <w:rsid w:val="00556BF7"/>
    <w:rsid w:val="00556E53"/>
    <w:rsid w:val="00557F60"/>
    <w:rsid w:val="00561730"/>
    <w:rsid w:val="00561B97"/>
    <w:rsid w:val="00562149"/>
    <w:rsid w:val="005640EB"/>
    <w:rsid w:val="0056684E"/>
    <w:rsid w:val="00567B5D"/>
    <w:rsid w:val="00570757"/>
    <w:rsid w:val="00573733"/>
    <w:rsid w:val="00573F8B"/>
    <w:rsid w:val="00574528"/>
    <w:rsid w:val="00574554"/>
    <w:rsid w:val="00574737"/>
    <w:rsid w:val="00574E06"/>
    <w:rsid w:val="005751BB"/>
    <w:rsid w:val="00576089"/>
    <w:rsid w:val="00576415"/>
    <w:rsid w:val="005764B1"/>
    <w:rsid w:val="00576852"/>
    <w:rsid w:val="00576D06"/>
    <w:rsid w:val="005779E4"/>
    <w:rsid w:val="00577A03"/>
    <w:rsid w:val="00580EC7"/>
    <w:rsid w:val="0058289C"/>
    <w:rsid w:val="005835A5"/>
    <w:rsid w:val="005836C7"/>
    <w:rsid w:val="0058408E"/>
    <w:rsid w:val="00585374"/>
    <w:rsid w:val="005854CA"/>
    <w:rsid w:val="00585FAB"/>
    <w:rsid w:val="005901F7"/>
    <w:rsid w:val="00590B77"/>
    <w:rsid w:val="00590D9A"/>
    <w:rsid w:val="005913A3"/>
    <w:rsid w:val="005940D4"/>
    <w:rsid w:val="00594A7B"/>
    <w:rsid w:val="0059580E"/>
    <w:rsid w:val="00595D90"/>
    <w:rsid w:val="00596A6F"/>
    <w:rsid w:val="00596D75"/>
    <w:rsid w:val="00596FCE"/>
    <w:rsid w:val="00597551"/>
    <w:rsid w:val="005A11BC"/>
    <w:rsid w:val="005A11CC"/>
    <w:rsid w:val="005A1525"/>
    <w:rsid w:val="005A1E17"/>
    <w:rsid w:val="005A2036"/>
    <w:rsid w:val="005A24EF"/>
    <w:rsid w:val="005A252B"/>
    <w:rsid w:val="005A2A8F"/>
    <w:rsid w:val="005A2FDF"/>
    <w:rsid w:val="005A3204"/>
    <w:rsid w:val="005A3341"/>
    <w:rsid w:val="005A3C3D"/>
    <w:rsid w:val="005A46EC"/>
    <w:rsid w:val="005A5EAE"/>
    <w:rsid w:val="005A6407"/>
    <w:rsid w:val="005A726C"/>
    <w:rsid w:val="005B07EC"/>
    <w:rsid w:val="005B2B11"/>
    <w:rsid w:val="005B32A4"/>
    <w:rsid w:val="005B3371"/>
    <w:rsid w:val="005B338D"/>
    <w:rsid w:val="005B33A1"/>
    <w:rsid w:val="005B3852"/>
    <w:rsid w:val="005B3BAF"/>
    <w:rsid w:val="005B4DA3"/>
    <w:rsid w:val="005B5BEE"/>
    <w:rsid w:val="005B77D2"/>
    <w:rsid w:val="005C019B"/>
    <w:rsid w:val="005C08D0"/>
    <w:rsid w:val="005C1AED"/>
    <w:rsid w:val="005C2136"/>
    <w:rsid w:val="005C2D8A"/>
    <w:rsid w:val="005C30F5"/>
    <w:rsid w:val="005C51A5"/>
    <w:rsid w:val="005C557A"/>
    <w:rsid w:val="005C566F"/>
    <w:rsid w:val="005C5C47"/>
    <w:rsid w:val="005C5F31"/>
    <w:rsid w:val="005C61DD"/>
    <w:rsid w:val="005C6438"/>
    <w:rsid w:val="005C6B8B"/>
    <w:rsid w:val="005C727F"/>
    <w:rsid w:val="005C7A0C"/>
    <w:rsid w:val="005D02E3"/>
    <w:rsid w:val="005D1F34"/>
    <w:rsid w:val="005D2C1F"/>
    <w:rsid w:val="005D34B2"/>
    <w:rsid w:val="005D3B54"/>
    <w:rsid w:val="005D40CD"/>
    <w:rsid w:val="005D6B59"/>
    <w:rsid w:val="005D784B"/>
    <w:rsid w:val="005E03E4"/>
    <w:rsid w:val="005E0454"/>
    <w:rsid w:val="005E05F6"/>
    <w:rsid w:val="005E2442"/>
    <w:rsid w:val="005E3111"/>
    <w:rsid w:val="005E3CA0"/>
    <w:rsid w:val="005E3F85"/>
    <w:rsid w:val="005E3FFA"/>
    <w:rsid w:val="005E4A5F"/>
    <w:rsid w:val="005E57B0"/>
    <w:rsid w:val="005E5B01"/>
    <w:rsid w:val="005E6C97"/>
    <w:rsid w:val="005E6D3B"/>
    <w:rsid w:val="005F009E"/>
    <w:rsid w:val="005F0DF1"/>
    <w:rsid w:val="005F1516"/>
    <w:rsid w:val="005F229E"/>
    <w:rsid w:val="005F2564"/>
    <w:rsid w:val="005F3822"/>
    <w:rsid w:val="005F4635"/>
    <w:rsid w:val="005F46F1"/>
    <w:rsid w:val="005F4900"/>
    <w:rsid w:val="005F4E52"/>
    <w:rsid w:val="005F572D"/>
    <w:rsid w:val="005F6181"/>
    <w:rsid w:val="005F6338"/>
    <w:rsid w:val="005F6D58"/>
    <w:rsid w:val="005F7383"/>
    <w:rsid w:val="0060058E"/>
    <w:rsid w:val="00602A3C"/>
    <w:rsid w:val="00603EFD"/>
    <w:rsid w:val="0060475B"/>
    <w:rsid w:val="00604BED"/>
    <w:rsid w:val="00604FB6"/>
    <w:rsid w:val="00605387"/>
    <w:rsid w:val="00606302"/>
    <w:rsid w:val="00606D8C"/>
    <w:rsid w:val="006076FD"/>
    <w:rsid w:val="0061143F"/>
    <w:rsid w:val="006114D8"/>
    <w:rsid w:val="00613553"/>
    <w:rsid w:val="00613601"/>
    <w:rsid w:val="00613791"/>
    <w:rsid w:val="00614AF6"/>
    <w:rsid w:val="006150D6"/>
    <w:rsid w:val="00615245"/>
    <w:rsid w:val="0061590D"/>
    <w:rsid w:val="0061732A"/>
    <w:rsid w:val="00617EEE"/>
    <w:rsid w:val="00620A1F"/>
    <w:rsid w:val="0062169D"/>
    <w:rsid w:val="0062181E"/>
    <w:rsid w:val="0062211B"/>
    <w:rsid w:val="00622BB7"/>
    <w:rsid w:val="00622C1E"/>
    <w:rsid w:val="00623389"/>
    <w:rsid w:val="00623DAA"/>
    <w:rsid w:val="00623FAF"/>
    <w:rsid w:val="006265C4"/>
    <w:rsid w:val="0062670C"/>
    <w:rsid w:val="0062678A"/>
    <w:rsid w:val="006270AF"/>
    <w:rsid w:val="006311E2"/>
    <w:rsid w:val="00633C69"/>
    <w:rsid w:val="00634367"/>
    <w:rsid w:val="00640082"/>
    <w:rsid w:val="00640291"/>
    <w:rsid w:val="00640EFE"/>
    <w:rsid w:val="00641D6D"/>
    <w:rsid w:val="00641FAC"/>
    <w:rsid w:val="006424D0"/>
    <w:rsid w:val="00643664"/>
    <w:rsid w:val="00643CAA"/>
    <w:rsid w:val="00644F16"/>
    <w:rsid w:val="006453F1"/>
    <w:rsid w:val="006455EB"/>
    <w:rsid w:val="006456C2"/>
    <w:rsid w:val="00645A65"/>
    <w:rsid w:val="006477F0"/>
    <w:rsid w:val="006478E4"/>
    <w:rsid w:val="0065171A"/>
    <w:rsid w:val="00652680"/>
    <w:rsid w:val="00652E4A"/>
    <w:rsid w:val="00653CDE"/>
    <w:rsid w:val="00654585"/>
    <w:rsid w:val="0065566E"/>
    <w:rsid w:val="00655AB6"/>
    <w:rsid w:val="00656061"/>
    <w:rsid w:val="00656281"/>
    <w:rsid w:val="0065636A"/>
    <w:rsid w:val="00657003"/>
    <w:rsid w:val="00660238"/>
    <w:rsid w:val="006602EF"/>
    <w:rsid w:val="00661277"/>
    <w:rsid w:val="006619E0"/>
    <w:rsid w:val="00663AE1"/>
    <w:rsid w:val="00663FEA"/>
    <w:rsid w:val="00664803"/>
    <w:rsid w:val="006657C5"/>
    <w:rsid w:val="006661A4"/>
    <w:rsid w:val="00666AC0"/>
    <w:rsid w:val="006670E0"/>
    <w:rsid w:val="006671B8"/>
    <w:rsid w:val="00667275"/>
    <w:rsid w:val="00667532"/>
    <w:rsid w:val="0066783E"/>
    <w:rsid w:val="00667E53"/>
    <w:rsid w:val="006711C4"/>
    <w:rsid w:val="006713AB"/>
    <w:rsid w:val="00672CA5"/>
    <w:rsid w:val="00673711"/>
    <w:rsid w:val="00673F82"/>
    <w:rsid w:val="00674F74"/>
    <w:rsid w:val="0067508F"/>
    <w:rsid w:val="00677576"/>
    <w:rsid w:val="0068051E"/>
    <w:rsid w:val="00680B9D"/>
    <w:rsid w:val="00681F13"/>
    <w:rsid w:val="0068231C"/>
    <w:rsid w:val="00682344"/>
    <w:rsid w:val="00682F28"/>
    <w:rsid w:val="00683515"/>
    <w:rsid w:val="00684842"/>
    <w:rsid w:val="006859AA"/>
    <w:rsid w:val="00685BD6"/>
    <w:rsid w:val="00686ABB"/>
    <w:rsid w:val="00687116"/>
    <w:rsid w:val="006878A6"/>
    <w:rsid w:val="00687D5F"/>
    <w:rsid w:val="00690437"/>
    <w:rsid w:val="00690DC3"/>
    <w:rsid w:val="00690E65"/>
    <w:rsid w:val="00690FB5"/>
    <w:rsid w:val="006911B7"/>
    <w:rsid w:val="00691387"/>
    <w:rsid w:val="0069188E"/>
    <w:rsid w:val="00691974"/>
    <w:rsid w:val="00692BF6"/>
    <w:rsid w:val="00692CE6"/>
    <w:rsid w:val="00693186"/>
    <w:rsid w:val="00693381"/>
    <w:rsid w:val="00693B6C"/>
    <w:rsid w:val="006942AE"/>
    <w:rsid w:val="00695421"/>
    <w:rsid w:val="006956FF"/>
    <w:rsid w:val="00697BD3"/>
    <w:rsid w:val="00697DFA"/>
    <w:rsid w:val="006A16D5"/>
    <w:rsid w:val="006A1772"/>
    <w:rsid w:val="006A1780"/>
    <w:rsid w:val="006A21DD"/>
    <w:rsid w:val="006A26C6"/>
    <w:rsid w:val="006A3302"/>
    <w:rsid w:val="006A3B28"/>
    <w:rsid w:val="006A418C"/>
    <w:rsid w:val="006A4FEE"/>
    <w:rsid w:val="006A5549"/>
    <w:rsid w:val="006A703E"/>
    <w:rsid w:val="006A7BE3"/>
    <w:rsid w:val="006A7D32"/>
    <w:rsid w:val="006B01D1"/>
    <w:rsid w:val="006B0DF4"/>
    <w:rsid w:val="006B16EA"/>
    <w:rsid w:val="006B1780"/>
    <w:rsid w:val="006B224E"/>
    <w:rsid w:val="006B376E"/>
    <w:rsid w:val="006B4589"/>
    <w:rsid w:val="006B4A81"/>
    <w:rsid w:val="006B5157"/>
    <w:rsid w:val="006B610E"/>
    <w:rsid w:val="006B6805"/>
    <w:rsid w:val="006B6C07"/>
    <w:rsid w:val="006B6DE0"/>
    <w:rsid w:val="006C16C3"/>
    <w:rsid w:val="006C2187"/>
    <w:rsid w:val="006C32F4"/>
    <w:rsid w:val="006C3C54"/>
    <w:rsid w:val="006C4B6B"/>
    <w:rsid w:val="006C4CE1"/>
    <w:rsid w:val="006C4F9F"/>
    <w:rsid w:val="006C653C"/>
    <w:rsid w:val="006C71A2"/>
    <w:rsid w:val="006C73EC"/>
    <w:rsid w:val="006C7E3D"/>
    <w:rsid w:val="006D0C1D"/>
    <w:rsid w:val="006D2E9D"/>
    <w:rsid w:val="006D4A4E"/>
    <w:rsid w:val="006D4C42"/>
    <w:rsid w:val="006D5389"/>
    <w:rsid w:val="006D53A2"/>
    <w:rsid w:val="006D5809"/>
    <w:rsid w:val="006D607E"/>
    <w:rsid w:val="006D6E12"/>
    <w:rsid w:val="006D70CB"/>
    <w:rsid w:val="006D715C"/>
    <w:rsid w:val="006D7363"/>
    <w:rsid w:val="006D774E"/>
    <w:rsid w:val="006E0754"/>
    <w:rsid w:val="006E2668"/>
    <w:rsid w:val="006E2D39"/>
    <w:rsid w:val="006E2D63"/>
    <w:rsid w:val="006E32B0"/>
    <w:rsid w:val="006E348E"/>
    <w:rsid w:val="006E396A"/>
    <w:rsid w:val="006E3D63"/>
    <w:rsid w:val="006E456B"/>
    <w:rsid w:val="006E58BF"/>
    <w:rsid w:val="006E5DD8"/>
    <w:rsid w:val="006E5EA1"/>
    <w:rsid w:val="006E6DEE"/>
    <w:rsid w:val="006E7D4B"/>
    <w:rsid w:val="006F0527"/>
    <w:rsid w:val="006F0760"/>
    <w:rsid w:val="006F11E2"/>
    <w:rsid w:val="006F2574"/>
    <w:rsid w:val="006F3231"/>
    <w:rsid w:val="006F3DE3"/>
    <w:rsid w:val="006F4787"/>
    <w:rsid w:val="006F4BE6"/>
    <w:rsid w:val="006F61D8"/>
    <w:rsid w:val="006F62B7"/>
    <w:rsid w:val="006F70BC"/>
    <w:rsid w:val="006F726C"/>
    <w:rsid w:val="006F7E7C"/>
    <w:rsid w:val="0070174E"/>
    <w:rsid w:val="007018DB"/>
    <w:rsid w:val="00701DE6"/>
    <w:rsid w:val="00702740"/>
    <w:rsid w:val="0070381B"/>
    <w:rsid w:val="0070796C"/>
    <w:rsid w:val="007109BB"/>
    <w:rsid w:val="00710EBF"/>
    <w:rsid w:val="007110B8"/>
    <w:rsid w:val="0071209F"/>
    <w:rsid w:val="007121DA"/>
    <w:rsid w:val="007125A2"/>
    <w:rsid w:val="00713DD9"/>
    <w:rsid w:val="00713F79"/>
    <w:rsid w:val="007148A8"/>
    <w:rsid w:val="00716AC8"/>
    <w:rsid w:val="00716E54"/>
    <w:rsid w:val="0072033C"/>
    <w:rsid w:val="00720B1B"/>
    <w:rsid w:val="00720EDC"/>
    <w:rsid w:val="00721062"/>
    <w:rsid w:val="00721E5D"/>
    <w:rsid w:val="007229D4"/>
    <w:rsid w:val="007230F8"/>
    <w:rsid w:val="0072318A"/>
    <w:rsid w:val="007233F4"/>
    <w:rsid w:val="00724044"/>
    <w:rsid w:val="007248D3"/>
    <w:rsid w:val="00724DF8"/>
    <w:rsid w:val="00725137"/>
    <w:rsid w:val="00725378"/>
    <w:rsid w:val="00727433"/>
    <w:rsid w:val="00727A43"/>
    <w:rsid w:val="00727FF2"/>
    <w:rsid w:val="00730550"/>
    <w:rsid w:val="00730C2A"/>
    <w:rsid w:val="00731434"/>
    <w:rsid w:val="00731E59"/>
    <w:rsid w:val="00731F63"/>
    <w:rsid w:val="007323E0"/>
    <w:rsid w:val="00732911"/>
    <w:rsid w:val="00732B4E"/>
    <w:rsid w:val="0073360F"/>
    <w:rsid w:val="00733721"/>
    <w:rsid w:val="00733DE2"/>
    <w:rsid w:val="00734142"/>
    <w:rsid w:val="007352EA"/>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386"/>
    <w:rsid w:val="00747829"/>
    <w:rsid w:val="00747DE2"/>
    <w:rsid w:val="007502D0"/>
    <w:rsid w:val="007504BF"/>
    <w:rsid w:val="007506CD"/>
    <w:rsid w:val="0075267F"/>
    <w:rsid w:val="007526EC"/>
    <w:rsid w:val="00753C48"/>
    <w:rsid w:val="00754250"/>
    <w:rsid w:val="00754FE4"/>
    <w:rsid w:val="00755216"/>
    <w:rsid w:val="00756236"/>
    <w:rsid w:val="00756271"/>
    <w:rsid w:val="00756348"/>
    <w:rsid w:val="0075641E"/>
    <w:rsid w:val="00756521"/>
    <w:rsid w:val="00756AB7"/>
    <w:rsid w:val="00757673"/>
    <w:rsid w:val="0076106D"/>
    <w:rsid w:val="007623FB"/>
    <w:rsid w:val="00762517"/>
    <w:rsid w:val="00763240"/>
    <w:rsid w:val="0076354C"/>
    <w:rsid w:val="0076376A"/>
    <w:rsid w:val="007648AD"/>
    <w:rsid w:val="0076504E"/>
    <w:rsid w:val="00767BFD"/>
    <w:rsid w:val="00767EA0"/>
    <w:rsid w:val="0077068F"/>
    <w:rsid w:val="00771EDF"/>
    <w:rsid w:val="00771FEC"/>
    <w:rsid w:val="007724B4"/>
    <w:rsid w:val="00772A90"/>
    <w:rsid w:val="00772F8D"/>
    <w:rsid w:val="0077408D"/>
    <w:rsid w:val="00774270"/>
    <w:rsid w:val="007743F6"/>
    <w:rsid w:val="00775679"/>
    <w:rsid w:val="0077574F"/>
    <w:rsid w:val="00775823"/>
    <w:rsid w:val="00777153"/>
    <w:rsid w:val="007774D0"/>
    <w:rsid w:val="007775E9"/>
    <w:rsid w:val="007777CC"/>
    <w:rsid w:val="00777B32"/>
    <w:rsid w:val="0078051E"/>
    <w:rsid w:val="00781089"/>
    <w:rsid w:val="00782B6A"/>
    <w:rsid w:val="007834AD"/>
    <w:rsid w:val="007838F3"/>
    <w:rsid w:val="00785184"/>
    <w:rsid w:val="007856FE"/>
    <w:rsid w:val="00785F46"/>
    <w:rsid w:val="007865F4"/>
    <w:rsid w:val="00786D5C"/>
    <w:rsid w:val="00786E96"/>
    <w:rsid w:val="00787BB6"/>
    <w:rsid w:val="00787DFF"/>
    <w:rsid w:val="00787F93"/>
    <w:rsid w:val="00791E6D"/>
    <w:rsid w:val="00791EB5"/>
    <w:rsid w:val="00793279"/>
    <w:rsid w:val="00793307"/>
    <w:rsid w:val="0079343F"/>
    <w:rsid w:val="00793696"/>
    <w:rsid w:val="007955DA"/>
    <w:rsid w:val="00796F65"/>
    <w:rsid w:val="007A11C2"/>
    <w:rsid w:val="007A18BB"/>
    <w:rsid w:val="007A27DD"/>
    <w:rsid w:val="007A41BF"/>
    <w:rsid w:val="007A490A"/>
    <w:rsid w:val="007A6268"/>
    <w:rsid w:val="007A7B95"/>
    <w:rsid w:val="007B0297"/>
    <w:rsid w:val="007B02FA"/>
    <w:rsid w:val="007B08C7"/>
    <w:rsid w:val="007B0F53"/>
    <w:rsid w:val="007B21AE"/>
    <w:rsid w:val="007B2570"/>
    <w:rsid w:val="007B3113"/>
    <w:rsid w:val="007B3304"/>
    <w:rsid w:val="007B3BF0"/>
    <w:rsid w:val="007B55FE"/>
    <w:rsid w:val="007B7490"/>
    <w:rsid w:val="007C0525"/>
    <w:rsid w:val="007C13F7"/>
    <w:rsid w:val="007C152F"/>
    <w:rsid w:val="007C218D"/>
    <w:rsid w:val="007C2D28"/>
    <w:rsid w:val="007C3E22"/>
    <w:rsid w:val="007C4E19"/>
    <w:rsid w:val="007C58C1"/>
    <w:rsid w:val="007C6218"/>
    <w:rsid w:val="007C6484"/>
    <w:rsid w:val="007C67C6"/>
    <w:rsid w:val="007C78BE"/>
    <w:rsid w:val="007C7A5D"/>
    <w:rsid w:val="007C7E59"/>
    <w:rsid w:val="007D0476"/>
    <w:rsid w:val="007D0B91"/>
    <w:rsid w:val="007D1452"/>
    <w:rsid w:val="007D1563"/>
    <w:rsid w:val="007D3DCB"/>
    <w:rsid w:val="007D460C"/>
    <w:rsid w:val="007D4996"/>
    <w:rsid w:val="007D4AD3"/>
    <w:rsid w:val="007D4B4D"/>
    <w:rsid w:val="007D5D19"/>
    <w:rsid w:val="007D5FDC"/>
    <w:rsid w:val="007D6176"/>
    <w:rsid w:val="007D69CD"/>
    <w:rsid w:val="007D6D68"/>
    <w:rsid w:val="007E06B1"/>
    <w:rsid w:val="007E1D01"/>
    <w:rsid w:val="007E32DA"/>
    <w:rsid w:val="007E4998"/>
    <w:rsid w:val="007E4A9C"/>
    <w:rsid w:val="007E6914"/>
    <w:rsid w:val="007E7F78"/>
    <w:rsid w:val="007F0179"/>
    <w:rsid w:val="007F2C13"/>
    <w:rsid w:val="007F2CEC"/>
    <w:rsid w:val="007F3435"/>
    <w:rsid w:val="007F531B"/>
    <w:rsid w:val="007F55DE"/>
    <w:rsid w:val="007F6C7C"/>
    <w:rsid w:val="007F762D"/>
    <w:rsid w:val="007F78F0"/>
    <w:rsid w:val="007F78FF"/>
    <w:rsid w:val="008001C5"/>
    <w:rsid w:val="0080058F"/>
    <w:rsid w:val="00800F6C"/>
    <w:rsid w:val="00801065"/>
    <w:rsid w:val="00802C0B"/>
    <w:rsid w:val="0080313A"/>
    <w:rsid w:val="00805040"/>
    <w:rsid w:val="008051FC"/>
    <w:rsid w:val="008055A9"/>
    <w:rsid w:val="008056C4"/>
    <w:rsid w:val="008057FD"/>
    <w:rsid w:val="00805D8B"/>
    <w:rsid w:val="0081010F"/>
    <w:rsid w:val="00810A0B"/>
    <w:rsid w:val="00810BB6"/>
    <w:rsid w:val="00810E1F"/>
    <w:rsid w:val="00810E8E"/>
    <w:rsid w:val="00812C44"/>
    <w:rsid w:val="008135E1"/>
    <w:rsid w:val="00813779"/>
    <w:rsid w:val="00813E26"/>
    <w:rsid w:val="0081481D"/>
    <w:rsid w:val="00814BE8"/>
    <w:rsid w:val="00814F6E"/>
    <w:rsid w:val="00815022"/>
    <w:rsid w:val="00815B84"/>
    <w:rsid w:val="008166F6"/>
    <w:rsid w:val="00816BE9"/>
    <w:rsid w:val="00817D10"/>
    <w:rsid w:val="0082194C"/>
    <w:rsid w:val="0082224E"/>
    <w:rsid w:val="00822518"/>
    <w:rsid w:val="008226F5"/>
    <w:rsid w:val="00823FC6"/>
    <w:rsid w:val="00824306"/>
    <w:rsid w:val="00825C74"/>
    <w:rsid w:val="00825CFA"/>
    <w:rsid w:val="00826AB9"/>
    <w:rsid w:val="00826E0E"/>
    <w:rsid w:val="00827D11"/>
    <w:rsid w:val="00827E0F"/>
    <w:rsid w:val="00827F6E"/>
    <w:rsid w:val="00831758"/>
    <w:rsid w:val="008317D9"/>
    <w:rsid w:val="0083279F"/>
    <w:rsid w:val="00833250"/>
    <w:rsid w:val="008334DB"/>
    <w:rsid w:val="00833B7F"/>
    <w:rsid w:val="00833E8E"/>
    <w:rsid w:val="00834906"/>
    <w:rsid w:val="00836075"/>
    <w:rsid w:val="00836417"/>
    <w:rsid w:val="00837526"/>
    <w:rsid w:val="00837B5A"/>
    <w:rsid w:val="008407A7"/>
    <w:rsid w:val="0084322B"/>
    <w:rsid w:val="0084341D"/>
    <w:rsid w:val="00843711"/>
    <w:rsid w:val="00843F81"/>
    <w:rsid w:val="00844087"/>
    <w:rsid w:val="008448F1"/>
    <w:rsid w:val="0084519E"/>
    <w:rsid w:val="00845CAE"/>
    <w:rsid w:val="008462C5"/>
    <w:rsid w:val="00846370"/>
    <w:rsid w:val="00846873"/>
    <w:rsid w:val="00847015"/>
    <w:rsid w:val="008477E7"/>
    <w:rsid w:val="00847C2B"/>
    <w:rsid w:val="00850272"/>
    <w:rsid w:val="008506B9"/>
    <w:rsid w:val="0085086F"/>
    <w:rsid w:val="00851822"/>
    <w:rsid w:val="00851C16"/>
    <w:rsid w:val="00852C4A"/>
    <w:rsid w:val="008532BF"/>
    <w:rsid w:val="008539B2"/>
    <w:rsid w:val="00853BF4"/>
    <w:rsid w:val="00854294"/>
    <w:rsid w:val="00854295"/>
    <w:rsid w:val="0085572E"/>
    <w:rsid w:val="00857374"/>
    <w:rsid w:val="0085788B"/>
    <w:rsid w:val="00857A9E"/>
    <w:rsid w:val="00857DE2"/>
    <w:rsid w:val="0086003D"/>
    <w:rsid w:val="008607CC"/>
    <w:rsid w:val="00863A8E"/>
    <w:rsid w:val="00863B59"/>
    <w:rsid w:val="00864025"/>
    <w:rsid w:val="0086407F"/>
    <w:rsid w:val="008645E3"/>
    <w:rsid w:val="00864E79"/>
    <w:rsid w:val="0086661F"/>
    <w:rsid w:val="00866A0D"/>
    <w:rsid w:val="00866DB5"/>
    <w:rsid w:val="0086701D"/>
    <w:rsid w:val="0086702B"/>
    <w:rsid w:val="008672E2"/>
    <w:rsid w:val="0086784E"/>
    <w:rsid w:val="0087121C"/>
    <w:rsid w:val="008719D4"/>
    <w:rsid w:val="00871FD2"/>
    <w:rsid w:val="00872084"/>
    <w:rsid w:val="00872827"/>
    <w:rsid w:val="00872A32"/>
    <w:rsid w:val="00874911"/>
    <w:rsid w:val="008754E4"/>
    <w:rsid w:val="00876EAE"/>
    <w:rsid w:val="00880106"/>
    <w:rsid w:val="00880F95"/>
    <w:rsid w:val="00882B44"/>
    <w:rsid w:val="008838AD"/>
    <w:rsid w:val="00883DA1"/>
    <w:rsid w:val="00885BC9"/>
    <w:rsid w:val="008864B3"/>
    <w:rsid w:val="008865E5"/>
    <w:rsid w:val="008871B0"/>
    <w:rsid w:val="00890B57"/>
    <w:rsid w:val="008916BA"/>
    <w:rsid w:val="00891DEB"/>
    <w:rsid w:val="0089217C"/>
    <w:rsid w:val="00892790"/>
    <w:rsid w:val="00893671"/>
    <w:rsid w:val="00894D50"/>
    <w:rsid w:val="00895838"/>
    <w:rsid w:val="00895A1E"/>
    <w:rsid w:val="00895A72"/>
    <w:rsid w:val="00895CDF"/>
    <w:rsid w:val="00896679"/>
    <w:rsid w:val="00896D8C"/>
    <w:rsid w:val="008A0FC9"/>
    <w:rsid w:val="008A1956"/>
    <w:rsid w:val="008A1A7C"/>
    <w:rsid w:val="008A2CE2"/>
    <w:rsid w:val="008A30EB"/>
    <w:rsid w:val="008A40D3"/>
    <w:rsid w:val="008A469C"/>
    <w:rsid w:val="008A5124"/>
    <w:rsid w:val="008A51D1"/>
    <w:rsid w:val="008A5DCE"/>
    <w:rsid w:val="008A75D3"/>
    <w:rsid w:val="008B04AE"/>
    <w:rsid w:val="008B05DD"/>
    <w:rsid w:val="008B07B8"/>
    <w:rsid w:val="008B17E8"/>
    <w:rsid w:val="008B2E7C"/>
    <w:rsid w:val="008B368E"/>
    <w:rsid w:val="008B399A"/>
    <w:rsid w:val="008B45F0"/>
    <w:rsid w:val="008B4A70"/>
    <w:rsid w:val="008B502F"/>
    <w:rsid w:val="008B6DFC"/>
    <w:rsid w:val="008B7227"/>
    <w:rsid w:val="008B7B00"/>
    <w:rsid w:val="008C02FB"/>
    <w:rsid w:val="008C04E0"/>
    <w:rsid w:val="008C191C"/>
    <w:rsid w:val="008C1DA4"/>
    <w:rsid w:val="008C2138"/>
    <w:rsid w:val="008C29B0"/>
    <w:rsid w:val="008C2CD5"/>
    <w:rsid w:val="008C3618"/>
    <w:rsid w:val="008C39E7"/>
    <w:rsid w:val="008C43AD"/>
    <w:rsid w:val="008C6118"/>
    <w:rsid w:val="008C6341"/>
    <w:rsid w:val="008C653D"/>
    <w:rsid w:val="008C731F"/>
    <w:rsid w:val="008C74D9"/>
    <w:rsid w:val="008C7B1D"/>
    <w:rsid w:val="008D1804"/>
    <w:rsid w:val="008D2050"/>
    <w:rsid w:val="008D317D"/>
    <w:rsid w:val="008D337B"/>
    <w:rsid w:val="008D3B2D"/>
    <w:rsid w:val="008D58D9"/>
    <w:rsid w:val="008D5AD4"/>
    <w:rsid w:val="008D695E"/>
    <w:rsid w:val="008D6DD5"/>
    <w:rsid w:val="008D6E59"/>
    <w:rsid w:val="008D7155"/>
    <w:rsid w:val="008D76E0"/>
    <w:rsid w:val="008E0B29"/>
    <w:rsid w:val="008E141A"/>
    <w:rsid w:val="008E1A44"/>
    <w:rsid w:val="008E211F"/>
    <w:rsid w:val="008E28E6"/>
    <w:rsid w:val="008E3232"/>
    <w:rsid w:val="008E3674"/>
    <w:rsid w:val="008E3B6C"/>
    <w:rsid w:val="008E3DE7"/>
    <w:rsid w:val="008E5227"/>
    <w:rsid w:val="008E562C"/>
    <w:rsid w:val="008E6540"/>
    <w:rsid w:val="008E77D4"/>
    <w:rsid w:val="008E7ADD"/>
    <w:rsid w:val="008F0869"/>
    <w:rsid w:val="008F091F"/>
    <w:rsid w:val="008F17B2"/>
    <w:rsid w:val="008F22B3"/>
    <w:rsid w:val="008F357B"/>
    <w:rsid w:val="008F44CA"/>
    <w:rsid w:val="008F49D3"/>
    <w:rsid w:val="008F52C0"/>
    <w:rsid w:val="008F6519"/>
    <w:rsid w:val="008F6BF2"/>
    <w:rsid w:val="008F7012"/>
    <w:rsid w:val="008F7ADA"/>
    <w:rsid w:val="008F7B17"/>
    <w:rsid w:val="00900042"/>
    <w:rsid w:val="0090008E"/>
    <w:rsid w:val="0090034B"/>
    <w:rsid w:val="0090087C"/>
    <w:rsid w:val="00901025"/>
    <w:rsid w:val="00901121"/>
    <w:rsid w:val="00901B35"/>
    <w:rsid w:val="00902623"/>
    <w:rsid w:val="00902A67"/>
    <w:rsid w:val="00902C5E"/>
    <w:rsid w:val="00902F6B"/>
    <w:rsid w:val="00903CF9"/>
    <w:rsid w:val="00904BE4"/>
    <w:rsid w:val="0090504A"/>
    <w:rsid w:val="009051F5"/>
    <w:rsid w:val="00905221"/>
    <w:rsid w:val="00905A7C"/>
    <w:rsid w:val="00905D7E"/>
    <w:rsid w:val="00907037"/>
    <w:rsid w:val="0091112C"/>
    <w:rsid w:val="0091160A"/>
    <w:rsid w:val="0091199D"/>
    <w:rsid w:val="00911B4E"/>
    <w:rsid w:val="00912E04"/>
    <w:rsid w:val="00913258"/>
    <w:rsid w:val="00913851"/>
    <w:rsid w:val="0091389B"/>
    <w:rsid w:val="00913BB0"/>
    <w:rsid w:val="0091456C"/>
    <w:rsid w:val="0091467B"/>
    <w:rsid w:val="00914C58"/>
    <w:rsid w:val="00914D7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50FA"/>
    <w:rsid w:val="00926112"/>
    <w:rsid w:val="0092625F"/>
    <w:rsid w:val="00926B28"/>
    <w:rsid w:val="00926D9C"/>
    <w:rsid w:val="00927028"/>
    <w:rsid w:val="00927763"/>
    <w:rsid w:val="00927A2D"/>
    <w:rsid w:val="00927B37"/>
    <w:rsid w:val="0093183B"/>
    <w:rsid w:val="009321B1"/>
    <w:rsid w:val="00932ED7"/>
    <w:rsid w:val="0093422D"/>
    <w:rsid w:val="0093483B"/>
    <w:rsid w:val="00934CF9"/>
    <w:rsid w:val="00934DD7"/>
    <w:rsid w:val="00935CB2"/>
    <w:rsid w:val="00936072"/>
    <w:rsid w:val="009369A9"/>
    <w:rsid w:val="00936CF7"/>
    <w:rsid w:val="00937783"/>
    <w:rsid w:val="00937EAD"/>
    <w:rsid w:val="00937F28"/>
    <w:rsid w:val="00940FE1"/>
    <w:rsid w:val="00942306"/>
    <w:rsid w:val="009424B8"/>
    <w:rsid w:val="009432E2"/>
    <w:rsid w:val="00944668"/>
    <w:rsid w:val="00944DC6"/>
    <w:rsid w:val="00944F3C"/>
    <w:rsid w:val="009458B0"/>
    <w:rsid w:val="00945B52"/>
    <w:rsid w:val="00945B7A"/>
    <w:rsid w:val="00945F05"/>
    <w:rsid w:val="00946348"/>
    <w:rsid w:val="009463FF"/>
    <w:rsid w:val="00947224"/>
    <w:rsid w:val="00947797"/>
    <w:rsid w:val="009478A2"/>
    <w:rsid w:val="009514F1"/>
    <w:rsid w:val="009533BD"/>
    <w:rsid w:val="00953808"/>
    <w:rsid w:val="009539A6"/>
    <w:rsid w:val="00953CC3"/>
    <w:rsid w:val="00954032"/>
    <w:rsid w:val="00954537"/>
    <w:rsid w:val="0095472D"/>
    <w:rsid w:val="00955342"/>
    <w:rsid w:val="00955B67"/>
    <w:rsid w:val="00955FBB"/>
    <w:rsid w:val="0095694B"/>
    <w:rsid w:val="00956BD5"/>
    <w:rsid w:val="00956D84"/>
    <w:rsid w:val="009577B5"/>
    <w:rsid w:val="00957B44"/>
    <w:rsid w:val="009608E6"/>
    <w:rsid w:val="00960F57"/>
    <w:rsid w:val="00961C90"/>
    <w:rsid w:val="009629BB"/>
    <w:rsid w:val="00962FC1"/>
    <w:rsid w:val="00963A82"/>
    <w:rsid w:val="00965443"/>
    <w:rsid w:val="00965954"/>
    <w:rsid w:val="00965A21"/>
    <w:rsid w:val="00965E55"/>
    <w:rsid w:val="0096608E"/>
    <w:rsid w:val="00966522"/>
    <w:rsid w:val="00966C33"/>
    <w:rsid w:val="00970F18"/>
    <w:rsid w:val="00971CF1"/>
    <w:rsid w:val="00971F5D"/>
    <w:rsid w:val="009721E9"/>
    <w:rsid w:val="00973772"/>
    <w:rsid w:val="0097560A"/>
    <w:rsid w:val="00975E1E"/>
    <w:rsid w:val="00975E70"/>
    <w:rsid w:val="009761DE"/>
    <w:rsid w:val="009766FA"/>
    <w:rsid w:val="00977A95"/>
    <w:rsid w:val="00977CD6"/>
    <w:rsid w:val="0098048B"/>
    <w:rsid w:val="00980908"/>
    <w:rsid w:val="00980DF9"/>
    <w:rsid w:val="00981CD8"/>
    <w:rsid w:val="0098243D"/>
    <w:rsid w:val="00982D26"/>
    <w:rsid w:val="00983B6E"/>
    <w:rsid w:val="00983FE5"/>
    <w:rsid w:val="009849E9"/>
    <w:rsid w:val="00984AFF"/>
    <w:rsid w:val="00984E4B"/>
    <w:rsid w:val="009859E4"/>
    <w:rsid w:val="00987812"/>
    <w:rsid w:val="00990225"/>
    <w:rsid w:val="00991307"/>
    <w:rsid w:val="00992A13"/>
    <w:rsid w:val="00994AAD"/>
    <w:rsid w:val="00995150"/>
    <w:rsid w:val="00995475"/>
    <w:rsid w:val="00995D67"/>
    <w:rsid w:val="00997613"/>
    <w:rsid w:val="009A013B"/>
    <w:rsid w:val="009A02F4"/>
    <w:rsid w:val="009A06BF"/>
    <w:rsid w:val="009A0D17"/>
    <w:rsid w:val="009A2494"/>
    <w:rsid w:val="009A32B1"/>
    <w:rsid w:val="009A33A3"/>
    <w:rsid w:val="009A36F2"/>
    <w:rsid w:val="009A40C3"/>
    <w:rsid w:val="009A40D5"/>
    <w:rsid w:val="009A5268"/>
    <w:rsid w:val="009A57D0"/>
    <w:rsid w:val="009A6559"/>
    <w:rsid w:val="009A68FC"/>
    <w:rsid w:val="009A6CE4"/>
    <w:rsid w:val="009A7514"/>
    <w:rsid w:val="009A7E7A"/>
    <w:rsid w:val="009B0925"/>
    <w:rsid w:val="009B1584"/>
    <w:rsid w:val="009B18F0"/>
    <w:rsid w:val="009B1F4C"/>
    <w:rsid w:val="009B2471"/>
    <w:rsid w:val="009B314F"/>
    <w:rsid w:val="009B439C"/>
    <w:rsid w:val="009B49A1"/>
    <w:rsid w:val="009B4A6C"/>
    <w:rsid w:val="009B4DA8"/>
    <w:rsid w:val="009B519A"/>
    <w:rsid w:val="009B620C"/>
    <w:rsid w:val="009B6753"/>
    <w:rsid w:val="009B676C"/>
    <w:rsid w:val="009B6A26"/>
    <w:rsid w:val="009B743A"/>
    <w:rsid w:val="009C079D"/>
    <w:rsid w:val="009C0D70"/>
    <w:rsid w:val="009C13D1"/>
    <w:rsid w:val="009C2913"/>
    <w:rsid w:val="009C2BD4"/>
    <w:rsid w:val="009C3E72"/>
    <w:rsid w:val="009C490B"/>
    <w:rsid w:val="009C4AE8"/>
    <w:rsid w:val="009C5AFE"/>
    <w:rsid w:val="009C6606"/>
    <w:rsid w:val="009C690F"/>
    <w:rsid w:val="009C6CE5"/>
    <w:rsid w:val="009C6D50"/>
    <w:rsid w:val="009C7547"/>
    <w:rsid w:val="009D05EC"/>
    <w:rsid w:val="009D18D4"/>
    <w:rsid w:val="009D1A1F"/>
    <w:rsid w:val="009D2F60"/>
    <w:rsid w:val="009D3A2E"/>
    <w:rsid w:val="009D5ADE"/>
    <w:rsid w:val="009D5BAC"/>
    <w:rsid w:val="009D5C56"/>
    <w:rsid w:val="009D6265"/>
    <w:rsid w:val="009D64BD"/>
    <w:rsid w:val="009D6CB1"/>
    <w:rsid w:val="009D7F34"/>
    <w:rsid w:val="009E0286"/>
    <w:rsid w:val="009E153F"/>
    <w:rsid w:val="009E18C5"/>
    <w:rsid w:val="009E322A"/>
    <w:rsid w:val="009E393E"/>
    <w:rsid w:val="009E444E"/>
    <w:rsid w:val="009E4968"/>
    <w:rsid w:val="009E663C"/>
    <w:rsid w:val="009E684A"/>
    <w:rsid w:val="009E6BB1"/>
    <w:rsid w:val="009E6E14"/>
    <w:rsid w:val="009E794A"/>
    <w:rsid w:val="009E7C14"/>
    <w:rsid w:val="009F0494"/>
    <w:rsid w:val="009F0CD9"/>
    <w:rsid w:val="009F1A79"/>
    <w:rsid w:val="009F1F57"/>
    <w:rsid w:val="009F2DDD"/>
    <w:rsid w:val="009F31DE"/>
    <w:rsid w:val="009F3447"/>
    <w:rsid w:val="009F65F4"/>
    <w:rsid w:val="009F676B"/>
    <w:rsid w:val="009F6D2D"/>
    <w:rsid w:val="009F6D54"/>
    <w:rsid w:val="00A004DF"/>
    <w:rsid w:val="00A00FD5"/>
    <w:rsid w:val="00A012C0"/>
    <w:rsid w:val="00A019A8"/>
    <w:rsid w:val="00A01B03"/>
    <w:rsid w:val="00A01B89"/>
    <w:rsid w:val="00A0203F"/>
    <w:rsid w:val="00A02C66"/>
    <w:rsid w:val="00A02C84"/>
    <w:rsid w:val="00A0464C"/>
    <w:rsid w:val="00A050BB"/>
    <w:rsid w:val="00A0521B"/>
    <w:rsid w:val="00A054E0"/>
    <w:rsid w:val="00A05D91"/>
    <w:rsid w:val="00A0621A"/>
    <w:rsid w:val="00A0740B"/>
    <w:rsid w:val="00A07ED3"/>
    <w:rsid w:val="00A10CA8"/>
    <w:rsid w:val="00A10F9B"/>
    <w:rsid w:val="00A10FA1"/>
    <w:rsid w:val="00A11042"/>
    <w:rsid w:val="00A12579"/>
    <w:rsid w:val="00A12CDC"/>
    <w:rsid w:val="00A133D8"/>
    <w:rsid w:val="00A15655"/>
    <w:rsid w:val="00A160B0"/>
    <w:rsid w:val="00A1740C"/>
    <w:rsid w:val="00A17904"/>
    <w:rsid w:val="00A20069"/>
    <w:rsid w:val="00A2244D"/>
    <w:rsid w:val="00A2253D"/>
    <w:rsid w:val="00A2267F"/>
    <w:rsid w:val="00A22CDB"/>
    <w:rsid w:val="00A23C18"/>
    <w:rsid w:val="00A247B8"/>
    <w:rsid w:val="00A2495A"/>
    <w:rsid w:val="00A24C7A"/>
    <w:rsid w:val="00A24D8F"/>
    <w:rsid w:val="00A25B8B"/>
    <w:rsid w:val="00A266D3"/>
    <w:rsid w:val="00A2689F"/>
    <w:rsid w:val="00A26ECA"/>
    <w:rsid w:val="00A27461"/>
    <w:rsid w:val="00A27B41"/>
    <w:rsid w:val="00A27D67"/>
    <w:rsid w:val="00A30ABC"/>
    <w:rsid w:val="00A33B74"/>
    <w:rsid w:val="00A3467F"/>
    <w:rsid w:val="00A34B4C"/>
    <w:rsid w:val="00A35030"/>
    <w:rsid w:val="00A3551A"/>
    <w:rsid w:val="00A366A0"/>
    <w:rsid w:val="00A37209"/>
    <w:rsid w:val="00A37584"/>
    <w:rsid w:val="00A376E8"/>
    <w:rsid w:val="00A37F8E"/>
    <w:rsid w:val="00A41537"/>
    <w:rsid w:val="00A41737"/>
    <w:rsid w:val="00A41AD8"/>
    <w:rsid w:val="00A42B8F"/>
    <w:rsid w:val="00A42D8E"/>
    <w:rsid w:val="00A43254"/>
    <w:rsid w:val="00A43896"/>
    <w:rsid w:val="00A43A26"/>
    <w:rsid w:val="00A447A0"/>
    <w:rsid w:val="00A459F5"/>
    <w:rsid w:val="00A45FC0"/>
    <w:rsid w:val="00A46B74"/>
    <w:rsid w:val="00A47BF7"/>
    <w:rsid w:val="00A47ECC"/>
    <w:rsid w:val="00A50171"/>
    <w:rsid w:val="00A504FA"/>
    <w:rsid w:val="00A5102E"/>
    <w:rsid w:val="00A5132E"/>
    <w:rsid w:val="00A51375"/>
    <w:rsid w:val="00A51533"/>
    <w:rsid w:val="00A52D36"/>
    <w:rsid w:val="00A531D4"/>
    <w:rsid w:val="00A54572"/>
    <w:rsid w:val="00A575B8"/>
    <w:rsid w:val="00A61C60"/>
    <w:rsid w:val="00A61ECB"/>
    <w:rsid w:val="00A638A0"/>
    <w:rsid w:val="00A6410C"/>
    <w:rsid w:val="00A647B1"/>
    <w:rsid w:val="00A64DEF"/>
    <w:rsid w:val="00A654D2"/>
    <w:rsid w:val="00A665DF"/>
    <w:rsid w:val="00A6699F"/>
    <w:rsid w:val="00A67FCC"/>
    <w:rsid w:val="00A70AA5"/>
    <w:rsid w:val="00A70C03"/>
    <w:rsid w:val="00A70D0D"/>
    <w:rsid w:val="00A7103D"/>
    <w:rsid w:val="00A71256"/>
    <w:rsid w:val="00A7217B"/>
    <w:rsid w:val="00A73861"/>
    <w:rsid w:val="00A739A6"/>
    <w:rsid w:val="00A740ED"/>
    <w:rsid w:val="00A74C29"/>
    <w:rsid w:val="00A74C62"/>
    <w:rsid w:val="00A75EF9"/>
    <w:rsid w:val="00A7657C"/>
    <w:rsid w:val="00A7775D"/>
    <w:rsid w:val="00A81592"/>
    <w:rsid w:val="00A82486"/>
    <w:rsid w:val="00A8311C"/>
    <w:rsid w:val="00A835D0"/>
    <w:rsid w:val="00A84C5F"/>
    <w:rsid w:val="00A85930"/>
    <w:rsid w:val="00A863F7"/>
    <w:rsid w:val="00A86604"/>
    <w:rsid w:val="00A87519"/>
    <w:rsid w:val="00A9246D"/>
    <w:rsid w:val="00A92CCA"/>
    <w:rsid w:val="00A92F9F"/>
    <w:rsid w:val="00A93BD0"/>
    <w:rsid w:val="00A93CC2"/>
    <w:rsid w:val="00A94D4B"/>
    <w:rsid w:val="00A974CC"/>
    <w:rsid w:val="00AA2001"/>
    <w:rsid w:val="00AA2B5C"/>
    <w:rsid w:val="00AA32D2"/>
    <w:rsid w:val="00AA3B8B"/>
    <w:rsid w:val="00AA4016"/>
    <w:rsid w:val="00AA4B06"/>
    <w:rsid w:val="00AA4C1F"/>
    <w:rsid w:val="00AA4E80"/>
    <w:rsid w:val="00AA5328"/>
    <w:rsid w:val="00AA5393"/>
    <w:rsid w:val="00AA5D13"/>
    <w:rsid w:val="00AA63D4"/>
    <w:rsid w:val="00AB03FD"/>
    <w:rsid w:val="00AB2000"/>
    <w:rsid w:val="00AB38CB"/>
    <w:rsid w:val="00AB3BEC"/>
    <w:rsid w:val="00AB44E4"/>
    <w:rsid w:val="00AB4AEB"/>
    <w:rsid w:val="00AB4E5F"/>
    <w:rsid w:val="00AB5352"/>
    <w:rsid w:val="00AB56AE"/>
    <w:rsid w:val="00AB62D5"/>
    <w:rsid w:val="00AB65B5"/>
    <w:rsid w:val="00AB6DCD"/>
    <w:rsid w:val="00AB6EE0"/>
    <w:rsid w:val="00AB73DC"/>
    <w:rsid w:val="00AC17A2"/>
    <w:rsid w:val="00AC40B7"/>
    <w:rsid w:val="00AC4680"/>
    <w:rsid w:val="00AC516B"/>
    <w:rsid w:val="00AC531F"/>
    <w:rsid w:val="00AC5AAA"/>
    <w:rsid w:val="00AC5B36"/>
    <w:rsid w:val="00AC6377"/>
    <w:rsid w:val="00AC66A4"/>
    <w:rsid w:val="00AC6CB1"/>
    <w:rsid w:val="00AC75E9"/>
    <w:rsid w:val="00AC7D6D"/>
    <w:rsid w:val="00AD0091"/>
    <w:rsid w:val="00AD026F"/>
    <w:rsid w:val="00AD23EF"/>
    <w:rsid w:val="00AD2662"/>
    <w:rsid w:val="00AD307B"/>
    <w:rsid w:val="00AD4014"/>
    <w:rsid w:val="00AD41B3"/>
    <w:rsid w:val="00AD5721"/>
    <w:rsid w:val="00AD69F0"/>
    <w:rsid w:val="00AD7127"/>
    <w:rsid w:val="00AD730C"/>
    <w:rsid w:val="00AE123A"/>
    <w:rsid w:val="00AE1539"/>
    <w:rsid w:val="00AE28A7"/>
    <w:rsid w:val="00AE2A98"/>
    <w:rsid w:val="00AE2CF2"/>
    <w:rsid w:val="00AE3012"/>
    <w:rsid w:val="00AE310D"/>
    <w:rsid w:val="00AE3297"/>
    <w:rsid w:val="00AE33A6"/>
    <w:rsid w:val="00AE3729"/>
    <w:rsid w:val="00AE4CCE"/>
    <w:rsid w:val="00AE5C6A"/>
    <w:rsid w:val="00AE7280"/>
    <w:rsid w:val="00AF01FA"/>
    <w:rsid w:val="00AF033A"/>
    <w:rsid w:val="00AF1699"/>
    <w:rsid w:val="00AF1FD3"/>
    <w:rsid w:val="00AF272D"/>
    <w:rsid w:val="00AF2910"/>
    <w:rsid w:val="00AF34B8"/>
    <w:rsid w:val="00AF3896"/>
    <w:rsid w:val="00AF3FC2"/>
    <w:rsid w:val="00AF4D55"/>
    <w:rsid w:val="00AF4DEC"/>
    <w:rsid w:val="00B0098A"/>
    <w:rsid w:val="00B00A5F"/>
    <w:rsid w:val="00B029B8"/>
    <w:rsid w:val="00B02F60"/>
    <w:rsid w:val="00B02F94"/>
    <w:rsid w:val="00B032B8"/>
    <w:rsid w:val="00B04721"/>
    <w:rsid w:val="00B04B15"/>
    <w:rsid w:val="00B04B46"/>
    <w:rsid w:val="00B0534D"/>
    <w:rsid w:val="00B05685"/>
    <w:rsid w:val="00B05F9F"/>
    <w:rsid w:val="00B06368"/>
    <w:rsid w:val="00B068DA"/>
    <w:rsid w:val="00B06A00"/>
    <w:rsid w:val="00B06FC6"/>
    <w:rsid w:val="00B074C9"/>
    <w:rsid w:val="00B07D9D"/>
    <w:rsid w:val="00B11AE5"/>
    <w:rsid w:val="00B12F43"/>
    <w:rsid w:val="00B12FE6"/>
    <w:rsid w:val="00B1303F"/>
    <w:rsid w:val="00B1364A"/>
    <w:rsid w:val="00B13859"/>
    <w:rsid w:val="00B13EC9"/>
    <w:rsid w:val="00B14319"/>
    <w:rsid w:val="00B14A06"/>
    <w:rsid w:val="00B155A0"/>
    <w:rsid w:val="00B158E1"/>
    <w:rsid w:val="00B15AEE"/>
    <w:rsid w:val="00B16715"/>
    <w:rsid w:val="00B1768E"/>
    <w:rsid w:val="00B17910"/>
    <w:rsid w:val="00B20F18"/>
    <w:rsid w:val="00B21516"/>
    <w:rsid w:val="00B21A37"/>
    <w:rsid w:val="00B21D23"/>
    <w:rsid w:val="00B21F62"/>
    <w:rsid w:val="00B22CE0"/>
    <w:rsid w:val="00B23738"/>
    <w:rsid w:val="00B23BEF"/>
    <w:rsid w:val="00B247BB"/>
    <w:rsid w:val="00B2504A"/>
    <w:rsid w:val="00B25EE6"/>
    <w:rsid w:val="00B2685C"/>
    <w:rsid w:val="00B30CD6"/>
    <w:rsid w:val="00B3115A"/>
    <w:rsid w:val="00B31825"/>
    <w:rsid w:val="00B31A5C"/>
    <w:rsid w:val="00B31F49"/>
    <w:rsid w:val="00B32265"/>
    <w:rsid w:val="00B3276D"/>
    <w:rsid w:val="00B33B06"/>
    <w:rsid w:val="00B33C19"/>
    <w:rsid w:val="00B35067"/>
    <w:rsid w:val="00B35A15"/>
    <w:rsid w:val="00B35B45"/>
    <w:rsid w:val="00B36A99"/>
    <w:rsid w:val="00B40143"/>
    <w:rsid w:val="00B42264"/>
    <w:rsid w:val="00B434B2"/>
    <w:rsid w:val="00B43D45"/>
    <w:rsid w:val="00B44825"/>
    <w:rsid w:val="00B459AF"/>
    <w:rsid w:val="00B46319"/>
    <w:rsid w:val="00B468F2"/>
    <w:rsid w:val="00B469DE"/>
    <w:rsid w:val="00B47286"/>
    <w:rsid w:val="00B47EB4"/>
    <w:rsid w:val="00B50234"/>
    <w:rsid w:val="00B51BF4"/>
    <w:rsid w:val="00B52C68"/>
    <w:rsid w:val="00B5372B"/>
    <w:rsid w:val="00B542FE"/>
    <w:rsid w:val="00B54566"/>
    <w:rsid w:val="00B55A1B"/>
    <w:rsid w:val="00B561DB"/>
    <w:rsid w:val="00B5692B"/>
    <w:rsid w:val="00B56DF9"/>
    <w:rsid w:val="00B56E80"/>
    <w:rsid w:val="00B600BD"/>
    <w:rsid w:val="00B60C4A"/>
    <w:rsid w:val="00B61274"/>
    <w:rsid w:val="00B61DCE"/>
    <w:rsid w:val="00B62188"/>
    <w:rsid w:val="00B62F79"/>
    <w:rsid w:val="00B62F82"/>
    <w:rsid w:val="00B6306A"/>
    <w:rsid w:val="00B635E3"/>
    <w:rsid w:val="00B662FF"/>
    <w:rsid w:val="00B66679"/>
    <w:rsid w:val="00B70145"/>
    <w:rsid w:val="00B71A92"/>
    <w:rsid w:val="00B71B0A"/>
    <w:rsid w:val="00B721D8"/>
    <w:rsid w:val="00B730CA"/>
    <w:rsid w:val="00B732EA"/>
    <w:rsid w:val="00B7390A"/>
    <w:rsid w:val="00B747C5"/>
    <w:rsid w:val="00B74F2F"/>
    <w:rsid w:val="00B753ED"/>
    <w:rsid w:val="00B7665F"/>
    <w:rsid w:val="00B769BC"/>
    <w:rsid w:val="00B77349"/>
    <w:rsid w:val="00B7761E"/>
    <w:rsid w:val="00B80A3D"/>
    <w:rsid w:val="00B80B04"/>
    <w:rsid w:val="00B821E4"/>
    <w:rsid w:val="00B823E0"/>
    <w:rsid w:val="00B8260D"/>
    <w:rsid w:val="00B82B78"/>
    <w:rsid w:val="00B845B4"/>
    <w:rsid w:val="00B84662"/>
    <w:rsid w:val="00B84C74"/>
    <w:rsid w:val="00B85191"/>
    <w:rsid w:val="00B858A1"/>
    <w:rsid w:val="00B85FEC"/>
    <w:rsid w:val="00B864A3"/>
    <w:rsid w:val="00B86C2A"/>
    <w:rsid w:val="00B902A5"/>
    <w:rsid w:val="00B90420"/>
    <w:rsid w:val="00B90848"/>
    <w:rsid w:val="00B91146"/>
    <w:rsid w:val="00B913E4"/>
    <w:rsid w:val="00B91DB9"/>
    <w:rsid w:val="00B91FF3"/>
    <w:rsid w:val="00B925F8"/>
    <w:rsid w:val="00B9370E"/>
    <w:rsid w:val="00B93EFE"/>
    <w:rsid w:val="00B944B9"/>
    <w:rsid w:val="00B94956"/>
    <w:rsid w:val="00B94C7F"/>
    <w:rsid w:val="00B94E93"/>
    <w:rsid w:val="00B956B5"/>
    <w:rsid w:val="00B96DF2"/>
    <w:rsid w:val="00B96E18"/>
    <w:rsid w:val="00B96F5A"/>
    <w:rsid w:val="00B975DE"/>
    <w:rsid w:val="00BA0B39"/>
    <w:rsid w:val="00BA0CB2"/>
    <w:rsid w:val="00BA0E26"/>
    <w:rsid w:val="00BA138B"/>
    <w:rsid w:val="00BA305B"/>
    <w:rsid w:val="00BA31BF"/>
    <w:rsid w:val="00BA3C0F"/>
    <w:rsid w:val="00BA3FC7"/>
    <w:rsid w:val="00BA4075"/>
    <w:rsid w:val="00BA478B"/>
    <w:rsid w:val="00BA5224"/>
    <w:rsid w:val="00BA575E"/>
    <w:rsid w:val="00BA76B7"/>
    <w:rsid w:val="00BA7DDB"/>
    <w:rsid w:val="00BA7E3B"/>
    <w:rsid w:val="00BB078D"/>
    <w:rsid w:val="00BB079C"/>
    <w:rsid w:val="00BB0D7A"/>
    <w:rsid w:val="00BB10E1"/>
    <w:rsid w:val="00BB186A"/>
    <w:rsid w:val="00BB1C05"/>
    <w:rsid w:val="00BB2471"/>
    <w:rsid w:val="00BB3035"/>
    <w:rsid w:val="00BB3633"/>
    <w:rsid w:val="00BB39C1"/>
    <w:rsid w:val="00BB3DF5"/>
    <w:rsid w:val="00BB3EA7"/>
    <w:rsid w:val="00BB5D16"/>
    <w:rsid w:val="00BB6180"/>
    <w:rsid w:val="00BB69E6"/>
    <w:rsid w:val="00BB7323"/>
    <w:rsid w:val="00BB7BE5"/>
    <w:rsid w:val="00BC0139"/>
    <w:rsid w:val="00BC08BD"/>
    <w:rsid w:val="00BC11E8"/>
    <w:rsid w:val="00BC1B7A"/>
    <w:rsid w:val="00BC2C17"/>
    <w:rsid w:val="00BC3ACD"/>
    <w:rsid w:val="00BC3B20"/>
    <w:rsid w:val="00BC3EE4"/>
    <w:rsid w:val="00BC588C"/>
    <w:rsid w:val="00BC67FF"/>
    <w:rsid w:val="00BC6E73"/>
    <w:rsid w:val="00BC74D3"/>
    <w:rsid w:val="00BD0014"/>
    <w:rsid w:val="00BD01D8"/>
    <w:rsid w:val="00BD255F"/>
    <w:rsid w:val="00BD2895"/>
    <w:rsid w:val="00BD4236"/>
    <w:rsid w:val="00BD483B"/>
    <w:rsid w:val="00BD5CD4"/>
    <w:rsid w:val="00BD65D9"/>
    <w:rsid w:val="00BD6DF3"/>
    <w:rsid w:val="00BD6E09"/>
    <w:rsid w:val="00BD6EF9"/>
    <w:rsid w:val="00BE0ACB"/>
    <w:rsid w:val="00BE180B"/>
    <w:rsid w:val="00BE2260"/>
    <w:rsid w:val="00BE3917"/>
    <w:rsid w:val="00BE50FD"/>
    <w:rsid w:val="00BE51CA"/>
    <w:rsid w:val="00BE537F"/>
    <w:rsid w:val="00BE5D77"/>
    <w:rsid w:val="00BE6D47"/>
    <w:rsid w:val="00BE7032"/>
    <w:rsid w:val="00BE7330"/>
    <w:rsid w:val="00BF01C5"/>
    <w:rsid w:val="00BF061A"/>
    <w:rsid w:val="00BF066A"/>
    <w:rsid w:val="00BF14CC"/>
    <w:rsid w:val="00BF1821"/>
    <w:rsid w:val="00BF30B3"/>
    <w:rsid w:val="00BF4342"/>
    <w:rsid w:val="00BF4704"/>
    <w:rsid w:val="00BF4FFC"/>
    <w:rsid w:val="00BF5050"/>
    <w:rsid w:val="00BF50D1"/>
    <w:rsid w:val="00BF5422"/>
    <w:rsid w:val="00BF59B1"/>
    <w:rsid w:val="00BF6625"/>
    <w:rsid w:val="00BF6A78"/>
    <w:rsid w:val="00BF7695"/>
    <w:rsid w:val="00BF79B4"/>
    <w:rsid w:val="00BF7C61"/>
    <w:rsid w:val="00C01427"/>
    <w:rsid w:val="00C014C7"/>
    <w:rsid w:val="00C047AB"/>
    <w:rsid w:val="00C04E43"/>
    <w:rsid w:val="00C058AF"/>
    <w:rsid w:val="00C05D1E"/>
    <w:rsid w:val="00C075B6"/>
    <w:rsid w:val="00C110FD"/>
    <w:rsid w:val="00C124C1"/>
    <w:rsid w:val="00C128AE"/>
    <w:rsid w:val="00C12A5C"/>
    <w:rsid w:val="00C12BA8"/>
    <w:rsid w:val="00C13094"/>
    <w:rsid w:val="00C136D6"/>
    <w:rsid w:val="00C13D5B"/>
    <w:rsid w:val="00C141D7"/>
    <w:rsid w:val="00C154A3"/>
    <w:rsid w:val="00C16EB9"/>
    <w:rsid w:val="00C1711B"/>
    <w:rsid w:val="00C17AE2"/>
    <w:rsid w:val="00C20140"/>
    <w:rsid w:val="00C20F27"/>
    <w:rsid w:val="00C215CF"/>
    <w:rsid w:val="00C22250"/>
    <w:rsid w:val="00C2244B"/>
    <w:rsid w:val="00C22711"/>
    <w:rsid w:val="00C2280A"/>
    <w:rsid w:val="00C22B0D"/>
    <w:rsid w:val="00C22BFF"/>
    <w:rsid w:val="00C23522"/>
    <w:rsid w:val="00C240C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2A64"/>
    <w:rsid w:val="00C33201"/>
    <w:rsid w:val="00C33A39"/>
    <w:rsid w:val="00C34619"/>
    <w:rsid w:val="00C348D9"/>
    <w:rsid w:val="00C35D01"/>
    <w:rsid w:val="00C360B3"/>
    <w:rsid w:val="00C37027"/>
    <w:rsid w:val="00C37B19"/>
    <w:rsid w:val="00C37D56"/>
    <w:rsid w:val="00C40D4B"/>
    <w:rsid w:val="00C413CB"/>
    <w:rsid w:val="00C42752"/>
    <w:rsid w:val="00C42973"/>
    <w:rsid w:val="00C44206"/>
    <w:rsid w:val="00C46B95"/>
    <w:rsid w:val="00C4712A"/>
    <w:rsid w:val="00C47F88"/>
    <w:rsid w:val="00C5034F"/>
    <w:rsid w:val="00C50830"/>
    <w:rsid w:val="00C52479"/>
    <w:rsid w:val="00C5266E"/>
    <w:rsid w:val="00C52C59"/>
    <w:rsid w:val="00C5349E"/>
    <w:rsid w:val="00C539FF"/>
    <w:rsid w:val="00C544BD"/>
    <w:rsid w:val="00C54D3D"/>
    <w:rsid w:val="00C55A30"/>
    <w:rsid w:val="00C56384"/>
    <w:rsid w:val="00C568B6"/>
    <w:rsid w:val="00C60F8C"/>
    <w:rsid w:val="00C61794"/>
    <w:rsid w:val="00C61CB4"/>
    <w:rsid w:val="00C62A48"/>
    <w:rsid w:val="00C62AC4"/>
    <w:rsid w:val="00C62B59"/>
    <w:rsid w:val="00C62F96"/>
    <w:rsid w:val="00C631E1"/>
    <w:rsid w:val="00C638D8"/>
    <w:rsid w:val="00C63AE7"/>
    <w:rsid w:val="00C63D26"/>
    <w:rsid w:val="00C6540A"/>
    <w:rsid w:val="00C66248"/>
    <w:rsid w:val="00C668A1"/>
    <w:rsid w:val="00C67223"/>
    <w:rsid w:val="00C707B8"/>
    <w:rsid w:val="00C712AC"/>
    <w:rsid w:val="00C71C15"/>
    <w:rsid w:val="00C71F3D"/>
    <w:rsid w:val="00C72F53"/>
    <w:rsid w:val="00C73BA9"/>
    <w:rsid w:val="00C74035"/>
    <w:rsid w:val="00C748EA"/>
    <w:rsid w:val="00C75531"/>
    <w:rsid w:val="00C77818"/>
    <w:rsid w:val="00C8063F"/>
    <w:rsid w:val="00C81282"/>
    <w:rsid w:val="00C827B4"/>
    <w:rsid w:val="00C82B40"/>
    <w:rsid w:val="00C83214"/>
    <w:rsid w:val="00C8329F"/>
    <w:rsid w:val="00C84F8A"/>
    <w:rsid w:val="00C85BA4"/>
    <w:rsid w:val="00C8618F"/>
    <w:rsid w:val="00C8625D"/>
    <w:rsid w:val="00C87F3F"/>
    <w:rsid w:val="00C90372"/>
    <w:rsid w:val="00C9041F"/>
    <w:rsid w:val="00C9166B"/>
    <w:rsid w:val="00C91945"/>
    <w:rsid w:val="00C91A45"/>
    <w:rsid w:val="00C91FB4"/>
    <w:rsid w:val="00C92150"/>
    <w:rsid w:val="00C92328"/>
    <w:rsid w:val="00C92D42"/>
    <w:rsid w:val="00C938C2"/>
    <w:rsid w:val="00C93F8A"/>
    <w:rsid w:val="00C94EA1"/>
    <w:rsid w:val="00C95745"/>
    <w:rsid w:val="00C95902"/>
    <w:rsid w:val="00C962E3"/>
    <w:rsid w:val="00C978E2"/>
    <w:rsid w:val="00C97997"/>
    <w:rsid w:val="00CA10A2"/>
    <w:rsid w:val="00CA1D83"/>
    <w:rsid w:val="00CA25C0"/>
    <w:rsid w:val="00CA3451"/>
    <w:rsid w:val="00CA35C6"/>
    <w:rsid w:val="00CA4948"/>
    <w:rsid w:val="00CA4FA3"/>
    <w:rsid w:val="00CA4FF9"/>
    <w:rsid w:val="00CA52F9"/>
    <w:rsid w:val="00CA5368"/>
    <w:rsid w:val="00CA568B"/>
    <w:rsid w:val="00CA573A"/>
    <w:rsid w:val="00CA584D"/>
    <w:rsid w:val="00CA5C58"/>
    <w:rsid w:val="00CA5E67"/>
    <w:rsid w:val="00CB19D7"/>
    <w:rsid w:val="00CB19FE"/>
    <w:rsid w:val="00CB1C03"/>
    <w:rsid w:val="00CB1C3F"/>
    <w:rsid w:val="00CB2364"/>
    <w:rsid w:val="00CB304C"/>
    <w:rsid w:val="00CB3933"/>
    <w:rsid w:val="00CB5010"/>
    <w:rsid w:val="00CB53E8"/>
    <w:rsid w:val="00CB594A"/>
    <w:rsid w:val="00CB5CB2"/>
    <w:rsid w:val="00CB6979"/>
    <w:rsid w:val="00CB7DDE"/>
    <w:rsid w:val="00CC0A3D"/>
    <w:rsid w:val="00CC3C53"/>
    <w:rsid w:val="00CC3D24"/>
    <w:rsid w:val="00CC3F91"/>
    <w:rsid w:val="00CC47F1"/>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3BF2"/>
    <w:rsid w:val="00CD437E"/>
    <w:rsid w:val="00CD540B"/>
    <w:rsid w:val="00CD5DAD"/>
    <w:rsid w:val="00CD7037"/>
    <w:rsid w:val="00CD72C5"/>
    <w:rsid w:val="00CD79A7"/>
    <w:rsid w:val="00CE0331"/>
    <w:rsid w:val="00CE0789"/>
    <w:rsid w:val="00CE0E8D"/>
    <w:rsid w:val="00CE1A03"/>
    <w:rsid w:val="00CE2346"/>
    <w:rsid w:val="00CE25B2"/>
    <w:rsid w:val="00CE3529"/>
    <w:rsid w:val="00CE35C8"/>
    <w:rsid w:val="00CE3962"/>
    <w:rsid w:val="00CE4D0A"/>
    <w:rsid w:val="00CE4D1A"/>
    <w:rsid w:val="00CE4E8A"/>
    <w:rsid w:val="00CE5105"/>
    <w:rsid w:val="00CE56BD"/>
    <w:rsid w:val="00CE5EC0"/>
    <w:rsid w:val="00CE68AD"/>
    <w:rsid w:val="00CE6F9F"/>
    <w:rsid w:val="00CE781A"/>
    <w:rsid w:val="00CE7B08"/>
    <w:rsid w:val="00CE7D52"/>
    <w:rsid w:val="00CF0AB7"/>
    <w:rsid w:val="00CF1D74"/>
    <w:rsid w:val="00CF2BE2"/>
    <w:rsid w:val="00CF3DEB"/>
    <w:rsid w:val="00CF55F9"/>
    <w:rsid w:val="00CF7074"/>
    <w:rsid w:val="00CF7495"/>
    <w:rsid w:val="00D00E12"/>
    <w:rsid w:val="00D01CF9"/>
    <w:rsid w:val="00D02BF7"/>
    <w:rsid w:val="00D02FFD"/>
    <w:rsid w:val="00D0334D"/>
    <w:rsid w:val="00D0374D"/>
    <w:rsid w:val="00D044FF"/>
    <w:rsid w:val="00D06851"/>
    <w:rsid w:val="00D06D7B"/>
    <w:rsid w:val="00D06DA5"/>
    <w:rsid w:val="00D07191"/>
    <w:rsid w:val="00D07F1D"/>
    <w:rsid w:val="00D10558"/>
    <w:rsid w:val="00D11D4D"/>
    <w:rsid w:val="00D126DC"/>
    <w:rsid w:val="00D12B03"/>
    <w:rsid w:val="00D13E70"/>
    <w:rsid w:val="00D15FCD"/>
    <w:rsid w:val="00D16C58"/>
    <w:rsid w:val="00D17019"/>
    <w:rsid w:val="00D17FC8"/>
    <w:rsid w:val="00D20B44"/>
    <w:rsid w:val="00D21168"/>
    <w:rsid w:val="00D240C6"/>
    <w:rsid w:val="00D2438C"/>
    <w:rsid w:val="00D2585A"/>
    <w:rsid w:val="00D259B0"/>
    <w:rsid w:val="00D26C3F"/>
    <w:rsid w:val="00D27185"/>
    <w:rsid w:val="00D3028A"/>
    <w:rsid w:val="00D31CDD"/>
    <w:rsid w:val="00D33488"/>
    <w:rsid w:val="00D33AB3"/>
    <w:rsid w:val="00D33F24"/>
    <w:rsid w:val="00D34160"/>
    <w:rsid w:val="00D34400"/>
    <w:rsid w:val="00D346B8"/>
    <w:rsid w:val="00D34DCA"/>
    <w:rsid w:val="00D3575F"/>
    <w:rsid w:val="00D35AC8"/>
    <w:rsid w:val="00D36F87"/>
    <w:rsid w:val="00D37E4E"/>
    <w:rsid w:val="00D4056F"/>
    <w:rsid w:val="00D417D8"/>
    <w:rsid w:val="00D41F78"/>
    <w:rsid w:val="00D42E6C"/>
    <w:rsid w:val="00D4351C"/>
    <w:rsid w:val="00D4353A"/>
    <w:rsid w:val="00D43B80"/>
    <w:rsid w:val="00D44988"/>
    <w:rsid w:val="00D45B4C"/>
    <w:rsid w:val="00D45BA4"/>
    <w:rsid w:val="00D45EF6"/>
    <w:rsid w:val="00D471AF"/>
    <w:rsid w:val="00D471E2"/>
    <w:rsid w:val="00D4724F"/>
    <w:rsid w:val="00D50519"/>
    <w:rsid w:val="00D50614"/>
    <w:rsid w:val="00D50622"/>
    <w:rsid w:val="00D51601"/>
    <w:rsid w:val="00D51ECB"/>
    <w:rsid w:val="00D5264C"/>
    <w:rsid w:val="00D52BBC"/>
    <w:rsid w:val="00D537FE"/>
    <w:rsid w:val="00D53CC9"/>
    <w:rsid w:val="00D53DC6"/>
    <w:rsid w:val="00D54A6A"/>
    <w:rsid w:val="00D54B8F"/>
    <w:rsid w:val="00D55848"/>
    <w:rsid w:val="00D55951"/>
    <w:rsid w:val="00D559F0"/>
    <w:rsid w:val="00D57B4E"/>
    <w:rsid w:val="00D57EB6"/>
    <w:rsid w:val="00D608C0"/>
    <w:rsid w:val="00D60D6D"/>
    <w:rsid w:val="00D6128C"/>
    <w:rsid w:val="00D66D8B"/>
    <w:rsid w:val="00D672EF"/>
    <w:rsid w:val="00D70849"/>
    <w:rsid w:val="00D72297"/>
    <w:rsid w:val="00D72A1C"/>
    <w:rsid w:val="00D7308F"/>
    <w:rsid w:val="00D7313E"/>
    <w:rsid w:val="00D73580"/>
    <w:rsid w:val="00D73802"/>
    <w:rsid w:val="00D73C2C"/>
    <w:rsid w:val="00D73D52"/>
    <w:rsid w:val="00D745E7"/>
    <w:rsid w:val="00D7581F"/>
    <w:rsid w:val="00D770B5"/>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0485"/>
    <w:rsid w:val="00DA1A3A"/>
    <w:rsid w:val="00DA2351"/>
    <w:rsid w:val="00DA249E"/>
    <w:rsid w:val="00DA29C6"/>
    <w:rsid w:val="00DA2D3D"/>
    <w:rsid w:val="00DA342B"/>
    <w:rsid w:val="00DA3855"/>
    <w:rsid w:val="00DA4C30"/>
    <w:rsid w:val="00DA5C8A"/>
    <w:rsid w:val="00DA6A44"/>
    <w:rsid w:val="00DA7A3C"/>
    <w:rsid w:val="00DB0E38"/>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1056"/>
    <w:rsid w:val="00DC1442"/>
    <w:rsid w:val="00DC21D8"/>
    <w:rsid w:val="00DC282A"/>
    <w:rsid w:val="00DC2DE8"/>
    <w:rsid w:val="00DC34DC"/>
    <w:rsid w:val="00DC3780"/>
    <w:rsid w:val="00DC3ADA"/>
    <w:rsid w:val="00DC3CC6"/>
    <w:rsid w:val="00DC3F55"/>
    <w:rsid w:val="00DC4782"/>
    <w:rsid w:val="00DC514A"/>
    <w:rsid w:val="00DC6249"/>
    <w:rsid w:val="00DC67B1"/>
    <w:rsid w:val="00DC7FBC"/>
    <w:rsid w:val="00DD0019"/>
    <w:rsid w:val="00DD132B"/>
    <w:rsid w:val="00DD1725"/>
    <w:rsid w:val="00DD2159"/>
    <w:rsid w:val="00DD218B"/>
    <w:rsid w:val="00DD2A18"/>
    <w:rsid w:val="00DD3044"/>
    <w:rsid w:val="00DD3985"/>
    <w:rsid w:val="00DD61E8"/>
    <w:rsid w:val="00DD62C0"/>
    <w:rsid w:val="00DD64DE"/>
    <w:rsid w:val="00DD7859"/>
    <w:rsid w:val="00DD7B41"/>
    <w:rsid w:val="00DE0784"/>
    <w:rsid w:val="00DE0A1D"/>
    <w:rsid w:val="00DE15B2"/>
    <w:rsid w:val="00DE1A9A"/>
    <w:rsid w:val="00DE3617"/>
    <w:rsid w:val="00DE3D2C"/>
    <w:rsid w:val="00DE5E82"/>
    <w:rsid w:val="00DE5FA6"/>
    <w:rsid w:val="00DE6792"/>
    <w:rsid w:val="00DE6AA1"/>
    <w:rsid w:val="00DE7EF7"/>
    <w:rsid w:val="00DF015B"/>
    <w:rsid w:val="00DF02EC"/>
    <w:rsid w:val="00DF10FC"/>
    <w:rsid w:val="00DF1185"/>
    <w:rsid w:val="00DF1299"/>
    <w:rsid w:val="00DF1A70"/>
    <w:rsid w:val="00DF1E5F"/>
    <w:rsid w:val="00DF23A8"/>
    <w:rsid w:val="00DF2F27"/>
    <w:rsid w:val="00DF36B6"/>
    <w:rsid w:val="00DF4296"/>
    <w:rsid w:val="00DF5267"/>
    <w:rsid w:val="00DF53F0"/>
    <w:rsid w:val="00DF5F38"/>
    <w:rsid w:val="00DF6608"/>
    <w:rsid w:val="00DF6CCC"/>
    <w:rsid w:val="00DF6D0C"/>
    <w:rsid w:val="00DF6F64"/>
    <w:rsid w:val="00DF721E"/>
    <w:rsid w:val="00DF7549"/>
    <w:rsid w:val="00DF7B8A"/>
    <w:rsid w:val="00DF7C87"/>
    <w:rsid w:val="00E009B0"/>
    <w:rsid w:val="00E00A12"/>
    <w:rsid w:val="00E00B39"/>
    <w:rsid w:val="00E00C49"/>
    <w:rsid w:val="00E01823"/>
    <w:rsid w:val="00E01C9C"/>
    <w:rsid w:val="00E0219D"/>
    <w:rsid w:val="00E04C0F"/>
    <w:rsid w:val="00E0570B"/>
    <w:rsid w:val="00E06FB8"/>
    <w:rsid w:val="00E10913"/>
    <w:rsid w:val="00E10B87"/>
    <w:rsid w:val="00E121CE"/>
    <w:rsid w:val="00E12209"/>
    <w:rsid w:val="00E1478B"/>
    <w:rsid w:val="00E14FAC"/>
    <w:rsid w:val="00E15007"/>
    <w:rsid w:val="00E16277"/>
    <w:rsid w:val="00E16EC7"/>
    <w:rsid w:val="00E17DCC"/>
    <w:rsid w:val="00E219CE"/>
    <w:rsid w:val="00E21D93"/>
    <w:rsid w:val="00E23812"/>
    <w:rsid w:val="00E24071"/>
    <w:rsid w:val="00E24EBC"/>
    <w:rsid w:val="00E25149"/>
    <w:rsid w:val="00E2522C"/>
    <w:rsid w:val="00E2552F"/>
    <w:rsid w:val="00E2599B"/>
    <w:rsid w:val="00E2710C"/>
    <w:rsid w:val="00E272BD"/>
    <w:rsid w:val="00E27428"/>
    <w:rsid w:val="00E305B4"/>
    <w:rsid w:val="00E31AFA"/>
    <w:rsid w:val="00E31CB7"/>
    <w:rsid w:val="00E324EE"/>
    <w:rsid w:val="00E34DB1"/>
    <w:rsid w:val="00E35931"/>
    <w:rsid w:val="00E359FF"/>
    <w:rsid w:val="00E3699A"/>
    <w:rsid w:val="00E402C5"/>
    <w:rsid w:val="00E402F4"/>
    <w:rsid w:val="00E405F1"/>
    <w:rsid w:val="00E417DB"/>
    <w:rsid w:val="00E4198D"/>
    <w:rsid w:val="00E43054"/>
    <w:rsid w:val="00E43655"/>
    <w:rsid w:val="00E44440"/>
    <w:rsid w:val="00E46013"/>
    <w:rsid w:val="00E47099"/>
    <w:rsid w:val="00E47284"/>
    <w:rsid w:val="00E477C3"/>
    <w:rsid w:val="00E51E16"/>
    <w:rsid w:val="00E52DED"/>
    <w:rsid w:val="00E53730"/>
    <w:rsid w:val="00E5438D"/>
    <w:rsid w:val="00E54511"/>
    <w:rsid w:val="00E54E50"/>
    <w:rsid w:val="00E54EC9"/>
    <w:rsid w:val="00E55288"/>
    <w:rsid w:val="00E57577"/>
    <w:rsid w:val="00E60BD7"/>
    <w:rsid w:val="00E62043"/>
    <w:rsid w:val="00E626B9"/>
    <w:rsid w:val="00E627C9"/>
    <w:rsid w:val="00E630F3"/>
    <w:rsid w:val="00E6332F"/>
    <w:rsid w:val="00E637C9"/>
    <w:rsid w:val="00E639E6"/>
    <w:rsid w:val="00E6402D"/>
    <w:rsid w:val="00E6680A"/>
    <w:rsid w:val="00E66F0D"/>
    <w:rsid w:val="00E67741"/>
    <w:rsid w:val="00E67CAE"/>
    <w:rsid w:val="00E67E7F"/>
    <w:rsid w:val="00E70615"/>
    <w:rsid w:val="00E7161E"/>
    <w:rsid w:val="00E71B40"/>
    <w:rsid w:val="00E7207B"/>
    <w:rsid w:val="00E7347A"/>
    <w:rsid w:val="00E75A47"/>
    <w:rsid w:val="00E75BB6"/>
    <w:rsid w:val="00E75D8C"/>
    <w:rsid w:val="00E777BB"/>
    <w:rsid w:val="00E777F2"/>
    <w:rsid w:val="00E802C9"/>
    <w:rsid w:val="00E80BFB"/>
    <w:rsid w:val="00E80F0A"/>
    <w:rsid w:val="00E815D4"/>
    <w:rsid w:val="00E8291B"/>
    <w:rsid w:val="00E82E70"/>
    <w:rsid w:val="00E82F92"/>
    <w:rsid w:val="00E8395F"/>
    <w:rsid w:val="00E8410F"/>
    <w:rsid w:val="00E849D7"/>
    <w:rsid w:val="00E85E41"/>
    <w:rsid w:val="00E85EA1"/>
    <w:rsid w:val="00E86030"/>
    <w:rsid w:val="00E86703"/>
    <w:rsid w:val="00E900DA"/>
    <w:rsid w:val="00E90F03"/>
    <w:rsid w:val="00E91044"/>
    <w:rsid w:val="00E910D3"/>
    <w:rsid w:val="00E92154"/>
    <w:rsid w:val="00E923CF"/>
    <w:rsid w:val="00E93685"/>
    <w:rsid w:val="00E93B65"/>
    <w:rsid w:val="00E93C8C"/>
    <w:rsid w:val="00E95111"/>
    <w:rsid w:val="00E95FDF"/>
    <w:rsid w:val="00EA1198"/>
    <w:rsid w:val="00EA14C8"/>
    <w:rsid w:val="00EA2110"/>
    <w:rsid w:val="00EA283A"/>
    <w:rsid w:val="00EA2C90"/>
    <w:rsid w:val="00EA2E07"/>
    <w:rsid w:val="00EA383B"/>
    <w:rsid w:val="00EA48F3"/>
    <w:rsid w:val="00EA60BF"/>
    <w:rsid w:val="00EA6847"/>
    <w:rsid w:val="00EA7365"/>
    <w:rsid w:val="00EA763F"/>
    <w:rsid w:val="00EA77E9"/>
    <w:rsid w:val="00EB05D0"/>
    <w:rsid w:val="00EB1151"/>
    <w:rsid w:val="00EB1D49"/>
    <w:rsid w:val="00EB23D9"/>
    <w:rsid w:val="00EB39A0"/>
    <w:rsid w:val="00EB559F"/>
    <w:rsid w:val="00EB566C"/>
    <w:rsid w:val="00EB5A18"/>
    <w:rsid w:val="00EB5F3D"/>
    <w:rsid w:val="00EB6C97"/>
    <w:rsid w:val="00EC1CEB"/>
    <w:rsid w:val="00EC1DC0"/>
    <w:rsid w:val="00EC1DC2"/>
    <w:rsid w:val="00EC1E09"/>
    <w:rsid w:val="00EC21EC"/>
    <w:rsid w:val="00EC24B8"/>
    <w:rsid w:val="00EC268C"/>
    <w:rsid w:val="00EC3753"/>
    <w:rsid w:val="00EC4E71"/>
    <w:rsid w:val="00EC5F1C"/>
    <w:rsid w:val="00ED0365"/>
    <w:rsid w:val="00ED0865"/>
    <w:rsid w:val="00ED1C60"/>
    <w:rsid w:val="00ED2E25"/>
    <w:rsid w:val="00ED2EB9"/>
    <w:rsid w:val="00ED3722"/>
    <w:rsid w:val="00ED3A31"/>
    <w:rsid w:val="00ED4469"/>
    <w:rsid w:val="00ED44F6"/>
    <w:rsid w:val="00ED5424"/>
    <w:rsid w:val="00ED5F23"/>
    <w:rsid w:val="00ED6A63"/>
    <w:rsid w:val="00ED6DC0"/>
    <w:rsid w:val="00ED7A7A"/>
    <w:rsid w:val="00EE0327"/>
    <w:rsid w:val="00EE038C"/>
    <w:rsid w:val="00EE28C5"/>
    <w:rsid w:val="00EE2F09"/>
    <w:rsid w:val="00EE47C5"/>
    <w:rsid w:val="00EE490C"/>
    <w:rsid w:val="00EE4E57"/>
    <w:rsid w:val="00EE516C"/>
    <w:rsid w:val="00EE5415"/>
    <w:rsid w:val="00EE5738"/>
    <w:rsid w:val="00EE58BD"/>
    <w:rsid w:val="00EE5E59"/>
    <w:rsid w:val="00EE6C25"/>
    <w:rsid w:val="00EE73D0"/>
    <w:rsid w:val="00EE7CB0"/>
    <w:rsid w:val="00EF08A8"/>
    <w:rsid w:val="00EF167B"/>
    <w:rsid w:val="00EF41A8"/>
    <w:rsid w:val="00EF44FB"/>
    <w:rsid w:val="00EF4DF5"/>
    <w:rsid w:val="00EF5122"/>
    <w:rsid w:val="00EF5554"/>
    <w:rsid w:val="00EF579F"/>
    <w:rsid w:val="00EF5AD8"/>
    <w:rsid w:val="00EF6B90"/>
    <w:rsid w:val="00EF7807"/>
    <w:rsid w:val="00EF79F7"/>
    <w:rsid w:val="00F006C0"/>
    <w:rsid w:val="00F0125F"/>
    <w:rsid w:val="00F019AA"/>
    <w:rsid w:val="00F0267E"/>
    <w:rsid w:val="00F02686"/>
    <w:rsid w:val="00F030C0"/>
    <w:rsid w:val="00F03291"/>
    <w:rsid w:val="00F03A85"/>
    <w:rsid w:val="00F0459B"/>
    <w:rsid w:val="00F04E15"/>
    <w:rsid w:val="00F05DF3"/>
    <w:rsid w:val="00F069EA"/>
    <w:rsid w:val="00F06E85"/>
    <w:rsid w:val="00F070E5"/>
    <w:rsid w:val="00F07DDE"/>
    <w:rsid w:val="00F11675"/>
    <w:rsid w:val="00F12557"/>
    <w:rsid w:val="00F13599"/>
    <w:rsid w:val="00F13B28"/>
    <w:rsid w:val="00F14542"/>
    <w:rsid w:val="00F1520A"/>
    <w:rsid w:val="00F156A0"/>
    <w:rsid w:val="00F15730"/>
    <w:rsid w:val="00F176A6"/>
    <w:rsid w:val="00F202C2"/>
    <w:rsid w:val="00F212A8"/>
    <w:rsid w:val="00F212F6"/>
    <w:rsid w:val="00F22756"/>
    <w:rsid w:val="00F23248"/>
    <w:rsid w:val="00F23890"/>
    <w:rsid w:val="00F2504D"/>
    <w:rsid w:val="00F2637F"/>
    <w:rsid w:val="00F268F7"/>
    <w:rsid w:val="00F30B83"/>
    <w:rsid w:val="00F30BDB"/>
    <w:rsid w:val="00F30CF8"/>
    <w:rsid w:val="00F31EDF"/>
    <w:rsid w:val="00F32CDE"/>
    <w:rsid w:val="00F32D4C"/>
    <w:rsid w:val="00F3327E"/>
    <w:rsid w:val="00F337E0"/>
    <w:rsid w:val="00F338C3"/>
    <w:rsid w:val="00F34B14"/>
    <w:rsid w:val="00F34F58"/>
    <w:rsid w:val="00F35DA7"/>
    <w:rsid w:val="00F36A6A"/>
    <w:rsid w:val="00F40101"/>
    <w:rsid w:val="00F404F7"/>
    <w:rsid w:val="00F40CCA"/>
    <w:rsid w:val="00F40F46"/>
    <w:rsid w:val="00F42D97"/>
    <w:rsid w:val="00F436B2"/>
    <w:rsid w:val="00F43813"/>
    <w:rsid w:val="00F43FEE"/>
    <w:rsid w:val="00F44643"/>
    <w:rsid w:val="00F4492F"/>
    <w:rsid w:val="00F45A72"/>
    <w:rsid w:val="00F46723"/>
    <w:rsid w:val="00F4703B"/>
    <w:rsid w:val="00F4706D"/>
    <w:rsid w:val="00F476E1"/>
    <w:rsid w:val="00F47D1D"/>
    <w:rsid w:val="00F47F29"/>
    <w:rsid w:val="00F50016"/>
    <w:rsid w:val="00F50451"/>
    <w:rsid w:val="00F50A80"/>
    <w:rsid w:val="00F5118A"/>
    <w:rsid w:val="00F51A21"/>
    <w:rsid w:val="00F52614"/>
    <w:rsid w:val="00F5276E"/>
    <w:rsid w:val="00F52E9F"/>
    <w:rsid w:val="00F53304"/>
    <w:rsid w:val="00F53B81"/>
    <w:rsid w:val="00F540FE"/>
    <w:rsid w:val="00F556FF"/>
    <w:rsid w:val="00F55D12"/>
    <w:rsid w:val="00F5687F"/>
    <w:rsid w:val="00F56D3F"/>
    <w:rsid w:val="00F575C7"/>
    <w:rsid w:val="00F57FD0"/>
    <w:rsid w:val="00F60305"/>
    <w:rsid w:val="00F61B12"/>
    <w:rsid w:val="00F61C70"/>
    <w:rsid w:val="00F63264"/>
    <w:rsid w:val="00F634E4"/>
    <w:rsid w:val="00F6379E"/>
    <w:rsid w:val="00F64047"/>
    <w:rsid w:val="00F65171"/>
    <w:rsid w:val="00F6560D"/>
    <w:rsid w:val="00F67844"/>
    <w:rsid w:val="00F70799"/>
    <w:rsid w:val="00F70A8B"/>
    <w:rsid w:val="00F70B8D"/>
    <w:rsid w:val="00F71936"/>
    <w:rsid w:val="00F724FB"/>
    <w:rsid w:val="00F726B8"/>
    <w:rsid w:val="00F72A26"/>
    <w:rsid w:val="00F733C3"/>
    <w:rsid w:val="00F746A1"/>
    <w:rsid w:val="00F74820"/>
    <w:rsid w:val="00F75282"/>
    <w:rsid w:val="00F756DD"/>
    <w:rsid w:val="00F77518"/>
    <w:rsid w:val="00F77F4E"/>
    <w:rsid w:val="00F80047"/>
    <w:rsid w:val="00F800C7"/>
    <w:rsid w:val="00F8104D"/>
    <w:rsid w:val="00F8153F"/>
    <w:rsid w:val="00F81587"/>
    <w:rsid w:val="00F81769"/>
    <w:rsid w:val="00F8288F"/>
    <w:rsid w:val="00F8376E"/>
    <w:rsid w:val="00F84802"/>
    <w:rsid w:val="00F85B72"/>
    <w:rsid w:val="00F86540"/>
    <w:rsid w:val="00F865CE"/>
    <w:rsid w:val="00F86A37"/>
    <w:rsid w:val="00F8766F"/>
    <w:rsid w:val="00F90282"/>
    <w:rsid w:val="00F91082"/>
    <w:rsid w:val="00F9116D"/>
    <w:rsid w:val="00F91250"/>
    <w:rsid w:val="00F91342"/>
    <w:rsid w:val="00F91A9A"/>
    <w:rsid w:val="00F92634"/>
    <w:rsid w:val="00F933F3"/>
    <w:rsid w:val="00F93ABB"/>
    <w:rsid w:val="00F94D79"/>
    <w:rsid w:val="00F954FC"/>
    <w:rsid w:val="00F9658C"/>
    <w:rsid w:val="00F96E05"/>
    <w:rsid w:val="00F97A7F"/>
    <w:rsid w:val="00FA0889"/>
    <w:rsid w:val="00FA16E7"/>
    <w:rsid w:val="00FA31C7"/>
    <w:rsid w:val="00FA472D"/>
    <w:rsid w:val="00FA622F"/>
    <w:rsid w:val="00FA681F"/>
    <w:rsid w:val="00FA6D1A"/>
    <w:rsid w:val="00FB02DE"/>
    <w:rsid w:val="00FB0CBF"/>
    <w:rsid w:val="00FB18F6"/>
    <w:rsid w:val="00FB2A52"/>
    <w:rsid w:val="00FB2B7B"/>
    <w:rsid w:val="00FB2CDD"/>
    <w:rsid w:val="00FB3F92"/>
    <w:rsid w:val="00FB52C7"/>
    <w:rsid w:val="00FB57DC"/>
    <w:rsid w:val="00FB6E19"/>
    <w:rsid w:val="00FB71F6"/>
    <w:rsid w:val="00FB78C5"/>
    <w:rsid w:val="00FB7CF2"/>
    <w:rsid w:val="00FC07AF"/>
    <w:rsid w:val="00FC0AF8"/>
    <w:rsid w:val="00FC0B69"/>
    <w:rsid w:val="00FC1483"/>
    <w:rsid w:val="00FC1506"/>
    <w:rsid w:val="00FC1C47"/>
    <w:rsid w:val="00FC3102"/>
    <w:rsid w:val="00FC39ED"/>
    <w:rsid w:val="00FC4419"/>
    <w:rsid w:val="00FC47E2"/>
    <w:rsid w:val="00FC4AA5"/>
    <w:rsid w:val="00FC4B88"/>
    <w:rsid w:val="00FC4BB8"/>
    <w:rsid w:val="00FC5148"/>
    <w:rsid w:val="00FC6524"/>
    <w:rsid w:val="00FC6B58"/>
    <w:rsid w:val="00FC6E53"/>
    <w:rsid w:val="00FC75AC"/>
    <w:rsid w:val="00FC7984"/>
    <w:rsid w:val="00FD01BF"/>
    <w:rsid w:val="00FD0525"/>
    <w:rsid w:val="00FD0AB7"/>
    <w:rsid w:val="00FD297D"/>
    <w:rsid w:val="00FD2D13"/>
    <w:rsid w:val="00FD374D"/>
    <w:rsid w:val="00FD6071"/>
    <w:rsid w:val="00FD633B"/>
    <w:rsid w:val="00FE0794"/>
    <w:rsid w:val="00FE1041"/>
    <w:rsid w:val="00FE1A47"/>
    <w:rsid w:val="00FE24CB"/>
    <w:rsid w:val="00FE2FC2"/>
    <w:rsid w:val="00FE323F"/>
    <w:rsid w:val="00FE3473"/>
    <w:rsid w:val="00FE35CC"/>
    <w:rsid w:val="00FE4049"/>
    <w:rsid w:val="00FE4794"/>
    <w:rsid w:val="00FE480F"/>
    <w:rsid w:val="00FE4998"/>
    <w:rsid w:val="00FE56B7"/>
    <w:rsid w:val="00FE57DE"/>
    <w:rsid w:val="00FE7A68"/>
    <w:rsid w:val="00FF0231"/>
    <w:rsid w:val="00FF1C9B"/>
    <w:rsid w:val="00FF1D49"/>
    <w:rsid w:val="00FF203B"/>
    <w:rsid w:val="00FF2562"/>
    <w:rsid w:val="00FF2B6C"/>
    <w:rsid w:val="00FF3A41"/>
    <w:rsid w:val="00FF3E5B"/>
    <w:rsid w:val="00FF4C8E"/>
    <w:rsid w:val="00FF57E4"/>
    <w:rsid w:val="00FF62AA"/>
    <w:rsid w:val="00FF78E5"/>
    <w:rsid w:val="012C5FAF"/>
    <w:rsid w:val="013567D6"/>
    <w:rsid w:val="01484F41"/>
    <w:rsid w:val="017D08D9"/>
    <w:rsid w:val="01AF3D99"/>
    <w:rsid w:val="01C715DA"/>
    <w:rsid w:val="02200749"/>
    <w:rsid w:val="02511F9D"/>
    <w:rsid w:val="02A227A1"/>
    <w:rsid w:val="02DC7A47"/>
    <w:rsid w:val="02E15645"/>
    <w:rsid w:val="030F52BB"/>
    <w:rsid w:val="034B1F9D"/>
    <w:rsid w:val="03556A03"/>
    <w:rsid w:val="035B1D97"/>
    <w:rsid w:val="03A314B8"/>
    <w:rsid w:val="03D82B98"/>
    <w:rsid w:val="03F83E8B"/>
    <w:rsid w:val="042963C8"/>
    <w:rsid w:val="04D41EBA"/>
    <w:rsid w:val="05067536"/>
    <w:rsid w:val="051C47B0"/>
    <w:rsid w:val="051F36DC"/>
    <w:rsid w:val="053E354F"/>
    <w:rsid w:val="05422329"/>
    <w:rsid w:val="059E1314"/>
    <w:rsid w:val="05A131E3"/>
    <w:rsid w:val="05AA2098"/>
    <w:rsid w:val="05BC439F"/>
    <w:rsid w:val="05C56868"/>
    <w:rsid w:val="06125F9A"/>
    <w:rsid w:val="06472F82"/>
    <w:rsid w:val="06826810"/>
    <w:rsid w:val="06BF64E7"/>
    <w:rsid w:val="06EF31F8"/>
    <w:rsid w:val="0713487D"/>
    <w:rsid w:val="078E1A81"/>
    <w:rsid w:val="07B72767"/>
    <w:rsid w:val="07DE5D8C"/>
    <w:rsid w:val="07E13D6B"/>
    <w:rsid w:val="07F92E63"/>
    <w:rsid w:val="08077E72"/>
    <w:rsid w:val="081302ED"/>
    <w:rsid w:val="08882DD0"/>
    <w:rsid w:val="088D794E"/>
    <w:rsid w:val="08B31ECE"/>
    <w:rsid w:val="08C068E7"/>
    <w:rsid w:val="08C21BCA"/>
    <w:rsid w:val="08FD4BD5"/>
    <w:rsid w:val="092F29BE"/>
    <w:rsid w:val="09364131"/>
    <w:rsid w:val="0981726F"/>
    <w:rsid w:val="09BD6E82"/>
    <w:rsid w:val="09CC2AAC"/>
    <w:rsid w:val="09E33EA2"/>
    <w:rsid w:val="0A151234"/>
    <w:rsid w:val="0A2A7C4B"/>
    <w:rsid w:val="0A4C1970"/>
    <w:rsid w:val="0A6053C9"/>
    <w:rsid w:val="0A652D3E"/>
    <w:rsid w:val="0A741588"/>
    <w:rsid w:val="0A894972"/>
    <w:rsid w:val="0AA90B70"/>
    <w:rsid w:val="0AB70462"/>
    <w:rsid w:val="0B1758E1"/>
    <w:rsid w:val="0B2C354F"/>
    <w:rsid w:val="0B326F2A"/>
    <w:rsid w:val="0B6A792F"/>
    <w:rsid w:val="0BB73761"/>
    <w:rsid w:val="0BC6694E"/>
    <w:rsid w:val="0BD46723"/>
    <w:rsid w:val="0C1E2888"/>
    <w:rsid w:val="0C3B0AB9"/>
    <w:rsid w:val="0C610937"/>
    <w:rsid w:val="0C671ABD"/>
    <w:rsid w:val="0C700313"/>
    <w:rsid w:val="0C782EF0"/>
    <w:rsid w:val="0C92213C"/>
    <w:rsid w:val="0CC2027E"/>
    <w:rsid w:val="0CCA1272"/>
    <w:rsid w:val="0CD545C2"/>
    <w:rsid w:val="0CDC4308"/>
    <w:rsid w:val="0CE04074"/>
    <w:rsid w:val="0D251E81"/>
    <w:rsid w:val="0D563BEF"/>
    <w:rsid w:val="0D84032B"/>
    <w:rsid w:val="0DB13EEB"/>
    <w:rsid w:val="0DB52116"/>
    <w:rsid w:val="0DF9022C"/>
    <w:rsid w:val="0E603DE4"/>
    <w:rsid w:val="0E9F4D1D"/>
    <w:rsid w:val="0F0E7B3C"/>
    <w:rsid w:val="0F2A74C4"/>
    <w:rsid w:val="0F343867"/>
    <w:rsid w:val="0F3876C0"/>
    <w:rsid w:val="0F5C08A7"/>
    <w:rsid w:val="0F690DB2"/>
    <w:rsid w:val="0FB2484E"/>
    <w:rsid w:val="0FE34B24"/>
    <w:rsid w:val="0FE51619"/>
    <w:rsid w:val="10233173"/>
    <w:rsid w:val="10413DF9"/>
    <w:rsid w:val="10446CC7"/>
    <w:rsid w:val="10A23DC1"/>
    <w:rsid w:val="10A27F31"/>
    <w:rsid w:val="10D80401"/>
    <w:rsid w:val="111A45E7"/>
    <w:rsid w:val="11300BBC"/>
    <w:rsid w:val="11927058"/>
    <w:rsid w:val="11F03528"/>
    <w:rsid w:val="13786592"/>
    <w:rsid w:val="138A52B7"/>
    <w:rsid w:val="13AF4F03"/>
    <w:rsid w:val="13C93A9B"/>
    <w:rsid w:val="13F858E5"/>
    <w:rsid w:val="14090752"/>
    <w:rsid w:val="14454E1C"/>
    <w:rsid w:val="14736E66"/>
    <w:rsid w:val="147F458F"/>
    <w:rsid w:val="149A00A4"/>
    <w:rsid w:val="14D7F51A"/>
    <w:rsid w:val="15227E9D"/>
    <w:rsid w:val="1534169A"/>
    <w:rsid w:val="15B42ABF"/>
    <w:rsid w:val="15C03E03"/>
    <w:rsid w:val="15DD1430"/>
    <w:rsid w:val="162A25EB"/>
    <w:rsid w:val="163F682C"/>
    <w:rsid w:val="16593974"/>
    <w:rsid w:val="16735895"/>
    <w:rsid w:val="16EE19E5"/>
    <w:rsid w:val="16F107A4"/>
    <w:rsid w:val="16FD2A55"/>
    <w:rsid w:val="17067C1A"/>
    <w:rsid w:val="17366761"/>
    <w:rsid w:val="176F471D"/>
    <w:rsid w:val="177C01F0"/>
    <w:rsid w:val="179E3EFA"/>
    <w:rsid w:val="179F47EB"/>
    <w:rsid w:val="17B60D70"/>
    <w:rsid w:val="17CE6630"/>
    <w:rsid w:val="17E43139"/>
    <w:rsid w:val="180A640E"/>
    <w:rsid w:val="180E04B2"/>
    <w:rsid w:val="18512847"/>
    <w:rsid w:val="18667C79"/>
    <w:rsid w:val="186F2078"/>
    <w:rsid w:val="186F27D5"/>
    <w:rsid w:val="18983200"/>
    <w:rsid w:val="18C227E2"/>
    <w:rsid w:val="18FF2998"/>
    <w:rsid w:val="1A6368D1"/>
    <w:rsid w:val="1AAF5ECD"/>
    <w:rsid w:val="1AFF0AFE"/>
    <w:rsid w:val="1B2D6E1C"/>
    <w:rsid w:val="1B351052"/>
    <w:rsid w:val="1B3A1CDD"/>
    <w:rsid w:val="1B4F19F8"/>
    <w:rsid w:val="1B525CA0"/>
    <w:rsid w:val="1B5751D4"/>
    <w:rsid w:val="1B831060"/>
    <w:rsid w:val="1BA06FEE"/>
    <w:rsid w:val="1BA4678A"/>
    <w:rsid w:val="1C6A6B78"/>
    <w:rsid w:val="1C7C71E2"/>
    <w:rsid w:val="1CE05E31"/>
    <w:rsid w:val="1D116EE3"/>
    <w:rsid w:val="1D6768AA"/>
    <w:rsid w:val="1D7D5E5D"/>
    <w:rsid w:val="1DA87555"/>
    <w:rsid w:val="1E127C1F"/>
    <w:rsid w:val="1E450957"/>
    <w:rsid w:val="1E4C049A"/>
    <w:rsid w:val="1E6B1C48"/>
    <w:rsid w:val="1E78576B"/>
    <w:rsid w:val="1E7A512B"/>
    <w:rsid w:val="1EAFC22D"/>
    <w:rsid w:val="1ECC44FA"/>
    <w:rsid w:val="1F063325"/>
    <w:rsid w:val="1F0D3297"/>
    <w:rsid w:val="1F122F1E"/>
    <w:rsid w:val="1F2D7B6A"/>
    <w:rsid w:val="1FBC5DF5"/>
    <w:rsid w:val="1FC00ED9"/>
    <w:rsid w:val="1FD91AA0"/>
    <w:rsid w:val="1FF90588"/>
    <w:rsid w:val="1FFE2CFA"/>
    <w:rsid w:val="200F7CB6"/>
    <w:rsid w:val="2056255B"/>
    <w:rsid w:val="208D2D8E"/>
    <w:rsid w:val="20C3623F"/>
    <w:rsid w:val="20DC3BAC"/>
    <w:rsid w:val="20DC5C9A"/>
    <w:rsid w:val="20E80E3E"/>
    <w:rsid w:val="214E30F9"/>
    <w:rsid w:val="21630D81"/>
    <w:rsid w:val="2167164F"/>
    <w:rsid w:val="21696E53"/>
    <w:rsid w:val="21781212"/>
    <w:rsid w:val="21B31E7D"/>
    <w:rsid w:val="21B83F86"/>
    <w:rsid w:val="220B1CB9"/>
    <w:rsid w:val="221178A8"/>
    <w:rsid w:val="221213CF"/>
    <w:rsid w:val="221D28C4"/>
    <w:rsid w:val="22327A92"/>
    <w:rsid w:val="226707B8"/>
    <w:rsid w:val="22965A26"/>
    <w:rsid w:val="22C07F82"/>
    <w:rsid w:val="231D53A2"/>
    <w:rsid w:val="236D5383"/>
    <w:rsid w:val="23B256E0"/>
    <w:rsid w:val="23B7504C"/>
    <w:rsid w:val="24571307"/>
    <w:rsid w:val="24E11F9F"/>
    <w:rsid w:val="25110A2A"/>
    <w:rsid w:val="251B1226"/>
    <w:rsid w:val="25697422"/>
    <w:rsid w:val="256C0944"/>
    <w:rsid w:val="26174F7C"/>
    <w:rsid w:val="26446DE3"/>
    <w:rsid w:val="2685748B"/>
    <w:rsid w:val="269669E7"/>
    <w:rsid w:val="26A270C1"/>
    <w:rsid w:val="26D7699F"/>
    <w:rsid w:val="26ED5A25"/>
    <w:rsid w:val="27366FDB"/>
    <w:rsid w:val="2760192C"/>
    <w:rsid w:val="28164D77"/>
    <w:rsid w:val="285A5409"/>
    <w:rsid w:val="28665E9B"/>
    <w:rsid w:val="2895092D"/>
    <w:rsid w:val="28FA62DC"/>
    <w:rsid w:val="29000DA6"/>
    <w:rsid w:val="2928541E"/>
    <w:rsid w:val="293F2644"/>
    <w:rsid w:val="295A4D86"/>
    <w:rsid w:val="295D104C"/>
    <w:rsid w:val="29640161"/>
    <w:rsid w:val="297D524A"/>
    <w:rsid w:val="29C235A5"/>
    <w:rsid w:val="29D26BE4"/>
    <w:rsid w:val="29D75F7F"/>
    <w:rsid w:val="29FF1D39"/>
    <w:rsid w:val="2A817CEF"/>
    <w:rsid w:val="2A8A5D4D"/>
    <w:rsid w:val="2AFC2AE6"/>
    <w:rsid w:val="2B060108"/>
    <w:rsid w:val="2B0F281A"/>
    <w:rsid w:val="2B774624"/>
    <w:rsid w:val="2BA45AD6"/>
    <w:rsid w:val="2BD84AAC"/>
    <w:rsid w:val="2BF65788"/>
    <w:rsid w:val="2BFE03AC"/>
    <w:rsid w:val="2C1F5474"/>
    <w:rsid w:val="2C3A0EA2"/>
    <w:rsid w:val="2C78177A"/>
    <w:rsid w:val="2C7A72BE"/>
    <w:rsid w:val="2C9A7D75"/>
    <w:rsid w:val="2C9D2169"/>
    <w:rsid w:val="2CC17412"/>
    <w:rsid w:val="2CC94C4A"/>
    <w:rsid w:val="2CD11238"/>
    <w:rsid w:val="2D104D7E"/>
    <w:rsid w:val="2D3B60E9"/>
    <w:rsid w:val="2D7C1E99"/>
    <w:rsid w:val="2DB2318C"/>
    <w:rsid w:val="2DB807CB"/>
    <w:rsid w:val="2DE75257"/>
    <w:rsid w:val="2E36478B"/>
    <w:rsid w:val="2E7A0AE8"/>
    <w:rsid w:val="2E9976CE"/>
    <w:rsid w:val="2E9D4F14"/>
    <w:rsid w:val="2EB3374F"/>
    <w:rsid w:val="2EDE22D2"/>
    <w:rsid w:val="2EF01DEE"/>
    <w:rsid w:val="2F18413C"/>
    <w:rsid w:val="2F2B5748"/>
    <w:rsid w:val="2F401D3C"/>
    <w:rsid w:val="2F5B24E1"/>
    <w:rsid w:val="2F8365A8"/>
    <w:rsid w:val="2FA379D4"/>
    <w:rsid w:val="2FA95C88"/>
    <w:rsid w:val="3041370F"/>
    <w:rsid w:val="30421257"/>
    <w:rsid w:val="309F63EE"/>
    <w:rsid w:val="30B87FED"/>
    <w:rsid w:val="30D64FD6"/>
    <w:rsid w:val="30EA2DD6"/>
    <w:rsid w:val="31023FF8"/>
    <w:rsid w:val="311F7972"/>
    <w:rsid w:val="312B50A3"/>
    <w:rsid w:val="312B6FBF"/>
    <w:rsid w:val="31615451"/>
    <w:rsid w:val="31894FD2"/>
    <w:rsid w:val="31AD03DD"/>
    <w:rsid w:val="31BF5DD7"/>
    <w:rsid w:val="31F66F86"/>
    <w:rsid w:val="31F676C4"/>
    <w:rsid w:val="32453A27"/>
    <w:rsid w:val="3263064A"/>
    <w:rsid w:val="32A43132"/>
    <w:rsid w:val="32AC0C06"/>
    <w:rsid w:val="32BF4B25"/>
    <w:rsid w:val="32F22310"/>
    <w:rsid w:val="32F90662"/>
    <w:rsid w:val="33072928"/>
    <w:rsid w:val="33344EF5"/>
    <w:rsid w:val="3345674B"/>
    <w:rsid w:val="33977407"/>
    <w:rsid w:val="33A342A9"/>
    <w:rsid w:val="33C53E43"/>
    <w:rsid w:val="33F22CD8"/>
    <w:rsid w:val="34007024"/>
    <w:rsid w:val="3409695D"/>
    <w:rsid w:val="341B590E"/>
    <w:rsid w:val="346E1369"/>
    <w:rsid w:val="347831DE"/>
    <w:rsid w:val="3537750C"/>
    <w:rsid w:val="3537798C"/>
    <w:rsid w:val="35B27654"/>
    <w:rsid w:val="35C13FC9"/>
    <w:rsid w:val="35E03E8F"/>
    <w:rsid w:val="35E060F4"/>
    <w:rsid w:val="35FFD7A0"/>
    <w:rsid w:val="363E7508"/>
    <w:rsid w:val="364257B6"/>
    <w:rsid w:val="365734D0"/>
    <w:rsid w:val="372C4753"/>
    <w:rsid w:val="373710F6"/>
    <w:rsid w:val="37427140"/>
    <w:rsid w:val="379E0CEC"/>
    <w:rsid w:val="37DDBC3F"/>
    <w:rsid w:val="37EA5922"/>
    <w:rsid w:val="37EC20DC"/>
    <w:rsid w:val="37FDE522"/>
    <w:rsid w:val="38276B93"/>
    <w:rsid w:val="38AC3431"/>
    <w:rsid w:val="38E9042E"/>
    <w:rsid w:val="392F2E16"/>
    <w:rsid w:val="395F496C"/>
    <w:rsid w:val="39B27192"/>
    <w:rsid w:val="39B31189"/>
    <w:rsid w:val="39B53A46"/>
    <w:rsid w:val="39E00529"/>
    <w:rsid w:val="3A097A0A"/>
    <w:rsid w:val="3A0B64A7"/>
    <w:rsid w:val="3A361B71"/>
    <w:rsid w:val="3A574DDA"/>
    <w:rsid w:val="3AAF6AE1"/>
    <w:rsid w:val="3AB9CDD2"/>
    <w:rsid w:val="3AD3075A"/>
    <w:rsid w:val="3AF37A62"/>
    <w:rsid w:val="3AF74C02"/>
    <w:rsid w:val="3B2373E9"/>
    <w:rsid w:val="3B770524"/>
    <w:rsid w:val="3B981B43"/>
    <w:rsid w:val="3C0059A5"/>
    <w:rsid w:val="3C134E78"/>
    <w:rsid w:val="3C3570EA"/>
    <w:rsid w:val="3C5544FA"/>
    <w:rsid w:val="3CBD09B9"/>
    <w:rsid w:val="3CCFF230"/>
    <w:rsid w:val="3CE724EA"/>
    <w:rsid w:val="3D9849A9"/>
    <w:rsid w:val="3DBF748D"/>
    <w:rsid w:val="3DDF0E7E"/>
    <w:rsid w:val="3DE869D4"/>
    <w:rsid w:val="3DF6345D"/>
    <w:rsid w:val="3E2B5515"/>
    <w:rsid w:val="3E344619"/>
    <w:rsid w:val="3E4D4F28"/>
    <w:rsid w:val="3E527EEA"/>
    <w:rsid w:val="3E8D1066"/>
    <w:rsid w:val="3EBF2959"/>
    <w:rsid w:val="3ED92EC4"/>
    <w:rsid w:val="3EE13701"/>
    <w:rsid w:val="3F0264C5"/>
    <w:rsid w:val="3F1A4BB3"/>
    <w:rsid w:val="3F283A52"/>
    <w:rsid w:val="3F9410E8"/>
    <w:rsid w:val="3FB325CB"/>
    <w:rsid w:val="3FC8246F"/>
    <w:rsid w:val="3FD55988"/>
    <w:rsid w:val="3FDE3474"/>
    <w:rsid w:val="3FDF04DD"/>
    <w:rsid w:val="3FFC68A8"/>
    <w:rsid w:val="3FFE6B7B"/>
    <w:rsid w:val="3FFEA670"/>
    <w:rsid w:val="40192BA6"/>
    <w:rsid w:val="40384169"/>
    <w:rsid w:val="403D0F9D"/>
    <w:rsid w:val="40B80747"/>
    <w:rsid w:val="40DD2801"/>
    <w:rsid w:val="410B1343"/>
    <w:rsid w:val="41193CBF"/>
    <w:rsid w:val="41766EA9"/>
    <w:rsid w:val="41DD3E7F"/>
    <w:rsid w:val="41FD11C6"/>
    <w:rsid w:val="422275FD"/>
    <w:rsid w:val="42550A18"/>
    <w:rsid w:val="429D496A"/>
    <w:rsid w:val="42F473A1"/>
    <w:rsid w:val="43016A94"/>
    <w:rsid w:val="43291CE9"/>
    <w:rsid w:val="437217EA"/>
    <w:rsid w:val="43AB7156"/>
    <w:rsid w:val="441E62C0"/>
    <w:rsid w:val="4450382F"/>
    <w:rsid w:val="44A06303"/>
    <w:rsid w:val="45275022"/>
    <w:rsid w:val="45325D14"/>
    <w:rsid w:val="457163BA"/>
    <w:rsid w:val="45811C7C"/>
    <w:rsid w:val="45906116"/>
    <w:rsid w:val="45931B8C"/>
    <w:rsid w:val="45B6027F"/>
    <w:rsid w:val="45EF2552"/>
    <w:rsid w:val="45F601A1"/>
    <w:rsid w:val="4623473A"/>
    <w:rsid w:val="46694C00"/>
    <w:rsid w:val="468B3EFB"/>
    <w:rsid w:val="470A6193"/>
    <w:rsid w:val="47385210"/>
    <w:rsid w:val="475F1DDD"/>
    <w:rsid w:val="47745769"/>
    <w:rsid w:val="47777325"/>
    <w:rsid w:val="47A616F6"/>
    <w:rsid w:val="47A61E03"/>
    <w:rsid w:val="47A6578C"/>
    <w:rsid w:val="47DC4F5C"/>
    <w:rsid w:val="47F91DF0"/>
    <w:rsid w:val="47FAC629"/>
    <w:rsid w:val="47FE7A46"/>
    <w:rsid w:val="48B40671"/>
    <w:rsid w:val="49040ED6"/>
    <w:rsid w:val="4913642D"/>
    <w:rsid w:val="493301FE"/>
    <w:rsid w:val="49340FFE"/>
    <w:rsid w:val="49682FBB"/>
    <w:rsid w:val="499B5738"/>
    <w:rsid w:val="499F244D"/>
    <w:rsid w:val="49A14B2D"/>
    <w:rsid w:val="49B16E10"/>
    <w:rsid w:val="49EA0282"/>
    <w:rsid w:val="4A7273C2"/>
    <w:rsid w:val="4A973F3F"/>
    <w:rsid w:val="4AF96BC7"/>
    <w:rsid w:val="4B131B02"/>
    <w:rsid w:val="4B862A85"/>
    <w:rsid w:val="4BBFD068"/>
    <w:rsid w:val="4BC602B7"/>
    <w:rsid w:val="4BF10E2F"/>
    <w:rsid w:val="4BFF2A7F"/>
    <w:rsid w:val="4C8F3363"/>
    <w:rsid w:val="4C910E89"/>
    <w:rsid w:val="4CC13400"/>
    <w:rsid w:val="4CC32FE0"/>
    <w:rsid w:val="4CEF36E2"/>
    <w:rsid w:val="4CEF4DC5"/>
    <w:rsid w:val="4D0478AD"/>
    <w:rsid w:val="4D47586A"/>
    <w:rsid w:val="4DB27309"/>
    <w:rsid w:val="4E0657C6"/>
    <w:rsid w:val="4E257655"/>
    <w:rsid w:val="4E8A3DE2"/>
    <w:rsid w:val="4F275616"/>
    <w:rsid w:val="4F3124AF"/>
    <w:rsid w:val="4F372380"/>
    <w:rsid w:val="4F372FFB"/>
    <w:rsid w:val="4F5E7860"/>
    <w:rsid w:val="4F7218E2"/>
    <w:rsid w:val="4F9C1C34"/>
    <w:rsid w:val="4F9F6882"/>
    <w:rsid w:val="4FFE3398"/>
    <w:rsid w:val="501C0EC1"/>
    <w:rsid w:val="5025116D"/>
    <w:rsid w:val="50CF01D2"/>
    <w:rsid w:val="50D43A3A"/>
    <w:rsid w:val="5167665C"/>
    <w:rsid w:val="51C46535"/>
    <w:rsid w:val="521E12EE"/>
    <w:rsid w:val="52395ECD"/>
    <w:rsid w:val="527E5A0B"/>
    <w:rsid w:val="529203A4"/>
    <w:rsid w:val="52C10D75"/>
    <w:rsid w:val="53C27FF8"/>
    <w:rsid w:val="53E42050"/>
    <w:rsid w:val="54295E99"/>
    <w:rsid w:val="549E1A80"/>
    <w:rsid w:val="54C658F4"/>
    <w:rsid w:val="550C4BD7"/>
    <w:rsid w:val="554C1D56"/>
    <w:rsid w:val="555109BF"/>
    <w:rsid w:val="55572986"/>
    <w:rsid w:val="558E2819"/>
    <w:rsid w:val="55D2686D"/>
    <w:rsid w:val="55E70E47"/>
    <w:rsid w:val="55F26D71"/>
    <w:rsid w:val="56233DAE"/>
    <w:rsid w:val="56531D9B"/>
    <w:rsid w:val="565340FA"/>
    <w:rsid w:val="568C38D5"/>
    <w:rsid w:val="56AD5F59"/>
    <w:rsid w:val="56B00020"/>
    <w:rsid w:val="56C8194B"/>
    <w:rsid w:val="56D39567"/>
    <w:rsid w:val="56F76773"/>
    <w:rsid w:val="578F37C9"/>
    <w:rsid w:val="57B12A52"/>
    <w:rsid w:val="57CF2865"/>
    <w:rsid w:val="57E02CC4"/>
    <w:rsid w:val="57F1972C"/>
    <w:rsid w:val="57F436CE"/>
    <w:rsid w:val="584D7A3F"/>
    <w:rsid w:val="58FC71A2"/>
    <w:rsid w:val="59073F5C"/>
    <w:rsid w:val="59931868"/>
    <w:rsid w:val="59B15867"/>
    <w:rsid w:val="59B32C72"/>
    <w:rsid w:val="59B43CF0"/>
    <w:rsid w:val="59F111B9"/>
    <w:rsid w:val="5A2F2CC8"/>
    <w:rsid w:val="5A5A0E47"/>
    <w:rsid w:val="5A9A53AC"/>
    <w:rsid w:val="5AB66E35"/>
    <w:rsid w:val="5AEE3C09"/>
    <w:rsid w:val="5AF7EE1A"/>
    <w:rsid w:val="5B0171D9"/>
    <w:rsid w:val="5B240EB6"/>
    <w:rsid w:val="5B263D64"/>
    <w:rsid w:val="5B7B04AA"/>
    <w:rsid w:val="5B8338EA"/>
    <w:rsid w:val="5B9A7781"/>
    <w:rsid w:val="5BDBA285"/>
    <w:rsid w:val="5C10702D"/>
    <w:rsid w:val="5C152601"/>
    <w:rsid w:val="5C591F03"/>
    <w:rsid w:val="5C844566"/>
    <w:rsid w:val="5C8A1B2F"/>
    <w:rsid w:val="5CEB584E"/>
    <w:rsid w:val="5D235B2D"/>
    <w:rsid w:val="5D2840F8"/>
    <w:rsid w:val="5D9F2E8E"/>
    <w:rsid w:val="5DFB1BA6"/>
    <w:rsid w:val="5E653F23"/>
    <w:rsid w:val="5E7D8330"/>
    <w:rsid w:val="5E937240"/>
    <w:rsid w:val="5EF54E90"/>
    <w:rsid w:val="5F093789"/>
    <w:rsid w:val="5F561B72"/>
    <w:rsid w:val="5F5FDEDA"/>
    <w:rsid w:val="5F7D7A1B"/>
    <w:rsid w:val="5FAFC970"/>
    <w:rsid w:val="5FB27A33"/>
    <w:rsid w:val="5FCB361D"/>
    <w:rsid w:val="605709F3"/>
    <w:rsid w:val="606007BB"/>
    <w:rsid w:val="60A34FEB"/>
    <w:rsid w:val="60AA20C1"/>
    <w:rsid w:val="60AC7F66"/>
    <w:rsid w:val="60ED35FB"/>
    <w:rsid w:val="614E5143"/>
    <w:rsid w:val="6151253D"/>
    <w:rsid w:val="616836D2"/>
    <w:rsid w:val="61A51807"/>
    <w:rsid w:val="61BF10D9"/>
    <w:rsid w:val="61D54EF5"/>
    <w:rsid w:val="62005985"/>
    <w:rsid w:val="620A57D7"/>
    <w:rsid w:val="62A96AD4"/>
    <w:rsid w:val="62AC22DC"/>
    <w:rsid w:val="638A3663"/>
    <w:rsid w:val="63A22BFD"/>
    <w:rsid w:val="641937E6"/>
    <w:rsid w:val="64C86FBA"/>
    <w:rsid w:val="64DA3F5C"/>
    <w:rsid w:val="64E45EF7"/>
    <w:rsid w:val="64F8151B"/>
    <w:rsid w:val="65102DAB"/>
    <w:rsid w:val="66321575"/>
    <w:rsid w:val="6691014E"/>
    <w:rsid w:val="66A01F9C"/>
    <w:rsid w:val="66C87CCE"/>
    <w:rsid w:val="67391EFE"/>
    <w:rsid w:val="67551256"/>
    <w:rsid w:val="67676736"/>
    <w:rsid w:val="676C3182"/>
    <w:rsid w:val="677435B2"/>
    <w:rsid w:val="679F4001"/>
    <w:rsid w:val="67DDCA0F"/>
    <w:rsid w:val="67EF75F1"/>
    <w:rsid w:val="67F74044"/>
    <w:rsid w:val="683055A2"/>
    <w:rsid w:val="684F4F11"/>
    <w:rsid w:val="68A45648"/>
    <w:rsid w:val="68AB594D"/>
    <w:rsid w:val="69124F16"/>
    <w:rsid w:val="692D4CEA"/>
    <w:rsid w:val="69506853"/>
    <w:rsid w:val="69913E1E"/>
    <w:rsid w:val="69AFD319"/>
    <w:rsid w:val="69CD5C14"/>
    <w:rsid w:val="69CF0D33"/>
    <w:rsid w:val="69D838B3"/>
    <w:rsid w:val="69E93C5A"/>
    <w:rsid w:val="6A265352"/>
    <w:rsid w:val="6A6C7AF7"/>
    <w:rsid w:val="6A837C0B"/>
    <w:rsid w:val="6AC13E4D"/>
    <w:rsid w:val="6AC573D5"/>
    <w:rsid w:val="6AF71292"/>
    <w:rsid w:val="6B026C08"/>
    <w:rsid w:val="6B214F1B"/>
    <w:rsid w:val="6B7E6787"/>
    <w:rsid w:val="6B9946B3"/>
    <w:rsid w:val="6BB6C5D6"/>
    <w:rsid w:val="6BCB2743"/>
    <w:rsid w:val="6BDD4690"/>
    <w:rsid w:val="6BDECF04"/>
    <w:rsid w:val="6BF96657"/>
    <w:rsid w:val="6C093B61"/>
    <w:rsid w:val="6C276F3A"/>
    <w:rsid w:val="6C7007C7"/>
    <w:rsid w:val="6CA976D1"/>
    <w:rsid w:val="6CC162E3"/>
    <w:rsid w:val="6CDBCB60"/>
    <w:rsid w:val="6D0B205B"/>
    <w:rsid w:val="6D0B5802"/>
    <w:rsid w:val="6D497313"/>
    <w:rsid w:val="6DE76850"/>
    <w:rsid w:val="6E047BDE"/>
    <w:rsid w:val="6E5D2A12"/>
    <w:rsid w:val="6E7855AD"/>
    <w:rsid w:val="6EDD450E"/>
    <w:rsid w:val="6F736574"/>
    <w:rsid w:val="6F9D0427"/>
    <w:rsid w:val="6FB20BD4"/>
    <w:rsid w:val="6FBA59BE"/>
    <w:rsid w:val="6FBB04F0"/>
    <w:rsid w:val="6FDF7275"/>
    <w:rsid w:val="6FFFDDBB"/>
    <w:rsid w:val="700775A4"/>
    <w:rsid w:val="70296B3E"/>
    <w:rsid w:val="70611204"/>
    <w:rsid w:val="7085418E"/>
    <w:rsid w:val="70976462"/>
    <w:rsid w:val="70AB7EBB"/>
    <w:rsid w:val="70EB4776"/>
    <w:rsid w:val="71003969"/>
    <w:rsid w:val="714D04AA"/>
    <w:rsid w:val="7165620F"/>
    <w:rsid w:val="717039F8"/>
    <w:rsid w:val="71714726"/>
    <w:rsid w:val="717C3606"/>
    <w:rsid w:val="718C55E2"/>
    <w:rsid w:val="718E1C49"/>
    <w:rsid w:val="718E96C9"/>
    <w:rsid w:val="719E6B21"/>
    <w:rsid w:val="71E400B9"/>
    <w:rsid w:val="724D8FD3"/>
    <w:rsid w:val="72A93F87"/>
    <w:rsid w:val="73516534"/>
    <w:rsid w:val="7358359C"/>
    <w:rsid w:val="73747930"/>
    <w:rsid w:val="737DDEA8"/>
    <w:rsid w:val="737F3903"/>
    <w:rsid w:val="739B1A3B"/>
    <w:rsid w:val="739E4D03"/>
    <w:rsid w:val="73BFDD85"/>
    <w:rsid w:val="73D7DDD8"/>
    <w:rsid w:val="73EB99E7"/>
    <w:rsid w:val="741C4C2C"/>
    <w:rsid w:val="743EF7B5"/>
    <w:rsid w:val="747F6524"/>
    <w:rsid w:val="74D13AD5"/>
    <w:rsid w:val="74FA2C30"/>
    <w:rsid w:val="75311864"/>
    <w:rsid w:val="75414891"/>
    <w:rsid w:val="754D5C4B"/>
    <w:rsid w:val="757B1640"/>
    <w:rsid w:val="75DD7C48"/>
    <w:rsid w:val="75EC3A1E"/>
    <w:rsid w:val="75EF6096"/>
    <w:rsid w:val="76001AAA"/>
    <w:rsid w:val="7614728E"/>
    <w:rsid w:val="768604F8"/>
    <w:rsid w:val="76AA3E28"/>
    <w:rsid w:val="76C240A7"/>
    <w:rsid w:val="76C26F8C"/>
    <w:rsid w:val="76DA416A"/>
    <w:rsid w:val="772C0DA6"/>
    <w:rsid w:val="773F7994"/>
    <w:rsid w:val="775246B7"/>
    <w:rsid w:val="77BC462D"/>
    <w:rsid w:val="77BF7034"/>
    <w:rsid w:val="77DF0D2C"/>
    <w:rsid w:val="78012F5A"/>
    <w:rsid w:val="781E69D1"/>
    <w:rsid w:val="78396526"/>
    <w:rsid w:val="78580A05"/>
    <w:rsid w:val="7901747F"/>
    <w:rsid w:val="790B14E0"/>
    <w:rsid w:val="79231E78"/>
    <w:rsid w:val="793547C6"/>
    <w:rsid w:val="7974D46C"/>
    <w:rsid w:val="7A263B6B"/>
    <w:rsid w:val="7A275881"/>
    <w:rsid w:val="7A650681"/>
    <w:rsid w:val="7A6660B8"/>
    <w:rsid w:val="7A7B92A4"/>
    <w:rsid w:val="7A7E8A25"/>
    <w:rsid w:val="7AAF3431"/>
    <w:rsid w:val="7AEBA268"/>
    <w:rsid w:val="7AF46346"/>
    <w:rsid w:val="7B031384"/>
    <w:rsid w:val="7B0F5EBF"/>
    <w:rsid w:val="7B130FB9"/>
    <w:rsid w:val="7B2573C0"/>
    <w:rsid w:val="7B475B0C"/>
    <w:rsid w:val="7B77DF7B"/>
    <w:rsid w:val="7BD71E38"/>
    <w:rsid w:val="7BDBAAE1"/>
    <w:rsid w:val="7BF63561"/>
    <w:rsid w:val="7BF64EDE"/>
    <w:rsid w:val="7BF9BDC0"/>
    <w:rsid w:val="7C10780F"/>
    <w:rsid w:val="7C400C1E"/>
    <w:rsid w:val="7C4A6EA9"/>
    <w:rsid w:val="7C785652"/>
    <w:rsid w:val="7CA0063E"/>
    <w:rsid w:val="7CF539D3"/>
    <w:rsid w:val="7D3FA009"/>
    <w:rsid w:val="7D553689"/>
    <w:rsid w:val="7D7C783B"/>
    <w:rsid w:val="7DA41F1A"/>
    <w:rsid w:val="7DB506D8"/>
    <w:rsid w:val="7DD11708"/>
    <w:rsid w:val="7DEE4A4F"/>
    <w:rsid w:val="7DF70E6F"/>
    <w:rsid w:val="7DFF0109"/>
    <w:rsid w:val="7E37D784"/>
    <w:rsid w:val="7E7D5F57"/>
    <w:rsid w:val="7E863861"/>
    <w:rsid w:val="7EAE6230"/>
    <w:rsid w:val="7EB1FB18"/>
    <w:rsid w:val="7EBD579E"/>
    <w:rsid w:val="7EBE0DBA"/>
    <w:rsid w:val="7EBF98B8"/>
    <w:rsid w:val="7EC167BD"/>
    <w:rsid w:val="7EF7EF0E"/>
    <w:rsid w:val="7EF96800"/>
    <w:rsid w:val="7F062A21"/>
    <w:rsid w:val="7F0E3631"/>
    <w:rsid w:val="7F272D9E"/>
    <w:rsid w:val="7F621043"/>
    <w:rsid w:val="7F692316"/>
    <w:rsid w:val="7F6D5E2D"/>
    <w:rsid w:val="7F77A865"/>
    <w:rsid w:val="7F7F6E16"/>
    <w:rsid w:val="7F9069FC"/>
    <w:rsid w:val="7F9BE0C6"/>
    <w:rsid w:val="7FAE84A0"/>
    <w:rsid w:val="7FB58DBA"/>
    <w:rsid w:val="7FB749AC"/>
    <w:rsid w:val="7FB7749C"/>
    <w:rsid w:val="7FCBE066"/>
    <w:rsid w:val="7FDE41CF"/>
    <w:rsid w:val="7FDF6467"/>
    <w:rsid w:val="7FDFBA70"/>
    <w:rsid w:val="7FF17E39"/>
    <w:rsid w:val="7FF77D03"/>
    <w:rsid w:val="7FFFCE99"/>
    <w:rsid w:val="7FFFE135"/>
    <w:rsid w:val="8CF7E319"/>
    <w:rsid w:val="8FF7EC84"/>
    <w:rsid w:val="9EA7E2C7"/>
    <w:rsid w:val="9F1F8CDC"/>
    <w:rsid w:val="9F772897"/>
    <w:rsid w:val="9FFE848D"/>
    <w:rsid w:val="A6D91145"/>
    <w:rsid w:val="A7353ADB"/>
    <w:rsid w:val="A7CFDC18"/>
    <w:rsid w:val="A7FF5599"/>
    <w:rsid w:val="AB6D6A5E"/>
    <w:rsid w:val="AFE37EF8"/>
    <w:rsid w:val="AFFB80DE"/>
    <w:rsid w:val="AFFF0231"/>
    <w:rsid w:val="B4F7A86B"/>
    <w:rsid w:val="B7A06398"/>
    <w:rsid w:val="B9E52285"/>
    <w:rsid w:val="BA7B23C6"/>
    <w:rsid w:val="BD77A211"/>
    <w:rsid w:val="BDFDCAA2"/>
    <w:rsid w:val="BDFFE5A6"/>
    <w:rsid w:val="BF3E3DEA"/>
    <w:rsid w:val="BFBC972E"/>
    <w:rsid w:val="BFBF6BF1"/>
    <w:rsid w:val="BFFFECCC"/>
    <w:rsid w:val="C3EFF317"/>
    <w:rsid w:val="C6DF54A2"/>
    <w:rsid w:val="C78E13F2"/>
    <w:rsid w:val="CAFF016D"/>
    <w:rsid w:val="CE9D6EF5"/>
    <w:rsid w:val="CFF7CC1A"/>
    <w:rsid w:val="D3FEA059"/>
    <w:rsid w:val="D5F76BE0"/>
    <w:rsid w:val="DBED36D9"/>
    <w:rsid w:val="DBFFA904"/>
    <w:rsid w:val="DD7F02BD"/>
    <w:rsid w:val="DE5DE7A1"/>
    <w:rsid w:val="DF7FAC11"/>
    <w:rsid w:val="DFEB4ADC"/>
    <w:rsid w:val="DFED2E2E"/>
    <w:rsid w:val="E7BD3679"/>
    <w:rsid w:val="E9FECB1F"/>
    <w:rsid w:val="E9FF32A4"/>
    <w:rsid w:val="EBB76726"/>
    <w:rsid w:val="EBBE4E9B"/>
    <w:rsid w:val="ECA71D3F"/>
    <w:rsid w:val="ECF2916C"/>
    <w:rsid w:val="EEF9963D"/>
    <w:rsid w:val="EF5B613C"/>
    <w:rsid w:val="EFCFD2D5"/>
    <w:rsid w:val="EFE8281D"/>
    <w:rsid w:val="EFFE870D"/>
    <w:rsid w:val="F2768958"/>
    <w:rsid w:val="F27F30BC"/>
    <w:rsid w:val="F3B52220"/>
    <w:rsid w:val="F3E92079"/>
    <w:rsid w:val="F3F7A2D7"/>
    <w:rsid w:val="F5FFC33A"/>
    <w:rsid w:val="F68BA03B"/>
    <w:rsid w:val="F6FE9E55"/>
    <w:rsid w:val="F773F015"/>
    <w:rsid w:val="F7FF1376"/>
    <w:rsid w:val="F7FFF15C"/>
    <w:rsid w:val="F9EE7F88"/>
    <w:rsid w:val="FADFE4AB"/>
    <w:rsid w:val="FB57B474"/>
    <w:rsid w:val="FB7E255A"/>
    <w:rsid w:val="FB7F54C0"/>
    <w:rsid w:val="FBA67C8F"/>
    <w:rsid w:val="FBA933C1"/>
    <w:rsid w:val="FBFB1261"/>
    <w:rsid w:val="FBFC96ED"/>
    <w:rsid w:val="FC572953"/>
    <w:rsid w:val="FCBD23A0"/>
    <w:rsid w:val="FDBD3E35"/>
    <w:rsid w:val="FDFBD4D2"/>
    <w:rsid w:val="FDFF7326"/>
    <w:rsid w:val="FE37B0AC"/>
    <w:rsid w:val="FE7F08D4"/>
    <w:rsid w:val="FEBF8A3A"/>
    <w:rsid w:val="FEDF500A"/>
    <w:rsid w:val="FEFD052E"/>
    <w:rsid w:val="FEFF2BA0"/>
    <w:rsid w:val="FEFFA799"/>
    <w:rsid w:val="FF6D4772"/>
    <w:rsid w:val="FF7F9E91"/>
    <w:rsid w:val="FFAD10D1"/>
    <w:rsid w:val="FFB731A1"/>
    <w:rsid w:val="FFBE292B"/>
    <w:rsid w:val="FFE60EDD"/>
    <w:rsid w:val="FFF7B963"/>
    <w:rsid w:val="FFFE5604"/>
    <w:rsid w:val="FFFF883A"/>
    <w:rsid w:val="FFFFEB92"/>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nhideWhenUsed="0" w:uiPriority="0" w:semiHidden="0" w:name="heading 4"/>
    <w:lsdException w:qFormat="1" w:unhideWhenUsed="0" w:uiPriority="9" w:semiHidden="0" w:name="heading 5"/>
    <w:lsdException w:qFormat="1" w:uiPriority="9" w:name="heading 6"/>
    <w:lsdException w:qFormat="1" w:unhideWhenUsed="0" w:uiPriority="0" w:semiHidden="0" w:name="heading 7"/>
    <w:lsdException w:qFormat="1" w:unhideWhenUsed="0" w:uiPriority="9" w:semiHidden="0"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3"/>
    <w:qFormat/>
    <w:uiPriority w:val="9"/>
    <w:pPr>
      <w:keepNext/>
      <w:keepLines/>
      <w:spacing w:before="260" w:after="260" w:line="416" w:lineRule="auto"/>
      <w:outlineLvl w:val="1"/>
    </w:pPr>
    <w:rPr>
      <w:rFonts w:ascii="Cambria" w:hAnsi="Cambria"/>
      <w:b/>
      <w:bCs/>
      <w:sz w:val="32"/>
      <w:szCs w:val="32"/>
    </w:rPr>
  </w:style>
  <w:style w:type="paragraph" w:styleId="4">
    <w:name w:val="heading 4"/>
    <w:basedOn w:val="1"/>
    <w:next w:val="1"/>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paragraph" w:styleId="5">
    <w:name w:val="heading 5"/>
    <w:basedOn w:val="1"/>
    <w:next w:val="6"/>
    <w:link w:val="44"/>
    <w:qFormat/>
    <w:uiPriority w:val="9"/>
    <w:pPr>
      <w:keepNext/>
      <w:keepLines/>
      <w:spacing w:before="280" w:after="290" w:line="376" w:lineRule="auto"/>
      <w:outlineLvl w:val="4"/>
    </w:pPr>
    <w:rPr>
      <w:b/>
      <w:bCs/>
      <w:sz w:val="28"/>
      <w:szCs w:val="28"/>
    </w:rPr>
  </w:style>
  <w:style w:type="paragraph" w:styleId="7">
    <w:name w:val="heading 7"/>
    <w:basedOn w:val="1"/>
    <w:next w:val="1"/>
    <w:link w:val="45"/>
    <w:qFormat/>
    <w:uiPriority w:val="0"/>
    <w:pPr>
      <w:keepNext/>
      <w:keepLines/>
      <w:spacing w:before="240" w:after="64" w:line="320" w:lineRule="auto"/>
      <w:outlineLvl w:val="6"/>
    </w:pPr>
    <w:rPr>
      <w:b/>
      <w:bCs/>
      <w:sz w:val="24"/>
    </w:rPr>
  </w:style>
  <w:style w:type="paragraph" w:styleId="8">
    <w:name w:val="heading 8"/>
    <w:basedOn w:val="1"/>
    <w:next w:val="1"/>
    <w:link w:val="46"/>
    <w:qFormat/>
    <w:uiPriority w:val="9"/>
    <w:pPr>
      <w:keepNext/>
      <w:keepLines/>
      <w:spacing w:before="240" w:after="64" w:line="320" w:lineRule="auto"/>
      <w:outlineLvl w:val="7"/>
    </w:pPr>
    <w:rPr>
      <w:rFonts w:ascii="等线 Light" w:hAnsi="等线 Light" w:eastAsia="等线 Light"/>
      <w:sz w:val="24"/>
    </w:rPr>
  </w:style>
  <w:style w:type="character" w:default="1" w:styleId="33">
    <w:name w:val="Default Paragraph Font"/>
    <w:unhideWhenUsed/>
    <w:qFormat/>
    <w:uiPriority w:val="1"/>
  </w:style>
  <w:style w:type="table" w:default="1" w:styleId="31">
    <w:name w:val="Normal Table"/>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9">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0">
    <w:name w:val="caption"/>
    <w:basedOn w:val="1"/>
    <w:next w:val="1"/>
    <w:qFormat/>
    <w:uiPriority w:val="35"/>
    <w:rPr>
      <w:rFonts w:ascii="Arial" w:hAnsi="Arial" w:eastAsia="黑体"/>
      <w:sz w:val="20"/>
    </w:rPr>
  </w:style>
  <w:style w:type="paragraph" w:styleId="11">
    <w:name w:val="Document Map"/>
    <w:basedOn w:val="1"/>
    <w:link w:val="47"/>
    <w:unhideWhenUsed/>
    <w:qFormat/>
    <w:uiPriority w:val="99"/>
    <w:rPr>
      <w:rFonts w:ascii="宋体"/>
      <w:sz w:val="18"/>
      <w:szCs w:val="18"/>
    </w:rPr>
  </w:style>
  <w:style w:type="paragraph" w:styleId="12">
    <w:name w:val="annotation text"/>
    <w:basedOn w:val="1"/>
    <w:link w:val="48"/>
    <w:qFormat/>
    <w:uiPriority w:val="0"/>
    <w:pPr>
      <w:jc w:val="left"/>
    </w:pPr>
  </w:style>
  <w:style w:type="paragraph" w:styleId="13">
    <w:name w:val="Body Text 3"/>
    <w:basedOn w:val="1"/>
    <w:link w:val="49"/>
    <w:unhideWhenUsed/>
    <w:qFormat/>
    <w:uiPriority w:val="99"/>
    <w:pPr>
      <w:spacing w:after="120"/>
    </w:pPr>
    <w:rPr>
      <w:sz w:val="16"/>
      <w:szCs w:val="16"/>
    </w:rPr>
  </w:style>
  <w:style w:type="paragraph" w:styleId="14">
    <w:name w:val="Body Text"/>
    <w:basedOn w:val="1"/>
    <w:next w:val="15"/>
    <w:link w:val="50"/>
    <w:unhideWhenUsed/>
    <w:qFormat/>
    <w:uiPriority w:val="0"/>
    <w:pPr>
      <w:spacing w:after="120"/>
    </w:pPr>
  </w:style>
  <w:style w:type="paragraph" w:styleId="15">
    <w:name w:val="toc 5"/>
    <w:basedOn w:val="1"/>
    <w:next w:val="1"/>
    <w:qFormat/>
    <w:uiPriority w:val="0"/>
    <w:pPr>
      <w:autoSpaceDE w:val="0"/>
      <w:autoSpaceDN w:val="0"/>
      <w:ind w:left="1680" w:leftChars="800"/>
      <w:jc w:val="left"/>
    </w:pPr>
    <w:rPr>
      <w:rFonts w:ascii="方正仿宋_GBK" w:hAnsi="方正仿宋_GBK" w:eastAsia="方正仿宋_GBK" w:cs="方正仿宋_GBK"/>
      <w:kern w:val="0"/>
      <w:sz w:val="22"/>
      <w:lang w:val="zh-CN" w:bidi="zh-CN"/>
    </w:rPr>
  </w:style>
  <w:style w:type="paragraph" w:styleId="16">
    <w:name w:val="Body Text Indent"/>
    <w:basedOn w:val="1"/>
    <w:link w:val="51"/>
    <w:qFormat/>
    <w:uiPriority w:val="0"/>
    <w:pPr>
      <w:ind w:firstLine="830" w:firstLineChars="352"/>
    </w:pPr>
    <w:rPr>
      <w:rFonts w:ascii="仿宋_GB2312" w:eastAsia="仿宋_GB2312"/>
      <w:kern w:val="0"/>
      <w:sz w:val="32"/>
      <w:szCs w:val="20"/>
    </w:rPr>
  </w:style>
  <w:style w:type="paragraph" w:styleId="17">
    <w:name w:val="List 2"/>
    <w:basedOn w:val="1"/>
    <w:unhideWhenUsed/>
    <w:qFormat/>
    <w:uiPriority w:val="99"/>
    <w:pPr>
      <w:ind w:left="100" w:leftChars="200" w:hanging="200" w:hangingChars="200"/>
      <w:contextualSpacing/>
    </w:pPr>
  </w:style>
  <w:style w:type="paragraph" w:styleId="18">
    <w:name w:val="Block Text"/>
    <w:basedOn w:val="1"/>
    <w:qFormat/>
    <w:uiPriority w:val="0"/>
    <w:pPr>
      <w:spacing w:before="100" w:beforeAutospacing="1" w:after="100" w:afterAutospacing="1"/>
      <w:ind w:left="-2" w:leftChars="-1" w:right="26"/>
    </w:pPr>
    <w:rPr>
      <w:rFonts w:ascii="Arial" w:hAnsi="Arial" w:cs="Arial"/>
      <w:color w:val="000000"/>
      <w:szCs w:val="18"/>
    </w:rPr>
  </w:style>
  <w:style w:type="paragraph" w:styleId="19">
    <w:name w:val="Plain Text"/>
    <w:basedOn w:val="1"/>
    <w:next w:val="1"/>
    <w:link w:val="52"/>
    <w:qFormat/>
    <w:uiPriority w:val="0"/>
    <w:rPr>
      <w:rFonts w:ascii="宋体" w:hAnsi="Courier New"/>
      <w:kern w:val="0"/>
      <w:sz w:val="20"/>
      <w:szCs w:val="21"/>
    </w:rPr>
  </w:style>
  <w:style w:type="paragraph" w:styleId="20">
    <w:name w:val="Date"/>
    <w:basedOn w:val="1"/>
    <w:next w:val="1"/>
    <w:link w:val="53"/>
    <w:unhideWhenUsed/>
    <w:qFormat/>
    <w:uiPriority w:val="99"/>
    <w:pPr>
      <w:ind w:left="100" w:leftChars="2500"/>
    </w:pPr>
  </w:style>
  <w:style w:type="paragraph" w:styleId="21">
    <w:name w:val="Balloon Text"/>
    <w:basedOn w:val="1"/>
    <w:semiHidden/>
    <w:qFormat/>
    <w:uiPriority w:val="0"/>
    <w:rPr>
      <w:sz w:val="18"/>
      <w:szCs w:val="18"/>
    </w:rPr>
  </w:style>
  <w:style w:type="paragraph" w:styleId="22">
    <w:name w:val="footer"/>
    <w:basedOn w:val="1"/>
    <w:next w:val="1"/>
    <w:link w:val="54"/>
    <w:unhideWhenUsed/>
    <w:qFormat/>
    <w:uiPriority w:val="99"/>
    <w:pPr>
      <w:tabs>
        <w:tab w:val="center" w:pos="4153"/>
        <w:tab w:val="right" w:pos="8306"/>
      </w:tabs>
      <w:snapToGrid w:val="0"/>
      <w:jc w:val="left"/>
    </w:pPr>
    <w:rPr>
      <w:kern w:val="0"/>
      <w:sz w:val="18"/>
      <w:szCs w:val="18"/>
    </w:rPr>
  </w:style>
  <w:style w:type="paragraph" w:styleId="23">
    <w:name w:val="header"/>
    <w:basedOn w:val="1"/>
    <w:link w:val="55"/>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4">
    <w:name w:val="toc 1"/>
    <w:basedOn w:val="1"/>
    <w:next w:val="1"/>
    <w:unhideWhenUsed/>
    <w:qFormat/>
    <w:uiPriority w:val="39"/>
  </w:style>
  <w:style w:type="paragraph" w:styleId="25">
    <w:name w:val="toc 2"/>
    <w:basedOn w:val="1"/>
    <w:next w:val="1"/>
    <w:unhideWhenUsed/>
    <w:qFormat/>
    <w:uiPriority w:val="39"/>
    <w:pPr>
      <w:tabs>
        <w:tab w:val="right" w:leader="dot" w:pos="8296"/>
      </w:tabs>
      <w:ind w:left="420" w:leftChars="200"/>
    </w:pPr>
  </w:style>
  <w:style w:type="paragraph" w:styleId="2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7">
    <w:name w:val="Normal (Web)"/>
    <w:basedOn w:val="1"/>
    <w:unhideWhenUsed/>
    <w:qFormat/>
    <w:uiPriority w:val="99"/>
    <w:pPr>
      <w:spacing w:before="0" w:beforeAutospacing="0" w:after="0" w:afterAutospacing="0"/>
      <w:ind w:left="0" w:right="0"/>
      <w:jc w:val="both"/>
    </w:pPr>
    <w:rPr>
      <w:rFonts w:hint="default" w:ascii="Calibri" w:hAnsi="Calibri" w:cs="Calibri"/>
      <w:kern w:val="0"/>
      <w:sz w:val="24"/>
      <w:szCs w:val="24"/>
      <w:lang w:val="en-US" w:eastAsia="zh-CN" w:bidi="ar"/>
    </w:rPr>
  </w:style>
  <w:style w:type="paragraph" w:styleId="28">
    <w:name w:val="index 1"/>
    <w:basedOn w:val="1"/>
    <w:next w:val="1"/>
    <w:qFormat/>
    <w:uiPriority w:val="0"/>
    <w:pPr>
      <w:spacing w:line="400" w:lineRule="exact"/>
      <w:ind w:firstLine="420" w:firstLineChars="200"/>
    </w:pPr>
    <w:rPr>
      <w:rFonts w:ascii="宋体" w:hAnsi="Courier New"/>
      <w:b/>
      <w:szCs w:val="20"/>
    </w:rPr>
  </w:style>
  <w:style w:type="paragraph" w:styleId="29">
    <w:name w:val="annotation subject"/>
    <w:basedOn w:val="12"/>
    <w:next w:val="12"/>
    <w:link w:val="56"/>
    <w:qFormat/>
    <w:uiPriority w:val="99"/>
    <w:rPr>
      <w:b/>
      <w:bCs/>
    </w:rPr>
  </w:style>
  <w:style w:type="paragraph" w:styleId="30">
    <w:name w:val="Body Text First Indent"/>
    <w:basedOn w:val="14"/>
    <w:unhideWhenUsed/>
    <w:qFormat/>
    <w:uiPriority w:val="99"/>
    <w:pPr>
      <w:spacing w:after="120" w:line="240" w:lineRule="auto"/>
      <w:ind w:firstLine="420" w:firstLineChars="100"/>
    </w:pPr>
    <w:rPr>
      <w:kern w:val="2"/>
      <w:sz w:val="21"/>
    </w:rPr>
  </w:style>
  <w:style w:type="table" w:styleId="32">
    <w:name w:val="Table Grid"/>
    <w:basedOn w:val="3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Strong"/>
    <w:basedOn w:val="33"/>
    <w:qFormat/>
    <w:uiPriority w:val="22"/>
    <w:rPr>
      <w:b/>
    </w:rPr>
  </w:style>
  <w:style w:type="character" w:styleId="35">
    <w:name w:val="endnote reference"/>
    <w:unhideWhenUsed/>
    <w:qFormat/>
    <w:uiPriority w:val="99"/>
    <w:rPr>
      <w:vertAlign w:val="superscript"/>
    </w:rPr>
  </w:style>
  <w:style w:type="character" w:styleId="36">
    <w:name w:val="Hyperlink"/>
    <w:unhideWhenUsed/>
    <w:qFormat/>
    <w:uiPriority w:val="99"/>
    <w:rPr>
      <w:color w:val="0000FF"/>
      <w:u w:val="single"/>
    </w:rPr>
  </w:style>
  <w:style w:type="character" w:styleId="37">
    <w:name w:val="annotation reference"/>
    <w:qFormat/>
    <w:uiPriority w:val="0"/>
    <w:rPr>
      <w:sz w:val="21"/>
      <w:szCs w:val="21"/>
    </w:rPr>
  </w:style>
  <w:style w:type="paragraph" w:customStyle="1" w:styleId="3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9">
    <w:name w:val="正文文字 6"/>
    <w:next w:val="1"/>
    <w:qFormat/>
    <w:uiPriority w:val="0"/>
    <w:pPr>
      <w:widowControl w:val="0"/>
      <w:ind w:left="240"/>
      <w:jc w:val="both"/>
    </w:pPr>
    <w:rPr>
      <w:rFonts w:ascii="宋体" w:hAnsi="Calibri" w:eastAsia="宋体" w:cs="Times New Roman"/>
      <w:b/>
      <w:bCs/>
      <w:kern w:val="2"/>
      <w:sz w:val="32"/>
      <w:szCs w:val="32"/>
      <w:lang w:val="en-US" w:eastAsia="zh-CN" w:bidi="ar-SA"/>
    </w:rPr>
  </w:style>
  <w:style w:type="paragraph" w:customStyle="1" w:styleId="40">
    <w:name w:val="表格文字"/>
    <w:basedOn w:val="41"/>
    <w:qFormat/>
    <w:uiPriority w:val="0"/>
    <w:pPr>
      <w:spacing w:before="25" w:beforeLines="0" w:after="25" w:afterLines="0"/>
      <w:jc w:val="left"/>
    </w:pPr>
    <w:rPr>
      <w:bCs/>
      <w:spacing w:val="10"/>
      <w:kern w:val="0"/>
      <w:sz w:val="24"/>
      <w:szCs w:val="20"/>
    </w:rPr>
  </w:style>
  <w:style w:type="paragraph" w:customStyle="1" w:styleId="41">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2">
    <w:name w:val="标题 1 Char"/>
    <w:link w:val="2"/>
    <w:qFormat/>
    <w:uiPriority w:val="9"/>
    <w:rPr>
      <w:b/>
      <w:bCs/>
      <w:kern w:val="44"/>
      <w:sz w:val="44"/>
      <w:szCs w:val="44"/>
    </w:rPr>
  </w:style>
  <w:style w:type="character" w:customStyle="1" w:styleId="43">
    <w:name w:val="标题 2 Char1"/>
    <w:link w:val="3"/>
    <w:qFormat/>
    <w:uiPriority w:val="9"/>
    <w:rPr>
      <w:rFonts w:ascii="Cambria" w:hAnsi="Cambria" w:eastAsia="宋体" w:cs="Times New Roman"/>
      <w:b/>
      <w:bCs/>
      <w:kern w:val="2"/>
      <w:sz w:val="32"/>
      <w:szCs w:val="32"/>
    </w:rPr>
  </w:style>
  <w:style w:type="character" w:customStyle="1" w:styleId="44">
    <w:name w:val="标题 5 Char"/>
    <w:link w:val="5"/>
    <w:semiHidden/>
    <w:qFormat/>
    <w:uiPriority w:val="9"/>
    <w:rPr>
      <w:rFonts w:ascii="Times New Roman" w:hAnsi="Times New Roman"/>
      <w:b/>
      <w:bCs/>
      <w:kern w:val="2"/>
      <w:sz w:val="28"/>
      <w:szCs w:val="28"/>
    </w:rPr>
  </w:style>
  <w:style w:type="character" w:customStyle="1" w:styleId="45">
    <w:name w:val="标题 7 Char"/>
    <w:link w:val="7"/>
    <w:qFormat/>
    <w:uiPriority w:val="0"/>
    <w:rPr>
      <w:b/>
      <w:bCs/>
      <w:kern w:val="2"/>
      <w:sz w:val="24"/>
      <w:szCs w:val="24"/>
    </w:rPr>
  </w:style>
  <w:style w:type="character" w:customStyle="1" w:styleId="46">
    <w:name w:val="标题 8 Char1"/>
    <w:link w:val="8"/>
    <w:semiHidden/>
    <w:qFormat/>
    <w:uiPriority w:val="9"/>
    <w:rPr>
      <w:rFonts w:ascii="等线 Light" w:hAnsi="等线 Light" w:eastAsia="等线 Light" w:cs="Times New Roman"/>
      <w:kern w:val="2"/>
      <w:sz w:val="24"/>
      <w:szCs w:val="24"/>
    </w:rPr>
  </w:style>
  <w:style w:type="character" w:customStyle="1" w:styleId="47">
    <w:name w:val="文档结构图 Char"/>
    <w:link w:val="11"/>
    <w:semiHidden/>
    <w:qFormat/>
    <w:uiPriority w:val="99"/>
    <w:rPr>
      <w:rFonts w:ascii="宋体"/>
      <w:kern w:val="2"/>
      <w:sz w:val="18"/>
      <w:szCs w:val="18"/>
    </w:rPr>
  </w:style>
  <w:style w:type="character" w:customStyle="1" w:styleId="48">
    <w:name w:val="批注文字 Char1"/>
    <w:link w:val="12"/>
    <w:qFormat/>
    <w:uiPriority w:val="0"/>
    <w:rPr>
      <w:rFonts w:ascii="Times New Roman" w:hAnsi="Times New Roman"/>
      <w:kern w:val="2"/>
      <w:sz w:val="21"/>
      <w:szCs w:val="24"/>
    </w:rPr>
  </w:style>
  <w:style w:type="character" w:customStyle="1" w:styleId="49">
    <w:name w:val="正文文本 3 Char"/>
    <w:link w:val="13"/>
    <w:semiHidden/>
    <w:qFormat/>
    <w:uiPriority w:val="99"/>
    <w:rPr>
      <w:kern w:val="2"/>
      <w:sz w:val="16"/>
      <w:szCs w:val="16"/>
    </w:rPr>
  </w:style>
  <w:style w:type="character" w:customStyle="1" w:styleId="50">
    <w:name w:val="正文文本 Char1"/>
    <w:link w:val="14"/>
    <w:qFormat/>
    <w:uiPriority w:val="0"/>
    <w:rPr>
      <w:rFonts w:ascii="Times New Roman" w:hAnsi="Times New Roman"/>
      <w:kern w:val="2"/>
      <w:sz w:val="21"/>
      <w:szCs w:val="24"/>
    </w:rPr>
  </w:style>
  <w:style w:type="character" w:customStyle="1" w:styleId="51">
    <w:name w:val="正文文本缩进 Char"/>
    <w:link w:val="16"/>
    <w:qFormat/>
    <w:uiPriority w:val="0"/>
    <w:rPr>
      <w:rFonts w:ascii="仿宋_GB2312" w:hAnsi="Times New Roman" w:eastAsia="仿宋_GB2312" w:cs="Times New Roman"/>
      <w:sz w:val="32"/>
      <w:szCs w:val="20"/>
    </w:rPr>
  </w:style>
  <w:style w:type="character" w:customStyle="1" w:styleId="52">
    <w:name w:val="纯文本 Char1"/>
    <w:link w:val="19"/>
    <w:qFormat/>
    <w:uiPriority w:val="0"/>
    <w:rPr>
      <w:rFonts w:ascii="宋体" w:hAnsi="Courier New" w:eastAsia="宋体" w:cs="Courier New"/>
      <w:szCs w:val="21"/>
    </w:rPr>
  </w:style>
  <w:style w:type="character" w:customStyle="1" w:styleId="53">
    <w:name w:val="日期 Char"/>
    <w:link w:val="20"/>
    <w:semiHidden/>
    <w:qFormat/>
    <w:uiPriority w:val="99"/>
    <w:rPr>
      <w:rFonts w:ascii="Times New Roman" w:hAnsi="Times New Roman"/>
      <w:kern w:val="2"/>
      <w:sz w:val="21"/>
      <w:szCs w:val="24"/>
    </w:rPr>
  </w:style>
  <w:style w:type="character" w:customStyle="1" w:styleId="54">
    <w:name w:val="页脚 Char"/>
    <w:link w:val="22"/>
    <w:qFormat/>
    <w:uiPriority w:val="99"/>
    <w:rPr>
      <w:sz w:val="18"/>
      <w:szCs w:val="18"/>
    </w:rPr>
  </w:style>
  <w:style w:type="character" w:customStyle="1" w:styleId="55">
    <w:name w:val="页眉 Char"/>
    <w:link w:val="23"/>
    <w:qFormat/>
    <w:uiPriority w:val="99"/>
    <w:rPr>
      <w:sz w:val="18"/>
      <w:szCs w:val="18"/>
    </w:rPr>
  </w:style>
  <w:style w:type="character" w:customStyle="1" w:styleId="56">
    <w:name w:val="批注主题 Char"/>
    <w:link w:val="29"/>
    <w:qFormat/>
    <w:uiPriority w:val="99"/>
    <w:rPr>
      <w:rFonts w:ascii="Times New Roman" w:hAnsi="Times New Roman"/>
      <w:b/>
      <w:bCs/>
      <w:kern w:val="2"/>
      <w:sz w:val="21"/>
      <w:szCs w:val="24"/>
    </w:rPr>
  </w:style>
  <w:style w:type="character" w:customStyle="1" w:styleId="57">
    <w:name w:val="标题 1 字符1"/>
    <w:qFormat/>
    <w:uiPriority w:val="0"/>
    <w:rPr>
      <w:b/>
      <w:bCs/>
      <w:kern w:val="44"/>
      <w:sz w:val="44"/>
      <w:szCs w:val="44"/>
    </w:rPr>
  </w:style>
  <w:style w:type="character" w:customStyle="1" w:styleId="58">
    <w:name w:val="textcontents"/>
    <w:qFormat/>
    <w:uiPriority w:val="0"/>
  </w:style>
  <w:style w:type="character" w:customStyle="1" w:styleId="59">
    <w:name w:val="批注文字 Char"/>
    <w:qFormat/>
    <w:uiPriority w:val="0"/>
    <w:rPr>
      <w:rFonts w:ascii="Times New Roman" w:hAnsi="Times New Roman"/>
      <w:kern w:val="2"/>
      <w:sz w:val="21"/>
      <w:szCs w:val="24"/>
    </w:rPr>
  </w:style>
  <w:style w:type="character" w:customStyle="1" w:styleId="60">
    <w:name w:val="纯文本 字符"/>
    <w:qFormat/>
    <w:uiPriority w:val="0"/>
    <w:rPr>
      <w:rFonts w:ascii="宋体" w:hAnsi="Courier New" w:eastAsia="宋体" w:cs="Courier New"/>
      <w:szCs w:val="21"/>
    </w:rPr>
  </w:style>
  <w:style w:type="character" w:customStyle="1" w:styleId="61">
    <w:name w:val="纯文本 Char"/>
    <w:qFormat/>
    <w:uiPriority w:val="0"/>
    <w:rPr>
      <w:rFonts w:ascii="宋体" w:hAnsi="Courier New" w:eastAsia="宋体" w:cs="Courier New"/>
      <w:szCs w:val="21"/>
    </w:rPr>
  </w:style>
  <w:style w:type="character" w:customStyle="1" w:styleId="62">
    <w:name w:val="纯文本 字符2"/>
    <w:qFormat/>
    <w:uiPriority w:val="0"/>
    <w:rPr>
      <w:rFonts w:ascii="宋体" w:hAnsi="Courier New" w:eastAsia="宋体" w:cs="Courier New"/>
      <w:szCs w:val="21"/>
    </w:rPr>
  </w:style>
  <w:style w:type="character" w:customStyle="1" w:styleId="63">
    <w:name w:val="批注文字 字符1"/>
    <w:qFormat/>
    <w:uiPriority w:val="0"/>
    <w:rPr>
      <w:rFonts w:ascii="Times New Roman" w:hAnsi="Times New Roman"/>
      <w:kern w:val="2"/>
      <w:sz w:val="21"/>
      <w:szCs w:val="24"/>
    </w:rPr>
  </w:style>
  <w:style w:type="character" w:customStyle="1" w:styleId="64">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5">
    <w:name w:val="纯文本 字符1"/>
    <w:qFormat/>
    <w:uiPriority w:val="0"/>
    <w:rPr>
      <w:rFonts w:ascii="宋体" w:hAnsi="Courier New"/>
    </w:rPr>
  </w:style>
  <w:style w:type="character" w:customStyle="1" w:styleId="66">
    <w:name w:val="正文文本 Char"/>
    <w:qFormat/>
    <w:uiPriority w:val="0"/>
    <w:rPr>
      <w:rFonts w:ascii="Times New Roman" w:hAnsi="Times New Roman"/>
      <w:kern w:val="2"/>
      <w:sz w:val="21"/>
      <w:szCs w:val="24"/>
    </w:rPr>
  </w:style>
  <w:style w:type="character" w:customStyle="1" w:styleId="67">
    <w:name w:val="批注文字 字符"/>
    <w:qFormat/>
    <w:uiPriority w:val="0"/>
    <w:rPr>
      <w:rFonts w:ascii="Times New Roman" w:hAnsi="Times New Roman"/>
      <w:kern w:val="2"/>
      <w:sz w:val="21"/>
      <w:szCs w:val="24"/>
    </w:rPr>
  </w:style>
  <w:style w:type="character" w:customStyle="1" w:styleId="68">
    <w:name w:val="标题 2 Char"/>
    <w:qFormat/>
    <w:uiPriority w:val="9"/>
    <w:rPr>
      <w:rFonts w:ascii="Cambria" w:hAnsi="Cambria" w:eastAsia="宋体" w:cs="Times New Roman"/>
      <w:b/>
      <w:bCs/>
      <w:kern w:val="2"/>
      <w:sz w:val="32"/>
      <w:szCs w:val="32"/>
    </w:rPr>
  </w:style>
  <w:style w:type="character" w:customStyle="1" w:styleId="69">
    <w:name w:val="标题 8 Char"/>
    <w:qFormat/>
    <w:uiPriority w:val="0"/>
    <w:rPr>
      <w:rFonts w:ascii="Arial" w:hAnsi="Arial" w:eastAsia="黑体"/>
      <w:kern w:val="2"/>
      <w:sz w:val="24"/>
      <w:szCs w:val="24"/>
    </w:rPr>
  </w:style>
  <w:style w:type="character" w:customStyle="1" w:styleId="70">
    <w:name w:val="apple-style-span"/>
    <w:qFormat/>
    <w:uiPriority w:val="0"/>
  </w:style>
  <w:style w:type="paragraph" w:customStyle="1" w:styleId="71">
    <w:name w:val="默认段落字体 Para Char Char Char Char Char Char Char Char Char1 Char Char Char Char"/>
    <w:basedOn w:val="1"/>
    <w:qFormat/>
    <w:uiPriority w:val="0"/>
    <w:rPr>
      <w:rFonts w:ascii="Tahoma" w:hAnsi="Tahoma"/>
      <w:sz w:val="24"/>
      <w:szCs w:val="20"/>
    </w:rPr>
  </w:style>
  <w:style w:type="paragraph" w:customStyle="1" w:styleId="72">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styleId="73">
    <w:name w:val="List Paragraph"/>
    <w:basedOn w:val="1"/>
    <w:qFormat/>
    <w:uiPriority w:val="34"/>
    <w:pPr>
      <w:ind w:firstLine="420" w:firstLineChars="200"/>
    </w:pPr>
  </w:style>
  <w:style w:type="paragraph" w:customStyle="1" w:styleId="74">
    <w:name w:val="Table Paragraph"/>
    <w:basedOn w:val="1"/>
    <w:qFormat/>
    <w:uiPriority w:val="1"/>
    <w:pPr>
      <w:jc w:val="left"/>
    </w:pPr>
    <w:rPr>
      <w:rFonts w:ascii="Calibri" w:hAnsi="Calibri"/>
      <w:kern w:val="0"/>
      <w:sz w:val="22"/>
      <w:szCs w:val="22"/>
      <w:lang w:eastAsia="en-US"/>
    </w:rPr>
  </w:style>
  <w:style w:type="character" w:customStyle="1" w:styleId="75">
    <w:name w:val="正文文本 字符"/>
    <w:qFormat/>
    <w:uiPriority w:val="0"/>
    <w:rPr>
      <w:rFonts w:ascii="Times New Roman" w:hAnsi="Times New Roman"/>
      <w:kern w:val="2"/>
      <w:sz w:val="21"/>
      <w:szCs w:val="24"/>
    </w:rPr>
  </w:style>
  <w:style w:type="character" w:customStyle="1" w:styleId="76">
    <w:name w:val="批注文字 Char2"/>
    <w:qFormat/>
    <w:uiPriority w:val="0"/>
    <w:rPr>
      <w:rFonts w:ascii="Times New Roman" w:hAnsi="Times New Roman"/>
      <w:kern w:val="2"/>
      <w:sz w:val="21"/>
      <w:szCs w:val="24"/>
    </w:rPr>
  </w:style>
  <w:style w:type="paragraph" w:customStyle="1" w:styleId="77">
    <w:name w:val="Title1"/>
    <w:basedOn w:val="1"/>
    <w:next w:val="1"/>
    <w:qFormat/>
    <w:uiPriority w:val="0"/>
    <w:pPr>
      <w:jc w:val="center"/>
      <w:outlineLvl w:val="0"/>
    </w:pPr>
    <w:rPr>
      <w:rFonts w:ascii="Calibri Light" w:hAnsi="Calibri Light" w:eastAsia="Arial Unicode MS" w:cs="Times New Roman"/>
      <w:b/>
    </w:rPr>
  </w:style>
  <w:style w:type="paragraph" w:customStyle="1" w:styleId="78">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color w:val="000000"/>
      <w:kern w:val="0"/>
      <w:szCs w:val="21"/>
    </w:rPr>
  </w:style>
  <w:style w:type="paragraph" w:customStyle="1" w:styleId="79">
    <w:name w:val="_Style 1"/>
    <w:qFormat/>
    <w:uiPriority w:val="0"/>
    <w:pPr>
      <w:widowControl w:val="0"/>
      <w:ind w:firstLine="420" w:firstLineChars="200"/>
      <w:jc w:val="both"/>
    </w:pPr>
    <w:rPr>
      <w:rFonts w:ascii="Calibri" w:hAnsi="Calibri" w:eastAsia="宋体" w:cs="Times New Roman"/>
      <w:kern w:val="2"/>
      <w:sz w:val="21"/>
      <w:szCs w:val="22"/>
      <w:lang w:val="en-US" w:eastAsia="zh-CN" w:bidi="ar-SA"/>
    </w:rPr>
  </w:style>
  <w:style w:type="character" w:customStyle="1" w:styleId="80">
    <w:name w:val="font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6ba46a1a-f009-4009-ae6d-a0c8e5c5249c</errorID>
      <errorWord>Zhongxinhengtai</errorWord>
      <group>L1_English</group>
      <groupName>英文问题</groupName>
      <ability>L2_Other_Grammar</ability>
      <abilityName>其他语法问题</abilityName>
      <candidateList>
        <item>Zhongxin Hengtai</item>
      </candidateList>
      <explain>名词使用不当, 建议将Zhongxinhengtai修改为Zhongxin Hengtai</explain>
      <paraID>4F0A2E46</paraID>
      <start>8</start>
      <end>23</end>
      <status>unmodified</status>
      <modifiedWord/>
      <trackRevisions>false</trackRevisions>
    </reviewItem>
    <reviewItem>
      <errorID>3c12493d-27f5-4d67-905a-d9f7aa770765</errorID>
      <errorWord>上午00:00</errorWord>
      <group>L1_Knowledge</group>
      <groupName>知识性问题</groupName>
      <ability>L2_Time</ability>
      <abilityName>日期时间</abilityName>
      <candidateList/>
      <explain>时间与前缀不匹配，可能的时间前缀有“下午、晚上、凌晨、午夜”。</explain>
      <paraID>311987F3</paraID>
      <start>27</start>
      <end>34</end>
      <status>unmodified</status>
      <modifiedWord/>
      <trackRevisions>false</trackRevisions>
    </reviewItem>
    <reviewItem>
      <errorID>365b9c69-fb83-4d11-800a-b39dad616f03</errorID>
      <errorWord>在</errorWord>
      <group>L1_Word</group>
      <groupName>字词问题</groupName>
      <ability>L2_Typo</ability>
      <abilityName>字词错误</abilityName>
      <candidateList>
        <item>与</item>
      </candidateList>
      <explain>（舆）yù参与：～会。</explain>
      <paraID>71BA2DC1</paraID>
      <start>99</start>
      <end>100</end>
      <status>unmodified</status>
      <modifiedWord/>
      <trackRevisions>false</trackRevisions>
    </reviewItem>
    <reviewItem>
      <errorID>408a9cde-0fc5-43ca-b1f1-a9b6fdcfc9b8</errorID>
      <errorWord>交待的任务</errorWord>
      <group>L1_Word</group>
      <groupName>字词问题</groupName>
      <ability>L2_Alias</ability>
      <abilityName>也作/曾用词</abilityName>
      <candidateList>
        <item>交代的任务</item>
      </candidateList>
      <explain>词汇[交待的任务]为不规范表述或旧称，其规范书面表述为[交代的任务]。</explain>
      <paraID> CDFCBEA</paraID>
      <start>32</start>
      <end>37</end>
      <status>unmodified</status>
      <modifiedWord/>
      <trackRevisions>false</trackRevisions>
    </reviewItem>
    <reviewItem>
      <errorID>f261780e-8af3-42d7-a838-67f6ae5147e3</errorID>
      <errorWord>理</errorWord>
      <group>L1_Word</group>
      <groupName>字词问题</groupName>
      <ability>L2_Typo</ability>
      <abilityName>字词错误</abilityName>
      <candidateList>
        <item>理和</item>
      </candidateList>
      <explain/>
      <paraID>17E36796</paraID>
      <start>51</start>
      <end>52</end>
      <status>unmodified</status>
      <modifiedWord/>
      <trackRevisions>false</trackRevisions>
    </reviewItem>
    <reviewItem>
      <errorID>6efe7d90-5333-4075-9e29-8394f33f1e78</errorID>
      <errorWord>下午14:30</errorWord>
      <group>L1_Knowledge</group>
      <groupName>知识性问题</groupName>
      <ability>L2_Time</ability>
      <abilityName>日期时间</abilityName>
      <candidateList>
        <item>14:30</item>
      </candidateList>
      <explain>24小时制的时间，不需要强调“下午”。</explain>
      <paraID>28FFF450</paraID>
      <start>30</start>
      <end>37</end>
      <status>unmodified</status>
      <modifiedWord/>
      <trackRevisions>false</trackRevisions>
    </reviewItem>
    <reviewItem>
      <errorID>81ba28f9-ccf0-42a5-9d1a-168e71b6c975</errorID>
      <errorWord>法律、法规</errorWord>
      <group>L1_Word</group>
      <groupName>字词问题</groupName>
      <ability>L2_Typo</ability>
      <abilityName>字词错误</abilityName>
      <candidateList>
        <item>法律法规</item>
      </candidateList>
      <explain/>
      <paraID>2C28E59D</paraID>
      <start>38</start>
      <end>43</end>
      <status>unmodified</status>
      <modifiedWord/>
      <trackRevisions>false</trackRevisions>
    </reviewItem>
    <reviewItem>
      <errorID>768a5ab4-6705-41fb-a76d-009c43ce2fb1</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4A17C753</paraID>
      <start>203</start>
      <end>208</end>
      <status>unmodified</status>
      <modifiedWord/>
      <trackRevisions>false</trackRevisions>
    </reviewItem>
    <reviewItem>
      <errorID>c2be662f-32f2-4071-870a-07fc3da045ff</errorID>
      <errorWord>（</errorWord>
      <group>L1_Punc</group>
      <groupName>标点问题</groupName>
      <ability>L2_Punc_CN</ability>
      <abilityName/>
      <candidateList/>
      <explain>此处标点可能未正确匹配，请检查句子中是否存在标点冗余、缺失或使用错误的情况。</explain>
      <paraID>19A1E646</paraID>
      <start>60</start>
      <end>61</end>
      <status>unmodified</status>
      <modifiedWord/>
      <trackRevisions>false</trackRevisions>
    </reviewItem>
    <reviewItem>
      <errorID>712a6ed4-2dda-4b1a-a381-a41a9698c08f</errorID>
      <errorWord>100～500万</errorWord>
      <group>L1_Knowledge</group>
      <groupName>知识性问题</groupName>
      <ability>L2_Knowledge</ability>
      <abilityName>其他知识</abilityName>
      <candidateList>
        <item>100万～500万</item>
      </candidateList>
      <explain>1. “100～500万”中的单位“万”仅出现在后一个数字上，容易引起歧义；根据《现代汉语标点符号数字用法规范手册》，数字表示范围两边需要使用统一的格式。2.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4E36456A</paraID>
      <start>0</start>
      <end>8</end>
      <status>unmodified</status>
      <modifiedWord/>
      <trackRevisions>false</trackRevisions>
    </reviewItem>
    <reviewItem>
      <errorID>6d21b092-366f-4fc2-8a4e-ad412f32bd26</errorID>
      <errorWord>500～1000万</errorWord>
      <group>L1_Knowledge</group>
      <groupName>知识性问题</groupName>
      <ability>L2_Knowledge</ability>
      <abilityName>其他知识</abilityName>
      <candidateList>
        <item>500万～1000万</item>
      </candidateList>
      <explain>1. “500～1000万”中的单位“万”仅出现在后一个数字上，容易引起歧义；根据《现代汉语标点符号数字用法规范手册》，数字表示范围两边需要使用统一的格式。2.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59BF6146</paraID>
      <start>0</start>
      <end>9</end>
      <status>unmodified</status>
      <modifiedWord/>
      <trackRevisions>false</trackRevisions>
    </reviewItem>
    <reviewItem>
      <errorID>a837fbf0-e33a-45b2-a33a-26d732d31575</errorID>
      <errorWord>1000～5000万</errorWord>
      <group>L1_Knowledge</group>
      <groupName>知识性问题</groupName>
      <ability>L2_Knowledge</ability>
      <abilityName>其他知识</abilityName>
      <candidateList>
        <item>1000万～5000万</item>
      </candidateList>
      <explain>1. “1000～5000万”中的单位“万”仅出现在后一个数字上，容易引起歧义；根据《现代汉语标点符号数字用法规范手册》，数字表示范围两边需要使用统一的格式。2.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6ACE79DE</paraID>
      <start>0</start>
      <end>10</end>
      <status>unmodified</status>
      <modifiedWord/>
      <trackRevisions>false</trackRevisions>
    </reviewItem>
    <reviewItem>
      <errorID>bdf6a913-28fc-4761-976c-569dc8ecc911</errorID>
      <errorWord>1～5亿</errorWord>
      <group>L1_Knowledge</group>
      <groupName>知识性问题</groupName>
      <ability>L2_Knowledge</ability>
      <abilityName>其他知识</abilityName>
      <candidateList>
        <item>1亿～5亿</item>
      </candidateList>
      <explain>1. “1～5亿”中的单位“亿”仅出现在后一个数字上，容易引起歧义；根据《现代汉语标点符号数字用法规范手册》，数字表示范围两边需要使用统一的格式。2.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5F044FD7</paraID>
      <start>0</start>
      <end>4</end>
      <status>unmodified</status>
      <modifiedWord/>
      <trackRevisions>false</trackRevisions>
    </reviewItem>
    <reviewItem>
      <errorID>f7b3bbfe-0221-40b3-b178-ca4a1c05ba24</errorID>
      <errorWord>5～10亿</errorWord>
      <group>L1_Knowledge</group>
      <groupName>知识性问题</groupName>
      <ability>L2_Knowledge</ability>
      <abilityName>其他知识</abilityName>
      <candidateList>
        <item>5亿～10亿</item>
      </candidateList>
      <explain>1. “5～10亿”中的单位“亿”仅出现在后一个数字上，容易引起歧义；根据《现代汉语标点符号数字用法规范手册》，数字表示范围两边需要使用统一的格式。2.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41E0B61D</paraID>
      <start>0</start>
      <end>5</end>
      <status>unmodified</status>
      <modifiedWord/>
      <trackRevisions>false</trackRevisions>
    </reviewItem>
    <reviewItem>
      <errorID>980f532e-01f2-43f3-a401-68b0806c02bb</errorID>
      <errorWord>10～50亿</errorWord>
      <group>L1_Knowledge</group>
      <groupName>知识性问题</groupName>
      <ability>L2_Knowledge</ability>
      <abilityName>其他知识</abilityName>
      <candidateList>
        <item>10亿～50亿</item>
      </candidateList>
      <explain>1. “10～50亿”中的单位“亿”仅出现在后一个数字上，容易引起歧义；根据《现代汉语标点符号数字用法规范手册》，数字表示范围两边需要使用统一的格式。2.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1D15B4AE</paraID>
      <start>0</start>
      <end>6</end>
      <status>unmodified</status>
      <modifiedWord/>
      <trackRevisions>false</trackRevisions>
    </reviewItem>
    <reviewItem>
      <errorID>ac814781-4541-416a-a10a-6e15ced506b7</errorID>
      <errorWord>50～100亿</errorWord>
      <group>L1_Knowledge</group>
      <groupName>知识性问题</groupName>
      <ability>L2_Knowledge</ability>
      <abilityName>其他知识</abilityName>
      <candidateList>
        <item>50亿～100亿</item>
      </candidateList>
      <explain>1. “50～100亿”中的单位“亿”仅出现在后一个数字上，容易引起歧义；根据《现代汉语标点符号数字用法规范手册》，数字表示范围两边需要使用统一的格式。2.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551923C5</paraID>
      <start>0</start>
      <end>7</end>
      <status>unmodified</status>
      <modifiedWord/>
      <trackRevisions>false</trackRevisions>
    </reviewItem>
    <reviewItem>
      <errorID>8c1b5053-55e1-44bd-ad44-afb4207966b6</errorID>
      <errorWord>亿</errorWord>
      <group>L1_Word</group>
      <groupName>字词问题</groupName>
      <ability>L2_Typo</ability>
      <abilityName>字词错误</abilityName>
      <candidateList>
        <item>亿元</item>
      </candidateList>
      <explain/>
      <paraID>77F30F06</paraID>
      <start>3</start>
      <end>4</end>
      <status>unmodified</status>
      <modifiedWord/>
      <trackRevisions>false</trackRevisions>
    </reviewItem>
    <reviewItem>
      <errorID>2e341760-3cc3-4a2c-8397-1d58e03e1072</errorID>
      <errorWord>，</errorWord>
      <group>L1_Word</group>
      <groupName>字词问题</groupName>
      <ability>L2_Typo</ability>
      <abilityName>字词错误</abilityName>
      <candidateList>
        <item>，在</item>
      </candidateList>
      <explain/>
      <paraID>73AE3E8F</paraID>
      <start>63</start>
      <end>64</end>
      <status>unmodified</status>
      <modifiedWord/>
      <trackRevisions>false</trackRevisions>
    </reviewItem>
    <reviewItem>
      <errorID>b2076425-e7b8-48fb-9284-da83d2342e2d</errorID>
      <errorWord>法律、法规</errorWord>
      <group>L1_Word</group>
      <groupName>字词问题</groupName>
      <ability>L2_Typo</ability>
      <abilityName>字词错误</abilityName>
      <candidateList>
        <item>法律法规</item>
      </candidateList>
      <explain/>
      <paraID> CD9C4E2</paraID>
      <start>3</start>
      <end>8</end>
      <status>unmodified</status>
      <modifiedWord/>
      <trackRevisions>false</trackRevisions>
    </reviewItem>
    <reviewItem>
      <errorID>ae9f88c2-a5f7-4414-bdac-cbe404ace1a4</errorID>
      <errorWord>作出</errorWord>
      <group>L1_Word</group>
      <groupName>字词问题</groupName>
      <ability>L2_Typo</ability>
      <abilityName>字词错误</abilityName>
      <candidateList>
        <item>做出</item>
      </candidateList>
      <explain/>
      <paraID>7CC4E383</paraID>
      <start>23</start>
      <end>25</end>
      <status>unmodified</status>
      <modifiedWord/>
      <trackRevisions>false</trackRevisions>
    </reviewItem>
    <reviewItem>
      <errorID>815d1b0d-d7c3-470d-a531-b36e91ff103f</errorID>
      <errorWord>受到</errorWord>
      <group>L1_Word</group>
      <groupName>字词问题</groupName>
      <ability>L2_Typo</ability>
      <abilityName>字词错误</abilityName>
      <candidateList>
        <item>受</item>
      </candidateList>
      <explain>〈动〉❶接受：～贿｜～教育｜～到帮助。❷遭受：～灾｜～批评｜～委屈。❸忍受；禁受：～不了｜～得住。❹适合：～吃（吃着有味）｜～看（看着舒服）｜～听（听着入耳）。</explain>
      <paraID>25DC7E71</paraID>
      <start>60</start>
      <end>62</end>
      <status>unmodified</status>
      <modifiedWord/>
      <trackRevisions>false</trackRevisions>
    </reviewItem>
    <reviewItem>
      <errorID>0a63dc28-cc68-40e1-8436-167009b2cc99</errorID>
      <errorWord>（</errorWord>
      <group>L1_Punc</group>
      <groupName>标点问题</groupName>
      <ability>L2_Punc_CN</ability>
      <abilityName/>
      <candidateList/>
      <explain>此处标点可能未正确匹配，请检查句子中是否存在标点冗余、缺失或使用错误的情况。</explain>
      <paraID>1BB9F303</paraID>
      <start>20</start>
      <end>21</end>
      <status>unmodified</status>
      <modifiedWord/>
      <trackRevisions>false</trackRevisions>
    </reviewItem>
    <reviewItem>
      <errorID>8ae30073-773b-4440-9045-18613f35d289</errorID>
      <errorWord>]</errorWord>
      <group>L1_Punc</group>
      <groupName>标点问题</groupName>
      <ability>L2_Punc_CN</ability>
      <abilityName/>
      <candidateList/>
      <explain>此处标点可能未正确匹配，请检查句子中是否存在标点冗余、缺失或使用错误的情况。</explain>
      <paraID>1BB9F303</paraID>
      <start>55</start>
      <end>56</end>
      <status>unmodified</status>
      <modifiedWord/>
      <trackRevisions>false</trackRevisions>
    </reviewItem>
    <reviewItem>
      <errorID>e20c975b-26fd-4350-a902-697e1c962bf8</errorID>
      <errorWord>“/</errorWord>
      <group>L1_Punc</group>
      <groupName>标点问题</groupName>
      <ability>L2_Punc_CN</ability>
      <abilityName/>
      <candidateList>
        <item>“</item>
      </candidateList>
      <explain/>
      <paraID>562DF287</paraID>
      <start>15</start>
      <end>17</end>
      <status>unmodified</status>
      <modifiedWord/>
      <trackRevisions>false</trackRevisions>
    </reviewItem>
    <reviewItem>
      <errorID>6f2acce5-0d82-4a77-bbe8-9b3e8d7f935a</errorID>
      <errorWord>股东大会</errorWord>
      <group>L1_Word</group>
      <groupName>字词问题</groupName>
      <ability>L2_Typo</ability>
      <abilityName>字词错误</abilityName>
      <candidateList>
        <item>股东会</item>
      </candidateList>
      <explain/>
      <paraID>548B756C</paraID>
      <start>113</start>
      <end>117</end>
      <status>unmodified</status>
      <modifiedWord/>
      <trackRevisions>false</trackRevisions>
    </reviewItem>
    <reviewItem>
      <errorID>2b183845-9da5-435c-8b80-ec92114e7bab</errorID>
      <errorWord>须</errorWord>
      <group>L1_Word</group>
      <groupName>字词问题</groupName>
      <ability>L2_Typo</ability>
      <abilityName>字词错误</abilityName>
      <candidateList>
        <item>需</item>
      </candidateList>
      <explain>存在发音相同字词的误用。</explain>
      <paraID>6F98EDFA</paraID>
      <start>82</start>
      <end>83</end>
      <status>unmodified</status>
      <modifiedWord/>
      <trackRevisions>false</trackRevisions>
    </reviewItem>
    <reviewItem>
      <errorID>00536df7-f48a-4fec-a52b-2ad9583b73ed</errorID>
      <errorWord>“/</errorWord>
      <group>L1_Punc</group>
      <groupName>标点问题</groupName>
      <ability>L2_Punc_CN</ability>
      <abilityName/>
      <candidateList>
        <item>“</item>
      </candidateList>
      <explain/>
      <paraID>49AE3728</paraID>
      <start>15</start>
      <end>17</end>
      <status>unmodified</status>
      <modifiedWord/>
      <trackRevisions>false</trackRevisions>
    </reviewItem>
    <reviewItem>
      <errorID>38882443-74a8-4b91-88cc-27e9f74cb42d</errorID>
      <errorWord>“/</errorWord>
      <group>L1_Punc</group>
      <groupName>标点问题</groupName>
      <ability>L2_Punc_CN</ability>
      <abilityName/>
      <candidateList>
        <item>“</item>
      </candidateList>
      <explain/>
      <paraID>62D57D83</paraID>
      <start>15</start>
      <end>17</end>
      <status>unmodified</status>
      <modifiedWord/>
      <trackRevisions>false</trackRevisions>
    </reviewItem>
    <reviewItem>
      <errorID>10a601f0-1715-435f-8f76-d8150cd6bd93</errorID>
      <errorWord>“/</errorWord>
      <group>L1_Punc</group>
      <groupName>标点问题</groupName>
      <ability>L2_Punc_CN</ability>
      <abilityName/>
      <candidateList>
        <item>“</item>
      </candidateList>
      <explain/>
      <paraID>6F150ACB</paraID>
      <start>15</start>
      <end>17</end>
      <status>unmodified</status>
      <modifiedWord/>
      <trackRevisions>false</trackRevisions>
    </reviewItem>
    <reviewItem>
      <errorID>8bc253b8-cd17-4869-9240-090e25c64d75</errorID>
      <errorWord>“/</errorWord>
      <group>L1_Punc</group>
      <groupName>标点问题</groupName>
      <ability>L2_Punc_CN</ability>
      <abilityName/>
      <candidateList>
        <item>“</item>
      </candidateList>
      <explain/>
      <paraID>57E37581</paraID>
      <start>14</start>
      <end>16</end>
      <status>unmodified</status>
      <modifiedWord/>
      <trackRevisions>false</trackRevisions>
    </reviewItem>
    <reviewItem>
      <errorID>880afaba-3b2f-4a68-99ae-6f8b5f3424a8</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FFE1298</paraID>
      <start>37</start>
      <end>40</end>
      <status>unmodified</status>
      <modifiedWord/>
      <trackRevisions>false</trackRevisions>
    </reviewItem>
    <reviewItem>
      <errorID>ddbd8267-508f-472d-addc-c52c38d189b8</errorID>
      <errorWord>“/</errorWord>
      <group>L1_Punc</group>
      <groupName>标点问题</groupName>
      <ability>L2_Punc_CN</ability>
      <abilityName/>
      <candidateList>
        <item>“</item>
      </candidateList>
      <explain/>
      <paraID>41D1D9C6</paraID>
      <start>15</start>
      <end>17</end>
      <status>unmodified</status>
      <modifiedWord/>
      <trackRevisions>false</trackRevisions>
    </reviewItem>
    <reviewItem>
      <errorID>a81c6a5d-80ac-4312-b5be-c388b5de3cb1</errorID>
      <errorWord>“/</errorWord>
      <group>L1_Punc</group>
      <groupName>标点问题</groupName>
      <ability>L2_Punc_CN</ability>
      <abilityName/>
      <candidateList>
        <item>“</item>
      </candidateList>
      <explain/>
      <paraID>4B6B3CEA</paraID>
      <start>13</start>
      <end>15</end>
      <status>unmodified</status>
      <modifiedWord/>
      <trackRevisions>false</trackRevisions>
    </reviewItem>
    <reviewItem>
      <errorID>b005f90a-f234-4cfc-badf-ba4d46083670</errorID>
      <errorWord>法律、法规</errorWord>
      <group>L1_Word</group>
      <groupName>字词问题</groupName>
      <ability>L2_Typo</ability>
      <abilityName>字词错误</abilityName>
      <candidateList>
        <item>法律法规</item>
      </candidateList>
      <explain/>
      <paraID> D478A5E</paraID>
      <start>29</start>
      <end>34</end>
      <status>unmodified</status>
      <modifiedWord/>
      <trackRevisions>false</trackRevisions>
    </reviewItem>
    <reviewItem>
      <errorID>30fda980-3505-43a1-9d68-753cc06c0140</errorID>
      <errorWord>给</errorWord>
      <group>L1_Word</group>
      <groupName>字词问题</groupName>
      <ability>L2_Typo</ability>
      <abilityName>字词错误</abilityName>
      <candidateList>
        <item>给予</item>
      </candidateList>
      <explain>〈书〉〈动〉给（ɡěi）：～帮助｜～同情｜～亲切的关怀。也作给与。</explain>
      <paraID>60E643E0</paraID>
      <start>28</start>
      <end>29</end>
      <status>unmodified</status>
      <modifiedWord/>
      <trackRevisions>false</trackRevisions>
    </reviewItem>
    <reviewItem>
      <errorID>bf722abc-caa4-4ead-bf8f-9ab12956c55d</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1BF9E244</paraID>
      <start>31</start>
      <end>34</end>
      <status>unmodified</status>
      <modifiedWord/>
      <trackRevisions>false</trackRevisions>
    </reviewItem>
    <reviewItem>
      <errorID>d6bdcd13-f409-4f98-810c-d4fdade1ddfa</errorID>
      <errorWord>至少三次以上</errorWord>
      <group>L1_Grammar</group>
      <groupName>语法问题</groupName>
      <ability>L2_Grammar</ability>
      <abilityName>语法错误</abilityName>
      <candidateList>
        <item>至少三次</item>
      </candidateList>
      <explain/>
      <paraID>575844EA</paraID>
      <start>65</start>
      <end>71</end>
      <status>unmodified</status>
      <modifiedWord/>
      <trackRevisions>false</trackRevisions>
    </reviewItem>
    <reviewItem>
      <errorID>35f8619a-f230-4191-b3e8-ea1857a62dbd</errorID>
      <errorWord>按《中华人民共和国</errorWord>
      <group>L1_Word</group>
      <groupName>字词问题</groupName>
      <ability>L2_Typo</ability>
      <abilityName>字词错误</abilityName>
      <candidateList>
        <item>按照《中华人民共和国</item>
      </candidateList>
      <explain/>
      <paraID>5D7739B0</paraID>
      <start>7</start>
      <end>16</end>
      <status>unmodified</status>
      <modifiedWord/>
      <trackRevisions>false</trackRevisions>
    </reviewItem>
    <reviewItem>
      <errorID>b45032ec-7806-4b0e-abca-d6684531c8b4</errorID>
      <errorWord>（</errorWord>
      <group>L1_Punc</group>
      <groupName>标点问题</groupName>
      <ability>L2_Punc_CN</ability>
      <abilityName/>
      <candidateList/>
      <explain>同一形式括号套用。</explain>
      <paraID>63A3C170</paraID>
      <start>72</start>
      <end>73</end>
      <status>unmodified</status>
      <modifiedWord/>
      <trackRevisions>false</trackRevisions>
    </reviewItem>
    <reviewItem>
      <errorID>e2f817d3-5226-413c-a825-a14be9e6ebb5</errorID>
      <errorWord>）</errorWord>
      <group>L1_Punc</group>
      <groupName>标点问题</groupName>
      <ability>L2_Punc_CN</ability>
      <abilityName/>
      <candidateList/>
      <explain>同一形式括号套用。</explain>
      <paraID>63A3C170</paraID>
      <start>80</start>
      <end>81</end>
      <status>unmodified</status>
      <modifiedWord/>
      <trackRevisions>false</trackRevisions>
    </reviewItem>
    <reviewItem>
      <errorID>78c62c39-95bc-4045-97b9-b4cdebe68cc6</errorID>
      <errorWord>需</errorWord>
      <group>L1_Word</group>
      <groupName>字词问题</groupName>
      <ability>L2_Typo</ability>
      <abilityName>字词错误</abilityName>
      <candidateList>
        <item>须</item>
      </candidateList>
      <explain>（鬚）xū❶原来指长在下巴上的胡子，后来泛指胡须：～发｜～眉。❷须子：触～｜花～。</explain>
      <paraID>52944406</paraID>
      <start>46</start>
      <end>47</end>
      <status>unmodified</status>
      <modifiedWord/>
      <trackRevisions>false</trackRevisions>
    </reviewItem>
    <reviewItem>
      <errorID>92ecbd54-3f8b-4ce4-99c7-9612277827b5</errorID>
      <errorWord>准</errorWord>
      <group>L1_Word</group>
      <groupName>字词问题</groupName>
      <ability>L2_Typo</ability>
      <abilityName>字词错误</abilityName>
      <candidateList>
        <item>准以</item>
      </candidateList>
      <explain/>
      <paraID>55788437</paraID>
      <start>55</start>
      <end>56</end>
      <status>unmodified</status>
      <modifiedWord/>
      <trackRevisions>false</trackRevisions>
    </reviewItem>
    <reviewItem>
      <errorID>2ad04e7a-8209-44fc-b3c6-a047b00e9b05</errorID>
      <errorWord>进</errorWord>
      <group>L1_Word</group>
      <groupName>字词问题</groupName>
      <ability>L2_Typo</ability>
      <abilityName>字词错误</abilityName>
      <candidateList>
        <item>进入</item>
      </candidateList>
      <explain>〈动〉支进到某个范围或某个时期里：～学校｜～新阶段◇～角色。</explain>
      <paraID> B160099</paraID>
      <start>30</start>
      <end>31</end>
      <status>unmodified</status>
      <modifiedWord/>
      <trackRevisions>false</trackRevisions>
    </reviewItem>
    <reviewItem>
      <errorID>ddc514cd-5a61-433a-b60a-4c4bbee391ae</errorID>
      <errorWord>交待的任务</errorWord>
      <group>L1_Word</group>
      <groupName>字词问题</groupName>
      <ability>L2_Alias</ability>
      <abilityName>也作/曾用词</abilityName>
      <candidateList>
        <item>交代的任务</item>
      </candidateList>
      <explain>词汇[交待的任务]为不规范表述或旧称，其规范书面表述为[交代的任务]。</explain>
      <paraID>31F37225</paraID>
      <start>31</start>
      <end>36</end>
      <status>unmodified</status>
      <modifiedWord/>
      <trackRevisions>false</trackRevisions>
    </reviewItem>
    <reviewItem>
      <errorID>80325641-875f-4503-92af-e6945a66cd91</errorID>
      <errorWord>须</errorWord>
      <group>L1_Word</group>
      <groupName>字词问题</groupName>
      <ability>L2_Typo</ability>
      <abilityName>字词错误</abilityName>
      <candidateList>
        <item>需</item>
      </candidateList>
      <explain>存在发音相同字词的误用。</explain>
      <paraID>69310E0D</paraID>
      <start>36</start>
      <end>37</end>
      <status>unmodified</status>
      <modifiedWord/>
      <trackRevisions>false</trackRevisions>
    </reviewItem>
    <reviewItem>
      <errorID>5d96a78d-a265-44a4-83c6-c1d18319c332</errorID>
      <errorWord>签</errorWord>
      <group>L1_Word</group>
      <groupName>字词问题</groupName>
      <ability>L2_Typo</ability>
      <abilityName>字词错误</abilityName>
      <candidateList>
        <item>签订</item>
      </candidateList>
      <explain>〈动〉订立条约或合同并签字：两国～了贸易议定书和支付协定。</explain>
      <paraID>69310E0D</paraID>
      <start>55</start>
      <end>56</end>
      <status>unmodified</status>
      <modifiedWord/>
      <trackRevisions>false</trackRevisions>
    </reviewItem>
    <reviewItem>
      <errorID>722168bc-cf6d-4352-bb44-8aede8704d54</errorID>
      <errorWord>可附件</errorWord>
      <group>L1_Word</group>
      <groupName>字词问题</groupName>
      <ability>L2_Typo</ability>
      <abilityName>字词错误</abilityName>
      <candidateList>
        <item>见附件</item>
      </candidateList>
      <explain/>
      <paraID>7B41130F</paraID>
      <start>98</start>
      <end>101</end>
      <status>unmodified</status>
      <modifiedWord/>
      <trackRevisions>false</trackRevisions>
    </reviewItem>
    <reviewItem>
      <errorID>d890a08d-6985-4f81-bee7-155df536fc02</errorID>
      <errorWord>提出质疑</errorWord>
      <group>L1_Grammar</group>
      <groupName>语法问题</groupName>
      <ability>L2_Grammar</ability>
      <abilityName>语法错误</abilityName>
      <candidateList>
        <item>质疑</item>
      </candidateList>
      <explain>〈动〉提出疑问：～问难。</explain>
      <paraID>7F2637CF</paraID>
      <start>53</start>
      <end>57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507efb-58d8-452f-bce4-62cec39621d5}">
  <ds:schemaRefs/>
</ds:datastoreItem>
</file>

<file path=docProps/app.xml><?xml version="1.0" encoding="utf-8"?>
<Properties xmlns="http://schemas.openxmlformats.org/officeDocument/2006/extended-properties" xmlns:vt="http://schemas.openxmlformats.org/officeDocument/2006/docPropsVTypes">
  <Pages>96</Pages>
  <Words>181</Words>
  <Characters>255</Characters>
  <Lines>363</Lines>
  <Paragraphs>102</Paragraphs>
  <TotalTime>15</TotalTime>
  <ScaleCrop>false</ScaleCrop>
  <LinksUpToDate>false</LinksUpToDate>
  <CharactersWithSpaces>274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2024-08-11T01:48:00Z</dcterms:created>
  <dc:creator>KWZB</dc:creator>
  <cp:lastModifiedBy>123</cp:lastModifiedBy>
  <cp:lastPrinted>2025-03-17T09:23:00Z</cp:lastPrinted>
  <dcterms:modified xsi:type="dcterms:W3CDTF">2026-05-29T07:16:41Z</dcterms:modified>
  <dc:title>竞争性谈判文件规范</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84A2DA52E5A3461DB22DE25F8C9FA0DF_13</vt:lpwstr>
  </property>
  <property fmtid="{D5CDD505-2E9C-101B-9397-08002B2CF9AE}" pid="4" name="KSOTemplateDocerSaveRecord">
    <vt:lpwstr>eyJoZGlkIjoiMTYzMDM0YTMyN2ZmM2NjMTRmYWQ0ZGE3Y2M2MzNjMTMiLCJ1c2VySWQiOiIxNTg3MjUwMDIwIn0=</vt:lpwstr>
  </property>
</Properties>
</file>