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43AC">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bCs/>
          <w:color w:val="auto"/>
          <w:sz w:val="36"/>
          <w:szCs w:val="36"/>
          <w:highlight w:val="none"/>
        </w:rPr>
      </w:pPr>
    </w:p>
    <w:p w14:paraId="08ED335A">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bCs/>
          <w:color w:val="auto"/>
          <w:sz w:val="36"/>
          <w:szCs w:val="36"/>
          <w:highlight w:val="none"/>
        </w:rPr>
      </w:pPr>
    </w:p>
    <w:p w14:paraId="31B0D0DF">
      <w:pPr>
        <w:pStyle w:val="3"/>
        <w:rPr>
          <w:rFonts w:hint="eastAsia"/>
          <w:color w:val="auto"/>
          <w:highlight w:val="none"/>
        </w:rPr>
      </w:pPr>
    </w:p>
    <w:p w14:paraId="0537F3AD">
      <w:pPr>
        <w:pStyle w:val="2"/>
        <w:rPr>
          <w:rFonts w:hint="eastAsia"/>
          <w:color w:val="auto"/>
          <w:highlight w:val="none"/>
        </w:rPr>
      </w:pPr>
    </w:p>
    <w:p w14:paraId="37A70D0B">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72"/>
          <w:szCs w:val="72"/>
          <w:highlight w:val="none"/>
        </w:rPr>
      </w:pPr>
      <w:bookmarkStart w:id="0" w:name="_Toc30057"/>
      <w:r>
        <w:rPr>
          <w:rFonts w:hint="eastAsia" w:ascii="Times New Roman" w:hAnsi="Times New Roman" w:eastAsia="仿宋_GB2312" w:cs="仿宋_GB2312"/>
          <w:b/>
          <w:color w:val="auto"/>
          <w:sz w:val="72"/>
          <w:szCs w:val="72"/>
          <w:highlight w:val="none"/>
        </w:rPr>
        <w:t>竞争性磋商文件</w:t>
      </w:r>
      <w:bookmarkEnd w:id="0"/>
    </w:p>
    <w:p w14:paraId="767FE28F">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32"/>
          <w:szCs w:val="32"/>
          <w:highlight w:val="none"/>
        </w:rPr>
      </w:pPr>
      <w:bookmarkStart w:id="1" w:name="_Toc12435"/>
      <w:r>
        <w:rPr>
          <w:rFonts w:hint="eastAsia" w:ascii="Times New Roman" w:hAnsi="Times New Roman" w:eastAsia="仿宋_GB2312" w:cs="仿宋_GB2312"/>
          <w:b/>
          <w:color w:val="auto"/>
          <w:sz w:val="32"/>
          <w:szCs w:val="32"/>
          <w:highlight w:val="none"/>
        </w:rPr>
        <w:t>（全流程电子化采购）</w:t>
      </w:r>
      <w:bookmarkEnd w:id="1"/>
    </w:p>
    <w:p w14:paraId="632BCB55">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48"/>
          <w:szCs w:val="48"/>
          <w:highlight w:val="none"/>
        </w:rPr>
      </w:pPr>
    </w:p>
    <w:p w14:paraId="2B26097F">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48"/>
          <w:szCs w:val="48"/>
          <w:highlight w:val="none"/>
        </w:rPr>
      </w:pPr>
    </w:p>
    <w:p w14:paraId="297B12B5">
      <w:pPr>
        <w:pStyle w:val="17"/>
        <w:keepNext w:val="0"/>
        <w:keepLines w:val="0"/>
        <w:pageBreakBefore w:val="0"/>
        <w:widowControl w:val="0"/>
        <w:kinsoku/>
        <w:wordWrap/>
        <w:overflowPunct/>
        <w:topLinePunct w:val="0"/>
        <w:autoSpaceDE/>
        <w:autoSpaceDN/>
        <w:bidi w:val="0"/>
        <w:adjustRightInd/>
        <w:textAlignment w:val="auto"/>
        <w:outlineLvl w:val="9"/>
        <w:rPr>
          <w:rFonts w:hint="eastAsia" w:ascii="Times New Roman" w:hAnsi="Times New Roman" w:eastAsia="仿宋_GB2312" w:cs="仿宋_GB2312"/>
          <w:color w:val="auto"/>
          <w:highlight w:val="none"/>
        </w:rPr>
      </w:pPr>
    </w:p>
    <w:p w14:paraId="24FF581D">
      <w:pPr>
        <w:pStyle w:val="17"/>
        <w:keepNext w:val="0"/>
        <w:keepLines w:val="0"/>
        <w:pageBreakBefore w:val="0"/>
        <w:widowControl w:val="0"/>
        <w:kinsoku/>
        <w:wordWrap/>
        <w:overflowPunct/>
        <w:topLinePunct w:val="0"/>
        <w:autoSpaceDE/>
        <w:autoSpaceDN/>
        <w:bidi w:val="0"/>
        <w:adjustRightInd/>
        <w:textAlignment w:val="auto"/>
        <w:outlineLvl w:val="9"/>
        <w:rPr>
          <w:rFonts w:hint="eastAsia" w:ascii="Times New Roman" w:hAnsi="Times New Roman" w:eastAsia="仿宋_GB2312" w:cs="仿宋_GB2312"/>
          <w:color w:val="auto"/>
          <w:highlight w:val="none"/>
        </w:rPr>
      </w:pPr>
    </w:p>
    <w:p w14:paraId="271EC5D0">
      <w:pPr>
        <w:keepNext w:val="0"/>
        <w:keepLines w:val="0"/>
        <w:pageBreakBefore w:val="0"/>
        <w:widowControl w:val="0"/>
        <w:kinsoku/>
        <w:wordWrap/>
        <w:overflowPunct/>
        <w:topLinePunct w:val="0"/>
        <w:autoSpaceDE/>
        <w:autoSpaceDN/>
        <w:bidi w:val="0"/>
        <w:adjustRightInd/>
        <w:snapToGrid w:val="0"/>
        <w:spacing w:line="760" w:lineRule="exact"/>
        <w:ind w:left="1929" w:leftChars="504" w:hanging="871" w:hangingChars="271"/>
        <w:textAlignment w:val="auto"/>
        <w:outlineLvl w:val="9"/>
        <w:rPr>
          <w:rFonts w:hint="eastAsia" w:ascii="Times New Roman" w:hAnsi="Times New Roman" w:eastAsia="仿宋_GB2312" w:cs="仿宋_GB2312"/>
          <w:b/>
          <w:bCs/>
          <w:color w:val="auto"/>
          <w:kern w:val="0"/>
          <w:sz w:val="32"/>
          <w:szCs w:val="32"/>
          <w:highlight w:val="none"/>
          <w:lang w:eastAsia="zh-CN"/>
        </w:rPr>
      </w:pPr>
      <w:bookmarkStart w:id="2" w:name="_Toc16089"/>
      <w:r>
        <w:rPr>
          <w:rFonts w:hint="eastAsia" w:ascii="Times New Roman" w:hAnsi="Times New Roman" w:eastAsia="仿宋_GB2312" w:cs="仿宋_GB2312"/>
          <w:b/>
          <w:bCs/>
          <w:color w:val="auto"/>
          <w:kern w:val="0"/>
          <w:sz w:val="32"/>
          <w:szCs w:val="32"/>
          <w:highlight w:val="none"/>
        </w:rPr>
        <w:t>项目</w:t>
      </w:r>
      <w:r>
        <w:rPr>
          <w:rFonts w:hint="eastAsia" w:ascii="Times New Roman" w:hAnsi="Times New Roman" w:eastAsia="仿宋_GB2312" w:cs="仿宋_GB2312"/>
          <w:b/>
          <w:bCs/>
          <w:color w:val="auto"/>
          <w:w w:val="95"/>
          <w:kern w:val="0"/>
          <w:sz w:val="32"/>
          <w:szCs w:val="32"/>
          <w:highlight w:val="none"/>
        </w:rPr>
        <w:t>名称</w:t>
      </w:r>
      <w:bookmarkEnd w:id="2"/>
      <w:r>
        <w:rPr>
          <w:rFonts w:hint="eastAsia" w:ascii="Times New Roman" w:hAnsi="Times New Roman" w:eastAsia="仿宋_GB2312" w:cs="仿宋_GB2312"/>
          <w:b/>
          <w:bCs/>
          <w:color w:val="auto"/>
          <w:w w:val="95"/>
          <w:sz w:val="32"/>
          <w:szCs w:val="32"/>
          <w:highlight w:val="none"/>
        </w:rPr>
        <w:t>：</w:t>
      </w:r>
      <w:r>
        <w:rPr>
          <w:rFonts w:hint="eastAsia" w:eastAsia="仿宋_GB2312" w:cs="仿宋_GB2312"/>
          <w:b/>
          <w:bCs/>
          <w:color w:val="auto"/>
          <w:kern w:val="0"/>
          <w:sz w:val="32"/>
          <w:szCs w:val="32"/>
          <w:highlight w:val="none"/>
          <w:lang w:eastAsia="zh-CN"/>
        </w:rPr>
        <w:t>龙须河流域综合规划</w:t>
      </w:r>
    </w:p>
    <w:p w14:paraId="2895CBA1">
      <w:pPr>
        <w:keepNext w:val="0"/>
        <w:keepLines w:val="0"/>
        <w:pageBreakBefore w:val="0"/>
        <w:widowControl w:val="0"/>
        <w:kinsoku/>
        <w:wordWrap/>
        <w:overflowPunct/>
        <w:topLinePunct w:val="0"/>
        <w:autoSpaceDE/>
        <w:autoSpaceDN/>
        <w:bidi w:val="0"/>
        <w:adjustRightInd/>
        <w:snapToGrid w:val="0"/>
        <w:spacing w:line="760" w:lineRule="exact"/>
        <w:ind w:left="1885" w:leftChars="504" w:hanging="827" w:hangingChars="271"/>
        <w:textAlignment w:val="auto"/>
        <w:outlineLvl w:val="9"/>
        <w:rPr>
          <w:rFonts w:hint="eastAsia" w:ascii="Times New Roman" w:hAnsi="Times New Roman" w:eastAsia="仿宋_GB2312" w:cs="仿宋_GB2312"/>
          <w:b/>
          <w:bCs/>
          <w:color w:val="auto"/>
          <w:w w:val="95"/>
          <w:kern w:val="0"/>
          <w:sz w:val="32"/>
          <w:szCs w:val="32"/>
          <w:highlight w:val="none"/>
          <w:lang w:val="en-US" w:eastAsia="zh-CN"/>
        </w:rPr>
      </w:pPr>
      <w:r>
        <w:rPr>
          <w:rFonts w:hint="eastAsia" w:ascii="Times New Roman" w:hAnsi="Times New Roman" w:eastAsia="仿宋_GB2312" w:cs="仿宋_GB2312"/>
          <w:b/>
          <w:bCs/>
          <w:color w:val="auto"/>
          <w:w w:val="95"/>
          <w:kern w:val="0"/>
          <w:sz w:val="32"/>
          <w:szCs w:val="32"/>
          <w:highlight w:val="none"/>
        </w:rPr>
        <w:t>采购计划编号</w:t>
      </w:r>
      <w:r>
        <w:rPr>
          <w:rFonts w:hint="eastAsia" w:ascii="Times New Roman" w:hAnsi="Times New Roman" w:eastAsia="仿宋_GB2312" w:cs="仿宋_GB2312"/>
          <w:b/>
          <w:bCs/>
          <w:color w:val="auto"/>
          <w:kern w:val="0"/>
          <w:sz w:val="32"/>
          <w:szCs w:val="32"/>
          <w:highlight w:val="none"/>
          <w:lang w:eastAsia="zh-CN"/>
        </w:rPr>
        <w:t>：广西政采</w:t>
      </w:r>
      <w:r>
        <w:rPr>
          <w:rFonts w:hint="eastAsia" w:ascii="Times New Roman" w:hAnsi="Times New Roman" w:eastAsia="仿宋_GB2312" w:cs="仿宋_GB2312"/>
          <w:b/>
          <w:bCs/>
          <w:color w:val="auto"/>
          <w:kern w:val="0"/>
          <w:sz w:val="32"/>
          <w:szCs w:val="32"/>
          <w:highlight w:val="none"/>
          <w:lang w:val="en-US" w:eastAsia="zh-CN"/>
        </w:rPr>
        <w:t>[</w:t>
      </w:r>
      <w:r>
        <w:rPr>
          <w:rFonts w:hint="eastAsia" w:ascii="Times New Roman" w:hAnsi="Times New Roman" w:eastAsia="仿宋_GB2312" w:cs="仿宋_GB2312"/>
          <w:b/>
          <w:bCs/>
          <w:color w:val="auto"/>
          <w:kern w:val="0"/>
          <w:sz w:val="32"/>
          <w:szCs w:val="32"/>
          <w:highlight w:val="none"/>
          <w:lang w:eastAsia="zh-CN"/>
        </w:rPr>
        <w:t>2026</w:t>
      </w:r>
      <w:r>
        <w:rPr>
          <w:rFonts w:hint="eastAsia" w:ascii="Times New Roman" w:hAnsi="Times New Roman" w:eastAsia="仿宋_GB2312" w:cs="仿宋_GB2312"/>
          <w:b/>
          <w:bCs/>
          <w:color w:val="auto"/>
          <w:kern w:val="0"/>
          <w:sz w:val="32"/>
          <w:szCs w:val="32"/>
          <w:highlight w:val="none"/>
          <w:lang w:val="en-US" w:eastAsia="zh-CN"/>
        </w:rPr>
        <w:t>]</w:t>
      </w:r>
      <w:r>
        <w:rPr>
          <w:rFonts w:hint="eastAsia" w:eastAsia="仿宋_GB2312" w:cs="仿宋_GB2312"/>
          <w:b/>
          <w:bCs/>
          <w:color w:val="auto"/>
          <w:kern w:val="0"/>
          <w:sz w:val="32"/>
          <w:szCs w:val="32"/>
          <w:highlight w:val="none"/>
          <w:lang w:val="en-US" w:eastAsia="zh-CN"/>
        </w:rPr>
        <w:t xml:space="preserve"> 3076号</w:t>
      </w:r>
    </w:p>
    <w:p w14:paraId="54590E85">
      <w:pPr>
        <w:keepNext w:val="0"/>
        <w:keepLines w:val="0"/>
        <w:pageBreakBefore w:val="0"/>
        <w:widowControl w:val="0"/>
        <w:kinsoku/>
        <w:wordWrap/>
        <w:overflowPunct/>
        <w:topLinePunct w:val="0"/>
        <w:autoSpaceDE/>
        <w:autoSpaceDN/>
        <w:bidi w:val="0"/>
        <w:adjustRightInd/>
        <w:snapToGrid w:val="0"/>
        <w:spacing w:line="760" w:lineRule="exact"/>
        <w:ind w:left="1885" w:leftChars="504" w:hanging="827" w:hangingChars="271"/>
        <w:textAlignment w:val="auto"/>
        <w:outlineLvl w:val="9"/>
        <w:rPr>
          <w:rFonts w:hint="default" w:ascii="Times New Roman" w:hAnsi="Times New Roman" w:eastAsia="仿宋_GB2312" w:cs="仿宋_GB2312"/>
          <w:b/>
          <w:bCs/>
          <w:color w:val="auto"/>
          <w:w w:val="95"/>
          <w:sz w:val="32"/>
          <w:szCs w:val="32"/>
          <w:highlight w:val="none"/>
          <w:lang w:val="en-US" w:eastAsia="zh-CN"/>
        </w:rPr>
      </w:pPr>
      <w:bookmarkStart w:id="3" w:name="_Toc28460"/>
      <w:r>
        <w:rPr>
          <w:rFonts w:hint="eastAsia" w:ascii="Times New Roman" w:hAnsi="Times New Roman" w:eastAsia="仿宋_GB2312" w:cs="仿宋_GB2312"/>
          <w:b/>
          <w:bCs/>
          <w:color w:val="auto"/>
          <w:w w:val="95"/>
          <w:sz w:val="32"/>
          <w:szCs w:val="32"/>
          <w:highlight w:val="none"/>
        </w:rPr>
        <w:t>项目</w:t>
      </w:r>
      <w:r>
        <w:rPr>
          <w:rFonts w:hint="eastAsia" w:ascii="Times New Roman" w:hAnsi="Times New Roman" w:eastAsia="仿宋_GB2312" w:cs="仿宋_GB2312"/>
          <w:b/>
          <w:bCs/>
          <w:color w:val="auto"/>
          <w:sz w:val="32"/>
          <w:szCs w:val="32"/>
          <w:highlight w:val="none"/>
        </w:rPr>
        <w:t>编号</w:t>
      </w:r>
      <w:r>
        <w:rPr>
          <w:rFonts w:hint="eastAsia" w:ascii="Times New Roman" w:hAnsi="Times New Roman" w:eastAsia="仿宋_GB2312" w:cs="仿宋_GB2312"/>
          <w:b/>
          <w:bCs/>
          <w:color w:val="auto"/>
          <w:w w:val="95"/>
          <w:sz w:val="32"/>
          <w:szCs w:val="32"/>
          <w:highlight w:val="none"/>
        </w:rPr>
        <w:t>：</w:t>
      </w:r>
      <w:bookmarkEnd w:id="3"/>
      <w:r>
        <w:rPr>
          <w:rFonts w:hint="eastAsia" w:ascii="Times New Roman" w:hAnsi="Times New Roman" w:eastAsia="仿宋_GB2312" w:cs="仿宋_GB2312"/>
          <w:b/>
          <w:bCs/>
          <w:color w:val="auto"/>
          <w:w w:val="95"/>
          <w:sz w:val="32"/>
          <w:szCs w:val="32"/>
          <w:highlight w:val="none"/>
        </w:rPr>
        <w:t>GXZC2026-C3-</w:t>
      </w:r>
      <w:r>
        <w:rPr>
          <w:rFonts w:hint="eastAsia" w:eastAsia="仿宋_GB2312" w:cs="仿宋_GB2312"/>
          <w:b/>
          <w:bCs/>
          <w:color w:val="auto"/>
          <w:w w:val="95"/>
          <w:sz w:val="32"/>
          <w:szCs w:val="32"/>
          <w:highlight w:val="none"/>
          <w:lang w:val="en-US" w:eastAsia="zh-CN"/>
        </w:rPr>
        <w:t>001797</w:t>
      </w:r>
      <w:r>
        <w:rPr>
          <w:rFonts w:hint="eastAsia" w:ascii="Times New Roman" w:hAnsi="Times New Roman" w:eastAsia="仿宋_GB2312" w:cs="仿宋_GB2312"/>
          <w:b/>
          <w:bCs/>
          <w:color w:val="auto"/>
          <w:w w:val="95"/>
          <w:sz w:val="32"/>
          <w:szCs w:val="32"/>
          <w:highlight w:val="none"/>
        </w:rPr>
        <w:t>-GXGX</w:t>
      </w:r>
    </w:p>
    <w:p w14:paraId="39C6C3E2">
      <w:pPr>
        <w:keepNext w:val="0"/>
        <w:keepLines w:val="0"/>
        <w:pageBreakBefore w:val="0"/>
        <w:widowControl w:val="0"/>
        <w:kinsoku/>
        <w:wordWrap/>
        <w:overflowPunct/>
        <w:topLinePunct w:val="0"/>
        <w:autoSpaceDE/>
        <w:autoSpaceDN/>
        <w:bidi w:val="0"/>
        <w:adjustRightInd/>
        <w:snapToGrid w:val="0"/>
        <w:spacing w:line="760" w:lineRule="exact"/>
        <w:ind w:left="1885" w:leftChars="504" w:hanging="827" w:hangingChars="271"/>
        <w:textAlignment w:val="auto"/>
        <w:outlineLvl w:val="9"/>
        <w:rPr>
          <w:rFonts w:hint="eastAsia" w:ascii="Times New Roman" w:hAnsi="Times New Roman" w:eastAsia="仿宋_GB2312" w:cs="仿宋_GB2312"/>
          <w:b/>
          <w:bCs/>
          <w:color w:val="auto"/>
          <w:w w:val="95"/>
          <w:kern w:val="0"/>
          <w:sz w:val="32"/>
          <w:szCs w:val="32"/>
          <w:highlight w:val="none"/>
          <w:lang w:eastAsia="zh-CN"/>
        </w:rPr>
      </w:pPr>
      <w:r>
        <w:rPr>
          <w:rFonts w:hint="eastAsia" w:ascii="Times New Roman" w:hAnsi="Times New Roman" w:eastAsia="仿宋_GB2312" w:cs="仿宋_GB2312"/>
          <w:b/>
          <w:bCs/>
          <w:color w:val="auto"/>
          <w:w w:val="95"/>
          <w:kern w:val="0"/>
          <w:sz w:val="32"/>
          <w:szCs w:val="32"/>
          <w:highlight w:val="none"/>
        </w:rPr>
        <w:t>采购人：广西壮族自治区水利</w:t>
      </w:r>
      <w:r>
        <w:rPr>
          <w:rFonts w:hint="eastAsia" w:ascii="Times New Roman" w:hAnsi="Times New Roman" w:eastAsia="仿宋_GB2312" w:cs="仿宋_GB2312"/>
          <w:b/>
          <w:bCs/>
          <w:color w:val="auto"/>
          <w:w w:val="95"/>
          <w:kern w:val="0"/>
          <w:sz w:val="32"/>
          <w:szCs w:val="32"/>
          <w:highlight w:val="none"/>
          <w:lang w:val="en-US" w:eastAsia="zh-CN"/>
        </w:rPr>
        <w:t>厅</w:t>
      </w:r>
    </w:p>
    <w:p w14:paraId="077674D8">
      <w:pPr>
        <w:keepNext w:val="0"/>
        <w:keepLines w:val="0"/>
        <w:pageBreakBefore w:val="0"/>
        <w:widowControl w:val="0"/>
        <w:kinsoku/>
        <w:wordWrap/>
        <w:overflowPunct/>
        <w:topLinePunct w:val="0"/>
        <w:autoSpaceDE/>
        <w:autoSpaceDN/>
        <w:bidi w:val="0"/>
        <w:adjustRightInd/>
        <w:snapToGrid w:val="0"/>
        <w:spacing w:line="760" w:lineRule="exact"/>
        <w:ind w:left="1885" w:leftChars="504" w:hanging="827" w:hangingChars="271"/>
        <w:textAlignment w:val="auto"/>
        <w:outlineLvl w:val="9"/>
        <w:rPr>
          <w:rFonts w:hint="eastAsia" w:ascii="Times New Roman" w:hAnsi="Times New Roman" w:eastAsia="仿宋_GB2312" w:cs="仿宋_GB2312"/>
          <w:b/>
          <w:bCs/>
          <w:color w:val="auto"/>
          <w:w w:val="95"/>
          <w:kern w:val="0"/>
          <w:sz w:val="32"/>
          <w:szCs w:val="32"/>
          <w:highlight w:val="none"/>
        </w:rPr>
      </w:pPr>
      <w:r>
        <w:rPr>
          <w:rFonts w:hint="eastAsia" w:ascii="Times New Roman" w:hAnsi="Times New Roman" w:eastAsia="仿宋_GB2312" w:cs="仿宋_GB2312"/>
          <w:b/>
          <w:bCs/>
          <w:color w:val="auto"/>
          <w:w w:val="95"/>
          <w:kern w:val="0"/>
          <w:sz w:val="32"/>
          <w:szCs w:val="32"/>
          <w:highlight w:val="none"/>
        </w:rPr>
        <w:t>采购代理机构：广西国兴项目管理有限公司</w:t>
      </w:r>
    </w:p>
    <w:p w14:paraId="56A7BF19">
      <w:pPr>
        <w:pStyle w:val="18"/>
        <w:keepNext w:val="0"/>
        <w:keepLines w:val="0"/>
        <w:pageBreakBefore w:val="0"/>
        <w:widowControl w:val="0"/>
        <w:kinsoku/>
        <w:wordWrap/>
        <w:overflowPunct/>
        <w:topLinePunct w:val="0"/>
        <w:autoSpaceDE/>
        <w:autoSpaceDN/>
        <w:bidi w:val="0"/>
        <w:adjustRightInd/>
        <w:spacing w:before="120" w:after="120" w:line="360" w:lineRule="auto"/>
        <w:jc w:val="center"/>
        <w:textAlignment w:val="auto"/>
        <w:outlineLvl w:val="9"/>
        <w:rPr>
          <w:rFonts w:hint="default" w:ascii="Times New Roman" w:hAnsi="Times New Roman" w:eastAsia="仿宋_GB2312" w:cs="仿宋_GB2312"/>
          <w:b/>
          <w:bCs/>
          <w:color w:val="auto"/>
          <w:w w:val="95"/>
          <w:kern w:val="0"/>
          <w:sz w:val="32"/>
          <w:szCs w:val="32"/>
          <w:highlight w:val="none"/>
          <w:lang w:val="en-US" w:eastAsia="zh-CN"/>
        </w:rPr>
      </w:pPr>
      <w:r>
        <w:rPr>
          <w:rFonts w:hint="eastAsia" w:ascii="Times New Roman" w:hAnsi="Times New Roman" w:eastAsia="仿宋_GB2312" w:cs="仿宋_GB2312"/>
          <w:b/>
          <w:bCs/>
          <w:color w:val="auto"/>
          <w:w w:val="95"/>
          <w:kern w:val="0"/>
          <w:sz w:val="32"/>
          <w:szCs w:val="32"/>
          <w:highlight w:val="none"/>
        </w:rPr>
        <w:t>202</w:t>
      </w:r>
      <w:r>
        <w:rPr>
          <w:rFonts w:hint="eastAsia" w:ascii="Times New Roman" w:hAnsi="Times New Roman" w:eastAsia="仿宋_GB2312" w:cs="仿宋_GB2312"/>
          <w:b/>
          <w:bCs/>
          <w:color w:val="auto"/>
          <w:w w:val="95"/>
          <w:kern w:val="0"/>
          <w:sz w:val="32"/>
          <w:szCs w:val="32"/>
          <w:highlight w:val="none"/>
          <w:lang w:val="en-US" w:eastAsia="zh-CN"/>
        </w:rPr>
        <w:t>6</w:t>
      </w:r>
      <w:r>
        <w:rPr>
          <w:rFonts w:hint="eastAsia" w:ascii="Times New Roman" w:hAnsi="Times New Roman" w:eastAsia="仿宋_GB2312" w:cs="仿宋_GB2312"/>
          <w:b/>
          <w:bCs/>
          <w:color w:val="auto"/>
          <w:w w:val="95"/>
          <w:kern w:val="0"/>
          <w:sz w:val="32"/>
          <w:szCs w:val="32"/>
          <w:highlight w:val="none"/>
        </w:rPr>
        <w:t>年</w:t>
      </w:r>
      <w:r>
        <w:rPr>
          <w:rFonts w:hint="eastAsia" w:ascii="Times New Roman" w:hAnsi="Times New Roman" w:eastAsia="仿宋_GB2312" w:cs="仿宋_GB2312"/>
          <w:b/>
          <w:bCs/>
          <w:color w:val="auto"/>
          <w:w w:val="95"/>
          <w:kern w:val="0"/>
          <w:sz w:val="32"/>
          <w:szCs w:val="32"/>
          <w:highlight w:val="none"/>
          <w:lang w:val="en-US" w:eastAsia="zh-CN"/>
        </w:rPr>
        <w:t>6</w:t>
      </w:r>
      <w:r>
        <w:rPr>
          <w:rFonts w:hint="eastAsia" w:ascii="Times New Roman" w:hAnsi="Times New Roman" w:eastAsia="仿宋_GB2312" w:cs="仿宋_GB2312"/>
          <w:b/>
          <w:bCs/>
          <w:color w:val="auto"/>
          <w:w w:val="95"/>
          <w:kern w:val="0"/>
          <w:sz w:val="32"/>
          <w:szCs w:val="32"/>
          <w:highlight w:val="none"/>
        </w:rPr>
        <w:t>月</w:t>
      </w:r>
      <w:r>
        <w:rPr>
          <w:rFonts w:hint="eastAsia" w:ascii="Times New Roman" w:hAnsi="Times New Roman" w:eastAsia="仿宋_GB2312" w:cs="仿宋_GB2312"/>
          <w:b/>
          <w:bCs/>
          <w:color w:val="auto"/>
          <w:w w:val="95"/>
          <w:kern w:val="0"/>
          <w:sz w:val="32"/>
          <w:szCs w:val="32"/>
          <w:highlight w:val="none"/>
          <w:lang w:val="en-US" w:eastAsia="zh-CN"/>
        </w:rPr>
        <w:t>11日</w:t>
      </w:r>
    </w:p>
    <w:p w14:paraId="05596DE5">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632" w:firstLineChars="300"/>
        <w:jc w:val="both"/>
        <w:textAlignment w:val="auto"/>
        <w:outlineLvl w:val="9"/>
        <w:rPr>
          <w:rFonts w:hint="eastAsia" w:ascii="宋体" w:hAnsi="宋体" w:eastAsia="宋体" w:cs="宋体"/>
          <w:b/>
          <w:bCs/>
          <w:color w:val="auto"/>
          <w:sz w:val="21"/>
          <w:szCs w:val="21"/>
          <w:highlight w:val="none"/>
          <w:lang w:eastAsia="zh-CN"/>
        </w:rPr>
      </w:pPr>
    </w:p>
    <w:p w14:paraId="744F34E9">
      <w:pPr>
        <w:pageBreakBefore w:val="0"/>
        <w:widowControl w:val="0"/>
        <w:shd w:val="clear" w:color="auto" w:fill="auto"/>
        <w:kinsoku/>
        <w:wordWrap/>
        <w:overflowPunct/>
        <w:topLinePunct w:val="0"/>
        <w:bidi w:val="0"/>
        <w:spacing w:line="360" w:lineRule="auto"/>
        <w:jc w:val="center"/>
        <w:textAlignment w:val="auto"/>
        <w:outlineLvl w:val="9"/>
        <w:rPr>
          <w:rFonts w:hint="eastAsia" w:ascii="仿宋" w:hAnsi="仿宋" w:eastAsia="仿宋" w:cs="仿宋"/>
          <w:b/>
          <w:color w:val="auto"/>
          <w:sz w:val="44"/>
          <w:szCs w:val="44"/>
          <w:highlight w:val="none"/>
        </w:rPr>
        <w:sectPr>
          <w:headerReference r:id="rId5" w:type="first"/>
          <w:footerReference r:id="rId7" w:type="first"/>
          <w:headerReference r:id="rId3" w:type="default"/>
          <w:headerReference r:id="rId4" w:type="even"/>
          <w:footerReference r:id="rId6" w:type="even"/>
          <w:pgSz w:w="11906" w:h="16838"/>
          <w:pgMar w:top="1440" w:right="1803" w:bottom="1440" w:left="1803" w:header="851" w:footer="992" w:gutter="0"/>
          <w:pgNumType w:start="1"/>
          <w:cols w:space="720" w:num="1"/>
          <w:titlePg/>
          <w:docGrid w:type="lines" w:linePitch="312" w:charSpace="0"/>
        </w:sectPr>
      </w:pPr>
    </w:p>
    <w:p w14:paraId="461F16F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E72BD90">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_Toc17868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第一章 竞争性磋商公告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DC9723">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第二章 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4A207C">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3B2B93">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_Toc10053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供应商须知正文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98630A">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445D23">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二、磋商文件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0FD866">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_Toc11780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三、响应文件的编制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8FCE77">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_Toc29969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四、评审及磋商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_Toc29969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70EF66">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第三章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206F80">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一、采购项目需求一览表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14AD33">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49D673">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三、与实现项目目标相关的其他要求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E65508">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第四章 评审程序、评审方法和评审标准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C10AA0">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一、评审程序和评审方法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F2C798">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二、评审标准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485DDA">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第五章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7569FE">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一、资格证明文件格式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3A08B6">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_Toc19138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二、</w:t>
      </w:r>
      <w:r>
        <w:rPr>
          <w:rFonts w:hint="eastAsia" w:ascii="宋体" w:hAnsi="宋体" w:eastAsia="宋体" w:cs="宋体"/>
          <w:color w:val="auto"/>
          <w:sz w:val="21"/>
          <w:szCs w:val="21"/>
          <w:highlight w:val="none"/>
        </w:rPr>
        <w:t>报价文件格式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384D8F">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三、</w:t>
      </w:r>
      <w:r>
        <w:rPr>
          <w:rFonts w:hint="eastAsia" w:ascii="宋体" w:hAnsi="宋体" w:eastAsia="宋体" w:cs="宋体"/>
          <w:color w:val="auto"/>
          <w:sz w:val="21"/>
          <w:szCs w:val="21"/>
          <w:highlight w:val="none"/>
        </w:rPr>
        <w:t>商务技术文件格式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F8BBE6">
      <w:pPr>
        <w:pStyle w:val="23"/>
        <w:tabs>
          <w:tab w:val="right" w:leader="dot" w:pos="8300"/>
          <w:tab w:val="clear" w:pos="8296"/>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rPr>
        <w:t>其他文书、文件格式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DECF46">
      <w:pPr>
        <w:pStyle w:val="19"/>
        <w:tabs>
          <w:tab w:val="right" w:leader="dot" w:pos="830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第六章 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7FE101">
      <w:pPr>
        <w:pStyle w:val="23"/>
        <w:shd w:val="clear" w:color="auto" w:fill="auto"/>
        <w:tabs>
          <w:tab w:val="right" w:leader="dot" w:pos="8931"/>
          <w:tab w:val="clear" w:pos="8296"/>
        </w:tabs>
        <w:snapToGrid w:val="0"/>
        <w:spacing w:line="360" w:lineRule="auto"/>
        <w:ind w:left="0" w:leftChars="0"/>
        <w:rPr>
          <w:rFonts w:hint="eastAsia" w:ascii="宋体" w:hAnsi="宋体" w:eastAsia="宋体" w:cs="宋体"/>
          <w:color w:val="auto"/>
          <w:sz w:val="21"/>
          <w:szCs w:val="21"/>
          <w:highlight w:val="none"/>
        </w:rPr>
        <w:sectPr>
          <w:footerReference r:id="rId9" w:type="first"/>
          <w:footerReference r:id="rId8" w:type="default"/>
          <w:pgSz w:w="11906" w:h="16838"/>
          <w:pgMar w:top="1440" w:right="1803" w:bottom="1440" w:left="1803" w:header="720" w:footer="720" w:gutter="0"/>
          <w:lnNumType w:countBy="0" w:distance="360"/>
          <w:cols w:space="720" w:num="1"/>
          <w:titlePg/>
          <w:docGrid w:type="lines" w:linePitch="331" w:charSpace="0"/>
        </w:sectPr>
      </w:pPr>
      <w:r>
        <w:rPr>
          <w:rFonts w:hint="eastAsia" w:ascii="宋体" w:hAnsi="宋体" w:eastAsia="宋体" w:cs="宋体"/>
          <w:color w:val="auto"/>
          <w:sz w:val="21"/>
          <w:szCs w:val="21"/>
          <w:highlight w:val="none"/>
        </w:rPr>
        <w:fldChar w:fldCharType="end"/>
      </w:r>
    </w:p>
    <w:p w14:paraId="33816B43">
      <w:pPr>
        <w:rPr>
          <w:rFonts w:hint="eastAsia"/>
          <w:color w:val="auto"/>
          <w:highlight w:val="none"/>
        </w:rPr>
      </w:pPr>
    </w:p>
    <w:p w14:paraId="2DE950C7">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4" w:name="_Toc17868"/>
      <w:bookmarkStart w:id="5" w:name="_Toc7641"/>
      <w:bookmarkStart w:id="6" w:name="_Toc144750171"/>
      <w:r>
        <w:rPr>
          <w:rFonts w:hint="eastAsia" w:ascii="方正小标宋_GBK" w:hAnsi="方正小标宋_GBK" w:eastAsia="方正小标宋_GBK" w:cs="方正小标宋_GBK"/>
          <w:b/>
          <w:color w:val="auto"/>
          <w:sz w:val="28"/>
          <w:szCs w:val="28"/>
          <w:highlight w:val="none"/>
          <w:lang w:val="en-US" w:eastAsia="zh-CN"/>
        </w:rPr>
        <w:t>第一章 竞争性磋商公告</w:t>
      </w:r>
      <w:bookmarkEnd w:id="4"/>
      <w:bookmarkEnd w:id="5"/>
      <w:bookmarkEnd w:id="6"/>
    </w:p>
    <w:p w14:paraId="4F95CAC1">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7" w:name="_Hlk37430271"/>
      <w:r>
        <w:rPr>
          <w:rFonts w:hint="eastAsia" w:ascii="宋体" w:hAnsi="宋体" w:eastAsia="宋体" w:cs="宋体"/>
          <w:color w:val="auto"/>
          <w:sz w:val="21"/>
          <w:szCs w:val="21"/>
          <w:highlight w:val="none"/>
        </w:rPr>
        <w:t>项目概况</w:t>
      </w:r>
    </w:p>
    <w:p w14:paraId="2B0BCCAF">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龙须河流域综合规划</w:t>
      </w:r>
      <w:r>
        <w:rPr>
          <w:rFonts w:hint="eastAsia" w:ascii="宋体" w:hAnsi="宋体" w:eastAsia="宋体" w:cs="宋体"/>
          <w:color w:val="auto"/>
          <w:sz w:val="21"/>
          <w:szCs w:val="21"/>
          <w:highlight w:val="none"/>
        </w:rPr>
        <w:t>的潜在供应商应在广西政府采购云平台（https://www.gcy.zfcg.gxzf.gov.cn/）获取采购文件，并于202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（北京时间）前提交响应文件。</w:t>
      </w:r>
    </w:p>
    <w:p w14:paraId="5A7CD75B">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8" w:name="_Toc9408"/>
      <w:bookmarkStart w:id="9" w:name="_Toc8897"/>
      <w:bookmarkStart w:id="10" w:name="_Toc21132"/>
      <w:r>
        <w:rPr>
          <w:rFonts w:hint="eastAsia" w:ascii="宋体" w:hAnsi="宋体" w:eastAsia="宋体" w:cs="宋体"/>
          <w:b/>
          <w:color w:val="auto"/>
          <w:sz w:val="21"/>
          <w:szCs w:val="21"/>
          <w:highlight w:val="none"/>
        </w:rPr>
        <w:t>一、项目基本情况</w:t>
      </w:r>
      <w:bookmarkEnd w:id="8"/>
      <w:bookmarkEnd w:id="9"/>
      <w:bookmarkEnd w:id="10"/>
    </w:p>
    <w:p w14:paraId="4C5223B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GXZC2026-C3-001797-GXGX</w:t>
      </w:r>
    </w:p>
    <w:p w14:paraId="0724DC4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龙须河流域综合规划</w:t>
      </w:r>
    </w:p>
    <w:p w14:paraId="0E1D4C2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752F773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预算</w:t>
      </w:r>
      <w:r>
        <w:rPr>
          <w:rFonts w:hint="eastAsia" w:ascii="宋体" w:hAnsi="宋体" w:eastAsia="宋体" w:cs="宋体"/>
          <w:i w:val="0"/>
          <w:iCs w:val="0"/>
          <w:caps w:val="0"/>
          <w:color w:val="auto"/>
          <w:spacing w:val="0"/>
          <w:sz w:val="21"/>
          <w:szCs w:val="21"/>
          <w:highlight w:val="none"/>
          <w:lang w:val="en-US" w:eastAsia="zh-CN"/>
        </w:rPr>
        <w:t>总</w:t>
      </w:r>
      <w:r>
        <w:rPr>
          <w:rFonts w:hint="eastAsia" w:ascii="宋体" w:hAnsi="宋体" w:eastAsia="宋体" w:cs="宋体"/>
          <w:i w:val="0"/>
          <w:iCs w:val="0"/>
          <w:caps w:val="0"/>
          <w:color w:val="auto"/>
          <w:spacing w:val="0"/>
          <w:sz w:val="21"/>
          <w:szCs w:val="21"/>
          <w:highlight w:val="none"/>
        </w:rPr>
        <w:t>金额（元）：</w:t>
      </w:r>
      <w:r>
        <w:rPr>
          <w:rFonts w:hint="eastAsia" w:ascii="宋体" w:hAnsi="宋体" w:cs="宋体"/>
          <w:i w:val="0"/>
          <w:iCs w:val="0"/>
          <w:caps w:val="0"/>
          <w:color w:val="auto"/>
          <w:spacing w:val="0"/>
          <w:sz w:val="21"/>
          <w:szCs w:val="21"/>
          <w:highlight w:val="none"/>
          <w:lang w:val="en-US" w:eastAsia="zh-CN"/>
        </w:rPr>
        <w:t>2500000.00</w:t>
      </w:r>
    </w:p>
    <w:p w14:paraId="7D250F6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17E7A2D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标项名称</w:t>
      </w:r>
      <w:r>
        <w:rPr>
          <w:rFonts w:hint="eastAsia" w:ascii="宋体" w:hAnsi="宋体" w:eastAsia="宋体" w:cs="宋体"/>
          <w:b w:val="0"/>
          <w:bCs w:val="0"/>
          <w:color w:val="auto"/>
          <w:sz w:val="21"/>
          <w:szCs w:val="21"/>
          <w:highlight w:val="none"/>
          <w:lang w:eastAsia="zh-CN"/>
        </w:rPr>
        <w:t>：</w:t>
      </w:r>
      <w:r>
        <w:rPr>
          <w:rFonts w:hint="eastAsia" w:ascii="宋体" w:hAnsi="宋体" w:cs="宋体"/>
          <w:color w:val="auto"/>
          <w:sz w:val="21"/>
          <w:szCs w:val="21"/>
          <w:highlight w:val="none"/>
          <w:lang w:eastAsia="zh-CN"/>
        </w:rPr>
        <w:t>龙须河流域综合规划</w:t>
      </w:r>
    </w:p>
    <w:p w14:paraId="1DF9517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p>
    <w:p w14:paraId="50DDB73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预算金额（元）：</w:t>
      </w:r>
      <w:r>
        <w:rPr>
          <w:rFonts w:hint="eastAsia" w:ascii="宋体" w:hAnsi="宋体" w:cs="宋体"/>
          <w:i w:val="0"/>
          <w:iCs w:val="0"/>
          <w:caps w:val="0"/>
          <w:color w:val="auto"/>
          <w:spacing w:val="0"/>
          <w:sz w:val="21"/>
          <w:szCs w:val="21"/>
          <w:highlight w:val="none"/>
          <w:lang w:val="en-US" w:eastAsia="zh-CN"/>
        </w:rPr>
        <w:t>2500000.00</w:t>
      </w:r>
    </w:p>
    <w:p w14:paraId="1271DE1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简要规格描述或项目基本概况介绍、用途：</w:t>
      </w:r>
      <w:r>
        <w:rPr>
          <w:rFonts w:hint="eastAsia" w:ascii="宋体" w:hAnsi="宋体" w:cs="宋体"/>
          <w:color w:val="auto"/>
          <w:sz w:val="21"/>
          <w:szCs w:val="21"/>
          <w:highlight w:val="none"/>
          <w:lang w:eastAsia="zh-CN"/>
        </w:rPr>
        <w:t>龙须河流域综合规划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具体详见《采购需求》。</w:t>
      </w:r>
    </w:p>
    <w:p w14:paraId="3C7F44A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最高限价（如有）：</w:t>
      </w:r>
      <w:r>
        <w:rPr>
          <w:rFonts w:hint="eastAsia" w:ascii="宋体" w:hAnsi="宋体" w:cs="宋体"/>
          <w:i w:val="0"/>
          <w:iCs w:val="0"/>
          <w:caps w:val="0"/>
          <w:color w:val="auto"/>
          <w:spacing w:val="0"/>
          <w:sz w:val="21"/>
          <w:szCs w:val="21"/>
          <w:highlight w:val="none"/>
          <w:lang w:val="en-US" w:eastAsia="zh-CN"/>
        </w:rPr>
        <w:t>2500000.00</w:t>
      </w:r>
    </w:p>
    <w:p w14:paraId="15CA5EC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合同履约期限：自合同签订之日起至202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月30日，按采购人要求提交编制成果及完成合同履约验收。</w:t>
      </w:r>
    </w:p>
    <w:p w14:paraId="276AC32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210" w:firstLineChars="1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本标项（</w:t>
      </w:r>
      <w:r>
        <w:rPr>
          <w:rFonts w:hint="eastAsia" w:ascii="宋体" w:hAnsi="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rPr>
        <w:t>）接受联合体</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lang w:eastAsia="zh-CN"/>
        </w:rPr>
        <w:t>。</w:t>
      </w:r>
    </w:p>
    <w:p w14:paraId="17A3CCC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50C88B46">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11" w:name="_Toc17493"/>
      <w:bookmarkStart w:id="12" w:name="_Toc30871"/>
      <w:bookmarkStart w:id="13" w:name="_Toc9255"/>
      <w:r>
        <w:rPr>
          <w:rFonts w:hint="eastAsia" w:ascii="宋体" w:hAnsi="宋体" w:eastAsia="宋体" w:cs="宋体"/>
          <w:b/>
          <w:color w:val="auto"/>
          <w:sz w:val="21"/>
          <w:szCs w:val="21"/>
          <w:highlight w:val="none"/>
        </w:rPr>
        <w:t>二、申请人的资格要求：</w:t>
      </w:r>
      <w:bookmarkEnd w:id="11"/>
      <w:bookmarkEnd w:id="12"/>
      <w:bookmarkEnd w:id="13"/>
    </w:p>
    <w:p w14:paraId="7F203411">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4" w:name="_Toc28359091"/>
      <w:bookmarkStart w:id="15" w:name="_Toc28359014"/>
      <w:bookmarkStart w:id="16" w:name="_Toc35393631"/>
      <w:bookmarkStart w:id="17" w:name="_Toc35393800"/>
      <w:bookmarkStart w:id="18" w:name="_Toc44229880"/>
      <w:r>
        <w:rPr>
          <w:rFonts w:hint="eastAsia" w:ascii="宋体" w:hAnsi="宋体" w:eastAsia="宋体" w:cs="宋体"/>
          <w:color w:val="auto"/>
          <w:sz w:val="21"/>
          <w:szCs w:val="21"/>
          <w:highlight w:val="none"/>
        </w:rPr>
        <w:t>1.满足《中华人民共和国政府采购法》第二十二条规定；</w:t>
      </w:r>
    </w:p>
    <w:p w14:paraId="67AEC62A">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rPr>
        <w:t>落实政府采购政策需满足的资格要求：非专门面向中小企业采购；</w:t>
      </w:r>
    </w:p>
    <w:p w14:paraId="5161CFE8">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rPr>
        <w:t>本项目的特定资格要求：无。</w:t>
      </w:r>
    </w:p>
    <w:bookmarkEnd w:id="14"/>
    <w:bookmarkEnd w:id="15"/>
    <w:bookmarkEnd w:id="16"/>
    <w:bookmarkEnd w:id="17"/>
    <w:bookmarkEnd w:id="18"/>
    <w:p w14:paraId="1B4BE753">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19" w:name="_Toc17242"/>
      <w:bookmarkStart w:id="20" w:name="_Toc6865"/>
      <w:bookmarkStart w:id="21" w:name="_Toc28176"/>
      <w:r>
        <w:rPr>
          <w:rFonts w:hint="eastAsia" w:ascii="宋体" w:hAnsi="宋体" w:eastAsia="宋体" w:cs="宋体"/>
          <w:b/>
          <w:color w:val="auto"/>
          <w:sz w:val="21"/>
          <w:szCs w:val="21"/>
          <w:highlight w:val="none"/>
        </w:rPr>
        <w:t>三、获取采购文件</w:t>
      </w:r>
      <w:bookmarkEnd w:id="19"/>
      <w:bookmarkEnd w:id="20"/>
      <w:bookmarkEnd w:id="21"/>
    </w:p>
    <w:p w14:paraId="6CCCAD2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bookmarkStart w:id="22" w:name="_Toc28359092"/>
      <w:bookmarkStart w:id="23" w:name="_Toc44229881"/>
      <w:bookmarkStart w:id="24" w:name="_Toc35393632"/>
      <w:bookmarkStart w:id="25" w:name="_Toc28359015"/>
      <w:bookmarkStart w:id="26" w:name="_Toc35393801"/>
      <w:r>
        <w:rPr>
          <w:rFonts w:hint="eastAsia" w:ascii="宋体" w:hAnsi="宋体" w:eastAsia="宋体" w:cs="宋体"/>
          <w:bCs/>
          <w:color w:val="auto"/>
          <w:kern w:val="0"/>
          <w:sz w:val="21"/>
          <w:szCs w:val="21"/>
          <w:highlight w:val="none"/>
        </w:rPr>
        <w:t>时间：202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11</w:t>
      </w:r>
      <w:r>
        <w:rPr>
          <w:rFonts w:hint="eastAsia" w:ascii="宋体" w:hAnsi="宋体" w:eastAsia="宋体" w:cs="宋体"/>
          <w:bCs/>
          <w:color w:val="auto"/>
          <w:kern w:val="0"/>
          <w:sz w:val="21"/>
          <w:szCs w:val="21"/>
          <w:highlight w:val="none"/>
        </w:rPr>
        <w:t>日至202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18</w:t>
      </w:r>
      <w:r>
        <w:rPr>
          <w:rFonts w:hint="eastAsia" w:ascii="宋体" w:hAnsi="宋体" w:eastAsia="宋体" w:cs="宋体"/>
          <w:bCs/>
          <w:color w:val="auto"/>
          <w:kern w:val="0"/>
          <w:sz w:val="21"/>
          <w:szCs w:val="21"/>
          <w:highlight w:val="none"/>
        </w:rPr>
        <w:t>日，每天上午0</w:t>
      </w: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:00至12:00，下午</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00</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kern w:val="0"/>
          <w:sz w:val="21"/>
          <w:szCs w:val="21"/>
          <w:highlight w:val="none"/>
          <w:lang w:val="en-US" w:eastAsia="zh-CN"/>
        </w:rPr>
        <w:t>23</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59</w:t>
      </w:r>
      <w:r>
        <w:rPr>
          <w:rFonts w:hint="eastAsia" w:ascii="宋体" w:hAnsi="宋体" w:eastAsia="宋体" w:cs="宋体"/>
          <w:bCs/>
          <w:color w:val="auto"/>
          <w:kern w:val="0"/>
          <w:sz w:val="21"/>
          <w:szCs w:val="21"/>
          <w:highlight w:val="none"/>
        </w:rPr>
        <w:t>（北京时间，法定节假日除外）</w:t>
      </w:r>
    </w:p>
    <w:p w14:paraId="6C2AD22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地点（网址）：广西政府采购云平台（https://www.gcy.zfcg.gxzf.gov.cn/）</w:t>
      </w:r>
    </w:p>
    <w:p w14:paraId="04F13B6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提供纸质文件，潜在供应商需使用账号登录或者使用CA登录广西政府采购云平台（https://www.gcy.zfcg.gxzf.gov.cn/）-进入“项目采购”应用，在获取采购文件菜单中选择项目，获取采购文件（或在“电子投标客户端-获取采购文件”跳转到平台系统获取）。电子响应文件制作</w:t>
      </w:r>
      <w:r>
        <w:rPr>
          <w:rFonts w:hint="eastAsia" w:ascii="宋体" w:hAnsi="宋体" w:eastAsia="宋体" w:cs="宋体"/>
          <w:color w:val="auto"/>
          <w:sz w:val="21"/>
          <w:szCs w:val="21"/>
          <w:highlight w:val="none"/>
        </w:rPr>
        <w:t>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文件编制，</w:t>
      </w:r>
      <w:r>
        <w:rPr>
          <w:rFonts w:hint="eastAsia" w:ascii="宋体" w:hAnsi="宋体" w:eastAsia="宋体" w:cs="宋体"/>
          <w:bCs/>
          <w:color w:val="auto"/>
          <w:kern w:val="0"/>
          <w:sz w:val="21"/>
          <w:szCs w:val="21"/>
          <w:highlight w:val="none"/>
        </w:rPr>
        <w:t>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kern w:val="0"/>
          <w:sz w:val="21"/>
          <w:szCs w:val="21"/>
          <w:highlight w:val="none"/>
        </w:rPr>
        <w:t>编制及</w:t>
      </w:r>
      <w:r>
        <w:rPr>
          <w:rFonts w:hint="eastAsia" w:ascii="宋体" w:hAnsi="宋体" w:eastAsia="宋体" w:cs="宋体"/>
          <w:bCs/>
          <w:color w:val="auto"/>
          <w:kern w:val="0"/>
          <w:sz w:val="21"/>
          <w:szCs w:val="21"/>
          <w:highlight w:val="none"/>
          <w:lang w:val="en-US" w:eastAsia="zh-CN"/>
        </w:rPr>
        <w:t>递交</w:t>
      </w:r>
      <w:r>
        <w:rPr>
          <w:rFonts w:hint="eastAsia" w:ascii="宋体" w:hAnsi="宋体" w:eastAsia="宋体" w:cs="宋体"/>
          <w:bCs/>
          <w:color w:val="auto"/>
          <w:kern w:val="0"/>
          <w:sz w:val="21"/>
          <w:szCs w:val="21"/>
          <w:highlight w:val="none"/>
        </w:rPr>
        <w:t>响应文件。（注：供应商通过广西政府采购云平台参与政府采购项目</w:t>
      </w:r>
      <w:r>
        <w:rPr>
          <w:rFonts w:hint="eastAsia" w:ascii="宋体" w:hAnsi="宋体" w:eastAsia="宋体" w:cs="宋体"/>
          <w:bCs/>
          <w:color w:val="auto"/>
          <w:kern w:val="0"/>
          <w:sz w:val="21"/>
          <w:szCs w:val="21"/>
          <w:highlight w:val="none"/>
          <w:lang w:val="en-US" w:eastAsia="zh-CN"/>
        </w:rPr>
        <w:t>竞标</w:t>
      </w:r>
      <w:r>
        <w:rPr>
          <w:rFonts w:hint="eastAsia" w:ascii="宋体" w:hAnsi="宋体" w:eastAsia="宋体" w:cs="宋体"/>
          <w:bCs/>
          <w:color w:val="auto"/>
          <w:kern w:val="0"/>
          <w:sz w:val="21"/>
          <w:szCs w:val="21"/>
          <w:highlight w:val="none"/>
        </w:rPr>
        <w:t>需下载使用新版客户端，新版客户端下载路径：广西政府采购网（访问地址http://zfcg.gxzf.gov.cn/）—办事服务—下载专区。）</w:t>
      </w:r>
    </w:p>
    <w:p w14:paraId="1FB5081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售价（元）：0</w:t>
      </w:r>
    </w:p>
    <w:bookmarkEnd w:id="22"/>
    <w:bookmarkEnd w:id="23"/>
    <w:bookmarkEnd w:id="24"/>
    <w:bookmarkEnd w:id="25"/>
    <w:bookmarkEnd w:id="26"/>
    <w:p w14:paraId="2186D2F8">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27" w:name="_Toc24073"/>
      <w:bookmarkStart w:id="28" w:name="_Toc9709"/>
      <w:bookmarkStart w:id="29" w:name="_Toc1187"/>
      <w:r>
        <w:rPr>
          <w:rFonts w:hint="eastAsia" w:ascii="宋体" w:hAnsi="宋体" w:eastAsia="宋体" w:cs="宋体"/>
          <w:b/>
          <w:color w:val="auto"/>
          <w:sz w:val="21"/>
          <w:szCs w:val="21"/>
          <w:highlight w:val="none"/>
        </w:rPr>
        <w:t>四、响应文件提交</w:t>
      </w:r>
      <w:bookmarkEnd w:id="27"/>
      <w:bookmarkEnd w:id="28"/>
      <w:bookmarkEnd w:id="29"/>
    </w:p>
    <w:p w14:paraId="6677E16E">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single"/>
          <w:lang w:val="en-US" w:eastAsia="zh-CN"/>
        </w:rPr>
      </w:pPr>
      <w:bookmarkStart w:id="30" w:name="_Toc28359093"/>
      <w:bookmarkStart w:id="31" w:name="_Toc35393802"/>
      <w:bookmarkStart w:id="32" w:name="_Toc35393633"/>
      <w:bookmarkStart w:id="33" w:name="_Toc28359016"/>
      <w:bookmarkStart w:id="34" w:name="_Toc44229882"/>
      <w:r>
        <w:rPr>
          <w:rFonts w:hint="eastAsia" w:ascii="宋体" w:hAnsi="宋体" w:eastAsia="宋体" w:cs="宋体"/>
          <w:color w:val="auto"/>
          <w:sz w:val="21"/>
          <w:szCs w:val="21"/>
          <w:highlight w:val="none"/>
        </w:rPr>
        <w:t>截止时间：</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23</w:t>
      </w:r>
      <w:r>
        <w:rPr>
          <w:rFonts w:hint="eastAsia" w:ascii="宋体" w:hAnsi="宋体" w:eastAsia="宋体" w:cs="宋体"/>
          <w:bCs/>
          <w:color w:val="auto"/>
          <w:kern w:val="0"/>
          <w:sz w:val="21"/>
          <w:szCs w:val="21"/>
          <w:highlight w:val="none"/>
          <w:u w:val="single"/>
        </w:rPr>
        <w:t>日09:30（北京时间）</w:t>
      </w:r>
    </w:p>
    <w:p w14:paraId="42E95BF3">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w:t>
      </w:r>
      <w:r>
        <w:rPr>
          <w:rFonts w:hint="eastAsia" w:ascii="宋体" w:hAnsi="宋体" w:eastAsia="宋体" w:cs="宋体"/>
          <w:bCs/>
          <w:color w:val="auto"/>
          <w:kern w:val="0"/>
          <w:sz w:val="21"/>
          <w:szCs w:val="21"/>
          <w:highlight w:val="none"/>
        </w:rPr>
        <w:t>广西政府采购云平台（https://www.gcy.zfcg.gxzf.gov.cn/）</w:t>
      </w:r>
    </w:p>
    <w:bookmarkEnd w:id="30"/>
    <w:bookmarkEnd w:id="31"/>
    <w:bookmarkEnd w:id="32"/>
    <w:bookmarkEnd w:id="33"/>
    <w:bookmarkEnd w:id="34"/>
    <w:p w14:paraId="1D4E7FE3">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35" w:name="_Toc32398"/>
      <w:bookmarkStart w:id="36" w:name="_Toc18260"/>
      <w:bookmarkStart w:id="37" w:name="_Toc6255"/>
      <w:r>
        <w:rPr>
          <w:rFonts w:hint="eastAsia" w:ascii="宋体" w:hAnsi="宋体" w:eastAsia="宋体" w:cs="宋体"/>
          <w:b/>
          <w:color w:val="auto"/>
          <w:sz w:val="21"/>
          <w:szCs w:val="21"/>
          <w:highlight w:val="none"/>
        </w:rPr>
        <w:t>五、响应文件开启</w:t>
      </w:r>
      <w:bookmarkEnd w:id="35"/>
      <w:bookmarkEnd w:id="36"/>
      <w:bookmarkEnd w:id="37"/>
    </w:p>
    <w:p w14:paraId="6E9795FB">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1.开启时间：</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23</w:t>
      </w:r>
      <w:r>
        <w:rPr>
          <w:rFonts w:hint="eastAsia" w:ascii="宋体" w:hAnsi="宋体" w:eastAsia="宋体" w:cs="宋体"/>
          <w:bCs/>
          <w:color w:val="auto"/>
          <w:kern w:val="0"/>
          <w:sz w:val="21"/>
          <w:szCs w:val="21"/>
          <w:highlight w:val="none"/>
          <w:u w:val="single"/>
        </w:rPr>
        <w:t>日09:30（北京时间）</w:t>
      </w:r>
    </w:p>
    <w:p w14:paraId="20670331">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2.地点：</w:t>
      </w:r>
      <w:r>
        <w:rPr>
          <w:rFonts w:hint="eastAsia" w:ascii="宋体" w:hAnsi="宋体" w:eastAsia="宋体" w:cs="宋体"/>
          <w:bCs/>
          <w:color w:val="auto"/>
          <w:kern w:val="0"/>
          <w:sz w:val="21"/>
          <w:szCs w:val="21"/>
          <w:highlight w:val="none"/>
        </w:rPr>
        <w:t>广西政府采购云平台（https://www.gcy.zfcg.gxzf.gov.cn/）</w:t>
      </w:r>
    </w:p>
    <w:p w14:paraId="29E8B3F5">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38" w:name="_Toc7613"/>
      <w:bookmarkStart w:id="39" w:name="_Toc22740"/>
      <w:bookmarkStart w:id="40" w:name="_Toc31027"/>
      <w:r>
        <w:rPr>
          <w:rFonts w:hint="eastAsia" w:ascii="宋体" w:hAnsi="宋体" w:eastAsia="宋体" w:cs="宋体"/>
          <w:b/>
          <w:color w:val="auto"/>
          <w:sz w:val="21"/>
          <w:szCs w:val="21"/>
          <w:highlight w:val="none"/>
        </w:rPr>
        <w:t>六、公告期限</w:t>
      </w:r>
      <w:bookmarkEnd w:id="38"/>
      <w:bookmarkEnd w:id="39"/>
      <w:bookmarkEnd w:id="40"/>
    </w:p>
    <w:p w14:paraId="6A88C5C2">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63827315">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41" w:name="_Toc27087"/>
      <w:bookmarkStart w:id="42" w:name="_Toc11764"/>
      <w:bookmarkStart w:id="43" w:name="_Toc4771"/>
      <w:r>
        <w:rPr>
          <w:rFonts w:hint="eastAsia" w:ascii="宋体" w:hAnsi="宋体" w:eastAsia="宋体" w:cs="宋体"/>
          <w:b/>
          <w:color w:val="auto"/>
          <w:sz w:val="21"/>
          <w:szCs w:val="21"/>
          <w:highlight w:val="none"/>
        </w:rPr>
        <w:t>七、其他补充事宜</w:t>
      </w:r>
      <w:bookmarkEnd w:id="41"/>
      <w:bookmarkEnd w:id="42"/>
      <w:bookmarkEnd w:id="43"/>
    </w:p>
    <w:p w14:paraId="44E02D40">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1.本项目不收取</w:t>
      </w:r>
      <w:r>
        <w:rPr>
          <w:rFonts w:hint="eastAsia" w:ascii="宋体" w:hAnsi="宋体" w:cs="宋体"/>
          <w:color w:val="auto"/>
          <w:szCs w:val="21"/>
          <w:highlight w:val="none"/>
        </w:rPr>
        <w:t>磋商</w:t>
      </w:r>
      <w:r>
        <w:rPr>
          <w:rFonts w:hint="eastAsia" w:ascii="宋体" w:hAnsi="宋体" w:eastAsia="宋体" w:cs="宋体"/>
          <w:color w:val="auto"/>
          <w:kern w:val="0"/>
          <w:sz w:val="21"/>
          <w:szCs w:val="21"/>
          <w:highlight w:val="none"/>
          <w:lang w:val="en-US" w:eastAsia="zh-CN"/>
        </w:rPr>
        <w:t>保证金。</w:t>
      </w:r>
    </w:p>
    <w:p w14:paraId="4AD19927">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.网上查询地址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中国政府采购网(http://www.ccgp.gov.cn)、广西壮族自治区政府采购网(http://zfcg.gxzf.gov.cn)</w:t>
      </w:r>
      <w:r>
        <w:rPr>
          <w:rFonts w:hint="eastAsia" w:ascii="宋体" w:hAnsi="宋体" w:eastAsia="宋体" w:cs="宋体"/>
          <w:color w:val="auto"/>
          <w:kern w:val="0"/>
          <w:sz w:val="21"/>
          <w:szCs w:val="21"/>
          <w:highlight w:val="none"/>
          <w:lang w:eastAsia="zh-CN"/>
        </w:rPr>
        <w:t>。</w:t>
      </w:r>
    </w:p>
    <w:p w14:paraId="0AB4F380">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bookmarkStart w:id="44" w:name="_Hlk37429674"/>
      <w:bookmarkStart w:id="45" w:name="_Toc28359095"/>
      <w:bookmarkStart w:id="46" w:name="_Toc35393805"/>
      <w:bookmarkStart w:id="47" w:name="_Toc35393636"/>
      <w:bookmarkStart w:id="48" w:name="_Toc28359018"/>
      <w:bookmarkStart w:id="49" w:name="_Toc44229885"/>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本项目需要落实的政府采购政策</w:t>
      </w:r>
    </w:p>
    <w:bookmarkEnd w:id="44"/>
    <w:p w14:paraId="5A09396E">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20C4021B">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42D66592">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031FBED8">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381C0EA9">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4B345190">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358BF0">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C811A16">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竞标注意事项</w:t>
      </w:r>
    </w:p>
    <w:p w14:paraId="75309F72">
      <w:pPr>
        <w:keepNext w:val="0"/>
        <w:keepLines w:val="0"/>
        <w:pageBreakBefore w:val="0"/>
        <w:widowControl/>
        <w:shd w:val="clear" w:color="auto" w:fill="auto"/>
        <w:kinsoku/>
        <w:wordWrap w:val="0"/>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（1）本项目为全流程电子化采购项目，通过广西政府采购云平台（https://www.gcy.zfcg.gxzf.gov.cn/）实行在线电子竞标，供应商应</w:t>
      </w:r>
      <w:r>
        <w:rPr>
          <w:rFonts w:hint="eastAsia" w:ascii="宋体" w:hAnsi="宋体" w:eastAsia="宋体" w:cs="宋体"/>
          <w:color w:val="auto"/>
          <w:sz w:val="21"/>
          <w:szCs w:val="21"/>
          <w:highlight w:val="none"/>
          <w:lang w:val="en-US" w:eastAsia="zh-CN"/>
        </w:rPr>
        <w:t>先安装</w:t>
      </w:r>
      <w:r>
        <w:rPr>
          <w:rFonts w:hint="eastAsia" w:ascii="宋体" w:hAnsi="宋体" w:eastAsia="宋体" w:cs="宋体"/>
          <w:color w:val="auto"/>
          <w:sz w:val="21"/>
          <w:szCs w:val="21"/>
          <w:highlight w:val="none"/>
        </w:rPr>
        <w:t>“电子投标客户端”（注：供应商通过广西政府采购云平台参与政府采购项目投标需下载使用新版客户端，新版客户端下载路径：广西政府采购网（访问地址http://zfcg.gxzf.gov.cn/）—办事服务—下载专区。），并按照本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文件和广西政府采购云平台的要求编制、加密后在提交响应文件截止时间前通过网络上传至广西政府采购云平台</w:t>
      </w:r>
      <w:r>
        <w:rPr>
          <w:rFonts w:hint="eastAsia" w:ascii="宋体" w:hAnsi="宋体" w:eastAsia="宋体" w:cs="宋体"/>
          <w:b/>
          <w:bCs/>
          <w:color w:val="auto"/>
          <w:sz w:val="21"/>
          <w:szCs w:val="21"/>
          <w:highlight w:val="none"/>
        </w:rPr>
        <w:t>（加密的电子响应文件是指后缀名为“jmbs”的文件）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供应商在广西政府采购云平台提交电子响应文件时，请填写参加远程采购活动经办人联系方式。</w:t>
      </w:r>
      <w:r>
        <w:rPr>
          <w:rFonts w:hint="eastAsia" w:ascii="宋体" w:hAnsi="宋体" w:eastAsia="宋体" w:cs="宋体"/>
          <w:color w:val="auto"/>
          <w:sz w:val="21"/>
          <w:szCs w:val="21"/>
          <w:highlight w:val="none"/>
        </w:rPr>
        <w:t>供应商登录广西政府采购云平台，依次进入“服务中心-项目采购-操作流程-电子招投标-政府采购项目电子交易管理操作指南-供应商”查看电子竞标具体操作流程。</w:t>
      </w:r>
    </w:p>
    <w:p w14:paraId="56C9BFF7">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依次进入“服务中心-入驻与配置”中查看CA数字证书办理操作流程。</w:t>
      </w:r>
      <w:r>
        <w:rPr>
          <w:rFonts w:hint="eastAsia" w:ascii="宋体" w:hAnsi="宋体" w:eastAsia="宋体" w:cs="宋体"/>
          <w:bCs/>
          <w:color w:val="auto"/>
          <w:kern w:val="0"/>
          <w:sz w:val="21"/>
          <w:szCs w:val="21"/>
          <w:highlight w:val="none"/>
        </w:rPr>
        <w:t>如在操作过程中遇到问题或者需要技术支持，请致电广西政府采购云平台热线人工客服（工作时间：工作日08:00～20：00），咨询电话：95763）</w:t>
      </w:r>
      <w:r>
        <w:rPr>
          <w:rFonts w:hint="eastAsia" w:ascii="宋体" w:hAnsi="宋体" w:eastAsia="宋体" w:cs="宋体"/>
          <w:color w:val="auto"/>
          <w:sz w:val="21"/>
          <w:szCs w:val="21"/>
          <w:highlight w:val="none"/>
        </w:rPr>
        <w:t>。</w:t>
      </w:r>
    </w:p>
    <w:p w14:paraId="7CC6CE6A">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620521B">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（4）各供应商通过广西政府采购云平台参与政府采购项目</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需下载使用新版客户端，新版客户端下载路径：广西政府采购网（访问地址http://zfcg.gxzf.gov.cn/）—办事服务—下载专区。原在政采云平台注册的临时供应商需在广西政府采购云平台启用后重新注册登记。</w:t>
      </w:r>
    </w:p>
    <w:p w14:paraId="60816D25">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）广西政府采购云平台与政采云平台操作流程一致，首次登录广西政府采购云平台账号密码与政采云账号密码一致，新旧平台数据相互独立，后续修改广西政府采购云平台密码不会影响政采云平台密码。</w:t>
      </w:r>
    </w:p>
    <w:p w14:paraId="70208D39">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w:t>
      </w:r>
    </w:p>
    <w:p w14:paraId="48CAE250">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w:t>
      </w:r>
      <w:r>
        <w:rPr>
          <w:rFonts w:hint="eastAsia" w:ascii="宋体" w:hAnsi="宋体" w:eastAsia="宋体" w:cs="宋体"/>
          <w:bCs/>
          <w:color w:val="auto"/>
          <w:sz w:val="21"/>
          <w:szCs w:val="21"/>
          <w:highlight w:val="none"/>
        </w:rPr>
        <w:t>收。</w:t>
      </w:r>
    </w:p>
    <w:p w14:paraId="1854F521">
      <w:pPr>
        <w:keepNext w:val="0"/>
        <w:keepLines w:val="0"/>
        <w:pageBreakBefore w:val="0"/>
        <w:numPr>
          <w:ilvl w:val="0"/>
          <w:numId w:val="0"/>
        </w:numPr>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rPr>
        <w:t>供应商需要在具备摄像头及语音功能且互联网网络状况良好的电脑登录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远程开标大厅参与本次磋商，否则后果自负。</w:t>
      </w:r>
    </w:p>
    <w:bookmarkEnd w:id="45"/>
    <w:bookmarkEnd w:id="46"/>
    <w:bookmarkEnd w:id="47"/>
    <w:bookmarkEnd w:id="48"/>
    <w:bookmarkEnd w:id="49"/>
    <w:p w14:paraId="2826658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50" w:name="_Toc4457"/>
      <w:bookmarkStart w:id="51" w:name="_Toc8842"/>
      <w:bookmarkStart w:id="52" w:name="_Toc17699"/>
      <w:r>
        <w:rPr>
          <w:rFonts w:hint="eastAsia" w:ascii="宋体" w:hAnsi="宋体" w:eastAsia="宋体" w:cs="宋体"/>
          <w:b/>
          <w:color w:val="auto"/>
          <w:sz w:val="21"/>
          <w:szCs w:val="21"/>
          <w:highlight w:val="none"/>
        </w:rPr>
        <w:t>八、凡对本次采购提出询问，请按以下方式联系。</w:t>
      </w:r>
      <w:bookmarkEnd w:id="50"/>
      <w:bookmarkEnd w:id="51"/>
      <w:bookmarkEnd w:id="52"/>
    </w:p>
    <w:bookmarkEnd w:id="7"/>
    <w:p w14:paraId="06B3060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CE3506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名称：广西壮族自治区水利厅</w:t>
      </w:r>
    </w:p>
    <w:p w14:paraId="4C91F4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地址：南宁市青秀区建政路12号水利厅办公大楼</w:t>
      </w:r>
    </w:p>
    <w:p w14:paraId="79BEFAF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林国鸿</w:t>
      </w:r>
    </w:p>
    <w:p w14:paraId="11B37E7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联系方式：0771-2185287</w:t>
      </w:r>
    </w:p>
    <w:p w14:paraId="3B4E2FF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1533E7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名称：广西国兴项目管理有限公司</w:t>
      </w:r>
    </w:p>
    <w:p w14:paraId="29B7E89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地址：南宁市良庆区体强路19号阳光城·时代中心B座2220室</w:t>
      </w:r>
    </w:p>
    <w:p w14:paraId="261B4B0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项目联系人：韦鸿亮</w:t>
      </w:r>
    </w:p>
    <w:p w14:paraId="5640F7C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联系方式：0771-5789574、1</w:t>
      </w:r>
      <w:r>
        <w:rPr>
          <w:rFonts w:hint="eastAsia" w:ascii="宋体" w:hAnsi="宋体" w:cs="宋体"/>
          <w:color w:val="auto"/>
          <w:sz w:val="21"/>
          <w:szCs w:val="21"/>
          <w:highlight w:val="none"/>
          <w:lang w:val="en-US" w:eastAsia="zh-CN"/>
        </w:rPr>
        <w:t>5676196759</w:t>
      </w:r>
    </w:p>
    <w:p w14:paraId="56D66E41">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p>
    <w:p w14:paraId="7D7C28CD">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53" w:name="_Toc144750172"/>
      <w:r>
        <w:rPr>
          <w:rFonts w:hint="eastAsia" w:ascii="仿宋" w:hAnsi="仿宋" w:eastAsia="仿宋" w:cs="仿宋"/>
          <w:color w:val="auto"/>
          <w:highlight w:val="none"/>
        </w:rPr>
        <w:br w:type="page"/>
      </w:r>
      <w:bookmarkStart w:id="54" w:name="_Toc28635"/>
      <w:bookmarkStart w:id="55" w:name="_Toc11321"/>
      <w:r>
        <w:rPr>
          <w:rFonts w:hint="eastAsia" w:ascii="方正小标宋_GBK" w:hAnsi="方正小标宋_GBK" w:eastAsia="方正小标宋_GBK" w:cs="方正小标宋_GBK"/>
          <w:b/>
          <w:color w:val="auto"/>
          <w:sz w:val="28"/>
          <w:szCs w:val="28"/>
          <w:highlight w:val="none"/>
          <w:lang w:val="en-US" w:eastAsia="zh-CN"/>
        </w:rPr>
        <w:t>第二章 供应商须知</w:t>
      </w:r>
      <w:bookmarkEnd w:id="53"/>
      <w:bookmarkEnd w:id="54"/>
      <w:bookmarkEnd w:id="55"/>
    </w:p>
    <w:p w14:paraId="1740E052">
      <w:pPr>
        <w:shd w:val="clear" w:color="auto" w:fill="auto"/>
        <w:spacing w:line="360" w:lineRule="auto"/>
        <w:jc w:val="center"/>
        <w:outlineLvl w:val="1"/>
        <w:rPr>
          <w:rFonts w:hint="eastAsia" w:ascii="宋体" w:hAnsi="宋体" w:eastAsia="宋体" w:cs="宋体"/>
          <w:b/>
          <w:color w:val="auto"/>
          <w:sz w:val="21"/>
          <w:szCs w:val="21"/>
          <w:highlight w:val="none"/>
          <w:lang w:val="en-US" w:eastAsia="zh-CN"/>
        </w:rPr>
      </w:pPr>
      <w:bookmarkStart w:id="56" w:name="_Toc7112"/>
      <w:bookmarkStart w:id="57" w:name="_Toc9394"/>
      <w:r>
        <w:rPr>
          <w:rFonts w:hint="eastAsia" w:ascii="宋体" w:hAnsi="宋体" w:eastAsia="宋体" w:cs="宋体"/>
          <w:b/>
          <w:color w:val="auto"/>
          <w:sz w:val="21"/>
          <w:szCs w:val="21"/>
          <w:highlight w:val="none"/>
          <w:lang w:val="en-US" w:eastAsia="zh-CN"/>
        </w:rPr>
        <w:t>供应商须知前附表</w:t>
      </w:r>
      <w:bookmarkEnd w:id="56"/>
      <w:bookmarkEnd w:id="57"/>
    </w:p>
    <w:tbl>
      <w:tblPr>
        <w:tblStyle w:val="2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7566"/>
      </w:tblGrid>
      <w:tr w14:paraId="4551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top"/>
          </w:tcPr>
          <w:p w14:paraId="624E27F3">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4442" w:type="pct"/>
            <w:noWrap w:val="0"/>
            <w:vAlign w:val="top"/>
          </w:tcPr>
          <w:p w14:paraId="24F4C7C1">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6547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F5AF699">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42" w:type="pct"/>
            <w:noWrap w:val="0"/>
            <w:vAlign w:val="center"/>
          </w:tcPr>
          <w:p w14:paraId="0E19657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1.供应商的资格条件</w:t>
            </w:r>
            <w:r>
              <w:rPr>
                <w:rFonts w:hint="eastAsia" w:ascii="宋体" w:hAnsi="宋体" w:eastAsia="宋体" w:cs="宋体"/>
                <w:color w:val="auto"/>
                <w:sz w:val="21"/>
                <w:szCs w:val="21"/>
                <w:highlight w:val="none"/>
              </w:rPr>
              <w:t>：详见竞争性磋商公告</w:t>
            </w:r>
          </w:p>
          <w:p w14:paraId="711484F5">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723DAFFF">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5F09E3">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FE5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0A9F6DA">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4442" w:type="pct"/>
            <w:noWrap w:val="0"/>
            <w:vAlign w:val="center"/>
          </w:tcPr>
          <w:p w14:paraId="46FF47A7">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详见竞争性磋商公告</w:t>
            </w:r>
          </w:p>
        </w:tc>
      </w:tr>
      <w:tr w14:paraId="4629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BD54C42">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4442" w:type="pct"/>
            <w:noWrap w:val="0"/>
            <w:vAlign w:val="center"/>
          </w:tcPr>
          <w:p w14:paraId="2AE9603F">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32746DEA">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w:t>
            </w:r>
            <w:r>
              <w:rPr>
                <w:rFonts w:hint="eastAsia" w:ascii="宋体" w:hAnsi="宋体" w:eastAsia="宋体" w:cs="宋体"/>
                <w:color w:val="auto"/>
                <w:sz w:val="21"/>
                <w:szCs w:val="21"/>
                <w:highlight w:val="none"/>
                <w:lang w:eastAsia="zh-CN"/>
              </w:rPr>
              <w:t>，</w:t>
            </w:r>
            <w:r>
              <w:rPr>
                <w:rFonts w:hint="eastAsia" w:ascii="宋体" w:hAnsi="宋体"/>
                <w:b w:val="0"/>
                <w:bCs w:val="0"/>
                <w:color w:val="auto"/>
                <w:szCs w:val="21"/>
                <w:highlight w:val="none"/>
              </w:rPr>
              <w:t>联合体供应商的名称应统一按“XXX 公司与 XXX 公司的联合体”的规则填写</w:t>
            </w:r>
            <w:r>
              <w:rPr>
                <w:rFonts w:hint="eastAsia" w:ascii="宋体" w:hAnsi="宋体" w:eastAsia="宋体" w:cs="宋体"/>
                <w:b w:val="0"/>
                <w:bCs w:val="0"/>
                <w:color w:val="auto"/>
                <w:sz w:val="21"/>
                <w:szCs w:val="21"/>
                <w:highlight w:val="none"/>
              </w:rPr>
              <w:t>。</w:t>
            </w:r>
          </w:p>
          <w:p w14:paraId="3F58B865">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11237A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联合体各方之间必须签订《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7DAF05F5">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4.以联合体形式参加政府采购活动的，联合体各</w:t>
            </w:r>
            <w:r>
              <w:rPr>
                <w:rFonts w:hint="eastAsia" w:ascii="宋体" w:hAnsi="宋体" w:eastAsia="宋体" w:cs="宋体"/>
                <w:color w:val="auto"/>
                <w:sz w:val="21"/>
                <w:szCs w:val="21"/>
                <w:highlight w:val="none"/>
              </w:rPr>
              <w:t>方不得再单独参加或者与其他供应商另外组成联合体参加同一合同项下的政府采购活动。</w:t>
            </w:r>
          </w:p>
          <w:p w14:paraId="5AD4722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7CB168E2">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6.联合体竞标业绩、履约能力按照联合体各方中较高的一方认定并计算（磋商文件另有规定的除外）。</w:t>
            </w:r>
          </w:p>
          <w:p w14:paraId="36B095A3">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7.供应商为联合体的，可以由联合体中的一方或者多方共同交纳磋商保证金，其交纳的保证金对联合体各方均具有约束力。</w:t>
            </w:r>
          </w:p>
          <w:p w14:paraId="5C946656">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8.联合体各方均应按照磋商文件的规定提交资格证明文件。</w:t>
            </w:r>
          </w:p>
          <w:p w14:paraId="286EEB40">
            <w:pPr>
              <w:keepNext w:val="0"/>
              <w:keepLines w:val="0"/>
              <w:pageBreakBefore w:val="0"/>
              <w:widowControl w:val="0"/>
              <w:shd w:val="clear" w:color="auto" w:fill="auto"/>
              <w:kinsoku/>
              <w:wordWrap/>
              <w:overflowPunct/>
              <w:topLinePunct w:val="0"/>
              <w:bidi w:val="0"/>
              <w:adjustRightInd/>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color w:val="auto"/>
                <w:szCs w:val="21"/>
                <w:highlight w:val="none"/>
              </w:rPr>
              <w:t>联合体竞标的，除联合体协议书及特定备注要求需要双方盖法人单位章（可采用纸质版盖联合体各方法人单位章后扫描上传），其他只需盖联合体</w:t>
            </w:r>
            <w:r>
              <w:rPr>
                <w:rFonts w:hint="eastAsia" w:ascii="宋体" w:hAnsi="宋体"/>
                <w:color w:val="auto"/>
                <w:szCs w:val="21"/>
                <w:highlight w:val="none"/>
                <w:lang w:val="en-US" w:eastAsia="zh-CN"/>
              </w:rPr>
              <w:t>牵头人</w:t>
            </w:r>
            <w:r>
              <w:rPr>
                <w:rFonts w:hint="eastAsia" w:ascii="宋体" w:hAnsi="宋体"/>
                <w:color w:val="auto"/>
                <w:szCs w:val="21"/>
                <w:highlight w:val="none"/>
              </w:rPr>
              <w:t>的电子印章</w:t>
            </w:r>
            <w:r>
              <w:rPr>
                <w:rFonts w:hint="eastAsia" w:ascii="宋体" w:hAnsi="宋体" w:eastAsia="宋体" w:cs="宋体"/>
                <w:color w:val="auto"/>
                <w:sz w:val="21"/>
                <w:szCs w:val="21"/>
                <w:highlight w:val="none"/>
                <w:lang w:val="en-US" w:eastAsia="zh-CN"/>
              </w:rPr>
              <w:t>。</w:t>
            </w:r>
          </w:p>
        </w:tc>
      </w:tr>
      <w:tr w14:paraId="2B856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C109A8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4442" w:type="pct"/>
            <w:noWrap w:val="0"/>
            <w:vAlign w:val="center"/>
          </w:tcPr>
          <w:p w14:paraId="74FF1A7F">
            <w:pPr>
              <w:pStyle w:val="12"/>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☑不允许分包</w:t>
            </w:r>
          </w:p>
          <w:p w14:paraId="27430A77">
            <w:pPr>
              <w:pStyle w:val="12"/>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□允许分包</w:t>
            </w:r>
          </w:p>
          <w:p w14:paraId="7BE4165C">
            <w:pPr>
              <w:pStyle w:val="12"/>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分包内容：</w:t>
            </w:r>
            <w:r>
              <w:rPr>
                <w:rFonts w:hint="eastAsia" w:ascii="宋体" w:hAnsi="宋体" w:eastAsia="宋体" w:cs="宋体"/>
                <w:color w:val="auto"/>
                <w:sz w:val="21"/>
                <w:szCs w:val="21"/>
                <w:highlight w:val="none"/>
                <w:u w:val="single"/>
                <w:lang w:val="en-US" w:eastAsia="zh-CN"/>
              </w:rPr>
              <w:t xml:space="preserve"> / </w:t>
            </w:r>
          </w:p>
          <w:p w14:paraId="473761B9">
            <w:pPr>
              <w:pStyle w:val="12"/>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分包金额或者比例：</w:t>
            </w:r>
            <w:r>
              <w:rPr>
                <w:rFonts w:hint="eastAsia" w:ascii="宋体" w:hAnsi="宋体" w:eastAsia="宋体" w:cs="宋体"/>
                <w:color w:val="auto"/>
                <w:sz w:val="21"/>
                <w:szCs w:val="21"/>
                <w:highlight w:val="none"/>
                <w:u w:val="single"/>
                <w:lang w:val="en-US" w:eastAsia="zh-CN"/>
              </w:rPr>
              <w:t xml:space="preserve"> / </w:t>
            </w:r>
          </w:p>
        </w:tc>
      </w:tr>
      <w:tr w14:paraId="1CE0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3E26F1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4442" w:type="pct"/>
            <w:noWrap w:val="0"/>
            <w:vAlign w:val="center"/>
          </w:tcPr>
          <w:p w14:paraId="15C76132">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77C3AF96">
            <w:pPr>
              <w:pStyle w:val="12"/>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 w:val="21"/>
                <w:szCs w:val="21"/>
                <w:highlight w:val="none"/>
                <w:lang w:val="en-US" w:eastAsia="zh-CN"/>
              </w:rPr>
              <w:t>必须提供，否则响应文件按无效响应处理</w:t>
            </w:r>
            <w:r>
              <w:rPr>
                <w:rFonts w:hint="eastAsia" w:ascii="宋体" w:hAnsi="宋体" w:eastAsia="宋体" w:cs="宋体"/>
                <w:color w:val="auto"/>
                <w:sz w:val="21"/>
                <w:szCs w:val="21"/>
                <w:highlight w:val="none"/>
                <w:lang w:val="en-US" w:eastAsia="zh-CN"/>
              </w:rPr>
              <w:t>）</w:t>
            </w:r>
          </w:p>
          <w:p w14:paraId="6344F35E">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5B8FDB7">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76BFC50">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cs="宋体"/>
                <w:color w:val="auto"/>
                <w:sz w:val="21"/>
                <w:szCs w:val="21"/>
                <w:highlight w:val="none"/>
                <w:u w:val="single"/>
                <w:lang w:val="en-US" w:eastAsia="zh-CN"/>
              </w:rPr>
              <w:t>2024或</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697BC3D1">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960204F">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B684F5D">
            <w:pPr>
              <w:keepNext w:val="0"/>
              <w:keepLines w:val="0"/>
              <w:pageBreakBefore w:val="0"/>
              <w:widowControl w:val="0"/>
              <w:shd w:val="clear" w:color="auto" w:fill="auto"/>
              <w:kinsoku/>
              <w:wordWrap/>
              <w:overflowPunct/>
              <w:topLinePunct w:val="0"/>
              <w:bidi w:val="0"/>
              <w:adjustRightInd/>
              <w:spacing w:line="400" w:lineRule="exact"/>
              <w:ind w:firstLine="0" w:firstLineChars="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olor w:val="auto"/>
                <w:szCs w:val="21"/>
                <w:highlight w:val="none"/>
              </w:rPr>
              <w:t>联合体</w:t>
            </w:r>
            <w:r>
              <w:rPr>
                <w:rFonts w:hint="eastAsia" w:ascii="宋体" w:hAnsi="宋体"/>
                <w:color w:val="auto"/>
                <w:szCs w:val="21"/>
                <w:highlight w:val="none"/>
                <w:lang w:val="en-US" w:eastAsia="zh-CN"/>
              </w:rPr>
              <w:t>竞标</w:t>
            </w:r>
            <w:r>
              <w:rPr>
                <w:rFonts w:hint="eastAsia" w:ascii="宋体" w:hAnsi="宋体"/>
                <w:color w:val="auto"/>
                <w:szCs w:val="21"/>
                <w:highlight w:val="none"/>
              </w:rPr>
              <w:t>协议书（格式后附）；（</w:t>
            </w:r>
            <w:r>
              <w:rPr>
                <w:rFonts w:hint="eastAsia" w:ascii="宋体" w:hAnsi="宋体"/>
                <w:b/>
                <w:color w:val="auto"/>
                <w:szCs w:val="21"/>
                <w:highlight w:val="none"/>
              </w:rPr>
              <w:t>联合体</w:t>
            </w:r>
            <w:r>
              <w:rPr>
                <w:rFonts w:hint="eastAsia" w:ascii="宋体" w:hAnsi="宋体"/>
                <w:b/>
                <w:color w:val="auto"/>
                <w:szCs w:val="21"/>
                <w:highlight w:val="none"/>
                <w:lang w:val="en-US" w:eastAsia="zh-CN"/>
              </w:rPr>
              <w:t>竞标</w:t>
            </w:r>
            <w:r>
              <w:rPr>
                <w:rFonts w:hint="eastAsia" w:ascii="宋体" w:hAnsi="宋体"/>
                <w:b/>
                <w:color w:val="auto"/>
                <w:szCs w:val="21"/>
                <w:highlight w:val="none"/>
              </w:rPr>
              <w:t>时必须提供，否则作无效</w:t>
            </w:r>
            <w:r>
              <w:rPr>
                <w:rFonts w:hint="eastAsia" w:ascii="宋体" w:hAnsi="宋体" w:eastAsia="宋体" w:cs="宋体"/>
                <w:b/>
                <w:color w:val="auto"/>
                <w:sz w:val="21"/>
                <w:szCs w:val="21"/>
                <w:highlight w:val="none"/>
              </w:rPr>
              <w:t>响应</w:t>
            </w:r>
            <w:r>
              <w:rPr>
                <w:rFonts w:hint="eastAsia" w:ascii="宋体" w:hAnsi="宋体"/>
                <w:b/>
                <w:color w:val="auto"/>
                <w:szCs w:val="21"/>
                <w:highlight w:val="none"/>
              </w:rPr>
              <w:t>处理</w:t>
            </w:r>
            <w:r>
              <w:rPr>
                <w:rFonts w:hint="eastAsia" w:ascii="宋体" w:hAnsi="宋体"/>
                <w:color w:val="auto"/>
                <w:szCs w:val="21"/>
                <w:highlight w:val="none"/>
              </w:rPr>
              <w:t>）</w:t>
            </w:r>
          </w:p>
          <w:p w14:paraId="4A2E63D9">
            <w:pPr>
              <w:keepNext w:val="0"/>
              <w:keepLines w:val="0"/>
              <w:pageBreakBefore w:val="0"/>
              <w:widowControl w:val="0"/>
              <w:shd w:val="clear" w:color="auto" w:fill="auto"/>
              <w:kinsoku/>
              <w:wordWrap/>
              <w:overflowPunct/>
              <w:topLinePunct w:val="0"/>
              <w:bidi w:val="0"/>
              <w:adjustRightInd/>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8.</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证明材料；</w:t>
            </w:r>
            <w:r>
              <w:rPr>
                <w:rFonts w:hint="eastAsia" w:ascii="宋体" w:hAnsi="宋体" w:eastAsia="宋体" w:cs="宋体"/>
                <w:b/>
                <w:bCs/>
                <w:color w:val="auto"/>
                <w:sz w:val="21"/>
                <w:szCs w:val="21"/>
                <w:highlight w:val="none"/>
                <w:lang w:val="en-US" w:eastAsia="zh-CN"/>
              </w:rPr>
              <w:t>（如项目有特定资格要求请提供）</w:t>
            </w:r>
          </w:p>
          <w:p w14:paraId="7A20938F">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color w:val="auto"/>
                <w:sz w:val="21"/>
                <w:szCs w:val="21"/>
                <w:highlight w:val="none"/>
                <w:lang w:eastAsia="zh-CN"/>
              </w:rPr>
              <w:t>。</w:t>
            </w:r>
          </w:p>
          <w:p w14:paraId="37E635CE">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以上标明“必须提供”的材料属于复印件</w:t>
            </w:r>
            <w:r>
              <w:rPr>
                <w:rFonts w:hint="eastAsia" w:ascii="宋体" w:hAnsi="宋体" w:eastAsia="宋体" w:cs="宋体"/>
                <w:b/>
                <w:color w:val="auto"/>
                <w:sz w:val="21"/>
                <w:szCs w:val="21"/>
                <w:highlight w:val="none"/>
                <w:lang w:val="en-US" w:eastAsia="zh-CN"/>
              </w:rPr>
              <w:t>或扫描件</w:t>
            </w:r>
            <w:r>
              <w:rPr>
                <w:rFonts w:hint="eastAsia" w:ascii="宋体" w:hAnsi="宋体" w:eastAsia="宋体" w:cs="宋体"/>
                <w:b/>
                <w:color w:val="auto"/>
                <w:sz w:val="21"/>
                <w:szCs w:val="21"/>
                <w:highlight w:val="none"/>
              </w:rPr>
              <w:t>的，必须加盖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w:t>
            </w:r>
          </w:p>
          <w:p w14:paraId="43277690">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cs="宋体"/>
                <w:b/>
                <w:color w:val="auto"/>
                <w:szCs w:val="21"/>
                <w:highlight w:val="none"/>
              </w:rPr>
              <w:t>（2）联合体投标时，第1-5项资格文件联合体各方均必须分别提供（联合体成员的资格证明文件可分别随第1-5项的节点提供，也可在第7项“联合体竞标协议书”的节点提供），并由联合体牵头人加盖电子签章，规定签字处签字（或者电子签名），否则按无效</w:t>
            </w:r>
            <w:r>
              <w:rPr>
                <w:rFonts w:hint="eastAsia" w:ascii="宋体" w:hAnsi="宋体" w:eastAsia="宋体" w:cs="宋体"/>
                <w:b/>
                <w:color w:val="auto"/>
                <w:sz w:val="21"/>
                <w:szCs w:val="21"/>
                <w:highlight w:val="none"/>
              </w:rPr>
              <w:t>响应</w:t>
            </w:r>
            <w:r>
              <w:rPr>
                <w:rFonts w:hint="eastAsia" w:ascii="宋体" w:hAnsi="宋体" w:cs="宋体"/>
                <w:b/>
                <w:color w:val="auto"/>
                <w:szCs w:val="21"/>
                <w:highlight w:val="none"/>
              </w:rPr>
              <w:t>处理。</w:t>
            </w:r>
          </w:p>
        </w:tc>
      </w:tr>
      <w:tr w14:paraId="3B23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47DA533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4442" w:type="pct"/>
            <w:noWrap w:val="0"/>
            <w:vAlign w:val="center"/>
          </w:tcPr>
          <w:p w14:paraId="00D19E71">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6A56E0A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4419875E">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2.中小企业声明函</w:t>
            </w:r>
            <w:r>
              <w:rPr>
                <w:rFonts w:hint="eastAsia" w:ascii="宋体" w:hAnsi="宋体"/>
                <w:color w:val="auto"/>
                <w:szCs w:val="21"/>
                <w:highlight w:val="none"/>
              </w:rPr>
              <w:t>或监狱企业证明文件或残疾人福利性单位声明函</w:t>
            </w:r>
            <w:r>
              <w:rPr>
                <w:rFonts w:hint="eastAsia" w:ascii="宋体" w:hAnsi="宋体" w:eastAsia="宋体" w:cs="宋体"/>
                <w:color w:val="auto"/>
                <w:sz w:val="21"/>
                <w:szCs w:val="21"/>
                <w:highlight w:val="none"/>
              </w:rPr>
              <w:t>；</w:t>
            </w:r>
            <w:r>
              <w:rPr>
                <w:rFonts w:hint="eastAsia" w:ascii="宋体" w:hAnsi="宋体"/>
                <w:color w:val="auto"/>
                <w:szCs w:val="21"/>
                <w:highlight w:val="none"/>
              </w:rPr>
              <w:t>（</w:t>
            </w:r>
            <w:r>
              <w:rPr>
                <w:rFonts w:hint="eastAsia" w:ascii="宋体" w:hAnsi="宋体"/>
                <w:color w:val="auto"/>
                <w:highlight w:val="none"/>
              </w:rPr>
              <w:t>如有，请提供）</w:t>
            </w:r>
          </w:p>
          <w:p w14:paraId="0680514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.供应商认为需要提供的其他有关资料。</w:t>
            </w:r>
          </w:p>
          <w:p w14:paraId="2A66C0B2">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否则响应文件按无效响应处理。</w:t>
            </w:r>
          </w:p>
        </w:tc>
      </w:tr>
      <w:tr w14:paraId="23F5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7862B91">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4442" w:type="pct"/>
            <w:noWrap w:val="0"/>
            <w:vAlign w:val="center"/>
          </w:tcPr>
          <w:p w14:paraId="0FDD9DEA">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p w14:paraId="619D614B">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D04EE35">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836C356">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24A98ED4">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bookmarkStart w:id="58" w:name="OLE_LINK40"/>
            <w:r>
              <w:rPr>
                <w:rFonts w:hint="eastAsia" w:ascii="宋体" w:hAnsi="宋体" w:cs="宋体"/>
                <w:color w:val="auto"/>
                <w:szCs w:val="21"/>
                <w:highlight w:val="none"/>
              </w:rPr>
              <w:t>4.</w:t>
            </w:r>
            <w:bookmarkEnd w:id="58"/>
            <w:r>
              <w:rPr>
                <w:rFonts w:hint="eastAsia" w:ascii="宋体" w:hAnsi="宋体" w:eastAsia="宋体" w:cs="宋体"/>
                <w:color w:val="auto"/>
                <w:sz w:val="21"/>
                <w:szCs w:val="21"/>
                <w:highlight w:val="none"/>
              </w:rPr>
              <w:t>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111203C">
            <w:pPr>
              <w:keepNext w:val="0"/>
              <w:keepLines w:val="0"/>
              <w:pageBreakBefore w:val="0"/>
              <w:widowControl w:val="0"/>
              <w:shd w:val="clear" w:color="auto" w:fill="auto"/>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.服务方案（请供应商根据“第三章 采购需求”及“第四章 评审程序、评审方法和评审标准”自行编写，格式自拟）；</w:t>
            </w:r>
          </w:p>
          <w:p w14:paraId="3F348D98">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2131AC1">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.项目实施人员一览表（格式后附，如提供的格式不适合供应商的实际情况，可参照本表格式自行制表填写）；</w:t>
            </w:r>
          </w:p>
          <w:p w14:paraId="3908B559">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.对应采购需求的项目需要及技术需求、商务要求提供的其他文件资料（格式自拟）；</w:t>
            </w:r>
          </w:p>
          <w:p w14:paraId="2F86B046">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.供应商认为需要提供的其他有关资料。</w:t>
            </w:r>
          </w:p>
          <w:p w14:paraId="223B74C0">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注：以上标明“必须提供”的材料属于复印件</w:t>
            </w:r>
            <w:r>
              <w:rPr>
                <w:rFonts w:hint="eastAsia" w:ascii="宋体" w:hAnsi="宋体" w:eastAsia="宋体" w:cs="宋体"/>
                <w:b/>
                <w:color w:val="auto"/>
                <w:sz w:val="21"/>
                <w:szCs w:val="21"/>
                <w:highlight w:val="none"/>
                <w:lang w:val="en-US" w:eastAsia="zh-CN"/>
              </w:rPr>
              <w:t>或扫描件</w:t>
            </w:r>
            <w:r>
              <w:rPr>
                <w:rFonts w:hint="eastAsia" w:ascii="宋体" w:hAnsi="宋体" w:eastAsia="宋体" w:cs="宋体"/>
                <w:b/>
                <w:color w:val="auto"/>
                <w:sz w:val="21"/>
                <w:szCs w:val="21"/>
                <w:highlight w:val="none"/>
              </w:rPr>
              <w:t>的，必须加盖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w:t>
            </w:r>
          </w:p>
        </w:tc>
      </w:tr>
      <w:tr w14:paraId="0287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23CF75BA">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4442" w:type="pct"/>
            <w:noWrap w:val="0"/>
            <w:vAlign w:val="center"/>
          </w:tcPr>
          <w:p w14:paraId="725D1FA4">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标报价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w:t>
            </w:r>
          </w:p>
        </w:tc>
      </w:tr>
      <w:tr w14:paraId="6C58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57" w:type="pct"/>
            <w:noWrap w:val="0"/>
            <w:vAlign w:val="center"/>
          </w:tcPr>
          <w:p w14:paraId="42A6C4F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4442" w:type="pct"/>
            <w:noWrap w:val="0"/>
            <w:vAlign w:val="center"/>
          </w:tcPr>
          <w:p w14:paraId="5EBFA8F3">
            <w:pPr>
              <w:pStyle w:val="11"/>
              <w:keepNext w:val="0"/>
              <w:keepLines w:val="0"/>
              <w:pageBreakBefore w:val="0"/>
              <w:widowControl w:val="0"/>
              <w:numPr>
                <w:ilvl w:val="0"/>
                <w:numId w:val="0"/>
              </w:numPr>
              <w:shd w:val="clear" w:color="auto" w:fill="auto"/>
              <w:tabs>
                <w:tab w:val="left" w:pos="720"/>
                <w:tab w:val="left" w:pos="840"/>
                <w:tab w:val="clear" w:pos="360"/>
              </w:tabs>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竞标有效期：自首次响应文件提交截止之日起</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w:t>
            </w:r>
          </w:p>
        </w:tc>
      </w:tr>
      <w:tr w14:paraId="29A8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557" w:type="pct"/>
            <w:noWrap w:val="0"/>
            <w:vAlign w:val="center"/>
          </w:tcPr>
          <w:p w14:paraId="5D98778C">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4442" w:type="pct"/>
            <w:noWrap w:val="0"/>
            <w:vAlign w:val="center"/>
          </w:tcPr>
          <w:p w14:paraId="2E62ED3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收取磋商保证金</w:t>
            </w:r>
            <w:r>
              <w:rPr>
                <w:rFonts w:hint="eastAsia" w:ascii="宋体" w:hAnsi="宋体" w:eastAsia="宋体" w:cs="宋体"/>
                <w:color w:val="auto"/>
                <w:sz w:val="21"/>
                <w:szCs w:val="21"/>
                <w:highlight w:val="none"/>
                <w:lang w:eastAsia="zh-CN"/>
              </w:rPr>
              <w:t>。</w:t>
            </w:r>
          </w:p>
        </w:tc>
      </w:tr>
      <w:tr w14:paraId="155C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309E5A31">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4442" w:type="pct"/>
            <w:noWrap w:val="0"/>
            <w:vAlign w:val="center"/>
          </w:tcPr>
          <w:p w14:paraId="1870EBB6">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5F84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0AC5EC3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4442" w:type="pct"/>
            <w:noWrap w:val="0"/>
            <w:vAlign w:val="center"/>
          </w:tcPr>
          <w:p w14:paraId="4DBC2452">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响应文件提交截止时间：详见竞争性磋商公告。</w:t>
            </w:r>
          </w:p>
          <w:p w14:paraId="7339F5DE">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响应文件提交地点：详见竞争性磋商公告。</w:t>
            </w:r>
          </w:p>
        </w:tc>
      </w:tr>
      <w:tr w14:paraId="0063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0C08118B">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4442" w:type="pct"/>
            <w:noWrap w:val="0"/>
            <w:vAlign w:val="center"/>
          </w:tcPr>
          <w:p w14:paraId="6EAD919A">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w:t>
            </w:r>
          </w:p>
        </w:tc>
      </w:tr>
      <w:tr w14:paraId="6A39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A4B15D3">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4442" w:type="pct"/>
            <w:noWrap w:val="0"/>
            <w:vAlign w:val="center"/>
          </w:tcPr>
          <w:p w14:paraId="064270DF">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首次响应文件开启时间详见“竞争性磋商公告”</w:t>
            </w:r>
          </w:p>
          <w:p w14:paraId="1FC23A74">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w:t>
            </w:r>
          </w:p>
        </w:tc>
      </w:tr>
      <w:tr w14:paraId="31C46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56829963">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4442" w:type="pct"/>
            <w:noWrap w:val="0"/>
            <w:vAlign w:val="center"/>
          </w:tcPr>
          <w:p w14:paraId="5DF2AB7F">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p w14:paraId="769F1548">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项。</w:t>
            </w:r>
          </w:p>
        </w:tc>
      </w:tr>
      <w:tr w14:paraId="3E5F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57" w:type="pct"/>
            <w:noWrap w:val="0"/>
            <w:vAlign w:val="center"/>
          </w:tcPr>
          <w:p w14:paraId="19FE2589">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4442" w:type="pct"/>
            <w:noWrap w:val="0"/>
            <w:vAlign w:val="center"/>
          </w:tcPr>
          <w:p w14:paraId="064C23DC">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1A05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B55524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4442" w:type="pct"/>
            <w:noWrap w:val="0"/>
            <w:vAlign w:val="center"/>
          </w:tcPr>
          <w:p w14:paraId="24D45730">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160CD28B">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1DE9C5A1">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6556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E6730DF">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4442" w:type="pct"/>
            <w:noWrap w:val="0"/>
            <w:vAlign w:val="center"/>
          </w:tcPr>
          <w:p w14:paraId="70BBE9F5">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39443F22">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质疑联系部门及联系方式：广西国兴项目管理有限公司，联系电话：17777178365、0771-5789574，通讯地址：南宁市良庆区体强路19号阳光城·时代中心B座2220室</w:t>
            </w:r>
          </w:p>
          <w:p w14:paraId="6F1E0ECC">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现场提交质疑办理业务时间：工作日，上午9:00-12:00；下午15:00-1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0（北京时间）</w:t>
            </w:r>
          </w:p>
        </w:tc>
      </w:tr>
      <w:tr w14:paraId="5E4A5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52CDEEE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4442" w:type="pct"/>
            <w:noWrap w:val="0"/>
            <w:vAlign w:val="center"/>
          </w:tcPr>
          <w:p w14:paraId="53DA8D6C">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4BEDE11D">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领取成交通知书前，一次性向采购代理机构支付。</w:t>
            </w:r>
          </w:p>
          <w:p w14:paraId="09432CFC">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2634AAA8">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09B347D4">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成交金额/□采购预算/□暂定成交金额/□其他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）为计费额，按本须知正文第32.2条规定的收费计算标准（□货物类/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服务类/□工程类）采用差额定率累进法计算出收费基准价格，采购代理收费以（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收费基准价格/□收费基准价格下浮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54A61BE9">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w:t>
            </w:r>
          </w:p>
          <w:p w14:paraId="787B0E6E">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2857F7A1">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账户名称：广西国兴项目管理有限公司</w:t>
            </w:r>
          </w:p>
          <w:p w14:paraId="0ABD96FA">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开户行：广西北部湾银行股份有限公司南宁市仙葫支行</w:t>
            </w:r>
          </w:p>
          <w:p w14:paraId="00DED391">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账号：800081385811688</w:t>
            </w:r>
          </w:p>
        </w:tc>
      </w:tr>
      <w:tr w14:paraId="2DFA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58154099">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4442" w:type="pct"/>
            <w:noWrap w:val="0"/>
            <w:vAlign w:val="center"/>
          </w:tcPr>
          <w:p w14:paraId="7EFED4CD">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87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7D689151">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4442" w:type="pct"/>
            <w:noWrap w:val="0"/>
            <w:vAlign w:val="center"/>
          </w:tcPr>
          <w:p w14:paraId="6BF6F6FB">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C91EE00">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2.本磋商文件所称的“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认可的CA认证的电子签名数据为表现形式的印章，可用于签署电子响应文件，电子印章与实物印章具有同等法律效力，不因其采用电子化表现形式而否定其法律效力。</w:t>
            </w:r>
          </w:p>
          <w:p w14:paraId="04921B96">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sz w:val="21"/>
                <w:szCs w:val="21"/>
                <w:highlight w:val="none"/>
              </w:rPr>
              <w:t>营业执照或者执业许可证等证照上的</w:t>
            </w:r>
            <w:r>
              <w:rPr>
                <w:rFonts w:hint="eastAsia" w:ascii="宋体" w:hAnsi="宋体" w:eastAsia="宋体" w:cs="宋体"/>
                <w:color w:val="auto"/>
                <w:sz w:val="21"/>
                <w:szCs w:val="21"/>
                <w:highlight w:val="none"/>
              </w:rPr>
              <w:t>负责人，本磋商文件所称自然人指参与竞标的自然人本人，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63BDFD41">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6805A734">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349539EA">
      <w:pPr>
        <w:shd w:val="clear" w:color="auto" w:fill="auto"/>
        <w:spacing w:line="360" w:lineRule="auto"/>
        <w:jc w:val="center"/>
        <w:outlineLvl w:val="1"/>
        <w:rPr>
          <w:rFonts w:hint="eastAsia" w:ascii="宋体" w:hAnsi="宋体" w:eastAsia="宋体" w:cs="宋体"/>
          <w:b/>
          <w:color w:val="auto"/>
          <w:sz w:val="21"/>
          <w:szCs w:val="21"/>
          <w:highlight w:val="none"/>
        </w:rPr>
      </w:pPr>
      <w:r>
        <w:rPr>
          <w:rFonts w:hint="eastAsia" w:ascii="仿宋" w:hAnsi="仿宋" w:eastAsia="仿宋" w:cs="仿宋"/>
          <w:b/>
          <w:color w:val="auto"/>
          <w:sz w:val="32"/>
          <w:szCs w:val="32"/>
          <w:highlight w:val="none"/>
        </w:rPr>
        <w:br w:type="page"/>
      </w:r>
      <w:bookmarkStart w:id="59" w:name="_Toc10053"/>
      <w:bookmarkStart w:id="60" w:name="_Toc31639"/>
      <w:r>
        <w:rPr>
          <w:rFonts w:hint="eastAsia" w:ascii="宋体" w:hAnsi="宋体" w:eastAsia="宋体" w:cs="宋体"/>
          <w:b/>
          <w:color w:val="auto"/>
          <w:sz w:val="21"/>
          <w:szCs w:val="21"/>
          <w:highlight w:val="none"/>
        </w:rPr>
        <w:t>供应商须知正文</w:t>
      </w:r>
      <w:bookmarkEnd w:id="59"/>
      <w:bookmarkEnd w:id="60"/>
    </w:p>
    <w:p w14:paraId="0FB63753">
      <w:pPr>
        <w:keepNext w:val="0"/>
        <w:keepLines w:val="0"/>
        <w:pageBreakBefore w:val="0"/>
        <w:widowControl w:val="0"/>
        <w:shd w:val="clear" w:color="auto" w:fill="auto"/>
        <w:kinsoku/>
        <w:wordWrap/>
        <w:overflowPunct/>
        <w:topLinePunct w:val="0"/>
        <w:autoSpaceDE/>
        <w:autoSpaceDN/>
        <w:bidi w:val="0"/>
        <w:spacing w:line="360" w:lineRule="auto"/>
        <w:jc w:val="center"/>
        <w:outlineLvl w:val="1"/>
        <w:rPr>
          <w:rFonts w:hint="eastAsia" w:ascii="宋体" w:hAnsi="宋体" w:eastAsia="宋体" w:cs="宋体"/>
          <w:b/>
          <w:color w:val="auto"/>
          <w:sz w:val="21"/>
          <w:szCs w:val="21"/>
          <w:highlight w:val="none"/>
        </w:rPr>
      </w:pPr>
      <w:bookmarkStart w:id="61" w:name="_Toc5079"/>
      <w:bookmarkStart w:id="62" w:name="_Toc15364"/>
      <w:r>
        <w:rPr>
          <w:rFonts w:hint="eastAsia" w:ascii="宋体" w:hAnsi="宋体" w:eastAsia="宋体" w:cs="宋体"/>
          <w:b/>
          <w:color w:val="auto"/>
          <w:sz w:val="21"/>
          <w:szCs w:val="21"/>
          <w:highlight w:val="none"/>
        </w:rPr>
        <w:t>一、总则</w:t>
      </w:r>
      <w:bookmarkEnd w:id="61"/>
      <w:bookmarkEnd w:id="62"/>
    </w:p>
    <w:p w14:paraId="0F3BEA9B">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1FC112F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81ED5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本竞争性磋商文件（以下简称磋商文件）适用于本项目的所有采购程序和环节（法律、法规另有规定的，从其规定）。</w:t>
      </w:r>
    </w:p>
    <w:p w14:paraId="5212B58E">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2CB9F57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2.1“采购人”是指依法进行政府采购的国家机关、事业单位、团体组织。</w:t>
      </w:r>
    </w:p>
    <w:p w14:paraId="18CD2A1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2.2“采购代理机构”是指政府采购集中采购机构和集中采购机构以外的采购代理机构。</w:t>
      </w:r>
    </w:p>
    <w:p w14:paraId="79B1A4D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0FBB0BA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2.4“服务”是指除货物和工程以外的其他政府采购对象。</w:t>
      </w:r>
    </w:p>
    <w:p w14:paraId="5E468F4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2.5“竞标”是指供应商按照本项目竞争性磋商公告规定的方式获取磋商文件、提交响应文件并希望获得标的的行为。</w:t>
      </w:r>
    </w:p>
    <w:p w14:paraId="3DDE7BA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2.6“书面形式”是指合同书、信件和数据电文（包括电报、电传、传真、电子数据交换和电子邮件）等可以有形地表现所载内容的形式。</w:t>
      </w:r>
    </w:p>
    <w:p w14:paraId="05BAECD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2.7“响应文件”</w:t>
      </w:r>
      <w:r>
        <w:rPr>
          <w:rFonts w:hint="eastAsia" w:ascii="宋体" w:hAnsi="宋体" w:eastAsia="宋体" w:cs="宋体"/>
          <w:color w:val="auto"/>
          <w:spacing w:val="-6"/>
          <w:sz w:val="21"/>
          <w:szCs w:val="21"/>
          <w:highlight w:val="none"/>
        </w:rPr>
        <w:t>是指：供应商根据本磋商文件要求，编制包含</w:t>
      </w:r>
      <w:r>
        <w:rPr>
          <w:rFonts w:hint="eastAsia" w:ascii="宋体" w:hAnsi="宋体" w:eastAsia="宋体" w:cs="宋体"/>
          <w:color w:val="auto"/>
          <w:spacing w:val="-6"/>
          <w:szCs w:val="21"/>
          <w:highlight w:val="none"/>
        </w:rPr>
        <w:t>资格证明</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 w:val="21"/>
          <w:szCs w:val="21"/>
          <w:highlight w:val="none"/>
        </w:rPr>
        <w:t>等所有内容的文件。</w:t>
      </w:r>
    </w:p>
    <w:p w14:paraId="01091DE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2.8“实质性要求”是指磋商文件中已经指明不满足则响应文件按无效响应处理的条款，或者不能负偏离的条款，或者采购需求中带“▲”的条款。</w:t>
      </w:r>
    </w:p>
    <w:p w14:paraId="74CF7EB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2.9“正偏离”，是指响应文件对磋商文件“采购需求”中有关条款作出的响应优于条款要求并有利于采购人的情形。</w:t>
      </w:r>
    </w:p>
    <w:p w14:paraId="3C1CE61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2.10“负偏离”，是指响应文件对磋商文件“采购需求”中有关条款作出的响应不满足条款要求，导致采购人要求不能得到满足的情形。</w:t>
      </w:r>
    </w:p>
    <w:p w14:paraId="059F002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2.11“首次报价”是指供应商提交的首次响应文件中的报价。</w:t>
      </w:r>
    </w:p>
    <w:p w14:paraId="38DB679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2.12“评审价”是指供应商提交的最后报价并经修正（如有）和政策功能价格扣除（如有）后的价格。</w:t>
      </w:r>
    </w:p>
    <w:p w14:paraId="451CD0DD">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579FEDA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01877F6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4.竞标费用</w:t>
      </w:r>
    </w:p>
    <w:p w14:paraId="4FF2DC3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2B06A1AF">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5.联合体竞标</w:t>
      </w:r>
    </w:p>
    <w:p w14:paraId="66B8718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5.1本项目是否接受联合体竞标，详见“供应商须知前附表”。</w:t>
      </w:r>
    </w:p>
    <w:p w14:paraId="6143F29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5.2如接受联合体竞标，联合体竞标要求详见“供应商须知前附表”。</w:t>
      </w:r>
    </w:p>
    <w:p w14:paraId="68FDC9E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6.转包与分包</w:t>
      </w:r>
    </w:p>
    <w:p w14:paraId="62839D9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63" w:name="_Toc254970673"/>
      <w:bookmarkStart w:id="64" w:name="_Toc254970532"/>
      <w:r>
        <w:rPr>
          <w:rFonts w:hint="eastAsia" w:ascii="宋体" w:hAnsi="宋体" w:eastAsia="宋体" w:cs="宋体"/>
          <w:b w:val="0"/>
          <w:bCs/>
          <w:color w:val="auto"/>
          <w:sz w:val="21"/>
          <w:szCs w:val="21"/>
          <w:highlight w:val="none"/>
        </w:rPr>
        <w:t>6.1本项目不允许转包。</w:t>
      </w:r>
    </w:p>
    <w:p w14:paraId="7CF2A82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6.2本项目是否允许分包详见“供应商须知前附表”，本项目不允许违法分包。</w:t>
      </w:r>
    </w:p>
    <w:p w14:paraId="7B3409D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bookmarkEnd w:id="63"/>
      <w:bookmarkEnd w:id="64"/>
      <w:r>
        <w:rPr>
          <w:rFonts w:hint="eastAsia" w:ascii="宋体" w:hAnsi="宋体" w:eastAsia="宋体" w:cs="宋体"/>
          <w:b/>
          <w:bCs/>
          <w:color w:val="auto"/>
          <w:sz w:val="21"/>
          <w:szCs w:val="21"/>
          <w:highlight w:val="none"/>
        </w:rPr>
        <w:t>特别说明</w:t>
      </w:r>
    </w:p>
    <w:p w14:paraId="55C2C9D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65" w:name="_8.1提供相同品牌产品且通过资格审查、符合性审查的不同投标人参加同一合"/>
      <w:bookmarkEnd w:id="65"/>
      <w:bookmarkStart w:id="66" w:name="_Hlk65832145"/>
      <w:r>
        <w:rPr>
          <w:rFonts w:hint="eastAsia" w:ascii="宋体" w:hAnsi="宋体" w:eastAsia="宋体" w:cs="宋体"/>
          <w:color w:val="auto"/>
          <w:sz w:val="21"/>
          <w:szCs w:val="21"/>
          <w:highlight w:val="none"/>
        </w:rPr>
        <w:t>7.1如果本磋商文件要求提供供应商或制造商的资格、信誉、荣誉、业绩与企业认证等材料的，资格、信誉、荣誉、业绩与企业认证等必须为供应商或者制造商所拥有或自身获得 。</w:t>
      </w:r>
    </w:p>
    <w:bookmarkEnd w:id="66"/>
    <w:p w14:paraId="1C9F86A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7.2供应商应仔细阅读磋商文件的所有内容，按照磋商文件的要求提交响应文件，并对所提供的全部资料的真实性承担法律责任。</w:t>
      </w:r>
    </w:p>
    <w:p w14:paraId="0869EA1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在竞标活动中提供任何疑似虚假材料，其响应文件作无效处理，将报监管部门查处；签订合同后发现的，成交供应商须依照《中华人民共和国民法典》规定赔偿采购人，且民事赔偿并不免除违法供应商的行政与刑事责任。</w:t>
      </w:r>
    </w:p>
    <w:p w14:paraId="5EE9BDD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7.4在政府采购活动中，采购人员及相关人员与供应商有下列利害关系之一的，应当回避：</w:t>
      </w:r>
    </w:p>
    <w:p w14:paraId="5602B10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0689EAC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05D6CEA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5CD8112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5C19E42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2E442B9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81534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7.5有下列情形之一的视为供应商相互串通竞标，响应文件将被视为无效：</w:t>
      </w:r>
    </w:p>
    <w:p w14:paraId="60D624D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（1）不同供应商的响应文件由同一单位或者个人编制；或不同供应商报名的IP地址一致的； </w:t>
      </w:r>
    </w:p>
    <w:p w14:paraId="3630AEA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248977D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343DC2E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19C94E9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2D45EDC2">
      <w:pPr>
        <w:keepNext w:val="0"/>
        <w:keepLines w:val="0"/>
        <w:pageBreakBefore w:val="0"/>
        <w:widowControl w:val="0"/>
        <w:shd w:val="clear" w:color="auto" w:fill="auto"/>
        <w:tabs>
          <w:tab w:val="left" w:pos="6931"/>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r>
        <w:rPr>
          <w:rFonts w:hint="eastAsia" w:ascii="宋体" w:hAnsi="宋体" w:eastAsia="宋体" w:cs="宋体"/>
          <w:color w:val="auto"/>
          <w:sz w:val="21"/>
          <w:szCs w:val="21"/>
          <w:highlight w:val="none"/>
        </w:rPr>
        <w:tab/>
      </w:r>
    </w:p>
    <w:p w14:paraId="0DDCDE4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7.6供应商有下列情形之一的，属于恶意串通行为，将报同级监督管理部门：</w:t>
      </w:r>
    </w:p>
    <w:p w14:paraId="0BF8501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FB2CDD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44FCF75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74F989B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10FC05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7046DE8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26498DB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bookmarkStart w:id="67" w:name="_Toc254970534"/>
      <w:bookmarkStart w:id="68" w:name="_Toc254970675"/>
    </w:p>
    <w:bookmarkEnd w:id="67"/>
    <w:bookmarkEnd w:id="68"/>
    <w:p w14:paraId="16545BEB">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9"/>
        <w:rPr>
          <w:rFonts w:hint="eastAsia" w:ascii="宋体" w:hAnsi="宋体" w:eastAsia="宋体" w:cs="宋体"/>
          <w:b/>
          <w:bCs/>
          <w:color w:val="auto"/>
          <w:sz w:val="21"/>
          <w:szCs w:val="21"/>
          <w:highlight w:val="none"/>
        </w:rPr>
      </w:pPr>
      <w:bookmarkStart w:id="69" w:name="_Toc15547"/>
    </w:p>
    <w:p w14:paraId="5DAC7D04">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1"/>
          <w:szCs w:val="21"/>
          <w:highlight w:val="none"/>
        </w:rPr>
      </w:pPr>
      <w:bookmarkStart w:id="70" w:name="_Toc18192"/>
      <w:r>
        <w:rPr>
          <w:rFonts w:hint="eastAsia" w:ascii="宋体" w:hAnsi="宋体" w:eastAsia="宋体" w:cs="宋体"/>
          <w:b/>
          <w:bCs/>
          <w:color w:val="auto"/>
          <w:sz w:val="21"/>
          <w:szCs w:val="21"/>
          <w:highlight w:val="none"/>
        </w:rPr>
        <w:t>二、磋商文件</w:t>
      </w:r>
      <w:bookmarkEnd w:id="69"/>
      <w:bookmarkEnd w:id="70"/>
    </w:p>
    <w:p w14:paraId="4F58784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8.磋商文件的构成</w:t>
      </w:r>
    </w:p>
    <w:p w14:paraId="3EAF8B3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6BB581E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（2）供应商须知； </w:t>
      </w:r>
    </w:p>
    <w:p w14:paraId="79F2D3A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w:t>
      </w:r>
    </w:p>
    <w:p w14:paraId="7383586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（4）评审程序、评审方法和评审标准；</w:t>
      </w:r>
    </w:p>
    <w:p w14:paraId="44B3352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14:paraId="173E6F1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（6）合同文本。</w:t>
      </w:r>
    </w:p>
    <w:p w14:paraId="063F0CD8">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9.供应商的询问</w:t>
      </w:r>
    </w:p>
    <w:p w14:paraId="135EEEF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B538791">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10.磋商文件的澄清和修改</w:t>
      </w:r>
    </w:p>
    <w:p w14:paraId="43E753A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5251AE7">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p>
    <w:p w14:paraId="1FDC8F3F">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1"/>
        <w:rPr>
          <w:rFonts w:hint="eastAsia" w:ascii="宋体" w:hAnsi="宋体" w:eastAsia="宋体" w:cs="宋体"/>
          <w:color w:val="auto"/>
          <w:sz w:val="21"/>
          <w:szCs w:val="21"/>
          <w:highlight w:val="none"/>
        </w:rPr>
      </w:pPr>
      <w:bookmarkStart w:id="71" w:name="_Toc25361"/>
      <w:bookmarkStart w:id="72" w:name="_Toc11780"/>
      <w:r>
        <w:rPr>
          <w:rFonts w:hint="eastAsia" w:ascii="宋体" w:hAnsi="宋体" w:eastAsia="宋体" w:cs="宋体"/>
          <w:b/>
          <w:bCs/>
          <w:color w:val="auto"/>
          <w:sz w:val="21"/>
          <w:szCs w:val="21"/>
          <w:highlight w:val="none"/>
        </w:rPr>
        <w:t>三、响应文件的编制</w:t>
      </w:r>
      <w:bookmarkEnd w:id="71"/>
      <w:bookmarkEnd w:id="72"/>
    </w:p>
    <w:p w14:paraId="0EF63DF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11.响应文件的编制原则</w:t>
      </w:r>
    </w:p>
    <w:p w14:paraId="039417E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33822DF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12.响应文件的组成</w:t>
      </w:r>
    </w:p>
    <w:p w14:paraId="6F7F5B1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12.1响应文件由资格证明文件、报价文件、商务技术文件三部分组成。</w:t>
      </w:r>
    </w:p>
    <w:p w14:paraId="3F508FF2">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12.1.1资格证明文件：详见“供应商须知前附表”</w:t>
      </w:r>
    </w:p>
    <w:p w14:paraId="76E2641C">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12.1.2报价文件：详见“供应商须知前附表”</w:t>
      </w:r>
    </w:p>
    <w:p w14:paraId="6F5CEC15">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12.1.3商务技术文件：详见“供应商须知前附表”</w:t>
      </w:r>
    </w:p>
    <w:p w14:paraId="4DECA2E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13.计量单位</w:t>
      </w:r>
    </w:p>
    <w:p w14:paraId="4140956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24D4661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14.竞标的风险</w:t>
      </w:r>
    </w:p>
    <w:p w14:paraId="6FF8C23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3C198F8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15.竞标报价</w:t>
      </w:r>
    </w:p>
    <w:p w14:paraId="52F6DE92">
      <w:pPr>
        <w:keepNext w:val="0"/>
        <w:keepLines w:val="0"/>
        <w:pageBreakBefore w:val="0"/>
        <w:widowControl w:val="0"/>
        <w:shd w:val="clear" w:color="auto" w:fill="auto"/>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15.1竞标报价应按磋商文件中“竞标报价表”格式填写。</w:t>
      </w:r>
    </w:p>
    <w:p w14:paraId="73C1507A">
      <w:pPr>
        <w:keepNext w:val="0"/>
        <w:keepLines w:val="0"/>
        <w:pageBreakBefore w:val="0"/>
        <w:widowControl w:val="0"/>
        <w:shd w:val="clear" w:color="auto" w:fill="auto"/>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15.2竞标报价的内容见“供应商须知前附表”。</w:t>
      </w:r>
    </w:p>
    <w:p w14:paraId="76E373E4">
      <w:pPr>
        <w:keepNext w:val="0"/>
        <w:keepLines w:val="0"/>
        <w:pageBreakBefore w:val="0"/>
        <w:widowControl w:val="0"/>
        <w:shd w:val="clear" w:color="auto" w:fill="auto"/>
        <w:kinsoku/>
        <w:wordWrap/>
        <w:overflowPunct/>
        <w:topLinePunct w:val="0"/>
        <w:autoSpaceDE/>
        <w:autoSpaceDN/>
        <w:bidi w:val="0"/>
        <w:spacing w:line="400" w:lineRule="exact"/>
        <w:ind w:left="426" w:left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15.3竞标报价要求</w:t>
      </w:r>
    </w:p>
    <w:p w14:paraId="2772BB5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15.3.1供应商的竞标报价应符合以下要求，否则响应文件按无效响应处理：</w:t>
      </w:r>
    </w:p>
    <w:p w14:paraId="19B20448">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（1）供应商必须就“采购需求”中所竞标的每个分标的全部内容分别作完整唯一总价报价</w:t>
      </w:r>
      <w:r>
        <w:rPr>
          <w:rFonts w:hint="eastAsia" w:ascii="宋体" w:hAnsi="宋体" w:eastAsia="宋体" w:cs="宋体"/>
          <w:color w:val="auto"/>
          <w:sz w:val="21"/>
          <w:szCs w:val="21"/>
          <w:highlight w:val="none"/>
          <w:lang w:eastAsia="zh-CN"/>
        </w:rPr>
        <w:t>；</w:t>
      </w:r>
    </w:p>
    <w:p w14:paraId="2A03025A">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不得存在漏项报价；</w:t>
      </w:r>
    </w:p>
    <w:p w14:paraId="508FB45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15E1B4A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15.3.2竞标报价（包含首次报价、最后报价）超过所竞标分标规定的采购预算金额或者最高限价的，其响应文件将按无效处理。</w:t>
      </w:r>
    </w:p>
    <w:p w14:paraId="79CEF45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73" w:name="_Hlk42592874"/>
      <w:r>
        <w:rPr>
          <w:rFonts w:hint="eastAsia" w:ascii="宋体" w:hAnsi="宋体" w:eastAsia="宋体" w:cs="宋体"/>
          <w:color w:val="auto"/>
          <w:sz w:val="21"/>
          <w:szCs w:val="21"/>
          <w:highlight w:val="none"/>
        </w:rPr>
        <w:t>15.3.3竞标报价（包含首次报价、最后报价）超过分项采购预算金额或者最高限价的，其响应文件将按无效处理。</w:t>
      </w:r>
    </w:p>
    <w:bookmarkEnd w:id="73"/>
    <w:p w14:paraId="1A81177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16.竞标有效期</w:t>
      </w:r>
    </w:p>
    <w:p w14:paraId="091CE1D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217DDC0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16.2竞标有效期应由供应商按“供应商须知前附表”规定的期限作出响应。</w:t>
      </w:r>
    </w:p>
    <w:p w14:paraId="136E3EB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16.3供应商的响应文件在竞标有效期内均保持有效。</w:t>
      </w:r>
    </w:p>
    <w:p w14:paraId="7A768614">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17.磋商保证金</w:t>
      </w:r>
    </w:p>
    <w:p w14:paraId="29002A44">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17.1供应商须按“供应商须知前附表”的规定提交磋商保证金。</w:t>
      </w:r>
    </w:p>
    <w:p w14:paraId="0D2EE894">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17.2磋商保证金的退还</w:t>
      </w:r>
    </w:p>
    <w:p w14:paraId="70FA639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74" w:name="_Hlk66782243"/>
      <w:r>
        <w:rPr>
          <w:rFonts w:hint="eastAsia" w:ascii="宋体" w:hAnsi="宋体" w:eastAsia="宋体" w:cs="宋体"/>
          <w:color w:val="auto"/>
          <w:sz w:val="21"/>
          <w:szCs w:val="21"/>
          <w:highlight w:val="none"/>
        </w:rPr>
        <w:t>未</w:t>
      </w:r>
      <w:r>
        <w:rPr>
          <w:rFonts w:hint="eastAsia" w:ascii="宋体" w:hAnsi="宋体" w:eastAsia="宋体" w:cs="宋体"/>
          <w:color w:val="auto"/>
          <w:spacing w:val="-6"/>
          <w:sz w:val="21"/>
          <w:szCs w:val="21"/>
          <w:highlight w:val="none"/>
        </w:rPr>
        <w:t>成交供应商的竞标保证金自成交通知书发出之日起</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个工作日内退还；</w:t>
      </w:r>
      <w:bookmarkEnd w:id="74"/>
      <w:r>
        <w:rPr>
          <w:rFonts w:hint="eastAsia" w:ascii="宋体" w:hAnsi="宋体" w:eastAsia="宋体" w:cs="宋体"/>
          <w:color w:val="auto"/>
          <w:sz w:val="21"/>
          <w:szCs w:val="21"/>
          <w:highlight w:val="none"/>
        </w:rPr>
        <w:t>成交供应商的磋商保证金自签订合同之日起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个工作日内退还。 </w:t>
      </w:r>
    </w:p>
    <w:p w14:paraId="453DD302">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17.3磋商保证金不计息。</w:t>
      </w:r>
    </w:p>
    <w:p w14:paraId="694F9B8F">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17.4供应商有下列情形之一的，磋商保证金将不予退还： </w:t>
      </w:r>
    </w:p>
    <w:p w14:paraId="3EA82936">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（1）供应商在提交响应文件截止时间后撤回响应文件的；</w:t>
      </w:r>
    </w:p>
    <w:p w14:paraId="7DF6A354">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0C659599">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（3）供应商在响应文件中提供虚假材料的；</w:t>
      </w:r>
    </w:p>
    <w:p w14:paraId="121D0F3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（4）除因不可抗力或者磋商文件认可的情形以外，成交供应商不与采购人签订合同的；</w:t>
      </w:r>
    </w:p>
    <w:p w14:paraId="21F52E7F">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（5）供应商与采购人、其他供应商或者采购代理机构恶意串通的；</w:t>
      </w:r>
    </w:p>
    <w:p w14:paraId="7E6F71FC">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7E9FB5B6">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18.响应文件编制的要求</w:t>
      </w:r>
    </w:p>
    <w:p w14:paraId="72FD307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18.1供应商应先安装“电子投标客户端”（请自行前往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进行下载），并按照本项目磋商文件规定的格式和顺序和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的要求编制并加密。响应文件内容不完整、编排混乱导致响应文件被误读、漏读或者查找不到相关内容的，由此引发的后果由供应商承担。</w:t>
      </w:r>
    </w:p>
    <w:p w14:paraId="3CB9A11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18.2为确保网上操作合法、有效和安全，供应商应当在提交响应文件截止时间前完成在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的身份认证，确保在电子竞标过程中能够对相关数据电文进行加密和使用电子签章。</w:t>
      </w:r>
    </w:p>
    <w:p w14:paraId="4841EC2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18.3响应文件须由供应商在规定位置签字、盖章（具体以供应商须知前附表或响应文件格式规定为准），否则按无效响应处理。</w:t>
      </w:r>
    </w:p>
    <w:p w14:paraId="3A30A48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4D1B3A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34BA0C1">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19.电子</w:t>
      </w:r>
      <w:r>
        <w:rPr>
          <w:rFonts w:hint="eastAsia" w:ascii="宋体" w:hAnsi="宋体" w:eastAsia="宋体" w:cs="宋体"/>
          <w:b/>
          <w:color w:val="auto"/>
          <w:sz w:val="21"/>
          <w:szCs w:val="21"/>
          <w:highlight w:val="none"/>
        </w:rPr>
        <w:t>备份响应文件</w:t>
      </w:r>
    </w:p>
    <w:p w14:paraId="3DDC1AD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电子备份响应文件是指通过“电子投标客户端”在线编制生成且后缀名为“bfbs”的文件，是否接受电子备份响应文件</w:t>
      </w:r>
      <w:r>
        <w:rPr>
          <w:rFonts w:hint="eastAsia" w:ascii="宋体" w:hAnsi="宋体" w:eastAsia="宋体" w:cs="宋体"/>
          <w:bCs/>
          <w:color w:val="auto"/>
          <w:sz w:val="21"/>
          <w:szCs w:val="21"/>
          <w:highlight w:val="none"/>
        </w:rPr>
        <w:t>详见在“供应商须知前附表”。</w:t>
      </w:r>
    </w:p>
    <w:p w14:paraId="44177A8C">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20.响应文件的提交</w:t>
      </w:r>
    </w:p>
    <w:p w14:paraId="441DEE9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20.1供应商必须按“供应商须知前附表”规定的</w:t>
      </w:r>
      <w:r>
        <w:rPr>
          <w:rFonts w:hint="eastAsia" w:ascii="宋体" w:hAnsi="宋体" w:eastAsia="宋体" w:cs="宋体"/>
          <w:color w:val="auto"/>
          <w:sz w:val="21"/>
          <w:szCs w:val="21"/>
          <w:highlight w:val="none"/>
        </w:rPr>
        <w:t>时间及</w:t>
      </w:r>
      <w:r>
        <w:rPr>
          <w:rFonts w:hint="eastAsia" w:ascii="宋体" w:hAnsi="宋体" w:eastAsia="宋体" w:cs="宋体"/>
          <w:bCs/>
          <w:color w:val="auto"/>
          <w:sz w:val="21"/>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022ECFA0">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20.2未在规定时间内提交或者未按照磋商文件要求加密的电子响应文件，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43715D2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21.首次响应文件的补充、修改与撤回</w:t>
      </w:r>
    </w:p>
    <w:p w14:paraId="39630D4F">
      <w:pPr>
        <w:keepNext w:val="0"/>
        <w:keepLines w:val="0"/>
        <w:pageBreakBefore w:val="0"/>
        <w:widowControl w:val="0"/>
        <w:shd w:val="clear" w:color="auto" w:fill="auto"/>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 w:val="21"/>
          <w:szCs w:val="21"/>
          <w:highlight w:val="none"/>
        </w:rPr>
      </w:pPr>
      <w:bookmarkStart w:id="75" w:name="_Toc254970543"/>
      <w:bookmarkStart w:id="76" w:name="_Toc254970684"/>
      <w:r>
        <w:rPr>
          <w:rFonts w:hint="eastAsia" w:ascii="宋体" w:hAnsi="宋体" w:eastAsia="宋体" w:cs="宋体"/>
          <w:color w:val="auto"/>
          <w:sz w:val="21"/>
          <w:szCs w:val="21"/>
          <w:highlight w:val="none"/>
        </w:rPr>
        <w:t>21.1</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75"/>
    <w:bookmarkEnd w:id="76"/>
    <w:p w14:paraId="34DB6B0C">
      <w:pPr>
        <w:pStyle w:val="44"/>
        <w:keepNext w:val="0"/>
        <w:keepLines w:val="0"/>
        <w:pageBreakBefore w:val="0"/>
        <w:widowControl w:val="0"/>
        <w:shd w:val="clear" w:color="auto" w:fill="auto"/>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4B29368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bookmarkStart w:id="77" w:name="_Hlk45702405"/>
      <w:r>
        <w:rPr>
          <w:rFonts w:hint="eastAsia" w:ascii="宋体" w:hAnsi="宋体" w:eastAsia="宋体" w:cs="宋体"/>
          <w:b/>
          <w:bCs/>
          <w:color w:val="auto"/>
          <w:sz w:val="21"/>
          <w:szCs w:val="21"/>
          <w:highlight w:val="none"/>
        </w:rPr>
        <w:t>22.响应文件的退回</w:t>
      </w:r>
    </w:p>
    <w:p w14:paraId="697DDA1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采购人和采购代理机构对已提交的响应文件概不退回。</w:t>
      </w:r>
    </w:p>
    <w:p w14:paraId="79E00374">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23.截止时间后的撤回</w:t>
      </w:r>
    </w:p>
    <w:p w14:paraId="4A4E88E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供应商在响应文件提交截止时间后向采购人、采购代理机构书面申请撤回响应文件的，将根据本须知正文17.4的规定不予退还其磋商保证金。</w:t>
      </w:r>
    </w:p>
    <w:bookmarkEnd w:id="77"/>
    <w:p w14:paraId="486327A6">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p>
    <w:p w14:paraId="7BA73ABF">
      <w:pPr>
        <w:keepNext w:val="0"/>
        <w:keepLines w:val="0"/>
        <w:pageBreakBefore w:val="0"/>
        <w:widowControl w:val="0"/>
        <w:shd w:val="clear" w:color="auto" w:fill="auto"/>
        <w:kinsoku/>
        <w:wordWrap/>
        <w:overflowPunct/>
        <w:topLinePunct w:val="0"/>
        <w:autoSpaceDE/>
        <w:autoSpaceDN/>
        <w:bidi w:val="0"/>
        <w:spacing w:line="400" w:lineRule="exact"/>
        <w:ind w:left="420" w:firstLine="420"/>
        <w:jc w:val="center"/>
        <w:textAlignment w:val="auto"/>
        <w:outlineLvl w:val="1"/>
        <w:rPr>
          <w:rFonts w:hint="eastAsia" w:ascii="宋体" w:hAnsi="宋体" w:eastAsia="宋体" w:cs="宋体"/>
          <w:color w:val="auto"/>
          <w:sz w:val="21"/>
          <w:szCs w:val="21"/>
          <w:highlight w:val="none"/>
        </w:rPr>
      </w:pPr>
      <w:bookmarkStart w:id="78" w:name="_Toc27449"/>
      <w:bookmarkStart w:id="79" w:name="_Toc29969"/>
      <w:r>
        <w:rPr>
          <w:rFonts w:hint="eastAsia" w:ascii="宋体" w:hAnsi="宋体" w:eastAsia="宋体" w:cs="宋体"/>
          <w:b/>
          <w:bCs/>
          <w:color w:val="auto"/>
          <w:sz w:val="21"/>
          <w:szCs w:val="21"/>
          <w:highlight w:val="none"/>
        </w:rPr>
        <w:t>四、评审及磋商</w:t>
      </w:r>
      <w:bookmarkEnd w:id="78"/>
      <w:bookmarkEnd w:id="79"/>
    </w:p>
    <w:p w14:paraId="74F03576">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24.磋商小组成立</w:t>
      </w:r>
    </w:p>
    <w:p w14:paraId="4EC91A9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C5356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00818D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570B487B">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25.首次响应文件的开启和解密</w:t>
      </w:r>
    </w:p>
    <w:p w14:paraId="6EE4893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采购代理机构将在“供应商须知前附表”规定的时</w:t>
      </w:r>
      <w:r>
        <w:rPr>
          <w:rFonts w:hint="eastAsia" w:ascii="宋体" w:hAnsi="宋体" w:eastAsia="宋体" w:cs="宋体"/>
          <w:color w:val="auto"/>
          <w:sz w:val="21"/>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向各供应商发出电子加密响应文件【开始解密】通知，由供应商按</w:t>
      </w:r>
      <w:r>
        <w:rPr>
          <w:rFonts w:hint="eastAsia" w:ascii="宋体" w:hAnsi="宋体" w:eastAsia="宋体" w:cs="宋体"/>
          <w:bCs/>
          <w:color w:val="auto"/>
          <w:sz w:val="21"/>
          <w:szCs w:val="21"/>
          <w:highlight w:val="none"/>
        </w:rPr>
        <w:t>“供应商须知前附表”</w:t>
      </w:r>
      <w:r>
        <w:rPr>
          <w:rFonts w:hint="eastAsia" w:ascii="宋体" w:hAnsi="宋体" w:eastAsia="宋体" w:cs="宋体"/>
          <w:color w:val="auto"/>
          <w:sz w:val="21"/>
          <w:szCs w:val="21"/>
          <w:highlight w:val="none"/>
        </w:rPr>
        <w:t>规定的时间内自行进行响应文件解密。</w:t>
      </w:r>
      <w:r>
        <w:rPr>
          <w:rFonts w:hint="eastAsia" w:ascii="宋体" w:hAnsi="宋体" w:eastAsia="宋体" w:cs="宋体"/>
          <w:b/>
          <w:color w:val="auto"/>
          <w:sz w:val="21"/>
          <w:szCs w:val="21"/>
          <w:highlight w:val="none"/>
        </w:rPr>
        <w:t>供应商未在规定的时间内解密响应文件或者解密失败的，供应商的响应文件作无效处理。</w:t>
      </w:r>
    </w:p>
    <w:p w14:paraId="7072B100">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26.评审程序、评审方法和评审标准</w:t>
      </w:r>
    </w:p>
    <w:p w14:paraId="774FDCE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26.1本项目的评审方法为综合评分法。</w:t>
      </w:r>
    </w:p>
    <w:p w14:paraId="3941D52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26.2磋商小组按照“第四章 评审程序、评审方法和评审标准”规定的方法、评审因素、标准和程序对响应文件进行评审。</w:t>
      </w:r>
    </w:p>
    <w:p w14:paraId="1E5C824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26.3商务/技术要求允许负偏离的条款数详见“供应商须知前附表”。</w:t>
      </w:r>
    </w:p>
    <w:p w14:paraId="2D44DC9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A21F5E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26.5电子交易活动的中止。采购过程中出现以下情形，导致电子交易平台无法正常运行，或者无法保证电子交易的公平、公正和安全时，采购机构可中止电子交易活动：</w:t>
      </w:r>
    </w:p>
    <w:p w14:paraId="7EAAE43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35FF546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387B953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7C08F8D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75BE817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08C6ED8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8705AC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27.确定成交供应商及结果公告</w:t>
      </w:r>
    </w:p>
    <w:p w14:paraId="336A639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C23FD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27.2采购代理机构应当在</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w:t>
      </w:r>
      <w:bookmarkStart w:id="80" w:name="_Hlk66782294"/>
      <w:r>
        <w:rPr>
          <w:rFonts w:hint="eastAsia" w:ascii="宋体" w:hAnsi="宋体" w:eastAsia="宋体" w:cs="宋体"/>
          <w:color w:val="auto"/>
          <w:sz w:val="21"/>
          <w:szCs w:val="21"/>
          <w:highlight w:val="none"/>
        </w:rPr>
        <w:t>以上信息查询记录及相关证据与磋商文件一并保存。</w:t>
      </w:r>
      <w:bookmarkEnd w:id="80"/>
      <w:r>
        <w:rPr>
          <w:rFonts w:hint="eastAsia" w:ascii="宋体" w:hAnsi="宋体" w:eastAsia="宋体" w:cs="宋体"/>
          <w:color w:val="auto"/>
          <w:sz w:val="21"/>
          <w:szCs w:val="21"/>
          <w:highlight w:val="none"/>
        </w:rPr>
        <w:t>成交供应商享受《政府采购促进中小企业发展管理办法》（财库〔2020〕46号）及《广西壮族自治区财政厅关于进一步发挥政府采购政策功能促进企业发展的通知》（桂财采〔2022〕30号）规定的中小企业扶持政策的，采购人、采购代理机构应当随成交结果公开成交供应商的《中小企业声明函》。</w:t>
      </w:r>
    </w:p>
    <w:p w14:paraId="641EDF1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27.3出现下列情形之一的，采购人或者采购代理机构应当终止竞争性磋商采购活动，发布项目终止公告并说明原因，重新开展采购活动：</w:t>
      </w:r>
    </w:p>
    <w:p w14:paraId="52AA331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0367571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13F9E7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（3）除“第四章 评审程序、评审方法和评审标准”第4.3条规定的情形外，在采购过程中符合要求的供应商或者报价未超过采购预算的供应商不足3家的。</w:t>
      </w:r>
    </w:p>
    <w:p w14:paraId="5445FA8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5A938F39">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28.履约保证金</w:t>
      </w:r>
    </w:p>
    <w:p w14:paraId="4F896636">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28.1履约保证金的金额、提交方式、退付的时间和条件详见 “供应商须知前附表”。成交供应商未按规定提交履约保证金的，视为拒绝与采购人签订合同。</w:t>
      </w:r>
    </w:p>
    <w:p w14:paraId="6ECF8224">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28.2在履约保证金退还日期前，若成交供应商的开户名称、开户银行、</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有变动的，请以书面形式通知履约保证金收取单位，否则由此产生的后果由成交供应商自行承担。</w:t>
      </w:r>
    </w:p>
    <w:p w14:paraId="133DE548">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29.签订合同</w:t>
      </w:r>
    </w:p>
    <w:p w14:paraId="72F9D90F">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29.1签订电子采购合同：成交供应商领取电子成交通知书后，在</w:t>
      </w:r>
      <w:r>
        <w:rPr>
          <w:rFonts w:hint="eastAsia" w:ascii="宋体" w:hAnsi="宋体" w:eastAsia="宋体" w:cs="宋体"/>
          <w:color w:val="auto"/>
          <w:sz w:val="21"/>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7CE349C">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线下签订纸质合同：供应商领取成交通知书后，按“供应商须知前附表”规定向采购人出示相关证明材料，经采购人核验合格后方可签订合同。</w:t>
      </w:r>
    </w:p>
    <w:p w14:paraId="07E24FF6">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29.2签订合同时间：按成交通知书规定的时间与采购人签订合同。</w:t>
      </w:r>
    </w:p>
    <w:p w14:paraId="54751C71">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8A05BC0">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FB326C">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DB3EC59">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29.6如签订合同并生效后，供应商无故拒绝或延期，除按照合同条款处理外，将承担相应的法律责任。</w:t>
      </w:r>
    </w:p>
    <w:p w14:paraId="01C6F6EC">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22CA9EE">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30.政府采购合同公告</w:t>
      </w:r>
    </w:p>
    <w:p w14:paraId="53796E4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CCF518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31.询问、质疑和投诉</w:t>
      </w:r>
    </w:p>
    <w:p w14:paraId="6F379B3A">
      <w:pPr>
        <w:pStyle w:val="9"/>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4CB5149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7D4115F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（1）对可以质疑的磋商文件提出质疑的，为收到磋商文件之日或者竞争性磋商公告期限届满之日；</w:t>
      </w:r>
    </w:p>
    <w:p w14:paraId="35FB881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8A4475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14:paraId="594B08C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48C007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151ACB7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121B767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1E81974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2105D5B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53E79AB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197D6A5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51932B1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4E5DEBD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1027BBF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2ED2C87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1D8CBA9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质疑答复导致成交结果改变的，采购人或者采购代理机构应当将有关情况书面报告本级财政部门。</w:t>
      </w:r>
    </w:p>
    <w:p w14:paraId="03E9EC2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9D6ED5E">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32.其他内容</w:t>
      </w:r>
    </w:p>
    <w:p w14:paraId="79C7F69E">
      <w:pPr>
        <w:keepNext w:val="0"/>
        <w:keepLines w:val="0"/>
        <w:pageBreakBefore w:val="0"/>
        <w:widowControl w:val="0"/>
        <w:shd w:val="clear" w:color="auto" w:fill="auto"/>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32.1代理服务收取标准及缴费账户详见“供应商须知前附表”，供应商为联合体的，可以由联合体中的一方或者多方共同交纳代理服务费。</w:t>
      </w:r>
    </w:p>
    <w:tbl>
      <w:tblPr>
        <w:tblStyle w:val="27"/>
        <w:tblpPr w:leftFromText="180" w:rightFromText="180" w:vertAnchor="text" w:horzAnchor="page" w:tblpX="1801" w:tblpY="383"/>
        <w:tblOverlap w:val="never"/>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1875"/>
        <w:gridCol w:w="1710"/>
        <w:gridCol w:w="1935"/>
      </w:tblGrid>
      <w:tr w14:paraId="3025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tcBorders>
              <w:tl2br w:val="single" w:color="auto" w:sz="4" w:space="0"/>
            </w:tcBorders>
            <w:noWrap w:val="0"/>
            <w:vAlign w:val="top"/>
          </w:tcPr>
          <w:p w14:paraId="262F3EC4">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r>
              <w:rPr>
                <w:rFonts w:hint="eastAsia" w:ascii="宋体" w:hAnsi="宋体" w:eastAsia="宋体" w:cs="宋体"/>
                <w:color w:val="auto"/>
                <w:sz w:val="21"/>
                <w:szCs w:val="21"/>
                <w:highlight w:val="none"/>
                <w:lang w:val="en-US" w:eastAsia="zh-CN"/>
              </w:rPr>
              <w:t xml:space="preserve">       </w:t>
            </w:r>
          </w:p>
          <w:p w14:paraId="1F5F47D8">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875" w:type="dxa"/>
            <w:noWrap w:val="0"/>
            <w:vAlign w:val="center"/>
          </w:tcPr>
          <w:p w14:paraId="418FB950">
            <w:pPr>
              <w:keepNext w:val="0"/>
              <w:keepLines w:val="0"/>
              <w:pageBreakBefore w:val="0"/>
              <w:widowControl w:val="0"/>
              <w:shd w:val="clear" w:color="auto" w:fill="auto"/>
              <w:kinsoku/>
              <w:wordWrap/>
              <w:overflowPunct/>
              <w:topLinePunct w:val="0"/>
              <w:autoSpaceDE/>
              <w:autoSpaceDN/>
              <w:bidi w:val="0"/>
              <w:spacing w:line="360" w:lineRule="auto"/>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1710" w:type="dxa"/>
            <w:noWrap w:val="0"/>
            <w:vAlign w:val="center"/>
          </w:tcPr>
          <w:p w14:paraId="3B75D74F">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1935" w:type="dxa"/>
            <w:noWrap w:val="0"/>
            <w:vAlign w:val="center"/>
          </w:tcPr>
          <w:p w14:paraId="4A57AB1F">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4C5E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41D7DA25">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875" w:type="dxa"/>
            <w:noWrap w:val="0"/>
            <w:vAlign w:val="top"/>
          </w:tcPr>
          <w:p w14:paraId="1CEFD6F3">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710" w:type="dxa"/>
            <w:noWrap w:val="0"/>
            <w:vAlign w:val="top"/>
          </w:tcPr>
          <w:p w14:paraId="00039B6A">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935" w:type="dxa"/>
            <w:noWrap w:val="0"/>
            <w:vAlign w:val="top"/>
          </w:tcPr>
          <w:p w14:paraId="58F50C14">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0768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1314EE1E">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875" w:type="dxa"/>
            <w:noWrap w:val="0"/>
            <w:vAlign w:val="top"/>
          </w:tcPr>
          <w:p w14:paraId="7EC9A6A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710" w:type="dxa"/>
            <w:noWrap w:val="0"/>
            <w:vAlign w:val="top"/>
          </w:tcPr>
          <w:p w14:paraId="541862C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935" w:type="dxa"/>
            <w:noWrap w:val="0"/>
            <w:vAlign w:val="top"/>
          </w:tcPr>
          <w:p w14:paraId="429A2BB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48EE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4C6FE5CB">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875" w:type="dxa"/>
            <w:noWrap w:val="0"/>
            <w:vAlign w:val="top"/>
          </w:tcPr>
          <w:p w14:paraId="17681A4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710" w:type="dxa"/>
            <w:noWrap w:val="0"/>
            <w:vAlign w:val="top"/>
          </w:tcPr>
          <w:p w14:paraId="5F263B8F">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935" w:type="dxa"/>
            <w:noWrap w:val="0"/>
            <w:vAlign w:val="top"/>
          </w:tcPr>
          <w:p w14:paraId="4533A41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2D55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2A4F7DB1">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875" w:type="dxa"/>
            <w:noWrap w:val="0"/>
            <w:vAlign w:val="top"/>
          </w:tcPr>
          <w:p w14:paraId="0F0D53BE">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710" w:type="dxa"/>
            <w:noWrap w:val="0"/>
            <w:vAlign w:val="top"/>
          </w:tcPr>
          <w:p w14:paraId="01912F99">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935" w:type="dxa"/>
            <w:noWrap w:val="0"/>
            <w:vAlign w:val="top"/>
          </w:tcPr>
          <w:p w14:paraId="3776F4BD">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6A6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6E93AD46">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875" w:type="dxa"/>
            <w:noWrap w:val="0"/>
            <w:vAlign w:val="top"/>
          </w:tcPr>
          <w:p w14:paraId="01389687">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710" w:type="dxa"/>
            <w:noWrap w:val="0"/>
            <w:vAlign w:val="top"/>
          </w:tcPr>
          <w:p w14:paraId="0D5E4E9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935" w:type="dxa"/>
            <w:noWrap w:val="0"/>
            <w:vAlign w:val="top"/>
          </w:tcPr>
          <w:p w14:paraId="18C7F58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6D40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560CA8B8">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875" w:type="dxa"/>
            <w:noWrap w:val="0"/>
            <w:vAlign w:val="top"/>
          </w:tcPr>
          <w:p w14:paraId="639FD6C3">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10" w:type="dxa"/>
            <w:noWrap w:val="0"/>
            <w:vAlign w:val="top"/>
          </w:tcPr>
          <w:p w14:paraId="67C919B9">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935" w:type="dxa"/>
            <w:noWrap w:val="0"/>
            <w:vAlign w:val="top"/>
          </w:tcPr>
          <w:p w14:paraId="3F1136DF">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3751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66D50AF2">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875" w:type="dxa"/>
            <w:noWrap w:val="0"/>
            <w:vAlign w:val="top"/>
          </w:tcPr>
          <w:p w14:paraId="2B544211">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710" w:type="dxa"/>
            <w:noWrap w:val="0"/>
            <w:vAlign w:val="top"/>
          </w:tcPr>
          <w:p w14:paraId="316BDAE8">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935" w:type="dxa"/>
            <w:noWrap w:val="0"/>
            <w:vAlign w:val="top"/>
          </w:tcPr>
          <w:p w14:paraId="40124AE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276A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50C679DD">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875" w:type="dxa"/>
            <w:noWrap w:val="0"/>
            <w:vAlign w:val="top"/>
          </w:tcPr>
          <w:p w14:paraId="5E07DA48">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710" w:type="dxa"/>
            <w:noWrap w:val="0"/>
            <w:vAlign w:val="top"/>
          </w:tcPr>
          <w:p w14:paraId="278C9F27">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935" w:type="dxa"/>
            <w:noWrap w:val="0"/>
            <w:vAlign w:val="top"/>
          </w:tcPr>
          <w:p w14:paraId="7F87B2D9">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7764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6F207D7E">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875" w:type="dxa"/>
            <w:noWrap w:val="0"/>
            <w:vAlign w:val="top"/>
          </w:tcPr>
          <w:p w14:paraId="01919B2A">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710" w:type="dxa"/>
            <w:noWrap w:val="0"/>
            <w:vAlign w:val="top"/>
          </w:tcPr>
          <w:p w14:paraId="2144438E">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935" w:type="dxa"/>
            <w:noWrap w:val="0"/>
            <w:vAlign w:val="top"/>
          </w:tcPr>
          <w:p w14:paraId="70FDCB41">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084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482E6DD9">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875" w:type="dxa"/>
            <w:noWrap w:val="0"/>
            <w:vAlign w:val="top"/>
          </w:tcPr>
          <w:p w14:paraId="21C2CF9D">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710" w:type="dxa"/>
            <w:noWrap w:val="0"/>
            <w:vAlign w:val="top"/>
          </w:tcPr>
          <w:p w14:paraId="25150A83">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935" w:type="dxa"/>
            <w:noWrap w:val="0"/>
            <w:vAlign w:val="top"/>
          </w:tcPr>
          <w:p w14:paraId="4FE32D5F">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143A5CF7">
      <w:pPr>
        <w:keepNext w:val="0"/>
        <w:keepLines w:val="0"/>
        <w:pageBreakBefore w:val="0"/>
        <w:widowControl w:val="0"/>
        <w:shd w:val="clear" w:color="auto" w:fill="auto"/>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32.2代理服务费收费计算标准：</w:t>
      </w:r>
    </w:p>
    <w:p w14:paraId="49339B81">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EA6C041">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（1）按本表费率计算的收费为采购代理的收费基准价格；</w:t>
      </w:r>
    </w:p>
    <w:p w14:paraId="7F4CFB8A">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47B08B0A">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例如：某服务采购代理业务成交金额或者暂定价为150万元，计算采购代理收费额如下：</w:t>
      </w:r>
    </w:p>
    <w:p w14:paraId="408CC0DD">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58AAED53">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CED512C">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合计收费＝1.5＋0.4＝1.9万元</w:t>
      </w:r>
    </w:p>
    <w:p w14:paraId="7A5DF3AA">
      <w:pPr>
        <w:keepNext w:val="0"/>
        <w:keepLines w:val="0"/>
        <w:pageBreakBefore w:val="0"/>
        <w:widowControl w:val="0"/>
        <w:shd w:val="clear" w:color="auto" w:fill="auto"/>
        <w:kinsoku/>
        <w:wordWrap/>
        <w:overflowPunct/>
        <w:topLinePunct w:val="0"/>
        <w:autoSpaceDE/>
        <w:autoSpaceDN/>
        <w:bidi w:val="0"/>
        <w:adjustRightInd/>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33.需要补充的其他内容</w:t>
      </w:r>
    </w:p>
    <w:p w14:paraId="2522DC2D">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33.1本磋商文件解释规则详见“供应商须知前附表”。</w:t>
      </w:r>
    </w:p>
    <w:p w14:paraId="538CBF2D">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33.2 其他事项详见“供应商须知前附表”。</w:t>
      </w:r>
    </w:p>
    <w:p w14:paraId="45C688FA">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723D0C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0BAA7148">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51E18319">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AA948B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D7EF8D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jc w:val="left"/>
        <w:textAlignment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依据本磋商文件规定享受扶持政策获得政府采购合同的，小微企业不得将合同分包给大中型企业，中型企业不得将合同分包给大型企业。</w:t>
      </w:r>
      <w:bookmarkStart w:id="81" w:name="_Toc144750173"/>
    </w:p>
    <w:p w14:paraId="11A34664">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r>
        <w:rPr>
          <w:rFonts w:hint="eastAsia" w:ascii="仿宋" w:hAnsi="仿宋" w:eastAsia="仿宋" w:cs="仿宋"/>
          <w:color w:val="auto"/>
          <w:kern w:val="2"/>
          <w:sz w:val="21"/>
          <w:highlight w:val="none"/>
        </w:rPr>
        <w:br w:type="page"/>
      </w:r>
      <w:bookmarkStart w:id="82" w:name="_Toc1714"/>
      <w:bookmarkStart w:id="83" w:name="_Toc12188"/>
      <w:r>
        <w:rPr>
          <w:rFonts w:hint="eastAsia" w:ascii="方正小标宋_GBK" w:hAnsi="方正小标宋_GBK" w:eastAsia="方正小标宋_GBK" w:cs="方正小标宋_GBK"/>
          <w:b/>
          <w:color w:val="auto"/>
          <w:sz w:val="28"/>
          <w:szCs w:val="28"/>
          <w:highlight w:val="none"/>
          <w:lang w:val="en-US" w:eastAsia="zh-CN"/>
        </w:rPr>
        <w:t>第三章 采购需求</w:t>
      </w:r>
      <w:bookmarkEnd w:id="81"/>
      <w:bookmarkEnd w:id="82"/>
      <w:bookmarkEnd w:id="83"/>
    </w:p>
    <w:p w14:paraId="7D8D61E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jc w:val="left"/>
        <w:rPr>
          <w:rFonts w:hint="eastAsia" w:ascii="宋体" w:hAnsi="宋体" w:eastAsia="宋体" w:cs="宋体"/>
          <w:b/>
          <w:color w:val="auto"/>
          <w:sz w:val="21"/>
          <w:szCs w:val="21"/>
          <w:highlight w:val="none"/>
        </w:rPr>
      </w:pPr>
    </w:p>
    <w:p w14:paraId="39426C4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D129C79">
      <w:pPr>
        <w:keepNext w:val="0"/>
        <w:keepLines w:val="0"/>
        <w:pageBreakBefore w:val="0"/>
        <w:widowControl w:val="0"/>
        <w:shd w:val="clear" w:color="auto" w:fill="auto"/>
        <w:tabs>
          <w:tab w:val="left" w:pos="963"/>
        </w:tabs>
        <w:kinsoku/>
        <w:wordWrap/>
        <w:overflowPunct/>
        <w:topLinePunct w:val="0"/>
        <w:autoSpaceDE/>
        <w:autoSpaceDN/>
        <w:bidi w:val="0"/>
        <w:adjustRightInd/>
        <w:snapToGrid/>
        <w:spacing w:line="400" w:lineRule="exact"/>
        <w:ind w:firstLine="398"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1.“实质性要求”是指</w:t>
      </w:r>
      <w:r>
        <w:rPr>
          <w:rFonts w:hint="eastAsia" w:ascii="宋体" w:hAnsi="宋体" w:eastAsia="宋体" w:cs="宋体"/>
          <w:color w:val="auto"/>
          <w:w w:val="95"/>
          <w:sz w:val="21"/>
          <w:szCs w:val="21"/>
          <w:highlight w:val="none"/>
          <w:lang w:eastAsia="zh-CN"/>
        </w:rPr>
        <w:t>竞争性磋商文件</w:t>
      </w:r>
      <w:r>
        <w:rPr>
          <w:rFonts w:hint="eastAsia" w:ascii="宋体" w:hAnsi="宋体" w:eastAsia="宋体" w:cs="宋体"/>
          <w:color w:val="auto"/>
          <w:w w:val="95"/>
          <w:sz w:val="21"/>
          <w:szCs w:val="21"/>
          <w:highlight w:val="none"/>
        </w:rPr>
        <w:t>中已经指明不满足则投标无效的条款，或者不能负偏离的条款，</w:t>
      </w:r>
      <w:r>
        <w:rPr>
          <w:rFonts w:hint="eastAsia" w:ascii="宋体" w:hAnsi="宋体" w:eastAsia="宋体" w:cs="宋体"/>
          <w:color w:val="auto"/>
          <w:sz w:val="21"/>
          <w:szCs w:val="21"/>
          <w:highlight w:val="none"/>
        </w:rPr>
        <w:t>或者采购需求中带“▲”的条款。</w:t>
      </w:r>
    </w:p>
    <w:p w14:paraId="6CFE1E7B">
      <w:pPr>
        <w:pStyle w:val="42"/>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2.服务项目中包含货物的，采购需求中出现的品牌、型号或者生产厂家仅起参考作用，不属于指</w:t>
      </w:r>
      <w:r>
        <w:rPr>
          <w:rFonts w:hint="eastAsia" w:ascii="宋体" w:hAnsi="宋体" w:eastAsia="宋体" w:cs="宋体"/>
          <w:color w:val="auto"/>
          <w:w w:val="95"/>
          <w:sz w:val="21"/>
          <w:szCs w:val="21"/>
          <w:highlight w:val="none"/>
        </w:rPr>
        <w:t>定品牌、型号或者生产厂家的情形。</w:t>
      </w:r>
      <w:r>
        <w:rPr>
          <w:rFonts w:hint="eastAsia" w:ascii="宋体" w:hAnsi="宋体" w:eastAsia="宋体" w:cs="宋体"/>
          <w:color w:val="auto"/>
          <w:w w:val="95"/>
          <w:sz w:val="21"/>
          <w:szCs w:val="21"/>
          <w:highlight w:val="none"/>
          <w:lang w:eastAsia="zh-CN"/>
        </w:rPr>
        <w:t>供应商</w:t>
      </w:r>
      <w:r>
        <w:rPr>
          <w:rFonts w:hint="eastAsia" w:ascii="宋体" w:hAnsi="宋体" w:eastAsia="宋体" w:cs="宋体"/>
          <w:color w:val="auto"/>
          <w:w w:val="95"/>
          <w:sz w:val="21"/>
          <w:szCs w:val="21"/>
          <w:highlight w:val="none"/>
        </w:rPr>
        <w:t>可参照或者选用其他相当的品牌、型号或者生产厂家替代，</w:t>
      </w:r>
      <w:r>
        <w:rPr>
          <w:rFonts w:hint="eastAsia" w:ascii="宋体" w:hAnsi="宋体" w:eastAsia="宋体" w:cs="宋体"/>
          <w:color w:val="auto"/>
          <w:sz w:val="21"/>
          <w:szCs w:val="21"/>
          <w:highlight w:val="none"/>
        </w:rPr>
        <w:t>但选用的投标产品参数性能必须满足实质性要求。</w:t>
      </w:r>
    </w:p>
    <w:p w14:paraId="2817033E">
      <w:pPr>
        <w:pStyle w:val="42"/>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ind w:firstLine="40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3.服务项目中包含货物的，根据《财政部发展改革委 生态环境部 市场监管总局关于调整优化节能产品、环境标志产品政府采购执行机制的通知》（财库〔2019〕9</w:t>
      </w:r>
      <w:r>
        <w:rPr>
          <w:rFonts w:hint="eastAsia" w:ascii="宋体" w:hAnsi="宋体" w:eastAsia="宋体" w:cs="宋体"/>
          <w:color w:val="auto"/>
          <w:spacing w:val="-30"/>
          <w:sz w:val="21"/>
          <w:szCs w:val="21"/>
          <w:highlight w:val="none"/>
        </w:rPr>
        <w:t xml:space="preserve"> 号</w:t>
      </w:r>
      <w:r>
        <w:rPr>
          <w:rFonts w:hint="eastAsia" w:ascii="宋体" w:hAnsi="宋体" w:eastAsia="宋体" w:cs="宋体"/>
          <w:color w:val="auto"/>
          <w:sz w:val="21"/>
          <w:szCs w:val="21"/>
          <w:highlight w:val="none"/>
        </w:rPr>
        <w:t>）和《关于印发节能产品政府采</w:t>
      </w:r>
      <w:r>
        <w:rPr>
          <w:rFonts w:hint="eastAsia" w:ascii="宋体" w:hAnsi="宋体" w:eastAsia="宋体" w:cs="宋体"/>
          <w:color w:val="auto"/>
          <w:spacing w:val="-3"/>
          <w:sz w:val="21"/>
          <w:szCs w:val="21"/>
          <w:highlight w:val="none"/>
        </w:rPr>
        <w:t>购品目清单的通知》</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财库〔</w:t>
      </w:r>
      <w:r>
        <w:rPr>
          <w:rFonts w:hint="eastAsia" w:ascii="宋体" w:hAnsi="宋体" w:eastAsia="宋体" w:cs="宋体"/>
          <w:color w:val="auto"/>
          <w:sz w:val="21"/>
          <w:szCs w:val="21"/>
          <w:highlight w:val="none"/>
        </w:rPr>
        <w:t>2019</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19</w:t>
      </w:r>
      <w:r>
        <w:rPr>
          <w:rFonts w:hint="eastAsia" w:ascii="宋体" w:hAnsi="宋体" w:eastAsia="宋体" w:cs="宋体"/>
          <w:color w:val="auto"/>
          <w:spacing w:val="-32"/>
          <w:sz w:val="21"/>
          <w:szCs w:val="21"/>
          <w:highlight w:val="none"/>
        </w:rPr>
        <w:t xml:space="preserve"> 号</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的规定，节能产品政府采购品目清单内标注“★”的品目属</w:t>
      </w:r>
      <w:r>
        <w:rPr>
          <w:rFonts w:hint="eastAsia" w:ascii="宋体" w:hAnsi="宋体" w:eastAsia="宋体" w:cs="宋体"/>
          <w:color w:val="auto"/>
          <w:spacing w:val="-7"/>
          <w:sz w:val="21"/>
          <w:szCs w:val="21"/>
          <w:highlight w:val="none"/>
        </w:rPr>
        <w:t>于政府强制采购节能产品，如本项目包含的货物属于品目清单内标注“★”的产品时，</w:t>
      </w:r>
      <w:r>
        <w:rPr>
          <w:rFonts w:hint="eastAsia" w:ascii="宋体" w:hAnsi="宋体" w:eastAsia="宋体" w:cs="宋体"/>
          <w:b/>
          <w:bCs/>
          <w:color w:val="auto"/>
          <w:spacing w:val="-7"/>
          <w:sz w:val="21"/>
          <w:szCs w:val="21"/>
          <w:highlight w:val="none"/>
          <w:lang w:eastAsia="zh-CN"/>
        </w:rPr>
        <w:t>供应商</w:t>
      </w:r>
      <w:r>
        <w:rPr>
          <w:rFonts w:hint="eastAsia" w:ascii="宋体" w:hAnsi="宋体" w:eastAsia="宋体" w:cs="宋体"/>
          <w:b/>
          <w:bCs/>
          <w:color w:val="auto"/>
          <w:spacing w:val="-7"/>
          <w:sz w:val="21"/>
          <w:szCs w:val="21"/>
          <w:highlight w:val="none"/>
        </w:rPr>
        <w:t>的投标货</w:t>
      </w:r>
      <w:r>
        <w:rPr>
          <w:rFonts w:hint="eastAsia" w:ascii="宋体" w:hAnsi="宋体" w:eastAsia="宋体" w:cs="宋体"/>
          <w:b/>
          <w:bCs/>
          <w:color w:val="auto"/>
          <w:spacing w:val="-9"/>
          <w:sz w:val="21"/>
          <w:szCs w:val="21"/>
          <w:highlight w:val="none"/>
        </w:rPr>
        <w:t>物必须使用政府强制采购的节能产品</w:t>
      </w:r>
      <w:r>
        <w:rPr>
          <w:rFonts w:hint="eastAsia" w:ascii="宋体" w:hAnsi="宋体" w:eastAsia="宋体" w:cs="宋体"/>
          <w:b/>
          <w:bCs/>
          <w:color w:val="auto"/>
          <w:spacing w:val="-9"/>
          <w:w w:val="95"/>
          <w:sz w:val="21"/>
          <w:szCs w:val="21"/>
          <w:highlight w:val="none"/>
        </w:rPr>
        <w:t>，否则</w:t>
      </w:r>
      <w:r>
        <w:rPr>
          <w:rFonts w:hint="eastAsia" w:ascii="宋体" w:hAnsi="宋体" w:eastAsia="宋体" w:cs="宋体"/>
          <w:b/>
          <w:bCs/>
          <w:color w:val="auto"/>
          <w:spacing w:val="-9"/>
          <w:w w:val="95"/>
          <w:sz w:val="21"/>
          <w:szCs w:val="21"/>
          <w:highlight w:val="none"/>
          <w:lang w:eastAsia="zh-CN"/>
        </w:rPr>
        <w:t>响应文件</w:t>
      </w:r>
      <w:r>
        <w:rPr>
          <w:rFonts w:hint="eastAsia" w:ascii="宋体" w:hAnsi="宋体" w:eastAsia="宋体" w:cs="宋体"/>
          <w:b/>
          <w:bCs/>
          <w:color w:val="auto"/>
          <w:spacing w:val="-9"/>
          <w:w w:val="95"/>
          <w:sz w:val="21"/>
          <w:szCs w:val="21"/>
          <w:highlight w:val="none"/>
        </w:rPr>
        <w:t>作无效处理。</w:t>
      </w:r>
      <w:r>
        <w:rPr>
          <w:rFonts w:hint="eastAsia" w:ascii="宋体" w:hAnsi="宋体" w:eastAsia="宋体" w:cs="宋体"/>
          <w:color w:val="auto"/>
          <w:spacing w:val="-9"/>
          <w:w w:val="95"/>
          <w:sz w:val="21"/>
          <w:szCs w:val="21"/>
          <w:highlight w:val="none"/>
        </w:rPr>
        <w:t>如本项目包含的货物属于品目清单内非标注“★”</w:t>
      </w:r>
      <w:r>
        <w:rPr>
          <w:rFonts w:hint="eastAsia" w:ascii="宋体" w:hAnsi="宋体" w:eastAsia="宋体" w:cs="宋体"/>
          <w:color w:val="auto"/>
          <w:spacing w:val="-9"/>
          <w:sz w:val="21"/>
          <w:szCs w:val="21"/>
          <w:highlight w:val="none"/>
        </w:rPr>
        <w:t>的产品时，应优先采购，具体详见“第四章 评审程序、评审方法和评审标准”。</w:t>
      </w:r>
    </w:p>
    <w:p w14:paraId="76CF8AC1">
      <w:pPr>
        <w:pStyle w:val="42"/>
        <w:keepNext w:val="0"/>
        <w:keepLines w:val="0"/>
        <w:pageBreakBefore w:val="0"/>
        <w:widowControl w:val="0"/>
        <w:shd w:val="clear" w:color="auto" w:fill="auto"/>
        <w:tabs>
          <w:tab w:val="left" w:pos="960"/>
        </w:tabs>
        <w:kinsoku/>
        <w:wordWrap w:val="0"/>
        <w:overflowPunct/>
        <w:topLinePunct w:val="0"/>
        <w:autoSpaceDE/>
        <w:autoSpaceDN/>
        <w:bidi w:val="0"/>
        <w:adjustRightInd/>
        <w:snapToGrid/>
        <w:spacing w:line="400" w:lineRule="exact"/>
        <w:ind w:firstLine="404"/>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服务项目中包含货物的，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5CBDAADA">
      <w:pPr>
        <w:pStyle w:val="42"/>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5.供应商必须自行为其投标产品侵犯他人的知识产权或者专利成果的行为承担相应法律责任。</w:t>
      </w:r>
    </w:p>
    <w:p w14:paraId="784BBDFD">
      <w:pPr>
        <w:pStyle w:val="42"/>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ind w:firstLine="408"/>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6.本项目</w:t>
      </w:r>
      <w:r>
        <w:rPr>
          <w:rFonts w:hint="eastAsia" w:ascii="宋体" w:hAnsi="宋体" w:eastAsia="宋体" w:cs="宋体"/>
          <w:color w:val="auto"/>
          <w:sz w:val="21"/>
          <w:szCs w:val="21"/>
          <w:highlight w:val="none"/>
        </w:rPr>
        <w:t>需要及技术需求</w:t>
      </w:r>
      <w:r>
        <w:rPr>
          <w:rFonts w:hint="eastAsia" w:ascii="宋体" w:hAnsi="宋体" w:eastAsia="宋体" w:cs="宋体"/>
          <w:color w:val="auto"/>
          <w:spacing w:val="-3"/>
          <w:sz w:val="21"/>
          <w:szCs w:val="21"/>
          <w:highlight w:val="none"/>
        </w:rPr>
        <w:t>中的内容如与“第</w:t>
      </w:r>
      <w:r>
        <w:rPr>
          <w:rFonts w:hint="eastAsia" w:ascii="宋体" w:hAnsi="宋体" w:eastAsia="宋体" w:cs="宋体"/>
          <w:color w:val="auto"/>
          <w:spacing w:val="-3"/>
          <w:sz w:val="21"/>
          <w:szCs w:val="21"/>
          <w:highlight w:val="none"/>
          <w:lang w:val="en-US" w:eastAsia="zh-CN"/>
        </w:rPr>
        <w:t>六</w:t>
      </w:r>
      <w:r>
        <w:rPr>
          <w:rFonts w:hint="eastAsia" w:ascii="宋体" w:hAnsi="宋体" w:eastAsia="宋体" w:cs="宋体"/>
          <w:color w:val="auto"/>
          <w:spacing w:val="-3"/>
          <w:sz w:val="21"/>
          <w:szCs w:val="21"/>
          <w:highlight w:val="none"/>
        </w:rPr>
        <w:t>章</w:t>
      </w:r>
      <w:r>
        <w:rPr>
          <w:rFonts w:hint="eastAsia" w:ascii="宋体" w:hAnsi="宋体" w:eastAsia="宋体" w:cs="宋体"/>
          <w:color w:val="auto"/>
          <w:spacing w:val="-3"/>
          <w:sz w:val="21"/>
          <w:szCs w:val="21"/>
          <w:highlight w:val="none"/>
          <w:lang w:val="en-US" w:eastAsia="zh-CN"/>
        </w:rPr>
        <w:t>合同文本</w:t>
      </w:r>
      <w:r>
        <w:rPr>
          <w:rFonts w:hint="eastAsia" w:ascii="宋体" w:hAnsi="宋体" w:eastAsia="宋体" w:cs="宋体"/>
          <w:color w:val="auto"/>
          <w:spacing w:val="-3"/>
          <w:sz w:val="21"/>
          <w:szCs w:val="21"/>
          <w:highlight w:val="none"/>
        </w:rPr>
        <w:t>”相关条款不一致的，以本表为准。</w:t>
      </w:r>
    </w:p>
    <w:p w14:paraId="0FEA7D85">
      <w:pPr>
        <w:keepNext w:val="0"/>
        <w:keepLines w:val="0"/>
        <w:pageBreakBefore w:val="0"/>
        <w:widowControl w:val="0"/>
        <w:shd w:val="clear" w:color="auto" w:fill="auto"/>
        <w:tabs>
          <w:tab w:val="left" w:pos="963"/>
        </w:tabs>
        <w:kinsoku/>
        <w:wordWrap/>
        <w:overflowPunct/>
        <w:topLinePunct w:val="0"/>
        <w:autoSpaceDE/>
        <w:autoSpaceDN/>
        <w:bidi w:val="0"/>
        <w:adjustRightInd/>
        <w:snapToGrid/>
        <w:spacing w:line="40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7.本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所称中小企业必须符合《政府采购促进中小企业发展管理办法》（财库〔2020〕46号）的规定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本项目采购标的对应的中小企业划分标准所属行业</w:t>
      </w:r>
      <w:r>
        <w:rPr>
          <w:rFonts w:hint="eastAsia" w:ascii="宋体" w:hAnsi="宋体" w:eastAsia="宋体" w:cs="宋体"/>
          <w:b/>
          <w:bCs/>
          <w:color w:val="auto"/>
          <w:sz w:val="21"/>
          <w:szCs w:val="21"/>
          <w:highlight w:val="none"/>
          <w:lang w:eastAsia="zh-CN"/>
        </w:rPr>
        <w:t>：其他未列明行业。</w:t>
      </w:r>
    </w:p>
    <w:p w14:paraId="1E9A8153">
      <w:pPr>
        <w:shd w:val="clear" w:color="auto" w:fill="auto"/>
        <w:jc w:val="both"/>
        <w:outlineLvl w:val="1"/>
        <w:rPr>
          <w:rFonts w:hint="eastAsia" w:ascii="方正小标宋_GBK" w:hAnsi="方正小标宋_GBK" w:eastAsia="方正小标宋_GBK" w:cs="方正小标宋_GBK"/>
          <w:b/>
          <w:color w:val="auto"/>
          <w:sz w:val="21"/>
          <w:szCs w:val="21"/>
          <w:highlight w:val="none"/>
          <w:lang w:val="en-US" w:eastAsia="zh-CN"/>
        </w:rPr>
      </w:pPr>
      <w:r>
        <w:rPr>
          <w:rFonts w:hint="eastAsia" w:ascii="仿宋" w:hAnsi="仿宋" w:eastAsia="仿宋" w:cs="仿宋"/>
          <w:b/>
          <w:color w:val="auto"/>
          <w:szCs w:val="21"/>
          <w:highlight w:val="none"/>
        </w:rPr>
        <w:br w:type="page"/>
      </w:r>
      <w:bookmarkStart w:id="84" w:name="_Toc1687"/>
      <w:r>
        <w:rPr>
          <w:rFonts w:hint="eastAsia" w:ascii="宋体" w:hAnsi="宋体" w:cs="宋体"/>
          <w:b/>
          <w:bCs/>
          <w:color w:val="auto"/>
          <w:sz w:val="24"/>
          <w:szCs w:val="24"/>
          <w:highlight w:val="none"/>
        </w:rPr>
        <w:t>一、采购项目需求一览表</w:t>
      </w:r>
      <w:bookmarkEnd w:id="84"/>
    </w:p>
    <w:tbl>
      <w:tblPr>
        <w:tblStyle w:val="27"/>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988"/>
        <w:gridCol w:w="1166"/>
        <w:gridCol w:w="5882"/>
      </w:tblGrid>
      <w:tr w14:paraId="7971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blHeader/>
          <w:jc w:val="center"/>
        </w:trPr>
        <w:tc>
          <w:tcPr>
            <w:tcW w:w="563" w:type="dxa"/>
            <w:noWrap w:val="0"/>
            <w:vAlign w:val="center"/>
          </w:tcPr>
          <w:p w14:paraId="3E2AA057">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iCs/>
                <w:sz w:val="21"/>
                <w:szCs w:val="21"/>
                <w:highlight w:val="none"/>
              </w:rPr>
            </w:pPr>
            <w:bookmarkStart w:id="85" w:name="_Toc3268"/>
            <w:bookmarkStart w:id="86" w:name="_Toc144750174"/>
            <w:r>
              <w:rPr>
                <w:rFonts w:hint="eastAsia" w:ascii="宋体" w:hAnsi="宋体" w:eastAsia="宋体" w:cs="宋体"/>
                <w:b/>
                <w:bCs/>
                <w:iCs/>
                <w:sz w:val="21"/>
                <w:szCs w:val="21"/>
                <w:highlight w:val="none"/>
              </w:rPr>
              <w:t>序号</w:t>
            </w:r>
          </w:p>
        </w:tc>
        <w:tc>
          <w:tcPr>
            <w:tcW w:w="988" w:type="dxa"/>
            <w:noWrap w:val="0"/>
            <w:vAlign w:val="center"/>
          </w:tcPr>
          <w:p w14:paraId="59E21F2D">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iCs/>
                <w:sz w:val="21"/>
                <w:szCs w:val="21"/>
                <w:highlight w:val="none"/>
              </w:rPr>
            </w:pPr>
            <w:r>
              <w:rPr>
                <w:rFonts w:hint="eastAsia" w:ascii="宋体" w:hAnsi="宋体" w:eastAsia="宋体" w:cs="宋体"/>
                <w:b/>
                <w:bCs/>
                <w:iCs/>
                <w:sz w:val="21"/>
                <w:szCs w:val="21"/>
                <w:highlight w:val="none"/>
              </w:rPr>
              <w:t>标的</w:t>
            </w:r>
          </w:p>
          <w:p w14:paraId="4CD3AADF">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iCs/>
                <w:sz w:val="21"/>
                <w:szCs w:val="21"/>
                <w:highlight w:val="none"/>
              </w:rPr>
            </w:pPr>
            <w:r>
              <w:rPr>
                <w:rFonts w:hint="eastAsia" w:ascii="宋体" w:hAnsi="宋体" w:eastAsia="宋体" w:cs="宋体"/>
                <w:b/>
                <w:bCs/>
                <w:iCs/>
                <w:sz w:val="21"/>
                <w:szCs w:val="21"/>
                <w:highlight w:val="none"/>
              </w:rPr>
              <w:t>名称</w:t>
            </w:r>
          </w:p>
        </w:tc>
        <w:tc>
          <w:tcPr>
            <w:tcW w:w="1166" w:type="dxa"/>
            <w:noWrap w:val="0"/>
            <w:vAlign w:val="center"/>
          </w:tcPr>
          <w:p w14:paraId="230A5C4B">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iCs/>
                <w:sz w:val="21"/>
                <w:szCs w:val="21"/>
                <w:highlight w:val="none"/>
              </w:rPr>
            </w:pPr>
            <w:r>
              <w:rPr>
                <w:rFonts w:hint="eastAsia" w:ascii="宋体" w:hAnsi="宋体" w:eastAsia="宋体" w:cs="宋体"/>
                <w:b/>
                <w:bCs/>
                <w:iCs/>
                <w:sz w:val="21"/>
                <w:szCs w:val="21"/>
                <w:highlight w:val="none"/>
              </w:rPr>
              <w:t>数量及单位</w:t>
            </w:r>
          </w:p>
        </w:tc>
        <w:tc>
          <w:tcPr>
            <w:tcW w:w="5882" w:type="dxa"/>
            <w:noWrap w:val="0"/>
            <w:vAlign w:val="center"/>
          </w:tcPr>
          <w:p w14:paraId="7CD5FFD7">
            <w:pPr>
              <w:keepNext w:val="0"/>
              <w:keepLines w:val="0"/>
              <w:pageBreakBefore w:val="0"/>
              <w:kinsoku/>
              <w:wordWrap/>
              <w:overflowPunct/>
              <w:topLinePunct w:val="0"/>
              <w:autoSpaceDE/>
              <w:autoSpaceDN/>
              <w:bidi w:val="0"/>
              <w:adjustRightInd w:val="0"/>
              <w:snapToGrid w:val="0"/>
              <w:spacing w:line="400" w:lineRule="exact"/>
              <w:jc w:val="center"/>
              <w:rPr>
                <w:rFonts w:hint="eastAsia" w:ascii="宋体" w:hAnsi="宋体" w:eastAsia="宋体" w:cs="宋体"/>
                <w:b/>
                <w:bCs/>
                <w:iCs/>
                <w:sz w:val="21"/>
                <w:szCs w:val="21"/>
                <w:highlight w:val="none"/>
              </w:rPr>
            </w:pPr>
            <w:r>
              <w:rPr>
                <w:rFonts w:hint="eastAsia" w:ascii="宋体" w:hAnsi="宋体" w:eastAsia="宋体" w:cs="宋体"/>
                <w:b/>
                <w:bCs/>
                <w:iCs/>
                <w:sz w:val="21"/>
                <w:szCs w:val="21"/>
                <w:highlight w:val="none"/>
              </w:rPr>
              <w:t>服务内容及要求</w:t>
            </w:r>
          </w:p>
        </w:tc>
      </w:tr>
      <w:tr w14:paraId="3B9F3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63" w:type="dxa"/>
            <w:noWrap w:val="0"/>
            <w:vAlign w:val="center"/>
          </w:tcPr>
          <w:p w14:paraId="0D113D1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88" w:type="dxa"/>
            <w:noWrap w:val="0"/>
            <w:vAlign w:val="center"/>
          </w:tcPr>
          <w:p w14:paraId="79688F6B">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iCs/>
                <w:sz w:val="21"/>
                <w:szCs w:val="21"/>
                <w:highlight w:val="none"/>
                <w:lang w:eastAsia="zh-CN"/>
              </w:rPr>
              <w:t>龙须河流域综合规划</w:t>
            </w:r>
          </w:p>
        </w:tc>
        <w:tc>
          <w:tcPr>
            <w:tcW w:w="1166" w:type="dxa"/>
            <w:noWrap w:val="0"/>
            <w:vAlign w:val="center"/>
          </w:tcPr>
          <w:p w14:paraId="7CE9876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iCs/>
                <w:sz w:val="21"/>
                <w:szCs w:val="21"/>
                <w:highlight w:val="none"/>
              </w:rPr>
            </w:pPr>
            <w:r>
              <w:rPr>
                <w:rFonts w:hint="eastAsia" w:ascii="宋体" w:hAnsi="宋体" w:eastAsia="宋体" w:cs="宋体"/>
                <w:iCs/>
                <w:sz w:val="21"/>
                <w:szCs w:val="21"/>
                <w:highlight w:val="none"/>
              </w:rPr>
              <w:t>1项</w:t>
            </w:r>
          </w:p>
        </w:tc>
        <w:tc>
          <w:tcPr>
            <w:tcW w:w="5882" w:type="dxa"/>
            <w:noWrap w:val="0"/>
            <w:vAlign w:val="center"/>
          </w:tcPr>
          <w:p w14:paraId="4FF8C320">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项目背景</w:t>
            </w:r>
          </w:p>
          <w:p w14:paraId="056675CD">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来，龙须河流域水资源开发利用和流域经济社会发展出现了新的变化，因此急需开展龙须河流域综合规划，深入分析龙须河流域未来的形势需求，研究提出与龙须河流域（属右江流域水资源三级区）、左江流域（属左江及郁江干流三级区）相协调的水资源配置方案，以支撑和保障龙须河流域以及沿边靖西市城乡工业的经济社会高质量发展。同时，编制流域综合规划，也可为流域内</w:t>
            </w:r>
            <w:r>
              <w:rPr>
                <w:rFonts w:hint="eastAsia" w:ascii="宋体" w:hAnsi="宋体" w:eastAsia="宋体" w:cs="宋体"/>
                <w:b w:val="0"/>
                <w:color w:val="auto"/>
                <w:sz w:val="21"/>
                <w:szCs w:val="21"/>
                <w:highlight w:val="none"/>
              </w:rPr>
              <w:t>拟建大型灌区桂西北供水保障工程-右江沿边灌区、</w:t>
            </w:r>
            <w:r>
              <w:rPr>
                <w:rFonts w:hint="eastAsia" w:ascii="宋体" w:hAnsi="宋体" w:eastAsia="宋体" w:cs="宋体"/>
                <w:b w:val="0"/>
                <w:bCs w:val="0"/>
                <w:color w:val="auto"/>
                <w:sz w:val="21"/>
                <w:szCs w:val="21"/>
                <w:highlight w:val="none"/>
              </w:rPr>
              <w:t>中型水库陇温水库，中型灌区（作登灌区、印茶灌区），以及容华电站扩容、龙须河水电站扩容等项目提供流域层面支撑依据。</w:t>
            </w:r>
          </w:p>
          <w:p w14:paraId="22416C8A">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规划范围</w:t>
            </w:r>
          </w:p>
          <w:p w14:paraId="1EF442BA">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本次规划范围为龙须河全流域，面积共计2854km²，涉及百色市靖西市、那坡县、德保县、田阳县、田东县、崇左市天等县共6个县（市、区）。</w:t>
            </w:r>
          </w:p>
          <w:p w14:paraId="559FD12F">
            <w:pPr>
              <w:keepNext w:val="0"/>
              <w:keepLines w:val="0"/>
              <w:pageBreakBefore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表1  龙须河流域涉及行政区情况表</w:t>
            </w:r>
          </w:p>
          <w:tbl>
            <w:tblPr>
              <w:tblStyle w:val="27"/>
              <w:tblW w:w="5128" w:type="dxa"/>
              <w:jc w:val="center"/>
              <w:tblLayout w:type="fixed"/>
              <w:tblCellMar>
                <w:top w:w="0" w:type="dxa"/>
                <w:left w:w="0" w:type="dxa"/>
                <w:bottom w:w="0" w:type="dxa"/>
                <w:right w:w="0" w:type="dxa"/>
              </w:tblCellMar>
            </w:tblPr>
            <w:tblGrid>
              <w:gridCol w:w="1624"/>
              <w:gridCol w:w="1790"/>
              <w:gridCol w:w="1714"/>
            </w:tblGrid>
            <w:tr w14:paraId="1A9936C1">
              <w:tblPrEx>
                <w:tblCellMar>
                  <w:top w:w="0" w:type="dxa"/>
                  <w:left w:w="0" w:type="dxa"/>
                  <w:bottom w:w="0" w:type="dxa"/>
                  <w:right w:w="0" w:type="dxa"/>
                </w:tblCellMar>
              </w:tblPrEx>
              <w:trPr>
                <w:trHeight w:val="600" w:hRule="atLeast"/>
                <w:jc w:val="center"/>
              </w:trPr>
              <w:tc>
                <w:tcPr>
                  <w:tcW w:w="1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DF2F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地级行政区</w:t>
                  </w:r>
                </w:p>
              </w:tc>
              <w:tc>
                <w:tcPr>
                  <w:tcW w:w="179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7728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县级行政区</w:t>
                  </w:r>
                </w:p>
              </w:tc>
              <w:tc>
                <w:tcPr>
                  <w:tcW w:w="171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C8903A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面积(km²)</w:t>
                  </w:r>
                </w:p>
              </w:tc>
            </w:tr>
            <w:tr w14:paraId="668181E9">
              <w:tblPrEx>
                <w:tblCellMar>
                  <w:top w:w="0" w:type="dxa"/>
                  <w:left w:w="0" w:type="dxa"/>
                  <w:bottom w:w="0" w:type="dxa"/>
                  <w:right w:w="0" w:type="dxa"/>
                </w:tblCellMar>
              </w:tblPrEx>
              <w:trPr>
                <w:trHeight w:val="285" w:hRule="atLeast"/>
                <w:jc w:val="center"/>
              </w:trPr>
              <w:tc>
                <w:tcPr>
                  <w:tcW w:w="16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C8CC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百色市</w:t>
                  </w: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554E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靖西市</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1F67C4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623</w:t>
                  </w:r>
                </w:p>
              </w:tc>
            </w:tr>
            <w:tr w14:paraId="2AB891FD">
              <w:tblPrEx>
                <w:tblCellMar>
                  <w:top w:w="0" w:type="dxa"/>
                  <w:left w:w="0" w:type="dxa"/>
                  <w:bottom w:w="0" w:type="dxa"/>
                  <w:right w:w="0" w:type="dxa"/>
                </w:tblCellMar>
              </w:tblPrEx>
              <w:trPr>
                <w:trHeight w:val="285" w:hRule="atLeast"/>
                <w:jc w:val="center"/>
              </w:trPr>
              <w:tc>
                <w:tcPr>
                  <w:tcW w:w="16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4A89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highlight w:val="none"/>
                    </w:rPr>
                  </w:pP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6549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那坡县</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42D863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5</w:t>
                  </w:r>
                </w:p>
              </w:tc>
            </w:tr>
            <w:tr w14:paraId="6FCB16EC">
              <w:tblPrEx>
                <w:tblCellMar>
                  <w:top w:w="0" w:type="dxa"/>
                  <w:left w:w="0" w:type="dxa"/>
                  <w:bottom w:w="0" w:type="dxa"/>
                  <w:right w:w="0" w:type="dxa"/>
                </w:tblCellMar>
              </w:tblPrEx>
              <w:trPr>
                <w:trHeight w:val="285" w:hRule="atLeast"/>
                <w:jc w:val="center"/>
              </w:trPr>
              <w:tc>
                <w:tcPr>
                  <w:tcW w:w="16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DC6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highlight w:val="none"/>
                    </w:rPr>
                  </w:pP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8C28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bidi="ar-SA"/>
                    </w:rPr>
                  </w:pPr>
                  <w:r>
                    <w:rPr>
                      <w:rFonts w:hint="eastAsia" w:ascii="宋体" w:hAnsi="宋体" w:eastAsia="宋体" w:cs="宋体"/>
                      <w:color w:val="000000"/>
                      <w:sz w:val="21"/>
                      <w:szCs w:val="21"/>
                      <w:highlight w:val="none"/>
                    </w:rPr>
                    <w:t>德保县</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332ACB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bidi="ar-SA"/>
                    </w:rPr>
                  </w:pPr>
                  <w:r>
                    <w:rPr>
                      <w:rFonts w:hint="eastAsia" w:ascii="宋体" w:hAnsi="宋体" w:eastAsia="宋体" w:cs="宋体"/>
                      <w:color w:val="000000"/>
                      <w:sz w:val="21"/>
                      <w:szCs w:val="21"/>
                      <w:highlight w:val="none"/>
                    </w:rPr>
                    <w:t>1764</w:t>
                  </w:r>
                </w:p>
              </w:tc>
            </w:tr>
            <w:tr w14:paraId="0EA22EEC">
              <w:tblPrEx>
                <w:tblCellMar>
                  <w:top w:w="0" w:type="dxa"/>
                  <w:left w:w="0" w:type="dxa"/>
                  <w:bottom w:w="0" w:type="dxa"/>
                  <w:right w:w="0" w:type="dxa"/>
                </w:tblCellMar>
              </w:tblPrEx>
              <w:trPr>
                <w:trHeight w:val="285" w:hRule="atLeast"/>
                <w:jc w:val="center"/>
              </w:trPr>
              <w:tc>
                <w:tcPr>
                  <w:tcW w:w="16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6A1B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B522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田阳县</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577C9B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34</w:t>
                  </w:r>
                </w:p>
              </w:tc>
            </w:tr>
            <w:tr w14:paraId="6E1DB644">
              <w:tblPrEx>
                <w:tblCellMar>
                  <w:top w:w="0" w:type="dxa"/>
                  <w:left w:w="0" w:type="dxa"/>
                  <w:bottom w:w="0" w:type="dxa"/>
                  <w:right w:w="0" w:type="dxa"/>
                </w:tblCellMar>
              </w:tblPrEx>
              <w:trPr>
                <w:trHeight w:val="285" w:hRule="atLeast"/>
                <w:jc w:val="center"/>
              </w:trPr>
              <w:tc>
                <w:tcPr>
                  <w:tcW w:w="16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BEC7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highlight w:val="none"/>
                    </w:rPr>
                  </w:pP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D270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田东县</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152DC3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373</w:t>
                  </w:r>
                </w:p>
              </w:tc>
            </w:tr>
            <w:tr w14:paraId="75C7C8DD">
              <w:tblPrEx>
                <w:tblCellMar>
                  <w:top w:w="0" w:type="dxa"/>
                  <w:left w:w="0" w:type="dxa"/>
                  <w:bottom w:w="0" w:type="dxa"/>
                  <w:right w:w="0" w:type="dxa"/>
                </w:tblCellMar>
              </w:tblPrEx>
              <w:trPr>
                <w:trHeight w:val="285" w:hRule="atLeast"/>
                <w:jc w:val="center"/>
              </w:trPr>
              <w:tc>
                <w:tcPr>
                  <w:tcW w:w="1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CCDA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崇左市</w:t>
                  </w:r>
                </w:p>
              </w:tc>
              <w:tc>
                <w:tcPr>
                  <w:tcW w:w="17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E5E1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天等县</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64546A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44</w:t>
                  </w:r>
                </w:p>
              </w:tc>
            </w:tr>
            <w:tr w14:paraId="685347F0">
              <w:tblPrEx>
                <w:tblCellMar>
                  <w:top w:w="0" w:type="dxa"/>
                  <w:left w:w="0" w:type="dxa"/>
                  <w:bottom w:w="0" w:type="dxa"/>
                  <w:right w:w="0" w:type="dxa"/>
                </w:tblCellMar>
              </w:tblPrEx>
              <w:trPr>
                <w:trHeight w:val="285" w:hRule="atLeast"/>
                <w:jc w:val="center"/>
              </w:trPr>
              <w:tc>
                <w:tcPr>
                  <w:tcW w:w="341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46C6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1714" w:type="dxa"/>
                  <w:tcBorders>
                    <w:top w:val="nil"/>
                    <w:left w:val="nil"/>
                    <w:bottom w:val="single" w:color="auto" w:sz="4" w:space="0"/>
                    <w:right w:val="single" w:color="auto" w:sz="4" w:space="0"/>
                  </w:tcBorders>
                  <w:noWrap w:val="0"/>
                  <w:tcMar>
                    <w:top w:w="15" w:type="dxa"/>
                    <w:left w:w="15" w:type="dxa"/>
                    <w:right w:w="15" w:type="dxa"/>
                  </w:tcMar>
                  <w:vAlign w:val="center"/>
                </w:tcPr>
                <w:p w14:paraId="535F4C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2854</w:t>
                  </w:r>
                </w:p>
              </w:tc>
            </w:tr>
          </w:tbl>
          <w:p w14:paraId="6F8D3D34">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三、规划期、规划任务及规划目标</w:t>
            </w:r>
          </w:p>
          <w:p w14:paraId="28452A08">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1.规划期</w:t>
            </w:r>
          </w:p>
          <w:p w14:paraId="71985CE4">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现状年为2023年，规划水平年为2035年，展望至2050年。</w:t>
            </w:r>
          </w:p>
          <w:p w14:paraId="48BAA3BA">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2.规划任务</w:t>
            </w:r>
          </w:p>
          <w:p w14:paraId="429B0096">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规划应重视规划的基础调研，加强社会经济发展对水利的需求分析，充分利用已有资料与规划成果，重点完成流域水灾害防治、水资源节约与合理配置、水资源保护与生态修复、重点工程布局、流域综合管理等规划工作任务。</w:t>
            </w:r>
          </w:p>
          <w:p w14:paraId="26479FE3">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收集和整理流域水文气象、水利工程、水生态环境和社会经济等基础资料，全面评价流域治理、开发、保护和管理现状，分析流域社会经济发展面临的主要水问题，从供水保障、水生态环境保护、防洪安全等方面提出流域对水利的需求。</w:t>
            </w:r>
          </w:p>
          <w:p w14:paraId="6BC8CAC3">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（2）分析计算流域内岜蒙水库站、荣华水文站等水文（库）站的设计径流、设计洪水、泥沙等成果。分析流域内已建梯级对水文站设计洪水的影响。分析以上各水文站断面水位流量关系曲线。</w:t>
            </w:r>
          </w:p>
          <w:p w14:paraId="426B07E2">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（3）根据社会经济发展需求，统筹考虑流域的治理、开发、保护和管理目标和任务，提出防洪减灾、水资源节约与合理配置、水生态环境保护的总体方案和工程布局。</w:t>
            </w:r>
          </w:p>
          <w:p w14:paraId="0C600E5D">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根据沿河两岸城乡水灾害防治工程建设情况，分析龙须河流域干流及重要支流堤防的防洪能力，结合新型城镇化发展规划，复核流域主要城市重点区域的防洪工程体系，确定流域防洪减灾总体布局方案，及防洪非工程措施。</w:t>
            </w:r>
          </w:p>
          <w:p w14:paraId="691736DC">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（5）根据区域最严格水资源管理制度提出的用水总量控制目标，完善重点区域水资源配置工程布局，提出流域城乡供水规划和灌溉供水规划，提出跨流域调水规划。研究特殊枯水年与突发事件的供水保障措施。</w:t>
            </w:r>
          </w:p>
          <w:p w14:paraId="1EABEE55">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根据主要水功能区划成果，结合区域最严格水资源管理制度提出的水质控制目标，研究拟定入河污染物总量等控制指标，提出功能区限制排污总量意见和主要控制断面的水质要求，提出主要城镇饮用水水源地保护方案；研究河流生态基流，制定维持河流生态需水的保障措施。</w:t>
            </w:r>
          </w:p>
          <w:p w14:paraId="19910F58">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充分利用已有工作基础，完成水土保持规划、山洪灾害防治规划、涝区治理规划、岸线保护与利用规划等内容；复核水能资源开发规划。提出流域综合管理规划、规划实施意见、环境影响评价及其它规划工作。</w:t>
            </w:r>
          </w:p>
          <w:p w14:paraId="0DD5D2B7">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3.规划目标</w:t>
            </w:r>
          </w:p>
          <w:p w14:paraId="4E22842E">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规划的总体目标是建立和完善流域水灾害防治、水资源节约与合理配置、水资源保护与生态环境修复和流域综合管理四大体系，加强农田水利、工程性缺水等薄弱环节建设，统筹协调水资源开发、利用、保护与防治水灾害的关系，以保障防洪安全、供水安全和水生态安全，提高流域管理水平，以水资源可持续利用支撑流域经济社会的高质量发展。</w:t>
            </w:r>
          </w:p>
          <w:p w14:paraId="5448B15B">
            <w:pPr>
              <w:pStyle w:val="48"/>
              <w:keepNext w:val="0"/>
              <w:keepLines w:val="0"/>
              <w:pageBreakBefore w:val="0"/>
              <w:widowControl/>
              <w:kinsoku/>
              <w:wordWrap/>
              <w:overflowPunct/>
              <w:topLinePunct w:val="0"/>
              <w:autoSpaceDE/>
              <w:autoSpaceDN/>
              <w:bidi w:val="0"/>
              <w:adjustRightInd/>
              <w:snapToGrid/>
              <w:spacing w:line="400" w:lineRule="exact"/>
              <w:ind w:firstLine="56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、主要工作内容</w:t>
            </w:r>
          </w:p>
          <w:p w14:paraId="38F1EFFD">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基本资料收集、整理、分析</w:t>
            </w:r>
          </w:p>
          <w:p w14:paraId="4A34F69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收集整理相关的地形、地质资料，气象、水文资料，洪涝灾害资料，经济社会资料，土地与矿产资源，水利水电工程资料，环境与水质资料以及已有或正在进行的规划、研究成果等。对基础资料进行分析和评价。</w:t>
            </w:r>
          </w:p>
          <w:p w14:paraId="2E9DB516">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调研查勘</w:t>
            </w:r>
          </w:p>
          <w:p w14:paraId="3CC251BD">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深入现场，与流域内各市县有关部门座谈，调查了解流域综合治理开发中存在的主要问题，以及地方各级政府对流域治理开发的主要设想与要求，水资源开发利用有关限制性因素等。</w:t>
            </w:r>
          </w:p>
          <w:p w14:paraId="59FEEF4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勘主要掌握规划河段河道地形、地质、农田与人口分布、河道水环境状况和开发利用的可能性等，了解现有工程情况及存在问题。重点查勘流域严重缺水区、水灾害防治薄弱区、水环境问题突出的河段（区域）等。查勘规划的重点水工程的场址或坝址及工程建设制约因素，重点查勘右江沿边大型灌区、作登和印茶中型灌区、陇温中型水库、容华电站扩容、龙须河水电站扩容等工程。</w:t>
            </w:r>
          </w:p>
          <w:p w14:paraId="52B5E09E">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流域治理开发保护现状与形势分析</w:t>
            </w:r>
          </w:p>
          <w:p w14:paraId="7843E85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流域、区域特点和实际，根据水文水资源和水生态与水环境的情势变化，从水灾害防治、水资源开发利用与保护、水土保持、水生态环境保护、航运开发、水能资源开发、流域综合管理等方面，对流域治理开发保护与管理现状进行全面分析与评价。在此基础上，分析流域治理开发保护与管理中存在的主要问题。</w:t>
            </w:r>
          </w:p>
          <w:p w14:paraId="57EE27D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宏观发展战略和区域内各级政府发展战略规划，分析流域经济新一轮发展形势，包括发展目标、发展水平，城市化进程、生产力布局等。以2023年流域国民经济发展现状，以及2023年主要经济指标变化趋势、相关行业发展规划为基本依据，结合流域水资源综合规划中的国民经济发展预测指标，预测规划期内各水平年经济社会发展指标，包括人口、城市化水平、地区国民生产总值、工业增加值及相应的增长率，以及农业灌溉面积、农作物组成等，提出经济社会发展对水灾害防治、水资源供给与保障、水资源保护与生态修复、航运开发等方面的需求，分析流域治理、开发、保护与管理等方面面临的形势。</w:t>
            </w:r>
          </w:p>
          <w:p w14:paraId="7D149432">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总体规划</w:t>
            </w:r>
          </w:p>
          <w:p w14:paraId="5AB64D1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综合规划针对龙须河流域特点、自然条件与治理开发现状，结合经济产业发展布局的特点，考虑经济社会发展的需求，在分析总结经验教训和存在问题的基础上，确定流域开发利用、治理、保护与管理的指导思想和基本原则，提出总体目标和控制性指标。以龙须河流域水灾害防治体系、水资源节约与合理配置体系、水资源保护和河湖健康保障体系以及水利科学发展的体制机制和制度体系构建为重点，明确主要任务和总体布局。</w:t>
            </w:r>
          </w:p>
          <w:p w14:paraId="1E19080E">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.防洪规划</w:t>
            </w:r>
          </w:p>
          <w:p w14:paraId="443AEFF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究流域气象与洪水特性，历史洪灾及成因，分析流域现状防洪能力，分析流域防洪存在的主要问题及面临的挑战。研究提出流域防洪治理原则、方针，防洪任务及总体目标，研究防洪总体布局，选定整体防洪方案，制定防洪工程措施规划和防洪非工程措施规划。</w:t>
            </w:r>
          </w:p>
          <w:p w14:paraId="4F5029E1">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6.涝区治理规划</w:t>
            </w:r>
          </w:p>
          <w:p w14:paraId="6C18D0E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调查流域内易涝区域，梳理治涝工程目前存在问题，提出治理标准和治涝措施，在《广西治涝规划》的基础上完善治涝规划方案。</w:t>
            </w:r>
          </w:p>
          <w:p w14:paraId="74285000">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.水资源规划</w:t>
            </w:r>
          </w:p>
          <w:p w14:paraId="05BD6E3F">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（1）水资源及其开发利用现状评价</w:t>
            </w:r>
          </w:p>
          <w:p w14:paraId="46E97BC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根据有关区划将龙须河流域按县级行政区进行分区，并量算分区面积。根据第三次水资源调查成果，提出地表水资源量、地下水资源量、总水资源量等指标，并对干流和主要支流水资源质量作出初步评价。</w:t>
            </w:r>
          </w:p>
          <w:p w14:paraId="00A23B0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现状年的社会经济指标、供水设施、供水量进行调查，按蓄引提调、地下水以及其它水源的口径进行统计，对现状年用水量按三生口径分行业统计。结合流域经济社会统计资料，分析区域生活、生产、生态环境供用水的实际情况，评价区域节水水平、用水效率和水资源开发利用率，分析水资源开发利用存在的主要问题。</w:t>
            </w:r>
          </w:p>
          <w:p w14:paraId="0C06945F">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（2）需水预测</w:t>
            </w:r>
          </w:p>
          <w:p w14:paraId="1B8CA32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广西壮族自治区水安全保障规划》、《广西农田灌溉发展规划》、百色市和崇左市水资源综合规划、百色市和崇左市水网建设规划等相关规划的基础上，根据经济社会发展主要指标，结合区域相关的国家主体功能区划、百色市和崇左市国土空间规划确定的经济布局，对现状基准年以及规划水平年的常住人口、城镇人口，GDP、工业增加值、火电装机、耕地、灌溉面积、林牧渔畜等指标和行业需水量进行预测，并从定额、增长率等方面进行合理性检查。</w:t>
            </w:r>
          </w:p>
          <w:p w14:paraId="59648A0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（3）水资源供需分析</w:t>
            </w:r>
          </w:p>
          <w:p w14:paraId="5FB8736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划供水工程零方案供需分析的基础上，对缺水区域，提出缓解缺水矛盾的节水对策和措施，在靠节水仍无法解决缺水矛盾的区域分析提出能够满足需水要求的供水方案，再进一步进行规划水平年供需分析，推荐合适的供需平衡方案。</w:t>
            </w:r>
          </w:p>
          <w:p w14:paraId="5E78B5E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（4）水资源配置</w:t>
            </w:r>
          </w:p>
          <w:p w14:paraId="5554000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以水资源的最大刚性约束抑制不合理的用水需求，在强化节水的前提下，统筹存量和增量，挖潜开源持续增加在强供水能力，供需协调，优化水资源配置格局，推动形成绿色生产生活方式和消费模式。</w:t>
            </w:r>
          </w:p>
          <w:p w14:paraId="23D0517A">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（5）水资源总量控制</w:t>
            </w:r>
          </w:p>
          <w:p w14:paraId="62F7D45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规划的水资源配置方案和区域水资源总量控制要求、流域用水总量分配方案，研究流域水资源和水环境承载能力与经济发展的协调性，以水资源开发利用控制指标为依据，提出节约用水的建议，并根据需要调整重要供水工程的布局，或现有工程任务和调度方式。龙须河属右江流域水资源三级区，其用水总量应在遵循郁江流域综合规划的基础上，结合流域实际需求进行细化。</w:t>
            </w:r>
          </w:p>
          <w:p w14:paraId="62B7EB91">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.节约用水规划</w:t>
            </w:r>
          </w:p>
          <w:p w14:paraId="0E5806E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龙须河流域节水现状进行调查分析，结合国家和区域有关节水定额指标、用水效率控制目标和相关规划，以及流域现状节水程度和经济发展水平，分析计算农业灌溉、工业和城乡生活用水的节水潜力，拟定流域节约用水规划方案。</w:t>
            </w:r>
          </w:p>
          <w:p w14:paraId="2DF48B6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根据区域节水潜力及水资源配置方案，研究流域、区域节水方案，提出节水目标、节水发展方向、主要任务和节水措施方案，提出节水型社会建设的配套制度建设、水价政策建议等内容。</w:t>
            </w:r>
          </w:p>
          <w:p w14:paraId="53E04A1F">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.城乡供水规划</w:t>
            </w:r>
          </w:p>
          <w:p w14:paraId="79AD9057">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广西壮族自治区水安全保障规划》及百色市、崇左市相关供水规划等成果为基础，提出流域水资源配置方案，从流域层面研究重要水资源配置工程在保障流域城乡供水安全方面的作用，提出供水安全保障措施。</w:t>
            </w:r>
          </w:p>
          <w:p w14:paraId="50B8262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（1）城镇供水安全规划</w:t>
            </w:r>
          </w:p>
          <w:p w14:paraId="2D5E029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流域内城区城镇化战略发展规划、国土空间规划，预测各城区供水人口和需水量，预测工业产业布局、工业发展指标和需水量，提出供水保证率；提出规划水平年的城镇生活及工业供水设施，提出保障城镇生活及工业供水安全方案。</w:t>
            </w:r>
          </w:p>
          <w:p w14:paraId="426E0F0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（2）农村饮水安全规划</w:t>
            </w:r>
          </w:p>
          <w:p w14:paraId="5BEA196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百色市和崇左市相关农村饮水安全规划及规模化一体化供水规划，整理流域内规模化供水的人数、区域分布和周边水源等基本情况，结合乡村振兴战略、经济发展、人口发展、巩固脱贫等因素，预测可开展规模化一体化供水的区域，并逐一预测需水量，根据当地的水资源条件及地形特点，提出保障农村规模化一体化供水安全方案。针对一体化供水覆盖不到的区域，因地制宜地采取不同的工程措施解决农村人畜饮水安全及提标问题。</w:t>
            </w:r>
          </w:p>
          <w:p w14:paraId="5ECD200B">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.灌溉规划</w:t>
            </w:r>
          </w:p>
          <w:p w14:paraId="2B2F0D43">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广西壮族自治区水安全保障规划》、《广西农田灌溉发展规划》、百色市和崇左市水资源综合规划、百色市和崇左市水网建设规划等成果，调查流域内现有灌区情况，包括灌区分布、主要农作物、主要经济作物、灌溉定额及渠系水利用系数。</w:t>
            </w:r>
          </w:p>
          <w:p w14:paraId="1F31E3D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全国节水灌溉的要求，明确灌溉定额和灌溉水利用系数的发展目标，结合广西区高效节水灌溉规划，提出节水灌溉面积和节水措施，对现有灌区进行续建配套和节水改造，改善和恢复灌溉面积，对于新建设的灌区，基本明确设计标准、设计灌面和水源情况。重点应放在万亩以上农田的灌溉，主要根据流域内已批复的灌区规划成果，复核选定的灌溉制度，根据水资源供需平衡结果，提出主要灌区的总体布局、水源安排与规划意见，必要时可对重要灌区及水源单独论述，如规划的右江沿边大型灌区、作登和印茶中型灌区。对于万亩以下的灌区，则根据各地的需要与工作开展情况，经合理性分析后，酌情纳入规划报告。根据流域内土地资源和水资源情况，进行流域灌区发展规划。</w:t>
            </w:r>
          </w:p>
          <w:p w14:paraId="2D748E08">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.跨流域调水规划</w:t>
            </w:r>
          </w:p>
          <w:p w14:paraId="5969DA24">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区域水资源分布特点，以及国家重大战略、国家以及地区的国民经济和社会发展规划、国土空间规划、生态环境保护规划、城乡总体规划，研究提出跨流域调水规划的必要性。初步提出右江沿边灌区等跨流域调水的水源、调水线路、受水区范围、工程任务以及调水规模，根据国家重大战略、国家以及地区的国民经济和社会发展规划对水资源的需求，从技术、经济、生态与环境等方面进行综合比选，提出跨流域调水实施意见。</w:t>
            </w:r>
          </w:p>
          <w:p w14:paraId="004FF8C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从水资源利用、生态环境保护等方面分析跨流域调水对调出区的不利影响，从水资源管理、生态环境保护、水资源有偿使用制度与经济调节机制等方面提出削减调水影响的对策。</w:t>
            </w:r>
          </w:p>
          <w:p w14:paraId="3A7F2C95">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.水力发电规划</w:t>
            </w:r>
          </w:p>
          <w:p w14:paraId="5BF3376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龙须河流域水力资源较为丰富。本次规划主要在《广西水能开发利用规划》的基础上重点复核龙须河干支流梯级开发现状，并根据区域综合利用要求对开发方案进行复核调整。</w:t>
            </w:r>
          </w:p>
          <w:p w14:paraId="0051BB6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广西水能开发利用规划》，龙须河流域内规划有梯级电站36座，目前已建31座，未见5座。综合考虑经济社会发展对电力的需求，结合地形地质条件、水库淹没影响、动能经济指标和环境影响等因素，重点对5个原已有规划但未开发的梯级进行开发方案规划。</w:t>
            </w:r>
          </w:p>
          <w:p w14:paraId="57DE3DC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龙须河生态保护要求，识别生态保护红线内的已建中小水电，按相关管控要求作出限制或退出的整改方案。借鉴全区绿色小水电培育典型试点的评价经验，按照水利部开展绿色小水电评价的工作要求，对于新建小水电项目严格按照绿色小水电评定标准建设，对已建电站积极开展绿色小水电建设达标工作，提出龙须河流域建设绿色小水电的电站名录。</w:t>
            </w:r>
          </w:p>
          <w:p w14:paraId="22923766">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.水资源与水生态保护规划</w:t>
            </w:r>
          </w:p>
          <w:p w14:paraId="398D585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（1）龙须河流域水环境现状调查与分析</w:t>
            </w:r>
          </w:p>
          <w:p w14:paraId="51B441A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调查和评价流域现状地表水功能区水质、排污口、水生态环境和饮用水源地及水资源保护监测、管理状况等，重点调查流域内主要城镇、重要企业的排污量与排污口分布、排污类型，尤其关注制糖、酒精制造、有色金属冶炼和水运等行业；重点关注矿山开采恢复和农村生态环境修复等。针对流域存在的主要问题结合区域社会经济发展现状，总结分析流域水资源保护现状、特点和存在的主要问题。</w:t>
            </w:r>
          </w:p>
          <w:p w14:paraId="4C2B05C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（2）龙须河流域水功能区划复核</w:t>
            </w:r>
          </w:p>
          <w:p w14:paraId="7CB82D8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根据龙须河流域内各市近年已批复的地表水功能区划成果，对流域内地表水功能区划进行复核调整与补充。</w:t>
            </w:r>
          </w:p>
          <w:p w14:paraId="23ECAE2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（3）核定纳污能力，提出限制排放意见</w:t>
            </w:r>
          </w:p>
          <w:p w14:paraId="7AFAA743">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水功能区为单元，根据各水功能区现状污染物入河量和纳污能力，是否存在水功能区水质超标情况，若存在水功能区水质超标分析原因，综合考虑当地经济条件和社会发展趋势，提出各水功能区规划水平年COD、氨氮入河控制量。</w:t>
            </w:r>
          </w:p>
          <w:p w14:paraId="26DBAF6A">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在对流域内入河排污口调查评价的基础上，根据河段水功能区要求，确定需进行入河排污口调整和整治的河段，提出入河排污口的总体布局和新建、扩建排污口的原则、限制条件等。</w:t>
            </w:r>
          </w:p>
          <w:p w14:paraId="019B13C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（4）面源控制与内源治理</w:t>
            </w:r>
          </w:p>
          <w:p w14:paraId="088B2C3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面源污染现状调查与评价、地表水资源保护规划目标和保护要求等，针对灌溉退水、农村生活污水及垃圾、畜禽粪便、受污染的农村和城镇地表径流等，提出生态沟渠、缓冲带、坡耕地径流污染拦截等高植物篱工程、城镇初期雨水汇集处理等面源污染控制与治理措施和要求。根据内源现状调查与评价、地表水资源保护规划目标和保护要求等，提出水生植物修复、底泥疏浚等内源治理措施和要求。对内源污染治理难度大的区域，提出内源综合治理的示范措施及技术要求。</w:t>
            </w:r>
          </w:p>
          <w:p w14:paraId="59752D6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（5）水生态空间管控</w:t>
            </w:r>
          </w:p>
          <w:p w14:paraId="1BAC8B3A">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依据相关法律法规和生态保护要求，结合岸线保护与利用规划，划定水生态空间范围，分类提出管控措施。</w:t>
            </w:r>
          </w:p>
          <w:p w14:paraId="1F2E8C0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（6）生态需求确定及保障</w:t>
            </w:r>
          </w:p>
          <w:p w14:paraId="29F65ED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道内涉水工程生态调度应结合流域水量调度方案（计划），提出水库、水电站、闸坝等工程的生态水量调度方案。河道外用水管控要求，应坚持“还水于河”原则，控制地表水开发利用率，结合水资源刚性约束制度、取水许可等要求，确定主要控制断面以上不同来水条件下经济社会用水及其各取水口取水量，明确河段生态流量保障预警取用水应急管控要求。</w:t>
            </w:r>
          </w:p>
          <w:p w14:paraId="191A97C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（7）重要生境保护与修复</w:t>
            </w:r>
          </w:p>
          <w:p w14:paraId="3A61DE8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在水生态现状调查与评价的基础上，分析水生态系统现状，识别关键水生态问题和主要生态胁迫因子，明确主要生态保护目标和区域，提出各类对策措施实施的范围、目标及具体方案。</w:t>
            </w:r>
          </w:p>
          <w:p w14:paraId="31EA721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对依法设立的各类自然文化资源保护区、世界文化与自然遗产、国家重点风景名胜区、国家森林公园、国家地质公园等区域，依据相关法律法规和规划实行强制性保护，划为禁止开发区域。</w:t>
            </w:r>
          </w:p>
          <w:p w14:paraId="31C1244F">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重要湿地的保护，可采取生态补水、河湖水系连通、河湖滨带连通、围垦湿地退还、污染排放控制、适度限制湿地范围内人类活动等综合管理措施，并选择开展湿地生态系统与功能恢复、关键物种栖息地恢复和有害生物防控、加强湿地自然保护区的管护设施与管理能力建设等措施。</w:t>
            </w:r>
          </w:p>
          <w:p w14:paraId="4E5C2CB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根据不同水利水电工程建设需求及影响特点，优化梯级开发方案。对阻隔重要水生生物洄游通道的工程，提出适宜的过鱼设施或方案。</w:t>
            </w:r>
          </w:p>
          <w:p w14:paraId="33161759">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14.地下水保护规划</w:t>
            </w:r>
          </w:p>
          <w:p w14:paraId="568F286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广西地下水功能区划》、《广西地下水管控指标》以及各市地下水利用与保护规划成果，在流域地下水及其开发利用调查的基础上复核地下水分区，评价分区开发利用现状，确定规划目标和任务、地下水保护总体方案和布局；提出地下水管控整体方案、地下水开发方案、地下水保护方案；根据地下水保护规划目标提出工程措施、非工程措施实施意见。</w:t>
            </w:r>
          </w:p>
          <w:p w14:paraId="495569F9">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.水土保持规划</w:t>
            </w:r>
          </w:p>
          <w:p w14:paraId="3B2B494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流域水土流失的特点，结合本次规划复核的水土保持调查情况，在已完成的水土保持规划及水土流失重点防治区划分成果的基础上，结合全国水土保持三级区划及水土流失“两区”划分复核成果进行编制和完善。</w:t>
            </w:r>
          </w:p>
          <w:p w14:paraId="19B95A2A">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（1）水土流失现状及分布</w:t>
            </w:r>
          </w:p>
          <w:p w14:paraId="641FA9DD">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以县级为基本单位调查了解水土流失类型及分布情况，分析整个流域的水土流失发生、分布规律及其危害，为有针对性的制订防治对策打下基础。</w:t>
            </w:r>
          </w:p>
          <w:p w14:paraId="49DB01F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（2）水土保持防治目标</w:t>
            </w:r>
          </w:p>
          <w:p w14:paraId="0F28027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根据流域经济发展水平和水土流失的强度、危害性，提出流域水土保持目标和任务。</w:t>
            </w:r>
          </w:p>
          <w:p w14:paraId="0F8BB35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按照国家、省（区）水土流失重点防治区的划分结果，提出流域内省级重点防治区的防治目标。</w:t>
            </w:r>
          </w:p>
          <w:p w14:paraId="0388C58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（3）水土保持分区</w:t>
            </w:r>
          </w:p>
          <w:p w14:paraId="2BF19977">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在全国水土保持三级区划的框架下，结合流域水土流失特点，细化水土保持分区，概述分区特点，提出分区水土保持措施总体布局。</w:t>
            </w:r>
          </w:p>
          <w:p w14:paraId="302C6BA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（4）水土保持规划</w:t>
            </w:r>
          </w:p>
          <w:p w14:paraId="3825641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按照预防、治理、监督、监测分别规划</w:t>
            </w:r>
            <w:r>
              <w:rPr>
                <w:rFonts w:hint="eastAsia" w:ascii="宋体" w:hAnsi="宋体" w:eastAsia="宋体" w:cs="宋体"/>
                <w:color w:val="auto"/>
                <w:sz w:val="21"/>
                <w:szCs w:val="21"/>
                <w:highlight w:val="none"/>
                <w:lang w:eastAsia="zh-CN"/>
              </w:rPr>
              <w:t>。</w:t>
            </w:r>
          </w:p>
          <w:p w14:paraId="52123BF6">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.岸线保护与利用规划</w:t>
            </w:r>
          </w:p>
          <w:p w14:paraId="0395609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龙须河流域干支流河湖岸线成因和特点、利用类型、利用率、存在问题等现状进行评价；对未来河道整治工程实施后的岸线资源情况进行评价，提出可资利用的岸线和相应的利用条件。岸线资源的评价内容应包括岸前水深、岸线稳定性、岸线集疏运条件、掩护条件、区位条件、陆域条件、淤积条件等，同时应考虑河道整治和防洪护岸工程规划对岸线资源的影响。</w:t>
            </w:r>
          </w:p>
          <w:p w14:paraId="02D8059A">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流域经济社会发展布局、国土空间规划、水功能区划、交通规划等，结合《百色市龙须河干流水域岸线保护与利用规划报告》，复核龙须河流域对岸线开发利用的需求进行分析。坚持统筹兼顾、综合利用、注重保护的原则，在确保防洪安全、河势稳定、供水安全的基础上，保护水生态环境和维护河流健康，充分发挥岸线的社会服务功能。在岸线控制线的带状区域内划定岸线功能分区，结合岸线利用与保护的现状，综合考虑防洪安全、河势稳定、供水安全、水生态保护等方面的需求，对规划范围内岸线按照保护区、保留区、控制利用区等3 类进行岸线功能分区。对各岸线功能分区提出岸线开发利用条件、方向、限制条件等管理意见，提出岸线保护的意见。按照岸线功能分区的要求，对现状岸线开发利用项目进行复核，提出岸线开发利用项目复核和调整意见。</w:t>
            </w:r>
          </w:p>
          <w:p w14:paraId="7E01F739">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.重大水工程规划</w:t>
            </w:r>
          </w:p>
          <w:p w14:paraId="5A276CB4">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总体规划要求，提出拟在近期兴建、影响全局的水资源配置工程、河湖水系连通工程、水资源综合利用工程等关键性水工程进行规划。重点对右江沿边大型灌区等重大水工程进行规划。分析工程建设的主要制约因素，论证工程的可行性，明确工程建设任务和目标，初步确定工程规模及主要特征参数，初步拟定工程总体布置方案、主体工程量和工程投资。</w:t>
            </w:r>
          </w:p>
          <w:p w14:paraId="3EF1DD2F">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.流域综合管理规划</w:t>
            </w:r>
          </w:p>
          <w:p w14:paraId="3ECB4F0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（1）流域管理体制</w:t>
            </w:r>
          </w:p>
          <w:p w14:paraId="1382286F">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存在的问题，依据国家法律以及行业法规，提出完善流域水利管理与区域管理相结合的流域综合管理的意见，探索各方参与、民主协商、共同决策、分工负责的流域决策机制、高效执行机制、水量调度模式、价格调节机制、流域减排约束机制、水质预警机制等，创新流域开发治理保护投入的投融资机制、建管一体化机制等，提出以流域为单元的综合管理模式和管理机构意见。</w:t>
            </w:r>
          </w:p>
          <w:p w14:paraId="7ADE216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（2）涉水事务管理</w:t>
            </w:r>
          </w:p>
          <w:p w14:paraId="1D3D70EE">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完善涉水事务社会管理措施的意见，包括流域规划管理、水资源统一管理、水资源保护、防汛抗旱与调度及特殊干旱年的水资源调度管理、河道岸线管理、涉水项目管理与水利工程管理等，按照流域统一管理与区域分级管理相结合的原则，提出行政、技术、经济方面的措施和意见。</w:t>
            </w:r>
          </w:p>
          <w:p w14:paraId="1B18798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研究重要控制性枢纽工程的水资源与防洪调度方案，提出流域统一管理意见。</w:t>
            </w:r>
          </w:p>
          <w:p w14:paraId="4B4E06D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（3）能力建设</w:t>
            </w:r>
          </w:p>
          <w:p w14:paraId="1E2B45F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流域管理能力，协调好上下游、境内外关系，提出需制定的流域水行政执法相应的配套条例、制度、规则或实施细则的意见。在有关规划的基础上，提出流域水文水资源监测体系、水土流失监测体系与山洪灾害监测体系建设意见，加强重要水源地、水功能区、省际边界、水资源调度等常规监测和监督性监测；研究并提出龙须河流域骨干水库调度管理要求或规则，以及抗旱应急管理措施的意见等。建立水资源信息管理体系和水资源公共服务体系。</w:t>
            </w:r>
          </w:p>
          <w:p w14:paraId="36C4F5E9">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.智慧水利规划</w:t>
            </w:r>
          </w:p>
          <w:p w14:paraId="7940D31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需求牵引、应用至上、数字赋能、提升能力”总要求，以实现“四预”业务应用为目标，提出智慧龙须河总体架构，提出完善数字孪生信息化基础设施、打造数字孪生平台、建设水网调度指挥体系、构建网络安全和保障体系、推进资源共建共享等方面的建设意见。</w:t>
            </w:r>
          </w:p>
          <w:p w14:paraId="5A62754F">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.实施意见与实施效果评价</w:t>
            </w:r>
          </w:p>
          <w:p w14:paraId="1A78BD17">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（1）实施意见</w:t>
            </w:r>
          </w:p>
          <w:p w14:paraId="2B2EEA6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对规划提出的工程措施和管理设施进行投资匡算。按照轻重缓急的原则，根据国民经济发展要求，提出规划分期实施意见。</w:t>
            </w:r>
          </w:p>
          <w:p w14:paraId="609180D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根据规划实施及有待研究的问题，提出今后工作意见。</w:t>
            </w:r>
          </w:p>
          <w:p w14:paraId="200A2F8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（2）实施效果评价</w:t>
            </w:r>
          </w:p>
          <w:p w14:paraId="607D220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采用定性与定量相结合的方法，分析规划方案实施对经济社会发展和资源、环境、生态保护的影响，主要包括社会效益评价、经济效益评价、综合分析与评价。</w:t>
            </w:r>
          </w:p>
          <w:p w14:paraId="375F674A">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.环境影响评价</w:t>
            </w:r>
          </w:p>
          <w:p w14:paraId="75D18A6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环境影响评价法》和相关环评规范，进行环境影响评价章节的编制。环境影响评价的目的是识别制约本流域规划实施的主要环境制约因素，分析、预测与评价规划实施可能对相关区域、流域生态系统产生的整体影响、对环境和人群健康产生的长远影响，确定规划应满足的环境目标，评价规划实施后环境目标和指标的可达性，综合分析规划方案的环境合理性，提出规划优化调整建议和环境保护对策建议，为规划管理提供决策依据。</w:t>
            </w:r>
          </w:p>
          <w:p w14:paraId="3ED2128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将同时编制的《龙须河流域综合规划环境影响评价报告书》成果纳入本规划报告。</w:t>
            </w:r>
          </w:p>
          <w:p w14:paraId="4B42BB61">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.保障措施</w:t>
            </w:r>
          </w:p>
          <w:p w14:paraId="1BBDA28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以实现规划目标、完成规划任务、保障规划顺利实施研究制定具体的保障措施，主要包括组织保障、法制保障、投入保障、前期工作保障、监督管理保障及科技保障等。</w:t>
            </w:r>
          </w:p>
          <w:p w14:paraId="297BD370">
            <w:pPr>
              <w:keepNext w:val="0"/>
              <w:keepLines w:val="0"/>
              <w:pageBreakBefore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"_Toc352771888"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、主要成果</w:t>
            </w:r>
            <w:r>
              <w:rPr>
                <w:rFonts w:hint="eastAsia" w:ascii="宋体" w:hAnsi="宋体" w:eastAsia="宋体" w:cs="宋体"/>
                <w:b/>
                <w:bCs/>
                <w:color w:val="auto"/>
                <w:sz w:val="21"/>
                <w:szCs w:val="21"/>
                <w:highlight w:val="none"/>
              </w:rPr>
              <w:fldChar w:fldCharType="end"/>
            </w:r>
          </w:p>
          <w:p w14:paraId="6867467F">
            <w:pPr>
              <w:keepNext w:val="0"/>
              <w:keepLines w:val="0"/>
              <w:pageBreakBefore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完成《龙须河流域综合规划》报告及相关附表、附图编制，并配合完成报告审查、报批等相关工作。</w:t>
            </w:r>
          </w:p>
          <w:p w14:paraId="63C6ECDD">
            <w:pPr>
              <w:keepNext w:val="0"/>
              <w:keepLines w:val="0"/>
              <w:pageBreakBefore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"_Toc352771890"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、工作进度</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t>要求</w:t>
            </w:r>
          </w:p>
          <w:p w14:paraId="4B7823F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各时间节点控制如下：</w:t>
            </w:r>
          </w:p>
          <w:p w14:paraId="2780549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1.2026年11月前，提出龙须河流域综合规划初步成果；</w:t>
            </w:r>
          </w:p>
          <w:p w14:paraId="6CCFA0D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2.2027年5月底前，征求主管部门及规划涉及的百色市、崇左市各县（市、区）有关部门意见，根据相关部门的反馈意见，进一步完善规划方案，提出《龙须河流域综合利用规划（2023—2035年）》；</w:t>
            </w:r>
          </w:p>
          <w:p w14:paraId="6BF9B99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3.2027年9月底前，进行技术审查，根据技术审查意见修改完善报告，形成《龙须河流域综合利用规划（2023—2035年）》（报批稿）；</w:t>
            </w:r>
          </w:p>
          <w:p w14:paraId="5B8AFDC3">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sz w:val="21"/>
                <w:szCs w:val="21"/>
                <w:highlight w:val="none"/>
              </w:rPr>
            </w:pPr>
            <w:r>
              <w:rPr>
                <w:rFonts w:hint="eastAsia" w:ascii="宋体" w:hAnsi="宋体" w:cs="宋体"/>
                <w:color w:val="auto"/>
                <w:szCs w:val="21"/>
                <w:highlight w:val="none"/>
              </w:rPr>
              <w:t>4.2027年12月底前，报批。</w:t>
            </w:r>
          </w:p>
        </w:tc>
      </w:tr>
    </w:tbl>
    <w:p w14:paraId="193FF5F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商务要求</w:t>
      </w:r>
      <w:bookmarkEnd w:id="85"/>
    </w:p>
    <w:tbl>
      <w:tblPr>
        <w:tblStyle w:val="27"/>
        <w:tblW w:w="86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3"/>
        <w:gridCol w:w="6342"/>
      </w:tblGrid>
      <w:tr w14:paraId="33C43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09DFC3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sz w:val="21"/>
                <w:szCs w:val="21"/>
                <w:highlight w:val="none"/>
              </w:rPr>
              <w:t>一、合同签订期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F647AA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p>
        </w:tc>
      </w:tr>
      <w:tr w14:paraId="3C329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32C4C8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sz w:val="21"/>
                <w:szCs w:val="21"/>
                <w:highlight w:val="none"/>
              </w:rPr>
              <w:t>二、合同履约期限</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D99A7E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自合同签订之日起至2027年12月30日，按采购人要求提交编制成果及完成合同履约验收。</w:t>
            </w:r>
          </w:p>
        </w:tc>
      </w:tr>
      <w:tr w14:paraId="026D3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5085FA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三、服务地点</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B821E2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广西壮族自治区内采购人指定地点。</w:t>
            </w:r>
          </w:p>
        </w:tc>
      </w:tr>
      <w:tr w14:paraId="5BAE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4FF2B9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Cs/>
                <w:sz w:val="21"/>
                <w:szCs w:val="21"/>
                <w:highlight w:val="none"/>
              </w:rPr>
              <w:t>四、</w:t>
            </w:r>
            <w:r>
              <w:rPr>
                <w:rFonts w:hint="eastAsia" w:ascii="宋体" w:hAnsi="宋体" w:eastAsia="宋体" w:cs="宋体"/>
                <w:sz w:val="21"/>
                <w:szCs w:val="21"/>
                <w:highlight w:val="none"/>
              </w:rPr>
              <w:t>付款方式</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50BE1F1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本项目服务费用分两年支付，其中2026年支付金额为142万元，2027年支付合同余额，具体支付方式和时间如下：</w:t>
            </w:r>
          </w:p>
          <w:p w14:paraId="1322797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1.合同签订后10个工作日内，采购人向成交供应商支付合同金额的30%作为预付款；</w:t>
            </w:r>
          </w:p>
          <w:p w14:paraId="2AF5680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2.2026年11月底前，完成《龙须河流域综合利用规划（2023—2035年）》初步成果文件编制工作，并提交成果文件后10个工作日内，采购人向成交供应商支付当年预算的剩余部分；</w:t>
            </w:r>
          </w:p>
          <w:p w14:paraId="5DA11AA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3.完成《龙须河流域综合利用规划（2023—2035年）》送审稿后，支付剩余合同款项的50%；</w:t>
            </w:r>
          </w:p>
          <w:p w14:paraId="4531EF4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4.成果通过验收后10个工作日内，采购人向成交供应商支付合同余款。</w:t>
            </w:r>
          </w:p>
          <w:p w14:paraId="6534A55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注：合同款项支付时，成交供应商应提供相应数额的合格发票、请款函、进度证明材料等；否则采购人有权不予支付相应款项，并不承担延迟付款责任。</w:t>
            </w:r>
          </w:p>
        </w:tc>
      </w:tr>
      <w:tr w14:paraId="3CDF0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6453DA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五、验收要求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147DCCD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验收标准、规范：按照《关于印发广西壮族自治区政府采购项目履约验收管理办法的通知》（桂财采〔2015〕22号）、《财政部关于进一步加强政府采购需求和履约验收管理的指导意见》（财库〔2016〕205号）等有关规定执行，并符合相关国家标准、行业标准、地方标准或其他强制性标准及规范、响应文件承诺及采购文件要求。</w:t>
            </w:r>
          </w:p>
          <w:p w14:paraId="4675AAC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2.成交供应商须无条件配合按照采购人的内控规定开展项目审查及验收等工作，验收所需费用由成交供应商负责。</w:t>
            </w:r>
          </w:p>
        </w:tc>
      </w:tr>
      <w:tr w14:paraId="39789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5CC9A2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sz w:val="21"/>
                <w:szCs w:val="21"/>
                <w:highlight w:val="none"/>
              </w:rPr>
              <w:t>六、后续服务要求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7B14C44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1.成交供应商根据专家评审会、对接会、协调会、上级审核要求等意见修改完善相关成果及报送。</w:t>
            </w:r>
          </w:p>
          <w:p w14:paraId="4BA3A50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2.在服务期内，当行业标准、技术规范发生改变时，成交供应商须修改相关内容，并承担由此产生的全部费用。</w:t>
            </w:r>
          </w:p>
          <w:p w14:paraId="009B9D4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3.在服务期限内，成交供应商提供7×24小时电话服务。</w:t>
            </w:r>
          </w:p>
          <w:p w14:paraId="040D936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4.接到采购人项目后续需要供应商配合工作（如成果应用中使用问题等）的通知后24小时内响应，及时安排技术人员对接采购人进行处理。</w:t>
            </w:r>
          </w:p>
          <w:p w14:paraId="3B06B57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5.成交供应商有义务向采购人解释所有成果内容。</w:t>
            </w:r>
          </w:p>
        </w:tc>
      </w:tr>
      <w:tr w14:paraId="7541A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70C3F1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七、报价要求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2BF6C94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竞标报价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w:t>
            </w:r>
          </w:p>
          <w:p w14:paraId="167EA6A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2.竞标报价不得高于采购预算。</w:t>
            </w:r>
          </w:p>
          <w:p w14:paraId="346DAD7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3.本项目涉及所有资金往来的币种为人民币。</w:t>
            </w:r>
          </w:p>
          <w:p w14:paraId="5289AFC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4.竞标报价中应包含本项目采购代理服务费。</w:t>
            </w:r>
          </w:p>
          <w:p w14:paraId="624C13D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5.供应商应充分考虑由于国家政策变化、自然灾害、战争等不可抗力因素造成本合同中断引起损失风险。</w:t>
            </w:r>
          </w:p>
        </w:tc>
      </w:tr>
      <w:tr w14:paraId="02FB1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63BE64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八、采购人其他要求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0714E07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投标人承担。</w:t>
            </w:r>
          </w:p>
          <w:p w14:paraId="18F6C27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2.知识产权归属：本次项目成果归采购人所有，成交供应商不得擅自对外发表、出版。</w:t>
            </w:r>
          </w:p>
          <w:p w14:paraId="1C3E07D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3.成交供应商有义务向采购人解释所有成果内容。</w:t>
            </w:r>
          </w:p>
          <w:p w14:paraId="12A8610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保密要求：成交供应商的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工作人员泄密事件，成交供应商应负有连带责任。</w:t>
            </w:r>
          </w:p>
        </w:tc>
      </w:tr>
    </w:tbl>
    <w:p w14:paraId="56093B7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eastAsia="宋体" w:cs="宋体"/>
          <w:b/>
          <w:bCs/>
          <w:color w:val="auto"/>
          <w:sz w:val="24"/>
          <w:szCs w:val="24"/>
          <w:highlight w:val="none"/>
          <w:lang w:val="en-US" w:eastAsia="zh-CN"/>
        </w:rPr>
      </w:pPr>
      <w:bookmarkStart w:id="87" w:name="_Toc15375"/>
      <w:r>
        <w:rPr>
          <w:rFonts w:hint="eastAsia" w:ascii="宋体" w:hAnsi="宋体" w:eastAsia="宋体" w:cs="宋体"/>
          <w:b/>
          <w:bCs/>
          <w:color w:val="auto"/>
          <w:sz w:val="24"/>
          <w:szCs w:val="24"/>
          <w:highlight w:val="none"/>
          <w:lang w:val="en-US" w:eastAsia="zh-CN"/>
        </w:rPr>
        <w:t>三、与实现项目目标相关的其他要求</w:t>
      </w:r>
      <w:bookmarkEnd w:id="87"/>
    </w:p>
    <w:tbl>
      <w:tblPr>
        <w:tblStyle w:val="27"/>
        <w:tblW w:w="4893" w:type="pct"/>
        <w:jc w:val="center"/>
        <w:tblLayout w:type="fixed"/>
        <w:tblCellMar>
          <w:top w:w="0" w:type="dxa"/>
          <w:left w:w="108" w:type="dxa"/>
          <w:bottom w:w="0" w:type="dxa"/>
          <w:right w:w="108" w:type="dxa"/>
        </w:tblCellMar>
      </w:tblPr>
      <w:tblGrid>
        <w:gridCol w:w="2116"/>
        <w:gridCol w:w="6751"/>
      </w:tblGrid>
      <w:tr w14:paraId="7AF428BF">
        <w:tblPrEx>
          <w:tblCellMar>
            <w:top w:w="0" w:type="dxa"/>
            <w:left w:w="108" w:type="dxa"/>
            <w:bottom w:w="0" w:type="dxa"/>
            <w:right w:w="108" w:type="dxa"/>
          </w:tblCellMar>
        </w:tblPrEx>
        <w:trPr>
          <w:trHeight w:val="397" w:hRule="atLeast"/>
          <w:jc w:val="center"/>
        </w:trPr>
        <w:tc>
          <w:tcPr>
            <w:tcW w:w="2116" w:type="dxa"/>
            <w:tcBorders>
              <w:top w:val="single" w:color="auto" w:sz="4" w:space="0"/>
              <w:left w:val="single" w:color="auto" w:sz="4" w:space="0"/>
              <w:bottom w:val="single" w:color="auto" w:sz="4" w:space="0"/>
              <w:right w:val="single" w:color="auto" w:sz="4" w:space="0"/>
            </w:tcBorders>
            <w:noWrap/>
            <w:vAlign w:val="center"/>
          </w:tcPr>
          <w:p w14:paraId="29E0281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服务方案</w:t>
            </w:r>
          </w:p>
        </w:tc>
        <w:tc>
          <w:tcPr>
            <w:tcW w:w="6751" w:type="dxa"/>
            <w:tcBorders>
              <w:top w:val="single" w:color="auto" w:sz="4" w:space="0"/>
              <w:left w:val="single" w:color="auto" w:sz="4" w:space="0"/>
              <w:bottom w:val="single" w:color="auto" w:sz="4" w:space="0"/>
              <w:right w:val="single" w:color="auto" w:sz="4" w:space="0"/>
            </w:tcBorders>
            <w:noWrap/>
            <w:vAlign w:val="center"/>
          </w:tcPr>
          <w:p w14:paraId="58A9937D">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根据自身情况，结合</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需求及</w:t>
            </w:r>
            <w:r>
              <w:rPr>
                <w:rFonts w:hint="eastAsia" w:ascii="宋体" w:hAnsi="宋体" w:eastAsia="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办法提供针对对项目的总体认识和理</w:t>
            </w:r>
            <w:r>
              <w:rPr>
                <w:rFonts w:hint="eastAsia" w:ascii="宋体" w:hAnsi="宋体" w:cs="宋体"/>
                <w:bCs/>
                <w:color w:val="auto"/>
                <w:sz w:val="21"/>
                <w:szCs w:val="21"/>
                <w:highlight w:val="none"/>
                <w:lang w:val="en-US" w:eastAsia="zh-CN"/>
              </w:rPr>
              <w:t>解</w:t>
            </w:r>
            <w:r>
              <w:rPr>
                <w:rFonts w:hint="eastAsia" w:ascii="宋体" w:hAnsi="宋体" w:eastAsia="宋体" w:cs="宋体"/>
                <w:bCs/>
                <w:color w:val="auto"/>
                <w:sz w:val="21"/>
                <w:szCs w:val="21"/>
                <w:highlight w:val="none"/>
              </w:rPr>
              <w:t>、实施方案、</w:t>
            </w:r>
            <w:r>
              <w:rPr>
                <w:rFonts w:hint="eastAsia" w:hAnsi="宋体" w:cs="宋体"/>
                <w:bCs/>
                <w:color w:val="auto"/>
                <w:sz w:val="21"/>
                <w:szCs w:val="21"/>
                <w:highlight w:val="none"/>
                <w:lang w:val="en-US" w:eastAsia="zh-CN"/>
              </w:rPr>
              <w:t>项目进度控制措施</w:t>
            </w:r>
            <w:r>
              <w:rPr>
                <w:rFonts w:hint="eastAsia" w:ascii="宋体" w:hAnsi="宋体" w:eastAsia="宋体" w:cs="宋体"/>
                <w:bCs/>
                <w:color w:val="auto"/>
                <w:kern w:val="0"/>
                <w:sz w:val="21"/>
                <w:szCs w:val="21"/>
                <w:highlight w:val="none"/>
                <w:lang w:val="en-US" w:eastAsia="zh-CN"/>
              </w:rPr>
              <w:t>等内容。</w:t>
            </w:r>
          </w:p>
          <w:p w14:paraId="1BB7983F">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根据自身能力提供方案，对于以虚假承诺谋取成交的</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将自行承担后果。</w:t>
            </w:r>
          </w:p>
        </w:tc>
      </w:tr>
      <w:tr w14:paraId="07C472AA">
        <w:tblPrEx>
          <w:tblCellMar>
            <w:top w:w="0" w:type="dxa"/>
            <w:left w:w="108" w:type="dxa"/>
            <w:bottom w:w="0" w:type="dxa"/>
            <w:right w:w="108" w:type="dxa"/>
          </w:tblCellMar>
        </w:tblPrEx>
        <w:trPr>
          <w:trHeight w:val="589" w:hRule="atLeast"/>
          <w:jc w:val="center"/>
        </w:trPr>
        <w:tc>
          <w:tcPr>
            <w:tcW w:w="2116" w:type="dxa"/>
            <w:tcBorders>
              <w:top w:val="single" w:color="auto" w:sz="4" w:space="0"/>
              <w:left w:val="single" w:color="auto" w:sz="4" w:space="0"/>
              <w:bottom w:val="single" w:color="auto" w:sz="4" w:space="0"/>
              <w:right w:val="single" w:color="auto" w:sz="4" w:space="0"/>
            </w:tcBorders>
            <w:noWrap/>
            <w:vAlign w:val="center"/>
          </w:tcPr>
          <w:p w14:paraId="413ABE8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二、人员配置</w:t>
            </w:r>
          </w:p>
        </w:tc>
        <w:tc>
          <w:tcPr>
            <w:tcW w:w="6751" w:type="dxa"/>
            <w:tcBorders>
              <w:top w:val="single" w:color="auto" w:sz="4" w:space="0"/>
              <w:left w:val="single" w:color="auto" w:sz="4" w:space="0"/>
              <w:bottom w:val="single" w:color="auto" w:sz="4" w:space="0"/>
              <w:right w:val="single" w:color="auto" w:sz="4" w:space="0"/>
            </w:tcBorders>
            <w:noWrap/>
            <w:vAlign w:val="center"/>
          </w:tcPr>
          <w:p w14:paraId="0AD695B7">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根据自身情况，结合</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需求及评</w:t>
            </w:r>
            <w:r>
              <w:rPr>
                <w:rFonts w:hint="eastAsia" w:ascii="宋体" w:hAnsi="宋体" w:eastAsia="宋体" w:cs="宋体"/>
                <w:bCs/>
                <w:color w:val="auto"/>
                <w:sz w:val="21"/>
                <w:szCs w:val="21"/>
                <w:highlight w:val="none"/>
                <w:lang w:val="en-US" w:eastAsia="zh-CN"/>
              </w:rPr>
              <w:t>审</w:t>
            </w:r>
            <w:r>
              <w:rPr>
                <w:rFonts w:hint="eastAsia" w:ascii="宋体" w:hAnsi="宋体" w:eastAsia="宋体" w:cs="宋体"/>
                <w:bCs/>
                <w:color w:val="auto"/>
                <w:sz w:val="21"/>
                <w:szCs w:val="21"/>
                <w:highlight w:val="none"/>
              </w:rPr>
              <w:t>办法提供</w:t>
            </w:r>
            <w:r>
              <w:rPr>
                <w:rFonts w:hint="eastAsia" w:ascii="宋体" w:hAnsi="宋体" w:eastAsia="宋体" w:cs="宋体"/>
                <w:bCs/>
                <w:color w:val="auto"/>
                <w:sz w:val="21"/>
                <w:szCs w:val="21"/>
                <w:highlight w:val="none"/>
                <w:lang w:eastAsia="zh-CN"/>
              </w:rPr>
              <w:t>。</w:t>
            </w:r>
          </w:p>
        </w:tc>
      </w:tr>
    </w:tbl>
    <w:p w14:paraId="572D452F">
      <w:pPr>
        <w:spacing w:line="360" w:lineRule="auto"/>
        <w:jc w:val="left"/>
        <w:outlineLvl w:val="9"/>
        <w:rPr>
          <w:rFonts w:hint="eastAsia" w:ascii="宋体" w:hAnsi="宋体" w:eastAsia="宋体" w:cs="宋体"/>
          <w:color w:val="auto"/>
          <w:kern w:val="0"/>
          <w:sz w:val="21"/>
          <w:szCs w:val="21"/>
          <w:highlight w:val="none"/>
        </w:rPr>
      </w:pPr>
    </w:p>
    <w:p w14:paraId="1FC02F7F">
      <w:pPr>
        <w:shd w:val="clear" w:color="auto" w:fill="auto"/>
        <w:spacing w:beforeLines="0" w:afterLines="0" w:line="528" w:lineRule="exact"/>
        <w:outlineLvl w:val="9"/>
        <w:rPr>
          <w:rFonts w:hint="eastAsia" w:ascii="仿宋" w:hAnsi="仿宋" w:eastAsia="仿宋" w:cs="仿宋"/>
          <w:color w:val="auto"/>
          <w:sz w:val="40"/>
          <w:szCs w:val="40"/>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附件1：中小微企业划型标准</w:t>
      </w:r>
    </w:p>
    <w:tbl>
      <w:tblPr>
        <w:tblStyle w:val="27"/>
        <w:tblW w:w="5260"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1613"/>
        <w:gridCol w:w="1115"/>
        <w:gridCol w:w="2047"/>
        <w:gridCol w:w="1671"/>
        <w:gridCol w:w="1181"/>
      </w:tblGrid>
      <w:tr w14:paraId="7B42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0C51A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900" w:type="pct"/>
            <w:tcBorders>
              <w:top w:val="single" w:color="auto" w:sz="4" w:space="0"/>
              <w:left w:val="nil"/>
              <w:bottom w:val="single" w:color="auto" w:sz="4" w:space="0"/>
              <w:right w:val="single" w:color="auto" w:sz="4" w:space="0"/>
              <w:tl2br w:val="nil"/>
              <w:tr2bl w:val="nil"/>
            </w:tcBorders>
            <w:noWrap w:val="0"/>
            <w:vAlign w:val="center"/>
          </w:tcPr>
          <w:p w14:paraId="724C55A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2" w:type="pct"/>
            <w:tcBorders>
              <w:top w:val="single" w:color="auto" w:sz="4" w:space="0"/>
              <w:left w:val="nil"/>
              <w:bottom w:val="single" w:color="auto" w:sz="4" w:space="0"/>
              <w:right w:val="single" w:color="auto" w:sz="4" w:space="0"/>
              <w:tl2br w:val="nil"/>
              <w:tr2bl w:val="nil"/>
            </w:tcBorders>
            <w:noWrap w:val="0"/>
            <w:vAlign w:val="center"/>
          </w:tcPr>
          <w:p w14:paraId="52BDDCC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42" w:type="pct"/>
            <w:tcBorders>
              <w:top w:val="single" w:color="auto" w:sz="4" w:space="0"/>
              <w:left w:val="nil"/>
              <w:bottom w:val="single" w:color="auto" w:sz="4" w:space="0"/>
              <w:right w:val="single" w:color="auto" w:sz="4" w:space="0"/>
              <w:tl2br w:val="nil"/>
              <w:tr2bl w:val="nil"/>
            </w:tcBorders>
            <w:noWrap w:val="0"/>
            <w:vAlign w:val="center"/>
          </w:tcPr>
          <w:p w14:paraId="093AFAA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2" w:type="pct"/>
            <w:tcBorders>
              <w:top w:val="single" w:color="auto" w:sz="4" w:space="0"/>
              <w:left w:val="nil"/>
              <w:bottom w:val="single" w:color="auto" w:sz="4" w:space="0"/>
              <w:right w:val="single" w:color="auto" w:sz="4" w:space="0"/>
              <w:tl2br w:val="nil"/>
              <w:tr2bl w:val="nil"/>
            </w:tcBorders>
            <w:noWrap w:val="0"/>
            <w:vAlign w:val="center"/>
          </w:tcPr>
          <w:p w14:paraId="086D566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9" w:type="pct"/>
            <w:tcBorders>
              <w:top w:val="single" w:color="auto" w:sz="4" w:space="0"/>
              <w:left w:val="nil"/>
              <w:bottom w:val="single" w:color="auto" w:sz="4" w:space="0"/>
              <w:right w:val="single" w:color="auto" w:sz="4" w:space="0"/>
              <w:tl2br w:val="nil"/>
              <w:tr2bl w:val="nil"/>
            </w:tcBorders>
            <w:noWrap w:val="0"/>
            <w:vAlign w:val="center"/>
          </w:tcPr>
          <w:p w14:paraId="115129A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4ED7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tcBorders>
              <w:top w:val="nil"/>
              <w:left w:val="single" w:color="auto" w:sz="4" w:space="0"/>
              <w:bottom w:val="single" w:color="auto" w:sz="4" w:space="0"/>
              <w:right w:val="single" w:color="auto" w:sz="4" w:space="0"/>
              <w:tl2br w:val="nil"/>
              <w:tr2bl w:val="nil"/>
            </w:tcBorders>
            <w:noWrap w:val="0"/>
            <w:vAlign w:val="center"/>
          </w:tcPr>
          <w:p w14:paraId="4AA93FB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900" w:type="pct"/>
            <w:tcBorders>
              <w:top w:val="nil"/>
              <w:left w:val="nil"/>
              <w:bottom w:val="single" w:color="auto" w:sz="4" w:space="0"/>
              <w:right w:val="single" w:color="auto" w:sz="4" w:space="0"/>
              <w:tl2br w:val="nil"/>
              <w:tr2bl w:val="nil"/>
            </w:tcBorders>
            <w:noWrap w:val="0"/>
            <w:vAlign w:val="center"/>
          </w:tcPr>
          <w:p w14:paraId="1D1BFC1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1FF1CB2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1B1C341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2" w:type="pct"/>
            <w:tcBorders>
              <w:top w:val="nil"/>
              <w:left w:val="nil"/>
              <w:bottom w:val="single" w:color="auto" w:sz="4" w:space="0"/>
              <w:right w:val="single" w:color="auto" w:sz="4" w:space="0"/>
              <w:tl2br w:val="nil"/>
              <w:tr2bl w:val="nil"/>
            </w:tcBorders>
            <w:noWrap w:val="0"/>
            <w:vAlign w:val="center"/>
          </w:tcPr>
          <w:p w14:paraId="5B16BD9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9" w:type="pct"/>
            <w:tcBorders>
              <w:top w:val="nil"/>
              <w:left w:val="nil"/>
              <w:bottom w:val="single" w:color="auto" w:sz="4" w:space="0"/>
              <w:right w:val="single" w:color="auto" w:sz="4" w:space="0"/>
              <w:tl2br w:val="nil"/>
              <w:tr2bl w:val="nil"/>
            </w:tcBorders>
            <w:noWrap w:val="0"/>
            <w:vAlign w:val="center"/>
          </w:tcPr>
          <w:p w14:paraId="66786FF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6AA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480983C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900" w:type="pct"/>
            <w:tcBorders>
              <w:top w:val="nil"/>
              <w:left w:val="nil"/>
              <w:bottom w:val="single" w:color="auto" w:sz="4" w:space="0"/>
              <w:right w:val="single" w:color="auto" w:sz="4" w:space="0"/>
              <w:tl2br w:val="nil"/>
              <w:tr2bl w:val="nil"/>
            </w:tcBorders>
            <w:noWrap w:val="0"/>
            <w:vAlign w:val="center"/>
          </w:tcPr>
          <w:p w14:paraId="6A35366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48129C7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8C25DF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3920C0D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380AB45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78D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372147C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1C6F00D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62631B9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4AC3991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2" w:type="pct"/>
            <w:tcBorders>
              <w:top w:val="nil"/>
              <w:left w:val="nil"/>
              <w:bottom w:val="single" w:color="auto" w:sz="4" w:space="0"/>
              <w:right w:val="single" w:color="auto" w:sz="4" w:space="0"/>
              <w:tl2br w:val="nil"/>
              <w:tr2bl w:val="nil"/>
            </w:tcBorders>
            <w:noWrap w:val="0"/>
            <w:vAlign w:val="center"/>
          </w:tcPr>
          <w:p w14:paraId="021A613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9" w:type="pct"/>
            <w:tcBorders>
              <w:top w:val="nil"/>
              <w:left w:val="nil"/>
              <w:bottom w:val="single" w:color="auto" w:sz="4" w:space="0"/>
              <w:right w:val="single" w:color="auto" w:sz="4" w:space="0"/>
              <w:tl2br w:val="nil"/>
              <w:tr2bl w:val="nil"/>
            </w:tcBorders>
            <w:noWrap w:val="0"/>
            <w:vAlign w:val="center"/>
          </w:tcPr>
          <w:p w14:paraId="02B59E2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D01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46B30B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900" w:type="pct"/>
            <w:tcBorders>
              <w:top w:val="nil"/>
              <w:left w:val="nil"/>
              <w:bottom w:val="single" w:color="auto" w:sz="4" w:space="0"/>
              <w:right w:val="single" w:color="auto" w:sz="4" w:space="0"/>
              <w:tl2br w:val="nil"/>
              <w:tr2bl w:val="nil"/>
            </w:tcBorders>
            <w:noWrap w:val="0"/>
            <w:vAlign w:val="center"/>
          </w:tcPr>
          <w:p w14:paraId="108BC1D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AC4A4E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4522A5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2" w:type="pct"/>
            <w:tcBorders>
              <w:top w:val="nil"/>
              <w:left w:val="nil"/>
              <w:bottom w:val="single" w:color="auto" w:sz="4" w:space="0"/>
              <w:right w:val="single" w:color="auto" w:sz="4" w:space="0"/>
              <w:tl2br w:val="nil"/>
              <w:tr2bl w:val="nil"/>
            </w:tcBorders>
            <w:noWrap w:val="0"/>
            <w:vAlign w:val="center"/>
          </w:tcPr>
          <w:p w14:paraId="58E7BD5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9" w:type="pct"/>
            <w:tcBorders>
              <w:top w:val="nil"/>
              <w:left w:val="nil"/>
              <w:bottom w:val="single" w:color="auto" w:sz="4" w:space="0"/>
              <w:right w:val="single" w:color="auto" w:sz="4" w:space="0"/>
              <w:tl2br w:val="nil"/>
              <w:tr2bl w:val="nil"/>
            </w:tcBorders>
            <w:noWrap w:val="0"/>
            <w:vAlign w:val="center"/>
          </w:tcPr>
          <w:p w14:paraId="68D2605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CD8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7D6EAEE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6B540ED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412AE1B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7D25DE6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2" w:type="pct"/>
            <w:tcBorders>
              <w:top w:val="nil"/>
              <w:left w:val="nil"/>
              <w:bottom w:val="single" w:color="auto" w:sz="4" w:space="0"/>
              <w:right w:val="single" w:color="auto" w:sz="4" w:space="0"/>
              <w:tl2br w:val="nil"/>
              <w:tr2bl w:val="nil"/>
            </w:tcBorders>
            <w:noWrap w:val="0"/>
            <w:vAlign w:val="center"/>
          </w:tcPr>
          <w:p w14:paraId="63C0023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9" w:type="pct"/>
            <w:tcBorders>
              <w:top w:val="nil"/>
              <w:left w:val="nil"/>
              <w:bottom w:val="single" w:color="auto" w:sz="4" w:space="0"/>
              <w:right w:val="single" w:color="auto" w:sz="4" w:space="0"/>
              <w:tl2br w:val="nil"/>
              <w:tr2bl w:val="nil"/>
            </w:tcBorders>
            <w:noWrap w:val="0"/>
            <w:vAlign w:val="center"/>
          </w:tcPr>
          <w:p w14:paraId="543946A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DB3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0F4B815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900" w:type="pct"/>
            <w:tcBorders>
              <w:top w:val="nil"/>
              <w:left w:val="nil"/>
              <w:bottom w:val="single" w:color="auto" w:sz="4" w:space="0"/>
              <w:right w:val="single" w:color="auto" w:sz="4" w:space="0"/>
              <w:tl2br w:val="nil"/>
              <w:tr2bl w:val="nil"/>
            </w:tcBorders>
            <w:noWrap w:val="0"/>
            <w:vAlign w:val="center"/>
          </w:tcPr>
          <w:p w14:paraId="14763B6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16CE9CE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013F9A3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2" w:type="pct"/>
            <w:tcBorders>
              <w:top w:val="nil"/>
              <w:left w:val="nil"/>
              <w:bottom w:val="single" w:color="auto" w:sz="4" w:space="0"/>
              <w:right w:val="single" w:color="auto" w:sz="4" w:space="0"/>
              <w:tl2br w:val="nil"/>
              <w:tr2bl w:val="nil"/>
            </w:tcBorders>
            <w:noWrap w:val="0"/>
            <w:vAlign w:val="center"/>
          </w:tcPr>
          <w:p w14:paraId="463BBD7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9" w:type="pct"/>
            <w:tcBorders>
              <w:top w:val="nil"/>
              <w:left w:val="nil"/>
              <w:bottom w:val="single" w:color="auto" w:sz="4" w:space="0"/>
              <w:right w:val="single" w:color="auto" w:sz="4" w:space="0"/>
              <w:tl2br w:val="nil"/>
              <w:tr2bl w:val="nil"/>
            </w:tcBorders>
            <w:noWrap w:val="0"/>
            <w:vAlign w:val="center"/>
          </w:tcPr>
          <w:p w14:paraId="130C8CE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9D8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31F9061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84ED31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5FFCFD9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71EA67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2" w:type="pct"/>
            <w:tcBorders>
              <w:top w:val="nil"/>
              <w:left w:val="nil"/>
              <w:bottom w:val="single" w:color="auto" w:sz="4" w:space="0"/>
              <w:right w:val="single" w:color="auto" w:sz="4" w:space="0"/>
              <w:tl2br w:val="nil"/>
              <w:tr2bl w:val="nil"/>
            </w:tcBorders>
            <w:noWrap w:val="0"/>
            <w:vAlign w:val="center"/>
          </w:tcPr>
          <w:p w14:paraId="54A3E6A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9" w:type="pct"/>
            <w:tcBorders>
              <w:top w:val="nil"/>
              <w:left w:val="nil"/>
              <w:bottom w:val="single" w:color="auto" w:sz="4" w:space="0"/>
              <w:right w:val="single" w:color="auto" w:sz="4" w:space="0"/>
              <w:tl2br w:val="nil"/>
              <w:tr2bl w:val="nil"/>
            </w:tcBorders>
            <w:noWrap w:val="0"/>
            <w:vAlign w:val="center"/>
          </w:tcPr>
          <w:p w14:paraId="652CEAD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4AFF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BC24C4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900" w:type="pct"/>
            <w:tcBorders>
              <w:top w:val="nil"/>
              <w:left w:val="nil"/>
              <w:bottom w:val="single" w:color="auto" w:sz="4" w:space="0"/>
              <w:right w:val="single" w:color="auto" w:sz="4" w:space="0"/>
              <w:tl2br w:val="nil"/>
              <w:tr2bl w:val="nil"/>
            </w:tcBorders>
            <w:noWrap w:val="0"/>
            <w:vAlign w:val="center"/>
          </w:tcPr>
          <w:p w14:paraId="514DF3E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237252F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28B7DA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2" w:type="pct"/>
            <w:tcBorders>
              <w:top w:val="nil"/>
              <w:left w:val="nil"/>
              <w:bottom w:val="single" w:color="auto" w:sz="4" w:space="0"/>
              <w:right w:val="single" w:color="auto" w:sz="4" w:space="0"/>
              <w:tl2br w:val="nil"/>
              <w:tr2bl w:val="nil"/>
            </w:tcBorders>
            <w:noWrap w:val="0"/>
            <w:vAlign w:val="center"/>
          </w:tcPr>
          <w:p w14:paraId="2BA1AAD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9" w:type="pct"/>
            <w:tcBorders>
              <w:top w:val="nil"/>
              <w:left w:val="nil"/>
              <w:bottom w:val="single" w:color="auto" w:sz="4" w:space="0"/>
              <w:right w:val="single" w:color="auto" w:sz="4" w:space="0"/>
              <w:tl2br w:val="nil"/>
              <w:tr2bl w:val="nil"/>
            </w:tcBorders>
            <w:noWrap w:val="0"/>
            <w:vAlign w:val="center"/>
          </w:tcPr>
          <w:p w14:paraId="70D3CC7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C6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7E59FD2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2D41B34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B0A66A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28C11F3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2" w:type="pct"/>
            <w:tcBorders>
              <w:top w:val="nil"/>
              <w:left w:val="nil"/>
              <w:bottom w:val="single" w:color="auto" w:sz="4" w:space="0"/>
              <w:right w:val="single" w:color="auto" w:sz="4" w:space="0"/>
              <w:tl2br w:val="nil"/>
              <w:tr2bl w:val="nil"/>
            </w:tcBorders>
            <w:noWrap w:val="0"/>
            <w:vAlign w:val="center"/>
          </w:tcPr>
          <w:p w14:paraId="1D1FD2E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9" w:type="pct"/>
            <w:tcBorders>
              <w:top w:val="nil"/>
              <w:left w:val="nil"/>
              <w:bottom w:val="single" w:color="auto" w:sz="4" w:space="0"/>
              <w:right w:val="single" w:color="auto" w:sz="4" w:space="0"/>
              <w:tl2br w:val="nil"/>
              <w:tr2bl w:val="nil"/>
            </w:tcBorders>
            <w:noWrap w:val="0"/>
            <w:vAlign w:val="center"/>
          </w:tcPr>
          <w:p w14:paraId="5696450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98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EFF914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900" w:type="pct"/>
            <w:tcBorders>
              <w:top w:val="nil"/>
              <w:left w:val="nil"/>
              <w:bottom w:val="single" w:color="auto" w:sz="4" w:space="0"/>
              <w:right w:val="single" w:color="auto" w:sz="4" w:space="0"/>
              <w:tl2br w:val="nil"/>
              <w:tr2bl w:val="nil"/>
            </w:tcBorders>
            <w:noWrap w:val="0"/>
            <w:vAlign w:val="center"/>
          </w:tcPr>
          <w:p w14:paraId="149750C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21388D9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9724DC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4D1AB25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6C4B39F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4B1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4E37ADE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4E5B653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477BF49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0DD772C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2" w:type="pct"/>
            <w:tcBorders>
              <w:top w:val="nil"/>
              <w:left w:val="nil"/>
              <w:bottom w:val="single" w:color="auto" w:sz="4" w:space="0"/>
              <w:right w:val="single" w:color="auto" w:sz="4" w:space="0"/>
              <w:tl2br w:val="nil"/>
              <w:tr2bl w:val="nil"/>
            </w:tcBorders>
            <w:noWrap w:val="0"/>
            <w:vAlign w:val="center"/>
          </w:tcPr>
          <w:p w14:paraId="2C2C54D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9" w:type="pct"/>
            <w:tcBorders>
              <w:top w:val="nil"/>
              <w:left w:val="nil"/>
              <w:bottom w:val="single" w:color="auto" w:sz="4" w:space="0"/>
              <w:right w:val="single" w:color="auto" w:sz="4" w:space="0"/>
              <w:tl2br w:val="nil"/>
              <w:tr2bl w:val="nil"/>
            </w:tcBorders>
            <w:noWrap w:val="0"/>
            <w:vAlign w:val="center"/>
          </w:tcPr>
          <w:p w14:paraId="4F26C81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152A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855FF8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900" w:type="pct"/>
            <w:tcBorders>
              <w:top w:val="nil"/>
              <w:left w:val="nil"/>
              <w:bottom w:val="single" w:color="auto" w:sz="4" w:space="0"/>
              <w:right w:val="single" w:color="auto" w:sz="4" w:space="0"/>
              <w:tl2br w:val="nil"/>
              <w:tr2bl w:val="nil"/>
            </w:tcBorders>
            <w:noWrap w:val="0"/>
            <w:vAlign w:val="center"/>
          </w:tcPr>
          <w:p w14:paraId="79C744E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01E5DA0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A84B35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2" w:type="pct"/>
            <w:tcBorders>
              <w:top w:val="nil"/>
              <w:left w:val="nil"/>
              <w:bottom w:val="single" w:color="auto" w:sz="4" w:space="0"/>
              <w:right w:val="single" w:color="auto" w:sz="4" w:space="0"/>
              <w:tl2br w:val="nil"/>
              <w:tr2bl w:val="nil"/>
            </w:tcBorders>
            <w:noWrap w:val="0"/>
            <w:vAlign w:val="center"/>
          </w:tcPr>
          <w:p w14:paraId="7EACF81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9" w:type="pct"/>
            <w:tcBorders>
              <w:top w:val="nil"/>
              <w:left w:val="nil"/>
              <w:bottom w:val="single" w:color="auto" w:sz="4" w:space="0"/>
              <w:right w:val="single" w:color="auto" w:sz="4" w:space="0"/>
              <w:tl2br w:val="nil"/>
              <w:tr2bl w:val="nil"/>
            </w:tcBorders>
            <w:noWrap w:val="0"/>
            <w:vAlign w:val="center"/>
          </w:tcPr>
          <w:p w14:paraId="7F35994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3EB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7217D60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7176F6F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730D1C7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32B86C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2" w:type="pct"/>
            <w:tcBorders>
              <w:top w:val="nil"/>
              <w:left w:val="nil"/>
              <w:bottom w:val="single" w:color="auto" w:sz="4" w:space="0"/>
              <w:right w:val="single" w:color="auto" w:sz="4" w:space="0"/>
              <w:tl2br w:val="nil"/>
              <w:tr2bl w:val="nil"/>
            </w:tcBorders>
            <w:noWrap w:val="0"/>
            <w:vAlign w:val="center"/>
          </w:tcPr>
          <w:p w14:paraId="7F74A7C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9" w:type="pct"/>
            <w:tcBorders>
              <w:top w:val="nil"/>
              <w:left w:val="nil"/>
              <w:bottom w:val="single" w:color="auto" w:sz="4" w:space="0"/>
              <w:right w:val="single" w:color="auto" w:sz="4" w:space="0"/>
              <w:tl2br w:val="nil"/>
              <w:tr2bl w:val="nil"/>
            </w:tcBorders>
            <w:noWrap w:val="0"/>
            <w:vAlign w:val="center"/>
          </w:tcPr>
          <w:p w14:paraId="6EC9D5A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419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9E75E6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900" w:type="pct"/>
            <w:tcBorders>
              <w:top w:val="nil"/>
              <w:left w:val="nil"/>
              <w:bottom w:val="single" w:color="auto" w:sz="4" w:space="0"/>
              <w:right w:val="single" w:color="auto" w:sz="4" w:space="0"/>
              <w:tl2br w:val="nil"/>
              <w:tr2bl w:val="nil"/>
            </w:tcBorders>
            <w:noWrap w:val="0"/>
            <w:vAlign w:val="center"/>
          </w:tcPr>
          <w:p w14:paraId="417BB0E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6112472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0D93DF4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3D4DFAB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26F0402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4E0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017CB12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4A08C0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6EBC8D8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22BC51B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2" w:type="pct"/>
            <w:tcBorders>
              <w:top w:val="nil"/>
              <w:left w:val="nil"/>
              <w:bottom w:val="single" w:color="auto" w:sz="4" w:space="0"/>
              <w:right w:val="single" w:color="auto" w:sz="4" w:space="0"/>
              <w:tl2br w:val="nil"/>
              <w:tr2bl w:val="nil"/>
            </w:tcBorders>
            <w:noWrap w:val="0"/>
            <w:vAlign w:val="center"/>
          </w:tcPr>
          <w:p w14:paraId="312869F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4635636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E54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0C5C919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900" w:type="pct"/>
            <w:tcBorders>
              <w:top w:val="nil"/>
              <w:left w:val="nil"/>
              <w:bottom w:val="single" w:color="auto" w:sz="4" w:space="0"/>
              <w:right w:val="single" w:color="auto" w:sz="4" w:space="0"/>
              <w:tl2br w:val="nil"/>
              <w:tr2bl w:val="nil"/>
            </w:tcBorders>
            <w:noWrap w:val="0"/>
            <w:vAlign w:val="center"/>
          </w:tcPr>
          <w:p w14:paraId="75D7CE2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2D700E2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B112C1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58B04F4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4369D54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089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725B398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2C838F3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21E0B66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3CA3E19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2" w:type="pct"/>
            <w:tcBorders>
              <w:top w:val="nil"/>
              <w:left w:val="nil"/>
              <w:bottom w:val="single" w:color="auto" w:sz="4" w:space="0"/>
              <w:right w:val="single" w:color="auto" w:sz="4" w:space="0"/>
              <w:tl2br w:val="nil"/>
              <w:tr2bl w:val="nil"/>
            </w:tcBorders>
            <w:noWrap w:val="0"/>
            <w:vAlign w:val="center"/>
          </w:tcPr>
          <w:p w14:paraId="56311D4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187224D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AB2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955C64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900" w:type="pct"/>
            <w:tcBorders>
              <w:top w:val="nil"/>
              <w:left w:val="nil"/>
              <w:bottom w:val="single" w:color="auto" w:sz="4" w:space="0"/>
              <w:right w:val="single" w:color="auto" w:sz="4" w:space="0"/>
              <w:tl2br w:val="nil"/>
              <w:tr2bl w:val="nil"/>
            </w:tcBorders>
            <w:noWrap w:val="0"/>
            <w:vAlign w:val="center"/>
          </w:tcPr>
          <w:p w14:paraId="6B2DA1A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149B4AD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21BACF9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3939FD4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4E639E3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CB6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360BC37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76F0E8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7FDF536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7E377D8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2" w:type="pct"/>
            <w:tcBorders>
              <w:top w:val="nil"/>
              <w:left w:val="nil"/>
              <w:bottom w:val="single" w:color="auto" w:sz="4" w:space="0"/>
              <w:right w:val="single" w:color="auto" w:sz="4" w:space="0"/>
              <w:tl2br w:val="nil"/>
              <w:tr2bl w:val="nil"/>
            </w:tcBorders>
            <w:noWrap w:val="0"/>
            <w:vAlign w:val="center"/>
          </w:tcPr>
          <w:p w14:paraId="5F5C07F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60DC9CE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BA9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5CB4F3C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900" w:type="pct"/>
            <w:tcBorders>
              <w:top w:val="nil"/>
              <w:left w:val="nil"/>
              <w:bottom w:val="single" w:color="auto" w:sz="4" w:space="0"/>
              <w:right w:val="single" w:color="auto" w:sz="4" w:space="0"/>
              <w:tl2br w:val="nil"/>
              <w:tr2bl w:val="nil"/>
            </w:tcBorders>
            <w:noWrap w:val="0"/>
            <w:vAlign w:val="center"/>
          </w:tcPr>
          <w:p w14:paraId="6299AF9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3304EFA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7AAA01D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2" w:type="pct"/>
            <w:tcBorders>
              <w:top w:val="nil"/>
              <w:left w:val="nil"/>
              <w:bottom w:val="single" w:color="auto" w:sz="4" w:space="0"/>
              <w:right w:val="single" w:color="auto" w:sz="4" w:space="0"/>
              <w:tl2br w:val="nil"/>
              <w:tr2bl w:val="nil"/>
            </w:tcBorders>
            <w:noWrap w:val="0"/>
            <w:vAlign w:val="center"/>
          </w:tcPr>
          <w:p w14:paraId="58DACCF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00A4449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B23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E4D5D6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5EFD710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30E216F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46DD1F6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2" w:type="pct"/>
            <w:tcBorders>
              <w:top w:val="nil"/>
              <w:left w:val="nil"/>
              <w:bottom w:val="single" w:color="auto" w:sz="4" w:space="0"/>
              <w:right w:val="single" w:color="auto" w:sz="4" w:space="0"/>
              <w:tl2br w:val="nil"/>
              <w:tr2bl w:val="nil"/>
            </w:tcBorders>
            <w:noWrap w:val="0"/>
            <w:vAlign w:val="center"/>
          </w:tcPr>
          <w:p w14:paraId="00E1BDF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9" w:type="pct"/>
            <w:tcBorders>
              <w:top w:val="nil"/>
              <w:left w:val="nil"/>
              <w:bottom w:val="single" w:color="auto" w:sz="4" w:space="0"/>
              <w:right w:val="single" w:color="auto" w:sz="4" w:space="0"/>
              <w:tl2br w:val="nil"/>
              <w:tr2bl w:val="nil"/>
            </w:tcBorders>
            <w:noWrap w:val="0"/>
            <w:vAlign w:val="center"/>
          </w:tcPr>
          <w:p w14:paraId="3602A42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902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4FA2C3A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900" w:type="pct"/>
            <w:tcBorders>
              <w:top w:val="nil"/>
              <w:left w:val="nil"/>
              <w:bottom w:val="single" w:color="auto" w:sz="4" w:space="0"/>
              <w:right w:val="single" w:color="auto" w:sz="4" w:space="0"/>
              <w:tl2br w:val="nil"/>
              <w:tr2bl w:val="nil"/>
            </w:tcBorders>
            <w:noWrap w:val="0"/>
            <w:vAlign w:val="center"/>
          </w:tcPr>
          <w:p w14:paraId="65F1903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262A06C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263326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0E57FF5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0724012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B07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2F7C85D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6E905B3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574F59D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7D684FB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2" w:type="pct"/>
            <w:tcBorders>
              <w:top w:val="nil"/>
              <w:left w:val="nil"/>
              <w:bottom w:val="single" w:color="auto" w:sz="4" w:space="0"/>
              <w:right w:val="single" w:color="auto" w:sz="4" w:space="0"/>
              <w:tl2br w:val="nil"/>
              <w:tr2bl w:val="nil"/>
            </w:tcBorders>
            <w:noWrap w:val="0"/>
            <w:vAlign w:val="center"/>
          </w:tcPr>
          <w:p w14:paraId="6D1D2AF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9" w:type="pct"/>
            <w:tcBorders>
              <w:top w:val="nil"/>
              <w:left w:val="nil"/>
              <w:bottom w:val="single" w:color="auto" w:sz="4" w:space="0"/>
              <w:right w:val="single" w:color="auto" w:sz="4" w:space="0"/>
              <w:tl2br w:val="nil"/>
              <w:tr2bl w:val="nil"/>
            </w:tcBorders>
            <w:noWrap w:val="0"/>
            <w:vAlign w:val="center"/>
          </w:tcPr>
          <w:p w14:paraId="1A4EFA1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1128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FC5826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900" w:type="pct"/>
            <w:tcBorders>
              <w:top w:val="nil"/>
              <w:left w:val="nil"/>
              <w:bottom w:val="single" w:color="auto" w:sz="4" w:space="0"/>
              <w:right w:val="single" w:color="auto" w:sz="4" w:space="0"/>
              <w:tl2br w:val="nil"/>
              <w:tr2bl w:val="nil"/>
            </w:tcBorders>
            <w:noWrap w:val="0"/>
            <w:vAlign w:val="center"/>
          </w:tcPr>
          <w:p w14:paraId="283A56B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72CCD1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6DBD5A7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2" w:type="pct"/>
            <w:tcBorders>
              <w:top w:val="nil"/>
              <w:left w:val="nil"/>
              <w:bottom w:val="single" w:color="auto" w:sz="4" w:space="0"/>
              <w:right w:val="single" w:color="auto" w:sz="4" w:space="0"/>
              <w:tl2br w:val="nil"/>
              <w:tr2bl w:val="nil"/>
            </w:tcBorders>
            <w:noWrap w:val="0"/>
            <w:vAlign w:val="center"/>
          </w:tcPr>
          <w:p w14:paraId="2C026A5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9" w:type="pct"/>
            <w:tcBorders>
              <w:top w:val="nil"/>
              <w:left w:val="nil"/>
              <w:bottom w:val="single" w:color="auto" w:sz="4" w:space="0"/>
              <w:right w:val="single" w:color="auto" w:sz="4" w:space="0"/>
              <w:tl2br w:val="nil"/>
              <w:tr2bl w:val="nil"/>
            </w:tcBorders>
            <w:noWrap w:val="0"/>
            <w:vAlign w:val="center"/>
          </w:tcPr>
          <w:p w14:paraId="65BE7E3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253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11C326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5012112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78E972A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69D2023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2" w:type="pct"/>
            <w:tcBorders>
              <w:top w:val="nil"/>
              <w:left w:val="nil"/>
              <w:bottom w:val="single" w:color="auto" w:sz="4" w:space="0"/>
              <w:right w:val="single" w:color="auto" w:sz="4" w:space="0"/>
              <w:tl2br w:val="nil"/>
              <w:tr2bl w:val="nil"/>
            </w:tcBorders>
            <w:noWrap w:val="0"/>
            <w:vAlign w:val="center"/>
          </w:tcPr>
          <w:p w14:paraId="7E598CF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9" w:type="pct"/>
            <w:tcBorders>
              <w:top w:val="nil"/>
              <w:left w:val="nil"/>
              <w:bottom w:val="single" w:color="auto" w:sz="4" w:space="0"/>
              <w:right w:val="single" w:color="auto" w:sz="4" w:space="0"/>
              <w:tl2br w:val="nil"/>
              <w:tr2bl w:val="nil"/>
            </w:tcBorders>
            <w:noWrap w:val="0"/>
            <w:vAlign w:val="center"/>
          </w:tcPr>
          <w:p w14:paraId="2E37C7F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1DB8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C42857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900" w:type="pct"/>
            <w:tcBorders>
              <w:top w:val="nil"/>
              <w:left w:val="nil"/>
              <w:bottom w:val="single" w:color="auto" w:sz="4" w:space="0"/>
              <w:right w:val="single" w:color="auto" w:sz="4" w:space="0"/>
              <w:tl2br w:val="nil"/>
              <w:tr2bl w:val="nil"/>
            </w:tcBorders>
            <w:noWrap w:val="0"/>
            <w:vAlign w:val="center"/>
          </w:tcPr>
          <w:p w14:paraId="170A9A4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12A4708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3744AE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0C96B5D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9" w:type="pct"/>
            <w:tcBorders>
              <w:top w:val="nil"/>
              <w:left w:val="nil"/>
              <w:bottom w:val="single" w:color="auto" w:sz="4" w:space="0"/>
              <w:right w:val="single" w:color="auto" w:sz="4" w:space="0"/>
              <w:tl2br w:val="nil"/>
              <w:tr2bl w:val="nil"/>
            </w:tcBorders>
            <w:noWrap w:val="0"/>
            <w:vAlign w:val="center"/>
          </w:tcPr>
          <w:p w14:paraId="3FD5B6D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4C0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142BEFA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21B9A8F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564366C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3AF2108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2" w:type="pct"/>
            <w:tcBorders>
              <w:top w:val="nil"/>
              <w:left w:val="nil"/>
              <w:bottom w:val="single" w:color="auto" w:sz="4" w:space="0"/>
              <w:right w:val="single" w:color="auto" w:sz="4" w:space="0"/>
              <w:tl2br w:val="nil"/>
              <w:tr2bl w:val="nil"/>
            </w:tcBorders>
            <w:noWrap w:val="0"/>
            <w:vAlign w:val="center"/>
          </w:tcPr>
          <w:p w14:paraId="63DEE9E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9" w:type="pct"/>
            <w:tcBorders>
              <w:top w:val="nil"/>
              <w:left w:val="nil"/>
              <w:bottom w:val="single" w:color="auto" w:sz="4" w:space="0"/>
              <w:right w:val="single" w:color="auto" w:sz="4" w:space="0"/>
              <w:tl2br w:val="nil"/>
              <w:tr2bl w:val="nil"/>
            </w:tcBorders>
            <w:noWrap w:val="0"/>
            <w:vAlign w:val="center"/>
          </w:tcPr>
          <w:p w14:paraId="6DA6512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217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BA6F08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900" w:type="pct"/>
            <w:tcBorders>
              <w:top w:val="nil"/>
              <w:left w:val="nil"/>
              <w:bottom w:val="single" w:color="auto" w:sz="4" w:space="0"/>
              <w:right w:val="single" w:color="auto" w:sz="4" w:space="0"/>
              <w:tl2br w:val="nil"/>
              <w:tr2bl w:val="nil"/>
            </w:tcBorders>
            <w:noWrap w:val="0"/>
            <w:vAlign w:val="center"/>
          </w:tcPr>
          <w:p w14:paraId="0EEB271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4D12125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74A1FB7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20C369A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651B8F8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E62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20F4308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4B7E4A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6D373A5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072C485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2" w:type="pct"/>
            <w:tcBorders>
              <w:top w:val="nil"/>
              <w:left w:val="nil"/>
              <w:bottom w:val="single" w:color="auto" w:sz="4" w:space="0"/>
              <w:right w:val="single" w:color="auto" w:sz="4" w:space="0"/>
              <w:tl2br w:val="nil"/>
              <w:tr2bl w:val="nil"/>
            </w:tcBorders>
            <w:noWrap w:val="0"/>
            <w:vAlign w:val="center"/>
          </w:tcPr>
          <w:p w14:paraId="2F5C8EF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9" w:type="pct"/>
            <w:tcBorders>
              <w:top w:val="nil"/>
              <w:left w:val="nil"/>
              <w:bottom w:val="single" w:color="auto" w:sz="4" w:space="0"/>
              <w:right w:val="single" w:color="auto" w:sz="4" w:space="0"/>
              <w:tl2br w:val="nil"/>
              <w:tr2bl w:val="nil"/>
            </w:tcBorders>
            <w:noWrap w:val="0"/>
            <w:vAlign w:val="center"/>
          </w:tcPr>
          <w:p w14:paraId="0598C57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46D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tcBorders>
              <w:top w:val="nil"/>
              <w:left w:val="single" w:color="auto" w:sz="4" w:space="0"/>
              <w:bottom w:val="single" w:color="auto" w:sz="4" w:space="0"/>
              <w:right w:val="single" w:color="auto" w:sz="4" w:space="0"/>
              <w:tl2br w:val="nil"/>
              <w:tr2bl w:val="nil"/>
            </w:tcBorders>
            <w:noWrap w:val="0"/>
            <w:vAlign w:val="center"/>
          </w:tcPr>
          <w:p w14:paraId="2A390B9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900" w:type="pct"/>
            <w:tcBorders>
              <w:top w:val="nil"/>
              <w:left w:val="nil"/>
              <w:bottom w:val="single" w:color="auto" w:sz="4" w:space="0"/>
              <w:right w:val="single" w:color="auto" w:sz="4" w:space="0"/>
              <w:tl2br w:val="nil"/>
              <w:tr2bl w:val="nil"/>
            </w:tcBorders>
            <w:noWrap w:val="0"/>
            <w:vAlign w:val="center"/>
          </w:tcPr>
          <w:p w14:paraId="2E6CCA2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498596B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C608F7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280DE79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2AC5208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21C3CDE1">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96F4E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1"/>
          <w:szCs w:val="21"/>
          <w:highlight w:val="none"/>
        </w:rPr>
        <w:sectPr>
          <w:footerReference r:id="rId11" w:type="first"/>
          <w:footerReference r:id="rId10" w:type="default"/>
          <w:pgSz w:w="11906" w:h="16838"/>
          <w:pgMar w:top="1440" w:right="1803" w:bottom="1440" w:left="1803" w:header="720" w:footer="720" w:gutter="0"/>
          <w:lnNumType w:countBy="0" w:distance="360"/>
          <w:pgNumType w:start="1"/>
          <w:cols w:space="720" w:num="1"/>
          <w:docGrid w:type="lines" w:linePitch="331" w:charSpace="0"/>
        </w:sectPr>
      </w:pPr>
    </w:p>
    <w:p w14:paraId="2252AC12">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88" w:name="_Toc30997"/>
      <w:bookmarkStart w:id="89" w:name="_Toc32549"/>
      <w:r>
        <w:rPr>
          <w:rFonts w:hint="eastAsia" w:ascii="方正小标宋_GBK" w:hAnsi="方正小标宋_GBK" w:eastAsia="方正小标宋_GBK" w:cs="方正小标宋_GBK"/>
          <w:b/>
          <w:color w:val="auto"/>
          <w:sz w:val="28"/>
          <w:szCs w:val="28"/>
          <w:highlight w:val="none"/>
          <w:lang w:val="en-US" w:eastAsia="zh-CN"/>
        </w:rPr>
        <w:t>第四章 评审程序、评审方法和评审标准</w:t>
      </w:r>
      <w:bookmarkEnd w:id="86"/>
      <w:bookmarkEnd w:id="88"/>
      <w:bookmarkEnd w:id="89"/>
    </w:p>
    <w:p w14:paraId="51A26678">
      <w:pPr>
        <w:shd w:val="clear" w:color="auto" w:fill="auto"/>
        <w:spacing w:line="360" w:lineRule="auto"/>
        <w:jc w:val="center"/>
        <w:outlineLvl w:val="9"/>
        <w:rPr>
          <w:rFonts w:hint="eastAsia" w:ascii="宋体" w:hAnsi="宋体" w:eastAsia="宋体" w:cs="宋体"/>
          <w:b/>
          <w:color w:val="auto"/>
          <w:sz w:val="21"/>
          <w:szCs w:val="21"/>
          <w:highlight w:val="none"/>
        </w:rPr>
      </w:pPr>
      <w:bookmarkStart w:id="90" w:name="_Toc29580"/>
    </w:p>
    <w:p w14:paraId="0A03AA82">
      <w:pPr>
        <w:shd w:val="clear" w:color="auto" w:fill="auto"/>
        <w:spacing w:line="360" w:lineRule="auto"/>
        <w:jc w:val="center"/>
        <w:outlineLvl w:val="1"/>
        <w:rPr>
          <w:rFonts w:hint="eastAsia" w:ascii="宋体" w:hAnsi="宋体" w:eastAsia="宋体" w:cs="宋体"/>
          <w:b/>
          <w:color w:val="auto"/>
          <w:sz w:val="24"/>
          <w:szCs w:val="24"/>
          <w:highlight w:val="none"/>
        </w:rPr>
      </w:pPr>
      <w:bookmarkStart w:id="91" w:name="_Toc16301"/>
      <w:r>
        <w:rPr>
          <w:rFonts w:hint="eastAsia" w:ascii="宋体" w:hAnsi="宋体" w:eastAsia="宋体" w:cs="宋体"/>
          <w:b/>
          <w:color w:val="auto"/>
          <w:sz w:val="24"/>
          <w:szCs w:val="24"/>
          <w:highlight w:val="none"/>
        </w:rPr>
        <w:t>一、评审程序和评审方法</w:t>
      </w:r>
      <w:bookmarkEnd w:id="90"/>
      <w:bookmarkEnd w:id="91"/>
    </w:p>
    <w:p w14:paraId="648C9329">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1.资格审查</w:t>
      </w:r>
    </w:p>
    <w:p w14:paraId="68C9F002">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1.1响应文件开启后，磋商小组依法对供应商的资格证明文件进行审查。</w:t>
      </w:r>
    </w:p>
    <w:p w14:paraId="72625AE6">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注：磋商小组在资格审查结束前，对供应商进行信用查询。</w:t>
      </w:r>
    </w:p>
    <w:p w14:paraId="27AEBBCF">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lang w:val="en-US" w:eastAsia="zh-CN"/>
        </w:rPr>
        <w:t>接口的</w:t>
      </w:r>
      <w:r>
        <w:rPr>
          <w:rFonts w:hint="eastAsia" w:ascii="宋体" w:hAnsi="宋体" w:eastAsia="宋体" w:cs="宋体"/>
          <w:color w:val="auto"/>
          <w:sz w:val="21"/>
          <w:szCs w:val="21"/>
          <w:highlight w:val="none"/>
        </w:rPr>
        <w:t>“信用中国”网站(www.creditchina.gov.cn)、中国政府采购网(www.ccgp.gov.cn)链接入口。</w:t>
      </w:r>
    </w:p>
    <w:p w14:paraId="3489AD7C">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70A89D81">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（3）查询记录和证据留存方式：在查询网站中直接查询，截图另存为电子文档作为评审资料保存。</w:t>
      </w:r>
    </w:p>
    <w:p w14:paraId="79C26AE0">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9D835B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3233299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1.3供应商有下列情形之一的，资格审查不通过，其响应文件按无效响应处理：</w:t>
      </w:r>
    </w:p>
    <w:p w14:paraId="6075923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6FD6B6A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）响应文件的资格证明文件缺少任一项“供应商须知前附表”资格证明文件规定的“必须提供”的文件资料的；</w:t>
      </w:r>
    </w:p>
    <w:p w14:paraId="28C8D75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）响应文件中的资格证明文件出现任一项不符合“供应商须知前附表”资格证明文件规定的“必须提供”的文件资料要求或者无效的；</w:t>
      </w:r>
    </w:p>
    <w:p w14:paraId="539D661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4CDA46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1.4通过资格审查的合格供应商不足3家的，不得进入符合性审查环节，采购人或者采购代理机构应当重新开展采购活动。</w:t>
      </w:r>
    </w:p>
    <w:p w14:paraId="229E09E1">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2.符合性审查</w:t>
      </w:r>
    </w:p>
    <w:p w14:paraId="3FC19C3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92" w:name="_Hlk42528882"/>
      <w:r>
        <w:rPr>
          <w:rFonts w:hint="eastAsia" w:ascii="宋体" w:hAnsi="宋体" w:eastAsia="宋体" w:cs="宋体"/>
          <w:color w:val="auto"/>
          <w:sz w:val="21"/>
          <w:szCs w:val="21"/>
          <w:highlight w:val="none"/>
        </w:rPr>
        <w:t>2.1由磋商小组对通过资格审查的合格供应商的响应文件的竞标报价、商务、技术等实质性要求进行符合性审查，以确定其是否满足磋商文件的实质性要求。</w:t>
      </w:r>
    </w:p>
    <w:bookmarkEnd w:id="92"/>
    <w:p w14:paraId="2F8F6E9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3D818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宋体" w:hAnsi="宋体" w:eastAsia="宋体" w:cs="宋体"/>
          <w:color w:val="auto"/>
          <w:spacing w:val="-6"/>
          <w:sz w:val="21"/>
          <w:szCs w:val="21"/>
          <w:highlight w:val="none"/>
        </w:rPr>
        <w:t>。</w:t>
      </w:r>
    </w:p>
    <w:p w14:paraId="70FE595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9DBE34A">
      <w:pPr>
        <w:keepNext w:val="0"/>
        <w:keepLines w:val="0"/>
        <w:pageBreakBefore w:val="0"/>
        <w:shd w:val="clear" w:color="auto" w:fill="auto"/>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w:t>
      </w:r>
      <w:r>
        <w:rPr>
          <w:rFonts w:hint="eastAsia" w:ascii="宋体" w:hAnsi="宋体" w:eastAsia="宋体" w:cs="宋体"/>
          <w:color w:val="auto"/>
          <w:sz w:val="21"/>
          <w:szCs w:val="21"/>
          <w:highlight w:val="none"/>
        </w:rPr>
        <w:t xml:space="preserve">首次响应文件报价出现前后不一致的，按照下列规定修正： </w:t>
      </w:r>
    </w:p>
    <w:p w14:paraId="3B46130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2B55BFA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645059D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4FD9A13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5368E05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096BAE99">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2.5商务技术报价评审</w:t>
      </w:r>
    </w:p>
    <w:p w14:paraId="5449C99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59DF868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40893D8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）响应文件未按磋商文件要求签署、盖章；</w:t>
      </w:r>
    </w:p>
    <w:p w14:paraId="23B2935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）委托代理人未能出具有效身份证或者出具的身份证与授权委托书中的信息不符的； </w:t>
      </w:r>
    </w:p>
    <w:p w14:paraId="756980F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）提交的磋商保证金无效的或者未按照磋商文件的规定提交磋商保证金；</w:t>
      </w:r>
    </w:p>
    <w:p w14:paraId="4E241BD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51D5D24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）商务要求允许负偏离的条款数超过“供应商须知前附表”规定项数的；</w:t>
      </w:r>
    </w:p>
    <w:p w14:paraId="01F5623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）未对竞标有效期作出响应或者响应文件承诺的竞标有效期不满足磋商文件要求；</w:t>
      </w:r>
    </w:p>
    <w:p w14:paraId="1F7DD5F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）响应文件的实质性内容未使用中文表述、使用计量单位不符合磋商文件要求；</w:t>
      </w:r>
    </w:p>
    <w:p w14:paraId="016E34E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）响应文件中的文件资料因填写不齐全或者内容虚假或者出现其他情形而导致被磋商小组认定无效；</w:t>
      </w:r>
    </w:p>
    <w:p w14:paraId="618F479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）响应文件含有采购人不能接受的附加条件；</w:t>
      </w:r>
    </w:p>
    <w:p w14:paraId="39B5CD9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）属于“供应商须知正文”第7.5条情形；</w:t>
      </w:r>
    </w:p>
    <w:p w14:paraId="0CCC67A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）技术要求允许负偏离的条款数超过“供应商须知前附表”规定项数；</w:t>
      </w:r>
    </w:p>
    <w:p w14:paraId="0CACD65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）虚假竞标，或者出现其他情形而导致被磋商小组认定无效；</w:t>
      </w:r>
    </w:p>
    <w:p w14:paraId="2ECDDD5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）磋商文件未载明允许提供备选（替代）竞标方案或明确不允许提供备选（替代）竞标方案时，供应商提供了备选（替代）竞标方案的；</w:t>
      </w:r>
    </w:p>
    <w:p w14:paraId="55BDEF1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15）响应文件标注的项目名称或者项目编号与磋商文件标注的项目名称或者项目编号不一致的；</w:t>
      </w:r>
    </w:p>
    <w:p w14:paraId="0D8D13C4">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b/>
          <w:color w:val="auto"/>
          <w:sz w:val="21"/>
          <w:szCs w:val="21"/>
          <w:highlight w:val="none"/>
        </w:rPr>
        <w:t>竞争性磋商文件明确不允许分包，响应文件拟分包的；</w:t>
      </w:r>
    </w:p>
    <w:p w14:paraId="4DB8BC3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17）未响应磋商文件实质性要求；</w:t>
      </w:r>
    </w:p>
    <w:p w14:paraId="5F9A00A9">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18）法律、法规和磋商文件规定的其他无效情形。</w:t>
      </w:r>
    </w:p>
    <w:p w14:paraId="4AD58E4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3562956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1）响应文件未提供“供应商须知前附表”报价文件中规定的“竞标报价表”；</w:t>
      </w:r>
    </w:p>
    <w:p w14:paraId="64CD299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w:t>
      </w:r>
    </w:p>
    <w:p w14:paraId="2D6A825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AFABBC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93" w:name="_Hlk42596405"/>
      <w:r>
        <w:rPr>
          <w:rFonts w:hint="eastAsia" w:ascii="宋体" w:hAnsi="宋体" w:eastAsia="宋体" w:cs="宋体"/>
          <w:color w:val="auto"/>
          <w:sz w:val="21"/>
          <w:szCs w:val="21"/>
          <w:highlight w:val="none"/>
        </w:rPr>
        <w:t>4）竞标报价（包含首次报价、最后报价）超过所竞标分标规定的采购预算金额或者最高限价的（如本项目公布了最高限价）；</w:t>
      </w:r>
      <w:bookmarkEnd w:id="93"/>
      <w:r>
        <w:rPr>
          <w:rFonts w:hint="eastAsia" w:ascii="宋体" w:hAnsi="宋体" w:eastAsia="宋体" w:cs="宋体"/>
          <w:color w:val="auto"/>
          <w:sz w:val="21"/>
          <w:szCs w:val="21"/>
          <w:highlight w:val="none"/>
        </w:rPr>
        <w:t>竞标报价（包含首次报价、最后报价）超过磋商文件分项采购预算金额或者最高限价的（如本项目公布了最高限价）；</w:t>
      </w:r>
    </w:p>
    <w:p w14:paraId="64FB1FC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0E3E25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6）响应文件响应的标的数量及单位与竞争性磋商采购文件要求实质性不一致的。</w:t>
      </w:r>
    </w:p>
    <w:p w14:paraId="0CB3410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依据规定《财政部关于推动解决政府采购异常低价问题的通知》（财库〔2026〕2号）规定，政府采购评审中出现异常低价情形，磋商小组应当启动异常低价投标审查程序。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审查的启动原因、审查意见和审查结果应当在评审报告中记录，并随供应商提供的相关书面说明及证明材料，以及评审委员会有关互联网浏览、查询历史一并归档。</w:t>
      </w:r>
    </w:p>
    <w:p w14:paraId="3C9B26A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57BA41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2.7通过符合性审查的合格供应商不足3家的，不得进入磋商环节，采购人或者采购代理机构应当重新开展采购活动。</w:t>
      </w:r>
    </w:p>
    <w:p w14:paraId="54634471">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3.磋商程序</w:t>
      </w:r>
    </w:p>
    <w:p w14:paraId="74B9552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3.1磋商小组</w:t>
      </w:r>
      <w:r>
        <w:rPr>
          <w:rFonts w:hint="eastAsia" w:ascii="宋体" w:hAnsi="宋体" w:eastAsia="宋体" w:cs="宋体"/>
          <w:color w:val="auto"/>
          <w:sz w:val="21"/>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9CC08D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55D853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3.3对磋商文件作出的实质性变动是磋商文件的有效组成部分，由磋商小组及时以电子澄清函形式同时通知所有参加磋商的供应商。</w:t>
      </w:r>
    </w:p>
    <w:p w14:paraId="6A1D0AF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0CCAE0C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4C21A032">
      <w:pPr>
        <w:keepNext w:val="0"/>
        <w:keepLines w:val="0"/>
        <w:pageBreakBefore w:val="0"/>
        <w:widowControl/>
        <w:shd w:val="clear" w:color="auto" w:fill="auto"/>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3.6采购代理机构对磋商过程和重要磋商内容进行记录。</w:t>
      </w:r>
    </w:p>
    <w:p w14:paraId="4C66D30F">
      <w:pPr>
        <w:keepNext w:val="0"/>
        <w:keepLines w:val="0"/>
        <w:pageBreakBefore w:val="0"/>
        <w:widowControl/>
        <w:shd w:val="clear" w:color="auto" w:fill="auto"/>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3.7根据《财政部关于政府采购竞争性磋商采购</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管理暂行办法有关问题的补充通知》（财库〔2015〕124号）的规定，采用竞争性磋商采购</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6BA1B32">
      <w:pPr>
        <w:keepNext w:val="0"/>
        <w:keepLines w:val="0"/>
        <w:pageBreakBefore w:val="0"/>
        <w:shd w:val="clear" w:color="auto" w:fill="auto"/>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3.8除本章第3.7条情形外，对磋商过程提交的响应文件进行有效性、完整性和响应程度审查，通过审查的合格供应商不足3家的，采购人或者采购代理机构应当重新开展采购活动。</w:t>
      </w:r>
    </w:p>
    <w:p w14:paraId="5A4A753A">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4.最后报价</w:t>
      </w:r>
    </w:p>
    <w:p w14:paraId="2BD9E88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4.1磋商文件能够详细列明采购标的的技术、服务要求的，磋商结束后，磋商小组应当要求所有继续参加磋商的供应商在规定时间内在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开标大厅提交最后报价，除本章第4.3条外，提交最后报价的供应商不得少于3家，否则必须重新采购。</w:t>
      </w:r>
    </w:p>
    <w:p w14:paraId="13BBFD8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开标大厅提交最后报价。</w:t>
      </w:r>
    </w:p>
    <w:p w14:paraId="7E4A4BE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最后报价是供应商响应文件的有效组成部分。符合《政府采购竞争性磋商采购人式管理暂行办法》（财库〔2014〕214号）第三条第四项“市场竞争不充分的科研项目，以及需要扶持的科技成果转化项目”和本章第3.7条情形的，提交最后报价的供应商可以为2家。</w:t>
      </w:r>
    </w:p>
    <w:p w14:paraId="1FB15A1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B8B2DB9">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4.5供应商未在规定时间内提交最后报价的，视同退出磋商，其响应文件按无效处理。</w:t>
      </w:r>
    </w:p>
    <w:p w14:paraId="49FF4A7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4.6最后报价统一开启后，磋商小组对最后报价进行有效性、完整性和响应程度的审查。</w:t>
      </w:r>
    </w:p>
    <w:p w14:paraId="5F58239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4.7最后报价出现前后不一致的，按照本章第2.4条的规定修正。 </w:t>
      </w:r>
    </w:p>
    <w:p w14:paraId="6D7ED93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4.8修正后的报价出现下列情形的，按无效响应处理：</w:t>
      </w:r>
    </w:p>
    <w:p w14:paraId="4AE5ED7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（1）供应商不确认的（全流程电子化评标采取在线确认）；</w:t>
      </w:r>
    </w:p>
    <w:p w14:paraId="5640FB08">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（2）经供应商确认修正后的竞标报价（包含首次报价、最后报价）超过所竞标分标规定的采购预算金额或者最高限价的（如本项目公布了最高限价）；</w:t>
      </w:r>
    </w:p>
    <w:p w14:paraId="135237F9">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（3）经供应商确认修正后的竞标报价（包含首次报价、最后报价）超过分项采购预算金额或者最高限价的（如本项目公布了最高限价）。</w:t>
      </w:r>
    </w:p>
    <w:p w14:paraId="1E10A1DF">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4.9经供应商确认修正后的最后报价作为评审及签订合同的依据。</w:t>
      </w:r>
    </w:p>
    <w:p w14:paraId="5537FA14">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4.10供应商出现最后报价按无效响应处理或者响应文件按无效处理时，磋商小组应当告知有关供应商。</w:t>
      </w:r>
    </w:p>
    <w:p w14:paraId="052ACE21">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4.11最后报价结束后，磋商小组不得再与供应商进行任何形式的商谈。</w:t>
      </w:r>
    </w:p>
    <w:p w14:paraId="661B3A91">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5.比较与评价</w:t>
      </w:r>
    </w:p>
    <w:p w14:paraId="0269DC8C">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5.1评审方法：综合评分法。</w:t>
      </w:r>
    </w:p>
    <w:p w14:paraId="0E52D6AC">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64C739BA">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5.3评审时，磋商小组各成员应当独立对每个有效响应的文件进行评价、打分，然后汇总每个供应商每项评分因素的得分。</w:t>
      </w:r>
    </w:p>
    <w:p w14:paraId="172CD808">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5055364F">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4E2013D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5.4评审价为供应商的最后报价进行政策性扣除后的价格，评审价只是作为评审时使用。最终成交供应商的成交金额等于最后报价（如有修正，以确认修正后的最后报价为准）。</w:t>
      </w:r>
    </w:p>
    <w:p w14:paraId="15372DA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41493D3">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25CB0F8">
      <w:pPr>
        <w:keepNext w:val="0"/>
        <w:keepLines w:val="0"/>
        <w:pageBreakBefore w:val="0"/>
        <w:shd w:val="clear" w:color="auto" w:fill="auto"/>
        <w:kinsoku/>
        <w:wordWrap/>
        <w:overflowPunct/>
        <w:topLinePunct w:val="0"/>
        <w:autoSpaceDE/>
        <w:autoSpaceDN/>
        <w:bidi w:val="0"/>
        <w:adjustRightInd/>
        <w:spacing w:line="400" w:lineRule="exact"/>
        <w:ind w:firstLine="420"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kern w:val="0"/>
          <w:sz w:val="21"/>
          <w:szCs w:val="21"/>
          <w:highlight w:val="none"/>
        </w:rPr>
        <w:br w:type="page"/>
      </w:r>
      <w:bookmarkStart w:id="94" w:name="_Toc10921"/>
      <w:bookmarkStart w:id="95" w:name="_Toc21732"/>
      <w:r>
        <w:rPr>
          <w:rFonts w:hint="eastAsia" w:ascii="宋体" w:hAnsi="宋体" w:eastAsia="宋体" w:cs="宋体"/>
          <w:b/>
          <w:bCs w:val="0"/>
          <w:color w:val="auto"/>
          <w:sz w:val="24"/>
          <w:szCs w:val="24"/>
          <w:highlight w:val="none"/>
        </w:rPr>
        <w:t>二、评审标准</w:t>
      </w:r>
      <w:bookmarkEnd w:id="94"/>
      <w:bookmarkEnd w:id="95"/>
    </w:p>
    <w:p w14:paraId="3C553E0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6.评审依据：磋商小组将以磋商响应文件为评审依据，对供应商的报价、技术、商务等方面内容按百分制打分。（计分方法按四舍五入取至百分位）</w:t>
      </w:r>
    </w:p>
    <w:tbl>
      <w:tblPr>
        <w:tblStyle w:val="2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71"/>
        <w:gridCol w:w="1467"/>
        <w:gridCol w:w="6057"/>
      </w:tblGrid>
      <w:tr w14:paraId="7F3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07" w:type="dxa"/>
            <w:gridSpan w:val="2"/>
            <w:noWrap w:val="0"/>
            <w:vAlign w:val="center"/>
          </w:tcPr>
          <w:p w14:paraId="7B2834DA">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7" w:type="dxa"/>
            <w:noWrap w:val="0"/>
            <w:vAlign w:val="center"/>
          </w:tcPr>
          <w:p w14:paraId="4D3935BD">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6057" w:type="dxa"/>
            <w:noWrap w:val="0"/>
            <w:vAlign w:val="center"/>
          </w:tcPr>
          <w:p w14:paraId="3AB65D80">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7053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636" w:type="dxa"/>
            <w:noWrap w:val="0"/>
            <w:vAlign w:val="center"/>
          </w:tcPr>
          <w:p w14:paraId="6FD0B447">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71" w:type="dxa"/>
            <w:noWrap w:val="0"/>
            <w:vAlign w:val="center"/>
          </w:tcPr>
          <w:p w14:paraId="074EE969">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w:t>
            </w:r>
          </w:p>
          <w:p w14:paraId="2C4B9DA7">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1467" w:type="dxa"/>
            <w:noWrap w:val="0"/>
            <w:vAlign w:val="center"/>
          </w:tcPr>
          <w:p w14:paraId="000390B6">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磋商报价</w:t>
            </w:r>
          </w:p>
          <w:p w14:paraId="54A2DB9D">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（满分10分）</w:t>
            </w:r>
          </w:p>
        </w:tc>
        <w:tc>
          <w:tcPr>
            <w:tcW w:w="6057" w:type="dxa"/>
            <w:noWrap w:val="0"/>
            <w:vAlign w:val="center"/>
          </w:tcPr>
          <w:p w14:paraId="2C957063">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一、政府采购政策扣除</w:t>
            </w:r>
          </w:p>
          <w:p w14:paraId="4245694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政府采购促进中小企业发展管理办法》（财库〔2020〕46号）及《广西壮族自治区财政厅关于持续优化政府采购营商环境推动高质量发展的通知》（桂财采〔2024〕55号）的规定，供应商在其响应文件中提供《中小企业声明函》，且其服务全部由符合政策要求的小型、微型企业承接的，对其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不符合上述给予扣除情形的，评标报价=投标报价。</w:t>
            </w:r>
          </w:p>
          <w:p w14:paraId="3D72C7D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63C9B9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31823BB">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Cs/>
                <w:color w:val="auto"/>
                <w:sz w:val="21"/>
                <w:szCs w:val="21"/>
                <w:highlight w:val="none"/>
              </w:rPr>
              <w:t>异常低价</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审查</w:t>
            </w:r>
          </w:p>
          <w:p w14:paraId="1564E5EC">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依据规定《财政部关于推动解决政府采购异常低价问题的通知》（财库〔2026〕2号）规定，政府采购评审中出现以下异常低价情形，磋商小组应当启动异常低价</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审查程序：</w:t>
            </w:r>
          </w:p>
          <w:p w14:paraId="633A030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①响应报价低于全部通过符合性审查供应商响应报价平均值65％的，即</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报价&lt;全部通过符合性审查</w:t>
            </w:r>
            <w:r>
              <w:rPr>
                <w:rFonts w:hint="eastAsia" w:ascii="宋体" w:hAnsi="宋体" w:eastAsia="宋体" w:cs="宋体"/>
                <w:bCs/>
                <w:color w:val="auto"/>
                <w:sz w:val="21"/>
                <w:szCs w:val="21"/>
                <w:highlight w:val="none"/>
                <w:lang w:val="en-US" w:eastAsia="zh-CN"/>
              </w:rPr>
              <w:t>供应商响应</w:t>
            </w:r>
            <w:r>
              <w:rPr>
                <w:rFonts w:hint="eastAsia" w:ascii="宋体" w:hAnsi="宋体" w:eastAsia="宋体" w:cs="宋体"/>
                <w:bCs/>
                <w:color w:val="auto"/>
                <w:sz w:val="21"/>
                <w:szCs w:val="21"/>
                <w:highlight w:val="none"/>
              </w:rPr>
              <w:t>报价平均值×65%；</w:t>
            </w:r>
          </w:p>
          <w:p w14:paraId="5025AA3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②响应报价低于通过符合性审查的次低报价供应商响应报价65％的，即</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报价&lt;通过符合性审查的次低报价</w:t>
            </w:r>
            <w:r>
              <w:rPr>
                <w:rFonts w:hint="eastAsia" w:ascii="宋体" w:hAnsi="宋体" w:eastAsia="宋体" w:cs="宋体"/>
                <w:bCs/>
                <w:color w:val="auto"/>
                <w:sz w:val="21"/>
                <w:szCs w:val="21"/>
                <w:highlight w:val="none"/>
                <w:lang w:val="en-US" w:eastAsia="zh-CN"/>
              </w:rPr>
              <w:t>供应商响应</w:t>
            </w:r>
            <w:r>
              <w:rPr>
                <w:rFonts w:hint="eastAsia" w:ascii="宋体" w:hAnsi="宋体" w:eastAsia="宋体" w:cs="宋体"/>
                <w:bCs/>
                <w:color w:val="auto"/>
                <w:sz w:val="21"/>
                <w:szCs w:val="21"/>
                <w:highlight w:val="none"/>
              </w:rPr>
              <w:t>报价×65%；</w:t>
            </w:r>
          </w:p>
          <w:p w14:paraId="59ABD524">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③响应报价低于采购项目最高限价65％的，即</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报价&lt;</w:t>
            </w:r>
            <w:r>
              <w:rPr>
                <w:rFonts w:hint="eastAsia" w:ascii="宋体" w:hAnsi="宋体" w:eastAsia="宋体" w:cs="宋体"/>
                <w:bCs/>
                <w:color w:val="auto"/>
                <w:sz w:val="21"/>
                <w:szCs w:val="21"/>
                <w:highlight w:val="none"/>
                <w:lang w:val="en-US" w:eastAsia="zh-CN"/>
              </w:rPr>
              <w:t>采购项目</w:t>
            </w:r>
            <w:r>
              <w:rPr>
                <w:rFonts w:hint="eastAsia" w:ascii="宋体" w:hAnsi="宋体" w:eastAsia="宋体" w:cs="宋体"/>
                <w:bCs/>
                <w:color w:val="auto"/>
                <w:sz w:val="21"/>
                <w:szCs w:val="21"/>
                <w:highlight w:val="none"/>
              </w:rPr>
              <w:t>最高限价×65%；</w:t>
            </w:r>
          </w:p>
          <w:p w14:paraId="2F4BC50D">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④磋商小组基于专业判断，认为供应商报价过低，有可能影响产品质量或者不能诚信履约的其他情形。</w:t>
            </w:r>
          </w:p>
          <w:p w14:paraId="5EA1E22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⑤相关法律法规对供应商报价有规定的，从其规定。</w:t>
            </w:r>
          </w:p>
          <w:p w14:paraId="28DB131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磋商小组启动异常低价响应审查后，属于前述第①项至第④项情形的，应当要求相关供应商在</w:t>
            </w:r>
            <w:r>
              <w:rPr>
                <w:rFonts w:hint="eastAsia" w:ascii="宋体" w:hAnsi="宋体" w:eastAsia="宋体" w:cs="宋体"/>
                <w:bCs/>
                <w:color w:val="auto"/>
                <w:sz w:val="21"/>
                <w:szCs w:val="21"/>
                <w:highlight w:val="none"/>
                <w:lang w:val="en-US" w:eastAsia="zh-CN"/>
              </w:rPr>
              <w:t>接到</w:t>
            </w:r>
            <w:r>
              <w:rPr>
                <w:rFonts w:hint="eastAsia" w:ascii="宋体" w:hAnsi="宋体" w:eastAsia="宋体" w:cs="宋体"/>
                <w:bCs/>
                <w:color w:val="auto"/>
                <w:sz w:val="21"/>
                <w:szCs w:val="21"/>
                <w:highlight w:val="none"/>
              </w:rPr>
              <w:t>磋商小组</w:t>
            </w:r>
            <w:r>
              <w:rPr>
                <w:rFonts w:hint="eastAsia" w:ascii="宋体" w:hAnsi="宋体" w:eastAsia="宋体" w:cs="宋体"/>
                <w:bCs/>
                <w:color w:val="auto"/>
                <w:sz w:val="21"/>
                <w:szCs w:val="21"/>
                <w:highlight w:val="none"/>
                <w:lang w:val="en-US" w:eastAsia="zh-CN"/>
              </w:rPr>
              <w:t>通知后30分钟内</w:t>
            </w:r>
            <w:r>
              <w:rPr>
                <w:rFonts w:hint="eastAsia" w:ascii="宋体" w:hAnsi="宋体" w:eastAsia="宋体" w:cs="宋体"/>
                <w:bCs/>
                <w:color w:val="auto"/>
                <w:sz w:val="21"/>
                <w:szCs w:val="21"/>
                <w:highlight w:val="none"/>
              </w:rPr>
              <w:t>对响应价格作出解释，提供项目具体成本测算等与报价合理性相关的书面说明及必要的证明材料，包括但不限于原材料成本、人工成本、制造费用等。其中，属于第③项情形，供应商已随响应文件一并提交相关书面说明及必要的证明材料的，可不再重复提交。</w:t>
            </w:r>
          </w:p>
          <w:p w14:paraId="1082A5E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CA388AC">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、磋商报价分（满分10分）</w:t>
            </w:r>
          </w:p>
          <w:p w14:paraId="62E861C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1.评审报价为供应商的最后报价进行政策性扣除后的价格，评审报价只作为评审时使用。最终成交供应商的成交金额等于最后报价（如有修正，以确认修正后的最后报价为准）。</w:t>
            </w:r>
          </w:p>
          <w:p w14:paraId="3FE6369B">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2.满足采购文件要求且报价最低的评审报价为评审基准价，其价格分为满分。</w:t>
            </w:r>
          </w:p>
          <w:p w14:paraId="207FD42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3.价格分计算公式：</w:t>
            </w:r>
          </w:p>
          <w:p w14:paraId="619CD6B4">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某供应商价格分=（评审基准价／某供应商评审报价）×10分</w:t>
            </w:r>
          </w:p>
        </w:tc>
      </w:tr>
      <w:tr w14:paraId="663C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636" w:type="dxa"/>
            <w:vMerge w:val="restart"/>
            <w:noWrap w:val="0"/>
            <w:vAlign w:val="center"/>
          </w:tcPr>
          <w:p w14:paraId="2468E3B7">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371" w:type="dxa"/>
            <w:vMerge w:val="restart"/>
            <w:noWrap w:val="0"/>
            <w:vAlign w:val="center"/>
          </w:tcPr>
          <w:p w14:paraId="44EAC310">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技术分（满分</w:t>
            </w:r>
            <w:r>
              <w:rPr>
                <w:rFonts w:hint="eastAsia" w:ascii="宋体" w:hAnsi="宋体" w:eastAsia="宋体" w:cs="宋体"/>
                <w:bCs/>
                <w:color w:val="auto"/>
                <w:sz w:val="21"/>
                <w:szCs w:val="21"/>
                <w:highlight w:val="none"/>
                <w:lang w:val="en-US" w:eastAsia="zh-CN"/>
              </w:rPr>
              <w:t>60</w:t>
            </w:r>
            <w:r>
              <w:rPr>
                <w:rFonts w:hint="eastAsia" w:ascii="宋体" w:hAnsi="宋体" w:eastAsia="宋体" w:cs="宋体"/>
                <w:bCs/>
                <w:color w:val="auto"/>
                <w:sz w:val="21"/>
                <w:szCs w:val="21"/>
                <w:highlight w:val="none"/>
              </w:rPr>
              <w:t>分）</w:t>
            </w:r>
          </w:p>
        </w:tc>
        <w:tc>
          <w:tcPr>
            <w:tcW w:w="1467" w:type="dxa"/>
            <w:noWrap w:val="0"/>
            <w:vAlign w:val="center"/>
          </w:tcPr>
          <w:p w14:paraId="1D0EAE7F">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2.1对项目的总体认识和理解（满分15分）</w:t>
            </w:r>
          </w:p>
        </w:tc>
        <w:tc>
          <w:tcPr>
            <w:tcW w:w="6057" w:type="dxa"/>
            <w:noWrap w:val="0"/>
            <w:vAlign w:val="center"/>
          </w:tcPr>
          <w:p w14:paraId="6A7A39EE">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分）：对项目</w:t>
            </w:r>
            <w:r>
              <w:rPr>
                <w:rFonts w:hint="eastAsia" w:ascii="宋体" w:hAnsi="宋体" w:eastAsia="宋体" w:cs="宋体"/>
                <w:bCs/>
                <w:color w:val="auto"/>
                <w:sz w:val="21"/>
                <w:szCs w:val="21"/>
                <w:highlight w:val="none"/>
                <w:lang w:val="en-US" w:eastAsia="zh-CN"/>
              </w:rPr>
              <w:t>背景、规划范围、规划任务、规划目标</w:t>
            </w:r>
            <w:r>
              <w:rPr>
                <w:rFonts w:hint="eastAsia" w:ascii="宋体" w:hAnsi="宋体" w:eastAsia="宋体" w:cs="宋体"/>
                <w:bCs/>
                <w:color w:val="auto"/>
                <w:sz w:val="21"/>
                <w:szCs w:val="21"/>
                <w:highlight w:val="none"/>
              </w:rPr>
              <w:t>及要求的认识和理解简单</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对项目各项</w:t>
            </w:r>
            <w:r>
              <w:rPr>
                <w:rFonts w:hint="eastAsia" w:ascii="宋体" w:hAnsi="宋体" w:eastAsia="宋体" w:cs="宋体"/>
                <w:bCs/>
                <w:color w:val="auto"/>
                <w:sz w:val="21"/>
                <w:szCs w:val="21"/>
                <w:highlight w:val="none"/>
                <w:lang w:val="en-US" w:eastAsia="zh-CN"/>
              </w:rPr>
              <w:t>规划</w:t>
            </w:r>
            <w:r>
              <w:rPr>
                <w:rFonts w:hint="eastAsia" w:ascii="宋体" w:hAnsi="宋体" w:eastAsia="宋体" w:cs="宋体"/>
                <w:bCs/>
                <w:color w:val="auto"/>
                <w:sz w:val="21"/>
                <w:szCs w:val="21"/>
                <w:highlight w:val="none"/>
              </w:rPr>
              <w:t>内容现状了解简单。</w:t>
            </w:r>
          </w:p>
          <w:p w14:paraId="03A444CC">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分）：对项目</w:t>
            </w:r>
            <w:r>
              <w:rPr>
                <w:rFonts w:hint="eastAsia" w:ascii="宋体" w:hAnsi="宋体" w:eastAsia="宋体" w:cs="宋体"/>
                <w:bCs/>
                <w:color w:val="auto"/>
                <w:sz w:val="21"/>
                <w:szCs w:val="21"/>
                <w:highlight w:val="none"/>
                <w:lang w:val="en-US" w:eastAsia="zh-CN"/>
              </w:rPr>
              <w:t>背景、规划范围、规划任务、规划目标</w:t>
            </w:r>
            <w:r>
              <w:rPr>
                <w:rFonts w:hint="eastAsia" w:ascii="宋体" w:hAnsi="宋体" w:eastAsia="宋体" w:cs="宋体"/>
                <w:bCs/>
                <w:color w:val="auto"/>
                <w:sz w:val="21"/>
                <w:szCs w:val="21"/>
                <w:highlight w:val="none"/>
              </w:rPr>
              <w:t>及要求的认识和理解完整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熟悉</w:t>
            </w:r>
            <w:r>
              <w:rPr>
                <w:rFonts w:hint="eastAsia" w:ascii="宋体" w:hAnsi="宋体" w:eastAsia="宋体" w:cs="宋体"/>
                <w:bCs/>
                <w:color w:val="auto"/>
                <w:sz w:val="21"/>
                <w:szCs w:val="21"/>
                <w:highlight w:val="none"/>
              </w:rPr>
              <w:t>项目各项研究内容现状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对工作重点难点有基本的认识，</w:t>
            </w:r>
            <w:r>
              <w:rPr>
                <w:rFonts w:hint="eastAsia" w:ascii="宋体" w:hAnsi="宋体" w:eastAsia="宋体" w:cs="宋体"/>
                <w:bCs/>
                <w:color w:val="auto"/>
                <w:sz w:val="21"/>
                <w:szCs w:val="21"/>
                <w:highlight w:val="none"/>
                <w:lang w:val="en-US" w:eastAsia="zh-CN"/>
              </w:rPr>
              <w:t>并提出解决方案</w:t>
            </w:r>
            <w:r>
              <w:rPr>
                <w:rFonts w:hint="eastAsia" w:ascii="宋体" w:hAnsi="宋体" w:eastAsia="宋体" w:cs="宋体"/>
                <w:bCs/>
                <w:color w:val="auto"/>
                <w:sz w:val="21"/>
                <w:szCs w:val="21"/>
                <w:highlight w:val="none"/>
              </w:rPr>
              <w:t>。</w:t>
            </w:r>
          </w:p>
          <w:p w14:paraId="6666D02F">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分）：熟悉项目所在地实际情况，对项目</w:t>
            </w:r>
            <w:r>
              <w:rPr>
                <w:rFonts w:hint="eastAsia" w:ascii="宋体" w:hAnsi="宋体" w:eastAsia="宋体" w:cs="宋体"/>
                <w:bCs/>
                <w:color w:val="auto"/>
                <w:sz w:val="21"/>
                <w:szCs w:val="21"/>
                <w:highlight w:val="none"/>
                <w:lang w:val="en-US" w:eastAsia="zh-CN"/>
              </w:rPr>
              <w:t>背景、规划范围、规划任务、规划目标</w:t>
            </w:r>
            <w:r>
              <w:rPr>
                <w:rFonts w:hint="eastAsia" w:ascii="宋体" w:hAnsi="宋体" w:eastAsia="宋体" w:cs="宋体"/>
                <w:bCs/>
                <w:color w:val="auto"/>
                <w:sz w:val="21"/>
                <w:szCs w:val="21"/>
                <w:highlight w:val="none"/>
              </w:rPr>
              <w:t>及要求</w:t>
            </w:r>
            <w:r>
              <w:rPr>
                <w:rFonts w:hint="eastAsia" w:ascii="宋体" w:hAnsi="宋体" w:eastAsia="宋体" w:cs="宋体"/>
                <w:bCs/>
                <w:color w:val="auto"/>
                <w:sz w:val="21"/>
                <w:szCs w:val="21"/>
                <w:highlight w:val="none"/>
                <w:lang w:val="en-US" w:eastAsia="zh-CN"/>
              </w:rPr>
              <w:t>有透彻的</w:t>
            </w:r>
            <w:r>
              <w:rPr>
                <w:rFonts w:hint="eastAsia" w:ascii="宋体" w:hAnsi="宋体" w:eastAsia="宋体" w:cs="宋体"/>
                <w:bCs/>
                <w:color w:val="auto"/>
                <w:sz w:val="21"/>
                <w:szCs w:val="21"/>
                <w:highlight w:val="none"/>
              </w:rPr>
              <w:t>认识和理解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对项目各项研究内容现状了解深入；对工作重点难点有深入的认识，</w:t>
            </w:r>
            <w:r>
              <w:rPr>
                <w:rFonts w:hint="eastAsia" w:ascii="宋体" w:hAnsi="宋体" w:eastAsia="宋体" w:cs="宋体"/>
                <w:bCs/>
                <w:color w:val="auto"/>
                <w:sz w:val="21"/>
                <w:szCs w:val="21"/>
                <w:highlight w:val="none"/>
                <w:lang w:val="en-US" w:eastAsia="zh-CN"/>
              </w:rPr>
              <w:t>解决方案</w:t>
            </w:r>
            <w:r>
              <w:rPr>
                <w:rFonts w:hint="eastAsia" w:ascii="宋体" w:hAnsi="宋体" w:eastAsia="宋体" w:cs="宋体"/>
                <w:bCs/>
                <w:color w:val="auto"/>
                <w:sz w:val="21"/>
                <w:szCs w:val="21"/>
                <w:highlight w:val="none"/>
              </w:rPr>
              <w:t>有针对性与可操作性。</w:t>
            </w:r>
          </w:p>
          <w:p w14:paraId="739CB4A7">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15分）：全面掌握项目所在地及流域实际情况，对项目背景、规划范围、规划任务、规划目标及要求有精准、透彻的认识和理解，全面掌握各项研究内容现状、技术要点；对工作重点难点研判系统深入，解决方案依据充分、措施具体；对项目开展过程中可能会遇到的问题提出有效措施。</w:t>
            </w:r>
          </w:p>
          <w:p w14:paraId="275C18EC">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注：未满足一档要求或未提供的不得分。</w:t>
            </w:r>
          </w:p>
        </w:tc>
      </w:tr>
      <w:tr w14:paraId="0E7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14:paraId="3964AF08">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rPr>
            </w:pPr>
          </w:p>
        </w:tc>
        <w:tc>
          <w:tcPr>
            <w:tcW w:w="1371" w:type="dxa"/>
            <w:vMerge w:val="continue"/>
            <w:noWrap w:val="0"/>
            <w:vAlign w:val="center"/>
          </w:tcPr>
          <w:p w14:paraId="70FAD7B4">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p>
        </w:tc>
        <w:tc>
          <w:tcPr>
            <w:tcW w:w="1467" w:type="dxa"/>
            <w:noWrap w:val="0"/>
            <w:vAlign w:val="center"/>
          </w:tcPr>
          <w:p w14:paraId="52F2F925">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2.2实施方案（满分</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c>
          <w:tcPr>
            <w:tcW w:w="6057" w:type="dxa"/>
            <w:noWrap w:val="0"/>
            <w:vAlign w:val="center"/>
          </w:tcPr>
          <w:p w14:paraId="6D6B083D">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分）：实施方案内容（包括但不限于技术方案、工作流程安排计划、项目管理制度、质量控制措施等）不完善，考虑不周全，缺乏可操作性，不能保障项目质量的。</w:t>
            </w:r>
          </w:p>
          <w:p w14:paraId="00863020">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实施方案内容（包括但不限于技术方案、工作流程安排计划、项目管理制度、质量控制措施等）完善，能满足项目要求，措施切实可行，技术方案、工作流程安排计划、项目管理制度、质量保证措施无明显错误，合理且有可行性。</w:t>
            </w:r>
          </w:p>
          <w:p w14:paraId="152A9507">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22分）：实施方案内容（包括但不限于技术方案、工作流程安排计划、项目管理制度、质量控制措施等）完善，能满足项目要求，措施切实可行，投标人对流域存在问题、薄弱环节及治理需求有准确全面的认识，针对项目要求的主要论证方向和突出问题，提出了具体可行的研究方案设想，技术方案具有先进性和可操作性；工作流程安排计划符合实际、切实可行；项目管理制度合理；质量保证措施合理，能切实地确保项目质量。</w:t>
            </w:r>
          </w:p>
          <w:p w14:paraId="63F187B4">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30分）：实施方案内容（包括但不限于技术方案、工作流程安排计划、项目管理制度、质量控制措施等）具体完善并对各工作环节进行了分解细化的安排，详细描述了实现方式，完全满足项目要求，措施切实可行，投标人对流域存在问题、薄弱环节及治理需求有准确全面的认识，针对项目要求的主要论证方向和突出问题，提出了具体可行的研究方案设想，技术方案具有先进性和可操作性；工作流程安排计划符合实际、切实可行；项目管理制度合理；质量保证措施合理，能切实地确保项目质量；针对本项目制定合理的风险防范措施；提出了具体可行的合理化建议。</w:t>
            </w:r>
          </w:p>
          <w:p w14:paraId="4B11B144">
            <w:pPr>
              <w:keepNext w:val="0"/>
              <w:keepLines w:val="0"/>
              <w:pageBreakBefore w:val="0"/>
              <w:widowControl w:val="0"/>
              <w:kinsoku/>
              <w:wordWrap/>
              <w:overflowPunct/>
              <w:topLinePunct w:val="0"/>
              <w:autoSpaceDE/>
              <w:autoSpaceDN/>
              <w:bidi w:val="0"/>
              <w:spacing w:line="400" w:lineRule="exact"/>
              <w:ind w:left="19" w:leftChars="9" w:firstLine="401" w:firstLineChars="191"/>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注：未满足一档要求或未提供的不得分。</w:t>
            </w:r>
          </w:p>
        </w:tc>
      </w:tr>
      <w:tr w14:paraId="3C2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14:paraId="0624EA7B">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rPr>
            </w:pPr>
          </w:p>
        </w:tc>
        <w:tc>
          <w:tcPr>
            <w:tcW w:w="1371" w:type="dxa"/>
            <w:vMerge w:val="continue"/>
            <w:noWrap w:val="0"/>
            <w:vAlign w:val="center"/>
          </w:tcPr>
          <w:p w14:paraId="54B8D81B">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p>
        </w:tc>
        <w:tc>
          <w:tcPr>
            <w:tcW w:w="1467" w:type="dxa"/>
            <w:noWrap w:val="0"/>
            <w:vAlign w:val="center"/>
          </w:tcPr>
          <w:p w14:paraId="4B94E065">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r>
              <w:rPr>
                <w:rFonts w:hint="eastAsia" w:ascii="宋体" w:hAnsi="宋体" w:eastAsia="宋体" w:cs="宋体"/>
                <w:bCs/>
                <w:color w:val="auto"/>
                <w:sz w:val="21"/>
                <w:szCs w:val="21"/>
                <w:highlight w:val="none"/>
                <w:lang w:val="en-US" w:eastAsia="zh-CN"/>
              </w:rPr>
              <w:t>项目进度控制措施</w:t>
            </w: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6057" w:type="dxa"/>
            <w:noWrap w:val="0"/>
            <w:vAlign w:val="center"/>
          </w:tcPr>
          <w:p w14:paraId="57FA412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分）：没有提供进度计划，仅</w:t>
            </w:r>
            <w:r>
              <w:rPr>
                <w:rFonts w:hint="eastAsia" w:ascii="宋体" w:hAnsi="宋体" w:eastAsia="宋体" w:cs="宋体"/>
                <w:bCs/>
                <w:color w:val="auto"/>
                <w:sz w:val="21"/>
                <w:szCs w:val="21"/>
                <w:highlight w:val="none"/>
                <w:lang w:val="en-US" w:eastAsia="zh-CN"/>
              </w:rPr>
              <w:t>根据采购需求</w:t>
            </w:r>
            <w:r>
              <w:rPr>
                <w:rFonts w:hint="eastAsia" w:ascii="宋体" w:hAnsi="宋体" w:eastAsia="宋体" w:cs="宋体"/>
                <w:bCs/>
                <w:color w:val="auto"/>
                <w:sz w:val="21"/>
                <w:szCs w:val="21"/>
                <w:highlight w:val="none"/>
              </w:rPr>
              <w:t>承诺</w:t>
            </w:r>
            <w:r>
              <w:rPr>
                <w:rFonts w:hint="eastAsia" w:ascii="宋体" w:hAnsi="宋体" w:eastAsia="宋体" w:cs="宋体"/>
                <w:bCs/>
                <w:color w:val="auto"/>
                <w:sz w:val="21"/>
                <w:szCs w:val="21"/>
                <w:highlight w:val="none"/>
                <w:lang w:val="en-US" w:eastAsia="zh-CN"/>
              </w:rPr>
              <w:t>进度要求</w:t>
            </w:r>
            <w:r>
              <w:rPr>
                <w:rFonts w:hint="eastAsia" w:ascii="宋体" w:hAnsi="宋体" w:eastAsia="宋体" w:cs="宋体"/>
                <w:bCs/>
                <w:color w:val="auto"/>
                <w:sz w:val="21"/>
                <w:szCs w:val="21"/>
                <w:highlight w:val="none"/>
              </w:rPr>
              <w:t>，进度控制思路不清晰的、无具体措施的。</w:t>
            </w:r>
          </w:p>
          <w:p w14:paraId="01177B4C">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分）：针对</w:t>
            </w:r>
            <w:r>
              <w:rPr>
                <w:rFonts w:hint="eastAsia" w:ascii="宋体" w:hAnsi="宋体" w:eastAsia="宋体" w:cs="宋体"/>
                <w:bCs/>
                <w:color w:val="auto"/>
                <w:sz w:val="21"/>
                <w:szCs w:val="21"/>
                <w:highlight w:val="none"/>
                <w:lang w:val="en-US" w:eastAsia="zh-CN"/>
              </w:rPr>
              <w:t>采购需求</w:t>
            </w:r>
            <w:r>
              <w:rPr>
                <w:rFonts w:hint="eastAsia" w:ascii="宋体" w:hAnsi="宋体" w:eastAsia="宋体" w:cs="宋体"/>
                <w:bCs/>
                <w:color w:val="auto"/>
                <w:sz w:val="21"/>
                <w:szCs w:val="21"/>
                <w:highlight w:val="none"/>
              </w:rPr>
              <w:t>的进度要求进行了计划的细化和分解，进度控制思路清晰，有具体的进度控制措施的。</w:t>
            </w:r>
          </w:p>
          <w:p w14:paraId="26206DDC">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分）：针对</w:t>
            </w:r>
            <w:r>
              <w:rPr>
                <w:rFonts w:hint="eastAsia" w:ascii="宋体" w:hAnsi="宋体" w:eastAsia="宋体" w:cs="宋体"/>
                <w:bCs/>
                <w:color w:val="auto"/>
                <w:sz w:val="21"/>
                <w:szCs w:val="21"/>
                <w:highlight w:val="none"/>
                <w:lang w:val="en-US" w:eastAsia="zh-CN"/>
              </w:rPr>
              <w:t>采购需求</w:t>
            </w:r>
            <w:r>
              <w:rPr>
                <w:rFonts w:hint="eastAsia" w:ascii="宋体" w:hAnsi="宋体" w:eastAsia="宋体" w:cs="宋体"/>
                <w:bCs/>
                <w:color w:val="auto"/>
                <w:sz w:val="21"/>
                <w:szCs w:val="21"/>
                <w:highlight w:val="none"/>
              </w:rPr>
              <w:t>的进度要求进行了计划的细化和分解，每个环节进度控制措施具体、完善、科学合理，并提出有利于采购实施的措施建议，进度控制保障性高的。</w:t>
            </w:r>
          </w:p>
          <w:p w14:paraId="78E442DC">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15分）：针对采购需求的进度要求进行了细化和分解，工作计划设置科学合理，每个环节进度控制措施具体、完善、科学合理，并提出有利于采购实施的措施建议，进度控制保障性高的；同步配套人员保障、技术支撑、质量管控、跨部门沟通、风险预警与应急调整等实施保障机制，且提出切实可行的工期优化与质量提升建议；进度管控体系完备，可全面确保项目按期、高效、高质量完成。</w:t>
            </w:r>
          </w:p>
          <w:p w14:paraId="79D1828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注：未满足一档要求或未提供的不得分。</w:t>
            </w:r>
          </w:p>
        </w:tc>
      </w:tr>
      <w:tr w14:paraId="7B9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6" w:type="dxa"/>
            <w:vMerge w:val="restart"/>
            <w:noWrap w:val="0"/>
            <w:vAlign w:val="center"/>
          </w:tcPr>
          <w:p w14:paraId="5168A4F9">
            <w:pPr>
              <w:keepNext w:val="0"/>
              <w:keepLines w:val="0"/>
              <w:pageBreakBefore w:val="0"/>
              <w:widowControl w:val="0"/>
              <w:kinsoku/>
              <w:wordWrap/>
              <w:overflowPunct/>
              <w:topLinePunct w:val="0"/>
              <w:autoSpaceDE/>
              <w:autoSpaceDN/>
              <w:bidi w:val="0"/>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371" w:type="dxa"/>
            <w:vMerge w:val="restart"/>
            <w:noWrap w:val="0"/>
            <w:vAlign w:val="center"/>
          </w:tcPr>
          <w:p w14:paraId="0E056312">
            <w:pPr>
              <w:keepNext w:val="0"/>
              <w:keepLines w:val="0"/>
              <w:pageBreakBefore w:val="0"/>
              <w:widowControl w:val="0"/>
              <w:kinsoku/>
              <w:wordWrap/>
              <w:overflowPunct/>
              <w:topLinePunct w:val="0"/>
              <w:autoSpaceDE/>
              <w:autoSpaceDN/>
              <w:bidi w:val="0"/>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0754FC14">
            <w:pPr>
              <w:keepNext w:val="0"/>
              <w:keepLines w:val="0"/>
              <w:pageBreakBefore w:val="0"/>
              <w:widowControl w:val="0"/>
              <w:kinsoku/>
              <w:wordWrap/>
              <w:overflowPunct/>
              <w:topLinePunct w:val="0"/>
              <w:autoSpaceDE/>
              <w:autoSpaceDN/>
              <w:bidi w:val="0"/>
              <w:snapToGrid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（满分3</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tc>
        <w:tc>
          <w:tcPr>
            <w:tcW w:w="1467" w:type="dxa"/>
            <w:noWrap w:val="0"/>
            <w:vAlign w:val="center"/>
          </w:tcPr>
          <w:p w14:paraId="25139BC6">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3.1人员配置（满分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057" w:type="dxa"/>
            <w:noWrap w:val="0"/>
            <w:vAlign w:val="center"/>
          </w:tcPr>
          <w:p w14:paraId="228B376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1.项目负责人具有</w:t>
            </w:r>
            <w:r>
              <w:rPr>
                <w:rFonts w:hint="eastAsia" w:ascii="宋体" w:hAnsi="宋体" w:eastAsia="宋体" w:cs="宋体"/>
                <w:color w:val="auto"/>
                <w:sz w:val="21"/>
                <w:szCs w:val="21"/>
                <w:highlight w:val="none"/>
                <w:lang w:val="en-US" w:eastAsia="zh-CN"/>
              </w:rPr>
              <w:t>水利水电工程类相关专业副</w:t>
            </w:r>
            <w:r>
              <w:rPr>
                <w:rFonts w:hint="eastAsia" w:ascii="宋体" w:hAnsi="宋体" w:eastAsia="宋体" w:cs="宋体"/>
                <w:color w:val="auto"/>
                <w:sz w:val="21"/>
                <w:szCs w:val="21"/>
                <w:highlight w:val="none"/>
              </w:rPr>
              <w:t>高级及以上专业技术职称的得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分，具有注册土木工程师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水利水电工程规划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执业资格证书的得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具</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咨询工程师（投资）登记证书（水利水电专业）的得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此</w:t>
            </w:r>
            <w:r>
              <w:rPr>
                <w:rFonts w:hint="eastAsia" w:ascii="宋体" w:hAnsi="宋体" w:eastAsia="宋体" w:cs="宋体"/>
                <w:bCs/>
                <w:color w:val="auto"/>
                <w:sz w:val="21"/>
                <w:szCs w:val="21"/>
                <w:highlight w:val="none"/>
              </w:rPr>
              <w:t>项满分3分。</w:t>
            </w:r>
          </w:p>
          <w:p w14:paraId="3EAB11E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2.拟投入的其他人员（除项目负责人外）（满分17分）：</w:t>
            </w:r>
          </w:p>
          <w:p w14:paraId="0AE0866D">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①具有</w:t>
            </w:r>
            <w:r>
              <w:rPr>
                <w:rFonts w:hint="eastAsia" w:ascii="宋体" w:hAnsi="宋体" w:eastAsia="宋体" w:cs="宋体"/>
                <w:color w:val="auto"/>
                <w:sz w:val="21"/>
                <w:szCs w:val="21"/>
                <w:highlight w:val="none"/>
                <w:lang w:val="en-US" w:eastAsia="zh-CN"/>
              </w:rPr>
              <w:t>水利水电工程类相关</w:t>
            </w:r>
            <w:r>
              <w:rPr>
                <w:rFonts w:hint="eastAsia" w:ascii="宋体" w:hAnsi="宋体" w:eastAsia="宋体" w:cs="宋体"/>
                <w:bCs/>
                <w:color w:val="auto"/>
                <w:sz w:val="21"/>
                <w:szCs w:val="21"/>
                <w:highlight w:val="none"/>
              </w:rPr>
              <w:t>专业正高级（或教授级）技术职称的每人得3分，具有</w:t>
            </w:r>
            <w:r>
              <w:rPr>
                <w:rFonts w:hint="eastAsia" w:ascii="宋体" w:hAnsi="宋体" w:eastAsia="宋体" w:cs="宋体"/>
                <w:color w:val="auto"/>
                <w:sz w:val="21"/>
                <w:szCs w:val="21"/>
                <w:highlight w:val="none"/>
                <w:lang w:val="en-US" w:eastAsia="zh-CN"/>
              </w:rPr>
              <w:t>水利水电工程类相关</w:t>
            </w:r>
            <w:r>
              <w:rPr>
                <w:rFonts w:hint="eastAsia" w:ascii="宋体" w:hAnsi="宋体" w:eastAsia="宋体" w:cs="宋体"/>
                <w:bCs/>
                <w:color w:val="auto"/>
                <w:sz w:val="21"/>
                <w:szCs w:val="21"/>
                <w:highlight w:val="none"/>
              </w:rPr>
              <w:t>专业副高级工程师技术职称</w:t>
            </w:r>
            <w:r>
              <w:rPr>
                <w:rFonts w:hint="eastAsia" w:ascii="宋体" w:hAnsi="宋体" w:eastAsia="宋体" w:cs="宋体"/>
                <w:bCs/>
                <w:color w:val="auto"/>
                <w:sz w:val="21"/>
                <w:szCs w:val="21"/>
                <w:highlight w:val="none"/>
                <w:lang w:val="en-US" w:eastAsia="zh-CN"/>
              </w:rPr>
              <w:t>的每人得1分，</w:t>
            </w:r>
            <w:r>
              <w:rPr>
                <w:rFonts w:hint="eastAsia" w:ascii="宋体" w:hAnsi="宋体" w:eastAsia="宋体" w:cs="宋体"/>
                <w:bCs/>
                <w:color w:val="auto"/>
                <w:sz w:val="21"/>
                <w:szCs w:val="21"/>
                <w:highlight w:val="none"/>
              </w:rPr>
              <w:t>具有水利水电</w:t>
            </w:r>
            <w:r>
              <w:rPr>
                <w:rFonts w:hint="eastAsia" w:ascii="宋体" w:hAnsi="宋体" w:eastAsia="宋体" w:cs="宋体"/>
                <w:bCs/>
                <w:color w:val="auto"/>
                <w:sz w:val="21"/>
                <w:szCs w:val="21"/>
                <w:highlight w:val="none"/>
                <w:lang w:val="en-US" w:eastAsia="zh-CN"/>
              </w:rPr>
              <w:t>工程</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相关</w:t>
            </w:r>
            <w:r>
              <w:rPr>
                <w:rFonts w:hint="eastAsia" w:ascii="宋体" w:hAnsi="宋体" w:eastAsia="宋体" w:cs="宋体"/>
                <w:bCs/>
                <w:color w:val="auto"/>
                <w:sz w:val="21"/>
                <w:szCs w:val="21"/>
                <w:highlight w:val="none"/>
              </w:rPr>
              <w:t>专业中级技术职称的每人得</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此</w:t>
            </w:r>
            <w:r>
              <w:rPr>
                <w:rFonts w:hint="eastAsia" w:ascii="宋体" w:hAnsi="宋体" w:eastAsia="宋体" w:cs="宋体"/>
                <w:bCs/>
                <w:color w:val="auto"/>
                <w:sz w:val="21"/>
                <w:szCs w:val="21"/>
                <w:highlight w:val="none"/>
              </w:rPr>
              <w:t>项满分</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p w14:paraId="2B5882F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②</w:t>
            </w:r>
            <w:r>
              <w:rPr>
                <w:rFonts w:hint="eastAsia" w:ascii="宋体" w:hAnsi="宋体" w:eastAsia="宋体" w:cs="宋体"/>
                <w:bCs/>
                <w:color w:val="auto"/>
                <w:sz w:val="21"/>
                <w:szCs w:val="21"/>
                <w:highlight w:val="none"/>
                <w:lang w:val="en-US" w:eastAsia="zh-CN"/>
              </w:rPr>
              <w:t>具有</w:t>
            </w:r>
            <w:r>
              <w:rPr>
                <w:rFonts w:hint="eastAsia" w:ascii="宋体" w:hAnsi="宋体" w:eastAsia="宋体" w:cs="宋体"/>
                <w:color w:val="auto"/>
                <w:sz w:val="21"/>
                <w:szCs w:val="21"/>
                <w:highlight w:val="none"/>
              </w:rPr>
              <w:t>注册土木工程师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水利水电工程规划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执业资格证书的</w:t>
            </w:r>
            <w:r>
              <w:rPr>
                <w:rFonts w:hint="eastAsia" w:ascii="宋体" w:hAnsi="宋体" w:eastAsia="宋体" w:cs="宋体"/>
                <w:color w:val="auto"/>
                <w:sz w:val="21"/>
                <w:szCs w:val="21"/>
                <w:highlight w:val="none"/>
                <w:lang w:val="en-US" w:eastAsia="zh-CN"/>
              </w:rPr>
              <w:t>每人得1分，此项满分4分。</w:t>
            </w:r>
          </w:p>
          <w:p w14:paraId="3A4675B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③</w:t>
            </w:r>
            <w:r>
              <w:rPr>
                <w:rFonts w:hint="eastAsia" w:ascii="宋体" w:hAnsi="宋体" w:eastAsia="宋体" w:cs="宋体"/>
                <w:bCs/>
                <w:color w:val="auto"/>
                <w:sz w:val="21"/>
                <w:szCs w:val="21"/>
                <w:highlight w:val="none"/>
              </w:rPr>
              <w:t>具有咨询工程师（投资）登记证书（水利水电专业）的，每人得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color w:val="auto"/>
                <w:sz w:val="21"/>
                <w:szCs w:val="21"/>
                <w:highlight w:val="none"/>
                <w:lang w:val="en-US" w:eastAsia="zh-CN"/>
              </w:rPr>
              <w:t>，此项满分4分。</w:t>
            </w:r>
          </w:p>
          <w:p w14:paraId="0C5F7ABD">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在响应文件中提供项目实施人员一览表、以上人员有效的职称证或资格证书、在职证明材料（劳动合同或事业单位机构编制证书或供应商代缴个人所得税证明等证明材料）等复印件，复印件须加盖供应商电子公章；人员同时具有多个证书的不重复计分；未按要求提供的不得分。</w:t>
            </w:r>
          </w:p>
        </w:tc>
      </w:tr>
      <w:tr w14:paraId="195C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6" w:type="dxa"/>
            <w:vMerge w:val="continue"/>
            <w:noWrap w:val="0"/>
            <w:vAlign w:val="center"/>
          </w:tcPr>
          <w:p w14:paraId="5EC12EED">
            <w:pPr>
              <w:keepNext w:val="0"/>
              <w:keepLines w:val="0"/>
              <w:pageBreakBefore w:val="0"/>
              <w:widowControl w:val="0"/>
              <w:kinsoku/>
              <w:wordWrap/>
              <w:overflowPunct/>
              <w:topLinePunct w:val="0"/>
              <w:autoSpaceDE/>
              <w:autoSpaceDN/>
              <w:bidi w:val="0"/>
              <w:snapToGrid w:val="0"/>
              <w:spacing w:line="400" w:lineRule="exact"/>
              <w:jc w:val="center"/>
              <w:rPr>
                <w:rFonts w:hint="eastAsia" w:ascii="宋体" w:hAnsi="宋体" w:eastAsia="宋体" w:cs="宋体"/>
                <w:bCs/>
                <w:color w:val="auto"/>
                <w:sz w:val="21"/>
                <w:szCs w:val="21"/>
                <w:highlight w:val="none"/>
              </w:rPr>
            </w:pPr>
          </w:p>
        </w:tc>
        <w:tc>
          <w:tcPr>
            <w:tcW w:w="1371" w:type="dxa"/>
            <w:vMerge w:val="continue"/>
            <w:noWrap w:val="0"/>
            <w:vAlign w:val="center"/>
          </w:tcPr>
          <w:p w14:paraId="1A5A8DC4">
            <w:pPr>
              <w:keepNext w:val="0"/>
              <w:keepLines w:val="0"/>
              <w:pageBreakBefore w:val="0"/>
              <w:widowControl w:val="0"/>
              <w:kinsoku/>
              <w:wordWrap/>
              <w:overflowPunct/>
              <w:topLinePunct w:val="0"/>
              <w:autoSpaceDE/>
              <w:autoSpaceDN/>
              <w:bidi w:val="0"/>
              <w:snapToGrid w:val="0"/>
              <w:spacing w:line="400" w:lineRule="exact"/>
              <w:jc w:val="center"/>
              <w:rPr>
                <w:rFonts w:hint="eastAsia" w:ascii="宋体" w:hAnsi="宋体" w:eastAsia="宋体" w:cs="宋体"/>
                <w:bCs/>
                <w:color w:val="auto"/>
                <w:sz w:val="21"/>
                <w:szCs w:val="21"/>
                <w:highlight w:val="none"/>
              </w:rPr>
            </w:pPr>
          </w:p>
        </w:tc>
        <w:tc>
          <w:tcPr>
            <w:tcW w:w="1467" w:type="dxa"/>
            <w:noWrap w:val="0"/>
            <w:vAlign w:val="center"/>
          </w:tcPr>
          <w:p w14:paraId="2285BA10">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3.2业绩分（满分10分）</w:t>
            </w:r>
          </w:p>
        </w:tc>
        <w:tc>
          <w:tcPr>
            <w:tcW w:w="6057" w:type="dxa"/>
            <w:noWrap w:val="0"/>
            <w:vAlign w:val="center"/>
          </w:tcPr>
          <w:p w14:paraId="47FBFBF4">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2022年1月1日以来</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供应商承担过</w:t>
            </w:r>
            <w:r>
              <w:rPr>
                <w:rFonts w:hint="eastAsia" w:ascii="宋体" w:hAnsi="宋体" w:cs="宋体"/>
                <w:bCs/>
                <w:color w:val="auto"/>
                <w:szCs w:val="21"/>
                <w:highlight w:val="none"/>
              </w:rPr>
              <w:t>同类型项目</w:t>
            </w:r>
            <w:r>
              <w:rPr>
                <w:rFonts w:hint="eastAsia" w:ascii="宋体" w:hAnsi="宋体" w:eastAsia="宋体" w:cs="宋体"/>
                <w:bCs/>
                <w:color w:val="auto"/>
                <w:sz w:val="21"/>
                <w:szCs w:val="21"/>
                <w:highlight w:val="none"/>
              </w:rPr>
              <w:t>，每项得2分，本项满分10分。</w:t>
            </w:r>
          </w:p>
          <w:p w14:paraId="5F03E01D">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注：提供合同复印件并加盖供应商电子公章；合同需体现合同标的、合同双方签字或盖章信息、合同签订时间等实质性信息，否则不予计分。</w:t>
            </w:r>
          </w:p>
        </w:tc>
      </w:tr>
      <w:tr w14:paraId="3A2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31" w:type="dxa"/>
            <w:gridSpan w:val="4"/>
            <w:noWrap w:val="0"/>
            <w:vAlign w:val="top"/>
          </w:tcPr>
          <w:p w14:paraId="6912B0BD">
            <w:pPr>
              <w:keepNext w:val="0"/>
              <w:keepLines w:val="0"/>
              <w:pageBreakBefore w:val="0"/>
              <w:widowControl w:val="0"/>
              <w:kinsoku/>
              <w:wordWrap/>
              <w:overflowPunct/>
              <w:topLinePunct w:val="0"/>
              <w:autoSpaceDE/>
              <w:autoSpaceDN/>
              <w:bidi w:val="0"/>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总得分（100分）=1+2+3</w:t>
            </w:r>
          </w:p>
        </w:tc>
      </w:tr>
    </w:tbl>
    <w:p w14:paraId="30B10FCC">
      <w:pPr>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评标顺序：</w:t>
      </w:r>
    </w:p>
    <w:p w14:paraId="17A6B266">
      <w:pPr>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由磋商小组根据综合评分情况，按照各分标（如有）评审得分由高到低顺序推荐3名以上成交候选供应商，并编写评审报告，</w:t>
      </w:r>
      <w:r>
        <w:rPr>
          <w:rFonts w:hint="eastAsia" w:ascii="宋体" w:hAnsi="宋体" w:eastAsia="宋体" w:cs="宋体"/>
          <w:color w:val="auto"/>
          <w:sz w:val="21"/>
          <w:szCs w:val="21"/>
          <w:highlight w:val="none"/>
        </w:rPr>
        <w:t>评审报告通过电子交易平台向采购人、采购代理机构提交。</w:t>
      </w:r>
      <w:r>
        <w:rPr>
          <w:rFonts w:hint="eastAsia" w:ascii="宋体" w:hAnsi="宋体" w:eastAsia="宋体" w:cs="宋体"/>
          <w:bCs/>
          <w:color w:val="auto"/>
          <w:sz w:val="21"/>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6A00373">
      <w:pPr>
        <w:pStyle w:val="4"/>
        <w:shd w:val="clear" w:color="auto" w:fill="auto"/>
        <w:jc w:val="center"/>
        <w:rPr>
          <w:rFonts w:hint="eastAsia" w:ascii="仿宋" w:hAnsi="仿宋" w:eastAsia="仿宋" w:cs="仿宋"/>
          <w:b/>
          <w:color w:val="auto"/>
          <w:sz w:val="32"/>
          <w:szCs w:val="32"/>
          <w:highlight w:val="none"/>
        </w:rPr>
      </w:pPr>
      <w:r>
        <w:rPr>
          <w:rFonts w:hint="eastAsia" w:ascii="仿宋" w:hAnsi="仿宋" w:eastAsia="仿宋" w:cs="仿宋"/>
          <w:color w:val="auto"/>
          <w:highlight w:val="none"/>
        </w:rPr>
        <w:br w:type="page"/>
      </w:r>
      <w:bookmarkStart w:id="96" w:name="_Toc30035"/>
      <w:bookmarkStart w:id="97" w:name="_Toc144750175"/>
      <w:bookmarkStart w:id="98" w:name="_Toc17964"/>
      <w:r>
        <w:rPr>
          <w:rFonts w:hint="eastAsia" w:ascii="方正小标宋_GBK" w:hAnsi="方正小标宋_GBK" w:eastAsia="方正小标宋_GBK" w:cs="方正小标宋_GBK"/>
          <w:color w:val="auto"/>
          <w:sz w:val="28"/>
          <w:szCs w:val="28"/>
          <w:highlight w:val="none"/>
          <w:lang w:val="en-US" w:eastAsia="zh-CN"/>
        </w:rPr>
        <w:t>第五章 响应文件格式</w:t>
      </w:r>
      <w:bookmarkEnd w:id="96"/>
      <w:bookmarkEnd w:id="97"/>
      <w:bookmarkEnd w:id="98"/>
    </w:p>
    <w:p w14:paraId="41628FED">
      <w:pPr>
        <w:shd w:val="clear" w:color="auto" w:fill="auto"/>
        <w:spacing w:line="240" w:lineRule="atLeast"/>
        <w:rPr>
          <w:rFonts w:hint="eastAsia" w:ascii="仿宋" w:hAnsi="仿宋" w:eastAsia="仿宋" w:cs="仿宋"/>
          <w:b/>
          <w:color w:val="auto"/>
          <w:sz w:val="32"/>
          <w:szCs w:val="32"/>
          <w:highlight w:val="none"/>
        </w:rPr>
      </w:pPr>
    </w:p>
    <w:p w14:paraId="1FE6B836">
      <w:pPr>
        <w:shd w:val="clear" w:color="auto" w:fill="auto"/>
        <w:spacing w:line="240" w:lineRule="atLeast"/>
        <w:rPr>
          <w:rFonts w:hint="eastAsia" w:ascii="仿宋" w:hAnsi="仿宋" w:eastAsia="仿宋" w:cs="仿宋"/>
          <w:b/>
          <w:color w:val="auto"/>
          <w:sz w:val="32"/>
          <w:szCs w:val="32"/>
          <w:highlight w:val="none"/>
        </w:rPr>
      </w:pPr>
    </w:p>
    <w:p w14:paraId="6756E0AA">
      <w:pPr>
        <w:shd w:val="clear" w:color="auto" w:fill="auto"/>
        <w:spacing w:line="240" w:lineRule="atLeast"/>
        <w:outlineLvl w:val="1"/>
        <w:rPr>
          <w:rFonts w:hint="eastAsia" w:ascii="宋体" w:hAnsi="宋体" w:eastAsia="宋体" w:cs="宋体"/>
          <w:b/>
          <w:color w:val="auto"/>
          <w:sz w:val="21"/>
          <w:szCs w:val="21"/>
          <w:highlight w:val="none"/>
        </w:rPr>
      </w:pPr>
      <w:r>
        <w:rPr>
          <w:rFonts w:hint="eastAsia" w:ascii="仿宋" w:hAnsi="仿宋" w:eastAsia="仿宋" w:cs="仿宋"/>
          <w:b/>
          <w:color w:val="auto"/>
          <w:sz w:val="32"/>
          <w:szCs w:val="32"/>
          <w:highlight w:val="none"/>
        </w:rPr>
        <w:br w:type="page"/>
      </w:r>
      <w:bookmarkStart w:id="99" w:name="_Toc25236"/>
      <w:bookmarkStart w:id="100" w:name="_Toc30636"/>
      <w:r>
        <w:rPr>
          <w:rFonts w:hint="eastAsia" w:ascii="宋体" w:hAnsi="宋体" w:eastAsia="宋体" w:cs="宋体"/>
          <w:b/>
          <w:color w:val="auto"/>
          <w:sz w:val="21"/>
          <w:szCs w:val="21"/>
          <w:highlight w:val="none"/>
        </w:rPr>
        <w:t>一、资格证明文件格式</w:t>
      </w:r>
      <w:bookmarkEnd w:id="99"/>
      <w:bookmarkEnd w:id="100"/>
    </w:p>
    <w:p w14:paraId="6B5EDBF6">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1.资格证明文件封面格式： </w:t>
      </w:r>
    </w:p>
    <w:p w14:paraId="5756BFDE">
      <w:pPr>
        <w:shd w:val="clear" w:color="auto" w:fill="auto"/>
        <w:snapToGrid w:val="0"/>
        <w:spacing w:before="156" w:beforeLines="50" w:after="50"/>
        <w:jc w:val="center"/>
        <w:rPr>
          <w:rFonts w:hint="eastAsia" w:ascii="宋体" w:hAnsi="宋体" w:eastAsia="宋体" w:cs="宋体"/>
          <w:color w:val="auto"/>
          <w:sz w:val="44"/>
          <w:szCs w:val="44"/>
          <w:highlight w:val="none"/>
        </w:rPr>
      </w:pPr>
    </w:p>
    <w:p w14:paraId="34CADB3C">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24B4DA5F">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2A7BE59A">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资  格  证  明  文  件</w:t>
      </w:r>
    </w:p>
    <w:p w14:paraId="100DF207">
      <w:pPr>
        <w:shd w:val="clear" w:color="auto" w:fill="auto"/>
        <w:snapToGrid w:val="0"/>
        <w:spacing w:before="156" w:beforeLines="50" w:after="50"/>
        <w:rPr>
          <w:rFonts w:hint="eastAsia" w:ascii="宋体" w:hAnsi="宋体" w:eastAsia="宋体" w:cs="宋体"/>
          <w:bCs/>
          <w:color w:val="auto"/>
          <w:sz w:val="24"/>
          <w:szCs w:val="20"/>
          <w:highlight w:val="none"/>
        </w:rPr>
      </w:pPr>
    </w:p>
    <w:p w14:paraId="4C64DF56">
      <w:pPr>
        <w:shd w:val="clear" w:color="auto" w:fill="auto"/>
        <w:snapToGrid w:val="0"/>
        <w:spacing w:before="156" w:beforeLines="50" w:after="50"/>
        <w:rPr>
          <w:rFonts w:hint="eastAsia" w:ascii="宋体" w:hAnsi="宋体" w:eastAsia="宋体" w:cs="宋体"/>
          <w:bCs/>
          <w:color w:val="auto"/>
          <w:sz w:val="24"/>
          <w:szCs w:val="20"/>
          <w:highlight w:val="none"/>
        </w:rPr>
      </w:pPr>
    </w:p>
    <w:p w14:paraId="493EC325">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3D1469B4">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3377A424">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2CA9D5C3">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7EEE1E56">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5D65C083">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0D2E7E94">
      <w:pPr>
        <w:pStyle w:val="9"/>
        <w:shd w:val="clear" w:color="auto" w:fill="auto"/>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36E8CEE0">
      <w:pPr>
        <w:pStyle w:val="9"/>
        <w:shd w:val="clear" w:color="auto" w:fill="auto"/>
        <w:snapToGrid w:val="0"/>
        <w:spacing w:before="50" w:after="50"/>
        <w:ind w:firstLine="472" w:firstLineChars="225"/>
        <w:rPr>
          <w:rFonts w:hint="eastAsia" w:ascii="宋体" w:hAnsi="宋体" w:eastAsia="宋体" w:cs="宋体"/>
          <w:bCs/>
          <w:color w:val="auto"/>
          <w:sz w:val="21"/>
          <w:szCs w:val="21"/>
          <w:highlight w:val="none"/>
        </w:rPr>
      </w:pPr>
    </w:p>
    <w:p w14:paraId="7DB5C2DF">
      <w:pPr>
        <w:pStyle w:val="9"/>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48C75EFC">
      <w:pPr>
        <w:pStyle w:val="9"/>
        <w:shd w:val="clear" w:color="auto" w:fill="auto"/>
        <w:snapToGrid w:val="0"/>
        <w:spacing w:before="50" w:after="50"/>
        <w:ind w:firstLine="1280" w:firstLineChars="400"/>
        <w:rPr>
          <w:rFonts w:hint="eastAsia" w:ascii="宋体" w:hAnsi="宋体" w:eastAsia="宋体" w:cs="宋体"/>
          <w:bCs/>
          <w:color w:val="auto"/>
          <w:sz w:val="32"/>
          <w:szCs w:val="32"/>
          <w:highlight w:val="none"/>
        </w:rPr>
      </w:pPr>
    </w:p>
    <w:p w14:paraId="5988EEFF">
      <w:pPr>
        <w:shd w:val="clear" w:color="auto" w:fill="auto"/>
        <w:snapToGrid w:val="0"/>
        <w:spacing w:before="156" w:beforeLines="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EAB35C1">
      <w:pPr>
        <w:shd w:val="clear" w:color="auto" w:fill="auto"/>
        <w:snapToGrid w:val="0"/>
        <w:spacing w:before="156" w:beforeLines="50" w:after="50" w:line="360" w:lineRule="auto"/>
        <w:ind w:left="142"/>
        <w:jc w:val="left"/>
        <w:rPr>
          <w:rFonts w:hint="eastAsia" w:ascii="宋体" w:hAnsi="宋体" w:eastAsia="宋体" w:cs="宋体"/>
          <w:b/>
          <w:bCs/>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1"/>
          <w:szCs w:val="21"/>
          <w:highlight w:val="none"/>
        </w:rPr>
        <w:t>2.资格证明文件目录</w:t>
      </w:r>
    </w:p>
    <w:p w14:paraId="279B9ED1">
      <w:pPr>
        <w:shd w:val="clear" w:color="auto" w:fill="auto"/>
        <w:snapToGrid w:val="0"/>
        <w:spacing w:before="156" w:beforeLines="50" w:after="50"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根据磋商文件规定及供应商提供的材料自行编写目录（部分格式后附）。</w:t>
      </w:r>
    </w:p>
    <w:p w14:paraId="6826089B">
      <w:pPr>
        <w:shd w:val="clear" w:color="auto" w:fill="auto"/>
        <w:snapToGrid w:val="0"/>
        <w:spacing w:before="156" w:beforeLines="50" w:after="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23A44763">
      <w:pPr>
        <w:shd w:val="clear" w:color="auto" w:fill="auto"/>
        <w:spacing w:line="300" w:lineRule="auto"/>
        <w:rPr>
          <w:rFonts w:hint="eastAsia" w:ascii="仿宋" w:hAnsi="仿宋" w:eastAsia="仿宋" w:cs="仿宋"/>
          <w:color w:val="auto"/>
          <w:szCs w:val="21"/>
          <w:highlight w:val="none"/>
        </w:rPr>
      </w:pPr>
    </w:p>
    <w:p w14:paraId="51D42C30">
      <w:pPr>
        <w:shd w:val="clear" w:color="auto" w:fill="auto"/>
        <w:spacing w:line="300" w:lineRule="auto"/>
        <w:rPr>
          <w:rFonts w:hint="eastAsia" w:ascii="仿宋" w:hAnsi="仿宋" w:eastAsia="仿宋" w:cs="仿宋"/>
          <w:color w:val="auto"/>
          <w:szCs w:val="21"/>
          <w:highlight w:val="none"/>
        </w:rPr>
      </w:pPr>
    </w:p>
    <w:p w14:paraId="78791B8A">
      <w:pPr>
        <w:shd w:val="clear" w:color="auto" w:fill="auto"/>
        <w:spacing w:line="300" w:lineRule="auto"/>
        <w:rPr>
          <w:rFonts w:hint="eastAsia" w:ascii="仿宋" w:hAnsi="仿宋" w:eastAsia="仿宋" w:cs="仿宋"/>
          <w:color w:val="auto"/>
          <w:szCs w:val="21"/>
          <w:highlight w:val="none"/>
        </w:rPr>
      </w:pPr>
    </w:p>
    <w:p w14:paraId="67E67AEF">
      <w:pPr>
        <w:shd w:val="clear" w:color="auto" w:fill="auto"/>
        <w:spacing w:line="300" w:lineRule="auto"/>
        <w:rPr>
          <w:rFonts w:hint="eastAsia" w:ascii="仿宋" w:hAnsi="仿宋" w:eastAsia="仿宋" w:cs="仿宋"/>
          <w:color w:val="auto"/>
          <w:szCs w:val="21"/>
          <w:highlight w:val="none"/>
        </w:rPr>
      </w:pPr>
    </w:p>
    <w:p w14:paraId="2F0D8A6E">
      <w:pPr>
        <w:shd w:val="clear" w:color="auto" w:fill="auto"/>
        <w:spacing w:line="300" w:lineRule="auto"/>
        <w:rPr>
          <w:rFonts w:hint="eastAsia" w:ascii="仿宋" w:hAnsi="仿宋" w:eastAsia="仿宋" w:cs="仿宋"/>
          <w:color w:val="auto"/>
          <w:szCs w:val="21"/>
          <w:highlight w:val="none"/>
        </w:rPr>
      </w:pPr>
    </w:p>
    <w:p w14:paraId="1A76FA9B">
      <w:pPr>
        <w:shd w:val="clear" w:color="auto" w:fill="auto"/>
        <w:spacing w:line="300" w:lineRule="auto"/>
        <w:rPr>
          <w:rFonts w:hint="eastAsia" w:ascii="仿宋" w:hAnsi="仿宋" w:eastAsia="仿宋" w:cs="仿宋"/>
          <w:color w:val="auto"/>
          <w:szCs w:val="21"/>
          <w:highlight w:val="none"/>
        </w:rPr>
      </w:pPr>
    </w:p>
    <w:p w14:paraId="503BBCFB">
      <w:pPr>
        <w:shd w:val="clear" w:color="auto" w:fill="auto"/>
        <w:spacing w:line="300" w:lineRule="auto"/>
        <w:rPr>
          <w:rFonts w:hint="eastAsia" w:ascii="仿宋" w:hAnsi="仿宋" w:eastAsia="仿宋" w:cs="仿宋"/>
          <w:color w:val="auto"/>
          <w:szCs w:val="21"/>
          <w:highlight w:val="none"/>
        </w:rPr>
      </w:pPr>
    </w:p>
    <w:p w14:paraId="1AB1080A">
      <w:pPr>
        <w:shd w:val="clear" w:color="auto" w:fill="auto"/>
        <w:spacing w:line="300" w:lineRule="auto"/>
        <w:rPr>
          <w:rFonts w:hint="eastAsia" w:ascii="仿宋" w:hAnsi="仿宋" w:eastAsia="仿宋" w:cs="仿宋"/>
          <w:color w:val="auto"/>
          <w:szCs w:val="21"/>
          <w:highlight w:val="none"/>
        </w:rPr>
      </w:pPr>
    </w:p>
    <w:p w14:paraId="393A53C6">
      <w:pPr>
        <w:shd w:val="clear" w:color="auto" w:fill="auto"/>
        <w:spacing w:line="300" w:lineRule="auto"/>
        <w:rPr>
          <w:rFonts w:hint="eastAsia" w:ascii="仿宋" w:hAnsi="仿宋" w:eastAsia="仿宋" w:cs="仿宋"/>
          <w:color w:val="auto"/>
          <w:szCs w:val="21"/>
          <w:highlight w:val="none"/>
        </w:rPr>
      </w:pPr>
    </w:p>
    <w:p w14:paraId="70DC33CE">
      <w:pPr>
        <w:shd w:val="clear" w:color="auto" w:fill="auto"/>
        <w:spacing w:line="300" w:lineRule="auto"/>
        <w:rPr>
          <w:rFonts w:hint="eastAsia" w:ascii="仿宋" w:hAnsi="仿宋" w:eastAsia="仿宋" w:cs="仿宋"/>
          <w:color w:val="auto"/>
          <w:szCs w:val="21"/>
          <w:highlight w:val="none"/>
        </w:rPr>
      </w:pPr>
    </w:p>
    <w:p w14:paraId="691E4D5E">
      <w:pPr>
        <w:shd w:val="clear" w:color="auto" w:fill="auto"/>
        <w:spacing w:line="300" w:lineRule="auto"/>
        <w:rPr>
          <w:rFonts w:hint="eastAsia" w:ascii="仿宋" w:hAnsi="仿宋" w:eastAsia="仿宋" w:cs="仿宋"/>
          <w:color w:val="auto"/>
          <w:szCs w:val="21"/>
          <w:highlight w:val="none"/>
        </w:rPr>
      </w:pPr>
    </w:p>
    <w:p w14:paraId="2C0F6C13">
      <w:pPr>
        <w:shd w:val="clear" w:color="auto" w:fill="auto"/>
        <w:spacing w:line="300" w:lineRule="auto"/>
        <w:rPr>
          <w:rFonts w:hint="eastAsia" w:ascii="仿宋" w:hAnsi="仿宋" w:eastAsia="仿宋" w:cs="仿宋"/>
          <w:color w:val="auto"/>
          <w:szCs w:val="21"/>
          <w:highlight w:val="none"/>
        </w:rPr>
      </w:pPr>
    </w:p>
    <w:p w14:paraId="742E74FA">
      <w:pPr>
        <w:shd w:val="clear" w:color="auto" w:fill="auto"/>
        <w:spacing w:line="300" w:lineRule="auto"/>
        <w:rPr>
          <w:rFonts w:hint="eastAsia" w:ascii="仿宋" w:hAnsi="仿宋" w:eastAsia="仿宋" w:cs="仿宋"/>
          <w:color w:val="auto"/>
          <w:szCs w:val="21"/>
          <w:highlight w:val="none"/>
        </w:rPr>
      </w:pPr>
    </w:p>
    <w:p w14:paraId="79EFD20F">
      <w:pPr>
        <w:shd w:val="clear" w:color="auto" w:fill="auto"/>
        <w:spacing w:line="300" w:lineRule="auto"/>
        <w:rPr>
          <w:rFonts w:hint="eastAsia" w:ascii="仿宋" w:hAnsi="仿宋" w:eastAsia="仿宋" w:cs="仿宋"/>
          <w:color w:val="auto"/>
          <w:szCs w:val="21"/>
          <w:highlight w:val="none"/>
        </w:rPr>
      </w:pPr>
    </w:p>
    <w:p w14:paraId="7E7C4799">
      <w:pPr>
        <w:shd w:val="clear" w:color="auto" w:fill="auto"/>
        <w:spacing w:line="300" w:lineRule="auto"/>
        <w:rPr>
          <w:rFonts w:hint="eastAsia" w:ascii="仿宋" w:hAnsi="仿宋" w:eastAsia="仿宋" w:cs="仿宋"/>
          <w:color w:val="auto"/>
          <w:szCs w:val="21"/>
          <w:highlight w:val="none"/>
        </w:rPr>
      </w:pPr>
    </w:p>
    <w:p w14:paraId="700C83D5">
      <w:pPr>
        <w:shd w:val="clear" w:color="auto" w:fill="auto"/>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 xml:space="preserve"> </w:t>
      </w:r>
    </w:p>
    <w:p w14:paraId="78963A56">
      <w:pPr>
        <w:shd w:val="clear" w:color="auto" w:fill="auto"/>
        <w:snapToGrid w:val="0"/>
        <w:spacing w:before="156" w:beforeLines="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供应商直接控股、管理关系信息表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49"/>
        <w:gridCol w:w="802"/>
        <w:gridCol w:w="1483"/>
        <w:gridCol w:w="4395"/>
      </w:tblGrid>
      <w:tr w14:paraId="4617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418" w:type="pct"/>
            <w:gridSpan w:val="4"/>
            <w:shd w:val="clear" w:color="auto" w:fill="F2DBDB"/>
            <w:noWrap w:val="0"/>
            <w:vAlign w:val="center"/>
          </w:tcPr>
          <w:p w14:paraId="11C0458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2581" w:type="pct"/>
            <w:shd w:val="clear" w:color="auto" w:fill="F2DBDB"/>
            <w:noWrap w:val="0"/>
            <w:vAlign w:val="center"/>
          </w:tcPr>
          <w:p w14:paraId="24F3C6A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5E62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615D7DE8">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16" w:type="pct"/>
            <w:noWrap w:val="0"/>
            <w:vAlign w:val="center"/>
          </w:tcPr>
          <w:p w14:paraId="65189964">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470" w:type="pct"/>
            <w:noWrap w:val="0"/>
            <w:vAlign w:val="center"/>
          </w:tcPr>
          <w:p w14:paraId="4FC6C50D">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869" w:type="pct"/>
            <w:noWrap w:val="0"/>
            <w:vAlign w:val="center"/>
          </w:tcPr>
          <w:p w14:paraId="310AD8D2">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2581" w:type="pct"/>
            <w:vMerge w:val="restart"/>
            <w:noWrap w:val="0"/>
            <w:vAlign w:val="center"/>
          </w:tcPr>
          <w:p w14:paraId="769416D6">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2E5B7F">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6A86B203">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3.供应商不存在直接控股股东的，则填“无”。</w:t>
            </w:r>
          </w:p>
        </w:tc>
      </w:tr>
      <w:tr w14:paraId="4C5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5442AF51">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616" w:type="pct"/>
            <w:noWrap w:val="0"/>
            <w:vAlign w:val="top"/>
          </w:tcPr>
          <w:p w14:paraId="42868F3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noWrap w:val="0"/>
            <w:vAlign w:val="top"/>
          </w:tcPr>
          <w:p w14:paraId="5A6572A4">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noWrap w:val="0"/>
            <w:vAlign w:val="top"/>
          </w:tcPr>
          <w:p w14:paraId="14B2300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noWrap w:val="0"/>
            <w:vAlign w:val="top"/>
          </w:tcPr>
          <w:p w14:paraId="07822933">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7485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3C321F3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616" w:type="pct"/>
            <w:noWrap w:val="0"/>
            <w:vAlign w:val="top"/>
          </w:tcPr>
          <w:p w14:paraId="53FBC0B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noWrap w:val="0"/>
            <w:vAlign w:val="top"/>
          </w:tcPr>
          <w:p w14:paraId="11DD29A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noWrap w:val="0"/>
            <w:vAlign w:val="top"/>
          </w:tcPr>
          <w:p w14:paraId="5080F1B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noWrap w:val="0"/>
            <w:vAlign w:val="top"/>
          </w:tcPr>
          <w:p w14:paraId="6CBE70C4">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r>
      <w:tr w14:paraId="0DE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Borders>
              <w:bottom w:val="single" w:color="auto" w:sz="4" w:space="0"/>
            </w:tcBorders>
            <w:noWrap w:val="0"/>
            <w:vAlign w:val="top"/>
          </w:tcPr>
          <w:p w14:paraId="00821ADA">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616" w:type="pct"/>
            <w:tcBorders>
              <w:bottom w:val="single" w:color="auto" w:sz="4" w:space="0"/>
            </w:tcBorders>
            <w:noWrap w:val="0"/>
            <w:vAlign w:val="top"/>
          </w:tcPr>
          <w:p w14:paraId="01D57E3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tcBorders>
              <w:bottom w:val="single" w:color="auto" w:sz="4" w:space="0"/>
            </w:tcBorders>
            <w:noWrap w:val="0"/>
            <w:vAlign w:val="top"/>
          </w:tcPr>
          <w:p w14:paraId="50ED61B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tcBorders>
              <w:bottom w:val="single" w:color="auto" w:sz="4" w:space="0"/>
            </w:tcBorders>
            <w:noWrap w:val="0"/>
            <w:vAlign w:val="top"/>
          </w:tcPr>
          <w:p w14:paraId="3205830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tcBorders>
              <w:bottom w:val="single" w:color="auto" w:sz="4" w:space="0"/>
            </w:tcBorders>
            <w:noWrap w:val="0"/>
            <w:vAlign w:val="top"/>
          </w:tcPr>
          <w:p w14:paraId="68993E8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r>
      <w:tr w14:paraId="3232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18" w:type="pct"/>
            <w:gridSpan w:val="4"/>
            <w:shd w:val="clear" w:color="auto" w:fill="F2DBDB"/>
            <w:noWrap w:val="0"/>
            <w:vAlign w:val="center"/>
          </w:tcPr>
          <w:p w14:paraId="36992B51">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2581" w:type="pct"/>
            <w:shd w:val="clear" w:color="auto" w:fill="F2DBDB"/>
            <w:noWrap w:val="0"/>
            <w:vAlign w:val="center"/>
          </w:tcPr>
          <w:p w14:paraId="0FE616A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439B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5A366DA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087" w:type="pct"/>
            <w:gridSpan w:val="2"/>
            <w:noWrap w:val="0"/>
            <w:vAlign w:val="center"/>
          </w:tcPr>
          <w:p w14:paraId="40E5EBAF">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869" w:type="pct"/>
            <w:noWrap w:val="0"/>
            <w:vAlign w:val="center"/>
          </w:tcPr>
          <w:p w14:paraId="780B922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2581" w:type="pct"/>
            <w:vMerge w:val="restart"/>
            <w:noWrap w:val="0"/>
            <w:vAlign w:val="center"/>
          </w:tcPr>
          <w:p w14:paraId="37B15205">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D080825">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4BC4FA05">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tc>
      </w:tr>
      <w:tr w14:paraId="056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5E7779AC">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87" w:type="pct"/>
            <w:gridSpan w:val="2"/>
            <w:noWrap w:val="0"/>
            <w:vAlign w:val="center"/>
          </w:tcPr>
          <w:p w14:paraId="4944086F">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4A7A7E56">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425169FE">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1D6E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540356E1">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87" w:type="pct"/>
            <w:gridSpan w:val="2"/>
            <w:noWrap w:val="0"/>
            <w:vAlign w:val="center"/>
          </w:tcPr>
          <w:p w14:paraId="677255AD">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5D955FA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549F4ED9">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63F6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067632D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87" w:type="pct"/>
            <w:gridSpan w:val="2"/>
            <w:noWrap w:val="0"/>
            <w:vAlign w:val="center"/>
          </w:tcPr>
          <w:p w14:paraId="7BF1FE7A">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59DCFDF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65207E49">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bl>
    <w:p w14:paraId="7E89C8FD">
      <w:pPr>
        <w:shd w:val="clear" w:color="auto" w:fill="auto"/>
        <w:snapToGrid w:val="0"/>
        <w:spacing w:line="360" w:lineRule="auto"/>
        <w:jc w:val="left"/>
        <w:rPr>
          <w:rFonts w:hint="eastAsia" w:ascii="仿宋" w:hAnsi="仿宋" w:eastAsia="仿宋" w:cs="仿宋"/>
          <w:color w:val="auto"/>
          <w:sz w:val="24"/>
          <w:highlight w:val="none"/>
        </w:rPr>
      </w:pPr>
    </w:p>
    <w:p w14:paraId="382C56B8">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480" w:firstLine="2625" w:firstLineChars="125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供应商（电子签章）： </w:t>
      </w:r>
      <w:r>
        <w:rPr>
          <w:rFonts w:hint="eastAsia" w:ascii="宋体" w:hAnsi="宋体" w:eastAsia="宋体" w:cs="宋体"/>
          <w:color w:val="auto"/>
          <w:sz w:val="21"/>
          <w:szCs w:val="21"/>
          <w:highlight w:val="none"/>
          <w:u w:val="single"/>
        </w:rPr>
        <w:t xml:space="preserve">                              </w:t>
      </w:r>
    </w:p>
    <w:p w14:paraId="6AD8BF2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5AF9D42E">
      <w:pPr>
        <w:shd w:val="clear" w:color="auto" w:fill="auto"/>
        <w:snapToGrid w:val="0"/>
        <w:jc w:val="center"/>
        <w:rPr>
          <w:rFonts w:hint="eastAsia" w:ascii="宋体" w:hAnsi="宋体" w:eastAsia="宋体" w:cs="宋体"/>
          <w:b/>
          <w:color w:val="auto"/>
          <w:sz w:val="21"/>
          <w:szCs w:val="21"/>
          <w:highlight w:val="none"/>
        </w:rPr>
      </w:pPr>
      <w:r>
        <w:rPr>
          <w:rFonts w:hint="eastAsia" w:ascii="仿宋" w:hAnsi="仿宋" w:eastAsia="仿宋" w:cs="仿宋"/>
          <w:b/>
          <w:color w:val="auto"/>
          <w:sz w:val="28"/>
          <w:szCs w:val="28"/>
          <w:highlight w:val="none"/>
        </w:rPr>
        <w:br w:type="page"/>
      </w:r>
      <w:r>
        <w:rPr>
          <w:rFonts w:hint="eastAsia" w:ascii="宋体" w:hAnsi="宋体" w:eastAsia="宋体" w:cs="宋体"/>
          <w:b/>
          <w:color w:val="auto"/>
          <w:sz w:val="28"/>
          <w:szCs w:val="28"/>
          <w:highlight w:val="none"/>
        </w:rPr>
        <w:t>竞标声明</w:t>
      </w:r>
    </w:p>
    <w:p w14:paraId="3E68762C">
      <w:pPr>
        <w:shd w:val="clear" w:color="auto" w:fill="auto"/>
        <w:spacing w:line="320" w:lineRule="exact"/>
        <w:jc w:val="center"/>
        <w:rPr>
          <w:rFonts w:hint="eastAsia" w:ascii="仿宋" w:hAnsi="仿宋" w:eastAsia="仿宋" w:cs="仿宋"/>
          <w:color w:val="auto"/>
          <w:sz w:val="24"/>
          <w:szCs w:val="20"/>
          <w:highlight w:val="none"/>
        </w:rPr>
      </w:pPr>
    </w:p>
    <w:p w14:paraId="296A1916">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7360200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55562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4167D7B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3A0F65E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24E7795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42FABC6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4C3ABD1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7E473D6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（3）同意提供按照贵方可能要求的与磋商有关的一切数据或者资料；</w:t>
      </w:r>
    </w:p>
    <w:p w14:paraId="1A56744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D395B6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66A1B8C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125681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4713BE3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5ABCDBD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757C954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4E934C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99FFAD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4ED03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EB7D90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069AC16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8A01391">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68C8BAC2">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AB0068">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95CAFCF">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7A78A917">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0BB2503">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p>
    <w:p w14:paraId="3D48F98D">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注：如为联合体竞标，盖章处须加盖联合体牵头人电子签章并由联合体牵头人法定代表人分别签字或者盖章或者电子签名，否则响应文件按无效处理。</w:t>
      </w:r>
    </w:p>
    <w:p w14:paraId="6EEE1EA3">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p>
    <w:p w14:paraId="277B46C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940" w:firstLineChars="1400"/>
        <w:contextualSpacing/>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法定代表人（签字或者盖章或者电子签名）：</w:t>
      </w:r>
      <w:r>
        <w:rPr>
          <w:rFonts w:hint="eastAsia" w:ascii="宋体" w:hAnsi="宋体" w:eastAsia="宋体" w:cs="宋体"/>
          <w:color w:val="auto"/>
          <w:sz w:val="21"/>
          <w:szCs w:val="21"/>
          <w:highlight w:val="none"/>
          <w:u w:val="single"/>
        </w:rPr>
        <w:t xml:space="preserve">           </w:t>
      </w:r>
    </w:p>
    <w:p w14:paraId="64C4570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940" w:firstLineChars="1400"/>
        <w:contextualSpacing/>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FA497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87036AB">
      <w:pPr>
        <w:pStyle w:val="9"/>
        <w:shd w:val="clear" w:color="auto" w:fill="auto"/>
        <w:overflowPunct w:val="0"/>
        <w:spacing w:line="520" w:lineRule="exact"/>
        <w:ind w:firstLine="0"/>
        <w:jc w:val="center"/>
        <w:rPr>
          <w:rFonts w:hint="eastAsia" w:ascii="宋体" w:hAnsi="宋体" w:eastAsia="宋体" w:cs="宋体"/>
          <w:b/>
          <w:bCs/>
          <w:color w:val="auto"/>
          <w:sz w:val="21"/>
          <w:szCs w:val="21"/>
          <w:highlight w:val="none"/>
        </w:rPr>
      </w:pPr>
      <w:r>
        <w:rPr>
          <w:rFonts w:hint="eastAsia" w:ascii="仿宋" w:hAnsi="仿宋" w:eastAsia="仿宋" w:cs="仿宋"/>
          <w:color w:val="auto"/>
          <w:sz w:val="24"/>
          <w:highlight w:val="none"/>
        </w:rPr>
        <w:br w:type="page"/>
      </w:r>
      <w:r>
        <w:rPr>
          <w:rFonts w:hint="eastAsia" w:ascii="宋体" w:hAnsi="宋体" w:eastAsia="宋体" w:cs="宋体"/>
          <w:b/>
          <w:bCs/>
          <w:color w:val="auto"/>
          <w:sz w:val="28"/>
          <w:szCs w:val="28"/>
          <w:highlight w:val="none"/>
        </w:rPr>
        <w:t>联合体竞标协议书</w:t>
      </w:r>
    </w:p>
    <w:p w14:paraId="2BBE8AFE">
      <w:pPr>
        <w:pStyle w:val="9"/>
        <w:shd w:val="clear" w:color="auto" w:fill="auto"/>
        <w:overflowPunct w:val="0"/>
        <w:spacing w:line="360" w:lineRule="auto"/>
        <w:ind w:firstLine="0"/>
        <w:rPr>
          <w:rFonts w:hint="eastAsia" w:ascii="仿宋" w:hAnsi="仿宋" w:eastAsia="仿宋" w:cs="仿宋"/>
          <w:color w:val="auto"/>
          <w:sz w:val="24"/>
          <w:szCs w:val="24"/>
          <w:highlight w:val="none"/>
        </w:rPr>
      </w:pPr>
    </w:p>
    <w:p w14:paraId="5A6B2642">
      <w:pPr>
        <w:pStyle w:val="9"/>
        <w:overflowPunct w:val="0"/>
        <w:spacing w:line="400" w:lineRule="exact"/>
        <w:ind w:firstLine="420" w:firstLineChars="200"/>
        <w:contextualSpacing/>
        <w:rPr>
          <w:rFonts w:hint="eastAsia" w:ascii="宋体" w:hAnsi="宋体" w:eastAsia="宋体" w:cs="宋体"/>
          <w:color w:val="auto"/>
          <w:sz w:val="21"/>
          <w:szCs w:val="21"/>
          <w:highlight w:val="none"/>
          <w:u w:val="single"/>
        </w:rPr>
      </w:pPr>
    </w:p>
    <w:p w14:paraId="1D87225C">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（所有成员单位名称）</w:t>
      </w:r>
      <w:r>
        <w:rPr>
          <w:rFonts w:hint="eastAsia" w:ascii="宋体" w:hAnsi="宋体" w:eastAsia="宋体" w:cs="宋体"/>
          <w:color w:val="auto"/>
          <w:sz w:val="21"/>
          <w:szCs w:val="21"/>
          <w:highlight w:val="none"/>
        </w:rPr>
        <w:t>自愿组成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（联合体名称） </w:t>
      </w:r>
      <w:r>
        <w:rPr>
          <w:rFonts w:hint="eastAsia" w:ascii="宋体" w:hAnsi="宋体" w:eastAsia="宋体" w:cs="宋体"/>
          <w:color w:val="auto"/>
          <w:sz w:val="21"/>
          <w:szCs w:val="21"/>
          <w:highlight w:val="none"/>
        </w:rPr>
        <w:t xml:space="preserve">联合体，共同参加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采购项目</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。现就联合体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事宜订立如下协议。</w:t>
      </w:r>
    </w:p>
    <w:p w14:paraId="1D9BDAF0">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（某成员单位名称）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（联合体名称） </w:t>
      </w:r>
      <w:r>
        <w:rPr>
          <w:rFonts w:hint="eastAsia" w:ascii="宋体" w:hAnsi="宋体" w:eastAsia="宋体" w:cs="宋体"/>
          <w:color w:val="auto"/>
          <w:sz w:val="21"/>
          <w:szCs w:val="21"/>
          <w:highlight w:val="none"/>
        </w:rPr>
        <w:t>牵头人。</w:t>
      </w:r>
    </w:p>
    <w:p w14:paraId="7243EFDB">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2.联合体各成员授权牵头人代表联合体参加</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活动，签署文件及对文件的盖章，提交和接收相关的资料、信息及指示，进行合同谈判活动，负责合同实施阶段的组织和协调工作，以及处理与本</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项目有关的一切事宜。</w:t>
      </w:r>
    </w:p>
    <w:p w14:paraId="161C0F4F">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3.联合体牵头人在本项目中签署和盖章的一切文件和处理的一切事宜，联合体各成员均予以承认。联合体各成员将严格按照</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文件和合同的要求全面履行义务，并向采购人承担连带责任。</w:t>
      </w:r>
    </w:p>
    <w:p w14:paraId="78AE4EEE">
      <w:pPr>
        <w:pStyle w:val="9"/>
        <w:overflowPunct w:val="0"/>
        <w:spacing w:line="400" w:lineRule="exact"/>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4.联合体各成员单位内部的职责分工和合同金额分配比例如下：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p>
    <w:p w14:paraId="49464C5F">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5.本联合体中，</w:t>
      </w:r>
      <w:r>
        <w:rPr>
          <w:rFonts w:hint="eastAsia" w:ascii="宋体" w:hAnsi="宋体" w:eastAsia="宋体" w:cs="宋体"/>
          <w:color w:val="auto"/>
          <w:sz w:val="21"/>
          <w:szCs w:val="21"/>
          <w:highlight w:val="none"/>
          <w:u w:val="single"/>
        </w:rPr>
        <w:t xml:space="preserve">          （某成员单位名称）</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（请填写：中型、小型、微型）企业，其协议合同金额占联合体协议合同总金额的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%。【如联合体成员中有小型、微型企业的，请填写此条，否则无需填写；如联合体成员中有多个小型、微型企业的，请逐一列出。】</w:t>
      </w:r>
    </w:p>
    <w:p w14:paraId="27BD53CF">
      <w:pPr>
        <w:pStyle w:val="9"/>
        <w:overflowPunct w:val="0"/>
        <w:spacing w:line="400" w:lineRule="exact"/>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6.有关本次联合体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的其他事宜：</w:t>
      </w:r>
      <w:r>
        <w:rPr>
          <w:rFonts w:hint="eastAsia" w:ascii="宋体" w:hAnsi="宋体" w:eastAsia="宋体" w:cs="宋体"/>
          <w:color w:val="auto"/>
          <w:sz w:val="21"/>
          <w:szCs w:val="21"/>
          <w:highlight w:val="none"/>
          <w:u w:val="single"/>
        </w:rPr>
        <w:t xml:space="preserve">                 </w:t>
      </w:r>
    </w:p>
    <w:p w14:paraId="331444CA">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7.本协议书自所有成员单位法定代表人或者其委托代理人签字（或者电子签名）或者盖公章之日起生效，合同履行完毕后自动失效。</w:t>
      </w:r>
    </w:p>
    <w:p w14:paraId="28567E41">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份，联合体成员和采购人各执一份。</w:t>
      </w:r>
    </w:p>
    <w:p w14:paraId="0C9C5A9E">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注：本协议书应附法定代表人身份证明；有委托代理的，应附授权委托书（格式自拟）。</w:t>
      </w:r>
    </w:p>
    <w:p w14:paraId="7BCB2C4A">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p>
    <w:p w14:paraId="04C0B435">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r>
        <w:rPr>
          <w:rFonts w:hint="eastAsia" w:ascii="宋体" w:hAnsi="宋体" w:cs="宋体"/>
          <w:color w:val="auto"/>
          <w:sz w:val="21"/>
          <w:szCs w:val="21"/>
          <w:highlight w:val="none"/>
          <w:lang w:val="en-US" w:eastAsia="zh-CN"/>
        </w:rPr>
        <w:t>盖公章</w:t>
      </w:r>
      <w:r>
        <w:rPr>
          <w:rFonts w:hint="eastAsia" w:ascii="宋体" w:hAnsi="宋体" w:eastAsia="宋体" w:cs="宋体"/>
          <w:color w:val="auto"/>
          <w:sz w:val="21"/>
          <w:szCs w:val="21"/>
          <w:highlight w:val="none"/>
        </w:rPr>
        <w:t>）：</w:t>
      </w:r>
    </w:p>
    <w:p w14:paraId="287CE864">
      <w:pPr>
        <w:pStyle w:val="9"/>
        <w:overflowPunct w:val="0"/>
        <w:spacing w:line="400" w:lineRule="exact"/>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（签字或者</w:t>
      </w:r>
      <w:r>
        <w:rPr>
          <w:rFonts w:hint="eastAsia" w:ascii="宋体" w:hAnsi="宋体" w:cs="宋体"/>
          <w:color w:val="auto"/>
          <w:sz w:val="21"/>
          <w:szCs w:val="21"/>
          <w:highlight w:val="none"/>
          <w:u w:val="single"/>
          <w:lang w:val="en-US" w:eastAsia="zh-CN"/>
        </w:rPr>
        <w:t>盖章</w:t>
      </w:r>
      <w:r>
        <w:rPr>
          <w:rFonts w:hint="eastAsia" w:ascii="宋体" w:hAnsi="宋体" w:eastAsia="宋体" w:cs="宋体"/>
          <w:color w:val="auto"/>
          <w:sz w:val="21"/>
          <w:szCs w:val="21"/>
          <w:highlight w:val="none"/>
          <w:u w:val="single"/>
        </w:rPr>
        <w:t>）</w:t>
      </w:r>
    </w:p>
    <w:p w14:paraId="777672B9">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p>
    <w:p w14:paraId="437A77A3">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联合体成员名称（盖公章）：</w:t>
      </w:r>
    </w:p>
    <w:p w14:paraId="2C8666C3">
      <w:pPr>
        <w:pStyle w:val="9"/>
        <w:overflowPunct w:val="0"/>
        <w:spacing w:line="400" w:lineRule="exact"/>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（签字或者</w:t>
      </w:r>
      <w:r>
        <w:rPr>
          <w:rFonts w:hint="eastAsia" w:ascii="宋体" w:hAnsi="宋体" w:cs="宋体"/>
          <w:color w:val="auto"/>
          <w:sz w:val="21"/>
          <w:szCs w:val="21"/>
          <w:highlight w:val="none"/>
          <w:u w:val="single"/>
          <w:lang w:val="en-US" w:eastAsia="zh-CN"/>
        </w:rPr>
        <w:t>盖章</w:t>
      </w:r>
      <w:r>
        <w:rPr>
          <w:rFonts w:hint="eastAsia" w:ascii="宋体" w:hAnsi="宋体" w:eastAsia="宋体" w:cs="宋体"/>
          <w:color w:val="auto"/>
          <w:sz w:val="21"/>
          <w:szCs w:val="21"/>
          <w:highlight w:val="none"/>
          <w:u w:val="single"/>
        </w:rPr>
        <w:t>）</w:t>
      </w:r>
    </w:p>
    <w:p w14:paraId="22187786">
      <w:pPr>
        <w:pStyle w:val="9"/>
        <w:overflowPunct w:val="0"/>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AB11A17">
      <w:pPr>
        <w:pStyle w:val="9"/>
        <w:overflowPunct w:val="0"/>
        <w:spacing w:line="500" w:lineRule="exact"/>
        <w:ind w:firstLineChars="175"/>
        <w:contextualSpacing/>
        <w:rPr>
          <w:rFonts w:hint="eastAsia" w:ascii="宋体" w:hAnsi="宋体" w:eastAsia="宋体" w:cs="宋体"/>
          <w:color w:val="auto"/>
          <w:sz w:val="21"/>
          <w:szCs w:val="21"/>
          <w:highlight w:val="none"/>
        </w:rPr>
      </w:pPr>
    </w:p>
    <w:p w14:paraId="62FB0BFA">
      <w:pPr>
        <w:snapToGrid w:val="0"/>
        <w:spacing w:line="360" w:lineRule="auto"/>
        <w:ind w:left="5235" w:leftChars="2493" w:right="-817" w:rightChars="-38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959AAFD">
      <w:pPr>
        <w:keepNext w:val="0"/>
        <w:keepLines w:val="0"/>
        <w:pageBreakBefore w:val="0"/>
        <w:widowControl w:val="0"/>
        <w:shd w:val="clear" w:color="auto" w:fill="auto"/>
        <w:kinsoku/>
        <w:wordWrap/>
        <w:topLinePunct w:val="0"/>
        <w:autoSpaceDE/>
        <w:autoSpaceDN/>
        <w:bidi w:val="0"/>
        <w:adjustRightInd/>
        <w:snapToGrid/>
        <w:spacing w:line="400" w:lineRule="exact"/>
        <w:ind w:right="420"/>
        <w:contextualSpacing/>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bookmarkStart w:id="101" w:name="_Toc19138"/>
      <w:bookmarkStart w:id="102" w:name="_Toc7001"/>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报价文件格式</w:t>
      </w:r>
      <w:bookmarkEnd w:id="101"/>
      <w:bookmarkEnd w:id="102"/>
      <w:r>
        <w:rPr>
          <w:rFonts w:hint="eastAsia" w:ascii="宋体" w:hAnsi="宋体" w:eastAsia="宋体" w:cs="宋体"/>
          <w:b/>
          <w:color w:val="auto"/>
          <w:sz w:val="21"/>
          <w:szCs w:val="21"/>
          <w:highlight w:val="none"/>
        </w:rPr>
        <w:t xml:space="preserve"> </w:t>
      </w:r>
    </w:p>
    <w:p w14:paraId="2EE5014A">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1.报价文件封面格式</w:t>
      </w:r>
    </w:p>
    <w:p w14:paraId="0744BBA9">
      <w:pPr>
        <w:shd w:val="clear" w:color="auto" w:fill="auto"/>
        <w:snapToGrid w:val="0"/>
        <w:spacing w:before="156" w:beforeLines="50" w:after="50"/>
        <w:rPr>
          <w:rFonts w:hint="eastAsia" w:ascii="方正小标宋_GBK" w:hAnsi="方正小标宋_GBK" w:eastAsia="方正小标宋_GBK" w:cs="方正小标宋_GBK"/>
          <w:bCs/>
          <w:color w:val="auto"/>
          <w:sz w:val="44"/>
          <w:szCs w:val="44"/>
          <w:highlight w:val="none"/>
        </w:rPr>
      </w:pPr>
      <w:r>
        <w:rPr>
          <w:rFonts w:hint="eastAsia" w:ascii="仿宋" w:hAnsi="仿宋" w:eastAsia="仿宋" w:cs="仿宋"/>
          <w:color w:val="auto"/>
          <w:sz w:val="24"/>
          <w:highlight w:val="none"/>
        </w:rPr>
        <w:t xml:space="preserve">                        </w:t>
      </w:r>
      <w:r>
        <w:rPr>
          <w:rFonts w:hint="eastAsia" w:ascii="方正小标宋_GBK" w:hAnsi="方正小标宋_GBK" w:eastAsia="方正小标宋_GBK" w:cs="方正小标宋_GBK"/>
          <w:color w:val="auto"/>
          <w:sz w:val="44"/>
          <w:szCs w:val="44"/>
          <w:highlight w:val="none"/>
        </w:rPr>
        <w:t xml:space="preserve">                            </w:t>
      </w:r>
    </w:p>
    <w:p w14:paraId="498B2777">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65D1441F">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182D5B35">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报  价  文  件</w:t>
      </w:r>
    </w:p>
    <w:p w14:paraId="46047B7F">
      <w:pPr>
        <w:shd w:val="clear" w:color="auto" w:fill="auto"/>
        <w:snapToGrid w:val="0"/>
        <w:spacing w:before="156" w:beforeLines="50" w:after="50"/>
        <w:rPr>
          <w:rFonts w:hint="eastAsia" w:ascii="方正小标宋_GBK" w:hAnsi="方正小标宋_GBK" w:eastAsia="方正小标宋_GBK" w:cs="方正小标宋_GBK"/>
          <w:bCs/>
          <w:color w:val="auto"/>
          <w:sz w:val="44"/>
          <w:szCs w:val="44"/>
          <w:highlight w:val="none"/>
        </w:rPr>
      </w:pPr>
    </w:p>
    <w:p w14:paraId="4B69EE88">
      <w:pPr>
        <w:shd w:val="clear" w:color="auto" w:fill="auto"/>
        <w:snapToGrid w:val="0"/>
        <w:spacing w:before="156" w:beforeLines="50" w:after="50"/>
        <w:rPr>
          <w:rFonts w:hint="eastAsia" w:ascii="仿宋" w:hAnsi="仿宋" w:eastAsia="仿宋" w:cs="仿宋"/>
          <w:bCs/>
          <w:color w:val="auto"/>
          <w:sz w:val="24"/>
          <w:szCs w:val="20"/>
          <w:highlight w:val="none"/>
        </w:rPr>
      </w:pPr>
    </w:p>
    <w:p w14:paraId="6A04026E">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33F2F3A3">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698EC4C1">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0B21C676">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43F621E7">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3BB2D108">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07823B7A">
      <w:pPr>
        <w:pStyle w:val="9"/>
        <w:shd w:val="clear" w:color="auto" w:fill="auto"/>
        <w:snapToGrid w:val="0"/>
        <w:spacing w:before="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65E7BC66">
      <w:pPr>
        <w:pStyle w:val="9"/>
        <w:shd w:val="clear" w:color="auto" w:fill="auto"/>
        <w:snapToGrid w:val="0"/>
        <w:spacing w:before="50" w:after="50"/>
        <w:ind w:firstLine="420" w:firstLineChars="200"/>
        <w:rPr>
          <w:rFonts w:hint="eastAsia" w:ascii="宋体" w:hAnsi="宋体" w:eastAsia="宋体" w:cs="宋体"/>
          <w:bCs/>
          <w:color w:val="auto"/>
          <w:sz w:val="21"/>
          <w:szCs w:val="21"/>
          <w:highlight w:val="none"/>
        </w:rPr>
      </w:pPr>
    </w:p>
    <w:p w14:paraId="0BF5E8C3">
      <w:pPr>
        <w:pStyle w:val="9"/>
        <w:shd w:val="clear" w:color="auto" w:fill="auto"/>
        <w:snapToGrid w:val="0"/>
        <w:spacing w:before="50" w:after="50"/>
        <w:ind w:firstLine="840" w:firstLineChars="400"/>
        <w:rPr>
          <w:rFonts w:hint="eastAsia" w:ascii="宋体" w:hAnsi="宋体" w:eastAsia="宋体" w:cs="宋体"/>
          <w:bCs/>
          <w:color w:val="auto"/>
          <w:sz w:val="21"/>
          <w:szCs w:val="21"/>
          <w:highlight w:val="none"/>
        </w:rPr>
      </w:pPr>
    </w:p>
    <w:p w14:paraId="4BD80336">
      <w:pPr>
        <w:shd w:val="clear" w:color="auto" w:fill="auto"/>
        <w:snapToGrid w:val="0"/>
        <w:spacing w:before="156" w:beforeLines="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4ED9BE0">
      <w:pPr>
        <w:shd w:val="clear" w:color="auto" w:fill="auto"/>
        <w:snapToGrid w:val="0"/>
        <w:spacing w:before="156" w:beforeLines="50" w:after="50" w:line="360" w:lineRule="auto"/>
        <w:ind w:left="142"/>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2.报价文件目录</w:t>
      </w:r>
    </w:p>
    <w:p w14:paraId="276B0235">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1"/>
          <w:szCs w:val="21"/>
          <w:highlight w:val="none"/>
        </w:rPr>
        <w:t>根据磋商文件规定及供应商提供的材料自行编写目录（部分格式后附）。</w:t>
      </w:r>
      <w:r>
        <w:rPr>
          <w:rFonts w:hint="eastAsia" w:ascii="宋体" w:hAnsi="宋体" w:eastAsia="宋体" w:cs="宋体"/>
          <w:b/>
          <w:bCs/>
          <w:color w:val="auto"/>
          <w:sz w:val="21"/>
          <w:szCs w:val="21"/>
          <w:highlight w:val="none"/>
        </w:rPr>
        <w:br w:type="page"/>
      </w:r>
      <w:r>
        <w:rPr>
          <w:rFonts w:hint="eastAsia" w:ascii="宋体" w:hAnsi="宋体" w:eastAsia="宋体" w:cs="宋体"/>
          <w:b/>
          <w:bCs w:val="0"/>
          <w:color w:val="auto"/>
          <w:sz w:val="28"/>
          <w:szCs w:val="28"/>
          <w:highlight w:val="none"/>
        </w:rPr>
        <w:t>竞  标  报  价  表</w:t>
      </w:r>
    </w:p>
    <w:p w14:paraId="1EB81AB1">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p>
    <w:p w14:paraId="05E23247">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14D1B1A">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1F792993">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w:t>
      </w:r>
      <w:r>
        <w:rPr>
          <w:rFonts w:hint="eastAsia" w:ascii="宋体" w:hAnsi="宋体" w:eastAsia="宋体" w:cs="宋体"/>
          <w:bCs/>
          <w:color w:val="auto"/>
          <w:sz w:val="21"/>
          <w:szCs w:val="21"/>
          <w:highlight w:val="none"/>
        </w:rPr>
        <w:t>（如有则填写，无分标时填写“无”或者留空）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bl>
      <w:tblPr>
        <w:tblStyle w:val="27"/>
        <w:tblW w:w="88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3260"/>
        <w:gridCol w:w="937"/>
        <w:gridCol w:w="3696"/>
      </w:tblGrid>
      <w:tr w14:paraId="7E40F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05C38393">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序号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25DAAB5">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标项名称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AABCA32">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及单位</w:t>
            </w:r>
          </w:p>
        </w:tc>
        <w:tc>
          <w:tcPr>
            <w:tcW w:w="3696" w:type="dxa"/>
            <w:tcBorders>
              <w:top w:val="single" w:color="auto" w:sz="4" w:space="0"/>
              <w:left w:val="single" w:color="auto" w:sz="4" w:space="0"/>
              <w:bottom w:val="single" w:color="auto" w:sz="4" w:space="0"/>
              <w:right w:val="single" w:color="auto" w:sz="4" w:space="0"/>
            </w:tcBorders>
            <w:noWrap w:val="0"/>
            <w:vAlign w:val="center"/>
          </w:tcPr>
          <w:p w14:paraId="3A761C16">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合计（元）</w:t>
            </w:r>
          </w:p>
        </w:tc>
      </w:tr>
      <w:tr w14:paraId="795A4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2E0F8D7E">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C7B12E2">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龙须河流域综合规划</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61E7E78C">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3696" w:type="dxa"/>
            <w:tcBorders>
              <w:top w:val="single" w:color="auto" w:sz="4" w:space="0"/>
              <w:left w:val="single" w:color="auto" w:sz="4" w:space="0"/>
              <w:bottom w:val="single" w:color="auto" w:sz="4" w:space="0"/>
              <w:right w:val="single" w:color="auto" w:sz="4" w:space="0"/>
            </w:tcBorders>
            <w:noWrap w:val="0"/>
            <w:vAlign w:val="center"/>
          </w:tcPr>
          <w:p w14:paraId="58AE5E23">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z w:val="21"/>
                <w:szCs w:val="21"/>
                <w:highlight w:val="none"/>
              </w:rPr>
            </w:pPr>
          </w:p>
        </w:tc>
      </w:tr>
      <w:tr w14:paraId="1BC6A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8853" w:type="dxa"/>
            <w:gridSpan w:val="4"/>
            <w:tcBorders>
              <w:top w:val="single" w:color="auto" w:sz="4" w:space="0"/>
              <w:left w:val="single" w:color="auto" w:sz="4" w:space="0"/>
              <w:bottom w:val="single" w:color="auto" w:sz="4" w:space="0"/>
              <w:right w:val="single" w:color="auto" w:sz="4" w:space="0"/>
            </w:tcBorders>
            <w:noWrap w:val="0"/>
            <w:vAlign w:val="center"/>
          </w:tcPr>
          <w:p w14:paraId="5E8D628C">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tc>
      </w:tr>
    </w:tbl>
    <w:p w14:paraId="48AE6A36">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6449A31">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1.供应商的报价表必须加盖供应商电子签章并由法定代表人或者委托代理人签字或者电子签名，</w:t>
      </w:r>
      <w:r>
        <w:rPr>
          <w:rFonts w:hint="eastAsia" w:ascii="宋体" w:hAnsi="宋体" w:eastAsia="宋体" w:cs="宋体"/>
          <w:b/>
          <w:color w:val="auto"/>
          <w:sz w:val="21"/>
          <w:szCs w:val="21"/>
          <w:highlight w:val="none"/>
        </w:rPr>
        <w:t>否则其响应文件按无效处理</w:t>
      </w:r>
      <w:r>
        <w:rPr>
          <w:rFonts w:hint="eastAsia" w:ascii="宋体" w:hAnsi="宋体" w:eastAsia="宋体" w:cs="宋体"/>
          <w:color w:val="auto"/>
          <w:sz w:val="21"/>
          <w:szCs w:val="21"/>
          <w:highlight w:val="none"/>
        </w:rPr>
        <w:t>。</w:t>
      </w:r>
    </w:p>
    <w:p w14:paraId="1DC4D303">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1"/>
          <w:szCs w:val="21"/>
          <w:highlight w:val="none"/>
        </w:rPr>
        <w:t>，否则其响应文件按无效处理。</w:t>
      </w:r>
    </w:p>
    <w:p w14:paraId="464F33AE">
      <w:pPr>
        <w:keepNext w:val="0"/>
        <w:keepLines w:val="0"/>
        <w:pageBreakBefore w:val="0"/>
        <w:widowControl w:val="0"/>
        <w:shd w:val="clear" w:color="auto" w:fill="auto"/>
        <w:kinsoku/>
        <w:wordWrap/>
        <w:overflowPunct/>
        <w:topLinePunct w:val="0"/>
        <w:autoSpaceDE/>
        <w:autoSpaceDN/>
        <w:bidi w:val="0"/>
        <w:adjustRightIn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pacing w:val="-6"/>
          <w:sz w:val="21"/>
          <w:szCs w:val="21"/>
          <w:highlight w:val="none"/>
        </w:rPr>
        <w:t>如有多分标，分别列明各分标的报价表，否则其响应文件按无效响应处理。</w:t>
      </w:r>
    </w:p>
    <w:p w14:paraId="20F6E0CB">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contextualSpacing/>
        <w:textAlignment w:val="auto"/>
        <w:rPr>
          <w:rFonts w:hint="eastAsia" w:ascii="宋体" w:hAnsi="宋体" w:eastAsia="宋体" w:cs="宋体"/>
          <w:b/>
          <w:bCs/>
          <w:color w:val="auto"/>
          <w:sz w:val="21"/>
          <w:szCs w:val="21"/>
          <w:highlight w:val="none"/>
        </w:rPr>
      </w:pPr>
    </w:p>
    <w:p w14:paraId="1CE37988">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法定代表人或者委托代理人（签字或者电子签名）：                    </w:t>
      </w:r>
    </w:p>
    <w:p w14:paraId="1D52D09F">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供应商（电子签章）：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7B435C0A">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3570" w:firstLineChars="17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EC2C32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中小企业声明函（服务）</w:t>
      </w:r>
    </w:p>
    <w:p w14:paraId="2FFF20D4">
      <w:pPr>
        <w:keepNext w:val="0"/>
        <w:keepLines w:val="0"/>
        <w:pageBreakBefore w:val="0"/>
        <w:widowControl w:val="0"/>
        <w:shd w:val="clear" w:color="auto" w:fill="auto"/>
        <w:kinsoku/>
        <w:wordWrap/>
        <w:overflowPunct/>
        <w:topLinePunct w:val="0"/>
        <w:autoSpaceDE/>
        <w:autoSpaceDN/>
        <w:bidi w:val="0"/>
        <w:adjustRightInd/>
        <w:snapToGrid/>
        <w:spacing w:before="2" w:line="400" w:lineRule="exact"/>
        <w:textAlignment w:val="auto"/>
        <w:rPr>
          <w:rFonts w:hint="eastAsia" w:ascii="宋体" w:hAnsi="宋体" w:eastAsia="宋体" w:cs="宋体"/>
          <w:b/>
          <w:bCs/>
          <w:color w:val="auto"/>
          <w:sz w:val="21"/>
          <w:szCs w:val="21"/>
          <w:highlight w:val="none"/>
        </w:rPr>
      </w:pPr>
    </w:p>
    <w:p w14:paraId="0E359AAA">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0"/>
          <w:sz w:val="21"/>
          <w:szCs w:val="21"/>
          <w:highlight w:val="none"/>
          <w:u w:val="single"/>
          <w:lang w:val="en-US" w:eastAsia="zh-CN" w:bidi="ar-SA"/>
        </w:rPr>
        <w:t>（单位名称）</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u w:val="single"/>
          <w:lang w:val="en-US" w:eastAsia="zh-CN" w:bidi="ar-SA"/>
        </w:rPr>
        <w:t>（项目名称）</w:t>
      </w:r>
      <w:r>
        <w:rPr>
          <w:rFonts w:hint="eastAsia" w:ascii="宋体" w:hAnsi="宋体" w:eastAsia="宋体" w:cs="宋体"/>
          <w:color w:val="auto"/>
          <w:kern w:val="0"/>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F04B761">
      <w:pPr>
        <w:keepNext w:val="0"/>
        <w:keepLines w:val="0"/>
        <w:pageBreakBefore w:val="0"/>
        <w:widowControl w:val="0"/>
        <w:shd w:val="clear" w:color="auto" w:fill="auto"/>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2463921">
      <w:pPr>
        <w:keepNext w:val="0"/>
        <w:keepLines w:val="0"/>
        <w:pageBreakBefore w:val="0"/>
        <w:widowControl w:val="0"/>
        <w:shd w:val="clear" w:color="auto" w:fill="auto"/>
        <w:tabs>
          <w:tab w:val="left" w:pos="1065"/>
          <w:tab w:val="left" w:pos="4262"/>
          <w:tab w:val="left" w:pos="6477"/>
        </w:tabs>
        <w:kinsoku/>
        <w:wordWrap/>
        <w:overflowPunct/>
        <w:topLinePunct w:val="0"/>
        <w:autoSpaceDE/>
        <w:autoSpaceDN/>
        <w:bidi w:val="0"/>
        <w:adjustRightInd/>
        <w:snapToGrid/>
        <w:spacing w:before="20" w:line="400" w:lineRule="exact"/>
        <w:ind w:right="84" w:firstLine="600" w:firstLineChars="286"/>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7AE035E">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left="765" w:right="142" w:hanging="5"/>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w:t>
      </w:r>
    </w:p>
    <w:p w14:paraId="6B80FCCD">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以上企业，不属于大企业的分支机构，不存在控股股东为大企业的情形，也不存在与大企业的负责人为同一人的情形。</w:t>
      </w:r>
    </w:p>
    <w:p w14:paraId="39EBB859">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本企业对上述声明内容的真实性负责。如有虚假，将依法承担相应责任。</w:t>
      </w:r>
    </w:p>
    <w:p w14:paraId="201D7BDA">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24"/>
          <w:sz w:val="21"/>
          <w:szCs w:val="21"/>
          <w:highlight w:val="none"/>
          <w:lang w:val="en-US" w:eastAsia="zh-CN" w:bidi="ar-SA"/>
        </w:rPr>
      </w:pPr>
    </w:p>
    <w:p w14:paraId="2E77D191">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4"/>
          <w:sz w:val="21"/>
          <w:szCs w:val="21"/>
          <w:highlight w:val="none"/>
          <w:lang w:val="en-US" w:eastAsia="zh-CN" w:bidi="ar-SA"/>
        </w:rPr>
        <w:t>企业名称（电子签章）：</w:t>
      </w:r>
      <w:r>
        <w:rPr>
          <w:rFonts w:hint="eastAsia" w:ascii="宋体" w:hAnsi="宋体" w:eastAsia="宋体" w:cs="宋体"/>
          <w:color w:val="auto"/>
          <w:kern w:val="0"/>
          <w:sz w:val="21"/>
          <w:szCs w:val="21"/>
          <w:highlight w:val="none"/>
          <w:lang w:val="en-US" w:eastAsia="zh-CN" w:bidi="ar-SA"/>
        </w:rPr>
        <w:t xml:space="preserve"> </w:t>
      </w:r>
    </w:p>
    <w:p w14:paraId="39A4B7FC">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日 期：</w:t>
      </w:r>
    </w:p>
    <w:p w14:paraId="3A9F34E4">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宋体" w:hAnsi="宋体" w:eastAsia="宋体" w:cs="宋体"/>
          <w:color w:val="auto"/>
          <w:sz w:val="21"/>
          <w:szCs w:val="21"/>
          <w:highlight w:val="none"/>
        </w:rPr>
      </w:pPr>
    </w:p>
    <w:p w14:paraId="0CCE7D9F">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62F3004">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color w:val="auto"/>
          <w:sz w:val="21"/>
          <w:szCs w:val="21"/>
          <w:highlight w:val="none"/>
        </w:rPr>
        <w:sectPr>
          <w:pgSz w:w="11906" w:h="16838"/>
          <w:pgMar w:top="1440" w:right="1803" w:bottom="1440" w:left="1803" w:header="851" w:footer="992" w:gutter="0"/>
          <w:cols w:space="720" w:num="1"/>
          <w:titlePg/>
          <w:docGrid w:type="lines" w:linePitch="312" w:charSpace="0"/>
        </w:sectPr>
      </w:pPr>
    </w:p>
    <w:p w14:paraId="1F8356A3">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w:t>
      </w:r>
    </w:p>
    <w:p w14:paraId="07DFCCF9">
      <w:pPr>
        <w:spacing w:line="360" w:lineRule="auto"/>
        <w:contextualSpacing/>
        <w:rPr>
          <w:rFonts w:hint="eastAsia" w:ascii="宋体" w:hAnsi="宋体" w:eastAsia="宋体" w:cs="宋体"/>
          <w:color w:val="auto"/>
          <w:sz w:val="32"/>
          <w:szCs w:val="32"/>
          <w:highlight w:val="none"/>
        </w:rPr>
      </w:pPr>
    </w:p>
    <w:p w14:paraId="0E6824E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DDE8B6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DF2E376">
      <w:pPr>
        <w:spacing w:line="360" w:lineRule="auto"/>
        <w:contextualSpacing/>
        <w:rPr>
          <w:rFonts w:hint="eastAsia" w:ascii="宋体" w:hAnsi="宋体" w:eastAsia="宋体" w:cs="宋体"/>
          <w:color w:val="auto"/>
          <w:szCs w:val="21"/>
          <w:highlight w:val="none"/>
        </w:rPr>
      </w:pPr>
    </w:p>
    <w:p w14:paraId="02C420E0">
      <w:pPr>
        <w:spacing w:line="360" w:lineRule="auto"/>
        <w:contextualSpacing/>
        <w:rPr>
          <w:rFonts w:hint="eastAsia" w:ascii="宋体" w:hAnsi="宋体" w:eastAsia="宋体" w:cs="宋体"/>
          <w:color w:val="auto"/>
          <w:szCs w:val="21"/>
          <w:highlight w:val="none"/>
        </w:rPr>
      </w:pPr>
    </w:p>
    <w:p w14:paraId="0C3317D3">
      <w:pPr>
        <w:spacing w:line="360" w:lineRule="auto"/>
        <w:contextualSpacing/>
        <w:rPr>
          <w:rFonts w:hint="eastAsia" w:ascii="宋体" w:hAnsi="宋体" w:eastAsia="宋体" w:cs="宋体"/>
          <w:color w:val="auto"/>
          <w:szCs w:val="21"/>
          <w:highlight w:val="none"/>
        </w:rPr>
      </w:pPr>
    </w:p>
    <w:p w14:paraId="4BB93EAD">
      <w:pPr>
        <w:spacing w:line="360" w:lineRule="auto"/>
        <w:ind w:firstLine="2100" w:firstLineChars="10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6183A8BC">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16D85CD">
      <w:pPr>
        <w:spacing w:line="360" w:lineRule="auto"/>
        <w:contextualSpacing/>
        <w:rPr>
          <w:rFonts w:hint="eastAsia" w:ascii="宋体" w:hAnsi="宋体" w:eastAsia="宋体" w:cs="宋体"/>
          <w:color w:val="auto"/>
          <w:szCs w:val="21"/>
          <w:highlight w:val="none"/>
        </w:rPr>
      </w:pPr>
    </w:p>
    <w:p w14:paraId="31141673">
      <w:pPr>
        <w:spacing w:line="360" w:lineRule="auto"/>
        <w:contextualSpacing/>
        <w:rPr>
          <w:rFonts w:hint="eastAsia" w:ascii="宋体" w:hAnsi="宋体" w:eastAsia="宋体" w:cs="宋体"/>
          <w:color w:val="auto"/>
          <w:szCs w:val="21"/>
          <w:highlight w:val="none"/>
        </w:rPr>
      </w:pPr>
    </w:p>
    <w:p w14:paraId="73230C48">
      <w:pPr>
        <w:spacing w:line="360" w:lineRule="auto"/>
        <w:contextualSpacing/>
        <w:rPr>
          <w:rFonts w:hint="eastAsia" w:ascii="宋体" w:hAnsi="宋体" w:eastAsia="宋体" w:cs="宋体"/>
          <w:color w:val="auto"/>
          <w:szCs w:val="21"/>
          <w:highlight w:val="none"/>
        </w:rPr>
      </w:pPr>
    </w:p>
    <w:p w14:paraId="3F7CB29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注：请根据自己的真实情况出具《残疾人福利性单位声明函》。依法享受中小企业优惠政策的，采购人或者采购代理机构在公告成交结果时，同时公告其《残疾人福利性单位声明函》，接受社会监督。</w:t>
      </w:r>
    </w:p>
    <w:p w14:paraId="1692820F">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color w:val="auto"/>
          <w:sz w:val="21"/>
          <w:szCs w:val="21"/>
          <w:highlight w:val="none"/>
        </w:rPr>
        <w:sectPr>
          <w:pgSz w:w="11906" w:h="16838"/>
          <w:pgMar w:top="1440" w:right="1803" w:bottom="1440" w:left="1803" w:header="851" w:footer="992" w:gutter="0"/>
          <w:cols w:space="720" w:num="1"/>
          <w:titlePg/>
          <w:docGrid w:type="lines" w:linePitch="312" w:charSpace="0"/>
        </w:sectPr>
      </w:pPr>
    </w:p>
    <w:p w14:paraId="11451D2A">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b/>
          <w:color w:val="auto"/>
          <w:sz w:val="21"/>
          <w:szCs w:val="21"/>
          <w:highlight w:val="none"/>
        </w:rPr>
      </w:pPr>
      <w:bookmarkStart w:id="103" w:name="_Toc32690"/>
      <w:bookmarkStart w:id="104" w:name="_Toc27361"/>
      <w:r>
        <w:rPr>
          <w:rFonts w:hint="eastAsia" w:ascii="宋体" w:hAnsi="宋体" w:eastAsia="宋体" w:cs="宋体"/>
          <w:b/>
          <w:bCs/>
          <w:color w:val="auto"/>
          <w:sz w:val="21"/>
          <w:szCs w:val="21"/>
          <w:highlight w:val="none"/>
        </w:rPr>
        <w:t>三、</w:t>
      </w:r>
      <w:r>
        <w:rPr>
          <w:rFonts w:hint="eastAsia" w:ascii="宋体" w:hAnsi="宋体" w:eastAsia="宋体" w:cs="宋体"/>
          <w:b/>
          <w:color w:val="auto"/>
          <w:sz w:val="21"/>
          <w:szCs w:val="21"/>
          <w:highlight w:val="none"/>
        </w:rPr>
        <w:t>商务技术文件格式</w:t>
      </w:r>
      <w:bookmarkEnd w:id="103"/>
      <w:bookmarkEnd w:id="104"/>
      <w:r>
        <w:rPr>
          <w:rFonts w:hint="eastAsia" w:ascii="宋体" w:hAnsi="宋体" w:eastAsia="宋体" w:cs="宋体"/>
          <w:b/>
          <w:color w:val="auto"/>
          <w:sz w:val="21"/>
          <w:szCs w:val="21"/>
          <w:highlight w:val="none"/>
        </w:rPr>
        <w:t xml:space="preserve"> </w:t>
      </w:r>
    </w:p>
    <w:p w14:paraId="015C4A9B">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1.商务技术文件封面格式</w:t>
      </w:r>
    </w:p>
    <w:p w14:paraId="09C995A1">
      <w:pPr>
        <w:shd w:val="clear" w:color="auto" w:fill="auto"/>
        <w:snapToGrid w:val="0"/>
        <w:spacing w:before="156"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7AB3A2B2">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367045EC">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4C904BA9">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商  务  技  术  文  件</w:t>
      </w:r>
    </w:p>
    <w:p w14:paraId="66A850A7">
      <w:pPr>
        <w:shd w:val="clear" w:color="auto" w:fill="auto"/>
        <w:snapToGrid w:val="0"/>
        <w:spacing w:before="156" w:beforeLines="50" w:after="50"/>
        <w:rPr>
          <w:rFonts w:hint="eastAsia" w:ascii="仿宋" w:hAnsi="仿宋" w:eastAsia="仿宋" w:cs="仿宋"/>
          <w:bCs/>
          <w:color w:val="auto"/>
          <w:sz w:val="24"/>
          <w:szCs w:val="20"/>
          <w:highlight w:val="none"/>
        </w:rPr>
      </w:pPr>
    </w:p>
    <w:p w14:paraId="770BE311">
      <w:pPr>
        <w:shd w:val="clear" w:color="auto" w:fill="auto"/>
        <w:snapToGrid w:val="0"/>
        <w:spacing w:before="156" w:beforeLines="50" w:after="50"/>
        <w:rPr>
          <w:rFonts w:hint="eastAsia" w:ascii="仿宋" w:hAnsi="仿宋" w:eastAsia="仿宋" w:cs="仿宋"/>
          <w:bCs/>
          <w:color w:val="auto"/>
          <w:sz w:val="24"/>
          <w:szCs w:val="20"/>
          <w:highlight w:val="none"/>
        </w:rPr>
      </w:pPr>
    </w:p>
    <w:p w14:paraId="7FF9A10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1048978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p>
    <w:p w14:paraId="5E0738E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5923922">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244E32E1">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66569976">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p>
    <w:p w14:paraId="5DF4E81B">
      <w:pPr>
        <w:pStyle w:val="9"/>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105C0C1F">
      <w:pPr>
        <w:pStyle w:val="9"/>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420" w:firstLineChars="200"/>
        <w:textAlignment w:val="auto"/>
        <w:rPr>
          <w:rFonts w:hint="eastAsia" w:ascii="宋体" w:hAnsi="宋体" w:eastAsia="宋体" w:cs="宋体"/>
          <w:bCs/>
          <w:color w:val="auto"/>
          <w:sz w:val="21"/>
          <w:szCs w:val="21"/>
          <w:highlight w:val="none"/>
        </w:rPr>
      </w:pPr>
    </w:p>
    <w:p w14:paraId="09B11A0E">
      <w:pPr>
        <w:pStyle w:val="9"/>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840" w:firstLineChars="400"/>
        <w:textAlignment w:val="auto"/>
        <w:rPr>
          <w:rFonts w:hint="eastAsia" w:ascii="宋体" w:hAnsi="宋体" w:eastAsia="宋体" w:cs="宋体"/>
          <w:bCs/>
          <w:color w:val="auto"/>
          <w:sz w:val="21"/>
          <w:szCs w:val="21"/>
          <w:highlight w:val="none"/>
        </w:rPr>
      </w:pPr>
    </w:p>
    <w:p w14:paraId="183A147C">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FD0C33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right="480" w:firstLine="210"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2.商务技术文件目录</w:t>
      </w:r>
    </w:p>
    <w:p w14:paraId="38F769E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根据磋商文件规定及供应商提供的材料自行编写目录（部分格式后附）。</w:t>
      </w:r>
    </w:p>
    <w:p w14:paraId="5E7A4345">
      <w:pPr>
        <w:keepNext w:val="0"/>
        <w:keepLines w:val="0"/>
        <w:pageBreakBefore w:val="0"/>
        <w:widowControl w:val="0"/>
        <w:shd w:val="clear" w:color="auto" w:fill="auto"/>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284A2E33">
      <w:pPr>
        <w:shd w:val="clear" w:color="auto" w:fill="auto"/>
        <w:spacing w:line="520" w:lineRule="exact"/>
        <w:jc w:val="center"/>
        <w:rPr>
          <w:rFonts w:hint="eastAsia" w:ascii="宋体" w:hAnsi="宋体" w:eastAsia="宋体" w:cs="宋体"/>
          <w:b/>
          <w:bCs/>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eastAsia="宋体" w:cs="宋体"/>
          <w:b/>
          <w:bCs/>
          <w:color w:val="auto"/>
          <w:sz w:val="28"/>
          <w:szCs w:val="28"/>
          <w:highlight w:val="none"/>
        </w:rPr>
        <w:t>无串通竞标行为的承诺函</w:t>
      </w:r>
    </w:p>
    <w:p w14:paraId="1126011A">
      <w:pPr>
        <w:shd w:val="clear" w:color="auto" w:fill="auto"/>
        <w:spacing w:line="360" w:lineRule="auto"/>
        <w:ind w:firstLine="420" w:firstLineChars="200"/>
        <w:contextualSpacing/>
        <w:rPr>
          <w:rFonts w:hint="eastAsia" w:ascii="宋体" w:hAnsi="宋体" w:eastAsia="宋体" w:cs="宋体"/>
          <w:color w:val="auto"/>
          <w:sz w:val="21"/>
          <w:szCs w:val="21"/>
          <w:highlight w:val="none"/>
        </w:rPr>
      </w:pPr>
    </w:p>
    <w:p w14:paraId="2835BC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05" w:name="_Toc23695"/>
      <w:bookmarkStart w:id="106" w:name="_Toc23667"/>
      <w:r>
        <w:rPr>
          <w:rFonts w:hint="eastAsia" w:ascii="宋体" w:hAnsi="宋体" w:eastAsia="宋体" w:cs="宋体"/>
          <w:b/>
          <w:bCs/>
          <w:color w:val="auto"/>
          <w:sz w:val="21"/>
          <w:szCs w:val="21"/>
          <w:highlight w:val="none"/>
        </w:rPr>
        <w:t>一、我方承诺无下列相互串通竞标的情形：</w:t>
      </w:r>
      <w:bookmarkEnd w:id="105"/>
      <w:bookmarkEnd w:id="106"/>
    </w:p>
    <w:p w14:paraId="0DAFE1C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1.不同供应商的响应文件由同一单位或者个人编制；或不同供应商报名的IP地址一致的； </w:t>
      </w:r>
    </w:p>
    <w:p w14:paraId="144E595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1BE936A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6708A64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7E897A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7C30696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63763D7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07" w:name="_Toc15921"/>
      <w:bookmarkStart w:id="108" w:name="_Toc31658"/>
      <w:r>
        <w:rPr>
          <w:rFonts w:hint="eastAsia" w:ascii="宋体" w:hAnsi="宋体" w:eastAsia="宋体" w:cs="宋体"/>
          <w:b/>
          <w:bCs/>
          <w:color w:val="auto"/>
          <w:sz w:val="21"/>
          <w:szCs w:val="21"/>
          <w:highlight w:val="none"/>
        </w:rPr>
        <w:t>二、我方承诺无下列恶意串通的情形：</w:t>
      </w:r>
      <w:bookmarkEnd w:id="107"/>
      <w:bookmarkEnd w:id="108"/>
    </w:p>
    <w:p w14:paraId="47ACA89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97A64A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256ECA3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0BC4E4F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14E0D4E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E9E950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32155F8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37A05B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p>
    <w:p w14:paraId="1606E6C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42416AA">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outlineLvl w:val="9"/>
        <w:rPr>
          <w:rFonts w:hint="eastAsia" w:ascii="宋体" w:hAnsi="宋体" w:eastAsia="宋体" w:cs="宋体"/>
          <w:color w:val="auto"/>
          <w:sz w:val="21"/>
          <w:szCs w:val="21"/>
          <w:highlight w:val="none"/>
        </w:rPr>
      </w:pPr>
    </w:p>
    <w:p w14:paraId="43E26F1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contextualSpacing/>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lang w:val="en-US" w:eastAsia="zh-CN"/>
        </w:rPr>
        <w:t xml:space="preserve">               </w:t>
      </w:r>
    </w:p>
    <w:p w14:paraId="690C545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  期</w:t>
      </w:r>
      <w:r>
        <w:rPr>
          <w:rFonts w:hint="eastAsia" w:ascii="宋体" w:hAnsi="宋体" w:eastAsia="宋体" w:cs="宋体"/>
          <w:color w:val="auto"/>
          <w:sz w:val="21"/>
          <w:szCs w:val="21"/>
          <w:highlight w:val="none"/>
        </w:rPr>
        <w:t>：    年    月    日</w:t>
      </w:r>
    </w:p>
    <w:p w14:paraId="3201FA0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法定代表人证明书</w:t>
      </w:r>
    </w:p>
    <w:p w14:paraId="2F353625">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144E9B32">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31BA8F55">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788E4FCE">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202046CA">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2C1106B">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F239C5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的法定代表人。</w:t>
      </w:r>
    </w:p>
    <w:p w14:paraId="2F4FE856">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1CF94C50">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1A1CBD10">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18932ED8">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776F8369">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39225DDB">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79CB277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contextualSpacing/>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lang w:val="en-US" w:eastAsia="zh-CN"/>
        </w:rPr>
        <w:t xml:space="preserve">               </w:t>
      </w:r>
    </w:p>
    <w:p w14:paraId="5D860E1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  期</w:t>
      </w:r>
      <w:r>
        <w:rPr>
          <w:rFonts w:hint="eastAsia" w:ascii="宋体" w:hAnsi="宋体" w:eastAsia="宋体" w:cs="宋体"/>
          <w:color w:val="auto"/>
          <w:sz w:val="21"/>
          <w:szCs w:val="21"/>
          <w:highlight w:val="none"/>
        </w:rPr>
        <w:t>：    年    月    日</w:t>
      </w:r>
    </w:p>
    <w:p w14:paraId="241B8209">
      <w:pPr>
        <w:keepNext w:val="0"/>
        <w:keepLines w:val="0"/>
        <w:pageBreakBefore w:val="0"/>
        <w:widowControl w:val="0"/>
        <w:shd w:val="clear" w:color="auto" w:fill="auto"/>
        <w:kinsoku/>
        <w:wordWrap/>
        <w:overflowPunct/>
        <w:topLinePunct w:val="0"/>
        <w:autoSpaceDE/>
        <w:autoSpaceDN/>
        <w:bidi w:val="0"/>
        <w:spacing w:line="400" w:lineRule="exact"/>
        <w:contextualSpacing/>
        <w:jc w:val="center"/>
        <w:textAlignment w:val="auto"/>
        <w:rPr>
          <w:rFonts w:hint="eastAsia" w:ascii="宋体" w:hAnsi="宋体" w:eastAsia="宋体" w:cs="宋体"/>
          <w:b/>
          <w:color w:val="auto"/>
          <w:sz w:val="21"/>
          <w:szCs w:val="21"/>
          <w:highlight w:val="none"/>
        </w:rPr>
      </w:pPr>
    </w:p>
    <w:p w14:paraId="5250A384">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rPr>
      </w:pPr>
    </w:p>
    <w:p w14:paraId="1F203449">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注：自然人竞标的无需提供，联合体竞标的只需牵头人出具。</w:t>
      </w:r>
    </w:p>
    <w:p w14:paraId="5BC7F6B0">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color w:val="auto"/>
          <w:sz w:val="21"/>
          <w:szCs w:val="21"/>
          <w:highlight w:val="none"/>
        </w:rPr>
      </w:pPr>
    </w:p>
    <w:p w14:paraId="748DCC84">
      <w:pPr>
        <w:shd w:val="clear" w:color="auto" w:fill="auto"/>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w:t>
      </w:r>
    </w:p>
    <w:p w14:paraId="5A369372">
      <w:pPr>
        <w:shd w:val="clear" w:color="auto" w:fill="auto"/>
        <w:spacing w:line="520" w:lineRule="exact"/>
        <w:jc w:val="center"/>
        <w:rPr>
          <w:rFonts w:hint="eastAsia" w:ascii="宋体" w:hAnsi="宋体" w:eastAsia="宋体" w:cs="宋体"/>
          <w:b/>
          <w:bCs/>
          <w:color w:val="auto"/>
          <w:sz w:val="28"/>
          <w:szCs w:val="28"/>
          <w:highlight w:val="none"/>
        </w:rPr>
      </w:pPr>
      <w:bookmarkStart w:id="109" w:name="_Hlk65853643"/>
      <w:r>
        <w:rPr>
          <w:rFonts w:hint="eastAsia" w:ascii="宋体" w:hAnsi="宋体" w:eastAsia="宋体" w:cs="宋体"/>
          <w:b/>
          <w:bCs/>
          <w:color w:val="auto"/>
          <w:sz w:val="28"/>
          <w:szCs w:val="28"/>
          <w:highlight w:val="none"/>
        </w:rPr>
        <w:t>授权委托书</w:t>
      </w:r>
    </w:p>
    <w:p w14:paraId="205AF789">
      <w:pPr>
        <w:shd w:val="clear" w:color="auto" w:fill="auto"/>
        <w:spacing w:line="52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（非联合体竞标格式）</w:t>
      </w:r>
    </w:p>
    <w:p w14:paraId="6B983F01">
      <w:pPr>
        <w:shd w:val="clear" w:color="auto" w:fill="auto"/>
        <w:spacing w:line="52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（如有委托时）</w:t>
      </w:r>
    </w:p>
    <w:p w14:paraId="7E94990B">
      <w:pPr>
        <w:shd w:val="clear" w:color="auto" w:fill="auto"/>
        <w:spacing w:line="520" w:lineRule="exact"/>
        <w:rPr>
          <w:rFonts w:hint="eastAsia" w:ascii="宋体" w:hAnsi="宋体" w:eastAsia="宋体" w:cs="宋体"/>
          <w:color w:val="auto"/>
          <w:sz w:val="21"/>
          <w:szCs w:val="21"/>
          <w:highlight w:val="none"/>
        </w:rPr>
      </w:pPr>
    </w:p>
    <w:p w14:paraId="7074E98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73138FE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sym w:font="Wingdings 2" w:char="00A3"/>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0339C8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079E98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7EB8E12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2AC601C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附：法定代表人身份证明书及委托代理人有效身份证正反面复印件</w:t>
      </w:r>
    </w:p>
    <w:p w14:paraId="575DC53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CC92A30">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委托代理人（签字或者电子签名）：     </w:t>
      </w:r>
    </w:p>
    <w:p w14:paraId="441DC7A2">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法定代表人（签字或者盖章或者电子签名）：                    </w:t>
      </w:r>
    </w:p>
    <w:p w14:paraId="2753E2A1">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4028623D">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33651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供应商（电子签章）：                      </w:t>
      </w:r>
    </w:p>
    <w:p w14:paraId="5F9CDF9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8B1E9D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7473CE8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B4A460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080488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1"/>
          <w:szCs w:val="21"/>
          <w:highlight w:val="none"/>
        </w:rPr>
        <w:t>否则其响应文件按无效响应处理。</w:t>
      </w:r>
    </w:p>
    <w:p w14:paraId="606BC76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bookmarkStart w:id="110" w:name="_Hlk65853109"/>
      <w:bookmarkStart w:id="111" w:name="_Hlk65853542"/>
      <w:r>
        <w:rPr>
          <w:rFonts w:hint="eastAsia" w:ascii="宋体" w:hAnsi="宋体" w:eastAsia="宋体" w:cs="宋体"/>
          <w:color w:val="auto"/>
          <w:sz w:val="21"/>
          <w:szCs w:val="21"/>
          <w:highlight w:val="none"/>
        </w:rPr>
        <w:t>2.</w:t>
      </w:r>
      <w:bookmarkEnd w:id="110"/>
      <w:r>
        <w:rPr>
          <w:rFonts w:hint="eastAsia" w:ascii="宋体" w:hAnsi="宋体" w:eastAsia="宋体" w:cs="宋体"/>
          <w:color w:val="auto"/>
          <w:sz w:val="21"/>
          <w:szCs w:val="21"/>
          <w:highlight w:val="none"/>
        </w:rPr>
        <w:t>法人、其他组织竞标时“我方”是指“我单位”，自然人竞标时“我方”是指“本人”。</w:t>
      </w:r>
    </w:p>
    <w:bookmarkEnd w:id="111"/>
    <w:p w14:paraId="4C153B48">
      <w:pPr>
        <w:shd w:val="clear" w:color="auto" w:fill="auto"/>
        <w:spacing w:line="360" w:lineRule="auto"/>
        <w:ind w:firstLine="420" w:firstLineChars="200"/>
        <w:jc w:val="left"/>
        <w:rPr>
          <w:rFonts w:hint="eastAsia" w:ascii="宋体" w:hAnsi="宋体" w:eastAsia="宋体" w:cs="宋体"/>
          <w:color w:val="auto"/>
          <w:sz w:val="21"/>
          <w:szCs w:val="21"/>
          <w:highlight w:val="none"/>
        </w:rPr>
      </w:pPr>
    </w:p>
    <w:p w14:paraId="3DD3024A">
      <w:pPr>
        <w:shd w:val="clear" w:color="auto" w:fill="auto"/>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授权委托书</w:t>
      </w:r>
    </w:p>
    <w:p w14:paraId="71DAF03D">
      <w:pPr>
        <w:shd w:val="clear" w:color="auto" w:fill="auto"/>
        <w:spacing w:line="5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（联合体竞标格式）</w:t>
      </w:r>
    </w:p>
    <w:p w14:paraId="2A2513EB">
      <w:pPr>
        <w:shd w:val="clear" w:color="auto" w:fill="auto"/>
        <w:spacing w:line="5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（如有委托时）</w:t>
      </w:r>
    </w:p>
    <w:p w14:paraId="50479563">
      <w:pPr>
        <w:shd w:val="clear" w:color="auto" w:fill="auto"/>
        <w:spacing w:line="360" w:lineRule="auto"/>
        <w:ind w:firstLine="420" w:firstLineChars="200"/>
        <w:jc w:val="left"/>
        <w:rPr>
          <w:rFonts w:hint="eastAsia" w:ascii="宋体" w:hAnsi="宋体" w:eastAsia="宋体" w:cs="宋体"/>
          <w:color w:val="auto"/>
          <w:sz w:val="21"/>
          <w:szCs w:val="21"/>
          <w:highlight w:val="none"/>
        </w:rPr>
      </w:pPr>
    </w:p>
    <w:p w14:paraId="5A85B75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（联合体其他成员名称）签订的《联合体竞标协议书》的内容，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5CFDD96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我方对委托代理人的签字或者电子签名事项负全部责任。</w:t>
      </w:r>
    </w:p>
    <w:p w14:paraId="71E6780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62C05D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06555925">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附：法定代表人身份证明书及委托代理人有效身份证正反面复印件</w:t>
      </w:r>
    </w:p>
    <w:p w14:paraId="6FEF288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738" w:firstLineChars="1304"/>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牵头人法定代表人（签字或者盖章或者电子签名）：</w:t>
      </w:r>
    </w:p>
    <w:p w14:paraId="1EB9444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730" w:firstLineChars="13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牵头人（电子签章）：</w:t>
      </w:r>
    </w:p>
    <w:p w14:paraId="30B4429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0CE4F0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730" w:firstLineChars="13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被授权人（签字或者电子签名）：</w:t>
      </w:r>
    </w:p>
    <w:p w14:paraId="26ACE10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9432EC9">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val="0"/>
          <w:color w:val="auto"/>
          <w:sz w:val="21"/>
          <w:szCs w:val="21"/>
          <w:highlight w:val="none"/>
        </w:rPr>
        <w:t>否则其响应文件按无效响应处理。</w:t>
      </w:r>
    </w:p>
    <w:p w14:paraId="4BFA727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2.法人、其他组织竞标时“我方”是指“我单位”，自然人竞标时“我方”是指“本人”。</w:t>
      </w:r>
    </w:p>
    <w:p w14:paraId="668E595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.本授权委托书应由联合体牵头人的法定代表人按上述规定签署。</w:t>
      </w:r>
    </w:p>
    <w:p w14:paraId="243595AF">
      <w:pPr>
        <w:keepNext/>
        <w:keepLines/>
        <w:shd w:val="clear" w:color="auto" w:fill="auto"/>
        <w:outlineLvl w:val="9"/>
        <w:rPr>
          <w:rFonts w:hint="eastAsia" w:ascii="宋体" w:hAnsi="宋体" w:eastAsia="宋体" w:cs="宋体"/>
          <w:color w:val="auto"/>
          <w:sz w:val="21"/>
          <w:szCs w:val="21"/>
          <w:highlight w:val="none"/>
        </w:rPr>
      </w:pPr>
    </w:p>
    <w:bookmarkEnd w:id="109"/>
    <w:p w14:paraId="5D0AFDE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商务要求偏离表格式</w:t>
      </w:r>
    </w:p>
    <w:p w14:paraId="5B3C6BB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iCs/>
          <w:color w:val="auto"/>
          <w:sz w:val="21"/>
          <w:szCs w:val="21"/>
          <w:highlight w:val="none"/>
        </w:rPr>
      </w:pPr>
    </w:p>
    <w:p w14:paraId="66E6D8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b w:val="0"/>
          <w:bCs w:val="0"/>
          <w:color w:val="auto"/>
          <w:sz w:val="21"/>
          <w:szCs w:val="21"/>
          <w:highlight w:val="none"/>
          <w:u w:val="single"/>
        </w:rPr>
        <w:t xml:space="preserve">                 </w:t>
      </w:r>
    </w:p>
    <w:p w14:paraId="2F21AE19">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b w:val="0"/>
          <w:bCs w:val="0"/>
          <w:color w:val="auto"/>
          <w:sz w:val="21"/>
          <w:szCs w:val="21"/>
          <w:highlight w:val="none"/>
          <w:u w:val="single"/>
        </w:rPr>
        <w:t xml:space="preserve">                 </w:t>
      </w:r>
    </w:p>
    <w:p w14:paraId="56086951">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u w:val="single"/>
        </w:rPr>
      </w:pPr>
    </w:p>
    <w:tbl>
      <w:tblPr>
        <w:tblStyle w:val="27"/>
        <w:tblpPr w:leftFromText="180" w:rightFromText="180" w:vertAnchor="text" w:horzAnchor="margin" w:tblpY="-9"/>
        <w:tblOverlap w:val="never"/>
        <w:tblW w:w="86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6"/>
        <w:gridCol w:w="3135"/>
        <w:gridCol w:w="2615"/>
        <w:gridCol w:w="1487"/>
      </w:tblGrid>
      <w:tr w14:paraId="36E8F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07839E10">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序号</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6F9D4709">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商务要求</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3C0445B8">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响应文件承诺的商务要求</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287E6BA">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偏离说明</w:t>
            </w:r>
          </w:p>
        </w:tc>
      </w:tr>
      <w:tr w14:paraId="65E3B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38A37DB9">
            <w:pPr>
              <w:shd w:val="clear" w:color="auto" w:fill="auto"/>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AAB8498">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8BBD624">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496AFBB">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62FD5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4962F14">
            <w:pPr>
              <w:shd w:val="clear" w:color="auto" w:fill="auto"/>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36CC16C">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128272E2">
            <w:pPr>
              <w:shd w:val="clear" w:color="auto" w:fill="auto"/>
              <w:spacing w:line="360" w:lineRule="auto"/>
              <w:ind w:left="43"/>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7AFAB93">
            <w:pPr>
              <w:shd w:val="clear" w:color="auto" w:fill="auto"/>
              <w:spacing w:line="360" w:lineRule="auto"/>
              <w:ind w:left="43"/>
              <w:contextualSpacing/>
              <w:jc w:val="center"/>
              <w:rPr>
                <w:rFonts w:hint="eastAsia" w:ascii="宋体" w:hAnsi="宋体" w:eastAsia="宋体" w:cs="宋体"/>
                <w:color w:val="auto"/>
                <w:sz w:val="21"/>
                <w:szCs w:val="21"/>
                <w:highlight w:val="none"/>
              </w:rPr>
            </w:pPr>
          </w:p>
        </w:tc>
      </w:tr>
      <w:tr w14:paraId="1D6A8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37AB9FC">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1A898DE">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0C01F654">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0A20325">
            <w:pPr>
              <w:shd w:val="clear" w:color="auto" w:fill="auto"/>
              <w:spacing w:line="360" w:lineRule="auto"/>
              <w:contextualSpacing/>
              <w:jc w:val="center"/>
              <w:rPr>
                <w:rFonts w:hint="eastAsia" w:ascii="宋体" w:hAnsi="宋体" w:eastAsia="宋体" w:cs="宋体"/>
                <w:color w:val="auto"/>
                <w:sz w:val="21"/>
                <w:szCs w:val="21"/>
                <w:highlight w:val="none"/>
              </w:rPr>
            </w:pPr>
          </w:p>
        </w:tc>
      </w:tr>
    </w:tbl>
    <w:p w14:paraId="7874EACA">
      <w:pPr>
        <w:pStyle w:val="14"/>
        <w:keepNext w:val="0"/>
        <w:keepLines w:val="0"/>
        <w:pageBreakBefore w:val="0"/>
        <w:widowControl w:val="0"/>
        <w:shd w:val="clear" w:color="auto" w:fill="auto"/>
        <w:kinsoku/>
        <w:wordWrap/>
        <w:overflowPunct/>
        <w:topLinePunct w:val="0"/>
        <w:autoSpaceDE/>
        <w:autoSpaceDN/>
        <w:bidi w:val="0"/>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3BF3E080">
      <w:pPr>
        <w:pStyle w:val="14"/>
        <w:keepNext w:val="0"/>
        <w:keepLines w:val="0"/>
        <w:pageBreakBefore w:val="0"/>
        <w:widowControl w:val="0"/>
        <w:shd w:val="clear" w:color="auto" w:fill="auto"/>
        <w:kinsoku/>
        <w:wordWrap/>
        <w:overflowPunct/>
        <w:topLinePunct w:val="0"/>
        <w:autoSpaceDE/>
        <w:autoSpaceDN/>
        <w:bidi w:val="0"/>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文件“第三章 采购需求”采购需求一览表中的商务要求逐条作出明确响应，并作出偏离说明。</w:t>
      </w:r>
    </w:p>
    <w:p w14:paraId="3E9A6924">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00B4279F">
      <w:pPr>
        <w:keepNext w:val="0"/>
        <w:keepLines w:val="0"/>
        <w:pageBreakBefore w:val="0"/>
        <w:widowControl w:val="0"/>
        <w:shd w:val="clear" w:color="auto" w:fill="auto"/>
        <w:kinsoku/>
        <w:wordWrap/>
        <w:overflowPunct/>
        <w:topLinePunct w:val="0"/>
        <w:autoSpaceDE/>
        <w:autoSpaceDN/>
        <w:bidi w:val="0"/>
        <w:spacing w:line="400" w:lineRule="exact"/>
        <w:ind w:right="-817" w:rightChars="-389"/>
        <w:contextualSpacing/>
        <w:textAlignment w:val="auto"/>
        <w:rPr>
          <w:rFonts w:hint="eastAsia" w:ascii="宋体" w:hAnsi="宋体" w:eastAsia="宋体" w:cs="宋体"/>
          <w:color w:val="auto"/>
          <w:sz w:val="21"/>
          <w:szCs w:val="21"/>
          <w:highlight w:val="none"/>
        </w:rPr>
      </w:pPr>
    </w:p>
    <w:p w14:paraId="06E4B66F">
      <w:pPr>
        <w:keepNext w:val="0"/>
        <w:keepLines w:val="0"/>
        <w:pageBreakBefore w:val="0"/>
        <w:widowControl w:val="0"/>
        <w:shd w:val="clear" w:color="auto" w:fill="auto"/>
        <w:kinsoku/>
        <w:wordWrap/>
        <w:overflowPunct/>
        <w:topLinePunct w:val="0"/>
        <w:autoSpaceDE/>
        <w:autoSpaceDN/>
        <w:bidi w:val="0"/>
        <w:spacing w:line="400" w:lineRule="exact"/>
        <w:ind w:right="-817" w:rightChars="-389"/>
        <w:contextualSpacing/>
        <w:jc w:val="center"/>
        <w:textAlignment w:val="auto"/>
        <w:rPr>
          <w:rFonts w:hint="eastAsia" w:ascii="宋体" w:hAnsi="宋体" w:eastAsia="宋体" w:cs="宋体"/>
          <w:color w:val="auto"/>
          <w:sz w:val="21"/>
          <w:szCs w:val="21"/>
          <w:highlight w:val="none"/>
        </w:rPr>
      </w:pPr>
    </w:p>
    <w:p w14:paraId="225582BC">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9A69DDB">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   年   月   日</w:t>
      </w:r>
    </w:p>
    <w:p w14:paraId="468F5F19">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3360" w:firstLineChars="1600"/>
        <w:jc w:val="center"/>
        <w:textAlignment w:val="auto"/>
        <w:rPr>
          <w:rFonts w:hint="eastAsia" w:ascii="宋体" w:hAnsi="宋体" w:eastAsia="宋体" w:cs="宋体"/>
          <w:bCs/>
          <w:color w:val="auto"/>
          <w:sz w:val="21"/>
          <w:szCs w:val="21"/>
          <w:highlight w:val="none"/>
        </w:rPr>
      </w:pPr>
    </w:p>
    <w:p w14:paraId="357968AC">
      <w:pPr>
        <w:shd w:val="clear" w:color="auto" w:fill="auto"/>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5638CD5E">
      <w:pPr>
        <w:shd w:val="clear" w:color="auto" w:fill="auto"/>
        <w:adjustRightInd w:val="0"/>
        <w:snapToGrid w:val="0"/>
        <w:spacing w:line="520" w:lineRule="exact"/>
        <w:rPr>
          <w:rFonts w:hint="eastAsia" w:ascii="宋体" w:hAnsi="宋体" w:eastAsia="宋体" w:cs="宋体"/>
          <w:color w:val="auto"/>
          <w:sz w:val="21"/>
          <w:szCs w:val="21"/>
          <w:highlight w:val="none"/>
          <w:u w:val="single"/>
        </w:rPr>
      </w:pPr>
    </w:p>
    <w:p w14:paraId="41ABC63A">
      <w:pPr>
        <w:shd w:val="clear" w:color="auto" w:fill="auto"/>
        <w:adjustRightInd w:val="0"/>
        <w:snapToGrid w:val="0"/>
        <w:spacing w:line="300" w:lineRule="auto"/>
        <w:jc w:val="center"/>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技术要求偏离表</w:t>
      </w:r>
    </w:p>
    <w:p w14:paraId="6554F8E6">
      <w:pPr>
        <w:shd w:val="clear" w:color="auto" w:fill="auto"/>
        <w:spacing w:line="360" w:lineRule="auto"/>
        <w:contextualSpacing/>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rPr>
        <w:t xml:space="preserve">                 </w:t>
      </w:r>
    </w:p>
    <w:p w14:paraId="16CC4F44">
      <w:pPr>
        <w:shd w:val="clear" w:color="auto" w:fill="auto"/>
        <w:spacing w:line="360" w:lineRule="auto"/>
        <w:contextualSpacing/>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8"/>
        <w:gridCol w:w="4057"/>
        <w:gridCol w:w="2938"/>
        <w:gridCol w:w="1492"/>
      </w:tblGrid>
      <w:tr w14:paraId="7B35F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511FD01A">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序号</w:t>
            </w:r>
          </w:p>
        </w:tc>
        <w:tc>
          <w:tcPr>
            <w:tcW w:w="4057" w:type="dxa"/>
            <w:tcBorders>
              <w:left w:val="single" w:color="auto" w:sz="4" w:space="0"/>
            </w:tcBorders>
            <w:noWrap w:val="0"/>
            <w:vAlign w:val="center"/>
          </w:tcPr>
          <w:p w14:paraId="66616EAC">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竞争性磋商文件</w:t>
            </w:r>
            <w:r>
              <w:rPr>
                <w:rFonts w:hint="eastAsia" w:ascii="宋体" w:hAnsi="宋体" w:eastAsia="宋体" w:cs="宋体"/>
                <w:b w:val="0"/>
                <w:bCs w:val="0"/>
                <w:color w:val="auto"/>
                <w:kern w:val="2"/>
                <w:sz w:val="21"/>
                <w:szCs w:val="21"/>
                <w:highlight w:val="none"/>
                <w:lang w:val="en-US" w:eastAsia="zh-CN"/>
              </w:rPr>
              <w:t>的项目需要及技术需求</w:t>
            </w:r>
          </w:p>
        </w:tc>
        <w:tc>
          <w:tcPr>
            <w:tcW w:w="2938" w:type="dxa"/>
            <w:noWrap w:val="0"/>
            <w:vAlign w:val="center"/>
          </w:tcPr>
          <w:p w14:paraId="464F35FE">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响应文件承诺</w:t>
            </w:r>
          </w:p>
        </w:tc>
        <w:tc>
          <w:tcPr>
            <w:tcW w:w="1492" w:type="dxa"/>
            <w:noWrap w:val="0"/>
            <w:vAlign w:val="center"/>
          </w:tcPr>
          <w:p w14:paraId="493157FC">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偏离说明</w:t>
            </w:r>
          </w:p>
        </w:tc>
      </w:tr>
      <w:tr w14:paraId="004AD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071D3DDD">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lang w:val="en-US" w:eastAsia="zh-CN"/>
              </w:rPr>
            </w:pPr>
          </w:p>
        </w:tc>
        <w:tc>
          <w:tcPr>
            <w:tcW w:w="4057" w:type="dxa"/>
            <w:tcBorders>
              <w:left w:val="single" w:color="auto" w:sz="4" w:space="0"/>
            </w:tcBorders>
            <w:noWrap w:val="0"/>
            <w:vAlign w:val="center"/>
          </w:tcPr>
          <w:p w14:paraId="3CA5B7A4">
            <w:pPr>
              <w:pStyle w:val="15"/>
              <w:shd w:val="clear" w:color="auto" w:fill="auto"/>
              <w:spacing w:line="360" w:lineRule="auto"/>
              <w:ind w:firstLine="0" w:firstLineChars="0"/>
              <w:contextualSpacing/>
              <w:jc w:val="both"/>
              <w:rPr>
                <w:rFonts w:hint="eastAsia" w:ascii="宋体" w:hAnsi="宋体" w:eastAsia="宋体" w:cs="宋体"/>
                <w:b w:val="0"/>
                <w:bCs w:val="0"/>
                <w:color w:val="auto"/>
                <w:sz w:val="21"/>
                <w:szCs w:val="21"/>
                <w:highlight w:val="none"/>
              </w:rPr>
            </w:pPr>
          </w:p>
        </w:tc>
        <w:tc>
          <w:tcPr>
            <w:tcW w:w="2938" w:type="dxa"/>
            <w:noWrap w:val="0"/>
            <w:vAlign w:val="center"/>
          </w:tcPr>
          <w:p w14:paraId="3F24B27E">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c>
          <w:tcPr>
            <w:tcW w:w="1492" w:type="dxa"/>
            <w:noWrap w:val="0"/>
            <w:vAlign w:val="center"/>
          </w:tcPr>
          <w:p w14:paraId="6981AC53">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r>
      <w:tr w14:paraId="76E51C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7E353E29">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lang w:eastAsia="zh-CN"/>
              </w:rPr>
            </w:pPr>
          </w:p>
        </w:tc>
        <w:tc>
          <w:tcPr>
            <w:tcW w:w="4057" w:type="dxa"/>
            <w:tcBorders>
              <w:left w:val="single" w:color="auto" w:sz="4" w:space="0"/>
            </w:tcBorders>
            <w:noWrap w:val="0"/>
            <w:vAlign w:val="center"/>
          </w:tcPr>
          <w:p w14:paraId="7885926C">
            <w:pPr>
              <w:pStyle w:val="15"/>
              <w:shd w:val="clear" w:color="auto" w:fill="auto"/>
              <w:spacing w:line="360" w:lineRule="auto"/>
              <w:ind w:firstLine="0" w:firstLineChars="0"/>
              <w:contextualSpacing/>
              <w:jc w:val="both"/>
              <w:rPr>
                <w:rFonts w:hint="eastAsia" w:ascii="宋体" w:hAnsi="宋体" w:eastAsia="宋体" w:cs="宋体"/>
                <w:b w:val="0"/>
                <w:bCs w:val="0"/>
                <w:color w:val="auto"/>
                <w:sz w:val="21"/>
                <w:szCs w:val="21"/>
                <w:highlight w:val="none"/>
              </w:rPr>
            </w:pPr>
          </w:p>
        </w:tc>
        <w:tc>
          <w:tcPr>
            <w:tcW w:w="2938" w:type="dxa"/>
            <w:noWrap w:val="0"/>
            <w:vAlign w:val="center"/>
          </w:tcPr>
          <w:p w14:paraId="34532B98">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c>
          <w:tcPr>
            <w:tcW w:w="1492" w:type="dxa"/>
            <w:noWrap w:val="0"/>
            <w:vAlign w:val="center"/>
          </w:tcPr>
          <w:p w14:paraId="7C517B0B">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r>
    </w:tbl>
    <w:p w14:paraId="3941CBD2">
      <w:pPr>
        <w:shd w:val="clear" w:color="auto" w:fill="auto"/>
        <w:adjustRightInd w:val="0"/>
        <w:spacing w:line="360" w:lineRule="auto"/>
        <w:contextualSpacing/>
        <w:rPr>
          <w:rFonts w:hint="eastAsia" w:ascii="宋体" w:hAnsi="宋体" w:eastAsia="宋体" w:cs="宋体"/>
          <w:b w:val="0"/>
          <w:bCs w:val="0"/>
          <w:color w:val="auto"/>
          <w:sz w:val="21"/>
          <w:szCs w:val="21"/>
          <w:highlight w:val="none"/>
        </w:rPr>
      </w:pPr>
    </w:p>
    <w:p w14:paraId="29587A93">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118E1AE2">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1.说明：应对照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文件“第三章 采购需求”采购需求一览表中的项目需要及技术需求逐条作出明确响应，并作出偏离说明。</w:t>
      </w:r>
    </w:p>
    <w:p w14:paraId="0932562E">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2.供应商应根据自身的承诺，对照磋商文件要求，在“偏离说明”中注明“正偏离”、“负偏离”或者“无偏离”。既不属于“正偏离”也不属于“负偏离”即为“无偏离”。</w:t>
      </w:r>
    </w:p>
    <w:p w14:paraId="74CBC9A7">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jc w:val="center"/>
        <w:textAlignment w:val="auto"/>
        <w:rPr>
          <w:rFonts w:hint="eastAsia" w:ascii="宋体" w:hAnsi="宋体" w:eastAsia="宋体" w:cs="宋体"/>
          <w:b w:val="0"/>
          <w:bCs w:val="0"/>
          <w:color w:val="auto"/>
          <w:sz w:val="21"/>
          <w:szCs w:val="21"/>
          <w:highlight w:val="none"/>
        </w:rPr>
      </w:pPr>
    </w:p>
    <w:p w14:paraId="7D25547E">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B1A7D8C">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   年   月   日</w:t>
      </w:r>
    </w:p>
    <w:p w14:paraId="4BF61E23">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firstLine="6300" w:firstLineChars="30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w:t>
      </w:r>
    </w:p>
    <w:p w14:paraId="05E14C8C">
      <w:pPr>
        <w:shd w:val="clear" w:color="auto" w:fill="auto"/>
        <w:adjustRightInd w:val="0"/>
        <w:snapToGrid w:val="0"/>
        <w:spacing w:line="360" w:lineRule="auto"/>
        <w:ind w:left="0"/>
        <w:contextualSpacing/>
        <w:jc w:val="center"/>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bCs/>
          <w:color w:val="auto"/>
          <w:sz w:val="28"/>
          <w:szCs w:val="28"/>
          <w:highlight w:val="none"/>
        </w:rPr>
        <w:t>项目实施人员一览表</w:t>
      </w:r>
    </w:p>
    <w:p w14:paraId="04748D56">
      <w:pPr>
        <w:pStyle w:val="18"/>
        <w:shd w:val="clear" w:color="auto" w:fill="auto"/>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bCs/>
          <w:color w:val="auto"/>
          <w:sz w:val="21"/>
          <w:szCs w:val="21"/>
          <w:highlight w:val="none"/>
        </w:rPr>
        <w:t>（如有则填写，无分标时填写“无”或者留空）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738"/>
        <w:gridCol w:w="2627"/>
        <w:gridCol w:w="1191"/>
        <w:gridCol w:w="1463"/>
        <w:gridCol w:w="1642"/>
      </w:tblGrid>
      <w:tr w14:paraId="74A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7E2F82A2">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33" w:type="pct"/>
            <w:noWrap w:val="0"/>
            <w:vAlign w:val="center"/>
          </w:tcPr>
          <w:p w14:paraId="427C530A">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42" w:type="pct"/>
            <w:noWrap w:val="0"/>
            <w:vAlign w:val="center"/>
          </w:tcPr>
          <w:p w14:paraId="5170B305">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699" w:type="pct"/>
            <w:noWrap w:val="0"/>
            <w:vAlign w:val="center"/>
          </w:tcPr>
          <w:p w14:paraId="4DB6F942">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859" w:type="pct"/>
            <w:noWrap w:val="0"/>
            <w:vAlign w:val="center"/>
          </w:tcPr>
          <w:p w14:paraId="64A35463">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4271CABB">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964" w:type="pct"/>
            <w:noWrap w:val="0"/>
            <w:vAlign w:val="center"/>
          </w:tcPr>
          <w:p w14:paraId="7E7D47B4">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6F7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2776C127">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4BF765A7">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645A404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0FAE853B">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03921489">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5985DE0E">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6DD9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54BFEA16">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45C134AA">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13032597">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4A1F114C">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24016800">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4C8CA5CB">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393B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14432345">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26BFC9DC">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06C523C7">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1EC16E63">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633AF12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5AFD65F2">
            <w:pPr>
              <w:shd w:val="clear" w:color="auto" w:fill="auto"/>
              <w:spacing w:line="360" w:lineRule="auto"/>
              <w:contextualSpacing/>
              <w:jc w:val="center"/>
              <w:rPr>
                <w:rFonts w:hint="eastAsia" w:ascii="宋体" w:hAnsi="宋体" w:eastAsia="宋体" w:cs="宋体"/>
                <w:color w:val="auto"/>
                <w:sz w:val="21"/>
                <w:szCs w:val="21"/>
                <w:highlight w:val="none"/>
              </w:rPr>
            </w:pPr>
          </w:p>
        </w:tc>
      </w:tr>
    </w:tbl>
    <w:p w14:paraId="59F8FA19">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0EC9006">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1.在填写时，如本表格不适合供应商的实际情况，可根据本表格式自行制表填写。</w:t>
      </w:r>
    </w:p>
    <w:p w14:paraId="2DC65DD1">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2.供应商应当附本表所列证书的复印件并加盖供应商电子签章。</w:t>
      </w:r>
    </w:p>
    <w:p w14:paraId="57E38FBF">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p>
    <w:p w14:paraId="2F86BCA6">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578EC9F">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   年   月   日</w:t>
      </w:r>
    </w:p>
    <w:p w14:paraId="6617EE94">
      <w:pPr>
        <w:keepNext w:val="0"/>
        <w:keepLines w:val="0"/>
        <w:pageBreakBefore w:val="0"/>
        <w:widowControl w:val="0"/>
        <w:shd w:val="clear" w:color="auto" w:fill="auto"/>
        <w:kinsoku/>
        <w:wordWrap/>
        <w:overflowPunct/>
        <w:topLinePunct w:val="0"/>
        <w:autoSpaceDE/>
        <w:autoSpaceDN/>
        <w:bidi w:val="0"/>
        <w:adjustRightInd/>
        <w:snapToGrid w:val="0"/>
        <w:spacing w:before="50" w:after="156" w:afterLines="50" w:line="400" w:lineRule="exact"/>
        <w:jc w:val="left"/>
        <w:textAlignment w:val="auto"/>
        <w:rPr>
          <w:rFonts w:hint="eastAsia" w:ascii="宋体" w:hAnsi="宋体" w:eastAsia="宋体" w:cs="宋体"/>
          <w:color w:val="auto"/>
          <w:sz w:val="21"/>
          <w:szCs w:val="21"/>
          <w:highlight w:val="none"/>
        </w:rPr>
      </w:pPr>
    </w:p>
    <w:p w14:paraId="2BD0072E">
      <w:pPr>
        <w:shd w:val="clear" w:color="auto" w:fill="auto"/>
        <w:snapToGrid w:val="0"/>
        <w:spacing w:before="50" w:after="50" w:line="360" w:lineRule="auto"/>
        <w:ind w:right="-817" w:rightChars="-389" w:firstLine="3584" w:firstLineChars="1700"/>
        <w:rPr>
          <w:rFonts w:hint="eastAsia" w:ascii="宋体" w:hAnsi="宋体" w:eastAsia="宋体" w:cs="宋体"/>
          <w:b/>
          <w:color w:val="auto"/>
          <w:sz w:val="21"/>
          <w:szCs w:val="21"/>
          <w:highlight w:val="none"/>
        </w:rPr>
      </w:pPr>
    </w:p>
    <w:p w14:paraId="28EC3A22">
      <w:pPr>
        <w:shd w:val="clear" w:color="auto" w:fill="auto"/>
        <w:spacing w:line="300" w:lineRule="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bookmarkStart w:id="112" w:name="_Toc23077"/>
      <w:bookmarkStart w:id="113" w:name="_Toc26489"/>
      <w:bookmarkStart w:id="114" w:name="_Toc12486"/>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w:t>
      </w:r>
      <w:r>
        <w:rPr>
          <w:rFonts w:hint="eastAsia" w:ascii="宋体" w:hAnsi="宋体" w:eastAsia="宋体" w:cs="宋体"/>
          <w:b/>
          <w:bCs w:val="0"/>
          <w:color w:val="auto"/>
          <w:sz w:val="21"/>
          <w:szCs w:val="21"/>
          <w:highlight w:val="none"/>
        </w:rPr>
        <w:t>其他文书、文件格式</w:t>
      </w:r>
      <w:bookmarkEnd w:id="112"/>
      <w:bookmarkEnd w:id="113"/>
      <w:bookmarkEnd w:id="114"/>
    </w:p>
    <w:p w14:paraId="5EEBB62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outlineLvl w:val="9"/>
        <w:rPr>
          <w:rFonts w:hint="eastAsia" w:ascii="方正小标宋_GBK" w:hAnsi="方正小标宋_GBK" w:eastAsia="方正小标宋_GBK" w:cs="方正小标宋_GBK"/>
          <w:b/>
          <w:bCs/>
          <w:color w:val="auto"/>
          <w:sz w:val="28"/>
          <w:szCs w:val="28"/>
          <w:highlight w:val="none"/>
        </w:rPr>
      </w:pPr>
      <w:r>
        <w:rPr>
          <w:rFonts w:hint="eastAsia" w:ascii="方正小标宋_GBK" w:hAnsi="方正小标宋_GBK" w:eastAsia="方正小标宋_GBK" w:cs="方正小标宋_GBK"/>
          <w:color w:val="auto"/>
          <w:sz w:val="28"/>
          <w:szCs w:val="28"/>
          <w:highlight w:val="none"/>
        </w:rPr>
        <w:t>质疑函（格式）</w:t>
      </w:r>
    </w:p>
    <w:p w14:paraId="235F9081">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15" w:name="_Toc8197"/>
      <w:bookmarkStart w:id="116" w:name="_Toc27903"/>
      <w:r>
        <w:rPr>
          <w:rFonts w:hint="eastAsia" w:ascii="宋体" w:hAnsi="宋体" w:eastAsia="宋体" w:cs="宋体"/>
          <w:b/>
          <w:bCs/>
          <w:color w:val="auto"/>
          <w:sz w:val="21"/>
          <w:szCs w:val="21"/>
          <w:highlight w:val="none"/>
        </w:rPr>
        <w:t>一、质疑供应商基本信息：</w:t>
      </w:r>
      <w:bookmarkEnd w:id="115"/>
      <w:bookmarkEnd w:id="116"/>
    </w:p>
    <w:p w14:paraId="095BD864">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p>
    <w:p w14:paraId="145E561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4EE9351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7F4F25E">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2D4CFCC6">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12B339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3D16E4F">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17" w:name="_Toc4609"/>
      <w:bookmarkStart w:id="118" w:name="_Toc17539"/>
      <w:r>
        <w:rPr>
          <w:rFonts w:hint="eastAsia" w:ascii="宋体" w:hAnsi="宋体" w:eastAsia="宋体" w:cs="宋体"/>
          <w:b/>
          <w:bCs/>
          <w:color w:val="auto"/>
          <w:sz w:val="21"/>
          <w:szCs w:val="21"/>
          <w:highlight w:val="none"/>
        </w:rPr>
        <w:t>二、质疑项目基本情况：</w:t>
      </w:r>
      <w:bookmarkEnd w:id="117"/>
      <w:bookmarkEnd w:id="118"/>
    </w:p>
    <w:p w14:paraId="69E05BD3">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0550FD8F">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04E6A40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5AA5C44">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0D0A921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7503A2C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260BD4D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266ACB41">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6"/>
        <w:contextualSpacing/>
        <w:textAlignment w:val="auto"/>
        <w:outlineLvl w:val="9"/>
        <w:rPr>
          <w:rFonts w:hint="eastAsia" w:ascii="宋体" w:hAnsi="宋体" w:eastAsia="宋体" w:cs="宋体"/>
          <w:b/>
          <w:color w:val="auto"/>
          <w:sz w:val="21"/>
          <w:szCs w:val="21"/>
          <w:highlight w:val="none"/>
        </w:rPr>
      </w:pPr>
      <w:bookmarkStart w:id="119" w:name="_Toc32471"/>
      <w:bookmarkStart w:id="120" w:name="_Toc31984"/>
      <w:r>
        <w:rPr>
          <w:rFonts w:hint="eastAsia" w:ascii="宋体" w:hAnsi="宋体" w:eastAsia="宋体" w:cs="宋体"/>
          <w:b/>
          <w:color w:val="auto"/>
          <w:sz w:val="21"/>
          <w:szCs w:val="21"/>
          <w:highlight w:val="none"/>
        </w:rPr>
        <w:t>三、质疑事项具体内容</w:t>
      </w:r>
      <w:bookmarkEnd w:id="119"/>
      <w:bookmarkEnd w:id="120"/>
    </w:p>
    <w:p w14:paraId="29DE9910">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469C4E16">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26882BE2">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71445B8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6C76A7F6">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96AF173">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bookmarkStart w:id="121" w:name="_Toc2348"/>
      <w:bookmarkStart w:id="122" w:name="_Toc10794"/>
      <w:r>
        <w:rPr>
          <w:rFonts w:hint="eastAsia" w:ascii="宋体" w:hAnsi="宋体" w:eastAsia="宋体" w:cs="宋体"/>
          <w:color w:val="auto"/>
          <w:sz w:val="21"/>
          <w:szCs w:val="21"/>
          <w:highlight w:val="none"/>
        </w:rPr>
        <w:t>四、与质疑事项相关的质疑请求：</w:t>
      </w:r>
      <w:bookmarkEnd w:id="121"/>
      <w:bookmarkEnd w:id="122"/>
    </w:p>
    <w:p w14:paraId="7186D9C3">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4CB72794">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4ECA7C66">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p>
    <w:p w14:paraId="2770C23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319620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5B571554">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77E60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14CD54B0">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662B5C06">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0535A1B9">
      <w:pPr>
        <w:keepNext w:val="0"/>
        <w:keepLines w:val="0"/>
        <w:pageBreakBefore w:val="0"/>
        <w:widowControl w:val="0"/>
        <w:shd w:val="clear" w:color="auto" w:fill="auto"/>
        <w:kinsoku/>
        <w:wordWrap/>
        <w:overflowPunct/>
        <w:topLinePunct w:val="0"/>
        <w:autoSpaceDE/>
        <w:autoSpaceDN/>
        <w:bidi w:val="0"/>
        <w:adjustRightInd/>
        <w:spacing w:line="360" w:lineRule="auto"/>
        <w:jc w:val="center"/>
        <w:textAlignment w:val="auto"/>
        <w:outlineLvl w:val="9"/>
        <w:rPr>
          <w:rFonts w:hint="eastAsia" w:ascii="方正小标宋_GBK" w:hAnsi="方正小标宋_GBK" w:eastAsia="方正小标宋_GBK" w:cs="方正小标宋_GBK"/>
          <w:color w:val="auto"/>
          <w:sz w:val="21"/>
          <w:szCs w:val="21"/>
          <w:highlight w:val="none"/>
        </w:rPr>
      </w:pPr>
      <w:r>
        <w:rPr>
          <w:rFonts w:hint="eastAsia" w:ascii="宋体" w:hAnsi="宋体" w:eastAsia="宋体" w:cs="宋体"/>
          <w:color w:val="auto"/>
          <w:sz w:val="21"/>
          <w:szCs w:val="21"/>
          <w:highlight w:val="none"/>
        </w:rPr>
        <w:br w:type="page"/>
      </w:r>
      <w:r>
        <w:rPr>
          <w:rFonts w:hint="eastAsia" w:ascii="方正小标宋_GBK" w:hAnsi="方正小标宋_GBK" w:eastAsia="方正小标宋_GBK" w:cs="方正小标宋_GBK"/>
          <w:color w:val="auto"/>
          <w:sz w:val="21"/>
          <w:szCs w:val="21"/>
          <w:highlight w:val="none"/>
        </w:rPr>
        <w:t>投诉书（格式）</w:t>
      </w:r>
    </w:p>
    <w:p w14:paraId="6E34E15A">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bCs/>
          <w:color w:val="auto"/>
          <w:sz w:val="21"/>
          <w:szCs w:val="21"/>
          <w:highlight w:val="none"/>
        </w:rPr>
      </w:pPr>
      <w:bookmarkStart w:id="123" w:name="_Toc25630"/>
      <w:bookmarkStart w:id="124" w:name="_Toc11424"/>
      <w:r>
        <w:rPr>
          <w:rFonts w:hint="eastAsia" w:ascii="宋体" w:hAnsi="宋体" w:eastAsia="宋体" w:cs="宋体"/>
          <w:b/>
          <w:bCs/>
          <w:color w:val="auto"/>
          <w:sz w:val="21"/>
          <w:szCs w:val="21"/>
          <w:highlight w:val="none"/>
        </w:rPr>
        <w:t>一、投诉相关主体基本情况：</w:t>
      </w:r>
      <w:bookmarkEnd w:id="123"/>
      <w:bookmarkEnd w:id="124"/>
    </w:p>
    <w:p w14:paraId="0F91B979">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9FD8C97">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2802402">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28251DC9">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7775583">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D072BC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1AEA131">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F0E3396">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3E652634">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233EAB09">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A23C156">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B74A04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59860D53">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4C3BD6B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3F3EB522">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178C32FB">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AAEB02C">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bCs/>
          <w:color w:val="auto"/>
          <w:sz w:val="21"/>
          <w:szCs w:val="21"/>
          <w:highlight w:val="none"/>
        </w:rPr>
      </w:pPr>
      <w:bookmarkStart w:id="125" w:name="_Toc3622"/>
      <w:bookmarkStart w:id="126" w:name="_Toc28601"/>
      <w:r>
        <w:rPr>
          <w:rFonts w:hint="eastAsia" w:ascii="宋体" w:hAnsi="宋体" w:eastAsia="宋体" w:cs="宋体"/>
          <w:b/>
          <w:bCs/>
          <w:color w:val="auto"/>
          <w:sz w:val="21"/>
          <w:szCs w:val="21"/>
          <w:highlight w:val="none"/>
        </w:rPr>
        <w:t>二、投诉项目基本情况：</w:t>
      </w:r>
      <w:bookmarkEnd w:id="125"/>
      <w:bookmarkEnd w:id="126"/>
    </w:p>
    <w:p w14:paraId="6E4E4723">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10D6517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C9C6D55">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6A2C44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4CA42B5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采购文件公告：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6B4EBE3A">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3F36BE80">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27" w:name="_Toc9557"/>
      <w:bookmarkStart w:id="128" w:name="_Toc19518"/>
      <w:r>
        <w:rPr>
          <w:rFonts w:hint="eastAsia" w:ascii="宋体" w:hAnsi="宋体" w:eastAsia="宋体" w:cs="宋体"/>
          <w:b/>
          <w:color w:val="auto"/>
          <w:sz w:val="21"/>
          <w:szCs w:val="21"/>
          <w:highlight w:val="none"/>
        </w:rPr>
        <w:t>三、质疑基本情况</w:t>
      </w:r>
      <w:bookmarkEnd w:id="127"/>
      <w:bookmarkEnd w:id="128"/>
    </w:p>
    <w:p w14:paraId="70C5847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2592CF1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241"/>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761F61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241"/>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2ED056">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3D141433">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29" w:name="_Toc2336"/>
      <w:bookmarkStart w:id="130" w:name="_Toc31411"/>
      <w:r>
        <w:rPr>
          <w:rFonts w:hint="eastAsia" w:ascii="宋体" w:hAnsi="宋体" w:eastAsia="宋体" w:cs="宋体"/>
          <w:b/>
          <w:color w:val="auto"/>
          <w:sz w:val="21"/>
          <w:szCs w:val="21"/>
          <w:highlight w:val="none"/>
        </w:rPr>
        <w:t>四、投诉事项具体内容</w:t>
      </w:r>
      <w:bookmarkEnd w:id="129"/>
      <w:bookmarkEnd w:id="130"/>
    </w:p>
    <w:p w14:paraId="7D22575C">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6067948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21E3FEE">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352313B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9E24F8A">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75BBEABF">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4F49D25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54ADD9CC">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31" w:name="_Toc17143"/>
      <w:bookmarkStart w:id="132" w:name="_Toc26155"/>
      <w:r>
        <w:rPr>
          <w:rFonts w:hint="eastAsia" w:ascii="宋体" w:hAnsi="宋体" w:eastAsia="宋体" w:cs="宋体"/>
          <w:b/>
          <w:color w:val="auto"/>
          <w:sz w:val="21"/>
          <w:szCs w:val="21"/>
          <w:highlight w:val="none"/>
        </w:rPr>
        <w:t>五、与投诉事项相关的投诉请求：</w:t>
      </w:r>
      <w:bookmarkEnd w:id="131"/>
      <w:bookmarkEnd w:id="132"/>
    </w:p>
    <w:p w14:paraId="7EBCF33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2A610B7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color w:val="auto"/>
          <w:sz w:val="21"/>
          <w:szCs w:val="21"/>
          <w:highlight w:val="none"/>
        </w:rPr>
      </w:pPr>
    </w:p>
    <w:p w14:paraId="1EB5ED0C">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145DC74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color w:val="auto"/>
          <w:sz w:val="21"/>
          <w:szCs w:val="21"/>
          <w:highlight w:val="none"/>
        </w:rPr>
      </w:pPr>
    </w:p>
    <w:p w14:paraId="3574093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EE0BC4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p>
    <w:p w14:paraId="049F620C">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4A22C45">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A9C1AB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2F1FF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05FFF869">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481C482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1137E3C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p w14:paraId="5C4038E3">
      <w:pPr>
        <w:pStyle w:val="18"/>
        <w:keepNext w:val="0"/>
        <w:keepLines w:val="0"/>
        <w:pageBreakBefore w:val="0"/>
        <w:widowControl w:val="0"/>
        <w:shd w:val="clear" w:color="auto" w:fill="auto"/>
        <w:kinsoku/>
        <w:wordWrap/>
        <w:overflowPunct/>
        <w:topLinePunct w:val="0"/>
        <w:autoSpaceDE/>
        <w:autoSpaceDN/>
        <w:bidi w:val="0"/>
        <w:adjustRightInd/>
        <w:spacing w:line="360" w:lineRule="auto"/>
        <w:textAlignment w:val="auto"/>
        <w:outlineLvl w:val="9"/>
        <w:rPr>
          <w:rFonts w:hint="eastAsia" w:ascii="方正小标宋_GBK" w:hAnsi="方正小标宋_GBK" w:eastAsia="方正小标宋_GBK" w:cs="方正小标宋_GBK"/>
          <w:color w:val="auto"/>
          <w:sz w:val="21"/>
          <w:szCs w:val="21"/>
          <w:highlight w:val="none"/>
          <w:lang w:val="en-US" w:eastAsia="zh-CN"/>
        </w:rPr>
      </w:pPr>
      <w:bookmarkStart w:id="133" w:name="_Toc144750176"/>
      <w:bookmarkStart w:id="134" w:name="_Toc26741"/>
    </w:p>
    <w:p w14:paraId="6615CF7B">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13C2E2F6">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26BA1C1C">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3BE1FB7F">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613CB0DE">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70838F55">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1EDFCD44">
      <w:pPr>
        <w:pStyle w:val="18"/>
        <w:shd w:val="clear" w:color="auto" w:fill="auto"/>
        <w:spacing w:line="360" w:lineRule="auto"/>
        <w:jc w:val="center"/>
        <w:outlineLvl w:val="0"/>
        <w:rPr>
          <w:rFonts w:hint="eastAsia" w:ascii="方正小标宋_GBK" w:hAnsi="方正小标宋_GBK" w:eastAsia="方正小标宋_GBK" w:cs="方正小标宋_GBK"/>
          <w:color w:val="auto"/>
          <w:sz w:val="28"/>
          <w:szCs w:val="28"/>
          <w:highlight w:val="none"/>
          <w:lang w:val="en-US" w:eastAsia="zh-CN"/>
        </w:rPr>
      </w:pPr>
      <w:bookmarkStart w:id="135" w:name="_Toc10445"/>
      <w:bookmarkStart w:id="136" w:name="_GoBack"/>
      <w:bookmarkEnd w:id="136"/>
      <w:r>
        <w:rPr>
          <w:rFonts w:hint="eastAsia" w:ascii="方正小标宋_GBK" w:hAnsi="方正小标宋_GBK" w:eastAsia="方正小标宋_GBK" w:cs="方正小标宋_GBK"/>
          <w:color w:val="auto"/>
          <w:sz w:val="28"/>
          <w:szCs w:val="28"/>
          <w:highlight w:val="none"/>
          <w:lang w:val="en-US" w:eastAsia="zh-CN"/>
        </w:rPr>
        <w:t>第六章 合同文本</w:t>
      </w:r>
      <w:bookmarkEnd w:id="133"/>
      <w:bookmarkEnd w:id="134"/>
      <w:bookmarkEnd w:id="135"/>
    </w:p>
    <w:p w14:paraId="7CB4F01B">
      <w:pPr>
        <w:spacing w:line="360" w:lineRule="auto"/>
        <w:jc w:val="center"/>
        <w:rPr>
          <w:rFonts w:hint="eastAsia" w:ascii="宋体" w:hAnsi="宋体" w:eastAsia="宋体" w:cs="宋体"/>
          <w:b/>
          <w:color w:val="auto"/>
          <w:sz w:val="52"/>
          <w:szCs w:val="52"/>
          <w:highlight w:val="none"/>
          <w:lang w:bidi="ar"/>
        </w:rPr>
      </w:pPr>
    </w:p>
    <w:p w14:paraId="48604D94">
      <w:pPr>
        <w:spacing w:line="360" w:lineRule="auto"/>
        <w:jc w:val="center"/>
        <w:rPr>
          <w:rFonts w:hint="eastAsia" w:ascii="宋体" w:hAnsi="宋体" w:eastAsia="宋体" w:cs="宋体"/>
          <w:b/>
          <w:color w:val="auto"/>
          <w:sz w:val="52"/>
          <w:szCs w:val="52"/>
          <w:highlight w:val="none"/>
          <w:lang w:bidi="ar"/>
        </w:rPr>
      </w:pPr>
    </w:p>
    <w:p w14:paraId="0D022EB4">
      <w:pPr>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sz w:val="52"/>
          <w:szCs w:val="52"/>
          <w:highlight w:val="none"/>
          <w:lang w:bidi="ar"/>
        </w:rPr>
        <w:t>广西壮族自治区政府采购合同</w:t>
      </w:r>
    </w:p>
    <w:p w14:paraId="033A7D02">
      <w:pPr>
        <w:spacing w:line="360" w:lineRule="auto"/>
        <w:rPr>
          <w:rFonts w:hint="eastAsia" w:ascii="宋体" w:hAnsi="宋体" w:eastAsia="宋体" w:cs="宋体"/>
          <w:color w:val="auto"/>
          <w:kern w:val="0"/>
          <w:sz w:val="24"/>
          <w:highlight w:val="none"/>
        </w:rPr>
      </w:pPr>
    </w:p>
    <w:p w14:paraId="08B248B6">
      <w:pPr>
        <w:spacing w:line="360" w:lineRule="auto"/>
        <w:rPr>
          <w:rFonts w:hint="eastAsia" w:ascii="宋体" w:hAnsi="宋体" w:eastAsia="宋体" w:cs="宋体"/>
          <w:color w:val="auto"/>
          <w:kern w:val="0"/>
          <w:sz w:val="24"/>
          <w:highlight w:val="none"/>
        </w:rPr>
      </w:pPr>
    </w:p>
    <w:p w14:paraId="66EA0ABA">
      <w:pPr>
        <w:spacing w:line="360" w:lineRule="auto"/>
        <w:rPr>
          <w:rFonts w:hint="eastAsia" w:ascii="宋体" w:hAnsi="宋体" w:eastAsia="宋体" w:cs="宋体"/>
          <w:color w:val="auto"/>
          <w:kern w:val="0"/>
          <w:sz w:val="24"/>
          <w:highlight w:val="none"/>
        </w:rPr>
      </w:pPr>
    </w:p>
    <w:p w14:paraId="350D63FA">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合同名称：</w:t>
      </w:r>
      <w:r>
        <w:rPr>
          <w:rFonts w:hint="eastAsia" w:ascii="宋体" w:hAnsi="宋体" w:eastAsia="宋体" w:cs="宋体"/>
          <w:b/>
          <w:color w:val="auto"/>
          <w:sz w:val="32"/>
          <w:szCs w:val="32"/>
          <w:highlight w:val="none"/>
          <w:u w:val="single"/>
          <w:lang w:bidi="ar"/>
        </w:rPr>
        <w:t xml:space="preserve">                              </w:t>
      </w:r>
    </w:p>
    <w:p w14:paraId="0D9A6568">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合同编号：</w:t>
      </w:r>
      <w:r>
        <w:rPr>
          <w:rFonts w:hint="eastAsia" w:ascii="宋体" w:hAnsi="宋体" w:eastAsia="宋体" w:cs="宋体"/>
          <w:b/>
          <w:color w:val="auto"/>
          <w:sz w:val="32"/>
          <w:szCs w:val="32"/>
          <w:highlight w:val="none"/>
          <w:u w:val="single"/>
          <w:lang w:bidi="ar"/>
        </w:rPr>
        <w:t xml:space="preserve">                              </w:t>
      </w:r>
    </w:p>
    <w:p w14:paraId="1FE30C16">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采购单位（甲方）：</w:t>
      </w:r>
      <w:r>
        <w:rPr>
          <w:rFonts w:hint="eastAsia" w:ascii="宋体" w:hAnsi="宋体" w:eastAsia="宋体" w:cs="宋体"/>
          <w:b/>
          <w:color w:val="auto"/>
          <w:sz w:val="32"/>
          <w:szCs w:val="32"/>
          <w:highlight w:val="none"/>
          <w:u w:val="single"/>
          <w:lang w:bidi="ar"/>
        </w:rPr>
        <w:t xml:space="preserve">              </w:t>
      </w:r>
      <w:r>
        <w:rPr>
          <w:rFonts w:hint="eastAsia" w:ascii="宋体" w:hAnsi="宋体" w:eastAsia="宋体" w:cs="宋体"/>
          <w:b/>
          <w:color w:val="auto"/>
          <w:sz w:val="32"/>
          <w:szCs w:val="32"/>
          <w:highlight w:val="none"/>
          <w:u w:val="single"/>
          <w:lang w:val="en-US" w:eastAsia="zh-CN" w:bidi="ar"/>
        </w:rPr>
        <w:t xml:space="preserve"> </w:t>
      </w:r>
      <w:r>
        <w:rPr>
          <w:rFonts w:hint="eastAsia" w:ascii="宋体" w:hAnsi="宋体" w:eastAsia="宋体" w:cs="宋体"/>
          <w:b/>
          <w:color w:val="auto"/>
          <w:sz w:val="32"/>
          <w:szCs w:val="32"/>
          <w:highlight w:val="none"/>
          <w:u w:val="single"/>
          <w:lang w:bidi="ar"/>
        </w:rPr>
        <w:t xml:space="preserve">        </w:t>
      </w:r>
    </w:p>
    <w:p w14:paraId="1E0B6EB1">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供 应 商（乙方）：</w:t>
      </w:r>
      <w:r>
        <w:rPr>
          <w:rFonts w:hint="eastAsia" w:ascii="宋体" w:hAnsi="宋体" w:eastAsia="宋体" w:cs="宋体"/>
          <w:b/>
          <w:color w:val="auto"/>
          <w:sz w:val="32"/>
          <w:szCs w:val="32"/>
          <w:highlight w:val="none"/>
          <w:u w:val="single"/>
          <w:lang w:bidi="ar"/>
        </w:rPr>
        <w:t xml:space="preserve">            </w:t>
      </w:r>
      <w:r>
        <w:rPr>
          <w:rFonts w:hint="eastAsia" w:ascii="宋体" w:hAnsi="宋体" w:eastAsia="宋体" w:cs="宋体"/>
          <w:b/>
          <w:color w:val="auto"/>
          <w:sz w:val="32"/>
          <w:szCs w:val="32"/>
          <w:highlight w:val="none"/>
          <w:u w:val="single"/>
          <w:lang w:val="en-US" w:eastAsia="zh-CN" w:bidi="ar"/>
        </w:rPr>
        <w:t xml:space="preserve"> </w:t>
      </w:r>
      <w:r>
        <w:rPr>
          <w:rFonts w:hint="eastAsia" w:ascii="宋体" w:hAnsi="宋体" w:eastAsia="宋体" w:cs="宋体"/>
          <w:b/>
          <w:color w:val="auto"/>
          <w:sz w:val="32"/>
          <w:szCs w:val="32"/>
          <w:highlight w:val="none"/>
          <w:u w:val="single"/>
          <w:lang w:bidi="ar"/>
        </w:rPr>
        <w:t xml:space="preserve">          </w:t>
      </w:r>
    </w:p>
    <w:p w14:paraId="1A648081">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签订合同地点：</w:t>
      </w:r>
      <w:r>
        <w:rPr>
          <w:rFonts w:hint="eastAsia" w:ascii="宋体" w:hAnsi="宋体" w:eastAsia="宋体" w:cs="宋体"/>
          <w:b/>
          <w:color w:val="auto"/>
          <w:sz w:val="32"/>
          <w:szCs w:val="32"/>
          <w:highlight w:val="none"/>
          <w:u w:val="single"/>
          <w:lang w:bidi="ar"/>
        </w:rPr>
        <w:t xml:space="preserve">                          </w:t>
      </w:r>
    </w:p>
    <w:p w14:paraId="2167764E">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签订合同时间：</w:t>
      </w:r>
      <w:r>
        <w:rPr>
          <w:rFonts w:hint="eastAsia" w:ascii="宋体" w:hAnsi="宋体" w:eastAsia="宋体" w:cs="宋体"/>
          <w:b/>
          <w:color w:val="auto"/>
          <w:sz w:val="32"/>
          <w:szCs w:val="32"/>
          <w:highlight w:val="none"/>
          <w:u w:val="single"/>
          <w:lang w:bidi="ar"/>
        </w:rPr>
        <w:t xml:space="preserve">                          </w:t>
      </w:r>
    </w:p>
    <w:p w14:paraId="3D5BB517">
      <w:pPr>
        <w:spacing w:line="360" w:lineRule="auto"/>
        <w:ind w:left="0" w:leftChars="0" w:firstLine="943" w:firstLineChars="393"/>
        <w:jc w:val="center"/>
        <w:rPr>
          <w:rFonts w:hint="eastAsia" w:ascii="宋体" w:hAnsi="宋体" w:eastAsia="宋体" w:cs="宋体"/>
          <w:color w:val="auto"/>
          <w:kern w:val="0"/>
          <w:sz w:val="24"/>
          <w:highlight w:val="none"/>
        </w:rPr>
      </w:pPr>
    </w:p>
    <w:p w14:paraId="09361934">
      <w:pPr>
        <w:spacing w:line="360" w:lineRule="auto"/>
        <w:rPr>
          <w:rFonts w:hint="eastAsia" w:ascii="宋体" w:hAnsi="宋体" w:eastAsia="宋体" w:cs="宋体"/>
          <w:color w:val="auto"/>
          <w:kern w:val="0"/>
          <w:sz w:val="24"/>
          <w:highlight w:val="none"/>
        </w:rPr>
      </w:pPr>
    </w:p>
    <w:p w14:paraId="46DB4F5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lang w:bidi="ar"/>
        </w:rPr>
        <w:t>合同使用说明：根据《中华人民共和国政府采购法》《中华人民共和国民法典》等</w:t>
      </w:r>
      <w:r>
        <w:rPr>
          <w:rFonts w:hint="eastAsia" w:ascii="宋体" w:hAnsi="宋体" w:eastAsia="宋体" w:cs="宋体"/>
          <w:color w:val="auto"/>
          <w:szCs w:val="21"/>
          <w:highlight w:val="none"/>
          <w:lang w:eastAsia="zh-CN" w:bidi="ar"/>
        </w:rPr>
        <w:t>法律法规</w:t>
      </w:r>
      <w:r>
        <w:rPr>
          <w:rFonts w:hint="eastAsia" w:ascii="宋体" w:hAnsi="宋体" w:eastAsia="宋体" w:cs="宋体"/>
          <w:color w:val="auto"/>
          <w:szCs w:val="21"/>
          <w:highlight w:val="none"/>
          <w:lang w:bidi="ar"/>
        </w:rPr>
        <w:t>规定，按照磋商文件规定条款和</w:t>
      </w:r>
      <w:r>
        <w:rPr>
          <w:rFonts w:hint="eastAsia" w:ascii="宋体" w:hAnsi="宋体" w:eastAsia="宋体" w:cs="宋体"/>
          <w:color w:val="auto"/>
          <w:szCs w:val="21"/>
          <w:highlight w:val="none"/>
          <w:lang w:eastAsia="zh-CN" w:bidi="ar"/>
        </w:rPr>
        <w:t>乙方</w:t>
      </w:r>
      <w:r>
        <w:rPr>
          <w:rFonts w:hint="eastAsia" w:ascii="宋体" w:hAnsi="宋体" w:eastAsia="宋体" w:cs="宋体"/>
          <w:color w:val="auto"/>
          <w:szCs w:val="21"/>
          <w:highlight w:val="none"/>
          <w:lang w:bidi="ar"/>
        </w:rPr>
        <w:t>响应文件及其承诺，甲乙双方签订本合同。</w:t>
      </w:r>
    </w:p>
    <w:p w14:paraId="2E41C60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8"/>
          <w:szCs w:val="28"/>
          <w:highlight w:val="none"/>
        </w:rPr>
        <w:t>采购合同</w:t>
      </w:r>
      <w:r>
        <w:rPr>
          <w:rFonts w:hint="eastAsia" w:ascii="宋体" w:hAnsi="宋体" w:eastAsia="宋体" w:cs="宋体"/>
          <w:b/>
          <w:bCs/>
          <w:color w:val="auto"/>
          <w:sz w:val="28"/>
          <w:szCs w:val="28"/>
          <w:highlight w:val="none"/>
          <w:lang w:val="en-US" w:eastAsia="zh-CN"/>
        </w:rPr>
        <w:t>文本</w:t>
      </w:r>
    </w:p>
    <w:p w14:paraId="0FD3B2AB">
      <w:pPr>
        <w:keepNext w:val="0"/>
        <w:keepLines w:val="0"/>
        <w:pageBreakBefore w:val="0"/>
        <w:widowControl w:val="0"/>
        <w:kinsoku/>
        <w:wordWrap/>
        <w:overflowPunct/>
        <w:topLinePunct w:val="0"/>
        <w:autoSpaceDE/>
        <w:autoSpaceDN/>
        <w:bidi w:val="0"/>
        <w:adjustRightInd/>
        <w:spacing w:line="360" w:lineRule="auto"/>
        <w:ind w:right="800"/>
        <w:textAlignment w:val="auto"/>
        <w:rPr>
          <w:rFonts w:hint="eastAsia" w:ascii="宋体" w:hAnsi="宋体" w:eastAsia="宋体" w:cs="宋体"/>
          <w:color w:val="auto"/>
          <w:sz w:val="21"/>
          <w:szCs w:val="21"/>
          <w:highlight w:val="none"/>
        </w:rPr>
      </w:pPr>
    </w:p>
    <w:p w14:paraId="15404CE2">
      <w:pPr>
        <w:spacing w:line="360" w:lineRule="auto"/>
        <w:ind w:right="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采购计划文号：</w:t>
      </w:r>
      <w:r>
        <w:rPr>
          <w:rFonts w:hint="eastAsia" w:ascii="宋体" w:hAnsi="宋体" w:eastAsia="宋体" w:cs="宋体"/>
          <w:color w:val="auto"/>
          <w:sz w:val="21"/>
          <w:szCs w:val="21"/>
          <w:highlight w:val="none"/>
          <w:u w:val="single"/>
        </w:rPr>
        <w:t xml:space="preserve">                                    </w:t>
      </w:r>
    </w:p>
    <w:p w14:paraId="7CBF4901">
      <w:pPr>
        <w:spacing w:line="360" w:lineRule="auto"/>
        <w:ind w:right="8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合同编号：  </w:t>
      </w:r>
      <w:r>
        <w:rPr>
          <w:rFonts w:hint="eastAsia" w:ascii="宋体" w:hAnsi="宋体" w:eastAsia="宋体" w:cs="宋体"/>
          <w:color w:val="auto"/>
          <w:sz w:val="21"/>
          <w:szCs w:val="21"/>
          <w:highlight w:val="none"/>
          <w:u w:val="single"/>
        </w:rPr>
        <w:t xml:space="preserve">                                      </w:t>
      </w:r>
    </w:p>
    <w:p w14:paraId="677C0B1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w:t>
      </w:r>
    </w:p>
    <w:p w14:paraId="5A7303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供应商（乙方）： </w:t>
      </w:r>
      <w:r>
        <w:rPr>
          <w:rFonts w:hint="eastAsia" w:ascii="宋体" w:hAnsi="宋体" w:eastAsia="宋体" w:cs="宋体"/>
          <w:color w:val="auto"/>
          <w:sz w:val="21"/>
          <w:szCs w:val="21"/>
          <w:highlight w:val="none"/>
          <w:u w:val="single"/>
        </w:rPr>
        <w:t xml:space="preserve">                                  </w:t>
      </w:r>
    </w:p>
    <w:p w14:paraId="263D59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70A021F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2D35E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w:t>
      </w:r>
    </w:p>
    <w:p w14:paraId="54148F0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1A1454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本合同为中小企业预留合同：</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w:t>
      </w:r>
    </w:p>
    <w:p w14:paraId="7A1EAD63">
      <w:pPr>
        <w:snapToGrid w:val="0"/>
        <w:spacing w:line="360" w:lineRule="auto"/>
        <w:ind w:firstLine="420" w:firstLineChars="200"/>
        <w:rPr>
          <w:rFonts w:hint="eastAsia" w:ascii="宋体" w:hAnsi="宋体" w:eastAsia="宋体" w:cs="宋体"/>
          <w:color w:val="auto"/>
          <w:sz w:val="21"/>
          <w:szCs w:val="21"/>
          <w:highlight w:val="none"/>
        </w:rPr>
      </w:pPr>
    </w:p>
    <w:p w14:paraId="715293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根据《中华人民共和国政府采购法》《中华人民共和国民法典》等法律法规规定，按照磋商文件规定条款和乙方响应文件及其承诺，甲乙双方签订本合同。</w:t>
      </w:r>
    </w:p>
    <w:p w14:paraId="3854A9A8">
      <w:pPr>
        <w:tabs>
          <w:tab w:val="right" w:pos="8312"/>
        </w:tabs>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r>
        <w:rPr>
          <w:rFonts w:hint="eastAsia" w:ascii="宋体" w:hAnsi="宋体" w:eastAsia="宋体" w:cs="宋体"/>
          <w:b/>
          <w:color w:val="auto"/>
          <w:sz w:val="21"/>
          <w:szCs w:val="21"/>
          <w:highlight w:val="none"/>
        </w:rPr>
        <w:tab/>
      </w:r>
    </w:p>
    <w:p w14:paraId="222E41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1.项目一览表</w:t>
      </w:r>
    </w:p>
    <w:tbl>
      <w:tblPr>
        <w:tblStyle w:val="2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54"/>
        <w:gridCol w:w="2240"/>
        <w:gridCol w:w="709"/>
        <w:gridCol w:w="773"/>
        <w:gridCol w:w="1213"/>
        <w:gridCol w:w="1213"/>
      </w:tblGrid>
      <w:tr w14:paraId="28E9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7E64B1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BF42AB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07D1B09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EBA5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5D2946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E7F20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2AF14FC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3181D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7CEC79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16EB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E0A946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87D433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龙须河流域综合规划</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67FA98F">
            <w:pPr>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B487A6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1D5C7BF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E5BF48A">
            <w:pPr>
              <w:spacing w:line="360" w:lineRule="auto"/>
              <w:jc w:val="center"/>
              <w:rPr>
                <w:rFonts w:hint="eastAsia" w:ascii="宋体" w:hAnsi="宋体" w:eastAsia="宋体" w:cs="宋体"/>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4CF0F57">
            <w:pPr>
              <w:spacing w:line="360" w:lineRule="auto"/>
              <w:jc w:val="center"/>
              <w:rPr>
                <w:rFonts w:hint="eastAsia" w:ascii="宋体" w:hAnsi="宋体" w:eastAsia="宋体" w:cs="宋体"/>
                <w:color w:val="auto"/>
                <w:sz w:val="21"/>
                <w:szCs w:val="21"/>
                <w:highlight w:val="none"/>
              </w:rPr>
            </w:pPr>
          </w:p>
        </w:tc>
      </w:tr>
      <w:tr w14:paraId="4E9D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16" w:type="dxa"/>
            <w:gridSpan w:val="7"/>
            <w:tcBorders>
              <w:top w:val="single" w:color="auto" w:sz="4" w:space="0"/>
              <w:left w:val="single" w:color="auto" w:sz="4" w:space="0"/>
              <w:bottom w:val="single" w:color="auto" w:sz="4" w:space="0"/>
              <w:right w:val="single" w:color="auto" w:sz="4" w:space="0"/>
            </w:tcBorders>
            <w:noWrap w:val="0"/>
            <w:vAlign w:val="center"/>
          </w:tcPr>
          <w:p w14:paraId="624FF2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1FAF179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为完成甲方指定服务全部内容的报价，即履行合同的最终价格，包括乙方完成本项目所需的一切工作内容而发生的所有直接费用、间接费用、其他费用、税金等全部费用和乙方要求获得的利润以及应由乙方承担的义务、责任和风险所发生的一切费用。</w:t>
      </w:r>
    </w:p>
    <w:p w14:paraId="6D3647B1">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1D22C3F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乙方所提供的服务必须执行现行的强制执行的国家、行业、地方标准，同时服务成果必须与采购文件、响应文件承诺相一致。</w:t>
      </w:r>
    </w:p>
    <w:p w14:paraId="30DF47F0">
      <w:pPr>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1417AE0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1.乙方应保证所提供服务在使用时不会侵犯任何第三方的专利权、商标权、工业设计权等知识产权及其他合法权利，且所有权、处分权等没有受到任何限制。</w:t>
      </w:r>
    </w:p>
    <w:p w14:paraId="413E8D9E">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26D4ECC2">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服务要求</w:t>
      </w:r>
    </w:p>
    <w:p w14:paraId="41A01C0D">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1.进度要求：</w:t>
      </w:r>
    </w:p>
    <w:p w14:paraId="246FAE69">
      <w:pPr>
        <w:snapToGrid w:val="0"/>
        <w:spacing w:line="40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lang w:val="en-US" w:eastAsia="zh-CN"/>
        </w:rPr>
        <w:t>按</w:t>
      </w:r>
      <w:r>
        <w:rPr>
          <w:rFonts w:hint="eastAsia" w:ascii="宋体" w:hAnsi="宋体" w:cs="宋体"/>
          <w:color w:val="auto"/>
          <w:sz w:val="21"/>
          <w:szCs w:val="21"/>
          <w:highlight w:val="none"/>
          <w:u w:val="single"/>
          <w:lang w:val="en-US" w:eastAsia="zh-CN"/>
        </w:rPr>
        <w:t>采购</w:t>
      </w:r>
      <w:r>
        <w:rPr>
          <w:rFonts w:hint="default" w:ascii="宋体" w:hAnsi="宋体" w:eastAsia="宋体" w:cs="宋体"/>
          <w:color w:val="auto"/>
          <w:sz w:val="21"/>
          <w:szCs w:val="21"/>
          <w:highlight w:val="none"/>
          <w:u w:val="single"/>
          <w:lang w:val="en-US" w:eastAsia="zh-CN"/>
        </w:rPr>
        <w:t>文件第</w:t>
      </w:r>
      <w:r>
        <w:rPr>
          <w:rFonts w:hint="eastAsia" w:ascii="宋体" w:hAnsi="宋体" w:cs="宋体"/>
          <w:color w:val="auto"/>
          <w:sz w:val="21"/>
          <w:szCs w:val="21"/>
          <w:highlight w:val="none"/>
          <w:u w:val="single"/>
          <w:lang w:val="en-US" w:eastAsia="zh-CN"/>
        </w:rPr>
        <w:t>三</w:t>
      </w:r>
      <w:r>
        <w:rPr>
          <w:rFonts w:hint="default" w:ascii="宋体" w:hAnsi="宋体" w:eastAsia="宋体" w:cs="宋体"/>
          <w:color w:val="auto"/>
          <w:sz w:val="21"/>
          <w:szCs w:val="21"/>
          <w:highlight w:val="none"/>
          <w:u w:val="single"/>
          <w:lang w:val="en-US" w:eastAsia="zh-CN"/>
        </w:rPr>
        <w:t>章采购需求中的</w:t>
      </w:r>
      <w:r>
        <w:rPr>
          <w:rFonts w:hint="eastAsia" w:ascii="宋体" w:hAnsi="宋体" w:eastAsia="宋体" w:cs="宋体"/>
          <w:color w:val="auto"/>
          <w:sz w:val="21"/>
          <w:szCs w:val="21"/>
          <w:highlight w:val="none"/>
          <w:u w:val="single"/>
          <w:lang w:val="en-US" w:eastAsia="zh-CN"/>
        </w:rPr>
        <w:t>技术</w:t>
      </w:r>
      <w:r>
        <w:rPr>
          <w:rFonts w:hint="default" w:ascii="宋体" w:hAnsi="宋体" w:eastAsia="宋体" w:cs="宋体"/>
          <w:color w:val="auto"/>
          <w:sz w:val="21"/>
          <w:szCs w:val="21"/>
          <w:highlight w:val="none"/>
          <w:u w:val="single"/>
          <w:lang w:val="en-US" w:eastAsia="zh-CN"/>
        </w:rPr>
        <w:t>要求</w:t>
      </w:r>
      <w:r>
        <w:rPr>
          <w:rFonts w:hint="eastAsia" w:ascii="宋体" w:hAnsi="宋体" w:eastAsia="宋体" w:cs="宋体"/>
          <w:color w:val="auto"/>
          <w:sz w:val="21"/>
          <w:szCs w:val="21"/>
          <w:highlight w:val="none"/>
          <w:u w:val="single"/>
          <w:lang w:val="en-US" w:eastAsia="zh-CN"/>
        </w:rPr>
        <w:t>“</w:t>
      </w:r>
      <w:r>
        <w:rPr>
          <w:rFonts w:hint="default" w:ascii="宋体" w:hAnsi="宋体" w:eastAsia="宋体" w:cs="宋体"/>
          <w:color w:val="auto"/>
          <w:sz w:val="21"/>
          <w:szCs w:val="21"/>
          <w:highlight w:val="none"/>
          <w:u w:val="single"/>
          <w:lang w:val="en-US" w:eastAsia="zh-CN"/>
        </w:rPr>
        <w:t>工作进度要求</w:t>
      </w:r>
      <w:r>
        <w:rPr>
          <w:rFonts w:hint="eastAsia" w:ascii="宋体" w:hAnsi="宋体" w:eastAsia="宋体" w:cs="宋体"/>
          <w:color w:val="auto"/>
          <w:sz w:val="21"/>
          <w:szCs w:val="21"/>
          <w:highlight w:val="none"/>
          <w:u w:val="single"/>
          <w:lang w:val="en-US" w:eastAsia="zh-CN"/>
        </w:rPr>
        <w:t>”</w:t>
      </w:r>
      <w:r>
        <w:rPr>
          <w:rFonts w:hint="default" w:ascii="宋体" w:hAnsi="宋体" w:eastAsia="宋体" w:cs="宋体"/>
          <w:color w:val="auto"/>
          <w:sz w:val="21"/>
          <w:szCs w:val="21"/>
          <w:highlight w:val="none"/>
          <w:u w:val="single"/>
          <w:lang w:val="en-US" w:eastAsia="zh-CN"/>
        </w:rPr>
        <w:t>填入</w:t>
      </w:r>
      <w:r>
        <w:rPr>
          <w:rFonts w:hint="eastAsia" w:ascii="宋体" w:hAnsi="宋体" w:eastAsia="宋体" w:cs="宋体"/>
          <w:color w:val="auto"/>
          <w:sz w:val="21"/>
          <w:szCs w:val="21"/>
          <w:highlight w:val="none"/>
          <w:u w:val="single"/>
          <w:lang w:val="en-US" w:eastAsia="zh-CN"/>
        </w:rPr>
        <w:t>，如乙方</w:t>
      </w:r>
      <w:r>
        <w:rPr>
          <w:rFonts w:hint="eastAsia" w:ascii="宋体" w:hAnsi="宋体" w:cs="宋体"/>
          <w:color w:val="auto"/>
          <w:sz w:val="21"/>
          <w:szCs w:val="21"/>
          <w:highlight w:val="none"/>
          <w:u w:val="single"/>
          <w:lang w:val="en-US" w:eastAsia="zh-CN"/>
        </w:rPr>
        <w:t>响应</w:t>
      </w:r>
      <w:r>
        <w:rPr>
          <w:rFonts w:hint="eastAsia" w:ascii="宋体" w:hAnsi="宋体" w:eastAsia="宋体" w:cs="宋体"/>
          <w:color w:val="auto"/>
          <w:sz w:val="21"/>
          <w:szCs w:val="21"/>
          <w:highlight w:val="none"/>
          <w:u w:val="single"/>
          <w:lang w:val="en-US" w:eastAsia="zh-CN"/>
        </w:rPr>
        <w:t>文件的承诺优于上述进度要求的，按乙方</w:t>
      </w:r>
      <w:r>
        <w:rPr>
          <w:rFonts w:hint="eastAsia" w:ascii="宋体" w:hAnsi="宋体" w:eastAsia="宋体" w:cs="宋体"/>
          <w:color w:val="auto"/>
          <w:sz w:val="21"/>
          <w:szCs w:val="21"/>
          <w:highlight w:val="none"/>
          <w:u w:val="single"/>
        </w:rPr>
        <w:t>响应</w:t>
      </w:r>
      <w:r>
        <w:rPr>
          <w:rFonts w:hint="eastAsia" w:ascii="宋体" w:hAnsi="宋体" w:eastAsia="宋体" w:cs="宋体"/>
          <w:color w:val="auto"/>
          <w:sz w:val="21"/>
          <w:szCs w:val="21"/>
          <w:highlight w:val="none"/>
          <w:u w:val="single"/>
          <w:lang w:val="en-US" w:eastAsia="zh-CN"/>
        </w:rPr>
        <w:t xml:space="preserve">文件承诺执行）      </w:t>
      </w:r>
    </w:p>
    <w:p w14:paraId="11E146AE">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2.人员要求：</w:t>
      </w:r>
      <w:r>
        <w:rPr>
          <w:rFonts w:hint="eastAsia" w:ascii="宋体" w:hAnsi="宋体" w:eastAsia="宋体" w:cs="宋体"/>
          <w:color w:val="auto"/>
          <w:sz w:val="21"/>
          <w:szCs w:val="21"/>
          <w:highlight w:val="none"/>
          <w:u w:val="single"/>
        </w:rPr>
        <w:t>按乙方响应文件承诺执行</w:t>
      </w:r>
      <w:r>
        <w:rPr>
          <w:rFonts w:hint="eastAsia" w:ascii="宋体" w:hAnsi="宋体" w:eastAsia="宋体" w:cs="宋体"/>
          <w:color w:val="auto"/>
          <w:sz w:val="21"/>
          <w:szCs w:val="21"/>
          <w:highlight w:val="none"/>
        </w:rPr>
        <w:t>。</w:t>
      </w:r>
    </w:p>
    <w:p w14:paraId="1FC7BC3A">
      <w:pPr>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045667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r>
        <w:rPr>
          <w:rFonts w:hint="eastAsia" w:ascii="宋体" w:hAnsi="宋体" w:eastAsia="宋体" w:cs="宋体"/>
          <w:color w:val="auto"/>
          <w:sz w:val="21"/>
          <w:szCs w:val="21"/>
          <w:highlight w:val="none"/>
          <w:u w:val="single"/>
        </w:rPr>
        <w:t>自合同签订之日起至202</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年1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月30日，按</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要求提交编制成果及完成合同履约验收</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u w:val="single"/>
        </w:rPr>
        <w:t>广西壮族自治区内甲方指定地点</w:t>
      </w:r>
      <w:r>
        <w:rPr>
          <w:rFonts w:hint="eastAsia" w:ascii="宋体" w:hAnsi="宋体" w:eastAsia="宋体" w:cs="宋体"/>
          <w:color w:val="auto"/>
          <w:sz w:val="21"/>
          <w:szCs w:val="21"/>
          <w:highlight w:val="none"/>
        </w:rPr>
        <w:t>。</w:t>
      </w:r>
    </w:p>
    <w:p w14:paraId="189A801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2.乙方应按响应文件的承诺向甲方提供相应的服务，并提供所服务内容的相关技术资料。</w:t>
      </w:r>
    </w:p>
    <w:p w14:paraId="0EEC89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3.乙方提供不符合响应文件和本合同规定的服务成果，甲方有权拒绝接受。</w:t>
      </w:r>
    </w:p>
    <w:p w14:paraId="5440CC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4.乙方完成服务后应及时书面通知甲方进行验收，甲方应在收到通知后七个工作日内进行验收。验收合格后由甲乙双方签署验收单并加盖甲方公章，甲乙双方各执一份。</w:t>
      </w:r>
    </w:p>
    <w:p w14:paraId="66000B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5.甲乙双方应按照《广西壮族自治区政府采购项目履约验收管理办法》、双方合同、响应文件验收。</w:t>
      </w:r>
    </w:p>
    <w:p w14:paraId="4BDC54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在初步验收或者最终验收过程中如发现乙方提供的服务成果不满足投标文件及本合同的规定或者发现乙方有违约行为的，可暂缓向乙方付款，直到乙方及时完善并提交相应的服务成果且经甲方验收合格后，方可办理付款。</w:t>
      </w:r>
    </w:p>
    <w:p w14:paraId="5C4ED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7.甲方验收时以书面形式提出异议的，乙方应自收到甲方书面异议后五个工作日内及时予以解决，否则甲方有权不出具服务验收合格单。</w:t>
      </w:r>
    </w:p>
    <w:p w14:paraId="709BDC75">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付款方式</w:t>
      </w:r>
    </w:p>
    <w:p w14:paraId="73E710FF">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财政性资金</w:t>
      </w:r>
      <w:r>
        <w:rPr>
          <w:rFonts w:hint="eastAsia" w:ascii="宋体" w:hAnsi="宋体" w:eastAsia="宋体" w:cs="宋体"/>
          <w:color w:val="auto"/>
          <w:sz w:val="21"/>
          <w:szCs w:val="21"/>
          <w:highlight w:val="none"/>
        </w:rPr>
        <w:t>。</w:t>
      </w:r>
    </w:p>
    <w:p w14:paraId="6FEBB36E">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2.付款方式：</w:t>
      </w:r>
    </w:p>
    <w:p w14:paraId="009918EA">
      <w:pPr>
        <w:spacing w:line="400" w:lineRule="exact"/>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lang w:val="en-US" w:eastAsia="zh-CN"/>
        </w:rPr>
        <w:t>按</w:t>
      </w:r>
      <w:r>
        <w:rPr>
          <w:rFonts w:hint="eastAsia" w:ascii="宋体" w:hAnsi="宋体" w:cs="宋体"/>
          <w:color w:val="auto"/>
          <w:sz w:val="21"/>
          <w:szCs w:val="21"/>
          <w:highlight w:val="none"/>
          <w:u w:val="single"/>
          <w:lang w:val="en-US" w:eastAsia="zh-CN"/>
        </w:rPr>
        <w:t>采购</w:t>
      </w:r>
      <w:r>
        <w:rPr>
          <w:rFonts w:hint="default" w:ascii="宋体" w:hAnsi="宋体" w:eastAsia="宋体" w:cs="宋体"/>
          <w:color w:val="auto"/>
          <w:sz w:val="21"/>
          <w:szCs w:val="21"/>
          <w:highlight w:val="none"/>
          <w:u w:val="single"/>
          <w:lang w:val="en-US" w:eastAsia="zh-CN"/>
        </w:rPr>
        <w:t>文件第</w:t>
      </w:r>
      <w:r>
        <w:rPr>
          <w:rFonts w:hint="eastAsia" w:ascii="宋体" w:hAnsi="宋体" w:cs="宋体"/>
          <w:color w:val="auto"/>
          <w:sz w:val="21"/>
          <w:szCs w:val="21"/>
          <w:highlight w:val="none"/>
          <w:u w:val="single"/>
          <w:lang w:val="en-US" w:eastAsia="zh-CN"/>
        </w:rPr>
        <w:t>三</w:t>
      </w:r>
      <w:r>
        <w:rPr>
          <w:rFonts w:hint="default" w:ascii="宋体" w:hAnsi="宋体" w:eastAsia="宋体" w:cs="宋体"/>
          <w:color w:val="auto"/>
          <w:sz w:val="21"/>
          <w:szCs w:val="21"/>
          <w:highlight w:val="none"/>
          <w:u w:val="single"/>
          <w:lang w:val="en-US" w:eastAsia="zh-CN"/>
        </w:rPr>
        <w:t>章采购需求中的</w:t>
      </w:r>
      <w:r>
        <w:rPr>
          <w:rFonts w:hint="eastAsia" w:ascii="宋体" w:hAnsi="宋体" w:cs="宋体"/>
          <w:color w:val="auto"/>
          <w:sz w:val="21"/>
          <w:szCs w:val="21"/>
          <w:highlight w:val="none"/>
          <w:u w:val="single"/>
          <w:lang w:val="en-US" w:eastAsia="zh-CN"/>
        </w:rPr>
        <w:t>商务</w:t>
      </w:r>
      <w:r>
        <w:rPr>
          <w:rFonts w:hint="default" w:ascii="宋体" w:hAnsi="宋体" w:eastAsia="宋体" w:cs="宋体"/>
          <w:color w:val="auto"/>
          <w:sz w:val="21"/>
          <w:szCs w:val="21"/>
          <w:highlight w:val="none"/>
          <w:u w:val="single"/>
          <w:lang w:val="en-US" w:eastAsia="zh-CN"/>
        </w:rPr>
        <w:t>要求</w:t>
      </w:r>
      <w:r>
        <w:rPr>
          <w:rFonts w:hint="eastAsia" w:ascii="宋体" w:hAnsi="宋体" w:eastAsia="宋体" w:cs="宋体"/>
          <w:color w:val="auto"/>
          <w:sz w:val="21"/>
          <w:szCs w:val="21"/>
          <w:highlight w:val="none"/>
          <w:u w:val="single"/>
          <w:lang w:val="en-US" w:eastAsia="zh-CN"/>
        </w:rPr>
        <w:t>“四、付款方式”</w:t>
      </w:r>
      <w:r>
        <w:rPr>
          <w:rFonts w:hint="default" w:ascii="宋体" w:hAnsi="宋体" w:eastAsia="宋体" w:cs="宋体"/>
          <w:color w:val="auto"/>
          <w:sz w:val="21"/>
          <w:szCs w:val="21"/>
          <w:highlight w:val="none"/>
          <w:u w:val="single"/>
          <w:lang w:val="en-US" w:eastAsia="zh-CN"/>
        </w:rPr>
        <w:t>填入</w:t>
      </w:r>
      <w:r>
        <w:rPr>
          <w:rFonts w:hint="eastAsia" w:ascii="宋体" w:hAnsi="宋体" w:eastAsia="宋体" w:cs="宋体"/>
          <w:color w:val="auto"/>
          <w:sz w:val="21"/>
          <w:szCs w:val="21"/>
          <w:highlight w:val="none"/>
          <w:u w:val="single"/>
          <w:lang w:val="en-US" w:eastAsia="zh-CN"/>
        </w:rPr>
        <w:t xml:space="preserve">）     </w:t>
      </w:r>
    </w:p>
    <w:p w14:paraId="1CBDBD72">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lang w:val="en-US" w:eastAsia="zh-CN"/>
        </w:rPr>
        <w:t>（1）合同款项支付时，乙方应提供相应数额的合格发票、请款函、进度证明材料等；否则甲方有权不予支付相应款项，并不承担延迟付款责任。</w:t>
      </w:r>
    </w:p>
    <w:p w14:paraId="3B0BC6C6">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未在规定时间内完成任务的，或经抽查发现服务质量不符合要求的，按照合同约定扣减相应费用。对于严重质量问题，甲方有权拒绝支付当期费用，并要求乙方无偿整改。乙方存在严重违约行为的，甲方有权拒绝支付当期或全部费用，并终止合同。</w:t>
      </w:r>
    </w:p>
    <w:p w14:paraId="2005E0B7">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履约保证金</w:t>
      </w:r>
    </w:p>
    <w:p w14:paraId="37C3FC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本项目不需要缴</w:t>
      </w:r>
      <w:r>
        <w:rPr>
          <w:rFonts w:hint="eastAsia" w:ascii="宋体" w:hAnsi="宋体" w:eastAsia="宋体" w:cs="宋体"/>
          <w:color w:val="auto"/>
          <w:kern w:val="0"/>
          <w:sz w:val="21"/>
          <w:szCs w:val="21"/>
          <w:highlight w:val="none"/>
        </w:rPr>
        <w:t>纳</w:t>
      </w:r>
      <w:r>
        <w:rPr>
          <w:rFonts w:hint="eastAsia" w:ascii="宋体" w:hAnsi="宋体" w:eastAsia="宋体" w:cs="宋体"/>
          <w:color w:val="auto"/>
          <w:sz w:val="21"/>
          <w:szCs w:val="21"/>
          <w:highlight w:val="none"/>
        </w:rPr>
        <w:t>履约保证金。</w:t>
      </w:r>
    </w:p>
    <w:p w14:paraId="39F622FF">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税费</w:t>
      </w:r>
    </w:p>
    <w:p w14:paraId="0DD3A2C6">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50E834B5">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5AFE2AF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.除不可抗力原因外，乙方没有按照合同规定的时间提供服务的，甲方可要求乙方支付违约金。每推迟一天按合同金额的3‰支付违约金，该违约金累计不超过合同金额的10%。</w:t>
      </w:r>
    </w:p>
    <w:p w14:paraId="04E4046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.乙方提供的服务（包括设备等）如侵犯了第三方合法权益而引发的任何纠纷或诉讼，均由乙方负责交涉并承担全部责任。</w:t>
      </w:r>
    </w:p>
    <w:p w14:paraId="53B66A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.甲方延期付款的，每天向乙方偿付延期款额3‰滞纳金，但滞纳金累计不得超过延期款额5%。</w:t>
      </w:r>
    </w:p>
    <w:p w14:paraId="57C8357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文书往来方式</w:t>
      </w:r>
    </w:p>
    <w:p w14:paraId="77CB1F8B">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1.为及时有效解决本合同履行过程中所产生的各项函件的往来的问题，双方确认以下人员与地址为文书送达收件人与送达地址，包括但不限于法院诉讼文书等所有函件寄至以下地址和收件人即视为已经送达。</w:t>
      </w:r>
    </w:p>
    <w:p w14:paraId="55AF77C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甲方指定收件人：        </w:t>
      </w:r>
    </w:p>
    <w:p w14:paraId="4051CBB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送达地址：        </w:t>
      </w:r>
    </w:p>
    <w:p w14:paraId="74548A5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                 传真号码：        </w:t>
      </w:r>
    </w:p>
    <w:p w14:paraId="6491552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w:t>
      </w:r>
    </w:p>
    <w:p w14:paraId="00D84CB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乙方指定收件人：        </w:t>
      </w:r>
    </w:p>
    <w:p w14:paraId="4F0AA13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送达地址：        </w:t>
      </w:r>
    </w:p>
    <w:p w14:paraId="621DFA2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                 传真号码：        </w:t>
      </w:r>
    </w:p>
    <w:p w14:paraId="27F3E7E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w:t>
      </w:r>
    </w:p>
    <w:p w14:paraId="460410E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电子邮箱及其它电子方式送达时，发出之日即视为有效送达。通过快递等方式送达时，对方签收之日视为有效送达；如由于受送达方的原因不能送达或受送达方拒绝签收的，送达方可采用挂号信或者邮政特快专递邮寄送达，邮件寄至本协议记载之地址时，即视为送达。</w:t>
      </w:r>
    </w:p>
    <w:p w14:paraId="21C7D80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3.乙方住址、联系电话、邮箱发生变更的，应及时书面通知甲方，乙方未及时通知甲方的，甲方或法院仍按本合同的地址、邮箱向乙方发出通知、相关文书及诉讼文书的，退回之日即视为已有效送达给乙方。</w:t>
      </w:r>
    </w:p>
    <w:p w14:paraId="2EACF694">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不可抗力事件处理</w:t>
      </w:r>
    </w:p>
    <w:p w14:paraId="6E9BDCF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1.如果发生不可抗力事件，影响一方履行其在本协议项下的义务，则在不可抗力造成的延误期内中止履行，而不视为违约。</w:t>
      </w:r>
    </w:p>
    <w:p w14:paraId="3A91669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自不可抗力事件发生之日起10日内，将事件情况以书面形式通知另一方，并寄送有关权威机构出具的证明；并于事件发生之日起10日内，向另一方提交导致其全部或部分不能履行或迟延履行的证明。发生不可抗力的一方在不可抗力影响的范围内免除其相应责任。若任何一方未能依据本条款约定及时将不可抗力的情况通知对方或者未能及时提交相关证明的，应当依照本合同约定承担相应的违约责任，因客观原因不能通知的除外。</w:t>
      </w:r>
    </w:p>
    <w:p w14:paraId="00D3C0A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遭受不可抗力的一方或双方应采取一切必要措施减少损失，并在事件消除后立即恢复本合同的履行，除非不可抗力事件发生后导致合同目的无法实现或合同难以继续履行，则双方应通过友好协商，确定是否继续履行合同。</w:t>
      </w:r>
    </w:p>
    <w:p w14:paraId="34DF494B">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4.迟延履行期间发生的不可抗力不具有免责效力。</w:t>
      </w:r>
    </w:p>
    <w:p w14:paraId="75BBBB61">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保密</w:t>
      </w:r>
    </w:p>
    <w:p w14:paraId="03F6ADF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的工作人员应对本项目中接触到的甲方所有的知识产权、商业秘密、技术成果等信息负有保密义务。未经甲方书面同意，不得向社会公众或第三方通过任何途径出示、泄露，不得许可使用，不得对上述信息进行复制、传播、销售；保证不向外泄漏任何相关数据，不向外泄漏任何保密的技术资料。如出现乙方的工作人员泄密事件，乙方</w:t>
      </w:r>
      <w:r>
        <w:rPr>
          <w:rFonts w:hint="eastAsia" w:ascii="宋体" w:hAnsi="宋体" w:eastAsia="宋体" w:cs="宋体"/>
          <w:color w:val="auto"/>
          <w:sz w:val="21"/>
          <w:szCs w:val="21"/>
          <w:highlight w:val="none"/>
          <w:lang w:val="en-US" w:eastAsia="zh-CN"/>
        </w:rPr>
        <w:t>依法承担法律</w:t>
      </w:r>
      <w:r>
        <w:rPr>
          <w:rFonts w:hint="eastAsia" w:ascii="宋体" w:hAnsi="宋体" w:eastAsia="宋体" w:cs="宋体"/>
          <w:color w:val="auto"/>
          <w:sz w:val="21"/>
          <w:szCs w:val="21"/>
          <w:highlight w:val="none"/>
        </w:rPr>
        <w:t>责任。</w:t>
      </w:r>
    </w:p>
    <w:p w14:paraId="428A37B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0A41F08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.本条款不因合同的变更、解除和终止而失效。</w:t>
      </w:r>
    </w:p>
    <w:p w14:paraId="498D4D61">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合同争议解决</w:t>
      </w:r>
    </w:p>
    <w:p w14:paraId="50833B36">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1.因履行本合同引起的或与本合同有关的争议，甲乙双方应首先通过友好协商解决，如果协商不能解决，可向</w:t>
      </w:r>
      <w:r>
        <w:rPr>
          <w:rFonts w:hint="eastAsia" w:ascii="宋体" w:hAnsi="宋体" w:eastAsia="宋体" w:cs="宋体"/>
          <w:color w:val="auto"/>
          <w:sz w:val="21"/>
          <w:szCs w:val="21"/>
          <w:highlight w:val="none"/>
          <w:lang w:val="en-US" w:eastAsia="zh-CN"/>
        </w:rPr>
        <w:t>甲方所在地有管辖权的人民法院提起诉讼。</w:t>
      </w:r>
    </w:p>
    <w:p w14:paraId="6A4ADAAF">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2.争议解决期间，本合同继续履行。</w:t>
      </w:r>
    </w:p>
    <w:p w14:paraId="70CC510F">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合同生效及其它</w:t>
      </w:r>
    </w:p>
    <w:p w14:paraId="269940C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highlight w:val="none"/>
        </w:rPr>
        <w:t>签字并加盖单位公章后生效（</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highlight w:val="none"/>
        </w:rPr>
        <w:t>签字的需后附法定代表人授权委托书，格式自拟）。</w:t>
      </w:r>
    </w:p>
    <w:p w14:paraId="016660D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2.本合同未尽事宜，遵照《中华人民共和国民法典》有关条文执行。</w:t>
      </w:r>
    </w:p>
    <w:p w14:paraId="6CA25783">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合同的变更、终止与转让</w:t>
      </w:r>
    </w:p>
    <w:p w14:paraId="53F82FB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7E6C59F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2.乙方不得擅自转让其应履行的合同义务。</w:t>
      </w:r>
    </w:p>
    <w:p w14:paraId="4C776475">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签订本合同依据</w:t>
      </w:r>
    </w:p>
    <w:p w14:paraId="4DDF50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1.竞争性磋商文件；</w:t>
      </w:r>
    </w:p>
    <w:p w14:paraId="30F6B14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2.乙方提供的响应（或应答）文件；</w:t>
      </w:r>
    </w:p>
    <w:p w14:paraId="047AD3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3.成交通知书。</w:t>
      </w:r>
    </w:p>
    <w:p w14:paraId="3A6FD0AA">
      <w:pPr>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份，采购代理机构一份。</w:t>
      </w:r>
    </w:p>
    <w:p w14:paraId="5B2A6C6F">
      <w:pPr>
        <w:spacing w:line="400" w:lineRule="exact"/>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本合同自签订之日起2个工作日内，甲方应当将采购合同在广西壮族自治区财政厅指定的媒体上公告。</w:t>
      </w:r>
    </w:p>
    <w:p w14:paraId="04B6ADD6">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4CFF3E28">
      <w:pPr>
        <w:pStyle w:val="2"/>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（以下无正文）</w:t>
      </w:r>
    </w:p>
    <w:tbl>
      <w:tblPr>
        <w:tblStyle w:val="27"/>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608"/>
      </w:tblGrid>
      <w:tr w14:paraId="34AD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3450CC5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：广西壮族自治区水利厅</w:t>
            </w:r>
            <w:r>
              <w:rPr>
                <w:rFonts w:hint="eastAsia" w:ascii="宋体" w:hAnsi="宋体" w:eastAsia="宋体" w:cs="宋体"/>
                <w:color w:val="auto"/>
                <w:sz w:val="21"/>
                <w:szCs w:val="21"/>
                <w:highlight w:val="none"/>
              </w:rPr>
              <w:t>（章）</w:t>
            </w:r>
          </w:p>
          <w:p w14:paraId="110431FF">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hAnsi="宋体" w:eastAsia="宋体" w:cs="宋体"/>
                <w:color w:val="auto"/>
                <w:sz w:val="21"/>
                <w:szCs w:val="21"/>
                <w:highlight w:val="none"/>
              </w:rPr>
            </w:pPr>
          </w:p>
          <w:p w14:paraId="3F293F09">
            <w:pPr>
              <w:keepNext w:val="0"/>
              <w:keepLines w:val="0"/>
              <w:pageBreakBefore w:val="0"/>
              <w:widowControl w:val="0"/>
              <w:kinsoku/>
              <w:wordWrap/>
              <w:overflowPunct/>
              <w:topLinePunct w:val="0"/>
              <w:autoSpaceDE/>
              <w:autoSpaceDN/>
              <w:bidi w:val="0"/>
              <w:adjustRightInd/>
              <w:snapToGrid w:val="0"/>
              <w:spacing w:line="400" w:lineRule="exact"/>
              <w:ind w:firstLine="945" w:firstLineChars="4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25BCA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（章）</w:t>
            </w:r>
          </w:p>
          <w:p w14:paraId="5F3F6DB7">
            <w:pPr>
              <w:pStyle w:val="3"/>
              <w:keepNext w:val="0"/>
              <w:keepLines w:val="0"/>
              <w:pageBreakBefore w:val="0"/>
              <w:widowControl w:val="0"/>
              <w:kinsoku/>
              <w:wordWrap/>
              <w:overflowPunct/>
              <w:topLinePunct w:val="0"/>
              <w:autoSpaceDE/>
              <w:autoSpaceDN/>
              <w:bidi w:val="0"/>
              <w:adjustRightInd/>
              <w:spacing w:before="0" w:after="0" w:line="400" w:lineRule="exact"/>
              <w:textAlignment w:val="auto"/>
              <w:outlineLvl w:val="9"/>
              <w:rPr>
                <w:rFonts w:hint="eastAsia" w:ascii="宋体" w:hAnsi="宋体" w:eastAsia="宋体" w:cs="宋体"/>
                <w:color w:val="auto"/>
                <w:sz w:val="21"/>
                <w:szCs w:val="21"/>
                <w:highlight w:val="none"/>
              </w:rPr>
            </w:pPr>
          </w:p>
          <w:p w14:paraId="724B8954">
            <w:pPr>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14:paraId="7130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05DB043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76AB10D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7CF4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36468C1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490E29F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03A5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15EBCAB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136C65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2738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0AFB1C7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37A4FFC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CB7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1CB130F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675B081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793B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3D877DA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69EF02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4447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0834547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A17598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4DB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2B412B4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7E32A6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r>
      <w:tr w14:paraId="69B9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431394B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63C4D1C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00F3825F">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35BF5D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w:t>
      </w:r>
    </w:p>
    <w:p w14:paraId="04F06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099204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14:paraId="77036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3.响应报价表</w:t>
      </w:r>
    </w:p>
    <w:p w14:paraId="7118C7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4.磋商记录</w:t>
      </w:r>
    </w:p>
    <w:p w14:paraId="39E48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5.商务条款偏离表</w:t>
      </w:r>
    </w:p>
    <w:p w14:paraId="0ADEA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6.服务需求偏离表</w:t>
      </w:r>
    </w:p>
    <w:p w14:paraId="22C08F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p>
    <w:p w14:paraId="38CAEBA0">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br w:type="page"/>
      </w:r>
    </w:p>
    <w:p w14:paraId="21E6A5DF">
      <w:pPr>
        <w:snapToGrid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广西壮族自治区政府采购项目合同验收书</w:t>
      </w:r>
    </w:p>
    <w:p w14:paraId="142BF6E5">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）政府采购项目中标（或成交）供应商（</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）提供的货物（或工程、服务）进行了验收，验收情况如下：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12D6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6B32428A">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61A20E36">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A7AB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3500262F">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3F79EB74">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A1C7899">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4EDA9B6">
            <w:pPr>
              <w:widowControl/>
              <w:snapToGrid w:val="0"/>
              <w:spacing w:before="100" w:beforeAutospacing="1" w:after="100" w:afterAutospacing="1"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3B7314FD">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  额</w:t>
            </w:r>
          </w:p>
        </w:tc>
      </w:tr>
      <w:tr w14:paraId="0C2B6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C01A68F">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6F85FDBB">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24CF936">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8F03A1C">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2EDE5277">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CD64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3505D06">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77E82AB2">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69F2657">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2D9C82E">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30306BA0">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0C78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2378D45">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4D6CD8CF">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7264F26">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E97D839">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452A6EE">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7A0A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7D502B54">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644D6DB">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FA3D71E">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5033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4A1F86C2">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47B1F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1DAD7E1B">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DBEF40C">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2E3A919D">
            <w:pPr>
              <w:snapToGrid w:val="0"/>
              <w:spacing w:before="100" w:beforeAutospacing="1" w:after="100" w:afterAutospacing="1" w:line="320" w:lineRule="exact"/>
              <w:ind w:firstLine="39" w:firstLineChars="19"/>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合同交付验收日期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2AEBFA99">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r>
      <w:tr w14:paraId="1B2FC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01595B">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9DD545">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w:t>
            </w:r>
            <w:r>
              <w:rPr>
                <w:rFonts w:hint="eastAsia" w:ascii="宋体" w:hAnsi="宋体" w:eastAsia="宋体" w:cs="宋体"/>
                <w:color w:val="auto"/>
                <w:kern w:val="0"/>
                <w:sz w:val="21"/>
                <w:szCs w:val="21"/>
                <w:highlight w:val="none"/>
              </w:rPr>
              <w:t>按采购合同、采购文件、投标</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文件及验收方案等进行验收；并核对</w:t>
            </w:r>
            <w:r>
              <w:rPr>
                <w:rFonts w:hint="eastAsia" w:ascii="宋体" w:hAnsi="宋体" w:eastAsia="宋体" w:cs="宋体"/>
                <w:color w:val="auto"/>
                <w:sz w:val="21"/>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1"/>
                <w:szCs w:val="21"/>
                <w:highlight w:val="none"/>
              </w:rPr>
              <w:t>。可附件)</w:t>
            </w:r>
          </w:p>
        </w:tc>
      </w:tr>
      <w:tr w14:paraId="7940B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B350CC">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2206405D">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749D7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14:paraId="29AA7460">
            <w:pPr>
              <w:widowControl/>
              <w:spacing w:line="320" w:lineRule="exact"/>
              <w:jc w:val="left"/>
              <w:rPr>
                <w:rFonts w:hint="eastAsia" w:ascii="宋体" w:hAnsi="宋体" w:eastAsia="宋体" w:cs="宋体"/>
                <w:color w:val="auto"/>
                <w:kern w:val="0"/>
                <w:sz w:val="21"/>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02919A5D">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3F49F15F">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签字：</w:t>
            </w:r>
          </w:p>
        </w:tc>
      </w:tr>
      <w:tr w14:paraId="6DDF3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B944ED">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1F624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DFE360">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监督人员或其他相关人员签字：</w:t>
            </w:r>
          </w:p>
          <w:p w14:paraId="4A051A03">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或受邀机构的意见（盖章）：</w:t>
            </w:r>
          </w:p>
        </w:tc>
      </w:tr>
      <w:tr w14:paraId="291C0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6CD2864">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中标或者成交供应商负责人签字或盖章：</w:t>
            </w:r>
          </w:p>
          <w:p w14:paraId="0FDB3E41">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796E5B7D">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采购人或受托机构的意见（盖章）：</w:t>
            </w:r>
          </w:p>
          <w:p w14:paraId="534E6609">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65493CE9">
      <w:pPr>
        <w:widowControl/>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备注：本报告单一式4份（采购单位1份、供应商1份、采购监督部门备案1份、采购代理机构1份）。</w:t>
      </w:r>
    </w:p>
    <w:p w14:paraId="69B066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p>
    <w:sectPr>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B9E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3B48">
    <w:pPr>
      <w:pStyle w:val="2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B0DCD">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C7E4">
    <w:pPr>
      <w:pStyle w:val="21"/>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FEB8">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659FE">
                          <w:pPr>
                            <w:pStyle w:val="2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13659F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6B4">
    <w:pPr>
      <w:pStyle w:val="2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3CCC">
                          <w:pPr>
                            <w:pStyle w:val="21"/>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14:paraId="34803CCC">
                    <w:pPr>
                      <w:pStyle w:val="21"/>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FE7A">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81F4">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DFA3">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859F"/>
    <w:multiLevelType w:val="singleLevel"/>
    <w:tmpl w:val="A8FE859F"/>
    <w:lvl w:ilvl="0" w:tentative="0">
      <w:start w:val="1"/>
      <w:numFmt w:val="decimal"/>
      <w:pStyle w:val="11"/>
      <w:lvlText w:val="%1."/>
      <w:lvlJc w:val="left"/>
      <w:pPr>
        <w:tabs>
          <w:tab w:val="left" w:pos="360"/>
        </w:tabs>
        <w:ind w:left="360" w:hanging="360"/>
      </w:pPr>
    </w:lvl>
  </w:abstractNum>
  <w:abstractNum w:abstractNumId="1">
    <w:nsid w:val="12306E94"/>
    <w:multiLevelType w:val="multilevel"/>
    <w:tmpl w:val="12306E94"/>
    <w:lvl w:ilvl="0" w:tentative="0">
      <w:start w:val="1"/>
      <w:numFmt w:val="chineseCountingThousand"/>
      <w:lvlText w:val="第%1章"/>
      <w:lvlJc w:val="left"/>
      <w:pPr>
        <w:ind w:left="0" w:firstLine="0"/>
      </w:pPr>
      <w:rPr>
        <w:rFonts w:hint="eastAsia"/>
      </w:rPr>
    </w:lvl>
    <w:lvl w:ilvl="1" w:tentative="0">
      <w:start w:val="1"/>
      <w:numFmt w:val="decimal"/>
      <w:pStyle w:val="5"/>
      <w:isLgl/>
      <w:suff w:val="space"/>
      <w:lvlText w:val="%1.%2"/>
      <w:lvlJc w:val="left"/>
      <w:pPr>
        <w:ind w:left="710" w:firstLine="0"/>
      </w:pPr>
      <w:rPr>
        <w:rFonts w:hint="eastAsia"/>
      </w:rPr>
    </w:lvl>
    <w:lvl w:ilvl="2" w:tentative="0">
      <w:start w:val="1"/>
      <w:numFmt w:val="decimal"/>
      <w:isLgl/>
      <w:suff w:val="space"/>
      <w:lvlText w:val="%1.%2.%3"/>
      <w:lvlJc w:val="left"/>
      <w:pPr>
        <w:ind w:left="3828" w:firstLine="0"/>
      </w:pPr>
      <w:rPr>
        <w:rFonts w:hint="eastAsia"/>
      </w:rPr>
    </w:lvl>
    <w:lvl w:ilvl="3" w:tentative="0">
      <w:start w:val="1"/>
      <w:numFmt w:val="decimal"/>
      <w:isLgl/>
      <w:suff w:val="space"/>
      <w:lvlText w:val="%1.%2.%3.%4"/>
      <w:lvlJc w:val="left"/>
      <w:pPr>
        <w:ind w:left="851" w:firstLine="0"/>
      </w:p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2346F"/>
    <w:rsid w:val="00046CC7"/>
    <w:rsid w:val="00056545"/>
    <w:rsid w:val="000624DA"/>
    <w:rsid w:val="000817E2"/>
    <w:rsid w:val="00124D41"/>
    <w:rsid w:val="00167807"/>
    <w:rsid w:val="0017698E"/>
    <w:rsid w:val="00184E4E"/>
    <w:rsid w:val="00194AFC"/>
    <w:rsid w:val="00197A8B"/>
    <w:rsid w:val="002410A0"/>
    <w:rsid w:val="00277003"/>
    <w:rsid w:val="002C43F0"/>
    <w:rsid w:val="002C4DA7"/>
    <w:rsid w:val="00355E87"/>
    <w:rsid w:val="00370EB7"/>
    <w:rsid w:val="003A75C1"/>
    <w:rsid w:val="00400DFD"/>
    <w:rsid w:val="00430124"/>
    <w:rsid w:val="004326CC"/>
    <w:rsid w:val="00493A97"/>
    <w:rsid w:val="004941DB"/>
    <w:rsid w:val="004E0E01"/>
    <w:rsid w:val="0050241A"/>
    <w:rsid w:val="00534F90"/>
    <w:rsid w:val="005A4EC6"/>
    <w:rsid w:val="005C7F6A"/>
    <w:rsid w:val="006D1DDD"/>
    <w:rsid w:val="006D3D1A"/>
    <w:rsid w:val="006F480F"/>
    <w:rsid w:val="007111ED"/>
    <w:rsid w:val="00746F26"/>
    <w:rsid w:val="0078757C"/>
    <w:rsid w:val="00795671"/>
    <w:rsid w:val="008237AC"/>
    <w:rsid w:val="00851B3B"/>
    <w:rsid w:val="00865CDD"/>
    <w:rsid w:val="008721EB"/>
    <w:rsid w:val="0087352E"/>
    <w:rsid w:val="008B68E7"/>
    <w:rsid w:val="008D0ADA"/>
    <w:rsid w:val="008D4EE8"/>
    <w:rsid w:val="009153DB"/>
    <w:rsid w:val="00925810"/>
    <w:rsid w:val="00934AB4"/>
    <w:rsid w:val="00951BEE"/>
    <w:rsid w:val="009B4F31"/>
    <w:rsid w:val="009D0EA3"/>
    <w:rsid w:val="00A34658"/>
    <w:rsid w:val="00A42354"/>
    <w:rsid w:val="00A773CF"/>
    <w:rsid w:val="00A903F1"/>
    <w:rsid w:val="00A9291F"/>
    <w:rsid w:val="00AC4AE8"/>
    <w:rsid w:val="00B64C83"/>
    <w:rsid w:val="00BB3032"/>
    <w:rsid w:val="00C06F86"/>
    <w:rsid w:val="00C22CD6"/>
    <w:rsid w:val="00C3450F"/>
    <w:rsid w:val="00C76300"/>
    <w:rsid w:val="00D030E3"/>
    <w:rsid w:val="00D10B5F"/>
    <w:rsid w:val="00D2042C"/>
    <w:rsid w:val="00D767C3"/>
    <w:rsid w:val="00E14AC4"/>
    <w:rsid w:val="00EF6F85"/>
    <w:rsid w:val="00F45B14"/>
    <w:rsid w:val="00F77DB4"/>
    <w:rsid w:val="00FB0A3F"/>
    <w:rsid w:val="00FF2195"/>
    <w:rsid w:val="00FF54FE"/>
    <w:rsid w:val="014B1FDC"/>
    <w:rsid w:val="0159301C"/>
    <w:rsid w:val="017C2F4D"/>
    <w:rsid w:val="01A275D5"/>
    <w:rsid w:val="01D972B1"/>
    <w:rsid w:val="01E12B54"/>
    <w:rsid w:val="01F80A87"/>
    <w:rsid w:val="01FF0067"/>
    <w:rsid w:val="022573A2"/>
    <w:rsid w:val="0334646C"/>
    <w:rsid w:val="03710AF1"/>
    <w:rsid w:val="03773C2D"/>
    <w:rsid w:val="038A08FA"/>
    <w:rsid w:val="03C0027E"/>
    <w:rsid w:val="03C36E72"/>
    <w:rsid w:val="044562AE"/>
    <w:rsid w:val="04583A5F"/>
    <w:rsid w:val="046E5030"/>
    <w:rsid w:val="04E62E18"/>
    <w:rsid w:val="051200B1"/>
    <w:rsid w:val="05281683"/>
    <w:rsid w:val="0528241D"/>
    <w:rsid w:val="054144F3"/>
    <w:rsid w:val="056337F9"/>
    <w:rsid w:val="05A76A4C"/>
    <w:rsid w:val="05A84572"/>
    <w:rsid w:val="05E03D0C"/>
    <w:rsid w:val="05E653A0"/>
    <w:rsid w:val="05F3716F"/>
    <w:rsid w:val="061A394A"/>
    <w:rsid w:val="061F1325"/>
    <w:rsid w:val="062802F3"/>
    <w:rsid w:val="06293905"/>
    <w:rsid w:val="06727092"/>
    <w:rsid w:val="068D580B"/>
    <w:rsid w:val="06920C2F"/>
    <w:rsid w:val="06B73926"/>
    <w:rsid w:val="06BC6A39"/>
    <w:rsid w:val="06E4782C"/>
    <w:rsid w:val="06F15AA5"/>
    <w:rsid w:val="074B3407"/>
    <w:rsid w:val="07593D76"/>
    <w:rsid w:val="07854B6B"/>
    <w:rsid w:val="07DE40D6"/>
    <w:rsid w:val="08202AE5"/>
    <w:rsid w:val="082A5712"/>
    <w:rsid w:val="083245C7"/>
    <w:rsid w:val="084A7B62"/>
    <w:rsid w:val="086724C2"/>
    <w:rsid w:val="08A51783"/>
    <w:rsid w:val="08AA0601"/>
    <w:rsid w:val="08ED6CBA"/>
    <w:rsid w:val="09267C87"/>
    <w:rsid w:val="092D370C"/>
    <w:rsid w:val="0935611C"/>
    <w:rsid w:val="09A10CB8"/>
    <w:rsid w:val="09AB5E2F"/>
    <w:rsid w:val="0A326B00"/>
    <w:rsid w:val="0A461488"/>
    <w:rsid w:val="0AA16B98"/>
    <w:rsid w:val="0AF618DB"/>
    <w:rsid w:val="0B324EDB"/>
    <w:rsid w:val="0B59720D"/>
    <w:rsid w:val="0B666A61"/>
    <w:rsid w:val="0BBC09BB"/>
    <w:rsid w:val="0BCB1636"/>
    <w:rsid w:val="0C01720B"/>
    <w:rsid w:val="0C017F76"/>
    <w:rsid w:val="0C0D3381"/>
    <w:rsid w:val="0C526FE5"/>
    <w:rsid w:val="0CAC4948"/>
    <w:rsid w:val="0CB87790"/>
    <w:rsid w:val="0CBF5551"/>
    <w:rsid w:val="0CE916F8"/>
    <w:rsid w:val="0CEA3062"/>
    <w:rsid w:val="0CFF716D"/>
    <w:rsid w:val="0D246B1B"/>
    <w:rsid w:val="0D425EC2"/>
    <w:rsid w:val="0D8E229F"/>
    <w:rsid w:val="0D95362E"/>
    <w:rsid w:val="0DAB2E51"/>
    <w:rsid w:val="0DC363ED"/>
    <w:rsid w:val="0DF26933"/>
    <w:rsid w:val="0E9A4078"/>
    <w:rsid w:val="0EC87A33"/>
    <w:rsid w:val="0EE426B9"/>
    <w:rsid w:val="0EE5553C"/>
    <w:rsid w:val="0F0566F4"/>
    <w:rsid w:val="0F0713EB"/>
    <w:rsid w:val="0F4A7CCC"/>
    <w:rsid w:val="0F865924"/>
    <w:rsid w:val="0FBE6D66"/>
    <w:rsid w:val="0FD50659"/>
    <w:rsid w:val="10030641"/>
    <w:rsid w:val="100549B2"/>
    <w:rsid w:val="100B2A95"/>
    <w:rsid w:val="109819C6"/>
    <w:rsid w:val="10A1053B"/>
    <w:rsid w:val="10A2678D"/>
    <w:rsid w:val="10AC13BA"/>
    <w:rsid w:val="11802A9D"/>
    <w:rsid w:val="11875393"/>
    <w:rsid w:val="11CD1C30"/>
    <w:rsid w:val="11E178C9"/>
    <w:rsid w:val="1299771C"/>
    <w:rsid w:val="12CF4B96"/>
    <w:rsid w:val="13086650"/>
    <w:rsid w:val="130D010A"/>
    <w:rsid w:val="13121358"/>
    <w:rsid w:val="132C540B"/>
    <w:rsid w:val="136A7125"/>
    <w:rsid w:val="13765CAF"/>
    <w:rsid w:val="1379754E"/>
    <w:rsid w:val="139A44FC"/>
    <w:rsid w:val="139B74C4"/>
    <w:rsid w:val="13C42DEB"/>
    <w:rsid w:val="13F15336"/>
    <w:rsid w:val="13F97381"/>
    <w:rsid w:val="14044EE5"/>
    <w:rsid w:val="144D4C62"/>
    <w:rsid w:val="14926B19"/>
    <w:rsid w:val="14E804E7"/>
    <w:rsid w:val="15115C90"/>
    <w:rsid w:val="154C6CC8"/>
    <w:rsid w:val="156377E9"/>
    <w:rsid w:val="15A106FB"/>
    <w:rsid w:val="15B7153F"/>
    <w:rsid w:val="15C30F8F"/>
    <w:rsid w:val="166D4D09"/>
    <w:rsid w:val="166E7112"/>
    <w:rsid w:val="16730A62"/>
    <w:rsid w:val="16785E3E"/>
    <w:rsid w:val="16892A0D"/>
    <w:rsid w:val="16B20DAC"/>
    <w:rsid w:val="176D73C9"/>
    <w:rsid w:val="176E7FC2"/>
    <w:rsid w:val="17740758"/>
    <w:rsid w:val="17980F6F"/>
    <w:rsid w:val="17EA0A1A"/>
    <w:rsid w:val="180B49F2"/>
    <w:rsid w:val="181B01C0"/>
    <w:rsid w:val="182E6B2B"/>
    <w:rsid w:val="18597894"/>
    <w:rsid w:val="185C36C6"/>
    <w:rsid w:val="187E2A36"/>
    <w:rsid w:val="189616CE"/>
    <w:rsid w:val="189F2E4D"/>
    <w:rsid w:val="18E4669B"/>
    <w:rsid w:val="19063631"/>
    <w:rsid w:val="198331C0"/>
    <w:rsid w:val="19DB686C"/>
    <w:rsid w:val="19E82A14"/>
    <w:rsid w:val="1A4428F3"/>
    <w:rsid w:val="1A75281D"/>
    <w:rsid w:val="1AEE0821"/>
    <w:rsid w:val="1B2129A5"/>
    <w:rsid w:val="1B22156B"/>
    <w:rsid w:val="1B3E3557"/>
    <w:rsid w:val="1B6B1E72"/>
    <w:rsid w:val="1B8D1DE8"/>
    <w:rsid w:val="1BBE036A"/>
    <w:rsid w:val="1BDF22AB"/>
    <w:rsid w:val="1C913B5A"/>
    <w:rsid w:val="1CA129A5"/>
    <w:rsid w:val="1CD852E5"/>
    <w:rsid w:val="1CDD5866"/>
    <w:rsid w:val="1CFA0A2B"/>
    <w:rsid w:val="1CFB52A5"/>
    <w:rsid w:val="1D003C24"/>
    <w:rsid w:val="1D120FFF"/>
    <w:rsid w:val="1D1E6052"/>
    <w:rsid w:val="1D436C02"/>
    <w:rsid w:val="1D6D6106"/>
    <w:rsid w:val="1DED3012"/>
    <w:rsid w:val="1E067C30"/>
    <w:rsid w:val="1E2E78B2"/>
    <w:rsid w:val="1E7D3904"/>
    <w:rsid w:val="1E8C23EC"/>
    <w:rsid w:val="1EA379A0"/>
    <w:rsid w:val="1EDD1C44"/>
    <w:rsid w:val="1EE62B6A"/>
    <w:rsid w:val="1F0C1276"/>
    <w:rsid w:val="1F1A59EC"/>
    <w:rsid w:val="1F884DA0"/>
    <w:rsid w:val="1FE81CE3"/>
    <w:rsid w:val="20054643"/>
    <w:rsid w:val="205E1FA5"/>
    <w:rsid w:val="215F7D83"/>
    <w:rsid w:val="21676C37"/>
    <w:rsid w:val="216872BC"/>
    <w:rsid w:val="21884584"/>
    <w:rsid w:val="21AC39A2"/>
    <w:rsid w:val="21BC6F83"/>
    <w:rsid w:val="21F030D1"/>
    <w:rsid w:val="22040499"/>
    <w:rsid w:val="222025E6"/>
    <w:rsid w:val="222E1D53"/>
    <w:rsid w:val="225402FA"/>
    <w:rsid w:val="22675CD2"/>
    <w:rsid w:val="227A01DE"/>
    <w:rsid w:val="22813D29"/>
    <w:rsid w:val="22EE7610"/>
    <w:rsid w:val="234C4337"/>
    <w:rsid w:val="236643F7"/>
    <w:rsid w:val="236A1FF4"/>
    <w:rsid w:val="237E233A"/>
    <w:rsid w:val="23A14A66"/>
    <w:rsid w:val="23A777BF"/>
    <w:rsid w:val="23C465C3"/>
    <w:rsid w:val="24155F16"/>
    <w:rsid w:val="24B46546"/>
    <w:rsid w:val="24BA1AF7"/>
    <w:rsid w:val="250B57DB"/>
    <w:rsid w:val="251D41DD"/>
    <w:rsid w:val="258B7398"/>
    <w:rsid w:val="25CF5B7E"/>
    <w:rsid w:val="26561413"/>
    <w:rsid w:val="266100F9"/>
    <w:rsid w:val="266876DA"/>
    <w:rsid w:val="26A12BEB"/>
    <w:rsid w:val="26BB5A5B"/>
    <w:rsid w:val="270A69E3"/>
    <w:rsid w:val="271138CD"/>
    <w:rsid w:val="276F4A98"/>
    <w:rsid w:val="283E4B96"/>
    <w:rsid w:val="284D4E05"/>
    <w:rsid w:val="28531992"/>
    <w:rsid w:val="287A1AB4"/>
    <w:rsid w:val="28C51146"/>
    <w:rsid w:val="28F416F8"/>
    <w:rsid w:val="28F81B07"/>
    <w:rsid w:val="291604BC"/>
    <w:rsid w:val="29672724"/>
    <w:rsid w:val="29BC2EB5"/>
    <w:rsid w:val="29C966E1"/>
    <w:rsid w:val="29E74DB9"/>
    <w:rsid w:val="2A1A518F"/>
    <w:rsid w:val="2A4931AE"/>
    <w:rsid w:val="2A7228D5"/>
    <w:rsid w:val="2A8820F8"/>
    <w:rsid w:val="2A8F7C27"/>
    <w:rsid w:val="2ABB2CEC"/>
    <w:rsid w:val="2AF82165"/>
    <w:rsid w:val="2AFF29A3"/>
    <w:rsid w:val="2B122B57"/>
    <w:rsid w:val="2B54022C"/>
    <w:rsid w:val="2B6371BC"/>
    <w:rsid w:val="2B7136DB"/>
    <w:rsid w:val="2B797C93"/>
    <w:rsid w:val="2BBE1B4A"/>
    <w:rsid w:val="2BD51D32"/>
    <w:rsid w:val="2C1874AC"/>
    <w:rsid w:val="2C31186B"/>
    <w:rsid w:val="2C3A1B18"/>
    <w:rsid w:val="2C4B464E"/>
    <w:rsid w:val="2C4F018A"/>
    <w:rsid w:val="2C4F733C"/>
    <w:rsid w:val="2C581F9E"/>
    <w:rsid w:val="2CED0939"/>
    <w:rsid w:val="2CFC6021"/>
    <w:rsid w:val="2D0044DF"/>
    <w:rsid w:val="2D0A3299"/>
    <w:rsid w:val="2D3B78F6"/>
    <w:rsid w:val="2D6D1A79"/>
    <w:rsid w:val="2D800584"/>
    <w:rsid w:val="2DE3040B"/>
    <w:rsid w:val="2E3507E9"/>
    <w:rsid w:val="2E474078"/>
    <w:rsid w:val="2E8F4234"/>
    <w:rsid w:val="2ECC7DC5"/>
    <w:rsid w:val="2EDF2503"/>
    <w:rsid w:val="2EFA733D"/>
    <w:rsid w:val="2F1C4ABA"/>
    <w:rsid w:val="2F4A02C4"/>
    <w:rsid w:val="2F4E096D"/>
    <w:rsid w:val="2F803CE6"/>
    <w:rsid w:val="2FB41BE1"/>
    <w:rsid w:val="3013798C"/>
    <w:rsid w:val="30232343"/>
    <w:rsid w:val="30284EFC"/>
    <w:rsid w:val="30532F8E"/>
    <w:rsid w:val="307C4186"/>
    <w:rsid w:val="309D08C8"/>
    <w:rsid w:val="30D81900"/>
    <w:rsid w:val="30EE27BC"/>
    <w:rsid w:val="3102072B"/>
    <w:rsid w:val="31035035"/>
    <w:rsid w:val="31264419"/>
    <w:rsid w:val="313379B8"/>
    <w:rsid w:val="313755B9"/>
    <w:rsid w:val="313F1A67"/>
    <w:rsid w:val="319E48F7"/>
    <w:rsid w:val="31B41A25"/>
    <w:rsid w:val="31CD047E"/>
    <w:rsid w:val="31CF2D03"/>
    <w:rsid w:val="320767B9"/>
    <w:rsid w:val="324F79A0"/>
    <w:rsid w:val="32586854"/>
    <w:rsid w:val="32653FDA"/>
    <w:rsid w:val="328B6805"/>
    <w:rsid w:val="32AE2918"/>
    <w:rsid w:val="32D234F4"/>
    <w:rsid w:val="32DB1233"/>
    <w:rsid w:val="333D3C9C"/>
    <w:rsid w:val="33D4015C"/>
    <w:rsid w:val="33E34843"/>
    <w:rsid w:val="33F60D22"/>
    <w:rsid w:val="344057F2"/>
    <w:rsid w:val="348318D4"/>
    <w:rsid w:val="34A772C6"/>
    <w:rsid w:val="34B84F99"/>
    <w:rsid w:val="350A21BF"/>
    <w:rsid w:val="352C25EB"/>
    <w:rsid w:val="35A668E8"/>
    <w:rsid w:val="35C42453"/>
    <w:rsid w:val="35C97A69"/>
    <w:rsid w:val="35F72828"/>
    <w:rsid w:val="35F904E7"/>
    <w:rsid w:val="363650FE"/>
    <w:rsid w:val="36932551"/>
    <w:rsid w:val="36940077"/>
    <w:rsid w:val="36B10C29"/>
    <w:rsid w:val="37074CED"/>
    <w:rsid w:val="37262402"/>
    <w:rsid w:val="37415CAC"/>
    <w:rsid w:val="375717D0"/>
    <w:rsid w:val="37E455AA"/>
    <w:rsid w:val="37ED5C91"/>
    <w:rsid w:val="38863297"/>
    <w:rsid w:val="38CF6444"/>
    <w:rsid w:val="38D11FDA"/>
    <w:rsid w:val="393618B9"/>
    <w:rsid w:val="39693A3D"/>
    <w:rsid w:val="397845BB"/>
    <w:rsid w:val="39910994"/>
    <w:rsid w:val="39E57B8C"/>
    <w:rsid w:val="39FA6443"/>
    <w:rsid w:val="3A045513"/>
    <w:rsid w:val="3A281EF8"/>
    <w:rsid w:val="3A2931D7"/>
    <w:rsid w:val="3A3951BD"/>
    <w:rsid w:val="3A95422A"/>
    <w:rsid w:val="3A966AF0"/>
    <w:rsid w:val="3AA80595"/>
    <w:rsid w:val="3ACC0DB7"/>
    <w:rsid w:val="3AE72E6B"/>
    <w:rsid w:val="3AFE4D0B"/>
    <w:rsid w:val="3B132C64"/>
    <w:rsid w:val="3B190B4B"/>
    <w:rsid w:val="3B223862"/>
    <w:rsid w:val="3B4F0A10"/>
    <w:rsid w:val="3B711096"/>
    <w:rsid w:val="3C0331DD"/>
    <w:rsid w:val="3C682271"/>
    <w:rsid w:val="3C6B2AEF"/>
    <w:rsid w:val="3C7B6540"/>
    <w:rsid w:val="3CAB1280"/>
    <w:rsid w:val="3CC316B6"/>
    <w:rsid w:val="3CCA1DDD"/>
    <w:rsid w:val="3CD146A2"/>
    <w:rsid w:val="3CFD4BC8"/>
    <w:rsid w:val="3D015D3A"/>
    <w:rsid w:val="3D0575D8"/>
    <w:rsid w:val="3D194571"/>
    <w:rsid w:val="3D4E71D1"/>
    <w:rsid w:val="3D6971ED"/>
    <w:rsid w:val="3D7FF7BF"/>
    <w:rsid w:val="3D9646D4"/>
    <w:rsid w:val="3DBB413B"/>
    <w:rsid w:val="3DCB25D0"/>
    <w:rsid w:val="3DF0052A"/>
    <w:rsid w:val="3E014244"/>
    <w:rsid w:val="3E171F0B"/>
    <w:rsid w:val="3E190DF5"/>
    <w:rsid w:val="3E297D2E"/>
    <w:rsid w:val="3E2B7513"/>
    <w:rsid w:val="3E5A3954"/>
    <w:rsid w:val="3E7E7642"/>
    <w:rsid w:val="3ED74A6A"/>
    <w:rsid w:val="3EF271C6"/>
    <w:rsid w:val="3F1D3F99"/>
    <w:rsid w:val="3F8A103A"/>
    <w:rsid w:val="40224BB0"/>
    <w:rsid w:val="402E32EA"/>
    <w:rsid w:val="40520D87"/>
    <w:rsid w:val="40896772"/>
    <w:rsid w:val="40B82E15"/>
    <w:rsid w:val="40CA33B4"/>
    <w:rsid w:val="40FB7B3F"/>
    <w:rsid w:val="40FE2CBD"/>
    <w:rsid w:val="41006A35"/>
    <w:rsid w:val="41641646"/>
    <w:rsid w:val="41C725A6"/>
    <w:rsid w:val="41F320F5"/>
    <w:rsid w:val="42595168"/>
    <w:rsid w:val="426D22AE"/>
    <w:rsid w:val="42F73E67"/>
    <w:rsid w:val="42F9198D"/>
    <w:rsid w:val="434D1CD9"/>
    <w:rsid w:val="439D56D9"/>
    <w:rsid w:val="43A72D5B"/>
    <w:rsid w:val="43B9679D"/>
    <w:rsid w:val="446E0159"/>
    <w:rsid w:val="447119F7"/>
    <w:rsid w:val="44937BC0"/>
    <w:rsid w:val="44D16FF4"/>
    <w:rsid w:val="45933C3C"/>
    <w:rsid w:val="45B24076"/>
    <w:rsid w:val="45C864B7"/>
    <w:rsid w:val="46295A03"/>
    <w:rsid w:val="46635713"/>
    <w:rsid w:val="46643181"/>
    <w:rsid w:val="466C2476"/>
    <w:rsid w:val="46B5206F"/>
    <w:rsid w:val="46B53E1D"/>
    <w:rsid w:val="473A07C7"/>
    <w:rsid w:val="47514501"/>
    <w:rsid w:val="47A53E92"/>
    <w:rsid w:val="47AB0EC4"/>
    <w:rsid w:val="47BF6F48"/>
    <w:rsid w:val="47C03160"/>
    <w:rsid w:val="47DD6F22"/>
    <w:rsid w:val="47E82830"/>
    <w:rsid w:val="47F46BC7"/>
    <w:rsid w:val="48496604"/>
    <w:rsid w:val="48741AB6"/>
    <w:rsid w:val="4904108C"/>
    <w:rsid w:val="49076191"/>
    <w:rsid w:val="493F3E72"/>
    <w:rsid w:val="4961203A"/>
    <w:rsid w:val="4977360C"/>
    <w:rsid w:val="499248EA"/>
    <w:rsid w:val="49A4684F"/>
    <w:rsid w:val="49D92526"/>
    <w:rsid w:val="4A886E95"/>
    <w:rsid w:val="4AB97C54"/>
    <w:rsid w:val="4AC565F9"/>
    <w:rsid w:val="4B0B3D86"/>
    <w:rsid w:val="4B2652EA"/>
    <w:rsid w:val="4B480623"/>
    <w:rsid w:val="4B971FC5"/>
    <w:rsid w:val="4B9761E7"/>
    <w:rsid w:val="4BC468B1"/>
    <w:rsid w:val="4C213D03"/>
    <w:rsid w:val="4C40062D"/>
    <w:rsid w:val="4C583BC9"/>
    <w:rsid w:val="4CAC7A71"/>
    <w:rsid w:val="4CE4545C"/>
    <w:rsid w:val="4D3D2DBF"/>
    <w:rsid w:val="4D6C360F"/>
    <w:rsid w:val="4D7A7B6F"/>
    <w:rsid w:val="4DE42C7B"/>
    <w:rsid w:val="4DE65204"/>
    <w:rsid w:val="4E3B5550"/>
    <w:rsid w:val="4E500513"/>
    <w:rsid w:val="4E610709"/>
    <w:rsid w:val="4E9730A7"/>
    <w:rsid w:val="4E995D92"/>
    <w:rsid w:val="4EB36AEA"/>
    <w:rsid w:val="4EC914E7"/>
    <w:rsid w:val="4ED07FB2"/>
    <w:rsid w:val="4F84781B"/>
    <w:rsid w:val="4F9667B6"/>
    <w:rsid w:val="4FF84CD5"/>
    <w:rsid w:val="502520DB"/>
    <w:rsid w:val="50443DFB"/>
    <w:rsid w:val="505E72D4"/>
    <w:rsid w:val="50E05F3B"/>
    <w:rsid w:val="50F11EF6"/>
    <w:rsid w:val="51271DBC"/>
    <w:rsid w:val="51907961"/>
    <w:rsid w:val="51E101BC"/>
    <w:rsid w:val="51FD48CA"/>
    <w:rsid w:val="53746A04"/>
    <w:rsid w:val="53764934"/>
    <w:rsid w:val="53D37FD9"/>
    <w:rsid w:val="53DF24DA"/>
    <w:rsid w:val="53E91BA4"/>
    <w:rsid w:val="53F631D3"/>
    <w:rsid w:val="5474356A"/>
    <w:rsid w:val="54B7213F"/>
    <w:rsid w:val="54E83610"/>
    <w:rsid w:val="55020B76"/>
    <w:rsid w:val="550E1BFA"/>
    <w:rsid w:val="556D6D64"/>
    <w:rsid w:val="559612BE"/>
    <w:rsid w:val="55B10CB4"/>
    <w:rsid w:val="55D1023B"/>
    <w:rsid w:val="55E82E39"/>
    <w:rsid w:val="561A5895"/>
    <w:rsid w:val="561D2EF6"/>
    <w:rsid w:val="565325B4"/>
    <w:rsid w:val="565D002E"/>
    <w:rsid w:val="56625644"/>
    <w:rsid w:val="566B274A"/>
    <w:rsid w:val="57066D44"/>
    <w:rsid w:val="5757086E"/>
    <w:rsid w:val="57591D1A"/>
    <w:rsid w:val="57627677"/>
    <w:rsid w:val="57686C8A"/>
    <w:rsid w:val="57C06AC6"/>
    <w:rsid w:val="57C52DA1"/>
    <w:rsid w:val="57E35DA9"/>
    <w:rsid w:val="57E82774"/>
    <w:rsid w:val="585C67EF"/>
    <w:rsid w:val="58944362"/>
    <w:rsid w:val="58A67A6A"/>
    <w:rsid w:val="58A81C6F"/>
    <w:rsid w:val="58C21F06"/>
    <w:rsid w:val="58DB71EA"/>
    <w:rsid w:val="58DE06B7"/>
    <w:rsid w:val="5906675A"/>
    <w:rsid w:val="5951525B"/>
    <w:rsid w:val="595E20F3"/>
    <w:rsid w:val="596D0588"/>
    <w:rsid w:val="59983F3B"/>
    <w:rsid w:val="59D73A43"/>
    <w:rsid w:val="59D95C1D"/>
    <w:rsid w:val="5A386FD2"/>
    <w:rsid w:val="5A76346C"/>
    <w:rsid w:val="5A8E6A07"/>
    <w:rsid w:val="5A9D30EE"/>
    <w:rsid w:val="5AA77AC9"/>
    <w:rsid w:val="5ABD5539"/>
    <w:rsid w:val="5ADA39F5"/>
    <w:rsid w:val="5B242EC8"/>
    <w:rsid w:val="5B616C97"/>
    <w:rsid w:val="5B81248F"/>
    <w:rsid w:val="5B9D167B"/>
    <w:rsid w:val="5BFD1D2F"/>
    <w:rsid w:val="5C2C64D8"/>
    <w:rsid w:val="5C3E620B"/>
    <w:rsid w:val="5C5D2B35"/>
    <w:rsid w:val="5C614EE3"/>
    <w:rsid w:val="5CA442C0"/>
    <w:rsid w:val="5CCE033A"/>
    <w:rsid w:val="5D1551BE"/>
    <w:rsid w:val="5D2B2C34"/>
    <w:rsid w:val="5D813F6F"/>
    <w:rsid w:val="5D883BE2"/>
    <w:rsid w:val="5DA12EF6"/>
    <w:rsid w:val="5DE82A19"/>
    <w:rsid w:val="5E0D03A2"/>
    <w:rsid w:val="5E0E2546"/>
    <w:rsid w:val="5E167411"/>
    <w:rsid w:val="5E7625F1"/>
    <w:rsid w:val="5EA002B8"/>
    <w:rsid w:val="5EF13A09"/>
    <w:rsid w:val="5EFA7CCD"/>
    <w:rsid w:val="5F1F40D2"/>
    <w:rsid w:val="5F2B0A2B"/>
    <w:rsid w:val="5F6273A9"/>
    <w:rsid w:val="5F6D6B2B"/>
    <w:rsid w:val="5FD815C3"/>
    <w:rsid w:val="60461E8A"/>
    <w:rsid w:val="60C211B9"/>
    <w:rsid w:val="60C23C73"/>
    <w:rsid w:val="60E05344"/>
    <w:rsid w:val="612B2D7B"/>
    <w:rsid w:val="61AB6CA2"/>
    <w:rsid w:val="61D45648"/>
    <w:rsid w:val="61E3588B"/>
    <w:rsid w:val="61FA4982"/>
    <w:rsid w:val="626A7D5A"/>
    <w:rsid w:val="627A60E1"/>
    <w:rsid w:val="62A9366C"/>
    <w:rsid w:val="62B72874"/>
    <w:rsid w:val="62DE42A4"/>
    <w:rsid w:val="62E93375"/>
    <w:rsid w:val="63104393"/>
    <w:rsid w:val="63321D9C"/>
    <w:rsid w:val="635F7193"/>
    <w:rsid w:val="63834E39"/>
    <w:rsid w:val="638C5AAE"/>
    <w:rsid w:val="63C60FC0"/>
    <w:rsid w:val="645F633A"/>
    <w:rsid w:val="649760A1"/>
    <w:rsid w:val="656E190F"/>
    <w:rsid w:val="65CB6D62"/>
    <w:rsid w:val="65EB11B2"/>
    <w:rsid w:val="663D12E2"/>
    <w:rsid w:val="66426C83"/>
    <w:rsid w:val="66451D50"/>
    <w:rsid w:val="6685798F"/>
    <w:rsid w:val="669E7FD2"/>
    <w:rsid w:val="66B07BA5"/>
    <w:rsid w:val="66D954AE"/>
    <w:rsid w:val="66E6060C"/>
    <w:rsid w:val="677828D6"/>
    <w:rsid w:val="67D068B1"/>
    <w:rsid w:val="683F57E5"/>
    <w:rsid w:val="687E630D"/>
    <w:rsid w:val="68A13DAA"/>
    <w:rsid w:val="68A37B22"/>
    <w:rsid w:val="68C36416"/>
    <w:rsid w:val="68FE2FAA"/>
    <w:rsid w:val="69035AF3"/>
    <w:rsid w:val="69445698"/>
    <w:rsid w:val="698C6808"/>
    <w:rsid w:val="6A21253A"/>
    <w:rsid w:val="6A3E5200"/>
    <w:rsid w:val="6A4E7F61"/>
    <w:rsid w:val="6AD95A7D"/>
    <w:rsid w:val="6AFF300A"/>
    <w:rsid w:val="6BCC55E2"/>
    <w:rsid w:val="6C8A5CF9"/>
    <w:rsid w:val="6CBA1B78"/>
    <w:rsid w:val="6CF641EE"/>
    <w:rsid w:val="6CF64BB7"/>
    <w:rsid w:val="6D0112BB"/>
    <w:rsid w:val="6D0E5786"/>
    <w:rsid w:val="6D400035"/>
    <w:rsid w:val="6D551743"/>
    <w:rsid w:val="6D773C65"/>
    <w:rsid w:val="6D877A12"/>
    <w:rsid w:val="6DA560EA"/>
    <w:rsid w:val="6DB225B5"/>
    <w:rsid w:val="6DD41477"/>
    <w:rsid w:val="6E160D96"/>
    <w:rsid w:val="6E3F02ED"/>
    <w:rsid w:val="6E6935BC"/>
    <w:rsid w:val="6E775CD9"/>
    <w:rsid w:val="6E930639"/>
    <w:rsid w:val="6F052765"/>
    <w:rsid w:val="6F237EA7"/>
    <w:rsid w:val="6F7246F2"/>
    <w:rsid w:val="6FB940CF"/>
    <w:rsid w:val="6FF1538B"/>
    <w:rsid w:val="70563E6D"/>
    <w:rsid w:val="70673B2B"/>
    <w:rsid w:val="707F0E75"/>
    <w:rsid w:val="70AE1E7D"/>
    <w:rsid w:val="70E37655"/>
    <w:rsid w:val="71446A8C"/>
    <w:rsid w:val="71573B9F"/>
    <w:rsid w:val="719259CB"/>
    <w:rsid w:val="71A462ED"/>
    <w:rsid w:val="72170B15"/>
    <w:rsid w:val="725B3589"/>
    <w:rsid w:val="726447C6"/>
    <w:rsid w:val="726D604E"/>
    <w:rsid w:val="72800ED4"/>
    <w:rsid w:val="72C25048"/>
    <w:rsid w:val="7321368F"/>
    <w:rsid w:val="732E6B82"/>
    <w:rsid w:val="73334198"/>
    <w:rsid w:val="73415F19"/>
    <w:rsid w:val="739015EB"/>
    <w:rsid w:val="740729BF"/>
    <w:rsid w:val="7420471D"/>
    <w:rsid w:val="74251D33"/>
    <w:rsid w:val="74314B71"/>
    <w:rsid w:val="743E4BA3"/>
    <w:rsid w:val="7466391B"/>
    <w:rsid w:val="74BC2BCE"/>
    <w:rsid w:val="753B792D"/>
    <w:rsid w:val="755A1EB0"/>
    <w:rsid w:val="755C65B1"/>
    <w:rsid w:val="756D3991"/>
    <w:rsid w:val="757650E1"/>
    <w:rsid w:val="757C5983"/>
    <w:rsid w:val="75947170"/>
    <w:rsid w:val="75A35605"/>
    <w:rsid w:val="75DB50F0"/>
    <w:rsid w:val="75F47C0F"/>
    <w:rsid w:val="76393874"/>
    <w:rsid w:val="764201A5"/>
    <w:rsid w:val="76571277"/>
    <w:rsid w:val="76937428"/>
    <w:rsid w:val="76B16AD4"/>
    <w:rsid w:val="76D06621"/>
    <w:rsid w:val="77BB5D25"/>
    <w:rsid w:val="785B3F75"/>
    <w:rsid w:val="78675E70"/>
    <w:rsid w:val="78903BC9"/>
    <w:rsid w:val="78B11DE7"/>
    <w:rsid w:val="78B44548"/>
    <w:rsid w:val="78E62834"/>
    <w:rsid w:val="791D747D"/>
    <w:rsid w:val="793B4DF1"/>
    <w:rsid w:val="794669D3"/>
    <w:rsid w:val="7956473D"/>
    <w:rsid w:val="79C618C2"/>
    <w:rsid w:val="79DB863C"/>
    <w:rsid w:val="79E42E76"/>
    <w:rsid w:val="7A6C5B2F"/>
    <w:rsid w:val="7A832815"/>
    <w:rsid w:val="7AAC05FD"/>
    <w:rsid w:val="7B080BE9"/>
    <w:rsid w:val="7B1F1D98"/>
    <w:rsid w:val="7B454A69"/>
    <w:rsid w:val="7B9D6653"/>
    <w:rsid w:val="7BCFF2F2"/>
    <w:rsid w:val="7BDF6C6B"/>
    <w:rsid w:val="7BED75DA"/>
    <w:rsid w:val="7BFF0086"/>
    <w:rsid w:val="7BFF6EAF"/>
    <w:rsid w:val="7C10151B"/>
    <w:rsid w:val="7C254995"/>
    <w:rsid w:val="7C5533D1"/>
    <w:rsid w:val="7C90187B"/>
    <w:rsid w:val="7CF60710"/>
    <w:rsid w:val="7CFA32DD"/>
    <w:rsid w:val="7D161CF4"/>
    <w:rsid w:val="7D782ED3"/>
    <w:rsid w:val="7DA52540"/>
    <w:rsid w:val="7DBE39F9"/>
    <w:rsid w:val="7DC205F3"/>
    <w:rsid w:val="7DDA3B8E"/>
    <w:rsid w:val="7DE404FB"/>
    <w:rsid w:val="7DF54524"/>
    <w:rsid w:val="7E3F055C"/>
    <w:rsid w:val="7E6A0D19"/>
    <w:rsid w:val="7E6B3C03"/>
    <w:rsid w:val="7EF26CB5"/>
    <w:rsid w:val="7EF568AC"/>
    <w:rsid w:val="7F032C71"/>
    <w:rsid w:val="7F080753"/>
    <w:rsid w:val="7F822798"/>
    <w:rsid w:val="7FAD20FB"/>
    <w:rsid w:val="7FD52A5E"/>
    <w:rsid w:val="7FFEB71F"/>
    <w:rsid w:val="A37F029E"/>
    <w:rsid w:val="A5C9BB4D"/>
    <w:rsid w:val="BA7B23C6"/>
    <w:rsid w:val="CD7D2D58"/>
    <w:rsid w:val="EFF70570"/>
    <w:rsid w:val="F7BAA7C2"/>
    <w:rsid w:val="FBF37C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next w:val="1"/>
    <w:qFormat/>
    <w:uiPriority w:val="0"/>
    <w:pPr>
      <w:keepNext/>
      <w:keepLines/>
      <w:widowControl w:val="0"/>
      <w:numPr>
        <w:ilvl w:val="1"/>
        <w:numId w:val="1"/>
      </w:numPr>
      <w:spacing w:before="50" w:beforeLines="50" w:line="360" w:lineRule="auto"/>
      <w:ind w:left="0"/>
      <w:outlineLvl w:val="1"/>
    </w:pPr>
    <w:rPr>
      <w:rFonts w:ascii="黑体" w:hAnsi="Cambria" w:eastAsia="黑体" w:cs="Times New Roman"/>
      <w:bCs/>
      <w:sz w:val="28"/>
      <w:szCs w:val="32"/>
      <w:lang w:val="en-US" w:eastAsia="zh-CN" w:bidi="ar-SA"/>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4"/>
    <w:basedOn w:val="1"/>
    <w:next w:val="1"/>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8">
    <w:name w:val="heading 5"/>
    <w:basedOn w:val="1"/>
    <w:next w:val="9"/>
    <w:qFormat/>
    <w:uiPriority w:val="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link w:val="35"/>
    <w:qFormat/>
    <w:uiPriority w:val="0"/>
    <w:pPr>
      <w:spacing w:before="240" w:after="60"/>
      <w:jc w:val="center"/>
      <w:outlineLvl w:val="0"/>
    </w:pPr>
    <w:rPr>
      <w:rFonts w:ascii="Cambria" w:hAnsi="Cambria" w:cs="Times New Roman"/>
      <w:b/>
      <w:bCs/>
      <w:sz w:val="32"/>
      <w:szCs w:val="32"/>
    </w:rPr>
  </w:style>
  <w:style w:type="paragraph" w:styleId="9">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numPr>
        <w:ilvl w:val="0"/>
        <w:numId w:val="2"/>
      </w:numPr>
    </w:pPr>
  </w:style>
  <w:style w:type="paragraph" w:styleId="12">
    <w:name w:val="annotation text"/>
    <w:basedOn w:val="1"/>
    <w:link w:val="34"/>
    <w:qFormat/>
    <w:uiPriority w:val="0"/>
    <w:pPr>
      <w:jc w:val="left"/>
    </w:pPr>
  </w:style>
  <w:style w:type="paragraph" w:styleId="13">
    <w:name w:val="index 6"/>
    <w:basedOn w:val="1"/>
    <w:next w:val="1"/>
    <w:unhideWhenUsed/>
    <w:qFormat/>
    <w:uiPriority w:val="0"/>
    <w:pPr>
      <w:ind w:left="2100"/>
    </w:pPr>
    <w:rPr>
      <w:sz w:val="30"/>
      <w:szCs w:val="24"/>
    </w:rPr>
  </w:style>
  <w:style w:type="paragraph" w:styleId="14">
    <w:name w:val="Body Text 3"/>
    <w:basedOn w:val="1"/>
    <w:unhideWhenUsed/>
    <w:qFormat/>
    <w:uiPriority w:val="99"/>
    <w:pPr>
      <w:spacing w:after="120"/>
    </w:pPr>
    <w:rPr>
      <w:sz w:val="16"/>
      <w:szCs w:val="16"/>
    </w:rPr>
  </w:style>
  <w:style w:type="paragraph" w:styleId="15">
    <w:name w:val="Body Text Indent"/>
    <w:basedOn w:val="1"/>
    <w:next w:val="1"/>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Plain Text"/>
    <w:basedOn w:val="1"/>
    <w:next w:val="19"/>
    <w:qFormat/>
    <w:uiPriority w:val="0"/>
    <w:rPr>
      <w:rFonts w:ascii="宋体" w:hAnsi="Courier New"/>
      <w:kern w:val="0"/>
      <w:sz w:val="20"/>
      <w:szCs w:val="21"/>
    </w:rPr>
  </w:style>
  <w:style w:type="paragraph" w:styleId="19">
    <w:name w:val="toc 1"/>
    <w:basedOn w:val="1"/>
    <w:next w:val="1"/>
    <w:unhideWhenUsed/>
    <w:qFormat/>
    <w:uiPriority w:val="39"/>
  </w:style>
  <w:style w:type="paragraph" w:styleId="20">
    <w:name w:val="Balloon Text"/>
    <w:basedOn w:val="1"/>
    <w:link w:val="36"/>
    <w:qFormat/>
    <w:uiPriority w:val="0"/>
    <w:rPr>
      <w:sz w:val="18"/>
      <w:szCs w:val="18"/>
    </w:rPr>
  </w:style>
  <w:style w:type="paragraph" w:styleId="21">
    <w:name w:val="footer"/>
    <w:basedOn w:val="1"/>
    <w:unhideWhenUsed/>
    <w:qFormat/>
    <w:uiPriority w:val="99"/>
    <w:pPr>
      <w:tabs>
        <w:tab w:val="center" w:pos="4153"/>
        <w:tab w:val="right" w:pos="8306"/>
      </w:tabs>
      <w:snapToGrid w:val="0"/>
      <w:jc w:val="left"/>
    </w:pPr>
    <w:rPr>
      <w:kern w:val="0"/>
      <w:sz w:val="18"/>
      <w:szCs w:val="18"/>
    </w:rPr>
  </w:style>
  <w:style w:type="paragraph" w:styleId="2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annotation subject"/>
    <w:basedOn w:val="12"/>
    <w:next w:val="12"/>
    <w:link w:val="37"/>
    <w:qFormat/>
    <w:uiPriority w:val="0"/>
    <w:rPr>
      <w:b/>
      <w:bCs/>
    </w:rPr>
  </w:style>
  <w:style w:type="paragraph" w:styleId="26">
    <w:name w:val="Body Text First Indent 2"/>
    <w:next w:val="1"/>
    <w:qFormat/>
    <w:uiPriority w:val="0"/>
    <w:pPr>
      <w:widowControl w:val="0"/>
      <w:ind w:firstLine="560" w:firstLineChars="200"/>
    </w:pPr>
    <w:rPr>
      <w:rFonts w:ascii="Calibri" w:hAnsi="Calibri" w:eastAsia="宋体" w:cs="Times New Roman"/>
      <w:kern w:val="2"/>
      <w:sz w:val="21"/>
      <w:szCs w:val="24"/>
      <w:lang w:val="en-US" w:eastAsia="zh-CN" w:bidi="ar-SA"/>
    </w:rPr>
  </w:style>
  <w:style w:type="table" w:styleId="28">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Hyperlink"/>
    <w:unhideWhenUsed/>
    <w:qFormat/>
    <w:uiPriority w:val="99"/>
    <w:rPr>
      <w:color w:val="0000FF"/>
      <w:u w:val="single"/>
    </w:rPr>
  </w:style>
  <w:style w:type="character" w:styleId="32">
    <w:name w:val="annotation reference"/>
    <w:qFormat/>
    <w:uiPriority w:val="99"/>
    <w:rPr>
      <w:sz w:val="21"/>
      <w:szCs w:val="21"/>
    </w:rPr>
  </w:style>
  <w:style w:type="character" w:styleId="33">
    <w:name w:val="HTML Sample"/>
    <w:basedOn w:val="29"/>
    <w:qFormat/>
    <w:uiPriority w:val="0"/>
    <w:rPr>
      <w:rFonts w:ascii="Courier New" w:hAnsi="Courier New"/>
    </w:rPr>
  </w:style>
  <w:style w:type="character" w:customStyle="1" w:styleId="34">
    <w:name w:val="批注文字 Char"/>
    <w:link w:val="12"/>
    <w:qFormat/>
    <w:uiPriority w:val="0"/>
    <w:rPr>
      <w:rFonts w:ascii="Times New Roman" w:hAnsi="Times New Roman"/>
      <w:kern w:val="2"/>
      <w:sz w:val="21"/>
      <w:szCs w:val="24"/>
    </w:rPr>
  </w:style>
  <w:style w:type="character" w:customStyle="1" w:styleId="35">
    <w:name w:val="标题 Char"/>
    <w:link w:val="3"/>
    <w:qFormat/>
    <w:uiPriority w:val="0"/>
    <w:rPr>
      <w:rFonts w:ascii="Cambria" w:hAnsi="Cambria" w:cs="Times New Roman"/>
      <w:b/>
      <w:bCs/>
      <w:kern w:val="2"/>
      <w:sz w:val="32"/>
      <w:szCs w:val="32"/>
    </w:rPr>
  </w:style>
  <w:style w:type="character" w:customStyle="1" w:styleId="36">
    <w:name w:val="批注框文本 Char"/>
    <w:link w:val="20"/>
    <w:qFormat/>
    <w:uiPriority w:val="0"/>
    <w:rPr>
      <w:rFonts w:ascii="Times New Roman" w:hAnsi="Times New Roman"/>
      <w:kern w:val="2"/>
      <w:sz w:val="18"/>
      <w:szCs w:val="18"/>
    </w:rPr>
  </w:style>
  <w:style w:type="character" w:customStyle="1" w:styleId="37">
    <w:name w:val="批注主题 Char"/>
    <w:link w:val="25"/>
    <w:qFormat/>
    <w:uiPriority w:val="0"/>
    <w:rPr>
      <w:rFonts w:ascii="Times New Roman" w:hAnsi="Times New Roman"/>
      <w:b/>
      <w:bCs/>
      <w:kern w:val="2"/>
      <w:sz w:val="21"/>
      <w:szCs w:val="24"/>
    </w:rPr>
  </w:style>
  <w:style w:type="paragraph" w:customStyle="1" w:styleId="38">
    <w:name w:val="正文-2字符首行缩进"/>
    <w:basedOn w:val="1"/>
    <w:qFormat/>
    <w:uiPriority w:val="0"/>
    <w:pPr>
      <w:ind w:firstLine="200" w:firstLineChars="200"/>
    </w:pPr>
  </w:style>
  <w:style w:type="paragraph" w:customStyle="1" w:styleId="39">
    <w:name w:val="Default"/>
    <w:next w:val="13"/>
    <w:qFormat/>
    <w:uiPriority w:val="99"/>
    <w:pPr>
      <w:widowControl w:val="0"/>
      <w:autoSpaceDE w:val="0"/>
      <w:autoSpaceDN w:val="0"/>
      <w:adjustRightInd w:val="0"/>
      <w:jc w:val="left"/>
    </w:pPr>
    <w:rPr>
      <w:rFonts w:ascii="仿宋_GB2312" w:hAnsi="仿宋_GB2312" w:eastAsia="宋体" w:cs="Times New Roman"/>
      <w:color w:val="000000"/>
      <w:kern w:val="0"/>
      <w:sz w:val="24"/>
      <w:szCs w:val="24"/>
      <w:lang w:val="en-US" w:eastAsia="zh-CN" w:bidi="ar-SA"/>
    </w:rPr>
  </w:style>
  <w:style w:type="character" w:customStyle="1" w:styleId="40">
    <w:name w:val="fontstyle11"/>
    <w:qFormat/>
    <w:uiPriority w:val="0"/>
    <w:rPr>
      <w:rFonts w:hint="default" w:ascii="TimesNewRomanPSMT" w:hAnsi="TimesNewRomanPSMT"/>
      <w:color w:val="000000"/>
      <w:sz w:val="22"/>
      <w:szCs w:val="22"/>
    </w:rPr>
  </w:style>
  <w:style w:type="character" w:customStyle="1" w:styleId="41">
    <w:name w:val="fontstyle01"/>
    <w:qFormat/>
    <w:uiPriority w:val="0"/>
    <w:rPr>
      <w:rFonts w:hint="eastAsia" w:ascii="宋体" w:hAnsi="宋体" w:eastAsia="宋体"/>
      <w:color w:val="000000"/>
      <w:sz w:val="24"/>
      <w:szCs w:val="24"/>
    </w:rPr>
  </w:style>
  <w:style w:type="paragraph" w:styleId="42">
    <w:name w:val="List Paragraph"/>
    <w:basedOn w:val="1"/>
    <w:qFormat/>
    <w:uiPriority w:val="34"/>
    <w:pPr>
      <w:ind w:firstLine="420" w:firstLineChars="200"/>
    </w:pPr>
  </w:style>
  <w:style w:type="paragraph" w:customStyle="1" w:styleId="43">
    <w:name w:val="Table Paragraph"/>
    <w:qFormat/>
    <w:uiPriority w:val="1"/>
    <w:pPr>
      <w:widowControl w:val="0"/>
      <w:jc w:val="left"/>
    </w:pPr>
    <w:rPr>
      <w:rFonts w:ascii="Calibri" w:hAnsi="Calibri" w:eastAsia="宋体" w:cs="Times New Roman"/>
      <w:kern w:val="0"/>
      <w:sz w:val="22"/>
      <w:szCs w:val="22"/>
      <w:lang w:val="en-US" w:eastAsia="en-US" w:bidi="ar-SA"/>
    </w:rPr>
  </w:style>
  <w:style w:type="paragraph" w:customStyle="1" w:styleId="44">
    <w:name w:val="正文2"/>
    <w:basedOn w:val="1"/>
    <w:qFormat/>
    <w:uiPriority w:val="0"/>
    <w:pPr>
      <w:adjustRightInd w:val="0"/>
      <w:spacing w:before="156" w:line="360" w:lineRule="auto"/>
      <w:ind w:firstLine="510" w:firstLineChars="200"/>
    </w:pPr>
    <w:rPr>
      <w:sz w:val="24"/>
      <w:szCs w:val="20"/>
    </w:rPr>
  </w:style>
  <w:style w:type="paragraph" w:customStyle="1" w:styleId="45">
    <w:name w:val="正文-公1"/>
    <w:basedOn w:val="1"/>
    <w:qFormat/>
    <w:uiPriority w:val="99"/>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标题3"/>
    <w:basedOn w:val="49"/>
    <w:next w:val="6"/>
    <w:qFormat/>
    <w:uiPriority w:val="0"/>
    <w:pPr>
      <w:spacing w:line="600" w:lineRule="exact"/>
      <w:jc w:val="both"/>
      <w:outlineLvl w:val="2"/>
    </w:pPr>
    <w:rPr>
      <w:rFonts w:ascii="仿宋_GB2312"/>
      <w:b/>
    </w:rPr>
  </w:style>
  <w:style w:type="paragraph" w:customStyle="1" w:styleId="49">
    <w:name w:val="要求正文格式"/>
    <w:basedOn w:val="1"/>
    <w:qFormat/>
    <w:uiPriority w:val="99"/>
    <w:pPr>
      <w:widowControl w:val="0"/>
      <w:spacing w:line="360" w:lineRule="auto"/>
      <w:ind w:firstLine="200" w:firstLineChars="200"/>
      <w:jc w:val="both"/>
      <w:textAlignment w:val="center"/>
    </w:pPr>
    <w:rPr>
      <w:rFonts w:ascii="Times New Roman" w:hAnsi="Times New Roman" w:eastAsia="仿宋_GB2312" w:cs="Times New Roman"/>
      <w:kern w:val="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3062</Words>
  <Characters>3675</Characters>
  <Lines>311</Lines>
  <Paragraphs>87</Paragraphs>
  <TotalTime>3</TotalTime>
  <ScaleCrop>false</ScaleCrop>
  <LinksUpToDate>false</LinksUpToDate>
  <CharactersWithSpaces>3709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2023-09-29T13:23:00Z</dcterms:created>
  <dc:creator>王子申</dc:creator>
  <cp:lastModifiedBy>xiao</cp:lastModifiedBy>
  <dcterms:modified xsi:type="dcterms:W3CDTF">2026-06-11T09:08:31Z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E4D2EB441C0846CF937FA2E7B432AEC4_13</vt:lpwstr>
  </property>
  <property fmtid="{D5CDD505-2E9C-101B-9397-08002B2CF9AE}" pid="4" name="KSOTemplateDocerSaveRecord">
    <vt:lpwstr>eyJoZGlkIjoiMzEwNTM5NzYwMDRjMzkwZTVkZjY2ODkwMGIxNGU0OTUiLCJ1c2VySWQiOiIyMzkzNDY4MzQifQ==</vt:lpwstr>
  </property>
</Properties>
</file>