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E9FD1B">
      <w:pPr>
        <w:shd w:val="clear"/>
        <w:spacing w:before="165" w:beforeLines="50" w:line="360" w:lineRule="auto"/>
        <w:jc w:val="center"/>
        <w:rPr>
          <w:rFonts w:hint="eastAsia" w:ascii="方正小标宋_GBK" w:hAnsi="方正小标宋_GBK" w:eastAsia="方正小标宋_GBK" w:cs="方正小标宋_GBK"/>
          <w:color w:val="auto"/>
          <w:sz w:val="36"/>
          <w:szCs w:val="36"/>
          <w:highlight w:val="none"/>
          <w:lang w:eastAsia="zh-CN"/>
        </w:rPr>
      </w:pPr>
      <w:r>
        <w:rPr>
          <w:rFonts w:hint="eastAsia" w:ascii="方正小标宋_GBK" w:hAnsi="方正小标宋_GBK" w:eastAsia="方正小标宋_GBK" w:cs="方正小标宋_GBK"/>
          <w:color w:val="auto"/>
          <w:sz w:val="36"/>
          <w:szCs w:val="36"/>
          <w:highlight w:val="none"/>
          <w:lang w:eastAsia="zh-CN"/>
        </w:rPr>
        <w:drawing>
          <wp:anchor distT="0" distB="0" distL="114300" distR="114300" simplePos="0" relativeHeight="251663360" behindDoc="0" locked="0" layoutInCell="1" allowOverlap="1">
            <wp:simplePos x="0" y="0"/>
            <wp:positionH relativeFrom="column">
              <wp:posOffset>-960120</wp:posOffset>
            </wp:positionH>
            <wp:positionV relativeFrom="paragraph">
              <wp:posOffset>-912495</wp:posOffset>
            </wp:positionV>
            <wp:extent cx="7554595" cy="10684510"/>
            <wp:effectExtent l="0" t="0" r="8255" b="2540"/>
            <wp:wrapNone/>
            <wp:docPr id="3" name="图片 3" descr="竞争性谈判文件-广西壮族自治区国有维都林场乡土树种保供繁育基地建设项目设备采购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竞争性谈判文件-广西壮族自治区国有维都林场乡土树种保供繁育基地建设项目设备采购_01"/>
                    <pic:cNvPicPr>
                      <a:picLocks noChangeAspect="1"/>
                    </pic:cNvPicPr>
                  </pic:nvPicPr>
                  <pic:blipFill>
                    <a:blip r:embed="rId10"/>
                    <a:stretch>
                      <a:fillRect/>
                    </a:stretch>
                  </pic:blipFill>
                  <pic:spPr>
                    <a:xfrm>
                      <a:off x="0" y="0"/>
                      <a:ext cx="7554595" cy="10684510"/>
                    </a:xfrm>
                    <a:prstGeom prst="rect">
                      <a:avLst/>
                    </a:prstGeom>
                  </pic:spPr>
                </pic:pic>
              </a:graphicData>
            </a:graphic>
          </wp:anchor>
        </w:drawing>
      </w:r>
    </w:p>
    <w:p w14:paraId="0EC7D222">
      <w:pPr>
        <w:shd w:val="clear"/>
        <w:spacing w:before="165" w:beforeLines="50" w:line="360" w:lineRule="auto"/>
        <w:jc w:val="center"/>
        <w:rPr>
          <w:rFonts w:hint="eastAsia" w:ascii="方正小标宋_GBK" w:hAnsi="方正小标宋_GBK" w:eastAsia="方正小标宋_GBK" w:cs="方正小标宋_GBK"/>
          <w:color w:val="auto"/>
          <w:sz w:val="36"/>
          <w:szCs w:val="36"/>
          <w:highlight w:val="none"/>
        </w:rPr>
      </w:pPr>
    </w:p>
    <w:p w14:paraId="6C24DCD7">
      <w:pPr>
        <w:shd w:val="clear"/>
        <w:spacing w:before="165" w:beforeLines="50" w:line="360" w:lineRule="auto"/>
        <w:jc w:val="center"/>
        <w:rPr>
          <w:rFonts w:hint="eastAsia" w:ascii="方正小标宋_GBK" w:hAnsi="方正小标宋_GBK" w:eastAsia="方正小标宋_GBK" w:cs="方正小标宋_GBK"/>
          <w:color w:val="auto"/>
          <w:sz w:val="36"/>
          <w:szCs w:val="36"/>
          <w:highlight w:val="none"/>
        </w:rPr>
      </w:pPr>
      <w:r>
        <w:rPr>
          <w:rFonts w:hint="eastAsia" w:ascii="方正小标宋_GBK" w:hAnsi="方正小标宋_GBK" w:eastAsia="方正小标宋_GBK" w:cs="方正小标宋_GBK"/>
          <w:color w:val="auto"/>
          <w:sz w:val="36"/>
          <w:szCs w:val="36"/>
          <w:highlight w:val="none"/>
        </w:rPr>
        <w:t>广西壮族自治区政府采购</w:t>
      </w:r>
    </w:p>
    <w:p w14:paraId="2B84D3F5">
      <w:pPr>
        <w:shd w:val="clear"/>
        <w:spacing w:before="165" w:beforeLines="50" w:line="360" w:lineRule="auto"/>
        <w:jc w:val="center"/>
        <w:rPr>
          <w:rFonts w:hint="eastAsia" w:ascii="方正小标宋_GBK" w:hAnsi="方正小标宋_GBK" w:eastAsia="方正小标宋_GBK" w:cs="方正小标宋_GBK"/>
          <w:color w:val="auto"/>
          <w:sz w:val="36"/>
          <w:szCs w:val="36"/>
          <w:highlight w:val="none"/>
        </w:rPr>
      </w:pPr>
      <w:r>
        <w:rPr>
          <w:rFonts w:hint="eastAsia" w:ascii="方正小标宋_GBK" w:hAnsi="方正小标宋_GBK" w:eastAsia="方正小标宋_GBK" w:cs="方正小标宋_GBK"/>
          <w:color w:val="auto"/>
          <w:sz w:val="36"/>
          <w:szCs w:val="36"/>
          <w:highlight w:val="none"/>
        </w:rPr>
        <w:t>竞争性</w:t>
      </w:r>
      <w:r>
        <w:rPr>
          <w:rFonts w:hint="eastAsia" w:ascii="方正小标宋_GBK" w:hAnsi="方正小标宋_GBK" w:eastAsia="方正小标宋_GBK" w:cs="方正小标宋_GBK"/>
          <w:color w:val="auto"/>
          <w:sz w:val="36"/>
          <w:szCs w:val="36"/>
          <w:highlight w:val="none"/>
          <w:lang w:val="en-US" w:eastAsia="zh-CN"/>
        </w:rPr>
        <w:t>谈判</w:t>
      </w:r>
      <w:r>
        <w:rPr>
          <w:rFonts w:hint="eastAsia" w:ascii="方正小标宋_GBK" w:hAnsi="方正小标宋_GBK" w:eastAsia="方正小标宋_GBK" w:cs="方正小标宋_GBK"/>
          <w:color w:val="auto"/>
          <w:sz w:val="36"/>
          <w:szCs w:val="36"/>
          <w:highlight w:val="none"/>
        </w:rPr>
        <w:t>文件范本（</w:t>
      </w:r>
      <w:r>
        <w:rPr>
          <w:rFonts w:hint="eastAsia" w:ascii="方正小标宋_GBK" w:hAnsi="方正小标宋_GBK" w:eastAsia="方正小标宋_GBK" w:cs="方正小标宋_GBK"/>
          <w:color w:val="auto"/>
          <w:sz w:val="36"/>
          <w:szCs w:val="36"/>
          <w:highlight w:val="none"/>
          <w:lang w:val="en-US" w:eastAsia="zh-CN"/>
        </w:rPr>
        <w:t>货物</w:t>
      </w:r>
      <w:r>
        <w:rPr>
          <w:rFonts w:hint="eastAsia" w:ascii="方正小标宋_GBK" w:hAnsi="方正小标宋_GBK" w:eastAsia="方正小标宋_GBK" w:cs="方正小标宋_GBK"/>
          <w:color w:val="auto"/>
          <w:sz w:val="36"/>
          <w:szCs w:val="36"/>
          <w:highlight w:val="none"/>
        </w:rPr>
        <w:t>类）</w:t>
      </w:r>
    </w:p>
    <w:p w14:paraId="179279AB">
      <w:pPr>
        <w:shd w:val="clear"/>
        <w:spacing w:before="165" w:beforeLines="50" w:line="360" w:lineRule="auto"/>
        <w:jc w:val="center"/>
        <w:rPr>
          <w:rFonts w:hint="eastAsia" w:ascii="宋体" w:hAnsi="宋体" w:cs="宋体"/>
          <w:color w:val="auto"/>
          <w:sz w:val="36"/>
          <w:szCs w:val="36"/>
          <w:highlight w:val="none"/>
        </w:rPr>
      </w:pPr>
    </w:p>
    <w:p w14:paraId="70A453DA">
      <w:pPr>
        <w:shd w:val="clear"/>
        <w:snapToGrid w:val="0"/>
        <w:spacing w:before="165" w:beforeLines="50" w:line="360" w:lineRule="auto"/>
        <w:jc w:val="center"/>
        <w:rPr>
          <w:rFonts w:hint="eastAsia"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竞争性</w:t>
      </w:r>
      <w:r>
        <w:rPr>
          <w:rFonts w:hint="eastAsia" w:ascii="方正小标宋_GBK" w:hAnsi="方正小标宋_GBK" w:eastAsia="方正小标宋_GBK" w:cs="方正小标宋_GBK"/>
          <w:color w:val="auto"/>
          <w:sz w:val="44"/>
          <w:szCs w:val="44"/>
          <w:highlight w:val="none"/>
          <w:lang w:val="en-US" w:eastAsia="zh-CN"/>
        </w:rPr>
        <w:t>谈判</w:t>
      </w:r>
      <w:r>
        <w:rPr>
          <w:rFonts w:hint="eastAsia" w:ascii="方正小标宋_GBK" w:hAnsi="方正小标宋_GBK" w:eastAsia="方正小标宋_GBK" w:cs="方正小标宋_GBK"/>
          <w:color w:val="auto"/>
          <w:sz w:val="44"/>
          <w:szCs w:val="44"/>
          <w:highlight w:val="none"/>
        </w:rPr>
        <w:t>文件</w:t>
      </w:r>
    </w:p>
    <w:p w14:paraId="5110CFAE">
      <w:pPr>
        <w:shd w:val="clear"/>
        <w:spacing w:before="331" w:beforeLines="100" w:after="165" w:afterLines="50"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（全流程电子化评标）</w:t>
      </w:r>
    </w:p>
    <w:p w14:paraId="37AD8F28">
      <w:pPr>
        <w:shd w:val="clear"/>
        <w:spacing w:line="360" w:lineRule="auto"/>
        <w:rPr>
          <w:rFonts w:hint="eastAsia" w:ascii="宋体" w:hAnsi="宋体" w:cs="宋体"/>
          <w:b/>
          <w:color w:val="auto"/>
          <w:sz w:val="32"/>
          <w:szCs w:val="32"/>
          <w:highlight w:val="none"/>
        </w:rPr>
      </w:pPr>
    </w:p>
    <w:p w14:paraId="4E8EDF61">
      <w:pPr>
        <w:shd w:val="clear"/>
        <w:spacing w:line="480" w:lineRule="auto"/>
        <w:jc w:val="center"/>
        <w:rPr>
          <w:rFonts w:hint="eastAsia" w:ascii="宋体" w:hAnsi="宋体" w:cs="宋体"/>
          <w:b/>
          <w:color w:val="auto"/>
          <w:sz w:val="32"/>
          <w:szCs w:val="32"/>
          <w:highlight w:val="none"/>
        </w:rPr>
      </w:pPr>
    </w:p>
    <w:p w14:paraId="5BDCBBF2">
      <w:pPr>
        <w:shd w:val="clear"/>
        <w:spacing w:line="400" w:lineRule="exact"/>
        <w:rPr>
          <w:rFonts w:hint="eastAsia" w:ascii="宋体" w:hAnsi="宋体" w:cs="宋体"/>
          <w:b/>
          <w:color w:val="auto"/>
          <w:sz w:val="30"/>
          <w:szCs w:val="30"/>
          <w:highlight w:val="none"/>
        </w:rPr>
      </w:pPr>
    </w:p>
    <w:p w14:paraId="0E4625CE">
      <w:pPr>
        <w:shd w:val="clear"/>
        <w:spacing w:line="400" w:lineRule="exact"/>
        <w:ind w:firstLine="1274" w:firstLineChars="423"/>
        <w:rPr>
          <w:rFonts w:hint="eastAsia" w:ascii="宋体" w:hAnsi="宋体" w:eastAsia="宋体" w:cs="宋体"/>
          <w:b/>
          <w:bCs/>
          <w:color w:val="auto"/>
          <w:sz w:val="30"/>
          <w:szCs w:val="30"/>
          <w:highlight w:val="none"/>
          <w:u w:val="single"/>
          <w:lang w:eastAsia="zh-CN"/>
        </w:rPr>
      </w:pPr>
      <w:r>
        <w:rPr>
          <w:rFonts w:hint="eastAsia" w:ascii="宋体" w:hAnsi="宋体" w:cs="宋体"/>
          <w:b/>
          <w:color w:val="auto"/>
          <w:sz w:val="30"/>
          <w:szCs w:val="30"/>
          <w:highlight w:val="none"/>
        </w:rPr>
        <w:t>项目编号：</w:t>
      </w:r>
      <w:r>
        <w:rPr>
          <w:rFonts w:hint="eastAsia" w:ascii="宋体" w:hAnsi="宋体" w:cs="宋体"/>
          <w:b/>
          <w:color w:val="auto"/>
          <w:sz w:val="30"/>
          <w:szCs w:val="30"/>
          <w:highlight w:val="none"/>
          <w:u w:val="single"/>
          <w:lang w:eastAsia="zh-CN"/>
        </w:rPr>
        <w:t>GXZC2026-J1-001111-GXYZ</w:t>
      </w:r>
    </w:p>
    <w:p w14:paraId="1270A644">
      <w:pPr>
        <w:shd w:val="clear"/>
        <w:spacing w:line="400" w:lineRule="exact"/>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 xml:space="preserve"> </w:t>
      </w:r>
    </w:p>
    <w:p w14:paraId="59C67386">
      <w:pPr>
        <w:shd w:val="clear"/>
        <w:spacing w:line="400" w:lineRule="exact"/>
        <w:ind w:left="2770" w:leftChars="609" w:hanging="1491" w:hangingChars="495"/>
        <w:rPr>
          <w:rFonts w:hint="eastAsia" w:ascii="宋体" w:hAnsi="宋体" w:eastAsia="宋体" w:cs="宋体"/>
          <w:b/>
          <w:bCs/>
          <w:color w:val="auto"/>
          <w:sz w:val="30"/>
          <w:szCs w:val="30"/>
          <w:highlight w:val="none"/>
          <w:u w:val="single"/>
          <w:lang w:eastAsia="zh-CN"/>
        </w:rPr>
      </w:pPr>
      <w:r>
        <w:rPr>
          <w:rFonts w:hint="eastAsia" w:ascii="宋体" w:hAnsi="宋体" w:cs="宋体"/>
          <w:b/>
          <w:color w:val="auto"/>
          <w:sz w:val="30"/>
          <w:szCs w:val="30"/>
          <w:highlight w:val="none"/>
        </w:rPr>
        <w:t>项目名称：</w:t>
      </w:r>
      <w:r>
        <w:rPr>
          <w:rFonts w:hint="eastAsia" w:ascii="宋体" w:hAnsi="宋体" w:cs="宋体"/>
          <w:b/>
          <w:bCs/>
          <w:color w:val="auto"/>
          <w:sz w:val="30"/>
          <w:szCs w:val="30"/>
          <w:highlight w:val="none"/>
          <w:u w:val="single"/>
          <w:lang w:eastAsia="zh-CN"/>
        </w:rPr>
        <w:t>广西壮族自治区国有维都林场乡土树种保供繁育基地建设项目设备采购</w:t>
      </w:r>
    </w:p>
    <w:p w14:paraId="70863518">
      <w:pPr>
        <w:shd w:val="clear"/>
        <w:spacing w:line="400" w:lineRule="exact"/>
        <w:ind w:left="2770" w:leftChars="609" w:hanging="1491" w:hangingChars="495"/>
        <w:rPr>
          <w:rFonts w:hint="eastAsia" w:ascii="宋体" w:hAnsi="宋体" w:cs="宋体"/>
          <w:b/>
          <w:bCs/>
          <w:color w:val="auto"/>
          <w:sz w:val="30"/>
          <w:szCs w:val="30"/>
          <w:highlight w:val="none"/>
          <w:u w:val="single"/>
        </w:rPr>
      </w:pPr>
    </w:p>
    <w:p w14:paraId="7477FAF5">
      <w:pPr>
        <w:shd w:val="clear"/>
        <w:spacing w:line="400" w:lineRule="exact"/>
        <w:ind w:left="2770" w:leftChars="609" w:hanging="1491" w:hangingChars="495"/>
        <w:rPr>
          <w:rFonts w:hint="eastAsia" w:ascii="宋体" w:hAnsi="宋体" w:cs="宋体"/>
          <w:b/>
          <w:bCs/>
          <w:color w:val="auto"/>
          <w:sz w:val="30"/>
          <w:szCs w:val="30"/>
          <w:highlight w:val="none"/>
          <w:u w:val="single"/>
        </w:rPr>
      </w:pPr>
      <w:r>
        <w:rPr>
          <w:rFonts w:hint="eastAsia" w:ascii="宋体" w:hAnsi="宋体" w:cs="宋体"/>
          <w:b/>
          <w:bCs/>
          <w:color w:val="auto"/>
          <w:sz w:val="30"/>
          <w:szCs w:val="30"/>
          <w:highlight w:val="none"/>
        </w:rPr>
        <w:t>项目所属区划：</w:t>
      </w:r>
      <w:r>
        <w:rPr>
          <w:rFonts w:hint="eastAsia" w:ascii="宋体" w:hAnsi="宋体" w:cs="宋体"/>
          <w:b/>
          <w:bCs/>
          <w:color w:val="auto"/>
          <w:sz w:val="30"/>
          <w:szCs w:val="30"/>
          <w:highlight w:val="none"/>
          <w:u w:val="single"/>
        </w:rPr>
        <w:t>广西壮族自治区</w:t>
      </w:r>
    </w:p>
    <w:p w14:paraId="3C80ED46">
      <w:pPr>
        <w:shd w:val="clear"/>
        <w:spacing w:line="400" w:lineRule="exact"/>
        <w:ind w:left="2770" w:leftChars="609" w:hanging="1491" w:hangingChars="495"/>
        <w:rPr>
          <w:rFonts w:hint="eastAsia" w:ascii="宋体" w:hAnsi="宋体" w:cs="宋体"/>
          <w:b/>
          <w:color w:val="auto"/>
          <w:sz w:val="30"/>
          <w:szCs w:val="30"/>
          <w:highlight w:val="none"/>
        </w:rPr>
      </w:pPr>
    </w:p>
    <w:p w14:paraId="2FEABE9A">
      <w:pPr>
        <w:shd w:val="clear"/>
        <w:spacing w:line="400" w:lineRule="exact"/>
        <w:ind w:left="2770" w:leftChars="609" w:hanging="1491" w:hangingChars="495"/>
        <w:rPr>
          <w:rFonts w:hint="eastAsia" w:ascii="宋体" w:hAnsi="宋体" w:cs="宋体"/>
          <w:b/>
          <w:color w:val="auto"/>
          <w:sz w:val="30"/>
          <w:szCs w:val="30"/>
          <w:highlight w:val="none"/>
        </w:rPr>
      </w:pPr>
    </w:p>
    <w:p w14:paraId="1958D740">
      <w:pPr>
        <w:shd w:val="clear"/>
        <w:spacing w:line="400" w:lineRule="exact"/>
        <w:ind w:left="2764" w:leftChars="609" w:hanging="1485" w:hangingChars="495"/>
        <w:rPr>
          <w:rFonts w:hint="eastAsia" w:ascii="宋体" w:hAnsi="宋体" w:cs="宋体"/>
          <w:b/>
          <w:color w:val="auto"/>
          <w:sz w:val="30"/>
          <w:szCs w:val="30"/>
          <w:highlight w:val="none"/>
        </w:rPr>
      </w:pPr>
      <w:r>
        <w:rPr>
          <w:rFonts w:hint="eastAsia" w:ascii="宋体" w:hAnsi="宋体"/>
          <w:color w:val="auto"/>
          <w:sz w:val="30"/>
          <w:szCs w:val="30"/>
          <w:highlight w:val="none"/>
        </w:rPr>
        <w:drawing>
          <wp:anchor distT="0" distB="0" distL="114300" distR="114300" simplePos="0" relativeHeight="251662336" behindDoc="1" locked="0" layoutInCell="1" allowOverlap="1">
            <wp:simplePos x="0" y="0"/>
            <wp:positionH relativeFrom="column">
              <wp:posOffset>3019425</wp:posOffset>
            </wp:positionH>
            <wp:positionV relativeFrom="paragraph">
              <wp:posOffset>6003925</wp:posOffset>
            </wp:positionV>
            <wp:extent cx="2511425" cy="2037715"/>
            <wp:effectExtent l="0" t="0" r="0" b="0"/>
            <wp:wrapNone/>
            <wp:docPr id="8" name="图片 2" descr="广西邕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广西邕政"/>
                    <pic:cNvPicPr>
                      <a:picLocks noChangeAspect="1"/>
                    </pic:cNvPicPr>
                  </pic:nvPicPr>
                  <pic:blipFill>
                    <a:blip r:embed="rId11"/>
                    <a:stretch>
                      <a:fillRect/>
                    </a:stretch>
                  </pic:blipFill>
                  <pic:spPr>
                    <a:xfrm>
                      <a:off x="0" y="0"/>
                      <a:ext cx="2511425" cy="2037715"/>
                    </a:xfrm>
                    <a:prstGeom prst="rect">
                      <a:avLst/>
                    </a:prstGeom>
                    <a:noFill/>
                    <a:ln>
                      <a:noFill/>
                    </a:ln>
                  </pic:spPr>
                </pic:pic>
              </a:graphicData>
            </a:graphic>
          </wp:anchor>
        </w:drawing>
      </w:r>
    </w:p>
    <w:p w14:paraId="5F0E33DD">
      <w:pPr>
        <w:shd w:val="clear"/>
        <w:spacing w:line="400" w:lineRule="exact"/>
        <w:ind w:firstLine="1205" w:firstLineChars="400"/>
        <w:rPr>
          <w:rFonts w:hint="eastAsia" w:ascii="宋体" w:hAnsi="宋体" w:cs="宋体"/>
          <w:b/>
          <w:color w:val="auto"/>
          <w:sz w:val="30"/>
          <w:szCs w:val="30"/>
          <w:highlight w:val="none"/>
        </w:rPr>
      </w:pPr>
      <w:r>
        <w:rPr>
          <w:rFonts w:hint="eastAsia" w:ascii="宋体" w:hAnsi="宋体" w:cs="宋体"/>
          <w:b/>
          <w:color w:val="auto"/>
          <w:sz w:val="30"/>
          <w:szCs w:val="30"/>
          <w:highlight w:val="none"/>
        </w:rPr>
        <w:t>采购</w:t>
      </w:r>
      <w:r>
        <w:rPr>
          <w:rFonts w:hint="eastAsia" w:ascii="宋体" w:hAnsi="宋体" w:cs="宋体"/>
          <w:b/>
          <w:color w:val="auto"/>
          <w:sz w:val="30"/>
          <w:szCs w:val="30"/>
          <w:highlight w:val="none"/>
          <w:lang w:val="en-US" w:eastAsia="zh-CN"/>
        </w:rPr>
        <w:t>人</w:t>
      </w:r>
      <w:r>
        <w:rPr>
          <w:rFonts w:hint="eastAsia" w:ascii="宋体" w:hAnsi="宋体" w:cs="宋体"/>
          <w:b/>
          <w:color w:val="auto"/>
          <w:sz w:val="30"/>
          <w:szCs w:val="30"/>
          <w:highlight w:val="none"/>
        </w:rPr>
        <w:t>：</w:t>
      </w:r>
      <w:r>
        <w:rPr>
          <w:rFonts w:hint="eastAsia" w:hAnsi="宋体" w:eastAsia="宋体" w:cs="宋体"/>
          <w:b/>
          <w:bCs/>
          <w:color w:val="auto"/>
          <w:w w:val="95"/>
          <w:sz w:val="30"/>
          <w:szCs w:val="30"/>
          <w:highlight w:val="none"/>
          <w:lang w:eastAsia="zh-CN"/>
        </w:rPr>
        <w:t>广西壮族自治区国有维都林场</w:t>
      </w:r>
    </w:p>
    <w:p w14:paraId="5439C6AD">
      <w:pPr>
        <w:shd w:val="clear"/>
        <w:spacing w:line="400" w:lineRule="exact"/>
        <w:ind w:firstLine="1205" w:firstLineChars="400"/>
        <w:rPr>
          <w:rFonts w:hint="eastAsia" w:ascii="宋体" w:hAnsi="宋体" w:cs="宋体"/>
          <w:b/>
          <w:color w:val="auto"/>
          <w:sz w:val="30"/>
          <w:szCs w:val="30"/>
          <w:highlight w:val="none"/>
        </w:rPr>
      </w:pPr>
      <w:r>
        <w:rPr>
          <w:rFonts w:hint="eastAsia" w:ascii="宋体" w:hAnsi="宋体" w:cs="宋体"/>
          <w:b/>
          <w:color w:val="auto"/>
          <w:sz w:val="30"/>
          <w:szCs w:val="30"/>
          <w:highlight w:val="none"/>
        </w:rPr>
        <w:t xml:space="preserve"> </w:t>
      </w:r>
    </w:p>
    <w:p w14:paraId="59BB4FBD">
      <w:pPr>
        <w:shd w:val="clear"/>
        <w:spacing w:line="400" w:lineRule="exact"/>
        <w:ind w:firstLine="1190" w:firstLineChars="395"/>
        <w:rPr>
          <w:rFonts w:hint="eastAsia" w:ascii="宋体" w:hAnsi="宋体" w:cs="宋体"/>
          <w:b/>
          <w:color w:val="auto"/>
          <w:sz w:val="30"/>
          <w:szCs w:val="30"/>
          <w:highlight w:val="none"/>
        </w:rPr>
      </w:pPr>
      <w:r>
        <w:rPr>
          <w:rFonts w:hint="eastAsia" w:ascii="宋体" w:hAnsi="宋体" w:cs="宋体"/>
          <w:b/>
          <w:color w:val="auto"/>
          <w:sz w:val="30"/>
          <w:szCs w:val="30"/>
          <w:highlight w:val="none"/>
        </w:rPr>
        <w:t>采购代理机构：广西邕</w:t>
      </w:r>
      <w:r>
        <w:rPr>
          <w:rFonts w:hint="eastAsia" w:ascii="宋体" w:hAnsi="宋体"/>
          <w:color w:val="auto"/>
          <w:sz w:val="30"/>
          <w:szCs w:val="30"/>
          <w:highlight w:val="none"/>
        </w:rPr>
        <w:drawing>
          <wp:anchor distT="0" distB="0" distL="114300" distR="114300" simplePos="0" relativeHeight="251661312" behindDoc="1" locked="0" layoutInCell="1" allowOverlap="1">
            <wp:simplePos x="0" y="0"/>
            <wp:positionH relativeFrom="column">
              <wp:posOffset>3019425</wp:posOffset>
            </wp:positionH>
            <wp:positionV relativeFrom="paragraph">
              <wp:posOffset>6003925</wp:posOffset>
            </wp:positionV>
            <wp:extent cx="2511425" cy="2037715"/>
            <wp:effectExtent l="0" t="0" r="0" b="0"/>
            <wp:wrapNone/>
            <wp:docPr id="9" name="图片 2" descr="广西邕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广西邕政"/>
                    <pic:cNvPicPr>
                      <a:picLocks noChangeAspect="1"/>
                    </pic:cNvPicPr>
                  </pic:nvPicPr>
                  <pic:blipFill>
                    <a:blip r:embed="rId11"/>
                    <a:stretch>
                      <a:fillRect/>
                    </a:stretch>
                  </pic:blipFill>
                  <pic:spPr>
                    <a:xfrm>
                      <a:off x="0" y="0"/>
                      <a:ext cx="2511425" cy="2037715"/>
                    </a:xfrm>
                    <a:prstGeom prst="rect">
                      <a:avLst/>
                    </a:prstGeom>
                    <a:noFill/>
                    <a:ln>
                      <a:noFill/>
                    </a:ln>
                  </pic:spPr>
                </pic:pic>
              </a:graphicData>
            </a:graphic>
          </wp:anchor>
        </w:drawing>
      </w:r>
      <w:r>
        <w:rPr>
          <w:rFonts w:hint="eastAsia" w:ascii="宋体" w:hAnsi="宋体" w:cs="宋体"/>
          <w:b/>
          <w:color w:val="auto"/>
          <w:sz w:val="30"/>
          <w:szCs w:val="30"/>
          <w:highlight w:val="none"/>
        </w:rPr>
        <w:t>政采购代理有限公司</w:t>
      </w:r>
    </w:p>
    <w:p w14:paraId="6935DB2E">
      <w:pPr>
        <w:shd w:val="clear"/>
        <w:spacing w:line="400" w:lineRule="exact"/>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 xml:space="preserve"> </w:t>
      </w:r>
    </w:p>
    <w:p w14:paraId="079F9A7B">
      <w:pPr>
        <w:shd w:val="clear"/>
        <w:spacing w:line="360" w:lineRule="auto"/>
        <w:jc w:val="center"/>
        <w:rPr>
          <w:rFonts w:ascii="宋体" w:hAnsi="宋体" w:cs="宋体"/>
          <w:b/>
          <w:color w:val="auto"/>
          <w:sz w:val="32"/>
          <w:szCs w:val="32"/>
          <w:highlight w:val="none"/>
        </w:rPr>
      </w:pPr>
      <w:r>
        <w:rPr>
          <w:rFonts w:hint="eastAsia" w:ascii="宋体" w:hAnsi="宋体" w:cs="宋体"/>
          <w:b/>
          <w:color w:val="auto"/>
          <w:sz w:val="30"/>
          <w:szCs w:val="30"/>
          <w:highlight w:val="none"/>
        </w:rPr>
        <w:t>2026年</w:t>
      </w:r>
      <w:r>
        <w:rPr>
          <w:rFonts w:hint="eastAsia" w:ascii="宋体" w:hAnsi="宋体" w:cs="宋体"/>
          <w:b/>
          <w:color w:val="auto"/>
          <w:sz w:val="30"/>
          <w:szCs w:val="30"/>
          <w:highlight w:val="none"/>
          <w:lang w:val="en-US" w:eastAsia="zh-CN"/>
        </w:rPr>
        <w:t>5</w:t>
      </w:r>
      <w:r>
        <w:rPr>
          <w:rFonts w:hint="eastAsia" w:ascii="宋体" w:hAnsi="宋体" w:cs="宋体"/>
          <w:b/>
          <w:color w:val="auto"/>
          <w:sz w:val="30"/>
          <w:szCs w:val="30"/>
          <w:highlight w:val="none"/>
        </w:rPr>
        <w:t>月</w:t>
      </w:r>
    </w:p>
    <w:p w14:paraId="16B34C29">
      <w:pPr>
        <w:shd w:val="clear"/>
        <w:spacing w:line="360" w:lineRule="auto"/>
        <w:jc w:val="center"/>
        <w:rPr>
          <w:rFonts w:ascii="宋体" w:hAnsi="宋体" w:cs="宋体"/>
          <w:b/>
          <w:color w:val="auto"/>
          <w:sz w:val="44"/>
          <w:szCs w:val="44"/>
          <w:highlight w:val="none"/>
        </w:rPr>
      </w:pPr>
      <w:r>
        <w:rPr>
          <w:rFonts w:hint="eastAsia" w:ascii="宋体" w:hAnsi="宋体" w:cs="宋体"/>
          <w:b/>
          <w:color w:val="auto"/>
          <w:sz w:val="32"/>
          <w:szCs w:val="32"/>
          <w:highlight w:val="none"/>
        </w:rPr>
        <w:br w:type="page"/>
      </w:r>
      <w:r>
        <w:rPr>
          <w:rFonts w:hint="eastAsia" w:ascii="宋体" w:hAnsi="宋体" w:cs="宋体"/>
          <w:b/>
          <w:color w:val="auto"/>
          <w:sz w:val="44"/>
          <w:szCs w:val="44"/>
          <w:highlight w:val="none"/>
        </w:rPr>
        <w:t>目  录</w:t>
      </w:r>
    </w:p>
    <w:p w14:paraId="795DDC37">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ascii="宋体" w:hAnsi="宋体" w:cs="宋体"/>
          <w:b/>
          <w:color w:val="auto"/>
          <w:sz w:val="24"/>
          <w:szCs w:val="24"/>
          <w:highlight w:val="none"/>
        </w:rPr>
      </w:pPr>
    </w:p>
    <w:p w14:paraId="0477B97E">
      <w:pPr>
        <w:pStyle w:val="22"/>
        <w:keepNext w:val="0"/>
        <w:keepLines w:val="0"/>
        <w:pageBreakBefore w:val="0"/>
        <w:widowControl w:val="0"/>
        <w:shd w:val="clear"/>
        <w:tabs>
          <w:tab w:val="right" w:leader="dot" w:pos="8992"/>
          <w:tab w:val="clear" w:pos="8296"/>
        </w:tabs>
        <w:kinsoku/>
        <w:wordWrap/>
        <w:overflowPunct/>
        <w:topLinePunct w:val="0"/>
        <w:autoSpaceDE/>
        <w:autoSpaceDN/>
        <w:bidi w:val="0"/>
        <w:adjustRightInd/>
        <w:snapToGrid/>
        <w:spacing w:line="500" w:lineRule="exact"/>
        <w:textAlignment w:val="auto"/>
        <w:rPr>
          <w:color w:val="auto"/>
          <w:sz w:val="24"/>
          <w:szCs w:val="24"/>
          <w:highlight w:val="none"/>
        </w:rPr>
      </w:pPr>
      <w:r>
        <w:rPr>
          <w:rFonts w:hint="eastAsia" w:ascii="宋体" w:hAnsi="宋体" w:cs="宋体"/>
          <w:b/>
          <w:color w:val="auto"/>
          <w:sz w:val="24"/>
          <w:szCs w:val="24"/>
          <w:highlight w:val="none"/>
        </w:rPr>
        <w:fldChar w:fldCharType="begin"/>
      </w:r>
      <w:r>
        <w:rPr>
          <w:rFonts w:hint="eastAsia" w:ascii="宋体" w:hAnsi="宋体" w:cs="宋体"/>
          <w:b/>
          <w:color w:val="auto"/>
          <w:sz w:val="24"/>
          <w:szCs w:val="24"/>
          <w:highlight w:val="none"/>
        </w:rPr>
        <w:instrText xml:space="preserve"> TOC \o "1-3" \h \z \u </w:instrText>
      </w:r>
      <w:r>
        <w:rPr>
          <w:rFonts w:hint="eastAsia" w:ascii="宋体" w:hAnsi="宋体" w:cs="宋体"/>
          <w:b/>
          <w:color w:val="auto"/>
          <w:sz w:val="24"/>
          <w:szCs w:val="24"/>
          <w:highlight w:val="none"/>
        </w:rPr>
        <w:fldChar w:fldCharType="separate"/>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\l _Toc21012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第一章  竞争性谈判公告</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_Toc21012 \h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rFonts w:hint="eastAsia" w:ascii="宋体" w:hAnsi="宋体" w:cs="宋体"/>
          <w:color w:val="auto"/>
          <w:sz w:val="24"/>
          <w:szCs w:val="24"/>
          <w:highlight w:val="none"/>
        </w:rPr>
        <w:fldChar w:fldCharType="end"/>
      </w:r>
    </w:p>
    <w:p w14:paraId="54BF4F8F">
      <w:pPr>
        <w:pStyle w:val="22"/>
        <w:keepNext w:val="0"/>
        <w:keepLines w:val="0"/>
        <w:pageBreakBefore w:val="0"/>
        <w:widowControl w:val="0"/>
        <w:shd w:val="clear"/>
        <w:tabs>
          <w:tab w:val="right" w:leader="dot" w:pos="8992"/>
          <w:tab w:val="clear" w:pos="8296"/>
        </w:tabs>
        <w:kinsoku/>
        <w:wordWrap/>
        <w:overflowPunct/>
        <w:topLinePunct w:val="0"/>
        <w:autoSpaceDE/>
        <w:autoSpaceDN/>
        <w:bidi w:val="0"/>
        <w:adjustRightInd/>
        <w:snapToGrid/>
        <w:spacing w:line="500" w:lineRule="exact"/>
        <w:textAlignment w:val="auto"/>
        <w:rPr>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\l _Toc20359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第二章  供应商须知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_Toc20359 \h </w:instrText>
      </w:r>
      <w:r>
        <w:rPr>
          <w:color w:val="auto"/>
          <w:sz w:val="24"/>
          <w:szCs w:val="24"/>
          <w:highlight w:val="none"/>
        </w:rPr>
        <w:fldChar w:fldCharType="separate"/>
      </w:r>
      <w:r>
        <w:rPr>
          <w:color w:val="auto"/>
          <w:sz w:val="24"/>
          <w:szCs w:val="24"/>
          <w:highlight w:val="none"/>
        </w:rPr>
        <w:t>6</w:t>
      </w:r>
      <w:r>
        <w:rPr>
          <w:color w:val="auto"/>
          <w:sz w:val="24"/>
          <w:szCs w:val="24"/>
          <w:highlight w:val="none"/>
        </w:rPr>
        <w:fldChar w:fldCharType="end"/>
      </w:r>
      <w:r>
        <w:rPr>
          <w:rFonts w:hint="eastAsia" w:ascii="宋体" w:hAnsi="宋体" w:cs="宋体"/>
          <w:color w:val="auto"/>
          <w:sz w:val="24"/>
          <w:szCs w:val="24"/>
          <w:highlight w:val="none"/>
        </w:rPr>
        <w:fldChar w:fldCharType="end"/>
      </w:r>
    </w:p>
    <w:p w14:paraId="0DBB2FE4">
      <w:pPr>
        <w:pStyle w:val="22"/>
        <w:keepNext w:val="0"/>
        <w:keepLines w:val="0"/>
        <w:pageBreakBefore w:val="0"/>
        <w:widowControl w:val="0"/>
        <w:shd w:val="clear"/>
        <w:tabs>
          <w:tab w:val="right" w:leader="dot" w:pos="8992"/>
          <w:tab w:val="clear" w:pos="8296"/>
        </w:tabs>
        <w:kinsoku/>
        <w:wordWrap/>
        <w:overflowPunct/>
        <w:topLinePunct w:val="0"/>
        <w:autoSpaceDE/>
        <w:autoSpaceDN/>
        <w:bidi w:val="0"/>
        <w:adjustRightInd/>
        <w:snapToGrid/>
        <w:spacing w:line="500" w:lineRule="exact"/>
        <w:textAlignment w:val="auto"/>
        <w:rPr>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\l _Toc18286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第三章  采购需求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_Toc18286 \h </w:instrText>
      </w:r>
      <w:r>
        <w:rPr>
          <w:color w:val="auto"/>
          <w:sz w:val="24"/>
          <w:szCs w:val="24"/>
          <w:highlight w:val="none"/>
        </w:rPr>
        <w:fldChar w:fldCharType="separate"/>
      </w:r>
      <w:r>
        <w:rPr>
          <w:color w:val="auto"/>
          <w:sz w:val="24"/>
          <w:szCs w:val="24"/>
          <w:highlight w:val="none"/>
        </w:rPr>
        <w:t>25</w:t>
      </w:r>
      <w:r>
        <w:rPr>
          <w:color w:val="auto"/>
          <w:sz w:val="24"/>
          <w:szCs w:val="24"/>
          <w:highlight w:val="none"/>
        </w:rPr>
        <w:fldChar w:fldCharType="end"/>
      </w:r>
      <w:r>
        <w:rPr>
          <w:rFonts w:hint="eastAsia" w:ascii="宋体" w:hAnsi="宋体" w:cs="宋体"/>
          <w:color w:val="auto"/>
          <w:sz w:val="24"/>
          <w:szCs w:val="24"/>
          <w:highlight w:val="none"/>
        </w:rPr>
        <w:fldChar w:fldCharType="end"/>
      </w:r>
    </w:p>
    <w:p w14:paraId="2A893BB3">
      <w:pPr>
        <w:pStyle w:val="22"/>
        <w:keepNext w:val="0"/>
        <w:keepLines w:val="0"/>
        <w:pageBreakBefore w:val="0"/>
        <w:widowControl w:val="0"/>
        <w:shd w:val="clear"/>
        <w:tabs>
          <w:tab w:val="right" w:leader="dot" w:pos="8992"/>
          <w:tab w:val="clear" w:pos="8296"/>
        </w:tabs>
        <w:kinsoku/>
        <w:wordWrap/>
        <w:overflowPunct/>
        <w:topLinePunct w:val="0"/>
        <w:autoSpaceDE/>
        <w:autoSpaceDN/>
        <w:bidi w:val="0"/>
        <w:adjustRightInd/>
        <w:snapToGrid/>
        <w:spacing w:line="500" w:lineRule="exact"/>
        <w:textAlignment w:val="auto"/>
        <w:rPr>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\l _Toc22567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第四章  评审程序、评审方法和评审标准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_Toc22567 \h </w:instrText>
      </w:r>
      <w:r>
        <w:rPr>
          <w:color w:val="auto"/>
          <w:sz w:val="24"/>
          <w:szCs w:val="24"/>
          <w:highlight w:val="none"/>
        </w:rPr>
        <w:fldChar w:fldCharType="separate"/>
      </w:r>
      <w:r>
        <w:rPr>
          <w:color w:val="auto"/>
          <w:sz w:val="24"/>
          <w:szCs w:val="24"/>
          <w:highlight w:val="none"/>
        </w:rPr>
        <w:t>63</w:t>
      </w:r>
      <w:r>
        <w:rPr>
          <w:color w:val="auto"/>
          <w:sz w:val="24"/>
          <w:szCs w:val="24"/>
          <w:highlight w:val="none"/>
        </w:rPr>
        <w:fldChar w:fldCharType="end"/>
      </w:r>
      <w:r>
        <w:rPr>
          <w:rFonts w:hint="eastAsia" w:ascii="宋体" w:hAnsi="宋体" w:cs="宋体"/>
          <w:color w:val="auto"/>
          <w:sz w:val="24"/>
          <w:szCs w:val="24"/>
          <w:highlight w:val="none"/>
        </w:rPr>
        <w:fldChar w:fldCharType="end"/>
      </w:r>
    </w:p>
    <w:p w14:paraId="4E51E720">
      <w:pPr>
        <w:pStyle w:val="22"/>
        <w:keepNext w:val="0"/>
        <w:keepLines w:val="0"/>
        <w:pageBreakBefore w:val="0"/>
        <w:widowControl w:val="0"/>
        <w:shd w:val="clear"/>
        <w:tabs>
          <w:tab w:val="right" w:leader="dot" w:pos="8992"/>
          <w:tab w:val="clear" w:pos="8296"/>
        </w:tabs>
        <w:kinsoku/>
        <w:wordWrap/>
        <w:overflowPunct/>
        <w:topLinePunct w:val="0"/>
        <w:autoSpaceDE/>
        <w:autoSpaceDN/>
        <w:bidi w:val="0"/>
        <w:adjustRightInd/>
        <w:snapToGrid/>
        <w:spacing w:line="500" w:lineRule="exact"/>
        <w:textAlignment w:val="auto"/>
        <w:rPr>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\l _Toc8481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第五章  响应文件格式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_Toc8481 \h </w:instrText>
      </w:r>
      <w:r>
        <w:rPr>
          <w:color w:val="auto"/>
          <w:sz w:val="24"/>
          <w:szCs w:val="24"/>
          <w:highlight w:val="none"/>
        </w:rPr>
        <w:fldChar w:fldCharType="separate"/>
      </w:r>
      <w:r>
        <w:rPr>
          <w:color w:val="auto"/>
          <w:sz w:val="24"/>
          <w:szCs w:val="24"/>
          <w:highlight w:val="none"/>
        </w:rPr>
        <w:t>73</w:t>
      </w:r>
      <w:r>
        <w:rPr>
          <w:color w:val="auto"/>
          <w:sz w:val="24"/>
          <w:szCs w:val="24"/>
          <w:highlight w:val="none"/>
        </w:rPr>
        <w:fldChar w:fldCharType="end"/>
      </w:r>
      <w:r>
        <w:rPr>
          <w:rFonts w:hint="eastAsia" w:ascii="宋体" w:hAnsi="宋体" w:cs="宋体"/>
          <w:color w:val="auto"/>
          <w:sz w:val="24"/>
          <w:szCs w:val="24"/>
          <w:highlight w:val="none"/>
        </w:rPr>
        <w:fldChar w:fldCharType="end"/>
      </w:r>
    </w:p>
    <w:p w14:paraId="407E039B">
      <w:pPr>
        <w:pStyle w:val="22"/>
        <w:keepNext w:val="0"/>
        <w:keepLines w:val="0"/>
        <w:pageBreakBefore w:val="0"/>
        <w:widowControl w:val="0"/>
        <w:shd w:val="clear"/>
        <w:tabs>
          <w:tab w:val="right" w:leader="dot" w:pos="8992"/>
          <w:tab w:val="clear" w:pos="8296"/>
        </w:tabs>
        <w:kinsoku/>
        <w:wordWrap/>
        <w:overflowPunct/>
        <w:topLinePunct w:val="0"/>
        <w:autoSpaceDE/>
        <w:autoSpaceDN/>
        <w:bidi w:val="0"/>
        <w:adjustRightInd/>
        <w:snapToGrid/>
        <w:spacing w:line="500" w:lineRule="exact"/>
        <w:ind w:firstLine="480" w:firstLineChars="200"/>
        <w:textAlignment w:val="auto"/>
        <w:rPr>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\l _Toc26483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一、资格证明文件格式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_Toc26483 \h </w:instrText>
      </w:r>
      <w:r>
        <w:rPr>
          <w:color w:val="auto"/>
          <w:sz w:val="24"/>
          <w:szCs w:val="24"/>
          <w:highlight w:val="none"/>
        </w:rPr>
        <w:fldChar w:fldCharType="separate"/>
      </w:r>
      <w:r>
        <w:rPr>
          <w:color w:val="auto"/>
          <w:sz w:val="24"/>
          <w:szCs w:val="24"/>
          <w:highlight w:val="none"/>
        </w:rPr>
        <w:t>73</w:t>
      </w:r>
      <w:r>
        <w:rPr>
          <w:color w:val="auto"/>
          <w:sz w:val="24"/>
          <w:szCs w:val="24"/>
          <w:highlight w:val="none"/>
        </w:rPr>
        <w:fldChar w:fldCharType="end"/>
      </w:r>
      <w:r>
        <w:rPr>
          <w:rFonts w:hint="eastAsia" w:ascii="宋体" w:hAnsi="宋体" w:cs="宋体"/>
          <w:color w:val="auto"/>
          <w:sz w:val="24"/>
          <w:szCs w:val="24"/>
          <w:highlight w:val="none"/>
        </w:rPr>
        <w:fldChar w:fldCharType="end"/>
      </w:r>
    </w:p>
    <w:p w14:paraId="1B81ECA5">
      <w:pPr>
        <w:pStyle w:val="22"/>
        <w:keepNext w:val="0"/>
        <w:keepLines w:val="0"/>
        <w:pageBreakBefore w:val="0"/>
        <w:widowControl w:val="0"/>
        <w:shd w:val="clear"/>
        <w:tabs>
          <w:tab w:val="right" w:leader="dot" w:pos="8992"/>
          <w:tab w:val="clear" w:pos="8296"/>
        </w:tabs>
        <w:kinsoku/>
        <w:wordWrap/>
        <w:overflowPunct/>
        <w:topLinePunct w:val="0"/>
        <w:autoSpaceDE/>
        <w:autoSpaceDN/>
        <w:bidi w:val="0"/>
        <w:adjustRightInd/>
        <w:snapToGrid/>
        <w:spacing w:line="500" w:lineRule="exact"/>
        <w:ind w:firstLine="480" w:firstLineChars="200"/>
        <w:textAlignment w:val="auto"/>
        <w:rPr>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\l _Toc14506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二、商务技术文件格式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_Toc14506 \h </w:instrText>
      </w:r>
      <w:r>
        <w:rPr>
          <w:color w:val="auto"/>
          <w:sz w:val="24"/>
          <w:szCs w:val="24"/>
          <w:highlight w:val="none"/>
        </w:rPr>
        <w:fldChar w:fldCharType="separate"/>
      </w:r>
      <w:r>
        <w:rPr>
          <w:color w:val="auto"/>
          <w:sz w:val="24"/>
          <w:szCs w:val="24"/>
          <w:highlight w:val="none"/>
        </w:rPr>
        <w:t>82</w:t>
      </w:r>
      <w:r>
        <w:rPr>
          <w:color w:val="auto"/>
          <w:sz w:val="24"/>
          <w:szCs w:val="24"/>
          <w:highlight w:val="none"/>
        </w:rPr>
        <w:fldChar w:fldCharType="end"/>
      </w:r>
      <w:r>
        <w:rPr>
          <w:rFonts w:hint="eastAsia" w:ascii="宋体" w:hAnsi="宋体" w:cs="宋体"/>
          <w:color w:val="auto"/>
          <w:sz w:val="24"/>
          <w:szCs w:val="24"/>
          <w:highlight w:val="none"/>
        </w:rPr>
        <w:fldChar w:fldCharType="end"/>
      </w:r>
    </w:p>
    <w:p w14:paraId="1A1D739E">
      <w:pPr>
        <w:pStyle w:val="22"/>
        <w:keepNext w:val="0"/>
        <w:keepLines w:val="0"/>
        <w:pageBreakBefore w:val="0"/>
        <w:widowControl w:val="0"/>
        <w:shd w:val="clear"/>
        <w:tabs>
          <w:tab w:val="right" w:leader="dot" w:pos="8992"/>
          <w:tab w:val="clear" w:pos="8296"/>
        </w:tabs>
        <w:kinsoku/>
        <w:wordWrap/>
        <w:overflowPunct/>
        <w:topLinePunct w:val="0"/>
        <w:autoSpaceDE/>
        <w:autoSpaceDN/>
        <w:bidi w:val="0"/>
        <w:adjustRightInd/>
        <w:snapToGrid/>
        <w:spacing w:line="500" w:lineRule="exact"/>
        <w:ind w:firstLine="480" w:firstLineChars="200"/>
        <w:textAlignment w:val="auto"/>
        <w:rPr>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\l _Toc175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三、报价文件格式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_Toc175 \h </w:instrText>
      </w:r>
      <w:r>
        <w:rPr>
          <w:color w:val="auto"/>
          <w:sz w:val="24"/>
          <w:szCs w:val="24"/>
          <w:highlight w:val="none"/>
        </w:rPr>
        <w:fldChar w:fldCharType="separate"/>
      </w:r>
      <w:r>
        <w:rPr>
          <w:color w:val="auto"/>
          <w:sz w:val="24"/>
          <w:szCs w:val="24"/>
          <w:highlight w:val="none"/>
        </w:rPr>
        <w:t>94</w:t>
      </w:r>
      <w:r>
        <w:rPr>
          <w:color w:val="auto"/>
          <w:sz w:val="24"/>
          <w:szCs w:val="24"/>
          <w:highlight w:val="none"/>
        </w:rPr>
        <w:fldChar w:fldCharType="end"/>
      </w:r>
      <w:r>
        <w:rPr>
          <w:rFonts w:hint="eastAsia" w:ascii="宋体" w:hAnsi="宋体" w:cs="宋体"/>
          <w:color w:val="auto"/>
          <w:sz w:val="24"/>
          <w:szCs w:val="24"/>
          <w:highlight w:val="none"/>
        </w:rPr>
        <w:fldChar w:fldCharType="end"/>
      </w:r>
    </w:p>
    <w:p w14:paraId="2BF71606">
      <w:pPr>
        <w:pStyle w:val="22"/>
        <w:keepNext w:val="0"/>
        <w:keepLines w:val="0"/>
        <w:pageBreakBefore w:val="0"/>
        <w:widowControl w:val="0"/>
        <w:shd w:val="clear"/>
        <w:tabs>
          <w:tab w:val="right" w:leader="dot" w:pos="8992"/>
          <w:tab w:val="clear" w:pos="8296"/>
        </w:tabs>
        <w:kinsoku/>
        <w:wordWrap/>
        <w:overflowPunct/>
        <w:topLinePunct w:val="0"/>
        <w:autoSpaceDE/>
        <w:autoSpaceDN/>
        <w:bidi w:val="0"/>
        <w:adjustRightInd/>
        <w:snapToGrid/>
        <w:spacing w:line="500" w:lineRule="exact"/>
        <w:textAlignment w:val="auto"/>
        <w:rPr>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\l _Toc15631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第六章 合同文本</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_Toc15631 \h </w:instrText>
      </w:r>
      <w:r>
        <w:rPr>
          <w:color w:val="auto"/>
          <w:sz w:val="24"/>
          <w:szCs w:val="24"/>
          <w:highlight w:val="none"/>
        </w:rPr>
        <w:fldChar w:fldCharType="separate"/>
      </w:r>
      <w:r>
        <w:rPr>
          <w:color w:val="auto"/>
          <w:sz w:val="24"/>
          <w:szCs w:val="24"/>
          <w:highlight w:val="none"/>
        </w:rPr>
        <w:t>109</w:t>
      </w:r>
      <w:r>
        <w:rPr>
          <w:color w:val="auto"/>
          <w:sz w:val="24"/>
          <w:szCs w:val="24"/>
          <w:highlight w:val="none"/>
        </w:rPr>
        <w:fldChar w:fldCharType="end"/>
      </w:r>
      <w:r>
        <w:rPr>
          <w:rFonts w:hint="eastAsia" w:ascii="宋体" w:hAnsi="宋体" w:cs="宋体"/>
          <w:color w:val="auto"/>
          <w:sz w:val="24"/>
          <w:szCs w:val="24"/>
          <w:highlight w:val="none"/>
        </w:rPr>
        <w:fldChar w:fldCharType="end"/>
      </w:r>
    </w:p>
    <w:p w14:paraId="75A561DB">
      <w:pPr>
        <w:pStyle w:val="22"/>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ascii="宋体" w:hAnsi="宋体" w:cs="宋体"/>
          <w:color w:val="auto"/>
          <w:sz w:val="28"/>
          <w:szCs w:val="28"/>
          <w:highlight w:val="none"/>
        </w:rPr>
      </w:pPr>
      <w:r>
        <w:rPr>
          <w:rFonts w:hint="eastAsia" w:ascii="宋体" w:hAnsi="宋体" w:cs="宋体"/>
          <w:color w:val="auto"/>
          <w:sz w:val="24"/>
          <w:szCs w:val="24"/>
          <w:highlight w:val="none"/>
        </w:rPr>
        <w:fldChar w:fldCharType="end"/>
      </w:r>
    </w:p>
    <w:p w14:paraId="6204CFD6">
      <w:pPr>
        <w:shd w:val="clear"/>
        <w:spacing w:line="400" w:lineRule="exact"/>
        <w:jc w:val="left"/>
        <w:rPr>
          <w:rFonts w:ascii="宋体" w:hAnsi="宋体" w:cs="宋体"/>
          <w:b/>
          <w:color w:val="auto"/>
          <w:sz w:val="32"/>
          <w:szCs w:val="32"/>
          <w:highlight w:val="none"/>
        </w:rPr>
      </w:pPr>
    </w:p>
    <w:p w14:paraId="25931F2C">
      <w:pPr>
        <w:shd w:val="clear"/>
        <w:spacing w:line="400" w:lineRule="exact"/>
        <w:jc w:val="center"/>
        <w:rPr>
          <w:rFonts w:ascii="宋体" w:hAnsi="宋体" w:cs="宋体"/>
          <w:b/>
          <w:color w:val="auto"/>
          <w:sz w:val="32"/>
          <w:szCs w:val="32"/>
          <w:highlight w:val="none"/>
        </w:rPr>
      </w:pPr>
    </w:p>
    <w:p w14:paraId="106DDAAB">
      <w:pPr>
        <w:shd w:val="clear"/>
        <w:spacing w:line="400" w:lineRule="exact"/>
        <w:jc w:val="center"/>
        <w:rPr>
          <w:rFonts w:ascii="宋体" w:hAnsi="宋体" w:cs="宋体"/>
          <w:b/>
          <w:color w:val="auto"/>
          <w:sz w:val="32"/>
          <w:szCs w:val="32"/>
          <w:highlight w:val="none"/>
        </w:rPr>
      </w:pPr>
    </w:p>
    <w:p w14:paraId="157B9D93">
      <w:pPr>
        <w:shd w:val="clear"/>
        <w:spacing w:line="400" w:lineRule="exact"/>
        <w:jc w:val="center"/>
        <w:rPr>
          <w:rFonts w:ascii="宋体" w:hAnsi="宋体" w:cs="宋体"/>
          <w:b/>
          <w:color w:val="auto"/>
          <w:sz w:val="32"/>
          <w:szCs w:val="32"/>
          <w:highlight w:val="none"/>
        </w:rPr>
      </w:pPr>
    </w:p>
    <w:p w14:paraId="4D10A7C8">
      <w:pPr>
        <w:shd w:val="clear"/>
        <w:spacing w:line="400" w:lineRule="exact"/>
        <w:jc w:val="center"/>
        <w:rPr>
          <w:rFonts w:ascii="宋体" w:hAnsi="宋体" w:cs="宋体"/>
          <w:b/>
          <w:color w:val="auto"/>
          <w:sz w:val="32"/>
          <w:szCs w:val="32"/>
          <w:highlight w:val="none"/>
        </w:rPr>
      </w:pPr>
    </w:p>
    <w:p w14:paraId="5B79A332">
      <w:pPr>
        <w:shd w:val="clear"/>
        <w:spacing w:line="400" w:lineRule="exact"/>
        <w:rPr>
          <w:rFonts w:ascii="宋体" w:hAnsi="宋体" w:cs="宋体"/>
          <w:b/>
          <w:color w:val="auto"/>
          <w:sz w:val="32"/>
          <w:szCs w:val="32"/>
          <w:highlight w:val="none"/>
        </w:rPr>
        <w:sectPr>
          <w:headerReference r:id="rId4" w:type="first"/>
          <w:headerReference r:id="rId3" w:type="default"/>
          <w:pgSz w:w="11906" w:h="16838"/>
          <w:pgMar w:top="1440" w:right="1440" w:bottom="1440" w:left="1474" w:header="851" w:footer="992" w:gutter="0"/>
          <w:cols w:space="720" w:num="1"/>
          <w:titlePg/>
          <w:docGrid w:type="lines" w:linePitch="312" w:charSpace="0"/>
        </w:sectPr>
      </w:pPr>
    </w:p>
    <w:p w14:paraId="074A0EBE">
      <w:pPr>
        <w:pStyle w:val="2"/>
        <w:shd w:val="clear"/>
        <w:jc w:val="center"/>
        <w:outlineLvl w:val="0"/>
        <w:rPr>
          <w:rFonts w:ascii="宋体" w:hAnsi="宋体" w:cs="宋体"/>
          <w:color w:val="auto"/>
          <w:highlight w:val="none"/>
        </w:rPr>
      </w:pPr>
      <w:bookmarkStart w:id="0" w:name="_Toc21012"/>
      <w:r>
        <w:rPr>
          <w:rFonts w:hint="eastAsia" w:ascii="宋体" w:hAnsi="宋体" w:cs="宋体"/>
          <w:color w:val="auto"/>
          <w:highlight w:val="none"/>
        </w:rPr>
        <w:t>第一章  竞争性谈判公告</w:t>
      </w:r>
      <w:bookmarkEnd w:id="0"/>
    </w:p>
    <w:p w14:paraId="7C513AD2">
      <w:pPr>
        <w:shd w:val="clear"/>
        <w:spacing w:line="50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lang w:eastAsia="zh-CN"/>
        </w:rPr>
        <w:t>广西壮族自治区国有维都林场乡土树种保供繁育基地建设项目设备采购</w:t>
      </w:r>
      <w:r>
        <w:rPr>
          <w:rFonts w:hint="eastAsia" w:ascii="宋体" w:hAnsi="宋体" w:cs="宋体"/>
          <w:b/>
          <w:bCs/>
          <w:color w:val="auto"/>
          <w:sz w:val="24"/>
          <w:highlight w:val="none"/>
        </w:rPr>
        <w:t>（项目编号：</w:t>
      </w:r>
      <w:r>
        <w:rPr>
          <w:rFonts w:hint="eastAsia" w:ascii="宋体" w:hAnsi="宋体" w:cs="宋体"/>
          <w:b/>
          <w:bCs/>
          <w:color w:val="auto"/>
          <w:sz w:val="24"/>
          <w:szCs w:val="24"/>
          <w:highlight w:val="none"/>
          <w:lang w:eastAsia="zh-CN"/>
        </w:rPr>
        <w:t>GXZC2026-J1-001111-GXYZ</w:t>
      </w:r>
      <w:r>
        <w:rPr>
          <w:rFonts w:hint="eastAsia" w:ascii="宋体" w:hAnsi="宋体" w:cs="宋体"/>
          <w:b/>
          <w:bCs/>
          <w:color w:val="auto"/>
          <w:sz w:val="24"/>
          <w:highlight w:val="none"/>
        </w:rPr>
        <w:t>）竞争性谈判公告</w:t>
      </w:r>
    </w:p>
    <w:p w14:paraId="338ECD65">
      <w:pPr>
        <w:shd w:val="clear"/>
        <w:rPr>
          <w:rFonts w:ascii="宋体" w:hAnsi="宋体" w:cs="宋体"/>
          <w:color w:val="auto"/>
          <w:highlight w:val="none"/>
        </w:rPr>
      </w:pPr>
    </w:p>
    <w:p w14:paraId="582C1430">
      <w:pPr>
        <w:pBdr>
          <w:top w:val="single" w:color="auto" w:sz="4" w:space="1"/>
          <w:left w:val="single" w:color="auto" w:sz="4" w:space="4"/>
          <w:bottom w:val="single" w:color="auto" w:sz="4" w:space="1"/>
          <w:right w:val="single" w:color="auto" w:sz="4" w:space="4"/>
        </w:pBdr>
        <w:shd w:val="clear"/>
        <w:spacing w:line="360" w:lineRule="auto"/>
        <w:rPr>
          <w:rFonts w:ascii="宋体" w:hAnsi="宋体" w:cs="宋体"/>
          <w:color w:val="auto"/>
          <w:szCs w:val="21"/>
          <w:highlight w:val="none"/>
        </w:rPr>
      </w:pPr>
      <w:bookmarkStart w:id="1" w:name="_Hlk37430271"/>
      <w:r>
        <w:rPr>
          <w:rFonts w:hint="eastAsia" w:ascii="宋体" w:hAnsi="宋体" w:cs="宋体"/>
          <w:color w:val="auto"/>
          <w:szCs w:val="21"/>
          <w:highlight w:val="none"/>
        </w:rPr>
        <w:t>项目概况</w:t>
      </w:r>
    </w:p>
    <w:p w14:paraId="5B053EE3">
      <w:pPr>
        <w:keepNext w:val="0"/>
        <w:keepLines w:val="0"/>
        <w:pageBreakBefore w:val="0"/>
        <w:widowControl w:val="0"/>
        <w:pBdr>
          <w:top w:val="single" w:color="auto" w:sz="4" w:space="1"/>
          <w:left w:val="single" w:color="auto" w:sz="4" w:space="4"/>
          <w:bottom w:val="single" w:color="auto" w:sz="4" w:space="1"/>
          <w:right w:val="single" w:color="auto" w:sz="4" w:space="4"/>
        </w:pBdr>
        <w:shd w:val="clear"/>
        <w:kinsoku/>
        <w:wordWrap w:val="0"/>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u w:val="single"/>
          <w:lang w:eastAsia="zh-CN"/>
        </w:rPr>
        <w:t>广西壮族自治区国有维都林场乡土树种保供繁育基地建设项目设备采购</w:t>
      </w:r>
      <w:r>
        <w:rPr>
          <w:rFonts w:hint="eastAsia" w:ascii="宋体" w:hAnsi="宋体" w:cs="宋体"/>
          <w:color w:val="auto"/>
          <w:szCs w:val="21"/>
          <w:highlight w:val="none"/>
        </w:rPr>
        <w:t>的潜在供应商应在“广西政府采购云平台”（</w:t>
      </w:r>
      <w:r>
        <w:rPr>
          <w:color w:val="auto"/>
          <w:highlight w:val="none"/>
        </w:rPr>
        <w:fldChar w:fldCharType="begin"/>
      </w:r>
      <w:r>
        <w:rPr>
          <w:color w:val="auto"/>
          <w:highlight w:val="none"/>
        </w:rPr>
        <w:instrText xml:space="preserve"> HYPERLINK "https://www.zcygov.cn/）获取（下载）采购文件，并于2022年%20%20月" </w:instrText>
      </w:r>
      <w:r>
        <w:rPr>
          <w:color w:val="auto"/>
          <w:highlight w:val="none"/>
        </w:rPr>
        <w:fldChar w:fldCharType="separate"/>
      </w:r>
      <w:r>
        <w:rPr>
          <w:rFonts w:hint="eastAsia" w:ascii="宋体" w:hAnsi="宋体" w:cs="宋体"/>
          <w:color w:val="auto"/>
          <w:szCs w:val="21"/>
          <w:highlight w:val="none"/>
        </w:rPr>
        <w:t>https://www.gcy.zfcg.gxzf.gov.cn）获取（下载）</w:t>
      </w:r>
      <w:r>
        <w:rPr>
          <w:rFonts w:hint="eastAsia" w:ascii="宋体" w:hAnsi="宋体" w:cs="宋体"/>
          <w:bCs/>
          <w:color w:val="auto"/>
          <w:szCs w:val="21"/>
          <w:highlight w:val="none"/>
          <w:lang w:val="en-US" w:eastAsia="zh-CN"/>
        </w:rPr>
        <w:t>竞争性</w:t>
      </w:r>
      <w:r>
        <w:rPr>
          <w:rFonts w:hint="eastAsia" w:ascii="宋体" w:hAnsi="宋体" w:cs="宋体"/>
          <w:color w:val="auto"/>
          <w:szCs w:val="21"/>
          <w:highlight w:val="none"/>
        </w:rPr>
        <w:t>谈判文件，并于</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年</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rPr>
        <w:fldChar w:fldCharType="end"/>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rPr>
        <w:t>日09时30分</w:t>
      </w:r>
      <w:r>
        <w:rPr>
          <w:rFonts w:hint="eastAsia" w:ascii="宋体" w:hAnsi="宋体" w:cs="宋体"/>
          <w:color w:val="auto"/>
          <w:szCs w:val="21"/>
          <w:highlight w:val="none"/>
        </w:rPr>
        <w:t>（北京时间）前递交（上传）响应文件。</w:t>
      </w:r>
    </w:p>
    <w:p w14:paraId="45AF4C8F">
      <w:pPr>
        <w:shd w:val="clear"/>
        <w:spacing w:line="360" w:lineRule="auto"/>
        <w:rPr>
          <w:rFonts w:ascii="宋体" w:hAnsi="宋体" w:cs="宋体"/>
          <w:b/>
          <w:bCs/>
          <w:color w:val="auto"/>
          <w:szCs w:val="21"/>
          <w:highlight w:val="none"/>
        </w:rPr>
      </w:pPr>
      <w:bookmarkStart w:id="2" w:name="_Toc28359012"/>
      <w:bookmarkStart w:id="3" w:name="_Toc28359089"/>
      <w:bookmarkStart w:id="4" w:name="_Toc44229878"/>
      <w:bookmarkStart w:id="5" w:name="_Toc35393629"/>
      <w:bookmarkStart w:id="6" w:name="_Toc35393798"/>
      <w:r>
        <w:rPr>
          <w:rFonts w:hint="eastAsia" w:ascii="宋体" w:hAnsi="宋体" w:cs="宋体"/>
          <w:b/>
          <w:bCs/>
          <w:color w:val="auto"/>
          <w:szCs w:val="21"/>
          <w:highlight w:val="none"/>
        </w:rPr>
        <w:t>一、项目基本情况</w:t>
      </w:r>
      <w:bookmarkEnd w:id="2"/>
      <w:bookmarkEnd w:id="3"/>
      <w:bookmarkEnd w:id="4"/>
      <w:bookmarkEnd w:id="5"/>
      <w:bookmarkEnd w:id="6"/>
    </w:p>
    <w:p w14:paraId="79960FF3">
      <w:pPr>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Cs w:val="21"/>
          <w:highlight w:val="none"/>
        </w:rPr>
        <w:t>1.项目编号：</w:t>
      </w:r>
      <w:r>
        <w:rPr>
          <w:rFonts w:hint="eastAsia" w:ascii="宋体" w:hAnsi="宋体" w:cs="宋体"/>
          <w:color w:val="auto"/>
          <w:sz w:val="21"/>
          <w:szCs w:val="21"/>
          <w:highlight w:val="none"/>
          <w:lang w:eastAsia="zh-CN"/>
        </w:rPr>
        <w:t>GXZC2026-J1-001111-GXYZ</w:t>
      </w:r>
    </w:p>
    <w:p w14:paraId="6BCE3D8F">
      <w:pPr>
        <w:shd w:val="clear"/>
        <w:spacing w:line="360" w:lineRule="auto"/>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2.采购计划文号：广西政采[2026]7263号</w:t>
      </w:r>
    </w:p>
    <w:p w14:paraId="1D55B5FD">
      <w:pPr>
        <w:shd w:val="clear"/>
        <w:spacing w:line="360" w:lineRule="auto"/>
        <w:ind w:firstLine="420" w:firstLineChars="200"/>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广西壮族自治区国有维都林场乡土树种保供繁育基地建设项目设备采购</w:t>
      </w:r>
    </w:p>
    <w:p w14:paraId="3F5F6161">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.采购方式：竞争性谈判</w:t>
      </w:r>
    </w:p>
    <w:p w14:paraId="433D27CA">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.预算金额：人民币壹佰</w:t>
      </w:r>
      <w:r>
        <w:rPr>
          <w:rFonts w:hint="eastAsia" w:ascii="宋体" w:hAnsi="宋体" w:cs="宋体"/>
          <w:color w:val="auto"/>
          <w:szCs w:val="21"/>
          <w:highlight w:val="none"/>
          <w:lang w:val="en-US" w:eastAsia="zh-CN"/>
        </w:rPr>
        <w:t>贰</w:t>
      </w:r>
      <w:r>
        <w:rPr>
          <w:rFonts w:hint="eastAsia" w:ascii="宋体" w:hAnsi="宋体" w:cs="宋体"/>
          <w:color w:val="auto"/>
          <w:szCs w:val="21"/>
          <w:highlight w:val="none"/>
        </w:rPr>
        <w:t>拾</w:t>
      </w:r>
      <w:r>
        <w:rPr>
          <w:rFonts w:hint="eastAsia" w:ascii="宋体" w:hAnsi="宋体" w:cs="宋体"/>
          <w:color w:val="auto"/>
          <w:szCs w:val="21"/>
          <w:highlight w:val="none"/>
          <w:lang w:val="en-US" w:eastAsia="zh-CN"/>
        </w:rPr>
        <w:t>柒</w:t>
      </w:r>
      <w:r>
        <w:rPr>
          <w:rFonts w:hint="eastAsia" w:ascii="宋体" w:hAnsi="宋体" w:cs="宋体"/>
          <w:color w:val="auto"/>
          <w:szCs w:val="21"/>
          <w:highlight w:val="none"/>
        </w:rPr>
        <w:t>万</w:t>
      </w:r>
      <w:r>
        <w:rPr>
          <w:rFonts w:hint="eastAsia" w:ascii="宋体" w:hAnsi="宋体" w:cs="宋体"/>
          <w:color w:val="auto"/>
          <w:szCs w:val="21"/>
          <w:highlight w:val="none"/>
          <w:lang w:val="en-US" w:eastAsia="zh-CN"/>
        </w:rPr>
        <w:t>元</w:t>
      </w:r>
      <w:r>
        <w:rPr>
          <w:rFonts w:hint="eastAsia" w:ascii="宋体" w:hAnsi="宋体" w:cs="宋体"/>
          <w:color w:val="auto"/>
          <w:szCs w:val="21"/>
          <w:highlight w:val="none"/>
        </w:rPr>
        <w:t>整(¥</w:t>
      </w:r>
      <w:r>
        <w:rPr>
          <w:rFonts w:hint="eastAsia" w:ascii="宋体" w:hAnsi="宋体" w:cs="宋体"/>
          <w:color w:val="auto"/>
          <w:szCs w:val="21"/>
          <w:highlight w:val="none"/>
          <w:lang w:val="en-US" w:eastAsia="zh-CN"/>
        </w:rPr>
        <w:t>1270000.00</w:t>
      </w:r>
      <w:r>
        <w:rPr>
          <w:rFonts w:hint="eastAsia" w:ascii="宋体" w:hAnsi="宋体" w:cs="宋体"/>
          <w:color w:val="auto"/>
          <w:szCs w:val="21"/>
          <w:highlight w:val="none"/>
        </w:rPr>
        <w:t>）</w:t>
      </w:r>
    </w:p>
    <w:p w14:paraId="2D1247A6">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.最高限价：人民币壹佰</w:t>
      </w:r>
      <w:r>
        <w:rPr>
          <w:rFonts w:hint="eastAsia" w:ascii="宋体" w:hAnsi="宋体" w:cs="宋体"/>
          <w:color w:val="auto"/>
          <w:szCs w:val="21"/>
          <w:highlight w:val="none"/>
          <w:lang w:val="en-US" w:eastAsia="zh-CN"/>
        </w:rPr>
        <w:t>贰</w:t>
      </w:r>
      <w:r>
        <w:rPr>
          <w:rFonts w:hint="eastAsia" w:ascii="宋体" w:hAnsi="宋体" w:cs="宋体"/>
          <w:color w:val="auto"/>
          <w:szCs w:val="21"/>
          <w:highlight w:val="none"/>
        </w:rPr>
        <w:t>拾</w:t>
      </w:r>
      <w:r>
        <w:rPr>
          <w:rFonts w:hint="eastAsia" w:ascii="宋体" w:hAnsi="宋体" w:cs="宋体"/>
          <w:color w:val="auto"/>
          <w:szCs w:val="21"/>
          <w:highlight w:val="none"/>
          <w:lang w:val="en-US" w:eastAsia="zh-CN"/>
        </w:rPr>
        <w:t>柒</w:t>
      </w:r>
      <w:r>
        <w:rPr>
          <w:rFonts w:hint="eastAsia" w:ascii="宋体" w:hAnsi="宋体" w:cs="宋体"/>
          <w:color w:val="auto"/>
          <w:szCs w:val="21"/>
          <w:highlight w:val="none"/>
        </w:rPr>
        <w:t>万</w:t>
      </w:r>
      <w:r>
        <w:rPr>
          <w:rFonts w:hint="eastAsia" w:ascii="宋体" w:hAnsi="宋体" w:cs="宋体"/>
          <w:color w:val="auto"/>
          <w:szCs w:val="21"/>
          <w:highlight w:val="none"/>
          <w:lang w:val="en-US" w:eastAsia="zh-CN"/>
        </w:rPr>
        <w:t>元</w:t>
      </w:r>
      <w:r>
        <w:rPr>
          <w:rFonts w:hint="eastAsia" w:ascii="宋体" w:hAnsi="宋体" w:cs="宋体"/>
          <w:color w:val="auto"/>
          <w:szCs w:val="21"/>
          <w:highlight w:val="none"/>
        </w:rPr>
        <w:t>整(¥</w:t>
      </w:r>
      <w:r>
        <w:rPr>
          <w:rFonts w:hint="eastAsia" w:ascii="宋体" w:hAnsi="宋体" w:cs="宋体"/>
          <w:color w:val="auto"/>
          <w:szCs w:val="21"/>
          <w:highlight w:val="none"/>
          <w:lang w:val="en-US" w:eastAsia="zh-CN"/>
        </w:rPr>
        <w:t>1270000.00</w:t>
      </w:r>
      <w:r>
        <w:rPr>
          <w:rFonts w:hint="eastAsia" w:ascii="宋体" w:hAnsi="宋体" w:cs="宋体"/>
          <w:color w:val="auto"/>
          <w:szCs w:val="21"/>
          <w:highlight w:val="none"/>
        </w:rPr>
        <w:t>）</w:t>
      </w:r>
    </w:p>
    <w:p w14:paraId="43DE7C9D">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.采购需求：</w:t>
      </w:r>
    </w:p>
    <w:tbl>
      <w:tblPr>
        <w:tblStyle w:val="67"/>
        <w:tblW w:w="9334" w:type="dxa"/>
        <w:tblInd w:w="3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2"/>
        <w:gridCol w:w="1412"/>
        <w:gridCol w:w="1335"/>
        <w:gridCol w:w="5175"/>
      </w:tblGrid>
      <w:tr w14:paraId="1B43E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1412" w:type="dxa"/>
            <w:noWrap w:val="0"/>
            <w:vAlign w:val="center"/>
          </w:tcPr>
          <w:p w14:paraId="0BA44914">
            <w:pPr>
              <w:pStyle w:val="65"/>
              <w:shd w:val="clear"/>
              <w:wordWrap w:val="0"/>
              <w:spacing w:before="164" w:line="360" w:lineRule="auto"/>
              <w:jc w:val="center"/>
              <w:rPr>
                <w:rFonts w:hint="eastAsia" w:ascii="宋体" w:hAnsi="宋体" w:eastAsia="宋体" w:cs="宋体"/>
                <w:bCs/>
                <w:color w:val="auto"/>
                <w:spacing w:val="0"/>
                <w:sz w:val="21"/>
                <w:szCs w:val="21"/>
                <w:highlight w:val="none"/>
                <w:lang w:val="en-US" w:eastAsia="zh-CN"/>
              </w:rPr>
            </w:pPr>
            <w:r>
              <w:rPr>
                <w:rFonts w:hint="eastAsia" w:ascii="宋体" w:hAnsi="宋体" w:eastAsia="宋体" w:cs="宋体"/>
                <w:bCs/>
                <w:color w:val="auto"/>
                <w:spacing w:val="0"/>
                <w:sz w:val="21"/>
                <w:szCs w:val="21"/>
                <w:highlight w:val="none"/>
                <w:lang w:val="en-US" w:eastAsia="zh-CN"/>
              </w:rPr>
              <w:t>序号</w:t>
            </w:r>
          </w:p>
        </w:tc>
        <w:tc>
          <w:tcPr>
            <w:tcW w:w="1412" w:type="dxa"/>
            <w:noWrap w:val="0"/>
            <w:vAlign w:val="center"/>
          </w:tcPr>
          <w:p w14:paraId="229CF49C">
            <w:pPr>
              <w:pStyle w:val="65"/>
              <w:shd w:val="clear"/>
              <w:wordWrap w:val="0"/>
              <w:spacing w:before="164"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pacing w:val="0"/>
                <w:sz w:val="21"/>
                <w:szCs w:val="21"/>
                <w:highlight w:val="none"/>
                <w:lang w:eastAsia="zh-CN"/>
              </w:rPr>
              <w:t>标的名称</w:t>
            </w:r>
          </w:p>
        </w:tc>
        <w:tc>
          <w:tcPr>
            <w:tcW w:w="1335" w:type="dxa"/>
            <w:noWrap w:val="0"/>
            <w:vAlign w:val="center"/>
          </w:tcPr>
          <w:p w14:paraId="0DB3E27B">
            <w:pPr>
              <w:pStyle w:val="65"/>
              <w:shd w:val="clear"/>
              <w:wordWrap w:val="0"/>
              <w:spacing w:before="164"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pacing w:val="0"/>
                <w:sz w:val="21"/>
                <w:szCs w:val="21"/>
                <w:highlight w:val="none"/>
                <w:lang w:eastAsia="zh-CN"/>
              </w:rPr>
              <w:t>数量及单位</w:t>
            </w:r>
          </w:p>
        </w:tc>
        <w:tc>
          <w:tcPr>
            <w:tcW w:w="5175" w:type="dxa"/>
            <w:noWrap w:val="0"/>
            <w:vAlign w:val="center"/>
          </w:tcPr>
          <w:p w14:paraId="01DD70F1">
            <w:pPr>
              <w:pStyle w:val="65"/>
              <w:shd w:val="clear"/>
              <w:wordWrap w:val="0"/>
              <w:spacing w:before="164"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pacing w:val="0"/>
                <w:sz w:val="21"/>
                <w:szCs w:val="21"/>
                <w:highlight w:val="none"/>
                <w:lang w:eastAsia="zh-CN"/>
              </w:rPr>
              <w:t>简要技术需求或者服务要求</w:t>
            </w:r>
          </w:p>
        </w:tc>
      </w:tr>
      <w:tr w14:paraId="274E9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412" w:type="dxa"/>
            <w:noWrap w:val="0"/>
            <w:vAlign w:val="center"/>
          </w:tcPr>
          <w:p w14:paraId="25C7B120">
            <w:pPr>
              <w:pStyle w:val="65"/>
              <w:keepNext w:val="0"/>
              <w:keepLines w:val="0"/>
              <w:pageBreakBefore w:val="0"/>
              <w:widowControl w:val="0"/>
              <w:shd w:val="clear"/>
              <w:kinsoku/>
              <w:wordWrap w:val="0"/>
              <w:overflowPunct/>
              <w:topLinePunct w:val="0"/>
              <w:autoSpaceDE/>
              <w:autoSpaceDN/>
              <w:bidi w:val="0"/>
              <w:adjustRightInd/>
              <w:snapToGrid/>
              <w:spacing w:before="164"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412" w:type="dxa"/>
            <w:noWrap w:val="0"/>
            <w:vAlign w:val="center"/>
          </w:tcPr>
          <w:p w14:paraId="22A8C1F5">
            <w:pPr>
              <w:pStyle w:val="65"/>
              <w:keepNext w:val="0"/>
              <w:keepLines w:val="0"/>
              <w:pageBreakBefore w:val="0"/>
              <w:widowControl w:val="0"/>
              <w:shd w:val="clear"/>
              <w:kinsoku/>
              <w:wordWrap w:val="0"/>
              <w:overflowPunct/>
              <w:topLinePunct w:val="0"/>
              <w:autoSpaceDE/>
              <w:autoSpaceDN/>
              <w:bidi w:val="0"/>
              <w:adjustRightInd/>
              <w:snapToGrid/>
              <w:spacing w:before="164" w:line="360" w:lineRule="auto"/>
              <w:jc w:val="center"/>
              <w:textAlignment w:val="auto"/>
              <w:rPr>
                <w:rFonts w:hint="eastAsia" w:ascii="宋体" w:hAnsi="宋体" w:eastAsia="宋体" w:cs="宋体"/>
                <w:bCs/>
                <w:color w:val="auto"/>
                <w:spacing w:val="0"/>
                <w:sz w:val="21"/>
                <w:szCs w:val="21"/>
                <w:highlight w:val="none"/>
              </w:rPr>
            </w:pPr>
            <w:r>
              <w:rPr>
                <w:rFonts w:hint="eastAsia" w:ascii="宋体" w:hAnsi="宋体" w:eastAsia="宋体" w:cs="宋体"/>
                <w:b w:val="0"/>
                <w:bCs/>
                <w:color w:val="auto"/>
                <w:sz w:val="21"/>
                <w:szCs w:val="21"/>
                <w:highlight w:val="none"/>
              </w:rPr>
              <w:t>基质粉碎机</w:t>
            </w:r>
          </w:p>
        </w:tc>
        <w:tc>
          <w:tcPr>
            <w:tcW w:w="1335" w:type="dxa"/>
            <w:noWrap w:val="0"/>
            <w:vAlign w:val="center"/>
          </w:tcPr>
          <w:p w14:paraId="0EFF9C69">
            <w:pPr>
              <w:pStyle w:val="65"/>
              <w:keepNext w:val="0"/>
              <w:keepLines w:val="0"/>
              <w:pageBreakBefore w:val="0"/>
              <w:widowControl w:val="0"/>
              <w:shd w:val="clear"/>
              <w:kinsoku/>
              <w:wordWrap w:val="0"/>
              <w:overflowPunct/>
              <w:topLinePunct w:val="0"/>
              <w:autoSpaceDE/>
              <w:autoSpaceDN/>
              <w:bidi w:val="0"/>
              <w:adjustRightInd/>
              <w:snapToGrid/>
              <w:spacing w:before="164" w:line="360" w:lineRule="auto"/>
              <w:jc w:val="center"/>
              <w:textAlignment w:val="auto"/>
              <w:rPr>
                <w:rFonts w:hint="eastAsia" w:ascii="宋体" w:hAnsi="宋体" w:eastAsia="宋体" w:cs="宋体"/>
                <w:bCs/>
                <w:color w:val="auto"/>
                <w:spacing w:val="0"/>
                <w:sz w:val="21"/>
                <w:szCs w:val="21"/>
                <w:highlight w:val="none"/>
              </w:rPr>
            </w:pPr>
            <w:r>
              <w:rPr>
                <w:rFonts w:hint="eastAsia" w:ascii="宋体" w:hAnsi="宋体" w:eastAsia="宋体" w:cs="宋体"/>
                <w:bCs/>
                <w:color w:val="auto"/>
                <w:spacing w:val="0"/>
                <w:sz w:val="21"/>
                <w:szCs w:val="21"/>
                <w:highlight w:val="none"/>
                <w:lang w:val="en-US" w:eastAsia="zh-CN"/>
              </w:rPr>
              <w:t>1台</w:t>
            </w:r>
          </w:p>
        </w:tc>
        <w:tc>
          <w:tcPr>
            <w:tcW w:w="5175" w:type="dxa"/>
            <w:noWrap w:val="0"/>
            <w:vAlign w:val="center"/>
          </w:tcPr>
          <w:p w14:paraId="1F3815C6">
            <w:pPr>
              <w:pStyle w:val="65"/>
              <w:shd w:val="clear"/>
              <w:wordWrap w:val="0"/>
              <w:spacing w:before="164" w:line="360" w:lineRule="auto"/>
              <w:jc w:val="left"/>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1.机器尺寸：2400×550×1100mm；</w:t>
            </w:r>
          </w:p>
          <w:p w14:paraId="4BBBCB7A">
            <w:pPr>
              <w:pStyle w:val="65"/>
              <w:shd w:val="clear"/>
              <w:wordWrap w:val="0"/>
              <w:spacing w:before="164" w:line="360" w:lineRule="auto"/>
              <w:jc w:val="left"/>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2.产量：6t左右每小时；</w:t>
            </w:r>
          </w:p>
          <w:p w14:paraId="102395B4">
            <w:pPr>
              <w:pStyle w:val="65"/>
              <w:shd w:val="clear"/>
              <w:wordWrap w:val="0"/>
              <w:spacing w:before="164" w:line="360" w:lineRule="auto"/>
              <w:jc w:val="left"/>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3.转速：1400转/分；</w:t>
            </w:r>
          </w:p>
          <w:p w14:paraId="60297F5D">
            <w:pPr>
              <w:pStyle w:val="65"/>
              <w:shd w:val="clear"/>
              <w:wordWrap w:val="0"/>
              <w:spacing w:before="164" w:line="360" w:lineRule="auto"/>
              <w:jc w:val="left"/>
              <w:rPr>
                <w:rFonts w:hint="eastAsia" w:ascii="宋体" w:hAnsi="宋体" w:eastAsia="宋体" w:cs="宋体"/>
                <w:bCs/>
                <w:color w:val="auto"/>
                <w:spacing w:val="0"/>
                <w:sz w:val="21"/>
                <w:szCs w:val="21"/>
                <w:highlight w:val="none"/>
              </w:rPr>
            </w:pPr>
            <w:r>
              <w:rPr>
                <w:rFonts w:hint="eastAsia" w:ascii="宋体" w:hAnsi="宋体" w:eastAsia="宋体" w:cs="宋体"/>
                <w:b w:val="0"/>
                <w:bCs/>
                <w:strike w:val="0"/>
                <w:dstrike w:val="0"/>
                <w:color w:val="auto"/>
                <w:sz w:val="21"/>
                <w:szCs w:val="21"/>
                <w:highlight w:val="none"/>
                <w:lang w:eastAsia="zh-CN"/>
              </w:rPr>
              <w:t>……</w:t>
            </w:r>
            <w:r>
              <w:rPr>
                <w:rFonts w:hint="eastAsia" w:ascii="宋体" w:hAnsi="宋体" w:eastAsia="宋体" w:cs="宋体"/>
                <w:b w:val="0"/>
                <w:bCs/>
                <w:strike w:val="0"/>
                <w:dstrike w:val="0"/>
                <w:color w:val="auto"/>
                <w:sz w:val="21"/>
                <w:szCs w:val="21"/>
                <w:highlight w:val="none"/>
                <w:lang w:val="en-US" w:eastAsia="zh-CN"/>
              </w:rPr>
              <w:t>具体内容详见</w:t>
            </w:r>
            <w:r>
              <w:rPr>
                <w:rFonts w:hint="eastAsia" w:ascii="宋体" w:hAnsi="宋体" w:eastAsia="宋体" w:cs="宋体"/>
                <w:color w:val="auto"/>
                <w:sz w:val="21"/>
                <w:szCs w:val="21"/>
                <w:highlight w:val="none"/>
                <w:lang w:val="en-US" w:eastAsia="zh-CN"/>
              </w:rPr>
              <w:t>竞争性谈判</w:t>
            </w:r>
            <w:r>
              <w:rPr>
                <w:rFonts w:hint="eastAsia" w:ascii="宋体" w:hAnsi="宋体" w:eastAsia="宋体" w:cs="宋体"/>
                <w:color w:val="auto"/>
                <w:sz w:val="21"/>
                <w:szCs w:val="21"/>
                <w:highlight w:val="none"/>
              </w:rPr>
              <w:t>文件</w:t>
            </w:r>
            <w:r>
              <w:rPr>
                <w:rFonts w:hint="eastAsia" w:ascii="宋体" w:hAnsi="宋体" w:eastAsia="宋体" w:cs="宋体"/>
                <w:b w:val="0"/>
                <w:bCs/>
                <w:strike w:val="0"/>
                <w:dstrike w:val="0"/>
                <w:color w:val="auto"/>
                <w:sz w:val="21"/>
                <w:szCs w:val="21"/>
                <w:highlight w:val="none"/>
                <w:lang w:val="en-US" w:eastAsia="zh-CN"/>
              </w:rPr>
              <w:t>。</w:t>
            </w:r>
          </w:p>
        </w:tc>
      </w:tr>
      <w:tr w14:paraId="67A1B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412" w:type="dxa"/>
            <w:noWrap w:val="0"/>
            <w:vAlign w:val="center"/>
          </w:tcPr>
          <w:p w14:paraId="0C44602A">
            <w:pPr>
              <w:pStyle w:val="65"/>
              <w:shd w:val="clear"/>
              <w:wordWrap w:val="0"/>
              <w:spacing w:before="164" w:line="360" w:lineRule="auto"/>
              <w:rPr>
                <w:rFonts w:hint="eastAsia" w:ascii="宋体" w:hAnsi="宋体" w:eastAsia="宋体" w:cs="宋体"/>
                <w:bCs/>
                <w:color w:val="auto"/>
                <w:spacing w:val="0"/>
                <w:sz w:val="21"/>
                <w:szCs w:val="21"/>
                <w:highlight w:val="none"/>
                <w:lang w:eastAsia="zh-CN"/>
              </w:rPr>
            </w:pPr>
            <w:r>
              <w:rPr>
                <w:rFonts w:hint="eastAsia" w:ascii="宋体" w:hAnsi="宋体" w:eastAsia="宋体" w:cs="宋体"/>
                <w:bCs/>
                <w:color w:val="auto"/>
                <w:spacing w:val="0"/>
                <w:sz w:val="21"/>
                <w:szCs w:val="21"/>
                <w:highlight w:val="none"/>
                <w:lang w:eastAsia="zh-CN"/>
              </w:rPr>
              <w:t>……</w:t>
            </w:r>
          </w:p>
        </w:tc>
        <w:tc>
          <w:tcPr>
            <w:tcW w:w="1412" w:type="dxa"/>
            <w:noWrap w:val="0"/>
            <w:vAlign w:val="center"/>
          </w:tcPr>
          <w:p w14:paraId="7F8AC113">
            <w:pPr>
              <w:pStyle w:val="65"/>
              <w:shd w:val="clear"/>
              <w:wordWrap w:val="0"/>
              <w:spacing w:before="164" w:line="360" w:lineRule="auto"/>
              <w:rPr>
                <w:rFonts w:hint="eastAsia" w:ascii="宋体" w:hAnsi="宋体" w:eastAsia="宋体" w:cs="宋体"/>
                <w:bCs/>
                <w:color w:val="auto"/>
                <w:spacing w:val="0"/>
                <w:sz w:val="21"/>
                <w:szCs w:val="21"/>
                <w:highlight w:val="none"/>
                <w:lang w:eastAsia="zh-CN"/>
              </w:rPr>
            </w:pPr>
            <w:r>
              <w:rPr>
                <w:rFonts w:hint="eastAsia" w:ascii="宋体" w:hAnsi="宋体" w:eastAsia="宋体" w:cs="宋体"/>
                <w:bCs/>
                <w:color w:val="auto"/>
                <w:spacing w:val="0"/>
                <w:sz w:val="21"/>
                <w:szCs w:val="21"/>
                <w:highlight w:val="none"/>
                <w:lang w:eastAsia="zh-CN"/>
              </w:rPr>
              <w:t>……</w:t>
            </w:r>
          </w:p>
        </w:tc>
        <w:tc>
          <w:tcPr>
            <w:tcW w:w="1335" w:type="dxa"/>
            <w:noWrap w:val="0"/>
            <w:vAlign w:val="center"/>
          </w:tcPr>
          <w:p w14:paraId="3A0A01FB">
            <w:pPr>
              <w:pStyle w:val="65"/>
              <w:keepNext w:val="0"/>
              <w:keepLines w:val="0"/>
              <w:pageBreakBefore w:val="0"/>
              <w:widowControl w:val="0"/>
              <w:shd w:val="clear"/>
              <w:kinsoku/>
              <w:wordWrap w:val="0"/>
              <w:overflowPunct/>
              <w:topLinePunct w:val="0"/>
              <w:autoSpaceDE/>
              <w:autoSpaceDN/>
              <w:bidi w:val="0"/>
              <w:adjustRightInd/>
              <w:snapToGrid/>
              <w:spacing w:before="164" w:line="360" w:lineRule="auto"/>
              <w:jc w:val="center"/>
              <w:textAlignment w:val="auto"/>
              <w:rPr>
                <w:rFonts w:hint="eastAsia" w:ascii="宋体" w:hAnsi="宋体" w:eastAsia="宋体" w:cs="宋体"/>
                <w:bCs/>
                <w:color w:val="auto"/>
                <w:spacing w:val="0"/>
                <w:sz w:val="21"/>
                <w:szCs w:val="21"/>
                <w:highlight w:val="none"/>
              </w:rPr>
            </w:pPr>
            <w:r>
              <w:rPr>
                <w:rFonts w:hint="eastAsia" w:ascii="宋体" w:hAnsi="宋体" w:eastAsia="宋体" w:cs="宋体"/>
                <w:bCs/>
                <w:color w:val="auto"/>
                <w:spacing w:val="0"/>
                <w:sz w:val="21"/>
                <w:szCs w:val="21"/>
                <w:highlight w:val="none"/>
                <w:lang w:val="en-US" w:eastAsia="zh-CN"/>
              </w:rPr>
              <w:t>……</w:t>
            </w:r>
          </w:p>
        </w:tc>
        <w:tc>
          <w:tcPr>
            <w:tcW w:w="5175" w:type="dxa"/>
            <w:noWrap w:val="0"/>
            <w:vAlign w:val="center"/>
          </w:tcPr>
          <w:p w14:paraId="5A7BE9D0">
            <w:pPr>
              <w:pStyle w:val="65"/>
              <w:keepNext w:val="0"/>
              <w:keepLines w:val="0"/>
              <w:pageBreakBefore w:val="0"/>
              <w:widowControl w:val="0"/>
              <w:shd w:val="clear"/>
              <w:kinsoku/>
              <w:wordWrap w:val="0"/>
              <w:overflowPunct/>
              <w:topLinePunct w:val="0"/>
              <w:autoSpaceDE/>
              <w:autoSpaceDN/>
              <w:bidi w:val="0"/>
              <w:adjustRightInd/>
              <w:snapToGrid/>
              <w:spacing w:before="164" w:line="360" w:lineRule="auto"/>
              <w:jc w:val="left"/>
              <w:textAlignment w:val="auto"/>
              <w:rPr>
                <w:rFonts w:hint="eastAsia" w:ascii="宋体" w:hAnsi="宋体" w:eastAsia="宋体" w:cs="宋体"/>
                <w:bCs/>
                <w:color w:val="auto"/>
                <w:spacing w:val="0"/>
                <w:sz w:val="21"/>
                <w:szCs w:val="21"/>
                <w:highlight w:val="none"/>
              </w:rPr>
            </w:pPr>
            <w:r>
              <w:rPr>
                <w:rFonts w:hint="eastAsia" w:ascii="宋体" w:hAnsi="宋体" w:eastAsia="宋体" w:cs="宋体"/>
                <w:b w:val="0"/>
                <w:bCs/>
                <w:strike w:val="0"/>
                <w:dstrike w:val="0"/>
                <w:color w:val="auto"/>
                <w:sz w:val="21"/>
                <w:szCs w:val="21"/>
                <w:highlight w:val="none"/>
                <w:lang w:eastAsia="zh-CN"/>
              </w:rPr>
              <w:t>……</w:t>
            </w:r>
          </w:p>
        </w:tc>
      </w:tr>
      <w:tr w14:paraId="1FA99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412" w:type="dxa"/>
            <w:noWrap w:val="0"/>
            <w:vAlign w:val="center"/>
          </w:tcPr>
          <w:p w14:paraId="46E6E2C8">
            <w:pPr>
              <w:pStyle w:val="65"/>
              <w:keepNext w:val="0"/>
              <w:keepLines w:val="0"/>
              <w:pageBreakBefore w:val="0"/>
              <w:widowControl w:val="0"/>
              <w:shd w:val="clear"/>
              <w:kinsoku/>
              <w:wordWrap w:val="0"/>
              <w:overflowPunct/>
              <w:topLinePunct w:val="0"/>
              <w:autoSpaceDE/>
              <w:autoSpaceDN/>
              <w:bidi w:val="0"/>
              <w:adjustRightInd/>
              <w:snapToGrid/>
              <w:spacing w:before="164"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45</w:t>
            </w:r>
          </w:p>
        </w:tc>
        <w:tc>
          <w:tcPr>
            <w:tcW w:w="1412" w:type="dxa"/>
            <w:noWrap w:val="0"/>
            <w:vAlign w:val="center"/>
          </w:tcPr>
          <w:p w14:paraId="51093137">
            <w:pPr>
              <w:pStyle w:val="65"/>
              <w:keepNext w:val="0"/>
              <w:keepLines w:val="0"/>
              <w:pageBreakBefore w:val="0"/>
              <w:widowControl w:val="0"/>
              <w:shd w:val="clear"/>
              <w:kinsoku/>
              <w:wordWrap w:val="0"/>
              <w:overflowPunct/>
              <w:topLinePunct w:val="0"/>
              <w:autoSpaceDE/>
              <w:autoSpaceDN/>
              <w:bidi w:val="0"/>
              <w:adjustRightInd/>
              <w:snapToGrid/>
              <w:spacing w:before="164" w:line="360" w:lineRule="auto"/>
              <w:jc w:val="center"/>
              <w:textAlignment w:val="auto"/>
              <w:rPr>
                <w:rFonts w:hint="eastAsia" w:ascii="宋体" w:hAnsi="宋体" w:eastAsia="宋体" w:cs="宋体"/>
                <w:bCs/>
                <w:color w:val="auto"/>
                <w:spacing w:val="0"/>
                <w:sz w:val="21"/>
                <w:szCs w:val="21"/>
                <w:highlight w:val="none"/>
              </w:rPr>
            </w:pPr>
            <w:r>
              <w:rPr>
                <w:rFonts w:hint="eastAsia" w:ascii="宋体" w:hAnsi="宋体" w:eastAsia="宋体" w:cs="宋体"/>
                <w:b w:val="0"/>
                <w:bCs/>
                <w:color w:val="auto"/>
                <w:sz w:val="21"/>
                <w:szCs w:val="21"/>
                <w:highlight w:val="none"/>
              </w:rPr>
              <w:t>风力灭火器</w:t>
            </w:r>
          </w:p>
        </w:tc>
        <w:tc>
          <w:tcPr>
            <w:tcW w:w="1335" w:type="dxa"/>
            <w:noWrap w:val="0"/>
            <w:vAlign w:val="center"/>
          </w:tcPr>
          <w:p w14:paraId="5CAC5F94">
            <w:pPr>
              <w:pStyle w:val="65"/>
              <w:keepNext w:val="0"/>
              <w:keepLines w:val="0"/>
              <w:pageBreakBefore w:val="0"/>
              <w:widowControl w:val="0"/>
              <w:shd w:val="clear"/>
              <w:kinsoku/>
              <w:wordWrap w:val="0"/>
              <w:overflowPunct/>
              <w:topLinePunct w:val="0"/>
              <w:autoSpaceDE/>
              <w:autoSpaceDN/>
              <w:bidi w:val="0"/>
              <w:adjustRightInd/>
              <w:snapToGrid/>
              <w:spacing w:before="164" w:line="360" w:lineRule="auto"/>
              <w:jc w:val="center"/>
              <w:textAlignment w:val="auto"/>
              <w:rPr>
                <w:rFonts w:hint="eastAsia" w:ascii="宋体" w:hAnsi="宋体" w:eastAsia="宋体" w:cs="宋体"/>
                <w:bCs/>
                <w:color w:val="auto"/>
                <w:spacing w:val="0"/>
                <w:sz w:val="21"/>
                <w:szCs w:val="21"/>
                <w:highlight w:val="none"/>
                <w:lang w:val="en-US"/>
              </w:rPr>
            </w:pPr>
            <w:r>
              <w:rPr>
                <w:rFonts w:hint="eastAsia" w:ascii="宋体" w:hAnsi="宋体" w:eastAsia="宋体" w:cs="宋体"/>
                <w:bCs/>
                <w:color w:val="auto"/>
                <w:spacing w:val="0"/>
                <w:sz w:val="21"/>
                <w:szCs w:val="21"/>
                <w:highlight w:val="none"/>
                <w:lang w:val="en-US" w:eastAsia="zh-CN"/>
              </w:rPr>
              <w:t>10台</w:t>
            </w:r>
          </w:p>
        </w:tc>
        <w:tc>
          <w:tcPr>
            <w:tcW w:w="5175" w:type="dxa"/>
            <w:noWrap w:val="0"/>
            <w:vAlign w:val="center"/>
          </w:tcPr>
          <w:p w14:paraId="361C8962">
            <w:pPr>
              <w:pStyle w:val="65"/>
              <w:shd w:val="clear"/>
              <w:wordWrap w:val="0"/>
              <w:spacing w:before="164" w:line="360" w:lineRule="auto"/>
              <w:jc w:val="left"/>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1.用于森林消防设备。风量 1400 立方米/时，风速 99 米/秒，发动机 2-mix；</w:t>
            </w:r>
          </w:p>
          <w:p w14:paraId="25A3987F">
            <w:pPr>
              <w:pStyle w:val="65"/>
              <w:shd w:val="clear"/>
              <w:wordWrap w:val="0"/>
              <w:spacing w:before="164" w:line="360" w:lineRule="auto"/>
              <w:jc w:val="left"/>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2.发动机型式：单杠、风冷、二冲程；</w:t>
            </w:r>
          </w:p>
          <w:p w14:paraId="790F82A9">
            <w:pPr>
              <w:pStyle w:val="65"/>
              <w:shd w:val="clear"/>
              <w:wordWrap w:val="0"/>
              <w:spacing w:before="164" w:line="360" w:lineRule="auto"/>
              <w:jc w:val="left"/>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3.额定功率：≥4kW；</w:t>
            </w:r>
          </w:p>
          <w:p w14:paraId="1E522B4E">
            <w:pPr>
              <w:pStyle w:val="65"/>
              <w:shd w:val="clear"/>
              <w:wordWrap w:val="0"/>
              <w:spacing w:before="164" w:line="360" w:lineRule="auto"/>
              <w:jc w:val="left"/>
              <w:rPr>
                <w:rFonts w:hint="eastAsia" w:ascii="宋体" w:hAnsi="宋体" w:eastAsia="宋体" w:cs="宋体"/>
                <w:bCs/>
                <w:color w:val="auto"/>
                <w:spacing w:val="0"/>
                <w:sz w:val="21"/>
                <w:szCs w:val="21"/>
                <w:highlight w:val="none"/>
              </w:rPr>
            </w:pPr>
            <w:r>
              <w:rPr>
                <w:rFonts w:hint="eastAsia" w:ascii="宋体" w:hAnsi="宋体" w:eastAsia="宋体" w:cs="宋体"/>
                <w:b w:val="0"/>
                <w:bCs/>
                <w:strike w:val="0"/>
                <w:dstrike w:val="0"/>
                <w:color w:val="auto"/>
                <w:sz w:val="21"/>
                <w:szCs w:val="21"/>
                <w:highlight w:val="none"/>
                <w:lang w:eastAsia="zh-CN"/>
              </w:rPr>
              <w:t>……</w:t>
            </w:r>
            <w:r>
              <w:rPr>
                <w:rFonts w:hint="eastAsia" w:ascii="宋体" w:hAnsi="宋体" w:eastAsia="宋体" w:cs="宋体"/>
                <w:b w:val="0"/>
                <w:bCs/>
                <w:strike w:val="0"/>
                <w:dstrike w:val="0"/>
                <w:color w:val="auto"/>
                <w:sz w:val="21"/>
                <w:szCs w:val="21"/>
                <w:highlight w:val="none"/>
                <w:lang w:val="en-US" w:eastAsia="zh-CN"/>
              </w:rPr>
              <w:t>具体内容详见</w:t>
            </w:r>
            <w:r>
              <w:rPr>
                <w:rFonts w:hint="eastAsia" w:ascii="宋体" w:hAnsi="宋体" w:eastAsia="宋体" w:cs="宋体"/>
                <w:color w:val="auto"/>
                <w:sz w:val="21"/>
                <w:szCs w:val="21"/>
                <w:highlight w:val="none"/>
                <w:lang w:val="en-US" w:eastAsia="zh-CN"/>
              </w:rPr>
              <w:t>竞争性谈判</w:t>
            </w:r>
            <w:r>
              <w:rPr>
                <w:rFonts w:hint="eastAsia" w:ascii="宋体" w:hAnsi="宋体" w:eastAsia="宋体" w:cs="宋体"/>
                <w:color w:val="auto"/>
                <w:sz w:val="21"/>
                <w:szCs w:val="21"/>
                <w:highlight w:val="none"/>
              </w:rPr>
              <w:t>文件</w:t>
            </w:r>
            <w:r>
              <w:rPr>
                <w:rFonts w:hint="eastAsia" w:ascii="宋体" w:hAnsi="宋体" w:eastAsia="宋体" w:cs="宋体"/>
                <w:b w:val="0"/>
                <w:bCs/>
                <w:strike w:val="0"/>
                <w:dstrike w:val="0"/>
                <w:color w:val="auto"/>
                <w:sz w:val="21"/>
                <w:szCs w:val="21"/>
                <w:highlight w:val="none"/>
                <w:lang w:val="en-US" w:eastAsia="zh-CN"/>
              </w:rPr>
              <w:t>。</w:t>
            </w:r>
          </w:p>
        </w:tc>
      </w:tr>
    </w:tbl>
    <w:p w14:paraId="1F054AA3">
      <w:pPr>
        <w:shd w:val="clea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.合同履行期限：</w:t>
      </w:r>
      <w:r>
        <w:rPr>
          <w:rFonts w:hint="eastAsia" w:ascii="宋体" w:hAnsi="宋体" w:eastAsia="宋体" w:cs="宋体"/>
          <w:color w:val="auto"/>
          <w:sz w:val="21"/>
          <w:szCs w:val="21"/>
          <w:highlight w:val="none"/>
        </w:rPr>
        <w:t>详见</w:t>
      </w:r>
      <w:r>
        <w:rPr>
          <w:rFonts w:hint="eastAsia" w:ascii="宋体" w:hAnsi="宋体" w:eastAsia="宋体" w:cs="宋体"/>
          <w:color w:val="auto"/>
          <w:sz w:val="21"/>
          <w:szCs w:val="21"/>
          <w:highlight w:val="none"/>
          <w:lang w:val="en-US" w:eastAsia="zh-CN"/>
        </w:rPr>
        <w:t>竞争性谈判</w:t>
      </w:r>
      <w:r>
        <w:rPr>
          <w:rFonts w:hint="eastAsia" w:ascii="宋体" w:hAnsi="宋体" w:eastAsia="宋体" w:cs="宋体"/>
          <w:color w:val="auto"/>
          <w:sz w:val="21"/>
          <w:szCs w:val="21"/>
          <w:highlight w:val="none"/>
        </w:rPr>
        <w:t>文件。</w:t>
      </w:r>
    </w:p>
    <w:p w14:paraId="7C157906">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.本项目不接受联合体。</w:t>
      </w:r>
    </w:p>
    <w:p w14:paraId="0E466C82">
      <w:pPr>
        <w:shd w:val="clear"/>
        <w:spacing w:line="360" w:lineRule="auto"/>
        <w:rPr>
          <w:rFonts w:ascii="宋体" w:hAnsi="宋体" w:cs="宋体"/>
          <w:b/>
          <w:bCs/>
          <w:color w:val="auto"/>
          <w:szCs w:val="21"/>
          <w:highlight w:val="none"/>
        </w:rPr>
      </w:pPr>
      <w:bookmarkStart w:id="7" w:name="_Toc35393799"/>
      <w:bookmarkStart w:id="8" w:name="_Toc35393630"/>
      <w:bookmarkStart w:id="9" w:name="_Toc44229879"/>
      <w:bookmarkStart w:id="10" w:name="_Toc28359090"/>
      <w:bookmarkStart w:id="11" w:name="_Toc28359013"/>
      <w:r>
        <w:rPr>
          <w:rFonts w:hint="eastAsia" w:ascii="宋体" w:hAnsi="宋体" w:cs="宋体"/>
          <w:b/>
          <w:bCs/>
          <w:color w:val="auto"/>
          <w:szCs w:val="21"/>
          <w:highlight w:val="none"/>
        </w:rPr>
        <w:t>二、供应商的资格条件：</w:t>
      </w:r>
      <w:bookmarkEnd w:id="7"/>
      <w:bookmarkEnd w:id="8"/>
      <w:bookmarkEnd w:id="9"/>
      <w:bookmarkEnd w:id="10"/>
      <w:bookmarkEnd w:id="11"/>
    </w:p>
    <w:p w14:paraId="72605387">
      <w:pPr>
        <w:shd w:val="clear"/>
        <w:spacing w:line="360" w:lineRule="auto"/>
        <w:ind w:firstLine="420" w:firstLineChars="200"/>
        <w:rPr>
          <w:rFonts w:ascii="宋体" w:hAnsi="宋体" w:cs="宋体"/>
          <w:color w:val="auto"/>
          <w:szCs w:val="21"/>
          <w:highlight w:val="none"/>
        </w:rPr>
      </w:pPr>
      <w:bookmarkStart w:id="12" w:name="PO_3000001867_PM005"/>
      <w:bookmarkStart w:id="13" w:name="_Toc28359014"/>
      <w:bookmarkStart w:id="14" w:name="_Toc28359091"/>
      <w:bookmarkStart w:id="15" w:name="_Toc44229880"/>
      <w:bookmarkStart w:id="16" w:name="_Toc35393800"/>
      <w:bookmarkStart w:id="17" w:name="_Toc35393631"/>
      <w:r>
        <w:rPr>
          <w:rFonts w:hint="eastAsia" w:ascii="宋体" w:hAnsi="宋体" w:cs="宋体"/>
          <w:color w:val="auto"/>
          <w:szCs w:val="21"/>
          <w:highlight w:val="none"/>
        </w:rPr>
        <w:t>1.符合《中华人民共和国政府采购法》第二十二条的规定。</w:t>
      </w:r>
    </w:p>
    <w:p w14:paraId="72FD822C">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bookmarkEnd w:id="12"/>
      <w:r>
        <w:rPr>
          <w:rFonts w:hint="eastAsia" w:ascii="宋体" w:hAnsi="宋体" w:cs="宋体"/>
          <w:color w:val="auto"/>
          <w:szCs w:val="21"/>
          <w:highlight w:val="none"/>
        </w:rPr>
        <w:t>.落实政府采购政策需满足的资格要求：</w:t>
      </w:r>
    </w:p>
    <w:p w14:paraId="555AF7CF">
      <w:pPr>
        <w:shd w:val="clea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□专门面向中小企业采购的项目（供应商应为中小微企业、监狱企业、残疾人福利性单位）</w:t>
      </w:r>
      <w:r>
        <w:rPr>
          <w:rFonts w:hint="eastAsia" w:ascii="宋体" w:hAnsi="宋体" w:cs="宋体"/>
          <w:color w:val="auto"/>
          <w:szCs w:val="21"/>
          <w:highlight w:val="none"/>
          <w:lang w:eastAsia="zh-CN"/>
        </w:rPr>
        <w:t>。</w:t>
      </w:r>
    </w:p>
    <w:p w14:paraId="4E713650">
      <w:pPr>
        <w:shd w:val="clea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☑非专门面向中小企业采购的项目</w:t>
      </w:r>
      <w:r>
        <w:rPr>
          <w:rFonts w:hint="eastAsia" w:ascii="宋体" w:hAnsi="宋体" w:cs="宋体"/>
          <w:color w:val="auto"/>
          <w:szCs w:val="21"/>
          <w:highlight w:val="none"/>
          <w:lang w:eastAsia="zh-CN"/>
        </w:rPr>
        <w:t>。</w:t>
      </w:r>
    </w:p>
    <w:p w14:paraId="4379FB44">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3.本项目的特定资格要求：</w:t>
      </w:r>
      <w:r>
        <w:rPr>
          <w:rFonts w:hint="eastAsia" w:ascii="宋体" w:hAnsi="宋体" w:cs="宋体"/>
          <w:color w:val="auto"/>
          <w:szCs w:val="21"/>
          <w:highlight w:val="none"/>
          <w:u w:val="single"/>
        </w:rPr>
        <w:t>无</w:t>
      </w:r>
      <w:r>
        <w:rPr>
          <w:rFonts w:hint="eastAsia" w:ascii="宋体" w:hAnsi="宋体" w:cs="宋体"/>
          <w:color w:val="auto"/>
          <w:szCs w:val="21"/>
          <w:highlight w:val="none"/>
        </w:rPr>
        <w:t>。</w:t>
      </w:r>
    </w:p>
    <w:p w14:paraId="726C62A4">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4.本项目的特定条件：</w:t>
      </w:r>
      <w:r>
        <w:rPr>
          <w:rFonts w:hint="eastAsia" w:ascii="宋体" w:hAnsi="宋体" w:cs="宋体"/>
          <w:color w:val="auto"/>
          <w:szCs w:val="21"/>
          <w:highlight w:val="none"/>
          <w:u w:val="single"/>
        </w:rPr>
        <w:t>无</w:t>
      </w:r>
      <w:r>
        <w:rPr>
          <w:rFonts w:hint="eastAsia" w:ascii="宋体" w:hAnsi="宋体" w:cs="宋体"/>
          <w:color w:val="auto"/>
          <w:szCs w:val="21"/>
          <w:highlight w:val="none"/>
        </w:rPr>
        <w:t>。</w:t>
      </w:r>
    </w:p>
    <w:p w14:paraId="587AF870">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DB7C722">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225D8050">
      <w:pPr>
        <w:shd w:val="clea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三、获取竞争性谈判文件</w:t>
      </w:r>
      <w:bookmarkEnd w:id="13"/>
      <w:bookmarkEnd w:id="14"/>
      <w:bookmarkEnd w:id="15"/>
      <w:bookmarkEnd w:id="16"/>
      <w:bookmarkEnd w:id="17"/>
    </w:p>
    <w:p w14:paraId="5A80D4EC">
      <w:pPr>
        <w:shd w:val="clear"/>
        <w:spacing w:line="360" w:lineRule="auto"/>
        <w:ind w:firstLine="540"/>
        <w:rPr>
          <w:rFonts w:ascii="宋体" w:hAnsi="宋体" w:cs="宋体"/>
          <w:color w:val="auto"/>
          <w:kern w:val="0"/>
          <w:szCs w:val="21"/>
          <w:highlight w:val="none"/>
          <w:u w:val="single"/>
        </w:rPr>
      </w:pPr>
      <w:bookmarkStart w:id="18" w:name="_Toc35393632"/>
      <w:bookmarkStart w:id="19" w:name="_Toc35393801"/>
      <w:bookmarkStart w:id="20" w:name="_Toc28359092"/>
      <w:bookmarkStart w:id="21" w:name="_Toc44229881"/>
      <w:bookmarkStart w:id="22" w:name="_Toc28359015"/>
      <w:r>
        <w:rPr>
          <w:rFonts w:hint="eastAsia" w:ascii="宋体" w:hAnsi="宋体" w:cs="宋体"/>
          <w:color w:val="auto"/>
          <w:kern w:val="0"/>
          <w:szCs w:val="21"/>
          <w:highlight w:val="none"/>
          <w:lang w:val="en-US" w:eastAsia="zh-CN"/>
        </w:rPr>
        <w:t>1.</w:t>
      </w:r>
      <w:r>
        <w:rPr>
          <w:rFonts w:hint="eastAsia" w:ascii="宋体" w:hAnsi="宋体" w:cs="宋体"/>
          <w:color w:val="auto"/>
          <w:kern w:val="0"/>
          <w:szCs w:val="21"/>
          <w:highlight w:val="none"/>
        </w:rPr>
        <w:t>时间：</w:t>
      </w:r>
      <w:r>
        <w:rPr>
          <w:rFonts w:hint="eastAsia" w:ascii="宋体" w:hAnsi="宋体" w:cs="宋体"/>
          <w:color w:val="auto"/>
          <w:kern w:val="0"/>
          <w:szCs w:val="21"/>
          <w:highlight w:val="none"/>
          <w:u w:val="single"/>
        </w:rPr>
        <w:t>202</w:t>
      </w:r>
      <w:r>
        <w:rPr>
          <w:rFonts w:hint="eastAsia" w:ascii="宋体" w:hAnsi="宋体" w:cs="宋体"/>
          <w:color w:val="auto"/>
          <w:kern w:val="0"/>
          <w:szCs w:val="21"/>
          <w:highlight w:val="none"/>
          <w:u w:val="single"/>
          <w:lang w:val="en-US" w:eastAsia="zh-CN"/>
        </w:rPr>
        <w:t>6</w:t>
      </w:r>
      <w:r>
        <w:rPr>
          <w:rFonts w:hint="eastAsia" w:ascii="宋体" w:hAnsi="宋体" w:cs="宋体"/>
          <w:color w:val="auto"/>
          <w:kern w:val="0"/>
          <w:szCs w:val="21"/>
          <w:highlight w:val="none"/>
          <w:u w:val="single"/>
        </w:rPr>
        <w:t>年</w:t>
      </w:r>
      <w:r>
        <w:rPr>
          <w:rFonts w:hint="eastAsia" w:ascii="宋体" w:hAnsi="宋体" w:cs="宋体"/>
          <w:color w:val="auto"/>
          <w:kern w:val="0"/>
          <w:szCs w:val="21"/>
          <w:highlight w:val="none"/>
          <w:u w:val="single"/>
          <w:lang w:val="en-US" w:eastAsia="zh-CN"/>
        </w:rPr>
        <w:t>5</w:t>
      </w:r>
      <w:r>
        <w:rPr>
          <w:rFonts w:hint="eastAsia" w:ascii="宋体" w:hAnsi="宋体" w:cs="宋体"/>
          <w:color w:val="auto"/>
          <w:kern w:val="0"/>
          <w:szCs w:val="21"/>
          <w:highlight w:val="none"/>
          <w:u w:val="single"/>
        </w:rPr>
        <w:t>月</w:t>
      </w:r>
      <w:r>
        <w:rPr>
          <w:rFonts w:hint="eastAsia" w:ascii="宋体" w:hAnsi="宋体" w:cs="宋体"/>
          <w:color w:val="auto"/>
          <w:kern w:val="0"/>
          <w:szCs w:val="21"/>
          <w:highlight w:val="none"/>
          <w:u w:val="single"/>
          <w:lang w:val="en-US" w:eastAsia="zh-CN"/>
        </w:rPr>
        <w:t>6</w:t>
      </w:r>
      <w:r>
        <w:rPr>
          <w:rFonts w:hint="eastAsia" w:ascii="宋体" w:hAnsi="宋体" w:cs="宋体"/>
          <w:color w:val="auto"/>
          <w:kern w:val="0"/>
          <w:szCs w:val="21"/>
          <w:highlight w:val="none"/>
          <w:u w:val="single"/>
        </w:rPr>
        <w:t>日至202</w:t>
      </w:r>
      <w:r>
        <w:rPr>
          <w:rFonts w:hint="eastAsia" w:ascii="宋体" w:hAnsi="宋体" w:cs="宋体"/>
          <w:color w:val="auto"/>
          <w:kern w:val="0"/>
          <w:szCs w:val="21"/>
          <w:highlight w:val="none"/>
          <w:u w:val="single"/>
          <w:lang w:val="en-US" w:eastAsia="zh-CN"/>
        </w:rPr>
        <w:t>6</w:t>
      </w:r>
      <w:r>
        <w:rPr>
          <w:rFonts w:hint="eastAsia" w:ascii="宋体" w:hAnsi="宋体" w:cs="宋体"/>
          <w:color w:val="auto"/>
          <w:kern w:val="0"/>
          <w:szCs w:val="21"/>
          <w:highlight w:val="none"/>
          <w:u w:val="single"/>
        </w:rPr>
        <w:t>年</w:t>
      </w:r>
      <w:r>
        <w:rPr>
          <w:rFonts w:hint="eastAsia" w:ascii="宋体" w:hAnsi="宋体" w:cs="宋体"/>
          <w:color w:val="auto"/>
          <w:kern w:val="0"/>
          <w:szCs w:val="21"/>
          <w:highlight w:val="none"/>
          <w:u w:val="single"/>
          <w:lang w:val="en-US" w:eastAsia="zh-CN"/>
        </w:rPr>
        <w:t>5</w:t>
      </w:r>
      <w:r>
        <w:rPr>
          <w:rFonts w:hint="eastAsia" w:ascii="宋体" w:hAnsi="宋体" w:cs="宋体"/>
          <w:color w:val="auto"/>
          <w:kern w:val="0"/>
          <w:szCs w:val="21"/>
          <w:highlight w:val="none"/>
          <w:u w:val="single"/>
        </w:rPr>
        <w:t>月</w:t>
      </w:r>
      <w:r>
        <w:rPr>
          <w:rFonts w:hint="eastAsia" w:ascii="宋体" w:hAnsi="宋体" w:cs="宋体"/>
          <w:color w:val="auto"/>
          <w:kern w:val="0"/>
          <w:szCs w:val="21"/>
          <w:highlight w:val="none"/>
          <w:u w:val="single"/>
          <w:lang w:val="en-US" w:eastAsia="zh-CN"/>
        </w:rPr>
        <w:t>9</w:t>
      </w:r>
      <w:r>
        <w:rPr>
          <w:rFonts w:hint="eastAsia" w:ascii="宋体" w:hAnsi="宋体" w:cs="宋体"/>
          <w:color w:val="auto"/>
          <w:kern w:val="0"/>
          <w:szCs w:val="21"/>
          <w:highlight w:val="none"/>
          <w:u w:val="single"/>
        </w:rPr>
        <w:t>日，每天上午00:00至11:59，下午12:00至23:59（北京时间，法定节假日除外）。</w:t>
      </w:r>
    </w:p>
    <w:p w14:paraId="16D4DCE6">
      <w:pPr>
        <w:shd w:val="clear"/>
        <w:spacing w:line="360" w:lineRule="auto"/>
        <w:ind w:firstLine="540"/>
        <w:rPr>
          <w:rFonts w:hint="eastAsia" w:ascii="宋体" w:hAnsi="宋体" w:cs="宋体"/>
          <w:color w:val="auto"/>
          <w:kern w:val="0"/>
          <w:szCs w:val="21"/>
          <w:highlight w:val="none"/>
        </w:rPr>
      </w:pPr>
      <w:r>
        <w:rPr>
          <w:rFonts w:hint="eastAsia" w:ascii="宋体" w:hAnsi="宋体" w:eastAsia="宋体" w:cs="宋体"/>
          <w:color w:val="auto"/>
          <w:kern w:val="0"/>
          <w:szCs w:val="21"/>
          <w:highlight w:val="none"/>
        </w:rPr>
        <w:t>2.地点：“广西政府采购云平台”（https://www.gcy.zfcg.gxzf.gov.cn/）。</w:t>
      </w:r>
    </w:p>
    <w:p w14:paraId="13D270F5">
      <w:pPr>
        <w:shd w:val="clear"/>
        <w:spacing w:line="360" w:lineRule="auto"/>
        <w:ind w:firstLine="540"/>
        <w:rPr>
          <w:rFonts w:ascii="宋体" w:hAnsi="宋体" w:cs="宋体"/>
          <w:color w:val="auto"/>
          <w:kern w:val="0"/>
          <w:szCs w:val="21"/>
          <w:highlight w:val="none"/>
          <w:u w:val="single"/>
        </w:rPr>
      </w:pP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获取方式：</w:t>
      </w:r>
      <w:r>
        <w:rPr>
          <w:rFonts w:hint="eastAsia" w:ascii="宋体" w:hAnsi="宋体" w:cs="宋体"/>
          <w:color w:val="auto"/>
          <w:kern w:val="0"/>
          <w:szCs w:val="21"/>
          <w:highlight w:val="none"/>
          <w:u w:val="single"/>
        </w:rPr>
        <w:t>网上下载。本项目不发放纸质</w:t>
      </w:r>
      <w:r>
        <w:rPr>
          <w:rFonts w:hint="eastAsia" w:ascii="宋体" w:hAnsi="宋体" w:cs="宋体"/>
          <w:color w:val="auto"/>
          <w:kern w:val="0"/>
          <w:szCs w:val="21"/>
          <w:highlight w:val="none"/>
          <w:u w:val="single"/>
          <w:lang w:val="en-US" w:eastAsia="zh-CN"/>
        </w:rPr>
        <w:t>竞争性</w:t>
      </w:r>
      <w:r>
        <w:rPr>
          <w:rFonts w:hint="eastAsia" w:ascii="宋体" w:hAnsi="宋体" w:cs="宋体"/>
          <w:color w:val="auto"/>
          <w:kern w:val="0"/>
          <w:szCs w:val="21"/>
          <w:highlight w:val="none"/>
          <w:u w:val="single"/>
        </w:rPr>
        <w:t>谈判文件，潜在供应商可自行在“广西政府采购云平台”（https://www.gcy.zfcg.gxzf.gov.cn）下载</w:t>
      </w:r>
      <w:r>
        <w:rPr>
          <w:rFonts w:hint="eastAsia" w:ascii="宋体" w:hAnsi="宋体" w:cs="宋体"/>
          <w:color w:val="auto"/>
          <w:kern w:val="0"/>
          <w:szCs w:val="21"/>
          <w:highlight w:val="none"/>
          <w:u w:val="single"/>
          <w:lang w:val="en-US" w:eastAsia="zh-CN"/>
        </w:rPr>
        <w:t>竞争性</w:t>
      </w:r>
      <w:r>
        <w:rPr>
          <w:rFonts w:hint="eastAsia" w:ascii="宋体" w:hAnsi="宋体" w:cs="宋体"/>
          <w:color w:val="auto"/>
          <w:kern w:val="0"/>
          <w:szCs w:val="21"/>
          <w:highlight w:val="none"/>
          <w:u w:val="single"/>
        </w:rPr>
        <w:t>谈判文件操作路径：登录广西政府采购云平台－项目采购－获取谈判文件－找到本项目－点击“申请获取谈判文件”，按系统操作获取</w:t>
      </w:r>
      <w:r>
        <w:rPr>
          <w:rFonts w:hint="eastAsia" w:ascii="宋体" w:hAnsi="宋体" w:cs="宋体"/>
          <w:color w:val="auto"/>
          <w:kern w:val="0"/>
          <w:szCs w:val="21"/>
          <w:highlight w:val="none"/>
          <w:u w:val="single"/>
          <w:lang w:val="en-US" w:eastAsia="zh-CN"/>
        </w:rPr>
        <w:t>竞争性</w:t>
      </w:r>
      <w:r>
        <w:rPr>
          <w:rFonts w:hint="eastAsia" w:ascii="宋体" w:hAnsi="宋体" w:cs="宋体"/>
          <w:color w:val="auto"/>
          <w:kern w:val="0"/>
          <w:szCs w:val="21"/>
          <w:highlight w:val="none"/>
          <w:u w:val="single"/>
        </w:rPr>
        <w:t>谈判文件。电子响应文件制作需要基于广西政府采购云平台获取的</w:t>
      </w:r>
      <w:r>
        <w:rPr>
          <w:rFonts w:hint="eastAsia" w:ascii="宋体" w:hAnsi="宋体" w:cs="宋体"/>
          <w:color w:val="auto"/>
          <w:kern w:val="0"/>
          <w:szCs w:val="21"/>
          <w:highlight w:val="none"/>
          <w:u w:val="single"/>
          <w:lang w:val="en-US" w:eastAsia="zh-CN"/>
        </w:rPr>
        <w:t>竞争性</w:t>
      </w:r>
      <w:r>
        <w:rPr>
          <w:rFonts w:hint="eastAsia" w:ascii="宋体" w:hAnsi="宋体" w:cs="宋体"/>
          <w:color w:val="auto"/>
          <w:kern w:val="0"/>
          <w:szCs w:val="21"/>
          <w:highlight w:val="none"/>
          <w:u w:val="single"/>
        </w:rPr>
        <w:t>谈判文件编制，通过其他方式获取</w:t>
      </w:r>
      <w:r>
        <w:rPr>
          <w:rFonts w:hint="eastAsia" w:ascii="宋体" w:hAnsi="宋体" w:cs="宋体"/>
          <w:color w:val="auto"/>
          <w:kern w:val="0"/>
          <w:szCs w:val="21"/>
          <w:highlight w:val="none"/>
          <w:u w:val="single"/>
          <w:lang w:val="en-US" w:eastAsia="zh-CN"/>
        </w:rPr>
        <w:t>竞争性</w:t>
      </w:r>
      <w:r>
        <w:rPr>
          <w:rFonts w:hint="eastAsia" w:ascii="宋体" w:hAnsi="宋体" w:cs="宋体"/>
          <w:color w:val="auto"/>
          <w:kern w:val="0"/>
          <w:szCs w:val="21"/>
          <w:highlight w:val="none"/>
          <w:u w:val="single"/>
        </w:rPr>
        <w:t>谈判文件的，将有可能导致供应商无法在广西政府采购云平台编制及上传响应文件。</w:t>
      </w:r>
    </w:p>
    <w:p w14:paraId="6CA3B850">
      <w:pPr>
        <w:shd w:val="clear"/>
        <w:spacing w:line="360" w:lineRule="auto"/>
        <w:ind w:firstLine="540"/>
        <w:rPr>
          <w:rFonts w:ascii="宋体" w:hAnsi="宋体" w:cs="宋体"/>
          <w:color w:val="auto"/>
          <w:szCs w:val="21"/>
          <w:highlight w:val="none"/>
        </w:rPr>
      </w:pP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售价：</w:t>
      </w:r>
      <w:r>
        <w:rPr>
          <w:rFonts w:hint="eastAsia" w:ascii="宋体" w:hAnsi="宋体" w:cs="宋体"/>
          <w:color w:val="auto"/>
          <w:kern w:val="0"/>
          <w:szCs w:val="21"/>
          <w:highlight w:val="none"/>
          <w:u w:val="single"/>
        </w:rPr>
        <w:t>0.00元</w:t>
      </w:r>
      <w:r>
        <w:rPr>
          <w:rFonts w:hint="eastAsia" w:ascii="宋体" w:hAnsi="宋体" w:cs="宋体"/>
          <w:color w:val="auto"/>
          <w:szCs w:val="21"/>
          <w:highlight w:val="none"/>
        </w:rPr>
        <w:t>。</w:t>
      </w:r>
    </w:p>
    <w:p w14:paraId="6EFE3BAA">
      <w:pPr>
        <w:shd w:val="clea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四、响应文件提交</w:t>
      </w:r>
      <w:bookmarkEnd w:id="18"/>
      <w:bookmarkEnd w:id="19"/>
      <w:bookmarkEnd w:id="20"/>
      <w:bookmarkEnd w:id="21"/>
      <w:bookmarkEnd w:id="22"/>
    </w:p>
    <w:p w14:paraId="1CCD555C">
      <w:pPr>
        <w:shd w:val="clear"/>
        <w:spacing w:line="360" w:lineRule="auto"/>
        <w:ind w:firstLine="420" w:firstLineChars="200"/>
        <w:rPr>
          <w:rFonts w:hint="eastAsia" w:ascii="宋体" w:hAnsi="宋体" w:eastAsia="宋体" w:cs="宋体"/>
          <w:color w:val="auto"/>
          <w:szCs w:val="21"/>
          <w:highlight w:val="none"/>
          <w:u w:val="single"/>
          <w:lang w:eastAsia="zh-CN"/>
        </w:rPr>
      </w:pPr>
      <w:r>
        <w:rPr>
          <w:rFonts w:hint="eastAsia" w:ascii="宋体" w:hAnsi="宋体" w:cs="宋体"/>
          <w:bCs/>
          <w:color w:val="auto"/>
          <w:szCs w:val="21"/>
          <w:highlight w:val="none"/>
        </w:rPr>
        <w:t>1</w:t>
      </w:r>
      <w:r>
        <w:rPr>
          <w:rFonts w:hint="eastAsia" w:ascii="宋体" w:hAnsi="宋体" w:cs="宋体"/>
          <w:color w:val="auto"/>
          <w:szCs w:val="21"/>
          <w:highlight w:val="none"/>
        </w:rPr>
        <w:t>.响应文件提交截止时间</w:t>
      </w:r>
      <w:r>
        <w:rPr>
          <w:rFonts w:hint="eastAsia" w:ascii="宋体" w:hAnsi="宋体" w:cs="宋体"/>
          <w:bCs/>
          <w:color w:val="auto"/>
          <w:szCs w:val="21"/>
          <w:highlight w:val="none"/>
        </w:rPr>
        <w:t>（北京时间）：</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年</w:t>
      </w:r>
      <w:r>
        <w:rPr>
          <w:rFonts w:hint="eastAsia" w:ascii="宋体" w:hAnsi="宋体" w:cs="宋体"/>
          <w:color w:val="auto"/>
          <w:kern w:val="0"/>
          <w:szCs w:val="21"/>
          <w:highlight w:val="none"/>
          <w:u w:val="single"/>
          <w:lang w:val="en-US" w:eastAsia="zh-CN"/>
        </w:rPr>
        <w:t>5</w:t>
      </w:r>
      <w:r>
        <w:rPr>
          <w:rFonts w:hint="eastAsia" w:ascii="宋体" w:hAnsi="宋体" w:cs="宋体"/>
          <w:color w:val="auto"/>
          <w:kern w:val="0"/>
          <w:szCs w:val="21"/>
          <w:highlight w:val="none"/>
          <w:u w:val="single"/>
        </w:rPr>
        <w:t>月</w:t>
      </w:r>
      <w:r>
        <w:rPr>
          <w:rFonts w:hint="eastAsia" w:ascii="宋体" w:hAnsi="宋体" w:cs="宋体"/>
          <w:color w:val="auto"/>
          <w:kern w:val="0"/>
          <w:szCs w:val="21"/>
          <w:highlight w:val="none"/>
          <w:u w:val="single"/>
          <w:lang w:val="en-US" w:eastAsia="zh-CN"/>
        </w:rPr>
        <w:t>11</w:t>
      </w:r>
      <w:r>
        <w:rPr>
          <w:rFonts w:hint="eastAsia" w:ascii="宋体" w:hAnsi="宋体" w:cs="宋体"/>
          <w:color w:val="auto"/>
          <w:kern w:val="0"/>
          <w:szCs w:val="21"/>
          <w:highlight w:val="none"/>
          <w:u w:val="single"/>
        </w:rPr>
        <w:t>日</w:t>
      </w:r>
      <w:r>
        <w:rPr>
          <w:rFonts w:hint="eastAsia" w:ascii="宋体" w:hAnsi="宋体" w:cs="宋体"/>
          <w:color w:val="auto"/>
          <w:szCs w:val="21"/>
          <w:highlight w:val="none"/>
          <w:u w:val="single"/>
        </w:rPr>
        <w:t>09时30分</w:t>
      </w:r>
      <w:r>
        <w:rPr>
          <w:rFonts w:hint="eastAsia" w:ascii="宋体" w:hAnsi="宋体" w:cs="宋体"/>
          <w:color w:val="auto"/>
          <w:szCs w:val="21"/>
          <w:highlight w:val="none"/>
          <w:u w:val="single"/>
          <w:lang w:eastAsia="zh-CN"/>
        </w:rPr>
        <w:t>。</w:t>
      </w:r>
    </w:p>
    <w:p w14:paraId="6156FAFD">
      <w:pPr>
        <w:shd w:val="clea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2.地点：</w:t>
      </w:r>
      <w:r>
        <w:rPr>
          <w:rFonts w:hint="eastAsia" w:ascii="宋体" w:hAnsi="宋体" w:cs="宋体"/>
          <w:color w:val="auto"/>
          <w:szCs w:val="21"/>
          <w:highlight w:val="none"/>
          <w:u w:val="single"/>
        </w:rPr>
        <w:t>“广西政府采购云平台”（https://www.gcy.zfcg.gxzf.gov.cn）</w:t>
      </w:r>
      <w:r>
        <w:rPr>
          <w:rFonts w:hint="eastAsia" w:ascii="宋体" w:hAnsi="宋体" w:cs="宋体"/>
          <w:color w:val="auto"/>
          <w:szCs w:val="21"/>
          <w:highlight w:val="none"/>
          <w:u w:val="single"/>
          <w:lang w:eastAsia="zh-CN"/>
        </w:rPr>
        <w:t>。</w:t>
      </w:r>
    </w:p>
    <w:p w14:paraId="459901DD">
      <w:pPr>
        <w:shd w:val="clear"/>
        <w:spacing w:line="360" w:lineRule="auto"/>
        <w:rPr>
          <w:rFonts w:ascii="宋体" w:hAnsi="宋体" w:cs="宋体"/>
          <w:b/>
          <w:bCs/>
          <w:color w:val="auto"/>
          <w:szCs w:val="21"/>
          <w:highlight w:val="none"/>
        </w:rPr>
      </w:pPr>
      <w:bookmarkStart w:id="23" w:name="_Toc35393633"/>
      <w:bookmarkStart w:id="24" w:name="_Toc28359093"/>
      <w:bookmarkStart w:id="25" w:name="_Toc28359016"/>
      <w:bookmarkStart w:id="26" w:name="_Toc44229882"/>
      <w:bookmarkStart w:id="27" w:name="_Toc35393802"/>
      <w:r>
        <w:rPr>
          <w:rFonts w:hint="eastAsia" w:ascii="宋体" w:hAnsi="宋体" w:cs="宋体"/>
          <w:b/>
          <w:bCs/>
          <w:color w:val="auto"/>
          <w:szCs w:val="21"/>
          <w:highlight w:val="none"/>
        </w:rPr>
        <w:t>五、开启</w:t>
      </w:r>
      <w:bookmarkEnd w:id="23"/>
      <w:bookmarkEnd w:id="24"/>
      <w:bookmarkEnd w:id="25"/>
      <w:bookmarkEnd w:id="26"/>
      <w:bookmarkEnd w:id="27"/>
    </w:p>
    <w:p w14:paraId="1E463ECF">
      <w:pPr>
        <w:shd w:val="clear"/>
        <w:spacing w:line="360" w:lineRule="auto"/>
        <w:ind w:firstLine="420" w:firstLineChars="200"/>
        <w:rPr>
          <w:rFonts w:hint="eastAsia" w:ascii="宋体" w:hAnsi="宋体" w:eastAsia="宋体" w:cs="宋体"/>
          <w:bCs/>
          <w:color w:val="auto"/>
          <w:szCs w:val="21"/>
          <w:highlight w:val="none"/>
          <w:u w:val="single"/>
          <w:lang w:eastAsia="zh-CN"/>
        </w:rPr>
      </w:pPr>
      <w:r>
        <w:rPr>
          <w:rFonts w:hint="eastAsia" w:ascii="宋体" w:hAnsi="宋体" w:cs="宋体"/>
          <w:color w:val="auto"/>
          <w:szCs w:val="21"/>
          <w:highlight w:val="none"/>
        </w:rPr>
        <w:t>1.</w:t>
      </w:r>
      <w:bookmarkStart w:id="28" w:name="_Toc28359017"/>
      <w:bookmarkStart w:id="29" w:name="_Toc35393634"/>
      <w:bookmarkStart w:id="30" w:name="_Toc28359094"/>
      <w:bookmarkStart w:id="31" w:name="_Toc35393803"/>
      <w:bookmarkStart w:id="32" w:name="_Toc44229883"/>
      <w:r>
        <w:rPr>
          <w:rFonts w:hint="eastAsia" w:ascii="宋体" w:hAnsi="宋体" w:cs="宋体"/>
          <w:color w:val="auto"/>
          <w:szCs w:val="21"/>
          <w:highlight w:val="none"/>
        </w:rPr>
        <w:t>时间：</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年</w:t>
      </w:r>
      <w:r>
        <w:rPr>
          <w:rFonts w:hint="eastAsia" w:ascii="宋体" w:hAnsi="宋体" w:cs="宋体"/>
          <w:color w:val="auto"/>
          <w:kern w:val="0"/>
          <w:szCs w:val="21"/>
          <w:highlight w:val="none"/>
          <w:u w:val="single"/>
          <w:lang w:val="en-US" w:eastAsia="zh-CN"/>
        </w:rPr>
        <w:t>5</w:t>
      </w:r>
      <w:r>
        <w:rPr>
          <w:rFonts w:hint="eastAsia" w:ascii="宋体" w:hAnsi="宋体" w:cs="宋体"/>
          <w:color w:val="auto"/>
          <w:kern w:val="0"/>
          <w:szCs w:val="21"/>
          <w:highlight w:val="none"/>
          <w:u w:val="single"/>
        </w:rPr>
        <w:t>月</w:t>
      </w:r>
      <w:r>
        <w:rPr>
          <w:rFonts w:hint="eastAsia" w:ascii="宋体" w:hAnsi="宋体" w:cs="宋体"/>
          <w:color w:val="auto"/>
          <w:kern w:val="0"/>
          <w:szCs w:val="21"/>
          <w:highlight w:val="none"/>
          <w:u w:val="single"/>
          <w:lang w:val="en-US" w:eastAsia="zh-CN"/>
        </w:rPr>
        <w:t>11</w:t>
      </w:r>
      <w:r>
        <w:rPr>
          <w:rFonts w:hint="eastAsia" w:ascii="宋体" w:hAnsi="宋体" w:cs="宋体"/>
          <w:color w:val="auto"/>
          <w:kern w:val="0"/>
          <w:szCs w:val="21"/>
          <w:highlight w:val="none"/>
          <w:u w:val="single"/>
        </w:rPr>
        <w:t>日</w:t>
      </w:r>
      <w:r>
        <w:rPr>
          <w:rFonts w:hint="eastAsia" w:ascii="宋体" w:hAnsi="宋体" w:cs="宋体"/>
          <w:color w:val="auto"/>
          <w:szCs w:val="21"/>
          <w:highlight w:val="none"/>
          <w:u w:val="single"/>
          <w:lang w:val="en-US" w:eastAsia="zh-CN"/>
        </w:rPr>
        <w:t>09</w:t>
      </w:r>
      <w:r>
        <w:rPr>
          <w:rFonts w:hint="eastAsia" w:ascii="宋体" w:hAnsi="宋体" w:cs="宋体"/>
          <w:color w:val="auto"/>
          <w:szCs w:val="21"/>
          <w:highlight w:val="none"/>
          <w:u w:val="single"/>
        </w:rPr>
        <w:t>时</w:t>
      </w:r>
      <w:r>
        <w:rPr>
          <w:rFonts w:hint="eastAsia" w:ascii="宋体" w:hAnsi="宋体" w:cs="宋体"/>
          <w:color w:val="auto"/>
          <w:szCs w:val="21"/>
          <w:highlight w:val="none"/>
          <w:u w:val="single"/>
          <w:lang w:val="en-US" w:eastAsia="zh-CN"/>
        </w:rPr>
        <w:t>30</w:t>
      </w:r>
      <w:r>
        <w:rPr>
          <w:rFonts w:hint="eastAsia" w:ascii="宋体" w:hAnsi="宋体" w:cs="宋体"/>
          <w:color w:val="auto"/>
          <w:szCs w:val="21"/>
          <w:highlight w:val="none"/>
          <w:u w:val="single"/>
        </w:rPr>
        <w:t>分</w:t>
      </w:r>
      <w:r>
        <w:rPr>
          <w:rFonts w:hint="eastAsia" w:ascii="宋体" w:hAnsi="宋体" w:cs="宋体"/>
          <w:bCs/>
          <w:color w:val="auto"/>
          <w:szCs w:val="21"/>
          <w:highlight w:val="none"/>
        </w:rPr>
        <w:t>（北京时间）</w:t>
      </w:r>
      <w:r>
        <w:rPr>
          <w:rFonts w:hint="eastAsia" w:ascii="宋体" w:hAnsi="宋体" w:cs="宋体"/>
          <w:color w:val="auto"/>
          <w:szCs w:val="21"/>
          <w:highlight w:val="none"/>
        </w:rPr>
        <w:t>后</w:t>
      </w:r>
      <w:r>
        <w:rPr>
          <w:rFonts w:hint="eastAsia" w:ascii="宋体" w:hAnsi="宋体" w:cs="宋体"/>
          <w:color w:val="auto"/>
          <w:szCs w:val="21"/>
          <w:highlight w:val="none"/>
          <w:lang w:eastAsia="zh-CN"/>
        </w:rPr>
        <w:t>。</w:t>
      </w:r>
    </w:p>
    <w:p w14:paraId="07F61D43">
      <w:pPr>
        <w:shd w:val="clear"/>
        <w:spacing w:line="360" w:lineRule="auto"/>
        <w:ind w:firstLine="420" w:firstLineChars="200"/>
        <w:rPr>
          <w:rFonts w:hint="eastAsia" w:ascii="宋体" w:hAnsi="宋体" w:eastAsia="宋体" w:cs="宋体"/>
          <w:bCs/>
          <w:color w:val="auto"/>
          <w:szCs w:val="21"/>
          <w:highlight w:val="none"/>
          <w:u w:val="single"/>
          <w:lang w:eastAsia="zh-CN"/>
        </w:rPr>
      </w:pPr>
      <w:r>
        <w:rPr>
          <w:rFonts w:hint="eastAsia" w:ascii="宋体" w:hAnsi="宋体" w:cs="宋体"/>
          <w:color w:val="auto"/>
          <w:szCs w:val="21"/>
          <w:highlight w:val="none"/>
        </w:rPr>
        <w:t>2.地点：</w:t>
      </w:r>
      <w:r>
        <w:rPr>
          <w:rFonts w:hint="eastAsia" w:ascii="宋体" w:hAnsi="宋体" w:cs="宋体"/>
          <w:color w:val="auto"/>
          <w:szCs w:val="21"/>
          <w:highlight w:val="none"/>
          <w:u w:val="single"/>
        </w:rPr>
        <w:t>“广西政府采购云平台”电子开标大厅</w:t>
      </w:r>
      <w:r>
        <w:rPr>
          <w:rFonts w:hint="eastAsia" w:ascii="宋体" w:hAnsi="宋体" w:cs="宋体"/>
          <w:color w:val="auto"/>
          <w:szCs w:val="21"/>
          <w:highlight w:val="none"/>
          <w:u w:val="single"/>
          <w:lang w:eastAsia="zh-CN"/>
        </w:rPr>
        <w:t>。</w:t>
      </w:r>
    </w:p>
    <w:p w14:paraId="57DFEE79">
      <w:pPr>
        <w:shd w:val="clea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六、公告期限</w:t>
      </w:r>
      <w:bookmarkEnd w:id="28"/>
      <w:bookmarkEnd w:id="29"/>
      <w:bookmarkEnd w:id="30"/>
      <w:bookmarkEnd w:id="31"/>
      <w:bookmarkEnd w:id="32"/>
    </w:p>
    <w:p w14:paraId="17E8B41D">
      <w:pPr>
        <w:shd w:val="clea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自本公告发布之日起3个工作日。</w:t>
      </w:r>
    </w:p>
    <w:p w14:paraId="05EBBD08">
      <w:pPr>
        <w:shd w:val="clear"/>
        <w:spacing w:line="360" w:lineRule="auto"/>
        <w:rPr>
          <w:rFonts w:ascii="宋体" w:hAnsi="宋体" w:cs="宋体"/>
          <w:b/>
          <w:bCs/>
          <w:color w:val="auto"/>
          <w:szCs w:val="21"/>
          <w:highlight w:val="none"/>
        </w:rPr>
      </w:pPr>
      <w:bookmarkStart w:id="33" w:name="_Toc35393635"/>
      <w:bookmarkStart w:id="34" w:name="_Toc35393804"/>
      <w:bookmarkStart w:id="35" w:name="_Toc44229884"/>
      <w:r>
        <w:rPr>
          <w:rFonts w:hint="eastAsia" w:ascii="宋体" w:hAnsi="宋体" w:cs="宋体"/>
          <w:b/>
          <w:bCs/>
          <w:color w:val="auto"/>
          <w:szCs w:val="21"/>
          <w:highlight w:val="none"/>
        </w:rPr>
        <w:t>七、其他补充事宜</w:t>
      </w:r>
      <w:bookmarkEnd w:id="33"/>
      <w:bookmarkEnd w:id="34"/>
      <w:bookmarkEnd w:id="35"/>
    </w:p>
    <w:p w14:paraId="796076C9">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1.谈判保证金：</w:t>
      </w:r>
    </w:p>
    <w:p w14:paraId="762F1978">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谈判保证金人民币</w:t>
      </w:r>
      <w:r>
        <w:rPr>
          <w:rFonts w:hint="eastAsia" w:ascii="宋体" w:hAnsi="宋体" w:cs="宋体"/>
          <w:color w:val="auto"/>
          <w:kern w:val="0"/>
          <w:szCs w:val="21"/>
          <w:highlight w:val="none"/>
          <w:u w:val="single"/>
        </w:rPr>
        <w:t>10000.00</w:t>
      </w:r>
      <w:r>
        <w:rPr>
          <w:rFonts w:hint="eastAsia" w:ascii="宋体" w:hAnsi="宋体" w:cs="宋体"/>
          <w:color w:val="auto"/>
          <w:kern w:val="0"/>
          <w:szCs w:val="21"/>
          <w:highlight w:val="none"/>
        </w:rPr>
        <w:t>元。</w:t>
      </w:r>
    </w:p>
    <w:p w14:paraId="1807ACFC">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kern w:val="0"/>
          <w:szCs w:val="21"/>
          <w:highlight w:val="none"/>
        </w:rPr>
        <w:t>谈判保证金的</w:t>
      </w:r>
      <w:r>
        <w:rPr>
          <w:rFonts w:hint="eastAsia" w:ascii="宋体" w:hAnsi="宋体" w:cs="宋体"/>
          <w:color w:val="auto"/>
          <w:szCs w:val="21"/>
          <w:highlight w:val="none"/>
          <w:lang w:bidi="ar"/>
        </w:rPr>
        <w:t>缴</w:t>
      </w:r>
      <w:r>
        <w:rPr>
          <w:rFonts w:hint="eastAsia" w:ascii="宋体" w:hAnsi="宋体" w:cs="宋体"/>
          <w:color w:val="auto"/>
          <w:kern w:val="0"/>
          <w:szCs w:val="21"/>
          <w:highlight w:val="none"/>
        </w:rPr>
        <w:t>纳方式：</w:t>
      </w:r>
      <w:r>
        <w:rPr>
          <w:rFonts w:hint="eastAsia" w:ascii="宋体" w:hAnsi="宋体" w:cs="宋体"/>
          <w:color w:val="auto"/>
          <w:szCs w:val="21"/>
          <w:highlight w:val="none"/>
          <w:lang w:bidi="ar"/>
        </w:rPr>
        <w:t>供应商应于响应文件递交截止时间前将</w:t>
      </w:r>
      <w:r>
        <w:rPr>
          <w:rFonts w:hint="eastAsia" w:ascii="宋体" w:hAnsi="宋体" w:cs="宋体"/>
          <w:color w:val="auto"/>
          <w:szCs w:val="21"/>
          <w:highlight w:val="none"/>
          <w:lang w:val="en-US" w:eastAsia="zh-CN" w:bidi="ar"/>
        </w:rPr>
        <w:t>谈判</w:t>
      </w:r>
      <w:r>
        <w:rPr>
          <w:rFonts w:hint="eastAsia" w:ascii="宋体" w:hAnsi="宋体" w:cs="宋体"/>
          <w:color w:val="auto"/>
          <w:szCs w:val="21"/>
          <w:highlight w:val="none"/>
          <w:lang w:bidi="ar"/>
        </w:rPr>
        <w:t>保证金以银行转账、电汇、网上支付、支票、汇票、本票或者金融机构、担保机构、保险机构出具的保函、保险单等非现金形式提交。采用支票、汇票、本票或者金融机构、担保机构、保险机构出具的保函、保险单等形式的，供应商应当在递交响应文件的同时递交单独密封的票据或保函、保险单原件；采用银行转账、电汇、网上支付形式的，供应商须于响应文件递交截止时间前将</w:t>
      </w:r>
      <w:r>
        <w:rPr>
          <w:rFonts w:hint="eastAsia" w:ascii="宋体" w:hAnsi="宋体" w:cs="宋体"/>
          <w:color w:val="auto"/>
          <w:szCs w:val="21"/>
          <w:highlight w:val="none"/>
          <w:lang w:val="en-US" w:eastAsia="zh-CN" w:bidi="ar"/>
        </w:rPr>
        <w:t>谈判</w:t>
      </w:r>
      <w:r>
        <w:rPr>
          <w:rFonts w:hint="eastAsia" w:ascii="宋体" w:hAnsi="宋体" w:cs="宋体"/>
          <w:color w:val="auto"/>
          <w:szCs w:val="21"/>
          <w:highlight w:val="none"/>
          <w:lang w:bidi="ar"/>
        </w:rPr>
        <w:t>保证金从供应商基本账户转至采购代理机构指定账户。</w:t>
      </w:r>
      <w:r>
        <w:rPr>
          <w:rFonts w:hint="eastAsia" w:ascii="宋体" w:hAnsi="宋体" w:cs="宋体"/>
          <w:b/>
          <w:bCs/>
          <w:color w:val="auto"/>
          <w:szCs w:val="21"/>
          <w:highlight w:val="none"/>
        </w:rPr>
        <w:t>（</w:t>
      </w:r>
      <w:r>
        <w:rPr>
          <w:rFonts w:hint="eastAsia" w:ascii="宋体" w:hAnsi="宋体" w:cs="宋体"/>
          <w:b/>
          <w:bCs/>
          <w:color w:val="auto"/>
          <w:szCs w:val="21"/>
          <w:highlight w:val="none"/>
          <w:lang w:bidi="ar"/>
        </w:rPr>
        <w:t>缴纳时注明项目编号（财务室电话：0771-2225338）</w:t>
      </w:r>
      <w:r>
        <w:rPr>
          <w:rFonts w:hint="eastAsia" w:ascii="宋体" w:hAnsi="宋体" w:cs="宋体"/>
          <w:b/>
          <w:bCs/>
          <w:color w:val="auto"/>
          <w:szCs w:val="21"/>
          <w:highlight w:val="none"/>
        </w:rPr>
        <w:t>）</w:t>
      </w:r>
      <w:r>
        <w:rPr>
          <w:rFonts w:hint="eastAsia" w:ascii="宋体" w:hAnsi="宋体" w:cs="宋体"/>
          <w:color w:val="auto"/>
          <w:szCs w:val="21"/>
          <w:highlight w:val="none"/>
          <w:lang w:bidi="ar"/>
        </w:rPr>
        <w:t>：</w:t>
      </w:r>
    </w:p>
    <w:p w14:paraId="70E98B68">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开户名称：广西邕政采购代理有限公司</w:t>
      </w:r>
    </w:p>
    <w:p w14:paraId="5CDEEB92">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开户银行：交行南宁嘉园支行</w:t>
      </w:r>
    </w:p>
    <w:p w14:paraId="67567B5B">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银行账号：451060702018160082066</w:t>
      </w:r>
    </w:p>
    <w:p w14:paraId="386D33CC">
      <w:pPr>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auto"/>
        <w:rPr>
          <w:rFonts w:ascii="宋体" w:hAnsi="宋体" w:cs="宋体"/>
          <w:color w:val="auto"/>
          <w:kern w:val="0"/>
          <w:szCs w:val="21"/>
          <w:highlight w:val="none"/>
        </w:rPr>
      </w:pPr>
      <w:r>
        <w:rPr>
          <w:rFonts w:hint="eastAsia" w:ascii="宋体" w:hAnsi="宋体" w:cs="宋体"/>
          <w:color w:val="auto"/>
          <w:szCs w:val="21"/>
          <w:highlight w:val="none"/>
        </w:rPr>
        <w:t>银行行号：301611000742</w:t>
      </w:r>
    </w:p>
    <w:p w14:paraId="31CBCF4D">
      <w:pPr>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lang w:eastAsia="zh-CN"/>
        </w:rPr>
        <w:t>2.采购意向公开链接：</w:t>
      </w:r>
      <w:r>
        <w:rPr>
          <w:rFonts w:hint="eastAsia" w:ascii="宋体" w:hAnsi="宋体" w:cs="宋体"/>
          <w:color w:val="auto"/>
          <w:kern w:val="0"/>
          <w:szCs w:val="21"/>
          <w:highlight w:val="none"/>
          <w:lang w:val="en-US" w:eastAsia="zh-CN"/>
        </w:rPr>
        <w:t>https://zfcg.gxzf.gov.cn/site/detail?parentId=66485&amp;articleId=anjwbSruJpN9cuGrdCV6Zw==</w:t>
      </w:r>
      <w:r>
        <w:rPr>
          <w:rFonts w:hint="eastAsia" w:ascii="宋体" w:hAnsi="宋体" w:cs="宋体"/>
          <w:color w:val="auto"/>
          <w:kern w:val="0"/>
          <w:szCs w:val="21"/>
          <w:highlight w:val="none"/>
          <w:lang w:eastAsia="zh-CN"/>
        </w:rPr>
        <w:t>。</w:t>
      </w:r>
    </w:p>
    <w:p w14:paraId="482229F8">
      <w:pPr>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lang w:eastAsia="zh-CN"/>
        </w:rPr>
        <w:t>3.网上查询地址：</w:t>
      </w:r>
      <w:bookmarkStart w:id="36" w:name="_Hlk37429674"/>
      <w:r>
        <w:rPr>
          <w:rFonts w:hint="eastAsia" w:ascii="宋体" w:hAnsi="宋体" w:cs="宋体"/>
          <w:color w:val="auto"/>
          <w:kern w:val="0"/>
          <w:szCs w:val="21"/>
          <w:highlight w:val="none"/>
          <w:lang w:eastAsia="zh-CN"/>
        </w:rPr>
        <w:t>中国政府采购网（www.ccgp.gov.cn）、广西壮族自治区政府采购网（http://www.ccgp-guangxi.gov.cn/）、广西阳光采购服务平台（www.gxygcg.com）。</w:t>
      </w:r>
    </w:p>
    <w:p w14:paraId="2B5AEADD">
      <w:pPr>
        <w:shd w:val="clear"/>
        <w:spacing w:line="360" w:lineRule="auto"/>
        <w:ind w:firstLine="420" w:firstLineChars="20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4</w:t>
      </w:r>
      <w:r>
        <w:rPr>
          <w:rFonts w:hint="eastAsia" w:ascii="宋体" w:hAnsi="宋体" w:cs="宋体"/>
          <w:color w:val="auto"/>
          <w:szCs w:val="21"/>
          <w:highlight w:val="none"/>
        </w:rPr>
        <w:t>.</w:t>
      </w:r>
      <w:r>
        <w:rPr>
          <w:rFonts w:hint="eastAsia" w:ascii="宋体" w:hAnsi="宋体" w:cs="宋体"/>
          <w:color w:val="auto"/>
          <w:kern w:val="0"/>
          <w:szCs w:val="21"/>
          <w:highlight w:val="none"/>
        </w:rPr>
        <w:t>本项目需要落实的政府采购政策</w:t>
      </w:r>
      <w:r>
        <w:rPr>
          <w:rFonts w:hint="eastAsia" w:ascii="宋体" w:hAnsi="宋体" w:cs="宋体"/>
          <w:color w:val="auto"/>
          <w:kern w:val="0"/>
          <w:szCs w:val="21"/>
          <w:highlight w:val="none"/>
          <w:lang w:eastAsia="zh-CN"/>
        </w:rPr>
        <w:t>：</w:t>
      </w:r>
    </w:p>
    <w:bookmarkEnd w:id="36"/>
    <w:p w14:paraId="4B8EFF7F">
      <w:pPr>
        <w:shd w:val="clea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7A74A78C">
      <w:pPr>
        <w:shd w:val="clea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51397EA1">
      <w:pPr>
        <w:shd w:val="clea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521FFA09">
      <w:pPr>
        <w:shd w:val="clea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146D6658">
      <w:pPr>
        <w:shd w:val="clea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p w14:paraId="48027C8F">
      <w:pPr>
        <w:shd w:val="clea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（6）扶持不发达地区和少数民族地区政策。</w:t>
      </w:r>
    </w:p>
    <w:p w14:paraId="509B8ED5">
      <w:pPr>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5</w:t>
      </w:r>
      <w:r>
        <w:rPr>
          <w:rFonts w:hint="eastAsia" w:ascii="宋体" w:hAnsi="宋体" w:cs="宋体"/>
          <w:color w:val="auto"/>
          <w:szCs w:val="21"/>
          <w:highlight w:val="none"/>
        </w:rPr>
        <w:t>.</w:t>
      </w:r>
      <w:r>
        <w:rPr>
          <w:rFonts w:hint="eastAsia" w:ascii="宋体" w:hAnsi="宋体" w:cs="宋体"/>
          <w:color w:val="auto"/>
          <w:kern w:val="0"/>
          <w:szCs w:val="21"/>
          <w:highlight w:val="none"/>
        </w:rPr>
        <w:t>供应商认为</w:t>
      </w:r>
      <w:r>
        <w:rPr>
          <w:rFonts w:hint="eastAsia" w:ascii="宋体" w:hAnsi="宋体" w:cs="宋体"/>
          <w:bCs/>
          <w:color w:val="auto"/>
          <w:szCs w:val="21"/>
          <w:highlight w:val="none"/>
          <w:lang w:val="en-US" w:eastAsia="zh-CN"/>
        </w:rPr>
        <w:t>竞争性</w:t>
      </w:r>
      <w:r>
        <w:rPr>
          <w:rFonts w:hint="eastAsia" w:ascii="宋体" w:hAnsi="宋体" w:cs="宋体"/>
          <w:color w:val="auto"/>
          <w:kern w:val="0"/>
          <w:szCs w:val="21"/>
          <w:highlight w:val="none"/>
        </w:rPr>
        <w:t>谈判文件使自己的权益受到损害的，可以自获取</w:t>
      </w:r>
      <w:r>
        <w:rPr>
          <w:rFonts w:hint="eastAsia" w:ascii="宋体" w:hAnsi="宋体" w:cs="宋体"/>
          <w:bCs/>
          <w:color w:val="auto"/>
          <w:szCs w:val="21"/>
          <w:highlight w:val="none"/>
          <w:lang w:val="en-US" w:eastAsia="zh-CN"/>
        </w:rPr>
        <w:t>竞争性</w:t>
      </w:r>
      <w:r>
        <w:rPr>
          <w:rFonts w:hint="eastAsia" w:ascii="宋体" w:hAnsi="宋体" w:cs="宋体"/>
          <w:color w:val="auto"/>
          <w:kern w:val="0"/>
          <w:szCs w:val="21"/>
          <w:highlight w:val="none"/>
        </w:rPr>
        <w:t>谈判文件之日或者</w:t>
      </w:r>
      <w:r>
        <w:rPr>
          <w:rFonts w:hint="eastAsia" w:ascii="宋体" w:hAnsi="宋体" w:cs="宋体"/>
          <w:bCs/>
          <w:color w:val="auto"/>
          <w:szCs w:val="21"/>
          <w:highlight w:val="none"/>
          <w:lang w:val="en-US" w:eastAsia="zh-CN"/>
        </w:rPr>
        <w:t>竞争性</w:t>
      </w:r>
      <w:r>
        <w:rPr>
          <w:rFonts w:hint="eastAsia" w:ascii="宋体" w:hAnsi="宋体" w:cs="宋体"/>
          <w:color w:val="auto"/>
          <w:kern w:val="0"/>
          <w:szCs w:val="21"/>
          <w:highlight w:val="none"/>
        </w:rPr>
        <w:t>谈判文件公告期限届满之日（公告期限届满后获取</w:t>
      </w:r>
      <w:r>
        <w:rPr>
          <w:rFonts w:hint="eastAsia" w:ascii="宋体" w:hAnsi="宋体" w:cs="宋体"/>
          <w:bCs/>
          <w:color w:val="auto"/>
          <w:szCs w:val="21"/>
          <w:highlight w:val="none"/>
          <w:lang w:val="en-US" w:eastAsia="zh-CN"/>
        </w:rPr>
        <w:t>竞争性</w:t>
      </w:r>
      <w:r>
        <w:rPr>
          <w:rFonts w:hint="eastAsia" w:ascii="宋体" w:hAnsi="宋体" w:cs="宋体"/>
          <w:color w:val="auto"/>
          <w:kern w:val="0"/>
          <w:szCs w:val="21"/>
          <w:highlight w:val="none"/>
        </w:rPr>
        <w:t>谈判文件的，以公告期限届满之日为准）起7个工作日内以书面形式一次性向采购人或采购代理机构提出同一环节的质疑。否则，逾期的质疑采购人及采购代理机构可不予接受。质疑供应商对采购人、采购代理机构的答复不满意或者采购人、采购代理机构未在规定的时间内作出答复的，可以在答复期满后十五个工作日内向同级政府采购监督管理部门投诉。</w:t>
      </w:r>
    </w:p>
    <w:p w14:paraId="4BE4D51C">
      <w:pPr>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6</w:t>
      </w:r>
      <w:r>
        <w:rPr>
          <w:rFonts w:hint="eastAsia" w:ascii="宋体" w:hAnsi="宋体" w:cs="宋体"/>
          <w:color w:val="auto"/>
          <w:szCs w:val="21"/>
          <w:highlight w:val="none"/>
        </w:rPr>
        <w:t>.</w:t>
      </w:r>
      <w:r>
        <w:rPr>
          <w:rFonts w:hint="eastAsia" w:ascii="宋体" w:hAnsi="宋体" w:cs="宋体"/>
          <w:color w:val="auto"/>
          <w:kern w:val="0"/>
          <w:szCs w:val="21"/>
          <w:highlight w:val="none"/>
        </w:rPr>
        <w:t>谈判注意事项：（1）响应文件提交方式：本项目为全流程电子化项目，通过广西政府采购云平台（https://www.gcy.zfcg.gxzf.gov.cn）实行在线电子响应，供应商应先安装广西政府采购云平台新版客户端</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新版客户端下载路径：广西政府采购网（访问地址http://zfcg.gxzf.gov.cn—办事服务—下载专区），并按照本项目</w:t>
      </w:r>
      <w:r>
        <w:rPr>
          <w:rFonts w:hint="eastAsia" w:ascii="宋体" w:hAnsi="宋体" w:cs="宋体"/>
          <w:bCs/>
          <w:color w:val="auto"/>
          <w:szCs w:val="21"/>
          <w:highlight w:val="none"/>
          <w:lang w:val="en-US" w:eastAsia="zh-CN"/>
        </w:rPr>
        <w:t>竞争性</w:t>
      </w:r>
      <w:r>
        <w:rPr>
          <w:rFonts w:hint="eastAsia" w:ascii="宋体" w:hAnsi="宋体" w:cs="宋体"/>
          <w:color w:val="auto"/>
          <w:kern w:val="0"/>
          <w:szCs w:val="21"/>
          <w:highlight w:val="none"/>
        </w:rPr>
        <w:t>谈判文件和广西政府采购云平台的要求编制、加密后在响应文件提交截止时间前通过网络上传至广西政府采购云平台，供应商在广西政府采购云平台提交电子版响应文件时，请填写参加远程开标活动经办人联系方式。</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 xml:space="preserve">    （2）供应商应及时熟悉掌握电子标系统操作指南；及时完成CA申领和绑定（见广西壮族自治区政府采购网—办事服务—下载专区－广西政府采购云平台CA证书办理操作指南）。</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 xml:space="preserve">    （3）未进行网上注册并办理数字证书（CA认证）的供应商将无法参与本项目政府采购活动，潜在供应商应当在首次响应文件提交截止时间前，完成电子交易平台上的CA数字证书办理及响应文件的提交。</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 xml:space="preserve">    （4）为确保网上操作合法、有效和安全，请供应商确保在电子竞标过程中能够对相关数据电文进行加密和使用电子签章，妥善保管CA数字证书并使用有效的CA数字证书参与整个采购活动。</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注：供应商应当在首次响应文件提交截止时间前完成电子响应文件的上传、递交，首次响应文件提交截止时间前可以补充、修改或者撤回响应文件。补充或者修改响应文件的，应当先行撤回原文件，补充、修改后重新上传、递交。首次响应文件提交截止时间前未完成上传、递交的，视为撤回响应文件。首次响应文件提交截止时间以后上传递交的响应文件，“广西政府采购云平台”将予以拒收。</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 xml:space="preserve">    7.CA证书在线解密：首次响应文件开启时，需要供应商携带制作响应文件时用来加密的有效数字证书（CA认证）登录“广西政府采购云平台”电子开标大厅现场按规定时间对加密的响应文件进行解密，否则后果自负。</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 xml:space="preserve">    8.供应商需要在具备摄像头及语音功能且互联网网络状况良好的电脑登录“广西政府采购云平台”远程开标大厅参与本次谈判，否则后果自负。</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 xml:space="preserve">    9.若对项目采购电子交易系统操作有疑问，可登录“广西政府采购云平台”（https://www.gcy.zfcg.gxzf.gov.cn），点击右侧咨询小采，获取采小蜜智能服务管家帮助，或拨打广西政府采购云平台服务热线95763获取热线服务帮助。</w:t>
      </w:r>
    </w:p>
    <w:p w14:paraId="026F02AD">
      <w:pPr>
        <w:shd w:val="clear"/>
        <w:spacing w:line="360" w:lineRule="auto"/>
        <w:rPr>
          <w:rFonts w:ascii="宋体" w:hAnsi="宋体" w:cs="宋体"/>
          <w:b/>
          <w:bCs/>
          <w:color w:val="auto"/>
          <w:szCs w:val="21"/>
          <w:highlight w:val="none"/>
        </w:rPr>
      </w:pPr>
      <w:bookmarkStart w:id="37" w:name="_Toc35393805"/>
      <w:bookmarkStart w:id="38" w:name="_Toc28359018"/>
      <w:bookmarkStart w:id="39" w:name="_Toc44229885"/>
      <w:bookmarkStart w:id="40" w:name="_Toc35393636"/>
      <w:bookmarkStart w:id="41" w:name="_Toc28359095"/>
      <w:r>
        <w:rPr>
          <w:rFonts w:hint="eastAsia" w:ascii="宋体" w:hAnsi="宋体" w:cs="宋体"/>
          <w:b/>
          <w:bCs/>
          <w:color w:val="auto"/>
          <w:szCs w:val="21"/>
          <w:highlight w:val="none"/>
        </w:rPr>
        <w:t>八、凡对本次采购提出询问，请按以下方式联系。</w:t>
      </w:r>
      <w:bookmarkEnd w:id="37"/>
      <w:bookmarkEnd w:id="38"/>
      <w:bookmarkEnd w:id="39"/>
      <w:bookmarkEnd w:id="40"/>
      <w:bookmarkEnd w:id="41"/>
    </w:p>
    <w:p w14:paraId="6BC06D8C">
      <w:pPr>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1.采购人信息：</w:t>
      </w:r>
    </w:p>
    <w:p w14:paraId="6A0F9A13">
      <w:pPr>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名称：</w:t>
      </w:r>
      <w:r>
        <w:rPr>
          <w:rFonts w:hint="eastAsia" w:ascii="宋体" w:hAnsi="宋体" w:eastAsia="宋体" w:cs="宋体"/>
          <w:color w:val="auto"/>
          <w:kern w:val="0"/>
          <w:szCs w:val="21"/>
          <w:highlight w:val="none"/>
          <w:lang w:eastAsia="zh-CN"/>
        </w:rPr>
        <w:t>广西壮族自治区国有维都林场</w:t>
      </w:r>
      <w:r>
        <w:rPr>
          <w:rFonts w:hint="eastAsia" w:ascii="宋体" w:hAnsi="宋体" w:eastAsia="宋体" w:cs="宋体"/>
          <w:color w:val="auto"/>
          <w:kern w:val="0"/>
          <w:szCs w:val="21"/>
          <w:highlight w:val="none"/>
        </w:rPr>
        <w:t xml:space="preserve"> </w:t>
      </w:r>
    </w:p>
    <w:p w14:paraId="13E472EA">
      <w:pPr>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地址：</w:t>
      </w:r>
      <w:r>
        <w:rPr>
          <w:rFonts w:hint="eastAsia" w:ascii="宋体" w:hAnsi="宋体" w:eastAsia="宋体" w:cs="宋体"/>
          <w:color w:val="auto"/>
          <w:kern w:val="0"/>
          <w:szCs w:val="21"/>
          <w:highlight w:val="none"/>
          <w:lang w:eastAsia="zh-CN"/>
        </w:rPr>
        <w:t>来宾市兴宾区祥和路2号</w:t>
      </w:r>
    </w:p>
    <w:p w14:paraId="3D83AF78">
      <w:pPr>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项目联系人：</w:t>
      </w:r>
      <w:r>
        <w:rPr>
          <w:rFonts w:hint="eastAsia" w:ascii="宋体" w:hAnsi="宋体" w:eastAsia="宋体" w:cs="宋体"/>
          <w:color w:val="auto"/>
          <w:kern w:val="0"/>
          <w:szCs w:val="21"/>
          <w:highlight w:val="none"/>
          <w:lang w:eastAsia="zh-CN"/>
        </w:rPr>
        <w:t>陈聪信</w:t>
      </w:r>
    </w:p>
    <w:p w14:paraId="4823F3D2">
      <w:pPr>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联系方式：</w:t>
      </w:r>
      <w:r>
        <w:rPr>
          <w:rFonts w:hint="eastAsia" w:ascii="宋体" w:hAnsi="宋体" w:eastAsia="宋体" w:cs="宋体"/>
          <w:color w:val="auto"/>
          <w:kern w:val="0"/>
          <w:szCs w:val="21"/>
          <w:highlight w:val="none"/>
          <w:lang w:eastAsia="zh-CN"/>
        </w:rPr>
        <w:t>0772-5319701</w:t>
      </w:r>
    </w:p>
    <w:p w14:paraId="43A9DACE">
      <w:pPr>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2.采购代理机构信息：</w:t>
      </w:r>
    </w:p>
    <w:p w14:paraId="1FFC25D3">
      <w:pPr>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名称：</w:t>
      </w:r>
      <w:r>
        <w:rPr>
          <w:rFonts w:hint="eastAsia" w:ascii="宋体" w:hAnsi="宋体" w:eastAsia="宋体" w:cs="宋体"/>
          <w:color w:val="auto"/>
          <w:kern w:val="0"/>
          <w:szCs w:val="21"/>
          <w:highlight w:val="none"/>
          <w:lang w:eastAsia="zh-CN"/>
        </w:rPr>
        <w:t>广西邕政采购代理有限公司</w:t>
      </w:r>
    </w:p>
    <w:p w14:paraId="6B4BB2ED">
      <w:pPr>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地址：</w:t>
      </w:r>
      <w:r>
        <w:rPr>
          <w:rFonts w:hint="eastAsia" w:ascii="宋体" w:hAnsi="宋体" w:eastAsia="宋体" w:cs="宋体"/>
          <w:color w:val="auto"/>
          <w:kern w:val="0"/>
          <w:szCs w:val="21"/>
          <w:highlight w:val="none"/>
          <w:lang w:val="en-US" w:eastAsia="zh-CN"/>
        </w:rPr>
        <w:t>南宁市青秀区民族大道180号（威壮大厦）22层2210～2217室</w:t>
      </w:r>
    </w:p>
    <w:p w14:paraId="02E1A543">
      <w:pPr>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Cs w:val="21"/>
          <w:highlight w:val="none"/>
          <w:lang w:val="en-US" w:eastAsia="zh-CN"/>
        </w:rPr>
      </w:pPr>
      <w:bookmarkStart w:id="42" w:name="OLE_LINK56"/>
      <w:bookmarkStart w:id="43" w:name="OLE_LINK55"/>
      <w:r>
        <w:rPr>
          <w:rFonts w:hint="eastAsia" w:ascii="宋体" w:hAnsi="宋体" w:eastAsia="宋体" w:cs="宋体"/>
          <w:color w:val="auto"/>
          <w:kern w:val="0"/>
          <w:szCs w:val="21"/>
          <w:highlight w:val="none"/>
        </w:rPr>
        <w:t>联系方式：0771-</w:t>
      </w:r>
      <w:bookmarkEnd w:id="42"/>
      <w:bookmarkEnd w:id="43"/>
      <w:r>
        <w:rPr>
          <w:rFonts w:hint="eastAsia" w:ascii="宋体" w:hAnsi="宋体" w:eastAsia="宋体" w:cs="宋体"/>
          <w:color w:val="auto"/>
          <w:kern w:val="0"/>
          <w:szCs w:val="21"/>
          <w:highlight w:val="none"/>
          <w:lang w:val="en-US" w:eastAsia="zh-CN"/>
        </w:rPr>
        <w:t>2225338</w:t>
      </w:r>
    </w:p>
    <w:p w14:paraId="03A7EAC2">
      <w:pPr>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3.项目联系方式：</w:t>
      </w:r>
    </w:p>
    <w:p w14:paraId="578CFE2C">
      <w:pPr>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联</w:t>
      </w:r>
      <w:r>
        <w:rPr>
          <w:rFonts w:hint="eastAsia" w:ascii="宋体" w:hAnsi="宋体" w:eastAsia="宋体" w:cs="宋体"/>
          <w:color w:val="auto"/>
          <w:kern w:val="0"/>
          <w:szCs w:val="21"/>
          <w:highlight w:val="none"/>
          <w:lang w:eastAsia="zh-CN"/>
        </w:rPr>
        <w:t>系人：</w:t>
      </w:r>
      <w:r>
        <w:rPr>
          <w:rFonts w:hint="eastAsia" w:ascii="宋体" w:hAnsi="宋体" w:eastAsia="宋体" w:cs="宋体"/>
          <w:color w:val="auto"/>
          <w:kern w:val="0"/>
          <w:szCs w:val="21"/>
          <w:highlight w:val="none"/>
          <w:lang w:val="en-US" w:eastAsia="zh-CN"/>
        </w:rPr>
        <w:t>黄秋梅、罗霞、丰薇</w:t>
      </w:r>
    </w:p>
    <w:p w14:paraId="0E49CE48">
      <w:pPr>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联系方式：0771-</w:t>
      </w:r>
      <w:r>
        <w:rPr>
          <w:rFonts w:hint="eastAsia" w:ascii="宋体" w:hAnsi="宋体" w:eastAsia="宋体" w:cs="宋体"/>
          <w:color w:val="auto"/>
          <w:kern w:val="0"/>
          <w:szCs w:val="21"/>
          <w:highlight w:val="none"/>
          <w:lang w:val="en-US" w:eastAsia="zh-CN"/>
        </w:rPr>
        <w:t>2225338</w:t>
      </w:r>
    </w:p>
    <w:bookmarkEnd w:id="1"/>
    <w:p w14:paraId="23A790E4">
      <w:pPr>
        <w:shd w:val="clear"/>
        <w:wordWrap w:val="0"/>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                                                                     202</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年</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月</w:t>
      </w:r>
      <w:r>
        <w:rPr>
          <w:rFonts w:hint="eastAsia" w:ascii="宋体" w:hAnsi="宋体" w:cs="宋体"/>
          <w:color w:val="auto"/>
          <w:kern w:val="0"/>
          <w:szCs w:val="21"/>
          <w:highlight w:val="none"/>
          <w:lang w:val="en-US" w:eastAsia="zh-CN"/>
        </w:rPr>
        <w:t>6</w:t>
      </w:r>
      <w:r>
        <w:rPr>
          <w:rFonts w:hint="eastAsia" w:ascii="宋体" w:hAnsi="宋体" w:cs="宋体"/>
          <w:color w:val="auto"/>
          <w:szCs w:val="21"/>
          <w:highlight w:val="none"/>
        </w:rPr>
        <w:t>日</w:t>
      </w:r>
    </w:p>
    <w:p w14:paraId="5EEDBE9B">
      <w:pPr>
        <w:shd w:val="clear"/>
        <w:rPr>
          <w:rFonts w:ascii="宋体" w:hAnsi="宋体" w:cs="宋体"/>
          <w:color w:val="auto"/>
          <w:highlight w:val="none"/>
        </w:rPr>
      </w:pPr>
    </w:p>
    <w:p w14:paraId="7896653E">
      <w:pPr>
        <w:shd w:val="clear"/>
        <w:rPr>
          <w:rFonts w:ascii="宋体" w:hAnsi="宋体" w:cs="宋体"/>
          <w:color w:val="auto"/>
          <w:highlight w:val="none"/>
        </w:rPr>
      </w:pPr>
    </w:p>
    <w:p w14:paraId="08E58FC7">
      <w:pPr>
        <w:shd w:val="clear"/>
        <w:rPr>
          <w:rFonts w:ascii="宋体" w:hAnsi="宋体" w:cs="宋体"/>
          <w:color w:val="auto"/>
          <w:highlight w:val="none"/>
        </w:rPr>
      </w:pPr>
      <w:r>
        <w:rPr>
          <w:rFonts w:hint="eastAsia" w:ascii="宋体" w:hAnsi="宋体" w:cs="宋体"/>
          <w:color w:val="auto"/>
          <w:highlight w:val="none"/>
        </w:rPr>
        <w:br w:type="page"/>
      </w:r>
    </w:p>
    <w:p w14:paraId="5963DE46">
      <w:pPr>
        <w:pStyle w:val="2"/>
        <w:shd w:val="clear"/>
        <w:jc w:val="center"/>
        <w:outlineLvl w:val="0"/>
        <w:rPr>
          <w:rFonts w:ascii="宋体" w:hAnsi="宋体" w:cs="宋体"/>
          <w:color w:val="auto"/>
          <w:highlight w:val="none"/>
        </w:rPr>
      </w:pPr>
      <w:bookmarkStart w:id="44" w:name="_Toc20359"/>
      <w:r>
        <w:rPr>
          <w:rFonts w:hint="eastAsia" w:ascii="宋体" w:hAnsi="宋体" w:cs="宋体"/>
          <w:color w:val="auto"/>
          <w:highlight w:val="none"/>
        </w:rPr>
        <w:t>第二章  供应商须知</w:t>
      </w:r>
      <w:bookmarkEnd w:id="44"/>
    </w:p>
    <w:p w14:paraId="7589A58A">
      <w:pPr>
        <w:shd w:val="clea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供应商须知前附表</w:t>
      </w:r>
    </w:p>
    <w:p w14:paraId="356D74A9">
      <w:pPr>
        <w:shd w:val="clear"/>
        <w:spacing w:line="400" w:lineRule="exact"/>
        <w:jc w:val="center"/>
        <w:rPr>
          <w:rFonts w:ascii="宋体" w:hAnsi="宋体" w:cs="宋体"/>
          <w:b/>
          <w:color w:val="auto"/>
          <w:sz w:val="32"/>
          <w:szCs w:val="32"/>
          <w:highlight w:val="none"/>
        </w:rPr>
      </w:pPr>
    </w:p>
    <w:tbl>
      <w:tblPr>
        <w:tblStyle w:val="2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29EDC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56F2B6F0">
            <w:pPr>
              <w:shd w:val="clear"/>
              <w:spacing w:line="500" w:lineRule="exact"/>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7912" w:type="dxa"/>
          </w:tcPr>
          <w:p w14:paraId="0CFCDDA3">
            <w:pPr>
              <w:shd w:val="clear"/>
              <w:spacing w:line="500" w:lineRule="exact"/>
              <w:jc w:val="center"/>
              <w:rPr>
                <w:rFonts w:ascii="宋体" w:hAnsi="宋体" w:cs="宋体"/>
                <w:b/>
                <w:color w:val="auto"/>
                <w:szCs w:val="21"/>
                <w:highlight w:val="none"/>
              </w:rPr>
            </w:pPr>
            <w:r>
              <w:rPr>
                <w:rFonts w:hint="eastAsia" w:ascii="宋体" w:hAnsi="宋体" w:cs="宋体"/>
                <w:b/>
                <w:color w:val="auto"/>
                <w:szCs w:val="21"/>
                <w:highlight w:val="none"/>
              </w:rPr>
              <w:t>内    容</w:t>
            </w:r>
          </w:p>
        </w:tc>
      </w:tr>
      <w:tr w14:paraId="4B659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CC4FDF7">
            <w:pPr>
              <w:shd w:val="clea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7912" w:type="dxa"/>
            <w:vAlign w:val="center"/>
          </w:tcPr>
          <w:p w14:paraId="05DD2021">
            <w:pPr>
              <w:shd w:val="clear"/>
              <w:spacing w:line="500" w:lineRule="exact"/>
              <w:rPr>
                <w:rFonts w:hint="eastAsia" w:ascii="宋体" w:hAnsi="宋体" w:eastAsia="宋体" w:cs="宋体"/>
                <w:color w:val="auto"/>
                <w:szCs w:val="21"/>
                <w:highlight w:val="none"/>
                <w:lang w:eastAsia="zh-CN"/>
              </w:rPr>
            </w:pPr>
            <w:r>
              <w:rPr>
                <w:rFonts w:hint="eastAsia" w:ascii="宋体" w:hAnsi="宋体" w:cs="宋体"/>
                <w:bCs/>
                <w:color w:val="auto"/>
                <w:szCs w:val="21"/>
                <w:highlight w:val="none"/>
              </w:rPr>
              <w:t>供应商的资格条件</w:t>
            </w:r>
            <w:r>
              <w:rPr>
                <w:rFonts w:hint="eastAsia" w:ascii="宋体" w:hAnsi="宋体" w:cs="宋体"/>
                <w:color w:val="auto"/>
                <w:szCs w:val="21"/>
                <w:highlight w:val="none"/>
              </w:rPr>
              <w:t>：详见竞争性谈判公告</w:t>
            </w:r>
            <w:r>
              <w:rPr>
                <w:rFonts w:hint="eastAsia" w:ascii="宋体" w:hAnsi="宋体" w:cs="宋体"/>
                <w:color w:val="auto"/>
                <w:szCs w:val="21"/>
                <w:highlight w:val="none"/>
                <w:lang w:eastAsia="zh-CN"/>
              </w:rPr>
              <w:t>。</w:t>
            </w:r>
          </w:p>
        </w:tc>
      </w:tr>
      <w:tr w14:paraId="164B0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B90D172">
            <w:pPr>
              <w:shd w:val="clea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5.1</w:t>
            </w:r>
          </w:p>
        </w:tc>
        <w:tc>
          <w:tcPr>
            <w:tcW w:w="7912" w:type="dxa"/>
            <w:vAlign w:val="center"/>
          </w:tcPr>
          <w:p w14:paraId="3435F097">
            <w:pPr>
              <w:shd w:val="clear"/>
              <w:spacing w:line="5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是否接受联合体</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：详见竞争性谈判公告</w:t>
            </w:r>
            <w:r>
              <w:rPr>
                <w:rFonts w:hint="eastAsia" w:ascii="宋体" w:hAnsi="宋体" w:cs="宋体"/>
                <w:color w:val="auto"/>
                <w:szCs w:val="21"/>
                <w:highlight w:val="none"/>
                <w:lang w:eastAsia="zh-CN"/>
              </w:rPr>
              <w:t>。</w:t>
            </w:r>
          </w:p>
        </w:tc>
      </w:tr>
      <w:tr w14:paraId="4301A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37ADEAA">
            <w:pPr>
              <w:shd w:val="clea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5.2</w:t>
            </w:r>
          </w:p>
        </w:tc>
        <w:tc>
          <w:tcPr>
            <w:tcW w:w="7912" w:type="dxa"/>
            <w:vAlign w:val="center"/>
          </w:tcPr>
          <w:p w14:paraId="75F19CC3">
            <w:pPr>
              <w:shd w:val="clear"/>
              <w:spacing w:line="5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如接受联合体</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，联合体</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要求如下：无</w:t>
            </w:r>
            <w:r>
              <w:rPr>
                <w:rFonts w:hint="eastAsia" w:ascii="宋体" w:hAnsi="宋体" w:cs="宋体"/>
                <w:color w:val="auto"/>
                <w:szCs w:val="21"/>
                <w:highlight w:val="none"/>
                <w:lang w:eastAsia="zh-CN"/>
              </w:rPr>
              <w:t>。</w:t>
            </w:r>
          </w:p>
        </w:tc>
      </w:tr>
      <w:tr w14:paraId="51E65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23C56E1">
            <w:pPr>
              <w:shd w:val="clea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6.2</w:t>
            </w:r>
          </w:p>
        </w:tc>
        <w:tc>
          <w:tcPr>
            <w:tcW w:w="7912" w:type="dxa"/>
            <w:vAlign w:val="center"/>
          </w:tcPr>
          <w:p w14:paraId="575449E6">
            <w:pPr>
              <w:pStyle w:val="11"/>
              <w:shd w:val="clear"/>
              <w:spacing w:line="500" w:lineRule="exact"/>
              <w:rPr>
                <w:rFonts w:ascii="宋体" w:hAnsi="宋体" w:cs="宋体"/>
                <w:color w:val="auto"/>
                <w:szCs w:val="21"/>
                <w:highlight w:val="none"/>
              </w:rPr>
            </w:pPr>
            <w:r>
              <w:rPr>
                <w:rFonts w:hint="eastAsia" w:ascii="Segoe UI Emoji" w:hAnsi="Segoe UI Emoji" w:cs="Segoe UI Emoji"/>
                <w:color w:val="auto"/>
                <w:szCs w:val="21"/>
                <w:highlight w:val="none"/>
              </w:rPr>
              <w:t>☑</w:t>
            </w:r>
            <w:r>
              <w:rPr>
                <w:rFonts w:hint="eastAsia" w:ascii="宋体" w:hAnsi="宋体" w:cs="宋体"/>
                <w:color w:val="auto"/>
                <w:szCs w:val="21"/>
                <w:highlight w:val="none"/>
              </w:rPr>
              <w:t>不允许分包</w:t>
            </w:r>
          </w:p>
          <w:p w14:paraId="1C0A576A">
            <w:pPr>
              <w:pStyle w:val="11"/>
              <w:shd w:val="clear"/>
              <w:spacing w:line="500" w:lineRule="exact"/>
              <w:rPr>
                <w:rFonts w:ascii="宋体" w:hAnsi="宋体" w:cs="宋体"/>
                <w:color w:val="auto"/>
                <w:szCs w:val="21"/>
                <w:highlight w:val="none"/>
                <w:u w:val="single"/>
              </w:rPr>
            </w:pPr>
            <w:r>
              <w:rPr>
                <w:rFonts w:hint="eastAsia" w:ascii="宋体" w:hAnsi="宋体" w:cs="宋体"/>
                <w:color w:val="auto"/>
                <w:szCs w:val="21"/>
                <w:highlight w:val="none"/>
              </w:rPr>
              <w:t>分包内容：</w:t>
            </w:r>
            <w:r>
              <w:rPr>
                <w:rFonts w:hint="eastAsia" w:ascii="宋体" w:hAnsi="宋体" w:cs="宋体"/>
                <w:color w:val="auto"/>
                <w:szCs w:val="21"/>
                <w:highlight w:val="none"/>
                <w:u w:val="single"/>
              </w:rPr>
              <w:t xml:space="preserve"> / </w:t>
            </w:r>
          </w:p>
          <w:p w14:paraId="697B52E1">
            <w:pPr>
              <w:pStyle w:val="11"/>
              <w:shd w:val="clear"/>
              <w:spacing w:line="500" w:lineRule="exact"/>
              <w:rPr>
                <w:rFonts w:ascii="宋体" w:hAnsi="宋体" w:cs="宋体"/>
                <w:color w:val="auto"/>
                <w:szCs w:val="21"/>
                <w:highlight w:val="none"/>
              </w:rPr>
            </w:pPr>
            <w:r>
              <w:rPr>
                <w:rFonts w:hint="eastAsia" w:ascii="宋体" w:hAnsi="宋体" w:cs="宋体"/>
                <w:color w:val="auto"/>
                <w:szCs w:val="21"/>
                <w:highlight w:val="none"/>
              </w:rPr>
              <w:t>分包金额或者比例：</w:t>
            </w:r>
            <w:r>
              <w:rPr>
                <w:rFonts w:hint="eastAsia" w:ascii="宋体" w:hAnsi="宋体" w:cs="宋体"/>
                <w:color w:val="auto"/>
                <w:szCs w:val="21"/>
                <w:highlight w:val="none"/>
                <w:u w:val="single"/>
              </w:rPr>
              <w:t xml:space="preserve"> / </w:t>
            </w:r>
          </w:p>
        </w:tc>
      </w:tr>
      <w:tr w14:paraId="5C9D5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21860D9">
            <w:pPr>
              <w:shd w:val="clea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12.1.1</w:t>
            </w:r>
          </w:p>
        </w:tc>
        <w:tc>
          <w:tcPr>
            <w:tcW w:w="7912" w:type="dxa"/>
            <w:vAlign w:val="center"/>
          </w:tcPr>
          <w:p w14:paraId="29F8E7A7">
            <w:pPr>
              <w:shd w:val="clear"/>
              <w:snapToGrid w:val="0"/>
              <w:spacing w:line="500" w:lineRule="exact"/>
              <w:jc w:val="left"/>
              <w:rPr>
                <w:rFonts w:ascii="宋体" w:hAnsi="宋体" w:cs="宋体"/>
                <w:b/>
                <w:color w:val="auto"/>
                <w:szCs w:val="21"/>
                <w:highlight w:val="none"/>
              </w:rPr>
            </w:pPr>
            <w:r>
              <w:rPr>
                <w:rFonts w:hint="eastAsia" w:ascii="宋体" w:hAnsi="宋体" w:cs="宋体"/>
                <w:b/>
                <w:color w:val="auto"/>
                <w:szCs w:val="21"/>
                <w:highlight w:val="none"/>
              </w:rPr>
              <w:t>资格证明文件</w:t>
            </w:r>
          </w:p>
          <w:p w14:paraId="38213ACE">
            <w:pPr>
              <w:pStyle w:val="11"/>
              <w:shd w:val="clear"/>
              <w:spacing w:line="500" w:lineRule="exact"/>
              <w:rPr>
                <w:rFonts w:ascii="宋体" w:hAnsi="宋体" w:cs="宋体"/>
                <w:color w:val="auto"/>
                <w:szCs w:val="21"/>
                <w:highlight w:val="none"/>
              </w:rPr>
            </w:pPr>
            <w:r>
              <w:rPr>
                <w:rFonts w:hint="eastAsia" w:ascii="宋体" w:hAnsi="宋体" w:cs="宋体"/>
                <w:color w:val="auto"/>
                <w:szCs w:val="21"/>
                <w:highlight w:val="none"/>
              </w:rPr>
              <w:t>1.供应商为法人或者其他组织的提供其营业执照等证明文件（如营业执照或者事业单位法人证书或者执业许可证等），供应商为自然人的提供其身份证复印件；（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72B2BB4">
            <w:pPr>
              <w:pStyle w:val="11"/>
              <w:shd w:val="clear"/>
              <w:spacing w:line="500" w:lineRule="exact"/>
              <w:rPr>
                <w:rFonts w:ascii="宋体" w:hAnsi="宋体" w:cs="宋体"/>
                <w:color w:val="auto"/>
                <w:szCs w:val="21"/>
                <w:highlight w:val="none"/>
              </w:rPr>
            </w:pPr>
            <w:r>
              <w:rPr>
                <w:rFonts w:hint="eastAsia" w:ascii="宋体" w:hAnsi="宋体" w:cs="宋体"/>
                <w:color w:val="auto"/>
                <w:szCs w:val="21"/>
                <w:highlight w:val="none"/>
              </w:rPr>
              <w:t>2.供应商依法缴纳税收的相关材料[近半年</w:t>
            </w: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rPr>
              <w:t>月至</w:t>
            </w:r>
            <w:r>
              <w:rPr>
                <w:rFonts w:hint="eastAsia" w:ascii="宋体" w:hAnsi="宋体" w:cs="宋体"/>
                <w:color w:val="auto"/>
                <w:szCs w:val="21"/>
                <w:highlight w:val="none"/>
                <w:u w:val="single"/>
              </w:rPr>
              <w:t>2026</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rPr>
              <w:t>月内任意连续3个月的依法缴纳税收的凭据复印件；依法免税的供应商，必须提供相应文件证明其依法免税。从取得营业执照时间起到首次响应文件提交截止时间为止不足要求月数的，只需提供从取得营业执照起的依法缴纳税收相应证明文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C10975C">
            <w:pPr>
              <w:pStyle w:val="11"/>
              <w:shd w:val="clear"/>
              <w:spacing w:line="500" w:lineRule="exact"/>
              <w:rPr>
                <w:rFonts w:ascii="宋体" w:hAnsi="宋体" w:cs="宋体"/>
                <w:color w:val="auto"/>
                <w:szCs w:val="21"/>
                <w:highlight w:val="none"/>
              </w:rPr>
            </w:pPr>
            <w:r>
              <w:rPr>
                <w:rFonts w:hint="eastAsia" w:ascii="宋体" w:hAnsi="宋体" w:cs="宋体"/>
                <w:color w:val="auto"/>
                <w:szCs w:val="21"/>
                <w:highlight w:val="none"/>
              </w:rPr>
              <w:t>3.供应商依法缴纳社会保障资金的相关材料[近半年</w:t>
            </w: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rPr>
              <w:t>月至</w:t>
            </w:r>
            <w:r>
              <w:rPr>
                <w:rFonts w:hint="eastAsia" w:ascii="宋体" w:hAnsi="宋体" w:cs="宋体"/>
                <w:color w:val="auto"/>
                <w:szCs w:val="21"/>
                <w:highlight w:val="none"/>
                <w:u w:val="single"/>
              </w:rPr>
              <w:t>2026</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rPr>
              <w:t>月内任意连续3个月的依法缴纳社会保障资金的缴费凭证（专用收据或者社会保险缴纳清单）复印件；依法不需要缴纳社会保障资金的供应商，必须提供相应文件证明不需要缴纳社会保障资金。从取得营业执照时间起到首次响应文件提交截止时间为止不足要求月数的只需提供从取得营业执照起的依法缴纳社会保障资金的相应证明文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3DEB3BE">
            <w:pPr>
              <w:pStyle w:val="11"/>
              <w:shd w:val="clear"/>
              <w:spacing w:line="500" w:lineRule="exact"/>
              <w:rPr>
                <w:rFonts w:ascii="宋体" w:hAnsi="宋体" w:cs="宋体"/>
                <w:color w:val="auto"/>
                <w:szCs w:val="21"/>
                <w:highlight w:val="none"/>
              </w:rPr>
            </w:pPr>
            <w:r>
              <w:rPr>
                <w:rFonts w:hint="eastAsia" w:ascii="宋体" w:hAnsi="宋体" w:cs="宋体"/>
                <w:color w:val="auto"/>
                <w:szCs w:val="21"/>
                <w:highlight w:val="none"/>
              </w:rPr>
              <w:t>4.供应商财务状况报告[供应商202</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年或202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年的年度财务状况报告复印件（可以是财务报表或银行出具的资信证明或第三方审计报告等证明材料）；供应商属于成立时间在规定年度之后的法人或其他组织，需提供成立之日起至响应文件提交截止时间前的1个月报表或银行出具的资信证明；资信证明应在有效期内，未注明有效期的，银行出具时间至响应文件提交截止时间不得超过一年]；（</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A7C0111">
            <w:pPr>
              <w:pStyle w:val="11"/>
              <w:shd w:val="clear"/>
              <w:spacing w:line="500" w:lineRule="exact"/>
              <w:rPr>
                <w:rFonts w:ascii="宋体" w:hAnsi="宋体" w:cs="宋体"/>
                <w:color w:val="auto"/>
                <w:szCs w:val="21"/>
                <w:highlight w:val="none"/>
              </w:rPr>
            </w:pPr>
            <w:r>
              <w:rPr>
                <w:rFonts w:hint="eastAsia" w:ascii="宋体" w:hAnsi="宋体" w:cs="宋体"/>
                <w:color w:val="auto"/>
                <w:szCs w:val="21"/>
                <w:highlight w:val="none"/>
              </w:rPr>
              <w:t>5.供应商直接控股股东信息表、供应商直接管理关系信息表（格式后附）；（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0457FDA">
            <w:pPr>
              <w:pStyle w:val="11"/>
              <w:shd w:val="clear"/>
              <w:spacing w:line="500" w:lineRule="exact"/>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声明（格式后附）；（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29C3F52">
            <w:pPr>
              <w:shd w:val="clear"/>
              <w:snapToGrid w:val="0"/>
              <w:spacing w:line="500" w:lineRule="exact"/>
              <w:jc w:val="left"/>
              <w:rPr>
                <w:rFonts w:ascii="宋体" w:hAnsi="宋体" w:cs="宋体"/>
                <w:color w:val="auto"/>
                <w:szCs w:val="21"/>
                <w:highlight w:val="none"/>
              </w:rPr>
            </w:pPr>
            <w:r>
              <w:rPr>
                <w:rFonts w:hint="eastAsia" w:ascii="宋体" w:hAnsi="宋体" w:cs="宋体"/>
                <w:color w:val="auto"/>
                <w:szCs w:val="21"/>
                <w:highlight w:val="none"/>
              </w:rPr>
              <w:t>7.联合体协议书（格式后附）；（</w:t>
            </w:r>
            <w:r>
              <w:rPr>
                <w:rFonts w:hint="eastAsia" w:ascii="宋体" w:hAnsi="宋体" w:cs="宋体"/>
                <w:b/>
                <w:color w:val="auto"/>
                <w:szCs w:val="21"/>
                <w:highlight w:val="none"/>
              </w:rPr>
              <w:t>联合体</w:t>
            </w:r>
            <w:r>
              <w:rPr>
                <w:rFonts w:hint="eastAsia" w:ascii="宋体" w:hAnsi="宋体" w:cs="宋体"/>
                <w:b/>
                <w:color w:val="auto"/>
                <w:szCs w:val="21"/>
                <w:highlight w:val="none"/>
                <w:lang w:val="en-US" w:eastAsia="zh-CN"/>
              </w:rPr>
              <w:t>响应</w:t>
            </w:r>
            <w:r>
              <w:rPr>
                <w:rFonts w:hint="eastAsia" w:ascii="宋体" w:hAnsi="宋体" w:cs="宋体"/>
                <w:b/>
                <w:color w:val="auto"/>
                <w:szCs w:val="21"/>
                <w:highlight w:val="none"/>
              </w:rPr>
              <w:t>时必须提供，否则响应文件按无效响应处理</w:t>
            </w:r>
            <w:r>
              <w:rPr>
                <w:rFonts w:hint="eastAsia" w:ascii="宋体" w:hAnsi="宋体" w:cs="宋体"/>
                <w:color w:val="auto"/>
                <w:szCs w:val="21"/>
                <w:highlight w:val="none"/>
              </w:rPr>
              <w:t>）</w:t>
            </w:r>
          </w:p>
          <w:p w14:paraId="71A7576A">
            <w:pPr>
              <w:shd w:val="clear"/>
              <w:snapToGrid w:val="0"/>
              <w:spacing w:line="500" w:lineRule="exact"/>
              <w:jc w:val="left"/>
              <w:rPr>
                <w:rFonts w:ascii="宋体" w:hAnsi="宋体" w:cs="宋体"/>
                <w:color w:val="auto"/>
                <w:szCs w:val="21"/>
                <w:highlight w:val="none"/>
              </w:rPr>
            </w:pPr>
            <w:r>
              <w:rPr>
                <w:rFonts w:hint="eastAsia" w:ascii="宋体" w:hAnsi="宋体" w:cs="宋体"/>
                <w:color w:val="auto"/>
                <w:szCs w:val="21"/>
                <w:highlight w:val="none"/>
              </w:rPr>
              <w:t>8.除</w:t>
            </w:r>
            <w:r>
              <w:rPr>
                <w:rFonts w:hint="eastAsia" w:ascii="宋体" w:hAnsi="宋体" w:cs="宋体"/>
                <w:color w:val="auto"/>
                <w:szCs w:val="21"/>
                <w:highlight w:val="none"/>
                <w:lang w:val="en-US" w:eastAsia="zh-CN"/>
              </w:rPr>
              <w:t>竞争性</w:t>
            </w:r>
            <w:r>
              <w:rPr>
                <w:rFonts w:hint="eastAsia" w:ascii="宋体" w:hAnsi="宋体" w:cs="宋体"/>
                <w:color w:val="auto"/>
                <w:szCs w:val="21"/>
                <w:highlight w:val="none"/>
              </w:rPr>
              <w:t>谈判文件规定必须提供以外，供应商认为需要提供的其他证明材料。（如有请提供）</w:t>
            </w:r>
          </w:p>
          <w:p w14:paraId="6A9913A0">
            <w:pPr>
              <w:shd w:val="clear"/>
              <w:snapToGrid w:val="0"/>
              <w:spacing w:line="500" w:lineRule="exact"/>
              <w:jc w:val="left"/>
              <w:rPr>
                <w:rFonts w:ascii="宋体" w:hAnsi="宋体" w:cs="宋体"/>
                <w:b/>
                <w:color w:val="auto"/>
                <w:szCs w:val="21"/>
                <w:highlight w:val="none"/>
              </w:rPr>
            </w:pPr>
            <w:r>
              <w:rPr>
                <w:rFonts w:hint="eastAsia" w:ascii="宋体" w:hAnsi="宋体" w:cs="宋体"/>
                <w:b/>
                <w:color w:val="auto"/>
                <w:szCs w:val="21"/>
                <w:highlight w:val="none"/>
              </w:rPr>
              <w:t>注：</w:t>
            </w:r>
          </w:p>
          <w:p w14:paraId="742DE3BD">
            <w:pPr>
              <w:pStyle w:val="11"/>
              <w:shd w:val="clear"/>
              <w:spacing w:line="5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1.以上标明“必须提供”的材料属于复印件的扫描件的，必须加盖</w:t>
            </w:r>
            <w:r>
              <w:rPr>
                <w:rFonts w:hint="eastAsia" w:ascii="宋体" w:hAnsi="宋体" w:cs="宋体"/>
                <w:b/>
                <w:color w:val="auto"/>
                <w:kern w:val="2"/>
                <w:sz w:val="21"/>
                <w:szCs w:val="21"/>
                <w:highlight w:val="none"/>
                <w:lang w:val="en-US" w:eastAsia="zh-CN"/>
              </w:rPr>
              <w:t>供应商公章（或电子签章）</w:t>
            </w:r>
            <w:r>
              <w:rPr>
                <w:rFonts w:hint="eastAsia" w:ascii="宋体" w:hAnsi="宋体" w:cs="宋体"/>
                <w:b/>
                <w:color w:val="auto"/>
                <w:szCs w:val="21"/>
                <w:highlight w:val="none"/>
              </w:rPr>
              <w:t>，否则响应文件按无效响应处理。</w:t>
            </w:r>
          </w:p>
        </w:tc>
      </w:tr>
      <w:tr w14:paraId="59B0E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restart"/>
            <w:vAlign w:val="center"/>
          </w:tcPr>
          <w:p w14:paraId="5BFC55DE">
            <w:pPr>
              <w:shd w:val="clea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7912" w:type="dxa"/>
            <w:vAlign w:val="center"/>
          </w:tcPr>
          <w:p w14:paraId="3D1E1C1A">
            <w:pPr>
              <w:shd w:val="clear"/>
              <w:snapToGrid w:val="0"/>
              <w:spacing w:line="500" w:lineRule="exact"/>
              <w:jc w:val="left"/>
              <w:rPr>
                <w:rFonts w:ascii="宋体" w:hAnsi="宋体" w:cs="宋体"/>
                <w:b/>
                <w:color w:val="auto"/>
                <w:szCs w:val="21"/>
                <w:highlight w:val="none"/>
              </w:rPr>
            </w:pPr>
            <w:r>
              <w:rPr>
                <w:rFonts w:hint="eastAsia" w:ascii="宋体" w:hAnsi="宋体" w:cs="宋体"/>
                <w:b/>
                <w:color w:val="auto"/>
                <w:szCs w:val="21"/>
                <w:highlight w:val="none"/>
              </w:rPr>
              <w:t>商务文件</w:t>
            </w:r>
          </w:p>
          <w:p w14:paraId="10FC6237">
            <w:pPr>
              <w:shd w:val="clear"/>
              <w:spacing w:line="500" w:lineRule="exact"/>
              <w:rPr>
                <w:rFonts w:ascii="宋体" w:hAnsi="宋体" w:cs="宋体"/>
                <w:color w:val="auto"/>
                <w:szCs w:val="21"/>
                <w:highlight w:val="none"/>
              </w:rPr>
            </w:pPr>
            <w:r>
              <w:rPr>
                <w:rFonts w:hint="eastAsia" w:ascii="宋体" w:hAnsi="宋体" w:cs="宋体"/>
                <w:color w:val="auto"/>
                <w:szCs w:val="21"/>
                <w:highlight w:val="none"/>
              </w:rPr>
              <w:t>1.无串通</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行为的承诺函；（</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53C5965">
            <w:pPr>
              <w:shd w:val="clear"/>
              <w:snapToGrid w:val="0"/>
              <w:spacing w:line="500" w:lineRule="exact"/>
              <w:jc w:val="left"/>
              <w:rPr>
                <w:rFonts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2.法定代表人身份证明书及法定代表人有效身份证正反面复印件；（</w:t>
            </w:r>
            <w:r>
              <w:rPr>
                <w:rFonts w:hint="eastAsia" w:ascii="宋体" w:hAnsi="宋体" w:cs="宋体"/>
                <w:b/>
                <w:bCs/>
                <w:color w:val="auto"/>
                <w:szCs w:val="21"/>
                <w:highlight w:val="none"/>
              </w:rPr>
              <w:t>除自然人</w:t>
            </w:r>
            <w:r>
              <w:rPr>
                <w:rFonts w:hint="eastAsia" w:ascii="宋体" w:hAnsi="宋体" w:cs="宋体"/>
                <w:b/>
                <w:bCs/>
                <w:color w:val="auto"/>
                <w:szCs w:val="21"/>
                <w:highlight w:val="none"/>
                <w:lang w:val="en-US" w:eastAsia="zh-CN"/>
              </w:rPr>
              <w:t>响应</w:t>
            </w:r>
            <w:r>
              <w:rPr>
                <w:rFonts w:hint="eastAsia" w:ascii="宋体" w:hAnsi="宋体" w:cs="宋体"/>
                <w:b/>
                <w:bCs/>
                <w:color w:val="auto"/>
                <w:szCs w:val="21"/>
                <w:highlight w:val="none"/>
              </w:rPr>
              <w:t>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A331A02">
            <w:pPr>
              <w:shd w:val="clear"/>
              <w:spacing w:line="500" w:lineRule="exact"/>
              <w:rPr>
                <w:rFonts w:ascii="宋体" w:hAnsi="宋体" w:cs="宋体"/>
                <w:b/>
                <w:color w:val="auto"/>
                <w:szCs w:val="21"/>
                <w:highlight w:val="none"/>
              </w:rPr>
            </w:pPr>
            <w:r>
              <w:rPr>
                <w:rFonts w:hint="eastAsia" w:ascii="宋体" w:hAnsi="宋体" w:cs="宋体"/>
                <w:color w:val="auto"/>
                <w:szCs w:val="21"/>
                <w:highlight w:val="none"/>
              </w:rPr>
              <w:t>3.法定代表人授权委托书及委托代理人有效身份证正反面复印件；（</w:t>
            </w:r>
            <w:r>
              <w:rPr>
                <w:rFonts w:hint="eastAsia" w:ascii="宋体" w:hAnsi="宋体" w:cs="宋体"/>
                <w:b/>
                <w:color w:val="auto"/>
                <w:szCs w:val="21"/>
                <w:highlight w:val="none"/>
              </w:rPr>
              <w:t>委托时必须提供，否则响应文件按无效响应处理</w:t>
            </w:r>
            <w:r>
              <w:rPr>
                <w:rFonts w:hint="eastAsia" w:ascii="宋体" w:hAnsi="宋体" w:cs="宋体"/>
                <w:color w:val="auto"/>
                <w:szCs w:val="21"/>
                <w:highlight w:val="none"/>
              </w:rPr>
              <w:t>）</w:t>
            </w:r>
          </w:p>
          <w:p w14:paraId="252537E0">
            <w:pPr>
              <w:shd w:val="clear"/>
              <w:spacing w:line="500" w:lineRule="exact"/>
              <w:rPr>
                <w:rFonts w:ascii="宋体" w:hAnsi="宋体" w:cs="宋体"/>
                <w:color w:val="auto"/>
                <w:szCs w:val="21"/>
                <w:highlight w:val="none"/>
              </w:rPr>
            </w:pPr>
            <w:r>
              <w:rPr>
                <w:rFonts w:hint="eastAsia" w:ascii="宋体" w:hAnsi="宋体" w:cs="宋体"/>
                <w:color w:val="auto"/>
                <w:szCs w:val="21"/>
                <w:highlight w:val="none"/>
              </w:rPr>
              <w:t>4.商务条款偏离表（格式后附）；（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4093C2D">
            <w:pPr>
              <w:shd w:val="clear"/>
              <w:spacing w:line="500" w:lineRule="exact"/>
              <w:rPr>
                <w:rFonts w:ascii="宋体" w:hAnsi="宋体" w:cs="宋体"/>
                <w:color w:val="auto"/>
                <w:szCs w:val="21"/>
                <w:highlight w:val="none"/>
              </w:rPr>
            </w:pPr>
            <w:r>
              <w:rPr>
                <w:rFonts w:hint="eastAsia" w:ascii="宋体" w:hAnsi="宋体" w:cs="宋体"/>
                <w:color w:val="auto"/>
                <w:szCs w:val="21"/>
                <w:highlight w:val="none"/>
              </w:rPr>
              <w:t>5.谈判保证金</w:t>
            </w:r>
            <w:r>
              <w:rPr>
                <w:rFonts w:hint="eastAsia" w:ascii="宋体" w:hAnsi="宋体" w:cs="宋体"/>
                <w:color w:val="auto"/>
                <w:szCs w:val="21"/>
                <w:highlight w:val="none"/>
                <w:lang w:val="en-US" w:eastAsia="zh-CN"/>
              </w:rPr>
              <w:t>缴纳</w:t>
            </w:r>
            <w:r>
              <w:rPr>
                <w:rFonts w:hint="eastAsia" w:ascii="宋体" w:hAnsi="宋体" w:cs="宋体"/>
                <w:color w:val="auto"/>
                <w:szCs w:val="21"/>
                <w:highlight w:val="none"/>
              </w:rPr>
              <w:t>凭证；（</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6265E90">
            <w:pPr>
              <w:shd w:val="clear"/>
              <w:spacing w:line="500" w:lineRule="exact"/>
              <w:rPr>
                <w:rFonts w:ascii="宋体" w:hAnsi="宋体" w:cs="宋体"/>
                <w:color w:val="auto"/>
                <w:szCs w:val="21"/>
                <w:highlight w:val="none"/>
              </w:rPr>
            </w:pPr>
            <w:r>
              <w:rPr>
                <w:rFonts w:hint="eastAsia" w:ascii="宋体" w:hAnsi="宋体" w:cs="宋体"/>
                <w:color w:val="auto"/>
                <w:szCs w:val="21"/>
                <w:highlight w:val="none"/>
              </w:rPr>
              <w:t>6.供应商认为需要提供的其他有关资料。（如有请提供）</w:t>
            </w:r>
          </w:p>
          <w:p w14:paraId="317348AE">
            <w:pPr>
              <w:shd w:val="clear"/>
              <w:snapToGrid w:val="0"/>
              <w:spacing w:line="500" w:lineRule="exact"/>
              <w:jc w:val="left"/>
              <w:rPr>
                <w:rFonts w:ascii="宋体" w:hAnsi="宋体" w:cs="宋体"/>
                <w:b/>
                <w:color w:val="auto"/>
                <w:szCs w:val="21"/>
                <w:highlight w:val="none"/>
              </w:rPr>
            </w:pPr>
            <w:r>
              <w:rPr>
                <w:rFonts w:hint="eastAsia" w:ascii="宋体" w:hAnsi="宋体" w:cs="宋体"/>
                <w:b/>
                <w:color w:val="auto"/>
                <w:szCs w:val="21"/>
                <w:highlight w:val="none"/>
              </w:rPr>
              <w:t>注：</w:t>
            </w:r>
          </w:p>
          <w:p w14:paraId="70477022">
            <w:pPr>
              <w:pStyle w:val="19"/>
              <w:numPr>
                <w:ilvl w:val="0"/>
                <w:numId w:val="0"/>
              </w:numPr>
              <w:shd w:val="clear"/>
              <w:spacing w:line="500" w:lineRule="exact"/>
              <w:rPr>
                <w:rFonts w:hint="eastAsia" w:ascii="宋体" w:hAnsi="宋体" w:cs="宋体"/>
                <w:b/>
                <w:color w:val="auto"/>
                <w:kern w:val="2"/>
                <w:sz w:val="21"/>
                <w:szCs w:val="21"/>
                <w:highlight w:val="none"/>
              </w:rPr>
            </w:pPr>
            <w:r>
              <w:rPr>
                <w:rFonts w:hint="eastAsia" w:ascii="宋体" w:hAnsi="宋体" w:eastAsia="宋体" w:cs="宋体"/>
                <w:b/>
                <w:color w:val="auto"/>
                <w:kern w:val="2"/>
                <w:sz w:val="21"/>
                <w:szCs w:val="21"/>
                <w:highlight w:val="none"/>
                <w:lang w:val="en-US" w:eastAsia="zh-CN" w:bidi="ar-SA"/>
              </w:rPr>
              <w:t>1.</w:t>
            </w:r>
            <w:r>
              <w:rPr>
                <w:rFonts w:hint="eastAsia" w:ascii="宋体" w:hAnsi="宋体" w:cs="宋体"/>
                <w:b/>
                <w:color w:val="auto"/>
                <w:kern w:val="2"/>
                <w:sz w:val="21"/>
                <w:szCs w:val="21"/>
                <w:highlight w:val="none"/>
              </w:rPr>
              <w:t>以上标明“必须提供”的材料属于复印件的扫描件的，必须加盖</w:t>
            </w:r>
            <w:r>
              <w:rPr>
                <w:rFonts w:hint="eastAsia" w:ascii="宋体" w:hAnsi="宋体" w:cs="宋体"/>
                <w:b/>
                <w:color w:val="auto"/>
                <w:kern w:val="2"/>
                <w:sz w:val="21"/>
                <w:szCs w:val="21"/>
                <w:highlight w:val="none"/>
                <w:lang w:val="en-US" w:eastAsia="zh-CN"/>
              </w:rPr>
              <w:t>供应商公章（或电子签章）</w:t>
            </w:r>
            <w:r>
              <w:rPr>
                <w:rFonts w:hint="eastAsia" w:ascii="宋体" w:hAnsi="宋体" w:cs="宋体"/>
                <w:b/>
                <w:color w:val="auto"/>
                <w:kern w:val="2"/>
                <w:sz w:val="21"/>
                <w:szCs w:val="21"/>
                <w:highlight w:val="none"/>
              </w:rPr>
              <w:t>，否则响应文件按无效响应处理。</w:t>
            </w:r>
          </w:p>
          <w:p w14:paraId="092F04C8">
            <w:pPr>
              <w:pStyle w:val="19"/>
              <w:numPr>
                <w:ilvl w:val="0"/>
                <w:numId w:val="0"/>
              </w:numPr>
              <w:shd w:val="clear"/>
              <w:spacing w:line="500" w:lineRule="exact"/>
              <w:rPr>
                <w:rFonts w:hint="default" w:ascii="宋体" w:hAnsi="宋体" w:eastAsia="宋体" w:cs="宋体"/>
                <w:b/>
                <w:color w:val="auto"/>
                <w:kern w:val="2"/>
                <w:sz w:val="21"/>
                <w:szCs w:val="21"/>
                <w:highlight w:val="none"/>
                <w:lang w:val="en-US" w:eastAsia="zh-CN"/>
              </w:rPr>
            </w:pPr>
            <w:r>
              <w:rPr>
                <w:rFonts w:hint="eastAsia" w:ascii="宋体" w:hAnsi="宋体" w:cs="宋体"/>
                <w:b/>
                <w:color w:val="auto"/>
                <w:kern w:val="2"/>
                <w:sz w:val="21"/>
                <w:szCs w:val="21"/>
                <w:highlight w:val="none"/>
                <w:lang w:val="en-US" w:eastAsia="zh-CN"/>
              </w:rPr>
              <w:t>2.法定代表人授权委托书必须由法定代表人及委托代理人签字或盖章，并加盖供应商公章（或电子签章），否则响应文件按无效响应处理。</w:t>
            </w:r>
          </w:p>
        </w:tc>
      </w:tr>
      <w:tr w14:paraId="2B6B1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6AEFA770">
            <w:pPr>
              <w:shd w:val="clear"/>
              <w:spacing w:line="500" w:lineRule="exact"/>
              <w:jc w:val="center"/>
              <w:rPr>
                <w:rFonts w:ascii="宋体" w:hAnsi="宋体" w:cs="宋体"/>
                <w:color w:val="auto"/>
                <w:szCs w:val="21"/>
                <w:highlight w:val="none"/>
              </w:rPr>
            </w:pPr>
          </w:p>
        </w:tc>
        <w:tc>
          <w:tcPr>
            <w:tcW w:w="7912" w:type="dxa"/>
            <w:vAlign w:val="center"/>
          </w:tcPr>
          <w:p w14:paraId="2BD0FB30">
            <w:pPr>
              <w:shd w:val="clear"/>
              <w:snapToGrid w:val="0"/>
              <w:spacing w:line="500" w:lineRule="exact"/>
              <w:jc w:val="left"/>
              <w:rPr>
                <w:rFonts w:ascii="宋体" w:hAnsi="宋体" w:cs="宋体"/>
                <w:b/>
                <w:color w:val="auto"/>
                <w:szCs w:val="21"/>
                <w:highlight w:val="none"/>
              </w:rPr>
            </w:pPr>
            <w:r>
              <w:rPr>
                <w:rFonts w:hint="eastAsia" w:ascii="宋体" w:hAnsi="宋体" w:cs="宋体"/>
                <w:b/>
                <w:color w:val="auto"/>
                <w:szCs w:val="21"/>
                <w:highlight w:val="none"/>
              </w:rPr>
              <w:t>技术文件</w:t>
            </w:r>
          </w:p>
          <w:p w14:paraId="10C4C78E">
            <w:pPr>
              <w:shd w:val="clear"/>
              <w:spacing w:line="500" w:lineRule="exact"/>
              <w:rPr>
                <w:rFonts w:ascii="宋体" w:hAnsi="宋体" w:cs="宋体"/>
                <w:color w:val="auto"/>
                <w:szCs w:val="21"/>
                <w:highlight w:val="none"/>
              </w:rPr>
            </w:pPr>
            <w:r>
              <w:rPr>
                <w:rFonts w:hint="eastAsia" w:ascii="宋体" w:hAnsi="宋体" w:cs="宋体"/>
                <w:color w:val="auto"/>
                <w:szCs w:val="21"/>
                <w:highlight w:val="none"/>
              </w:rPr>
              <w:t>1.技术需求偏离表（格式后附）；（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F91879C">
            <w:pPr>
              <w:shd w:val="clear"/>
              <w:spacing w:line="500" w:lineRule="exact"/>
              <w:rPr>
                <w:rFonts w:ascii="宋体" w:hAnsi="宋体" w:cs="宋体"/>
                <w:color w:val="auto"/>
                <w:szCs w:val="21"/>
                <w:highlight w:val="none"/>
              </w:rPr>
            </w:pPr>
            <w:r>
              <w:rPr>
                <w:rFonts w:hint="eastAsia" w:ascii="宋体" w:hAnsi="宋体" w:cs="宋体"/>
                <w:color w:val="auto"/>
                <w:szCs w:val="21"/>
                <w:highlight w:val="none"/>
              </w:rPr>
              <w:t>2.配置清单（均不含报价）；（</w:t>
            </w:r>
            <w:r>
              <w:rPr>
                <w:rFonts w:hint="eastAsia" w:ascii="宋体" w:hAnsi="宋体" w:cs="宋体"/>
                <w:b/>
                <w:color w:val="auto"/>
                <w:szCs w:val="21"/>
                <w:highlight w:val="none"/>
              </w:rPr>
              <w:t>必须提供，否则响应文件作无效处理</w:t>
            </w:r>
            <w:r>
              <w:rPr>
                <w:rFonts w:hint="eastAsia" w:ascii="宋体" w:hAnsi="宋体" w:cs="宋体"/>
                <w:color w:val="auto"/>
                <w:szCs w:val="21"/>
                <w:highlight w:val="none"/>
              </w:rPr>
              <w:t>）</w:t>
            </w:r>
          </w:p>
          <w:p w14:paraId="5F591E3F">
            <w:pPr>
              <w:shd w:val="clear"/>
              <w:spacing w:line="500" w:lineRule="exact"/>
              <w:rPr>
                <w:rFonts w:ascii="宋体" w:hAnsi="宋体" w:cs="宋体"/>
                <w:color w:val="auto"/>
                <w:szCs w:val="21"/>
                <w:highlight w:val="none"/>
              </w:rPr>
            </w:pPr>
            <w:r>
              <w:rPr>
                <w:rFonts w:hint="eastAsia" w:ascii="宋体" w:hAnsi="宋体" w:cs="宋体"/>
                <w:color w:val="auto"/>
                <w:szCs w:val="21"/>
                <w:highlight w:val="none"/>
              </w:rPr>
              <w:t>3.售后服务方案；（</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DFC5B86">
            <w:pPr>
              <w:shd w:val="clear"/>
              <w:spacing w:line="500" w:lineRule="exact"/>
              <w:rPr>
                <w:rFonts w:ascii="宋体" w:hAnsi="宋体" w:cs="宋体"/>
                <w:color w:val="auto"/>
                <w:szCs w:val="21"/>
                <w:highlight w:val="none"/>
              </w:rPr>
            </w:pPr>
            <w:r>
              <w:rPr>
                <w:rFonts w:hint="eastAsia" w:ascii="宋体" w:hAnsi="宋体" w:cs="宋体"/>
                <w:color w:val="auto"/>
                <w:szCs w:val="21"/>
                <w:highlight w:val="none"/>
              </w:rPr>
              <w:t>4.项目实施人员一览表；（如有请提供）</w:t>
            </w:r>
          </w:p>
          <w:p w14:paraId="112058E7">
            <w:pPr>
              <w:shd w:val="clear"/>
              <w:spacing w:line="500" w:lineRule="exact"/>
              <w:rPr>
                <w:rFonts w:ascii="宋体" w:hAnsi="宋体" w:cs="宋体"/>
                <w:color w:val="auto"/>
                <w:szCs w:val="21"/>
                <w:highlight w:val="none"/>
              </w:rPr>
            </w:pPr>
            <w:r>
              <w:rPr>
                <w:rFonts w:hint="eastAsia" w:ascii="宋体" w:hAnsi="宋体" w:cs="宋体"/>
                <w:color w:val="auto"/>
                <w:szCs w:val="21"/>
                <w:highlight w:val="none"/>
              </w:rPr>
              <w:t>5.对应采购需求的技术需求、商务条款提供的其他文件资料。（如有请提供）</w:t>
            </w:r>
          </w:p>
          <w:p w14:paraId="1CE111FB">
            <w:pPr>
              <w:shd w:val="clear"/>
              <w:spacing w:line="500" w:lineRule="exact"/>
              <w:rPr>
                <w:rFonts w:ascii="宋体" w:hAnsi="宋体" w:cs="宋体"/>
                <w:b/>
                <w:bCs/>
                <w:color w:val="auto"/>
                <w:szCs w:val="21"/>
                <w:highlight w:val="none"/>
              </w:rPr>
            </w:pPr>
            <w:r>
              <w:rPr>
                <w:rFonts w:hint="eastAsia" w:ascii="宋体" w:hAnsi="宋体" w:cs="宋体"/>
                <w:b/>
                <w:color w:val="auto"/>
                <w:szCs w:val="21"/>
                <w:highlight w:val="none"/>
              </w:rPr>
              <w:t>注：1.以上标明“必须提供”的材料属于复印件的扫描件的，必须加盖</w:t>
            </w:r>
            <w:r>
              <w:rPr>
                <w:rFonts w:hint="eastAsia" w:ascii="宋体" w:hAnsi="宋体" w:cs="宋体"/>
                <w:b/>
                <w:color w:val="auto"/>
                <w:kern w:val="2"/>
                <w:sz w:val="21"/>
                <w:szCs w:val="21"/>
                <w:highlight w:val="none"/>
                <w:lang w:val="en-US" w:eastAsia="zh-CN"/>
              </w:rPr>
              <w:t>供应商公章（或电子签章）</w:t>
            </w:r>
            <w:r>
              <w:rPr>
                <w:rFonts w:hint="eastAsia" w:ascii="宋体" w:hAnsi="宋体" w:cs="宋体"/>
                <w:b/>
                <w:color w:val="auto"/>
                <w:szCs w:val="21"/>
                <w:highlight w:val="none"/>
              </w:rPr>
              <w:t>，否则响应文件按无效响应处理。</w:t>
            </w:r>
          </w:p>
        </w:tc>
      </w:tr>
      <w:tr w14:paraId="26D95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FC63261">
            <w:pPr>
              <w:shd w:val="clear"/>
              <w:spacing w:line="500" w:lineRule="exact"/>
              <w:jc w:val="left"/>
              <w:rPr>
                <w:rFonts w:ascii="宋体" w:hAnsi="宋体" w:cs="宋体"/>
                <w:color w:val="auto"/>
                <w:szCs w:val="21"/>
                <w:highlight w:val="none"/>
              </w:rPr>
            </w:pPr>
            <w:r>
              <w:rPr>
                <w:rFonts w:hint="eastAsia" w:ascii="宋体" w:hAnsi="宋体" w:cs="宋体"/>
                <w:color w:val="auto"/>
                <w:szCs w:val="21"/>
                <w:highlight w:val="none"/>
              </w:rPr>
              <w:t>12.1.3</w:t>
            </w:r>
          </w:p>
        </w:tc>
        <w:tc>
          <w:tcPr>
            <w:tcW w:w="7912" w:type="dxa"/>
            <w:vAlign w:val="center"/>
          </w:tcPr>
          <w:p w14:paraId="68CC2CBD">
            <w:pPr>
              <w:shd w:val="clear"/>
              <w:spacing w:line="500" w:lineRule="exact"/>
              <w:jc w:val="left"/>
              <w:rPr>
                <w:rFonts w:ascii="宋体" w:hAnsi="宋体" w:cs="宋体"/>
                <w:color w:val="auto"/>
                <w:szCs w:val="21"/>
                <w:highlight w:val="none"/>
              </w:rPr>
            </w:pPr>
            <w:r>
              <w:rPr>
                <w:rFonts w:hint="eastAsia" w:ascii="宋体" w:hAnsi="宋体" w:cs="宋体"/>
                <w:color w:val="auto"/>
                <w:szCs w:val="21"/>
                <w:highlight w:val="none"/>
              </w:rPr>
              <w:t>报价文件</w:t>
            </w:r>
          </w:p>
          <w:p w14:paraId="2DB96901">
            <w:pPr>
              <w:shd w:val="clear"/>
              <w:spacing w:line="500" w:lineRule="exact"/>
              <w:jc w:val="left"/>
              <w:rPr>
                <w:rFonts w:ascii="宋体" w:hAnsi="宋体" w:cs="宋体"/>
                <w:color w:val="auto"/>
                <w:szCs w:val="21"/>
                <w:highlight w:val="none"/>
              </w:rPr>
            </w:pPr>
            <w:r>
              <w:rPr>
                <w:rFonts w:hint="eastAsia" w:ascii="宋体" w:hAnsi="宋体" w:cs="宋体"/>
                <w:color w:val="auto"/>
                <w:szCs w:val="21"/>
                <w:highlight w:val="none"/>
              </w:rPr>
              <w:t>1.响应函；</w:t>
            </w:r>
            <w:r>
              <w:rPr>
                <w:rFonts w:hint="eastAsia" w:ascii="宋体" w:hAnsi="宋体" w:cs="宋体"/>
                <w:b/>
                <w:bCs/>
                <w:color w:val="auto"/>
                <w:szCs w:val="21"/>
                <w:highlight w:val="none"/>
              </w:rPr>
              <w:t>（必须提供，否则作无效响应处理）</w:t>
            </w:r>
          </w:p>
          <w:p w14:paraId="702EC086">
            <w:pPr>
              <w:shd w:val="clear"/>
              <w:spacing w:line="500" w:lineRule="exact"/>
              <w:jc w:val="left"/>
              <w:rPr>
                <w:rFonts w:ascii="宋体" w:hAnsi="宋体" w:cs="宋体"/>
                <w:color w:val="auto"/>
                <w:szCs w:val="21"/>
                <w:highlight w:val="none"/>
              </w:rPr>
            </w:pPr>
            <w:r>
              <w:rPr>
                <w:rFonts w:hint="eastAsia" w:ascii="宋体" w:hAnsi="宋体" w:cs="宋体"/>
                <w:color w:val="auto"/>
                <w:szCs w:val="21"/>
                <w:highlight w:val="none"/>
              </w:rPr>
              <w:t>2.响应报价表</w:t>
            </w:r>
            <w:r>
              <w:rPr>
                <w:rFonts w:hint="eastAsia" w:ascii="宋体" w:hAnsi="宋体" w:cs="宋体"/>
                <w:color w:val="auto"/>
                <w:szCs w:val="21"/>
                <w:highlight w:val="none"/>
                <w:lang w:eastAsia="zh-CN"/>
              </w:rPr>
              <w:t>；</w:t>
            </w:r>
            <w:r>
              <w:rPr>
                <w:rFonts w:hint="eastAsia" w:ascii="宋体" w:hAnsi="宋体" w:cs="宋体"/>
                <w:b/>
                <w:bCs/>
                <w:color w:val="auto"/>
                <w:szCs w:val="21"/>
                <w:highlight w:val="none"/>
              </w:rPr>
              <w:t>（必须提供，否则响应文件按无效响应处理）</w:t>
            </w:r>
          </w:p>
          <w:p w14:paraId="5211E44A">
            <w:pPr>
              <w:shd w:val="clear"/>
              <w:spacing w:line="5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3.中小企业声明函或《残疾人福利性单位声明函》或属于监狱企业的证明文件。（如有请提供）</w:t>
            </w:r>
          </w:p>
          <w:p w14:paraId="68506519">
            <w:pPr>
              <w:shd w:val="clear"/>
              <w:spacing w:line="500" w:lineRule="exact"/>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4.关于符合本国产品标准的声明函</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(供应商根据自身响应情况出具</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如有请提供</w:t>
            </w:r>
            <w:r>
              <w:rPr>
                <w:rFonts w:hint="eastAsia" w:ascii="宋体" w:hAnsi="宋体" w:eastAsia="宋体" w:cs="宋体"/>
                <w:color w:val="auto"/>
                <w:szCs w:val="21"/>
                <w:highlight w:val="none"/>
                <w:lang w:val="en-US" w:eastAsia="zh-CN"/>
              </w:rPr>
              <w:t>)</w:t>
            </w:r>
          </w:p>
          <w:p w14:paraId="7679385B">
            <w:pPr>
              <w:shd w:val="clear"/>
              <w:spacing w:line="500" w:lineRule="exact"/>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.供应商认为需要提供的其他有关资料。</w:t>
            </w:r>
          </w:p>
          <w:p w14:paraId="0C15C559">
            <w:pPr>
              <w:shd w:val="clear"/>
              <w:spacing w:line="500" w:lineRule="exact"/>
              <w:jc w:val="left"/>
              <w:rPr>
                <w:rFonts w:ascii="宋体" w:hAnsi="宋体" w:cs="宋体"/>
                <w:color w:val="auto"/>
                <w:szCs w:val="21"/>
                <w:highlight w:val="none"/>
              </w:rPr>
            </w:pPr>
            <w:r>
              <w:rPr>
                <w:rFonts w:hint="eastAsia" w:ascii="宋体" w:hAnsi="宋体" w:eastAsia="宋体" w:cs="宋体"/>
                <w:b/>
                <w:bCs/>
                <w:color w:val="auto"/>
                <w:szCs w:val="21"/>
                <w:highlight w:val="none"/>
              </w:rPr>
              <w:t>注：1.以上标明“必须提供”的材料属于复印件的扫描件的，必须加盖</w:t>
            </w:r>
            <w:r>
              <w:rPr>
                <w:rFonts w:hint="eastAsia" w:ascii="宋体" w:hAnsi="宋体" w:cs="宋体"/>
                <w:b/>
                <w:bCs/>
                <w:color w:val="auto"/>
                <w:kern w:val="2"/>
                <w:sz w:val="21"/>
                <w:szCs w:val="21"/>
                <w:highlight w:val="none"/>
                <w:lang w:val="en-US" w:eastAsia="zh-CN"/>
              </w:rPr>
              <w:t>供应商公章（或电子签章）</w:t>
            </w:r>
            <w:r>
              <w:rPr>
                <w:rFonts w:hint="eastAsia" w:ascii="宋体" w:hAnsi="宋体" w:eastAsia="宋体" w:cs="宋体"/>
                <w:b/>
                <w:bCs/>
                <w:color w:val="auto"/>
                <w:szCs w:val="21"/>
                <w:highlight w:val="none"/>
              </w:rPr>
              <w:t>，否则响应文件按无效响应处理。</w:t>
            </w:r>
          </w:p>
        </w:tc>
      </w:tr>
      <w:tr w14:paraId="06A34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11FD89A">
            <w:pPr>
              <w:shd w:val="clea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12.2</w:t>
            </w:r>
          </w:p>
        </w:tc>
        <w:tc>
          <w:tcPr>
            <w:tcW w:w="7912" w:type="dxa"/>
            <w:vAlign w:val="center"/>
          </w:tcPr>
          <w:p w14:paraId="144B8FE4">
            <w:pPr>
              <w:shd w:val="clear"/>
              <w:snapToGrid w:val="0"/>
              <w:spacing w:line="500" w:lineRule="exact"/>
              <w:jc w:val="left"/>
              <w:rPr>
                <w:rFonts w:ascii="宋体" w:hAnsi="宋体" w:cs="宋体"/>
                <w:color w:val="auto"/>
                <w:szCs w:val="21"/>
                <w:highlight w:val="none"/>
              </w:rPr>
            </w:pPr>
            <w:r>
              <w:rPr>
                <w:rFonts w:hint="eastAsia" w:ascii="宋体" w:hAnsi="宋体" w:cs="宋体"/>
                <w:color w:val="auto"/>
                <w:szCs w:val="21"/>
                <w:highlight w:val="none"/>
              </w:rPr>
              <w:t>1.响应文件电子版要求：按照本</w:t>
            </w:r>
            <w:r>
              <w:rPr>
                <w:rFonts w:hint="eastAsia" w:ascii="宋体" w:hAnsi="宋体" w:cs="宋体"/>
                <w:bCs/>
                <w:color w:val="auto"/>
                <w:szCs w:val="21"/>
                <w:highlight w:val="none"/>
                <w:lang w:val="en-US" w:eastAsia="zh-CN"/>
              </w:rPr>
              <w:t>竞争性</w:t>
            </w:r>
            <w:r>
              <w:rPr>
                <w:rFonts w:hint="eastAsia" w:ascii="宋体" w:hAnsi="宋体" w:cs="宋体"/>
                <w:color w:val="auto"/>
                <w:szCs w:val="21"/>
                <w:highlight w:val="none"/>
              </w:rPr>
              <w:t>谈判文件“第五章 响应文件格式”编写（第五章未附格式的，由供应商自行拟定），不可涂改并在规定加盖公章处加盖电子公章，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67232CAC">
            <w:pPr>
              <w:shd w:val="clear"/>
              <w:snapToGrid w:val="0"/>
              <w:spacing w:line="500" w:lineRule="exact"/>
              <w:jc w:val="left"/>
              <w:rPr>
                <w:rFonts w:hint="eastAsia" w:ascii="宋体" w:hAnsi="宋体" w:cs="宋体"/>
                <w:color w:val="auto"/>
                <w:szCs w:val="21"/>
                <w:highlight w:val="none"/>
              </w:rPr>
            </w:pPr>
            <w:r>
              <w:rPr>
                <w:rFonts w:hint="eastAsia" w:ascii="宋体" w:hAnsi="宋体" w:cs="宋体"/>
                <w:color w:val="auto"/>
                <w:szCs w:val="21"/>
                <w:highlight w:val="none"/>
              </w:rPr>
              <w:t>2.响应文件电子版密封方式：电子响应文件通过平台有效CA加密后在“广西政府采购云平台”投送。（操作方式见公告附件“电子响应文件制作与投送教程” ）</w:t>
            </w:r>
          </w:p>
          <w:p w14:paraId="2F3BD2F3">
            <w:pPr>
              <w:shd w:val="clear"/>
              <w:snapToGrid w:val="0"/>
              <w:spacing w:line="500" w:lineRule="exact"/>
              <w:jc w:val="left"/>
              <w:rPr>
                <w:rFonts w:hint="eastAsia" w:ascii="宋体" w:hAnsi="宋体" w:cs="宋体"/>
                <w:color w:val="auto"/>
                <w:szCs w:val="21"/>
                <w:highlight w:val="none"/>
              </w:rPr>
            </w:pPr>
            <w:r>
              <w:rPr>
                <w:rFonts w:hint="eastAsia" w:ascii="宋体" w:hAnsi="宋体" w:cs="宋体"/>
                <w:color w:val="auto"/>
                <w:szCs w:val="21"/>
                <w:highlight w:val="none"/>
              </w:rPr>
              <w:t>▲未传输递交电子响应文件的，响应无效。</w:t>
            </w:r>
          </w:p>
        </w:tc>
      </w:tr>
      <w:tr w14:paraId="1E4FA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990294A">
            <w:pPr>
              <w:shd w:val="clear"/>
              <w:snapToGrid w:val="0"/>
              <w:spacing w:line="500" w:lineRule="exact"/>
              <w:jc w:val="center"/>
              <w:rPr>
                <w:rFonts w:ascii="宋体" w:hAnsi="宋体" w:cs="宋体"/>
                <w:color w:val="auto"/>
                <w:szCs w:val="21"/>
                <w:highlight w:val="none"/>
              </w:rPr>
            </w:pPr>
            <w:r>
              <w:rPr>
                <w:rFonts w:hint="eastAsia" w:ascii="宋体" w:hAnsi="宋体" w:cs="宋体"/>
                <w:color w:val="auto"/>
                <w:szCs w:val="21"/>
                <w:highlight w:val="none"/>
              </w:rPr>
              <w:t>15.2</w:t>
            </w:r>
          </w:p>
        </w:tc>
        <w:tc>
          <w:tcPr>
            <w:tcW w:w="7912" w:type="dxa"/>
            <w:vAlign w:val="center"/>
          </w:tcPr>
          <w:p w14:paraId="4DA08236">
            <w:pPr>
              <w:shd w:val="clear"/>
              <w:snapToGrid w:val="0"/>
              <w:spacing w:line="500" w:lineRule="exact"/>
              <w:jc w:val="left"/>
              <w:rPr>
                <w:rFonts w:ascii="宋体" w:hAnsi="宋体" w:cs="宋体"/>
                <w:color w:val="auto"/>
                <w:szCs w:val="21"/>
                <w:highlight w:val="none"/>
              </w:rPr>
            </w:pP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报价的价格构成为：包含满足本次</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全部采购需求所应提供的货物，以及伴随的货物和工程（如有）的价格；包含</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货物、工程的成本、运输（含保险）、安装（如有）、调试、检验、技术货物、培训、税费等所有费用。（采购需求另有约定的，从其约定）</w:t>
            </w:r>
          </w:p>
          <w:p w14:paraId="1E365CE1">
            <w:pPr>
              <w:shd w:val="clear"/>
              <w:snapToGrid w:val="0"/>
              <w:spacing w:line="500" w:lineRule="exact"/>
              <w:jc w:val="left"/>
              <w:rPr>
                <w:rFonts w:ascii="宋体" w:hAnsi="宋体" w:cs="宋体"/>
                <w:b/>
                <w:bCs/>
                <w:color w:val="auto"/>
                <w:szCs w:val="21"/>
                <w:highlight w:val="none"/>
              </w:rPr>
            </w:pPr>
            <w:r>
              <w:rPr>
                <w:rFonts w:hint="eastAsia" w:ascii="Segoe UI Emoji" w:hAnsi="Segoe UI Emoji" w:cs="Segoe UI Emoji"/>
                <w:b/>
                <w:bCs/>
                <w:color w:val="auto"/>
                <w:szCs w:val="21"/>
                <w:highlight w:val="none"/>
              </w:rPr>
              <w:t>☑</w:t>
            </w:r>
            <w:r>
              <w:rPr>
                <w:rFonts w:hint="eastAsia" w:ascii="宋体" w:hAnsi="宋体" w:cs="宋体"/>
                <w:b/>
                <w:bCs/>
                <w:color w:val="auto"/>
                <w:szCs w:val="21"/>
                <w:highlight w:val="none"/>
                <w:lang w:val="en-US" w:eastAsia="zh-CN"/>
              </w:rPr>
              <w:t>响应</w:t>
            </w:r>
            <w:r>
              <w:rPr>
                <w:rFonts w:hint="eastAsia" w:ascii="宋体" w:hAnsi="宋体" w:cs="宋体"/>
                <w:b/>
                <w:bCs/>
                <w:color w:val="auto"/>
                <w:szCs w:val="21"/>
                <w:highlight w:val="none"/>
              </w:rPr>
              <w:t>报价包含验收费用</w:t>
            </w:r>
          </w:p>
          <w:p w14:paraId="6EAED5F4">
            <w:pPr>
              <w:shd w:val="clear"/>
              <w:snapToGrid w:val="0"/>
              <w:spacing w:line="500" w:lineRule="exact"/>
              <w:jc w:val="left"/>
              <w:rPr>
                <w:rFonts w:ascii="宋体" w:hAnsi="宋体" w:cs="宋体"/>
                <w:color w:val="auto"/>
                <w:szCs w:val="21"/>
                <w:highlight w:val="none"/>
              </w:rPr>
            </w:pPr>
            <w:r>
              <w:rPr>
                <w:rFonts w:hint="eastAsia" w:ascii="宋体" w:hAnsi="宋体" w:cs="宋体"/>
                <w:b/>
                <w:bCs/>
                <w:color w:val="auto"/>
                <w:szCs w:val="21"/>
                <w:highlight w:val="none"/>
              </w:rPr>
              <w:t>□</w:t>
            </w:r>
            <w:r>
              <w:rPr>
                <w:rFonts w:hint="eastAsia" w:ascii="宋体" w:hAnsi="宋体" w:cs="宋体"/>
                <w:b/>
                <w:bCs/>
                <w:color w:val="auto"/>
                <w:szCs w:val="21"/>
                <w:highlight w:val="none"/>
                <w:lang w:val="en-US" w:eastAsia="zh-CN"/>
              </w:rPr>
              <w:t>响应</w:t>
            </w:r>
            <w:r>
              <w:rPr>
                <w:rFonts w:hint="eastAsia" w:ascii="宋体" w:hAnsi="宋体" w:cs="宋体"/>
                <w:b/>
                <w:bCs/>
                <w:color w:val="auto"/>
                <w:szCs w:val="21"/>
                <w:highlight w:val="none"/>
              </w:rPr>
              <w:t>报价不包含验收费用</w:t>
            </w:r>
          </w:p>
        </w:tc>
      </w:tr>
      <w:tr w14:paraId="53086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847A190">
            <w:pPr>
              <w:shd w:val="clea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16.2</w:t>
            </w:r>
          </w:p>
        </w:tc>
        <w:tc>
          <w:tcPr>
            <w:tcW w:w="7912" w:type="dxa"/>
            <w:vAlign w:val="center"/>
          </w:tcPr>
          <w:p w14:paraId="35890F57">
            <w:pPr>
              <w:pStyle w:val="9"/>
              <w:widowControl w:val="0"/>
              <w:shd w:val="clear"/>
              <w:tabs>
                <w:tab w:val="clear" w:pos="454"/>
              </w:tabs>
              <w:snapToGrid w:val="0"/>
              <w:spacing w:afterLines="0" w:line="500" w:lineRule="exact"/>
              <w:ind w:left="283" w:hanging="283" w:hangingChars="135"/>
              <w:rPr>
                <w:rFonts w:ascii="宋体" w:hAnsi="宋体" w:cs="宋体"/>
                <w:color w:val="auto"/>
                <w:kern w:val="2"/>
                <w:sz w:val="21"/>
                <w:szCs w:val="21"/>
                <w:highlight w:val="none"/>
              </w:rPr>
            </w:pPr>
            <w:r>
              <w:rPr>
                <w:rFonts w:hint="eastAsia" w:ascii="宋体" w:hAnsi="宋体" w:cs="宋体"/>
                <w:color w:val="auto"/>
                <w:kern w:val="2"/>
                <w:sz w:val="21"/>
                <w:szCs w:val="21"/>
                <w:highlight w:val="none"/>
                <w:lang w:val="en-US" w:eastAsia="zh-CN"/>
              </w:rPr>
              <w:t>响应</w:t>
            </w:r>
            <w:r>
              <w:rPr>
                <w:rFonts w:hint="eastAsia" w:ascii="宋体" w:hAnsi="宋体" w:cs="宋体"/>
                <w:color w:val="auto"/>
                <w:kern w:val="2"/>
                <w:sz w:val="21"/>
                <w:szCs w:val="21"/>
                <w:highlight w:val="none"/>
              </w:rPr>
              <w:t>有效期：自首次响应文件提交截止之日起</w:t>
            </w:r>
            <w:r>
              <w:rPr>
                <w:rFonts w:hint="eastAsia" w:ascii="宋体" w:hAnsi="宋体" w:cs="宋体"/>
                <w:color w:val="auto"/>
                <w:kern w:val="2"/>
                <w:sz w:val="21"/>
                <w:szCs w:val="21"/>
                <w:highlight w:val="none"/>
                <w:u w:val="single"/>
              </w:rPr>
              <w:t xml:space="preserve"> 60 </w:t>
            </w:r>
            <w:r>
              <w:rPr>
                <w:rFonts w:hint="eastAsia" w:ascii="宋体" w:hAnsi="宋体" w:cs="宋体"/>
                <w:color w:val="auto"/>
                <w:kern w:val="2"/>
                <w:sz w:val="21"/>
                <w:szCs w:val="21"/>
                <w:highlight w:val="none"/>
              </w:rPr>
              <w:t>日。</w:t>
            </w:r>
          </w:p>
        </w:tc>
      </w:tr>
      <w:tr w14:paraId="3A2CB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69211CB">
            <w:pPr>
              <w:shd w:val="clea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17.1</w:t>
            </w:r>
          </w:p>
        </w:tc>
        <w:tc>
          <w:tcPr>
            <w:tcW w:w="7912" w:type="dxa"/>
            <w:vAlign w:val="center"/>
          </w:tcPr>
          <w:p w14:paraId="2558B130">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保证金金额：10000.00元。（必须足额缴纳）；</w:t>
            </w:r>
          </w:p>
          <w:p w14:paraId="2C0DE5AB">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保证金缴纳方式：</w:t>
            </w:r>
          </w:p>
          <w:p w14:paraId="2A2FF099">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供应商应于响应文件递交截止时间前将</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以银行转账、电汇、网上支付、支票、汇票、本票或者金融机构、担保机构、保险机构出具的保函、保险单等非现金形式提交。采用支票、汇票、本票或者金融机构、担保机构、保险机构出具的保函、保险单等形式的，供应商应当在递交响应文件的同时递交单独密封的票据或保函、保险单原件；采用银行转账、电汇、网上支付形式的，供应商须于响应文件递交截止时间前将</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保证金从供应商基本账户转至采购代理机构指定账户。（缴纳时注明项目编号（财务室电话：0771-2225338））。</w:t>
            </w:r>
          </w:p>
          <w:p w14:paraId="088DFFA4">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保证金指定账户：</w:t>
            </w:r>
          </w:p>
          <w:p w14:paraId="636A62C8">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开户名称：广西邕政采购代理有限公司</w:t>
            </w:r>
          </w:p>
          <w:p w14:paraId="28F856ED">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开户银行：交行南宁嘉园支行</w:t>
            </w:r>
          </w:p>
          <w:p w14:paraId="4C4DEA82">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银行账号：451060702018160082066</w:t>
            </w:r>
          </w:p>
          <w:p w14:paraId="0038189C">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银行行号：301611000742</w:t>
            </w:r>
          </w:p>
          <w:p w14:paraId="6C6B4A69">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一、</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保证金缴纳相关要求：</w:t>
            </w:r>
          </w:p>
          <w:p w14:paraId="1FF6BA4A">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保证金采用</w:t>
            </w:r>
            <w:r>
              <w:rPr>
                <w:rFonts w:hint="eastAsia" w:ascii="宋体" w:hAnsi="宋体" w:cs="宋体"/>
                <w:bCs/>
                <w:color w:val="auto"/>
                <w:szCs w:val="21"/>
                <w:highlight w:val="none"/>
                <w:lang w:bidi="ar"/>
              </w:rPr>
              <w:t>银行转账、电汇、网上支付</w:t>
            </w:r>
            <w:r>
              <w:rPr>
                <w:rFonts w:hint="eastAsia" w:ascii="宋体" w:hAnsi="宋体" w:cs="宋体"/>
                <w:color w:val="auto"/>
                <w:szCs w:val="21"/>
                <w:highlight w:val="none"/>
              </w:rPr>
              <w:t>方式提交的，在响应文件提交截止时间前交至采购代理机构指定账户并且到账，供应商应将转账汇款凭证的复印件作为</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w:t>
            </w:r>
            <w:r>
              <w:rPr>
                <w:rFonts w:hint="eastAsia" w:ascii="宋体" w:hAnsi="宋体" w:cs="宋体"/>
                <w:color w:val="auto"/>
                <w:szCs w:val="21"/>
                <w:highlight w:val="none"/>
                <w:lang w:val="en-US" w:eastAsia="zh-CN"/>
              </w:rPr>
              <w:t>缴纳</w:t>
            </w:r>
            <w:r>
              <w:rPr>
                <w:rFonts w:hint="eastAsia" w:ascii="宋体" w:hAnsi="宋体" w:cs="宋体"/>
                <w:color w:val="auto"/>
                <w:szCs w:val="21"/>
                <w:highlight w:val="none"/>
              </w:rPr>
              <w:t>证明，放置于响应文件中，否则响应文件作无效处理。</w:t>
            </w:r>
          </w:p>
          <w:p w14:paraId="42849D97">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保证金采用支票、汇票或本票提交的，供应商应将支票、汇票或本票的复印件作为</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提交凭证，放置于响应文件中，否则响应文件作无效处理。供应商应当在递交响应文件的同时递交单独密封的支票、汇票或本票原件（原件单独放入一个密封袋中，并在封口处加盖供应商公章或委托代理人签字，以示密封，在封套上标记“项目名称（项目编号）</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保证金”字样），否则响应文件作无效处理。</w:t>
            </w:r>
          </w:p>
          <w:p w14:paraId="4DFFE97A">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保证金采用</w:t>
            </w:r>
            <w:r>
              <w:rPr>
                <w:rFonts w:hint="eastAsia" w:ascii="宋体" w:hAnsi="宋体" w:cs="宋体"/>
                <w:bCs/>
                <w:color w:val="auto"/>
                <w:szCs w:val="21"/>
                <w:highlight w:val="none"/>
                <w:lang w:bidi="ar"/>
              </w:rPr>
              <w:t>金融机构、担保机构、保险机构</w:t>
            </w:r>
            <w:r>
              <w:rPr>
                <w:rFonts w:hint="eastAsia" w:ascii="宋体" w:hAnsi="宋体" w:cs="宋体"/>
                <w:color w:val="auto"/>
                <w:szCs w:val="21"/>
                <w:highlight w:val="none"/>
              </w:rPr>
              <w:t>出具的保函、保险单方式提交的，供应商应将保函、保险单的复印件作为</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提交凭证，放置于响应文件中，否则响应文件作无效处理。供应商应当在递交响应文件的同时递交单独密封的保函、保险单原件（原件单独放入一个密封袋中，并在封口处加盖供应商公章或委托代理人签字，以示密封，在封套上标记“项目名称（项目编号）</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保证金”字样），否则响应文件作无效处理。</w:t>
            </w:r>
          </w:p>
          <w:p w14:paraId="7B550864">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4.供应商为联合体的，可以由联合体中的一方或者多方共同</w:t>
            </w:r>
            <w:r>
              <w:rPr>
                <w:rFonts w:hint="eastAsia" w:ascii="宋体" w:hAnsi="宋体" w:cs="宋体"/>
                <w:color w:val="auto"/>
                <w:szCs w:val="21"/>
                <w:highlight w:val="none"/>
                <w:lang w:val="en-US" w:eastAsia="zh-CN"/>
              </w:rPr>
              <w:t>缴</w:t>
            </w:r>
            <w:r>
              <w:rPr>
                <w:rFonts w:hint="eastAsia" w:ascii="宋体" w:hAnsi="宋体" w:cs="宋体"/>
                <w:color w:val="auto"/>
                <w:szCs w:val="21"/>
                <w:highlight w:val="none"/>
              </w:rPr>
              <w:t>纳</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保证金，其</w:t>
            </w:r>
            <w:r>
              <w:rPr>
                <w:rFonts w:hint="eastAsia" w:ascii="宋体" w:hAnsi="宋体" w:cs="宋体"/>
                <w:color w:val="auto"/>
                <w:szCs w:val="21"/>
                <w:highlight w:val="none"/>
                <w:lang w:val="en-US" w:eastAsia="zh-CN"/>
              </w:rPr>
              <w:t>缴</w:t>
            </w:r>
            <w:r>
              <w:rPr>
                <w:rFonts w:hint="eastAsia" w:ascii="宋体" w:hAnsi="宋体" w:cs="宋体"/>
                <w:color w:val="auto"/>
                <w:szCs w:val="21"/>
                <w:highlight w:val="none"/>
              </w:rPr>
              <w:t>纳的保证金对联合体各方均具有约束力。</w:t>
            </w:r>
          </w:p>
          <w:p w14:paraId="777321D7">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备注：</w:t>
            </w:r>
          </w:p>
          <w:p w14:paraId="66391BDB">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1.响应文件提交截止时间后提交的，或未足额缴纳的，或保函、保险单额度不足的，视为无效</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w:t>
            </w:r>
          </w:p>
          <w:p w14:paraId="7B2C067B">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2.供应商采用现钞方式或从个人账户（自然人</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除外）转出的</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保证金，视为无效</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w:t>
            </w:r>
          </w:p>
          <w:p w14:paraId="4EF6499A">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3.支票、汇票或本票出现无效或者背书情形的，视为无效</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w:t>
            </w:r>
          </w:p>
          <w:p w14:paraId="0E71B922">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4.支票、汇票、本票、保函、保险单有效期低于</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有效期的，视为无效</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w:t>
            </w:r>
          </w:p>
          <w:p w14:paraId="29029C1A">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保证金采用</w:t>
            </w:r>
            <w:r>
              <w:rPr>
                <w:rFonts w:hint="eastAsia" w:ascii="宋体" w:hAnsi="宋体" w:cs="宋体"/>
                <w:bCs/>
                <w:color w:val="auto"/>
                <w:szCs w:val="21"/>
                <w:highlight w:val="none"/>
                <w:lang w:bidi="ar"/>
              </w:rPr>
              <w:t>金融机构、担保机构、保险机构</w:t>
            </w:r>
            <w:r>
              <w:rPr>
                <w:rFonts w:hint="eastAsia" w:ascii="宋体" w:hAnsi="宋体" w:cs="宋体"/>
                <w:color w:val="auto"/>
                <w:szCs w:val="21"/>
                <w:highlight w:val="none"/>
              </w:rPr>
              <w:t>出具的保函为有条件保函的，视为无效</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w:t>
            </w:r>
          </w:p>
          <w:p w14:paraId="5671B53F">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二、</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保证金退还：</w:t>
            </w:r>
          </w:p>
          <w:p w14:paraId="071C3E8A">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1.未成交供应商的</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保证金自成交通知书发出之日起5个工作日内退还，退还方式如下：</w:t>
            </w:r>
          </w:p>
          <w:p w14:paraId="0DA1DEFE">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（1）采用银行转账方式的，以转账方式退回到供应商银行账户。</w:t>
            </w:r>
          </w:p>
          <w:p w14:paraId="360A1832">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（2）采用支票、汇票或本票方式的，以转账方式退回到供应商银行账户或由供应商代表持相关授权证明材料至</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保证金收取单位办理支票、汇票或本票原件退还手续。</w:t>
            </w:r>
          </w:p>
          <w:p w14:paraId="4A140889">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（3）采用金融机构、担保机构、保险机构出具的保函、保险单方式的，由供应商代表持相关授权证明材料至</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保证金收取单位办理保函、保险单原件退还手续。</w:t>
            </w:r>
          </w:p>
          <w:p w14:paraId="57F3479B">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2.成交供应商的</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保证金自合同签订并送达采购代理机构存档后5个工作日内退还，退还方式同未成交供应商。</w:t>
            </w:r>
          </w:p>
        </w:tc>
      </w:tr>
      <w:tr w14:paraId="4537D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701F695">
            <w:pPr>
              <w:shd w:val="clea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20.1</w:t>
            </w:r>
          </w:p>
        </w:tc>
        <w:tc>
          <w:tcPr>
            <w:tcW w:w="7912" w:type="dxa"/>
            <w:vAlign w:val="center"/>
          </w:tcPr>
          <w:p w14:paraId="72E4478E">
            <w:pPr>
              <w:shd w:val="clear"/>
              <w:snapToGrid w:val="0"/>
              <w:spacing w:line="500" w:lineRule="exact"/>
              <w:jc w:val="left"/>
              <w:rPr>
                <w:rFonts w:ascii="宋体" w:hAnsi="宋体" w:cs="宋体"/>
                <w:color w:val="auto"/>
                <w:szCs w:val="21"/>
                <w:highlight w:val="none"/>
                <w:u w:val="single"/>
              </w:rPr>
            </w:pPr>
            <w:r>
              <w:rPr>
                <w:rFonts w:hint="eastAsia" w:ascii="宋体" w:hAnsi="宋体" w:cs="宋体"/>
                <w:color w:val="auto"/>
                <w:szCs w:val="21"/>
                <w:highlight w:val="none"/>
              </w:rPr>
              <w:t>首次响应文件提交截止时间：详见竞争性谈判公告。</w:t>
            </w:r>
          </w:p>
          <w:p w14:paraId="68E96A1C">
            <w:pPr>
              <w:shd w:val="clear"/>
              <w:snapToGrid w:val="0"/>
              <w:spacing w:line="500" w:lineRule="exact"/>
              <w:jc w:val="left"/>
              <w:rPr>
                <w:rFonts w:ascii="宋体" w:hAnsi="宋体" w:cs="宋体"/>
                <w:color w:val="auto"/>
                <w:szCs w:val="21"/>
                <w:highlight w:val="none"/>
              </w:rPr>
            </w:pPr>
            <w:r>
              <w:rPr>
                <w:rFonts w:hint="eastAsia" w:ascii="宋体" w:hAnsi="宋体" w:cs="宋体"/>
                <w:color w:val="auto"/>
                <w:szCs w:val="21"/>
                <w:highlight w:val="none"/>
              </w:rPr>
              <w:t>首次响应文件提交地点：详见竞争性谈判公告。</w:t>
            </w:r>
          </w:p>
        </w:tc>
      </w:tr>
      <w:tr w14:paraId="0716F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7324D85">
            <w:pPr>
              <w:shd w:val="clea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24.1</w:t>
            </w:r>
          </w:p>
        </w:tc>
        <w:tc>
          <w:tcPr>
            <w:tcW w:w="7912" w:type="dxa"/>
            <w:vAlign w:val="center"/>
          </w:tcPr>
          <w:p w14:paraId="44BBC4C6">
            <w:pPr>
              <w:shd w:val="clear"/>
              <w:snapToGrid w:val="0"/>
              <w:spacing w:line="500" w:lineRule="exact"/>
              <w:jc w:val="left"/>
              <w:rPr>
                <w:rFonts w:ascii="宋体" w:hAnsi="宋体" w:cs="宋体"/>
                <w:color w:val="auto"/>
                <w:szCs w:val="21"/>
                <w:highlight w:val="none"/>
                <w:u w:val="single"/>
              </w:rPr>
            </w:pPr>
            <w:r>
              <w:rPr>
                <w:rFonts w:hint="eastAsia" w:ascii="宋体" w:hAnsi="宋体" w:cs="宋体"/>
                <w:color w:val="auto"/>
                <w:szCs w:val="21"/>
                <w:highlight w:val="none"/>
              </w:rPr>
              <w:t>谈判小组的人数：</w:t>
            </w:r>
            <w:r>
              <w:rPr>
                <w:rFonts w:hint="eastAsia" w:ascii="宋体" w:hAnsi="宋体" w:cs="宋体"/>
                <w:color w:val="auto"/>
                <w:szCs w:val="21"/>
                <w:highlight w:val="none"/>
                <w:u w:val="single"/>
              </w:rPr>
              <w:t>3</w:t>
            </w:r>
            <w:r>
              <w:rPr>
                <w:rFonts w:hint="eastAsia" w:ascii="宋体" w:hAnsi="宋体" w:cs="宋体"/>
                <w:color w:val="auto"/>
                <w:szCs w:val="21"/>
                <w:highlight w:val="none"/>
              </w:rPr>
              <w:t>人。</w:t>
            </w:r>
          </w:p>
        </w:tc>
      </w:tr>
      <w:tr w14:paraId="53CCB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vAlign w:val="center"/>
          </w:tcPr>
          <w:p w14:paraId="1342C3F7">
            <w:pPr>
              <w:shd w:val="clea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26.2</w:t>
            </w:r>
          </w:p>
        </w:tc>
        <w:tc>
          <w:tcPr>
            <w:tcW w:w="7912" w:type="dxa"/>
            <w:vAlign w:val="center"/>
          </w:tcPr>
          <w:p w14:paraId="29A59FC5">
            <w:pPr>
              <w:shd w:val="clea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商务条款评审中允许负偏离的条款</w:t>
            </w:r>
            <w:r>
              <w:rPr>
                <w:rFonts w:hint="eastAsia" w:ascii="宋体" w:hAnsi="宋体" w:eastAsia="宋体" w:cs="宋体"/>
                <w:color w:val="auto"/>
                <w:szCs w:val="21"/>
                <w:highlight w:val="none"/>
                <w:u w:val="single"/>
                <w:lang w:val="en-US" w:eastAsia="zh-CN"/>
              </w:rPr>
              <w:t>为0项</w:t>
            </w:r>
            <w:r>
              <w:rPr>
                <w:rFonts w:hint="eastAsia" w:ascii="宋体" w:hAnsi="宋体" w:cs="宋体"/>
                <w:color w:val="auto"/>
                <w:szCs w:val="21"/>
                <w:highlight w:val="none"/>
              </w:rPr>
              <w:t>。</w:t>
            </w:r>
          </w:p>
          <w:p w14:paraId="39FD5404">
            <w:pPr>
              <w:shd w:val="clea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技术需求评审中允许负偏离的条款</w:t>
            </w:r>
            <w:r>
              <w:rPr>
                <w:rFonts w:hint="eastAsia" w:ascii="宋体" w:hAnsi="宋体" w:cs="宋体"/>
                <w:color w:val="auto"/>
                <w:szCs w:val="21"/>
                <w:highlight w:val="none"/>
                <w:u w:val="single"/>
              </w:rPr>
              <w:t>为</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项</w:t>
            </w:r>
            <w:r>
              <w:rPr>
                <w:rFonts w:hint="eastAsia" w:ascii="宋体" w:hAnsi="宋体" w:cs="宋体"/>
                <w:color w:val="auto"/>
                <w:szCs w:val="21"/>
                <w:highlight w:val="none"/>
              </w:rPr>
              <w:t>。</w:t>
            </w:r>
          </w:p>
        </w:tc>
      </w:tr>
      <w:tr w14:paraId="375C8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6333AA82">
            <w:pPr>
              <w:shd w:val="clear"/>
              <w:spacing w:line="500" w:lineRule="exact"/>
              <w:jc w:val="center"/>
              <w:rPr>
                <w:rFonts w:ascii="宋体" w:hAnsi="宋体" w:cs="宋体"/>
                <w:color w:val="auto"/>
                <w:szCs w:val="21"/>
                <w:highlight w:val="none"/>
              </w:rPr>
            </w:pPr>
          </w:p>
        </w:tc>
        <w:tc>
          <w:tcPr>
            <w:tcW w:w="7912" w:type="dxa"/>
            <w:vAlign w:val="center"/>
          </w:tcPr>
          <w:p w14:paraId="0B6C6345">
            <w:pPr>
              <w:shd w:val="clea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谈判的顺序：</w:t>
            </w:r>
          </w:p>
          <w:p w14:paraId="4840214B">
            <w:pPr>
              <w:pStyle w:val="11"/>
              <w:shd w:val="clear"/>
              <w:spacing w:line="500" w:lineRule="exact"/>
              <w:rPr>
                <w:rFonts w:ascii="宋体" w:hAnsi="宋体" w:cs="宋体"/>
                <w:color w:val="auto"/>
                <w:szCs w:val="21"/>
                <w:highlight w:val="none"/>
              </w:rPr>
            </w:pPr>
            <w:r>
              <w:rPr>
                <w:rFonts w:hint="eastAsia" w:ascii="宋体" w:hAnsi="宋体" w:cs="宋体"/>
                <w:color w:val="auto"/>
                <w:szCs w:val="21"/>
                <w:highlight w:val="none"/>
              </w:rPr>
              <w:t>□按照提交首次响应文件的顺序，通知谈判时，若某供应商不在通知现场时（该供应商排序到最后谈判），按照签到的顺序由其下一位供应商先参与谈判。</w:t>
            </w:r>
          </w:p>
          <w:p w14:paraId="39298CD4">
            <w:pPr>
              <w:shd w:val="clear"/>
              <w:snapToGrid w:val="0"/>
              <w:spacing w:line="500" w:lineRule="exact"/>
              <w:rPr>
                <w:rFonts w:ascii="宋体" w:hAnsi="宋体" w:cs="宋体"/>
                <w:color w:val="auto"/>
                <w:szCs w:val="21"/>
                <w:highlight w:val="none"/>
              </w:rPr>
            </w:pPr>
            <w:r>
              <w:rPr>
                <w:rFonts w:hint="eastAsia" w:ascii="Segoe UI Emoji" w:hAnsi="Segoe UI Emoji" w:cs="Segoe UI Emoji"/>
                <w:color w:val="auto"/>
                <w:szCs w:val="21"/>
                <w:highlight w:val="none"/>
              </w:rPr>
              <w:t>☑</w:t>
            </w:r>
            <w:r>
              <w:rPr>
                <w:rFonts w:hint="eastAsia" w:ascii="宋体" w:hAnsi="宋体" w:cs="宋体"/>
                <w:color w:val="auto"/>
                <w:szCs w:val="21"/>
                <w:highlight w:val="none"/>
              </w:rPr>
              <w:t>随机排序。</w:t>
            </w:r>
          </w:p>
          <w:p w14:paraId="2FC4C970">
            <w:pPr>
              <w:pStyle w:val="11"/>
              <w:shd w:val="clear"/>
              <w:spacing w:line="500" w:lineRule="exact"/>
              <w:rPr>
                <w:rFonts w:ascii="宋体" w:hAnsi="宋体" w:cs="宋体"/>
                <w:b/>
                <w:color w:val="auto"/>
                <w:szCs w:val="21"/>
                <w:highlight w:val="none"/>
              </w:rPr>
            </w:pPr>
            <w:r>
              <w:rPr>
                <w:rFonts w:hint="eastAsia" w:ascii="宋体" w:hAnsi="宋体" w:cs="宋体"/>
                <w:b/>
                <w:color w:val="auto"/>
                <w:szCs w:val="21"/>
                <w:highlight w:val="none"/>
              </w:rPr>
              <w:t>参与谈判前，供应商法定代表人或者委托代理人必须通过电脑摄像头向谈判小组出示本人有效证件原件[有效证件可以是身份证（含临时身份证明）、机动车驾驶证、社会保障卡或者护照的其中一项]，若参与谈判的委托代理人不是响应文件中授权的委托代理人时，必须同时出示有效的法定代表人授权委托书原件。如无法核实谈判对象有效身份证明的，谈判小组将拒绝其谈判。</w:t>
            </w:r>
          </w:p>
        </w:tc>
      </w:tr>
      <w:tr w14:paraId="3DFFA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55C8DCD">
            <w:pPr>
              <w:shd w:val="clea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28.1</w:t>
            </w:r>
          </w:p>
        </w:tc>
        <w:tc>
          <w:tcPr>
            <w:tcW w:w="7912" w:type="dxa"/>
            <w:vAlign w:val="center"/>
          </w:tcPr>
          <w:p w14:paraId="260751BB">
            <w:pPr>
              <w:shd w:val="clear"/>
              <w:snapToGrid w:val="0"/>
              <w:spacing w:line="500" w:lineRule="exact"/>
              <w:rPr>
                <w:rFonts w:ascii="宋体" w:hAnsi="宋体" w:cs="宋体"/>
                <w:color w:val="auto"/>
                <w:szCs w:val="21"/>
                <w:highlight w:val="none"/>
              </w:rPr>
            </w:pPr>
            <w:r>
              <w:rPr>
                <w:rFonts w:hint="eastAsia" w:ascii="宋体" w:hAnsi="宋体" w:cs="宋体"/>
                <w:color w:val="auto"/>
                <w:highlight w:val="none"/>
              </w:rPr>
              <w:t>□</w:t>
            </w:r>
            <w:r>
              <w:rPr>
                <w:rFonts w:hint="eastAsia" w:ascii="宋体" w:hAnsi="宋体" w:cs="宋体"/>
                <w:color w:val="auto"/>
                <w:szCs w:val="21"/>
                <w:highlight w:val="none"/>
              </w:rPr>
              <w:t>本项目不收取履约保证金。</w:t>
            </w:r>
          </w:p>
          <w:p w14:paraId="42417BB1">
            <w:pPr>
              <w:shd w:val="clear"/>
              <w:autoSpaceDE w:val="0"/>
              <w:autoSpaceDN w:val="0"/>
              <w:snapToGrid w:val="0"/>
              <w:spacing w:line="500" w:lineRule="exact"/>
              <w:textAlignment w:val="bottom"/>
              <w:rPr>
                <w:rFonts w:ascii="宋体" w:hAnsi="宋体" w:cs="宋体"/>
                <w:color w:val="auto"/>
                <w:szCs w:val="21"/>
                <w:highlight w:val="none"/>
              </w:rPr>
            </w:pPr>
            <w:r>
              <w:rPr>
                <w:rFonts w:hint="eastAsia" w:ascii="Segoe UI Emoji" w:hAnsi="Segoe UI Emoji" w:cs="Segoe UI Emoji"/>
                <w:color w:val="auto"/>
                <w:szCs w:val="21"/>
                <w:highlight w:val="none"/>
              </w:rPr>
              <w:t>☑</w:t>
            </w:r>
            <w:r>
              <w:rPr>
                <w:rFonts w:hint="eastAsia" w:ascii="宋体" w:hAnsi="宋体" w:cs="宋体"/>
                <w:color w:val="auto"/>
                <w:szCs w:val="21"/>
                <w:highlight w:val="none"/>
              </w:rPr>
              <w:t>本项目收取履约保证金，具体规定如下：</w:t>
            </w:r>
          </w:p>
          <w:p w14:paraId="165772BD">
            <w:pPr>
              <w:shd w:val="clea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履约保证金金额：按成交金额的</w:t>
            </w:r>
            <w:r>
              <w:rPr>
                <w:rFonts w:hint="eastAsia" w:ascii="宋体" w:hAnsi="宋体" w:cs="宋体"/>
                <w:color w:val="auto"/>
                <w:szCs w:val="21"/>
                <w:highlight w:val="none"/>
                <w:u w:val="single"/>
              </w:rPr>
              <w:t xml:space="preserve"> 5 </w:t>
            </w:r>
            <w:r>
              <w:rPr>
                <w:rFonts w:hint="eastAsia" w:ascii="宋体" w:hAnsi="宋体" w:cs="宋体"/>
                <w:color w:val="auto"/>
                <w:szCs w:val="21"/>
                <w:highlight w:val="none"/>
              </w:rPr>
              <w:t>%（中小企业缴纳数额为成交金额的2%）。</w:t>
            </w:r>
          </w:p>
          <w:p w14:paraId="0A1D1893">
            <w:pPr>
              <w:shd w:val="clea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履约保证金提交方式：银行转账、支票、汇票、本票、保函等非现金形式缴纳（参照谈判保证金）。</w:t>
            </w:r>
          </w:p>
          <w:p w14:paraId="3C921EFD">
            <w:pPr>
              <w:pStyle w:val="13"/>
              <w:shd w:val="clear"/>
              <w:spacing w:after="0" w:line="500" w:lineRule="exact"/>
              <w:rPr>
                <w:rFonts w:ascii="宋体" w:hAnsi="宋体" w:cs="宋体"/>
                <w:color w:val="auto"/>
                <w:highlight w:val="none"/>
              </w:rPr>
            </w:pPr>
            <w:r>
              <w:rPr>
                <w:rFonts w:hint="eastAsia" w:ascii="宋体" w:hAnsi="宋体" w:cs="宋体"/>
                <w:color w:val="auto"/>
                <w:szCs w:val="21"/>
                <w:highlight w:val="none"/>
              </w:rPr>
              <w:t>履约保证金提交时间：在签订合同前，自成交公告发出之日起5日内，成交供应商须足额缴纳履约保证金到采购人账户。</w:t>
            </w:r>
          </w:p>
          <w:p w14:paraId="5586812D">
            <w:pPr>
              <w:shd w:val="clear"/>
              <w:snapToGrid w:val="0"/>
              <w:spacing w:line="500" w:lineRule="exact"/>
              <w:rPr>
                <w:rFonts w:ascii="宋体" w:hAnsi="宋体" w:cs="宋体"/>
                <w:color w:val="auto"/>
                <w:szCs w:val="21"/>
                <w:highlight w:val="none"/>
                <w:u w:val="single"/>
              </w:rPr>
            </w:pPr>
            <w:r>
              <w:rPr>
                <w:rFonts w:hint="eastAsia" w:ascii="宋体" w:hAnsi="宋体" w:cs="宋体"/>
                <w:color w:val="auto"/>
                <w:szCs w:val="21"/>
                <w:highlight w:val="none"/>
              </w:rPr>
              <w:t>履约保证金退付方式、时间及条件：</w:t>
            </w:r>
            <w:r>
              <w:rPr>
                <w:rFonts w:hint="eastAsia" w:ascii="宋体" w:hAnsi="宋体" w:cs="宋体"/>
                <w:color w:val="auto"/>
                <w:szCs w:val="21"/>
                <w:highlight w:val="none"/>
                <w:u w:val="single"/>
              </w:rPr>
              <w:t>验收合格，成交供应商按合同约定，履行完毕合同所有义务之日起，且成交供应商无任何违约责任，由成交供应商向采购人提供《政府采购项目履约保证金退付意见书》，提出书面退款申请，采购人在收到合格材料后5个工作日内办理退还手续（不计利息）。</w:t>
            </w:r>
          </w:p>
          <w:p w14:paraId="02CB52C6">
            <w:pPr>
              <w:shd w:val="clear"/>
              <w:snapToGrid w:val="0"/>
              <w:spacing w:line="500" w:lineRule="exact"/>
              <w:rPr>
                <w:rFonts w:ascii="宋体" w:hAnsi="宋体" w:cs="宋体"/>
                <w:color w:val="auto"/>
                <w:szCs w:val="21"/>
                <w:highlight w:val="none"/>
                <w:u w:val="single"/>
              </w:rPr>
            </w:pPr>
            <w:r>
              <w:rPr>
                <w:rFonts w:hint="eastAsia" w:ascii="宋体" w:hAnsi="宋体" w:cs="宋体"/>
                <w:color w:val="auto"/>
                <w:szCs w:val="21"/>
                <w:highlight w:val="none"/>
                <w:u w:val="single"/>
              </w:rPr>
              <w:t>如成交供应商没有履行本合同约定的责任和义务所需承担的违约金、赔偿金及其他费用，采购人有权直接从履约保证金中扣除，履约保证金中不足以扣除的，采购人有权从货款中抵扣。履约保证金不足的，成交供应商应及时补足。</w:t>
            </w:r>
          </w:p>
          <w:p w14:paraId="38852458">
            <w:pPr>
              <w:shd w:val="clea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履约保证金指定账户：</w:t>
            </w:r>
          </w:p>
          <w:p w14:paraId="4A28F7A7">
            <w:pPr>
              <w:shd w:val="clear"/>
              <w:snapToGrid w:val="0"/>
              <w:spacing w:line="500" w:lineRule="exact"/>
              <w:rPr>
                <w:rFonts w:ascii="宋体" w:hAnsi="宋体" w:cs="宋体"/>
                <w:color w:val="auto"/>
                <w:szCs w:val="21"/>
                <w:highlight w:val="none"/>
                <w:u w:val="single"/>
              </w:rPr>
            </w:pPr>
            <w:r>
              <w:rPr>
                <w:rFonts w:hint="eastAsia" w:ascii="宋体" w:hAnsi="宋体" w:cs="宋体"/>
                <w:color w:val="auto"/>
                <w:szCs w:val="21"/>
                <w:highlight w:val="none"/>
                <w:u w:val="single"/>
              </w:rPr>
              <w:t>采购人收款账户：</w:t>
            </w:r>
            <w:r>
              <w:rPr>
                <w:rFonts w:hint="eastAsia" w:ascii="宋体" w:hAnsi="宋体" w:cs="宋体"/>
                <w:color w:val="auto"/>
                <w:szCs w:val="21"/>
                <w:highlight w:val="none"/>
                <w:u w:val="single"/>
                <w:lang w:eastAsia="zh-CN"/>
              </w:rPr>
              <w:t>广西壮族自治区国有维都林场</w:t>
            </w:r>
          </w:p>
          <w:p w14:paraId="1F8D2353">
            <w:pPr>
              <w:shd w:val="clear"/>
              <w:snapToGrid w:val="0"/>
              <w:spacing w:line="500" w:lineRule="exact"/>
              <w:rPr>
                <w:rFonts w:ascii="宋体" w:hAnsi="宋体" w:cs="宋体"/>
                <w:color w:val="auto"/>
                <w:szCs w:val="21"/>
                <w:highlight w:val="none"/>
                <w:u w:val="single"/>
              </w:rPr>
            </w:pPr>
            <w:r>
              <w:rPr>
                <w:rFonts w:hint="eastAsia" w:ascii="宋体" w:hAnsi="宋体" w:cs="宋体"/>
                <w:color w:val="auto"/>
                <w:szCs w:val="21"/>
                <w:highlight w:val="none"/>
                <w:u w:val="single"/>
              </w:rPr>
              <w:t>采购人收款账号：20148101040002643</w:t>
            </w:r>
          </w:p>
          <w:p w14:paraId="39A6CCBA">
            <w:pPr>
              <w:shd w:val="clear"/>
              <w:snapToGrid w:val="0"/>
              <w:spacing w:line="500" w:lineRule="exact"/>
              <w:rPr>
                <w:rFonts w:ascii="宋体" w:hAnsi="宋体" w:cs="宋体"/>
                <w:color w:val="auto"/>
                <w:szCs w:val="21"/>
                <w:highlight w:val="none"/>
                <w:u w:val="single"/>
              </w:rPr>
            </w:pPr>
            <w:r>
              <w:rPr>
                <w:rFonts w:hint="eastAsia" w:ascii="宋体" w:hAnsi="宋体" w:cs="宋体"/>
                <w:color w:val="auto"/>
                <w:szCs w:val="21"/>
                <w:highlight w:val="none"/>
                <w:u w:val="single"/>
              </w:rPr>
              <w:t>采购人开户银行：农行广西来宾分行营业室</w:t>
            </w:r>
          </w:p>
          <w:p w14:paraId="148AC860">
            <w:pPr>
              <w:shd w:val="clear"/>
              <w:snapToGrid w:val="0"/>
              <w:spacing w:line="500" w:lineRule="exact"/>
              <w:rPr>
                <w:rFonts w:ascii="宋体" w:hAnsi="宋体" w:cs="宋体"/>
                <w:color w:val="auto"/>
                <w:szCs w:val="21"/>
                <w:highlight w:val="none"/>
                <w:u w:val="single"/>
              </w:rPr>
            </w:pPr>
            <w:r>
              <w:rPr>
                <w:rFonts w:hint="eastAsia" w:ascii="宋体" w:hAnsi="宋体" w:cs="宋体"/>
                <w:color w:val="auto"/>
                <w:szCs w:val="21"/>
                <w:highlight w:val="none"/>
                <w:u w:val="single"/>
              </w:rPr>
              <w:t>纳税人识别号：914513004990680113</w:t>
            </w:r>
          </w:p>
          <w:p w14:paraId="5D4D495D">
            <w:pPr>
              <w:shd w:val="clear"/>
              <w:snapToGrid w:val="0"/>
              <w:spacing w:line="500" w:lineRule="exact"/>
              <w:rPr>
                <w:rFonts w:ascii="宋体" w:hAnsi="宋体" w:cs="宋体"/>
                <w:b/>
                <w:color w:val="auto"/>
                <w:szCs w:val="21"/>
                <w:highlight w:val="none"/>
              </w:rPr>
            </w:pPr>
            <w:r>
              <w:rPr>
                <w:rFonts w:hint="eastAsia" w:ascii="宋体" w:hAnsi="宋体" w:cs="宋体"/>
                <w:color w:val="auto"/>
                <w:szCs w:val="21"/>
                <w:highlight w:val="none"/>
              </w:rPr>
              <w:t>备注：</w:t>
            </w:r>
            <w:r>
              <w:rPr>
                <w:rFonts w:hint="eastAsia" w:ascii="宋体" w:hAnsi="宋体" w:cs="宋体"/>
                <w:color w:val="auto"/>
                <w:szCs w:val="21"/>
                <w:highlight w:val="none"/>
              </w:rPr>
              <w:br w:type="textWrapping"/>
            </w:r>
            <w:r>
              <w:rPr>
                <w:rFonts w:hint="eastAsia" w:ascii="宋体" w:hAnsi="宋体" w:cs="宋体"/>
                <w:b/>
                <w:color w:val="auto"/>
                <w:szCs w:val="21"/>
                <w:highlight w:val="none"/>
              </w:rPr>
              <w:t>1.履约保证金不足额缴纳的（包含保函额度不足的），或者不按规定提交方式提交的，或者保函有效期低于合同履行期限的（即合同中规定的当事人履行自己的义务，如交付标的物、价款或者报酬，履行劳务、完成工作的时间界限）的，视为未按规定提交履约保证金。</w:t>
            </w:r>
            <w:r>
              <w:rPr>
                <w:rFonts w:hint="eastAsia" w:ascii="宋体" w:hAnsi="宋体" w:cs="宋体"/>
                <w:b/>
                <w:color w:val="auto"/>
                <w:szCs w:val="21"/>
                <w:highlight w:val="none"/>
              </w:rPr>
              <w:br w:type="textWrapping"/>
            </w:r>
            <w:r>
              <w:rPr>
                <w:rFonts w:hint="eastAsia" w:ascii="宋体" w:hAnsi="宋体" w:cs="宋体"/>
                <w:b/>
                <w:color w:val="auto"/>
                <w:szCs w:val="21"/>
                <w:highlight w:val="none"/>
              </w:rPr>
              <w:t>2.采用金融、担保机构出具保函的，必须为无条件保函，否则视为未按规定提交履约保证金。</w:t>
            </w:r>
          </w:p>
          <w:p w14:paraId="77EA542E">
            <w:pPr>
              <w:shd w:val="clear"/>
              <w:snapToGrid w:val="0"/>
              <w:spacing w:line="500" w:lineRule="exact"/>
              <w:rPr>
                <w:rFonts w:ascii="宋体" w:hAnsi="宋体" w:cs="宋体"/>
                <w:color w:val="auto"/>
                <w:szCs w:val="21"/>
                <w:highlight w:val="none"/>
              </w:rPr>
            </w:pPr>
            <w:r>
              <w:rPr>
                <w:rFonts w:hint="eastAsia" w:ascii="宋体" w:hAnsi="宋体" w:cs="宋体"/>
                <w:b/>
                <w:color w:val="auto"/>
                <w:szCs w:val="21"/>
                <w:highlight w:val="none"/>
              </w:rPr>
              <w:t>3.供应商为联合体的，可由联合体任意一方或者联合体各方共同提交的履约保证金，视为有效履约保证金</w:t>
            </w:r>
            <w:r>
              <w:rPr>
                <w:rFonts w:hint="eastAsia" w:ascii="宋体" w:hAnsi="宋体" w:cs="宋体"/>
                <w:color w:val="auto"/>
                <w:szCs w:val="21"/>
                <w:highlight w:val="none"/>
              </w:rPr>
              <w:t>。</w:t>
            </w:r>
          </w:p>
        </w:tc>
      </w:tr>
      <w:tr w14:paraId="4B373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9303E72">
            <w:pPr>
              <w:shd w:val="clea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29.1</w:t>
            </w:r>
          </w:p>
        </w:tc>
        <w:tc>
          <w:tcPr>
            <w:tcW w:w="7912" w:type="dxa"/>
            <w:vAlign w:val="center"/>
          </w:tcPr>
          <w:p w14:paraId="080BD3E5">
            <w:pPr>
              <w:shd w:val="clear"/>
              <w:autoSpaceDE w:val="0"/>
              <w:autoSpaceDN w:val="0"/>
              <w:snapToGrid w:val="0"/>
              <w:spacing w:line="500" w:lineRule="exact"/>
              <w:textAlignment w:val="bottom"/>
              <w:rPr>
                <w:rFonts w:ascii="宋体" w:hAnsi="宋体" w:cs="宋体"/>
                <w:color w:val="auto"/>
                <w:szCs w:val="21"/>
                <w:highlight w:val="none"/>
              </w:rPr>
            </w:pPr>
            <w:r>
              <w:rPr>
                <w:rFonts w:hint="eastAsia" w:ascii="宋体" w:hAnsi="宋体" w:cs="宋体"/>
                <w:color w:val="auto"/>
                <w:szCs w:val="21"/>
                <w:highlight w:val="none"/>
              </w:rPr>
              <w:t>签订合同携带的证明材料：</w:t>
            </w:r>
          </w:p>
          <w:p w14:paraId="27252C11">
            <w:pPr>
              <w:shd w:val="clear"/>
              <w:autoSpaceDE w:val="0"/>
              <w:autoSpaceDN w:val="0"/>
              <w:snapToGrid w:val="0"/>
              <w:spacing w:line="500" w:lineRule="exact"/>
              <w:textAlignment w:val="bottom"/>
              <w:rPr>
                <w:rFonts w:ascii="宋体" w:hAnsi="宋体" w:cs="宋体"/>
                <w:color w:val="auto"/>
                <w:szCs w:val="21"/>
                <w:highlight w:val="none"/>
              </w:rPr>
            </w:pPr>
            <w:r>
              <w:rPr>
                <w:rFonts w:hint="eastAsia" w:ascii="宋体" w:hAnsi="宋体" w:cs="宋体"/>
                <w:color w:val="auto"/>
                <w:szCs w:val="21"/>
                <w:highlight w:val="none"/>
              </w:rPr>
              <w:t>委托代理人负责签订合同的，须携带授权委托书及委托代理人身份证原件等其他资格证件。</w:t>
            </w:r>
          </w:p>
          <w:p w14:paraId="1CE2080A">
            <w:pPr>
              <w:shd w:val="clea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法定代表人负责签订合同的，须携带法定代表人身份证明原件及身份证原件等其他证明材料。</w:t>
            </w:r>
          </w:p>
        </w:tc>
      </w:tr>
      <w:tr w14:paraId="2533F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05594C3">
            <w:pPr>
              <w:shd w:val="clea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31.2</w:t>
            </w:r>
          </w:p>
        </w:tc>
        <w:tc>
          <w:tcPr>
            <w:tcW w:w="7912" w:type="dxa"/>
            <w:vAlign w:val="center"/>
          </w:tcPr>
          <w:p w14:paraId="1DBE6594">
            <w:pPr>
              <w:shd w:val="clea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接收质疑函方式：以书面形式。</w:t>
            </w:r>
          </w:p>
          <w:p w14:paraId="6DDF5EEE">
            <w:pPr>
              <w:pStyle w:val="16"/>
              <w:shd w:val="clear"/>
              <w:snapToGrid w:val="0"/>
              <w:spacing w:line="500" w:lineRule="exact"/>
              <w:rPr>
                <w:rFonts w:hAnsi="宋体" w:cs="宋体"/>
                <w:color w:val="auto"/>
                <w:kern w:val="2"/>
                <w:sz w:val="21"/>
                <w:highlight w:val="none"/>
              </w:rPr>
            </w:pPr>
            <w:r>
              <w:rPr>
                <w:rFonts w:hint="eastAsia" w:hAnsi="宋体" w:cs="宋体"/>
                <w:color w:val="auto"/>
                <w:kern w:val="2"/>
                <w:sz w:val="21"/>
                <w:highlight w:val="none"/>
              </w:rPr>
              <w:t>质疑联系部门及联系方式：</w:t>
            </w:r>
            <w:r>
              <w:rPr>
                <w:rFonts w:hint="eastAsia" w:hAnsi="宋体" w:cs="宋体"/>
                <w:color w:val="auto"/>
                <w:kern w:val="2"/>
                <w:sz w:val="21"/>
                <w:highlight w:val="none"/>
                <w:u w:val="single"/>
                <w:lang w:eastAsia="zh-CN"/>
              </w:rPr>
              <w:t>广西邕政采购代理有限公司</w:t>
            </w:r>
            <w:r>
              <w:rPr>
                <w:rFonts w:hint="eastAsia" w:hAnsi="宋体" w:cs="宋体"/>
                <w:color w:val="auto"/>
                <w:kern w:val="2"/>
                <w:sz w:val="21"/>
                <w:highlight w:val="none"/>
              </w:rPr>
              <w:t>，联系电话：</w:t>
            </w:r>
            <w:r>
              <w:rPr>
                <w:rFonts w:hint="eastAsia" w:hAnsi="宋体" w:cs="宋体"/>
                <w:color w:val="auto"/>
                <w:kern w:val="2"/>
                <w:sz w:val="21"/>
                <w:highlight w:val="none"/>
                <w:u w:val="single"/>
                <w:lang w:eastAsia="zh-CN"/>
              </w:rPr>
              <w:t>0771-2225338</w:t>
            </w:r>
            <w:r>
              <w:rPr>
                <w:rFonts w:hint="eastAsia" w:hAnsi="宋体" w:cs="宋体"/>
                <w:color w:val="auto"/>
                <w:kern w:val="2"/>
                <w:sz w:val="21"/>
                <w:highlight w:val="none"/>
              </w:rPr>
              <w:t>，通讯地址：</w:t>
            </w:r>
            <w:r>
              <w:rPr>
                <w:rFonts w:hint="eastAsia" w:hAnsi="宋体" w:cs="宋体"/>
                <w:color w:val="auto"/>
                <w:kern w:val="2"/>
                <w:sz w:val="21"/>
                <w:highlight w:val="none"/>
                <w:u w:val="single"/>
                <w:lang w:eastAsia="zh-CN"/>
              </w:rPr>
              <w:t>南宁市青秀区民族大道180号（威壮大厦）22层2210～2217室</w:t>
            </w:r>
            <w:r>
              <w:rPr>
                <w:rFonts w:hint="eastAsia" w:hAnsi="宋体" w:cs="宋体"/>
                <w:color w:val="auto"/>
                <w:kern w:val="2"/>
                <w:sz w:val="21"/>
                <w:highlight w:val="none"/>
                <w:u w:val="single"/>
              </w:rPr>
              <w:t>。</w:t>
            </w:r>
          </w:p>
          <w:p w14:paraId="15C12DCE">
            <w:pPr>
              <w:shd w:val="clear"/>
              <w:autoSpaceDE w:val="0"/>
              <w:autoSpaceDN w:val="0"/>
              <w:snapToGrid w:val="0"/>
              <w:spacing w:line="500" w:lineRule="exact"/>
              <w:textAlignment w:val="bottom"/>
              <w:rPr>
                <w:rFonts w:ascii="宋体" w:hAnsi="宋体" w:cs="宋体"/>
                <w:color w:val="auto"/>
                <w:szCs w:val="21"/>
                <w:highlight w:val="none"/>
              </w:rPr>
            </w:pPr>
            <w:r>
              <w:rPr>
                <w:rFonts w:hint="eastAsia" w:ascii="宋体" w:hAnsi="宋体" w:cs="宋体"/>
                <w:color w:val="auto"/>
                <w:highlight w:val="none"/>
              </w:rPr>
              <w:t>业务时间：上午</w:t>
            </w:r>
            <w:r>
              <w:rPr>
                <w:rFonts w:hint="eastAsia" w:ascii="宋体" w:hAnsi="宋体" w:cs="宋体"/>
                <w:color w:val="auto"/>
                <w:highlight w:val="none"/>
                <w:lang w:val="en-US" w:eastAsia="zh-CN"/>
              </w:rPr>
              <w:t>9</w:t>
            </w:r>
            <w:r>
              <w:rPr>
                <w:rFonts w:hint="eastAsia" w:ascii="宋体" w:hAnsi="宋体" w:cs="宋体"/>
                <w:color w:val="auto"/>
                <w:highlight w:val="none"/>
              </w:rPr>
              <w:t>时</w:t>
            </w:r>
            <w:r>
              <w:rPr>
                <w:rFonts w:hint="eastAsia" w:ascii="宋体" w:hAnsi="宋体" w:cs="宋体"/>
                <w:color w:val="auto"/>
                <w:highlight w:val="none"/>
                <w:lang w:val="en-US" w:eastAsia="zh-CN"/>
              </w:rPr>
              <w:t>00</w:t>
            </w:r>
            <w:r>
              <w:rPr>
                <w:rFonts w:hint="eastAsia" w:ascii="宋体" w:hAnsi="宋体" w:cs="宋体"/>
                <w:color w:val="auto"/>
                <w:highlight w:val="none"/>
              </w:rPr>
              <w:t>分到12时00分，下午</w:t>
            </w:r>
            <w:r>
              <w:rPr>
                <w:rFonts w:hint="eastAsia" w:ascii="宋体" w:hAnsi="宋体" w:cs="宋体"/>
                <w:color w:val="auto"/>
                <w:highlight w:val="none"/>
                <w:lang w:val="en-US" w:eastAsia="zh-CN"/>
              </w:rPr>
              <w:t>15</w:t>
            </w:r>
            <w:r>
              <w:rPr>
                <w:rFonts w:hint="eastAsia" w:ascii="宋体" w:hAnsi="宋体" w:cs="宋体"/>
                <w:color w:val="auto"/>
                <w:highlight w:val="none"/>
              </w:rPr>
              <w:t>时</w:t>
            </w:r>
            <w:r>
              <w:rPr>
                <w:rFonts w:hint="eastAsia" w:ascii="宋体" w:hAnsi="宋体" w:cs="宋体"/>
                <w:color w:val="auto"/>
                <w:highlight w:val="none"/>
                <w:lang w:val="en-US" w:eastAsia="zh-CN"/>
              </w:rPr>
              <w:t>00</w:t>
            </w:r>
            <w:r>
              <w:rPr>
                <w:rFonts w:hint="eastAsia" w:ascii="宋体" w:hAnsi="宋体" w:cs="宋体"/>
                <w:color w:val="auto"/>
                <w:highlight w:val="none"/>
              </w:rPr>
              <w:t>分到</w:t>
            </w:r>
            <w:r>
              <w:rPr>
                <w:rFonts w:hint="eastAsia" w:ascii="宋体" w:hAnsi="宋体" w:cs="宋体"/>
                <w:color w:val="auto"/>
                <w:highlight w:val="none"/>
                <w:lang w:val="en-US" w:eastAsia="zh-CN"/>
              </w:rPr>
              <w:t>18</w:t>
            </w:r>
            <w:r>
              <w:rPr>
                <w:rFonts w:hint="eastAsia" w:ascii="宋体" w:hAnsi="宋体" w:cs="宋体"/>
                <w:color w:val="auto"/>
                <w:highlight w:val="none"/>
              </w:rPr>
              <w:t>时</w:t>
            </w:r>
            <w:r>
              <w:rPr>
                <w:rFonts w:hint="eastAsia" w:ascii="宋体" w:hAnsi="宋体" w:cs="宋体"/>
                <w:color w:val="auto"/>
                <w:highlight w:val="none"/>
                <w:lang w:val="en-US" w:eastAsia="zh-CN"/>
              </w:rPr>
              <w:t>00</w:t>
            </w:r>
            <w:r>
              <w:rPr>
                <w:rFonts w:hint="eastAsia" w:ascii="宋体" w:hAnsi="宋体" w:cs="宋体"/>
                <w:color w:val="auto"/>
                <w:highlight w:val="none"/>
              </w:rPr>
              <w:t>分</w:t>
            </w:r>
            <w:r>
              <w:rPr>
                <w:rFonts w:hint="eastAsia" w:ascii="宋体" w:hAnsi="宋体" w:cs="宋体"/>
                <w:color w:val="auto"/>
                <w:highlight w:val="none"/>
                <w:lang w:eastAsia="zh-CN"/>
              </w:rPr>
              <w:t>；</w:t>
            </w:r>
            <w:r>
              <w:rPr>
                <w:rFonts w:hint="eastAsia" w:ascii="宋体" w:hAnsi="宋体" w:cs="宋体"/>
                <w:color w:val="auto"/>
                <w:highlight w:val="none"/>
              </w:rPr>
              <w:t>业务时间以外</w:t>
            </w:r>
            <w:r>
              <w:rPr>
                <w:rFonts w:hint="eastAsia" w:ascii="宋体" w:hAnsi="宋体" w:cs="宋体"/>
                <w:color w:val="auto"/>
                <w:highlight w:val="none"/>
                <w:lang w:eastAsia="zh-CN"/>
              </w:rPr>
              <w:t>，</w:t>
            </w:r>
            <w:r>
              <w:rPr>
                <w:rFonts w:hint="eastAsia" w:ascii="宋体" w:hAnsi="宋体" w:cs="宋体"/>
                <w:color w:val="auto"/>
                <w:highlight w:val="none"/>
              </w:rPr>
              <w:t>双休日和法定节假日不办理业务。</w:t>
            </w:r>
          </w:p>
        </w:tc>
      </w:tr>
      <w:tr w14:paraId="0CF26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16F2330">
            <w:pPr>
              <w:shd w:val="clea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32.1</w:t>
            </w:r>
          </w:p>
        </w:tc>
        <w:tc>
          <w:tcPr>
            <w:tcW w:w="7912" w:type="dxa"/>
            <w:vAlign w:val="center"/>
          </w:tcPr>
          <w:p w14:paraId="495A2AE5">
            <w:pPr>
              <w:pStyle w:val="16"/>
              <w:numPr>
                <w:ilvl w:val="0"/>
                <w:numId w:val="0"/>
              </w:numPr>
              <w:shd w:val="clear"/>
              <w:snapToGrid w:val="0"/>
              <w:spacing w:line="500" w:lineRule="exact"/>
              <w:rPr>
                <w:rFonts w:hAnsi="宋体" w:cs="宋体"/>
                <w:color w:val="auto"/>
                <w:sz w:val="21"/>
                <w:highlight w:val="none"/>
              </w:rPr>
            </w:pPr>
            <w:r>
              <w:rPr>
                <w:rFonts w:ascii="宋体" w:hAnsi="宋体" w:eastAsia="宋体" w:cs="宋体"/>
                <w:color w:val="auto"/>
                <w:kern w:val="0"/>
                <w:sz w:val="21"/>
                <w:szCs w:val="21"/>
                <w:highlight w:val="none"/>
                <w:lang w:val="en-US" w:eastAsia="zh-CN" w:bidi="ar-SA"/>
              </w:rPr>
              <w:t>1</w:t>
            </w:r>
            <w:r>
              <w:rPr>
                <w:rFonts w:hint="eastAsia" w:hAnsi="宋体" w:cs="宋体"/>
                <w:color w:val="auto"/>
                <w:kern w:val="0"/>
                <w:sz w:val="21"/>
                <w:szCs w:val="21"/>
                <w:highlight w:val="none"/>
                <w:lang w:val="en-US" w:eastAsia="zh-CN" w:bidi="ar-SA"/>
              </w:rPr>
              <w:t>.</w:t>
            </w:r>
            <w:r>
              <w:rPr>
                <w:rFonts w:hint="eastAsia" w:hAnsi="宋体" w:cs="宋体"/>
                <w:color w:val="auto"/>
                <w:sz w:val="21"/>
                <w:highlight w:val="none"/>
              </w:rPr>
              <w:t>根据有关收费规定，采购代理服务费以成交金额为基准，参照《招标代理服务收费管理暂行办法》（计价格〔2002〕1980号）及国家发展改革委办公厅《关于招标代理服务收费有关问题的通知》（发改办价格〔2003〕857号）规定的〔货物类〕收费标准</w:t>
            </w:r>
            <w:r>
              <w:rPr>
                <w:rFonts w:hint="eastAsia" w:hAnsi="宋体" w:cs="宋体"/>
                <w:color w:val="auto"/>
                <w:sz w:val="21"/>
                <w:highlight w:val="none"/>
                <w:lang w:val="en-US" w:eastAsia="zh-CN"/>
              </w:rPr>
              <w:t>进行</w:t>
            </w:r>
            <w:r>
              <w:rPr>
                <w:rFonts w:hint="eastAsia" w:hAnsi="宋体" w:cs="宋体"/>
                <w:color w:val="auto"/>
                <w:sz w:val="21"/>
                <w:highlight w:val="none"/>
              </w:rPr>
              <w:t>计取。</w:t>
            </w:r>
          </w:p>
          <w:p w14:paraId="60F3A87A">
            <w:pPr>
              <w:pStyle w:val="16"/>
              <w:shd w:val="clear"/>
              <w:snapToGrid w:val="0"/>
              <w:spacing w:line="500" w:lineRule="exact"/>
              <w:rPr>
                <w:rFonts w:hAnsi="宋体" w:cs="宋体"/>
                <w:color w:val="auto"/>
                <w:sz w:val="21"/>
                <w:highlight w:val="none"/>
              </w:rPr>
            </w:pPr>
            <w:r>
              <w:rPr>
                <w:rFonts w:hint="eastAsia" w:hAnsi="宋体" w:cs="宋体"/>
                <w:color w:val="auto"/>
                <w:sz w:val="21"/>
                <w:highlight w:val="none"/>
              </w:rPr>
              <w:t>2</w:t>
            </w:r>
            <w:r>
              <w:rPr>
                <w:rFonts w:hint="eastAsia" w:hAnsi="宋体" w:cs="宋体"/>
                <w:color w:val="auto"/>
                <w:sz w:val="21"/>
                <w:highlight w:val="none"/>
                <w:lang w:val="en-US" w:eastAsia="zh-CN"/>
              </w:rPr>
              <w:t>.</w:t>
            </w:r>
            <w:r>
              <w:rPr>
                <w:rFonts w:hint="eastAsia" w:hAnsi="宋体" w:cs="宋体"/>
                <w:color w:val="auto"/>
                <w:sz w:val="21"/>
                <w:highlight w:val="none"/>
              </w:rPr>
              <w:t>由成交供应商在领取成交通知书前一次性向采购代理机构付清。</w:t>
            </w:r>
          </w:p>
          <w:p w14:paraId="342C1FA3">
            <w:pPr>
              <w:pStyle w:val="16"/>
              <w:shd w:val="clear"/>
              <w:snapToGrid w:val="0"/>
              <w:spacing w:line="500" w:lineRule="exact"/>
              <w:rPr>
                <w:rFonts w:hint="eastAsia" w:hAnsi="宋体" w:cs="宋体"/>
                <w:color w:val="auto"/>
                <w:sz w:val="21"/>
                <w:highlight w:val="none"/>
              </w:rPr>
            </w:pPr>
            <w:r>
              <w:rPr>
                <w:rFonts w:hint="eastAsia" w:hAnsi="宋体" w:cs="宋体"/>
                <w:color w:val="auto"/>
                <w:sz w:val="21"/>
                <w:highlight w:val="none"/>
              </w:rPr>
              <w:t>开户名称：</w:t>
            </w:r>
            <w:r>
              <w:rPr>
                <w:rFonts w:hint="eastAsia" w:hAnsi="宋体" w:cs="宋体"/>
                <w:color w:val="auto"/>
                <w:sz w:val="21"/>
                <w:highlight w:val="none"/>
                <w:lang w:eastAsia="zh-CN"/>
              </w:rPr>
              <w:t>广西邕政采购代理有限公司</w:t>
            </w:r>
            <w:r>
              <w:rPr>
                <w:rFonts w:hint="eastAsia" w:hAnsi="宋体" w:cs="宋体"/>
                <w:color w:val="auto"/>
                <w:sz w:val="21"/>
                <w:highlight w:val="none"/>
              </w:rPr>
              <w:t xml:space="preserve"> </w:t>
            </w:r>
          </w:p>
          <w:p w14:paraId="7436A911">
            <w:pPr>
              <w:pStyle w:val="16"/>
              <w:shd w:val="clear"/>
              <w:snapToGrid w:val="0"/>
              <w:spacing w:line="500" w:lineRule="exact"/>
              <w:rPr>
                <w:rFonts w:hint="eastAsia" w:hAnsi="宋体" w:cs="宋体"/>
                <w:color w:val="auto"/>
                <w:sz w:val="21"/>
                <w:highlight w:val="none"/>
              </w:rPr>
            </w:pPr>
            <w:r>
              <w:rPr>
                <w:rFonts w:hint="eastAsia" w:hAnsi="宋体" w:cs="宋体"/>
                <w:color w:val="auto"/>
                <w:sz w:val="21"/>
                <w:highlight w:val="none"/>
              </w:rPr>
              <w:t>开户银行：交通银行南宁东葛西支行</w:t>
            </w:r>
          </w:p>
          <w:p w14:paraId="74FCF6CF">
            <w:pPr>
              <w:pStyle w:val="16"/>
              <w:shd w:val="clear"/>
              <w:snapToGrid w:val="0"/>
              <w:spacing w:line="500" w:lineRule="exact"/>
              <w:rPr>
                <w:rFonts w:hint="eastAsia" w:hAnsi="宋体" w:cs="宋体"/>
                <w:color w:val="auto"/>
                <w:sz w:val="21"/>
                <w:highlight w:val="none"/>
              </w:rPr>
            </w:pPr>
            <w:r>
              <w:rPr>
                <w:rFonts w:hint="eastAsia" w:hAnsi="宋体" w:cs="宋体"/>
                <w:color w:val="auto"/>
                <w:sz w:val="21"/>
                <w:highlight w:val="none"/>
              </w:rPr>
              <w:t>银行账号：4510 6070 1018 1602 32818</w:t>
            </w:r>
          </w:p>
          <w:p w14:paraId="3C57E5CF">
            <w:pPr>
              <w:pStyle w:val="16"/>
              <w:shd w:val="clear"/>
              <w:snapToGrid w:val="0"/>
              <w:spacing w:line="500" w:lineRule="exact"/>
              <w:rPr>
                <w:rFonts w:hAnsi="宋体" w:cs="宋体"/>
                <w:color w:val="auto"/>
                <w:sz w:val="21"/>
                <w:highlight w:val="none"/>
              </w:rPr>
            </w:pPr>
            <w:r>
              <w:rPr>
                <w:rFonts w:hint="eastAsia" w:hAnsi="宋体" w:cs="宋体"/>
                <w:color w:val="auto"/>
                <w:sz w:val="21"/>
                <w:highlight w:val="none"/>
              </w:rPr>
              <w:t>开户行行号：301611000718</w:t>
            </w:r>
          </w:p>
        </w:tc>
      </w:tr>
      <w:tr w14:paraId="6062E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5364748">
            <w:pPr>
              <w:shd w:val="clea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33.1</w:t>
            </w:r>
          </w:p>
        </w:tc>
        <w:tc>
          <w:tcPr>
            <w:tcW w:w="7912" w:type="dxa"/>
            <w:vAlign w:val="center"/>
          </w:tcPr>
          <w:p w14:paraId="62A80FFE">
            <w:pPr>
              <w:pStyle w:val="16"/>
              <w:shd w:val="clear"/>
              <w:snapToGrid w:val="0"/>
              <w:spacing w:line="500" w:lineRule="exact"/>
              <w:rPr>
                <w:rFonts w:hAnsi="宋体" w:cs="宋体"/>
                <w:color w:val="auto"/>
                <w:kern w:val="2"/>
                <w:sz w:val="21"/>
                <w:highlight w:val="none"/>
              </w:rPr>
            </w:pPr>
            <w:r>
              <w:rPr>
                <w:rFonts w:hint="eastAsia" w:hAnsi="宋体" w:cs="宋体"/>
                <w:color w:val="auto"/>
                <w:sz w:val="21"/>
                <w:highlight w:val="none"/>
              </w:rPr>
              <w:t>解释：构成本竞争性谈判文件的各个组成文件应互为解释，互为说明；除竞争性谈判文件中有特别规定外，仅适用于</w:t>
            </w:r>
            <w:r>
              <w:rPr>
                <w:rFonts w:hint="eastAsia" w:hAnsi="宋体" w:cs="宋体"/>
                <w:color w:val="auto"/>
                <w:sz w:val="21"/>
                <w:highlight w:val="none"/>
                <w:lang w:val="en-US" w:eastAsia="zh-CN"/>
              </w:rPr>
              <w:t>响应</w:t>
            </w:r>
            <w:r>
              <w:rPr>
                <w:rFonts w:hint="eastAsia" w:hAnsi="宋体" w:cs="宋体"/>
                <w:color w:val="auto"/>
                <w:sz w:val="21"/>
                <w:highlight w:val="none"/>
              </w:rPr>
              <w:t>阶段的规定，按更正公告（澄清公告）、竞争性谈判公告、供应商须知、采购需求、评审程序、评审方法和评审标准、响应文件格式、合同文本的先后顺序解释；同一组成文件中就同一事项的规定或约定不一致的，以编排顺序在后者为准；同一组成文件不同版本之间有不一致的，以形成时间在后者为准；更正公告（澄清公告）与同步更新的竞争性谈判文件不一致时以更正公告（澄清公告）为准。按本款前述规定仍不能形成结论的，由采购人或者采购代理机构负责解释。</w:t>
            </w:r>
          </w:p>
        </w:tc>
      </w:tr>
      <w:tr w14:paraId="46EB0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20A1E5F">
            <w:pPr>
              <w:shd w:val="clea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33.2</w:t>
            </w:r>
          </w:p>
        </w:tc>
        <w:tc>
          <w:tcPr>
            <w:tcW w:w="7912" w:type="dxa"/>
            <w:vAlign w:val="center"/>
          </w:tcPr>
          <w:p w14:paraId="7D03D060">
            <w:pPr>
              <w:pStyle w:val="16"/>
              <w:shd w:val="clear"/>
              <w:snapToGrid w:val="0"/>
              <w:spacing w:line="500" w:lineRule="exact"/>
              <w:rPr>
                <w:rFonts w:hAnsi="宋体" w:cs="宋体"/>
                <w:color w:val="auto"/>
                <w:sz w:val="21"/>
                <w:highlight w:val="none"/>
              </w:rPr>
            </w:pPr>
            <w:r>
              <w:rPr>
                <w:rFonts w:hint="eastAsia" w:hAnsi="宋体" w:cs="宋体"/>
                <w:color w:val="auto"/>
                <w:sz w:val="21"/>
                <w:highlight w:val="none"/>
              </w:rPr>
              <w:t>1.本竞争性谈判文件中描述供应商的“公章”是指供应商通过指定电子化政府采购平台办理数字证书（CA认证）获得的以法定主体行为名称制作的电子印章。</w:t>
            </w:r>
          </w:p>
          <w:p w14:paraId="6372C82F">
            <w:pPr>
              <w:pStyle w:val="16"/>
              <w:shd w:val="clear"/>
              <w:snapToGrid w:val="0"/>
              <w:spacing w:line="500" w:lineRule="exact"/>
              <w:rPr>
                <w:rFonts w:hAnsi="宋体" w:cs="宋体"/>
                <w:color w:val="auto"/>
                <w:sz w:val="21"/>
                <w:highlight w:val="none"/>
              </w:rPr>
            </w:pPr>
            <w:r>
              <w:rPr>
                <w:rFonts w:hint="eastAsia" w:hAnsi="宋体" w:cs="宋体"/>
                <w:color w:val="auto"/>
                <w:sz w:val="21"/>
                <w:highlight w:val="none"/>
              </w:rPr>
              <w:t>2.本竞争性谈判文件中描述供应商的“签字”是指供应商通过指定电子化政府采购平台办理数字证书（CA认证）获得的以供应商法定代表人或者委托代理人姓名制作的电子印章或手写签字。</w:t>
            </w:r>
          </w:p>
          <w:p w14:paraId="6147D4AB">
            <w:pPr>
              <w:pStyle w:val="16"/>
              <w:shd w:val="clear"/>
              <w:snapToGrid w:val="0"/>
              <w:spacing w:line="500" w:lineRule="exact"/>
              <w:rPr>
                <w:rFonts w:hAnsi="宋体" w:cs="宋体"/>
                <w:color w:val="auto"/>
                <w:sz w:val="21"/>
                <w:highlight w:val="none"/>
              </w:rPr>
            </w:pPr>
            <w:r>
              <w:rPr>
                <w:rFonts w:hint="eastAsia" w:hAnsi="宋体" w:cs="宋体"/>
                <w:color w:val="auto"/>
                <w:sz w:val="21"/>
                <w:highlight w:val="none"/>
              </w:rPr>
              <w:t>3.供应商为其他组织或者自然人时，本竞争性谈判文件规定的法定代表人指负责人或者自然人。本竞争性谈判文件所称负责人是指参加</w:t>
            </w:r>
            <w:r>
              <w:rPr>
                <w:rFonts w:hint="eastAsia" w:hAnsi="宋体" w:cs="宋体"/>
                <w:color w:val="auto"/>
                <w:sz w:val="21"/>
                <w:highlight w:val="none"/>
                <w:lang w:val="en-US" w:eastAsia="zh-CN"/>
              </w:rPr>
              <w:t>响应</w:t>
            </w:r>
            <w:r>
              <w:rPr>
                <w:rFonts w:hint="eastAsia" w:hAnsi="宋体" w:cs="宋体"/>
                <w:color w:val="auto"/>
                <w:sz w:val="21"/>
                <w:highlight w:val="none"/>
              </w:rPr>
              <w:t>的其他组织营业执照上的负责人，本竞争性谈判文件所称自然人指参与</w:t>
            </w:r>
            <w:r>
              <w:rPr>
                <w:rFonts w:hint="eastAsia" w:hAnsi="宋体" w:cs="宋体"/>
                <w:color w:val="auto"/>
                <w:sz w:val="21"/>
                <w:highlight w:val="none"/>
                <w:lang w:val="en-US" w:eastAsia="zh-CN"/>
              </w:rPr>
              <w:t>响应</w:t>
            </w:r>
            <w:r>
              <w:rPr>
                <w:rFonts w:hint="eastAsia" w:hAnsi="宋体" w:cs="宋体"/>
                <w:color w:val="auto"/>
                <w:sz w:val="21"/>
                <w:highlight w:val="none"/>
              </w:rPr>
              <w:t>的自然人本人。</w:t>
            </w:r>
          </w:p>
          <w:p w14:paraId="51933643">
            <w:pPr>
              <w:pStyle w:val="16"/>
              <w:shd w:val="clear"/>
              <w:snapToGrid w:val="0"/>
              <w:spacing w:line="500" w:lineRule="exact"/>
              <w:rPr>
                <w:rFonts w:hAnsi="宋体" w:cs="宋体"/>
                <w:color w:val="auto"/>
                <w:sz w:val="21"/>
                <w:highlight w:val="none"/>
              </w:rPr>
            </w:pPr>
            <w:r>
              <w:rPr>
                <w:rFonts w:hint="eastAsia" w:hAnsi="宋体" w:cs="宋体"/>
                <w:color w:val="auto"/>
                <w:sz w:val="21"/>
                <w:highlight w:val="none"/>
              </w:rPr>
              <w:t>4.自然人</w:t>
            </w:r>
            <w:r>
              <w:rPr>
                <w:rFonts w:hint="eastAsia" w:hAnsi="宋体" w:cs="宋体"/>
                <w:color w:val="auto"/>
                <w:sz w:val="21"/>
                <w:highlight w:val="none"/>
                <w:lang w:val="en-US" w:eastAsia="zh-CN"/>
              </w:rPr>
              <w:t>响应</w:t>
            </w:r>
            <w:r>
              <w:rPr>
                <w:rFonts w:hint="eastAsia" w:hAnsi="宋体" w:cs="宋体"/>
                <w:color w:val="auto"/>
                <w:sz w:val="21"/>
                <w:highlight w:val="none"/>
              </w:rPr>
              <w:t>的，竞争性谈判文件规定盖公章处由自然人摁手指指印。</w:t>
            </w:r>
          </w:p>
          <w:p w14:paraId="1E2C7651">
            <w:pPr>
              <w:pStyle w:val="16"/>
              <w:shd w:val="clear"/>
              <w:snapToGrid w:val="0"/>
              <w:spacing w:line="500" w:lineRule="exact"/>
              <w:rPr>
                <w:rFonts w:hAnsi="宋体" w:cs="宋体"/>
                <w:color w:val="auto"/>
                <w:sz w:val="21"/>
                <w:highlight w:val="none"/>
              </w:rPr>
            </w:pPr>
            <w:r>
              <w:rPr>
                <w:rFonts w:hint="eastAsia" w:hAnsi="宋体" w:cs="宋体"/>
                <w:color w:val="auto"/>
                <w:sz w:val="21"/>
                <w:highlight w:val="none"/>
              </w:rPr>
              <w:t>5.本竞争性谈判文件所称的“以上”“以下”“以内”“届满”，包括本数；所称的“不满”“超过”“以外”，不包括本数。</w:t>
            </w:r>
          </w:p>
        </w:tc>
      </w:tr>
    </w:tbl>
    <w:p w14:paraId="640A3409">
      <w:pPr>
        <w:shd w:val="clear"/>
        <w:spacing w:line="5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br w:type="page"/>
      </w:r>
      <w:r>
        <w:rPr>
          <w:rFonts w:hint="eastAsia" w:ascii="宋体" w:hAnsi="宋体" w:cs="宋体"/>
          <w:b/>
          <w:color w:val="auto"/>
          <w:sz w:val="32"/>
          <w:szCs w:val="32"/>
          <w:highlight w:val="none"/>
        </w:rPr>
        <w:t>供应商须知正文</w:t>
      </w:r>
    </w:p>
    <w:p w14:paraId="44941FBF">
      <w:pPr>
        <w:shd w:val="clear"/>
        <w:spacing w:line="400" w:lineRule="exact"/>
        <w:jc w:val="center"/>
        <w:rPr>
          <w:rFonts w:ascii="宋体" w:hAnsi="宋体" w:cs="宋体"/>
          <w:b/>
          <w:color w:val="auto"/>
          <w:sz w:val="32"/>
          <w:szCs w:val="32"/>
          <w:highlight w:val="none"/>
        </w:rPr>
      </w:pPr>
    </w:p>
    <w:p w14:paraId="3D2A73C0">
      <w:pPr>
        <w:shd w:val="clea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一、总则</w:t>
      </w:r>
    </w:p>
    <w:p w14:paraId="1D9D1EDA">
      <w:pPr>
        <w:shd w:val="clear"/>
        <w:spacing w:line="400" w:lineRule="exact"/>
        <w:rPr>
          <w:rFonts w:ascii="宋体" w:hAnsi="宋体" w:cs="宋体"/>
          <w:color w:val="auto"/>
          <w:szCs w:val="21"/>
          <w:highlight w:val="none"/>
        </w:rPr>
      </w:pPr>
    </w:p>
    <w:p w14:paraId="23A53EFC">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1.适用范围</w:t>
      </w:r>
    </w:p>
    <w:p w14:paraId="0C99956F">
      <w:pPr>
        <w:shd w:val="clear"/>
        <w:spacing w:line="360" w:lineRule="auto"/>
        <w:ind w:firstLine="396" w:firstLineChars="200"/>
        <w:rPr>
          <w:rFonts w:ascii="宋体" w:hAnsi="宋体" w:cs="宋体"/>
          <w:color w:val="auto"/>
          <w:spacing w:val="-6"/>
          <w:szCs w:val="21"/>
          <w:highlight w:val="none"/>
        </w:rPr>
      </w:pPr>
      <w:r>
        <w:rPr>
          <w:rFonts w:hint="eastAsia" w:ascii="宋体" w:hAnsi="宋体" w:cs="宋体"/>
          <w:color w:val="auto"/>
          <w:spacing w:val="-6"/>
          <w:szCs w:val="21"/>
          <w:highlight w:val="none"/>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40B3722B">
      <w:pPr>
        <w:shd w:val="clear"/>
        <w:spacing w:line="360" w:lineRule="auto"/>
        <w:ind w:firstLine="396" w:firstLineChars="200"/>
        <w:rPr>
          <w:rFonts w:ascii="宋体" w:hAnsi="宋体" w:cs="宋体"/>
          <w:color w:val="auto"/>
          <w:szCs w:val="21"/>
          <w:highlight w:val="none"/>
        </w:rPr>
      </w:pPr>
      <w:r>
        <w:rPr>
          <w:rFonts w:hint="eastAsia" w:ascii="宋体" w:hAnsi="宋体" w:cs="宋体"/>
          <w:color w:val="auto"/>
          <w:spacing w:val="-6"/>
          <w:szCs w:val="21"/>
          <w:highlight w:val="none"/>
        </w:rPr>
        <w:t>1.2本竞争性谈判文件（以下简称谈判文件）适用于本项目的所有采购程序和环节（法律法规另有规定的，从其规定）。</w:t>
      </w:r>
    </w:p>
    <w:p w14:paraId="0ABE58FD">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2.定义</w:t>
      </w:r>
    </w:p>
    <w:p w14:paraId="711BD8EE">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78ACD6C3">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2.2“采购代理机构”是指政府采购集中采购机构和集中采购机构以外的采购代理机构。</w:t>
      </w:r>
    </w:p>
    <w:p w14:paraId="60F9DC5B">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5BE02574">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2.4“货物”是指各种形态和种类的物品，包括原材料、燃料、设备、产品等。</w:t>
      </w:r>
    </w:p>
    <w:p w14:paraId="14573A47">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”是指供应商按照本项目竞争性谈判公告或者邀请函规定的方式获取谈判文件、提交响应文件并希望获得标的的行为。</w:t>
      </w:r>
    </w:p>
    <w:p w14:paraId="7CEE3A4D">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2.6“售后服务”是指包含但不限于供应商须承担的备品备件、包装、运输、装卸、保险、货到就位以及安装、调试、培训、保修和其他类似的义务。</w:t>
      </w:r>
    </w:p>
    <w:p w14:paraId="4A63DDB2">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2.7“书面形式”是指合同书、信件和数据电文（包括电报、电传、传真、电子数据交换和电子邮件）等可以有形地表现所载内容的形式。</w:t>
      </w:r>
    </w:p>
    <w:p w14:paraId="39439906">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2.8“响应文件”是指：供应商根据本谈判文件要求，编制包含资格证明、报价商务技术等所有内容的文件。</w:t>
      </w:r>
    </w:p>
    <w:p w14:paraId="389EF723">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2.9“实质性要求”是指谈判文件中已经指明不满足则响应文件按无效响应处理的条款，或者不能负偏离的条款，或者采购需求中带“▲”的条款。</w:t>
      </w:r>
    </w:p>
    <w:p w14:paraId="587EE8FB">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2.10“正偏离”，是指响应文件对谈判文件“采购需求”中有关条款作出的响应优于条款要求并有利于采购人的情形。</w:t>
      </w:r>
    </w:p>
    <w:p w14:paraId="18F9DB39">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2.11“负偏离”，是指响应文件对谈判文件“采购需求”中有关条款作出的响应不满足条款要求，导致采购人要求不能得到满足的情形。</w:t>
      </w:r>
    </w:p>
    <w:p w14:paraId="1661BB2A">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2.12“允许负偏离的条款”是指采购需求中的不属于“实质性要求”的条款。</w:t>
      </w:r>
    </w:p>
    <w:p w14:paraId="28AD5E33">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2.13“首次报价”是指供应商提交的首次响应文件中的报价。</w:t>
      </w:r>
    </w:p>
    <w:p w14:paraId="1F9B0506">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2.14“评审报价”是指供应商提交的最后报价并经修正（如有）和政策功能价格扣除（如有）后的价格。</w:t>
      </w:r>
    </w:p>
    <w:p w14:paraId="077DC014">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3.供应商的资格条件</w:t>
      </w:r>
    </w:p>
    <w:p w14:paraId="7C99CED1">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6D4A867C">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4.</w:t>
      </w:r>
      <w:r>
        <w:rPr>
          <w:rFonts w:hint="eastAsia" w:ascii="宋体" w:hAnsi="宋体" w:cs="宋体"/>
          <w:b/>
          <w:bCs/>
          <w:color w:val="auto"/>
          <w:sz w:val="24"/>
          <w:highlight w:val="none"/>
          <w:lang w:val="en-US" w:eastAsia="zh-CN"/>
        </w:rPr>
        <w:t>响应</w:t>
      </w:r>
      <w:r>
        <w:rPr>
          <w:rFonts w:hint="eastAsia" w:ascii="宋体" w:hAnsi="宋体" w:cs="宋体"/>
          <w:b/>
          <w:bCs/>
          <w:color w:val="auto"/>
          <w:sz w:val="24"/>
          <w:highlight w:val="none"/>
        </w:rPr>
        <w:t>费用</w:t>
      </w:r>
    </w:p>
    <w:p w14:paraId="644E2D60">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供应商应承担参与本次采购活动有关的所有费用，包括但不限于、勘查现场、编制和提交响应文件、参加谈判与应答、签订合同等，不论</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结果如何，均应自行承担。</w:t>
      </w:r>
    </w:p>
    <w:p w14:paraId="34D02677">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5.联合体</w:t>
      </w:r>
      <w:r>
        <w:rPr>
          <w:rFonts w:hint="eastAsia" w:ascii="宋体" w:hAnsi="宋体" w:cs="宋体"/>
          <w:b/>
          <w:bCs/>
          <w:color w:val="auto"/>
          <w:sz w:val="24"/>
          <w:highlight w:val="none"/>
          <w:lang w:val="en-US" w:eastAsia="zh-CN"/>
        </w:rPr>
        <w:t>响应</w:t>
      </w:r>
    </w:p>
    <w:p w14:paraId="027A9BA1">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，详见“供应商须知前附表”。</w:t>
      </w:r>
    </w:p>
    <w:p w14:paraId="309BC04B">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s="宋体"/>
          <w:color w:val="auto"/>
          <w:highlight w:val="none"/>
        </w:rPr>
        <w:t>如接受联合体</w:t>
      </w:r>
      <w:r>
        <w:rPr>
          <w:rFonts w:hint="eastAsia" w:ascii="宋体" w:hAnsi="宋体" w:cs="宋体"/>
          <w:color w:val="auto"/>
          <w:szCs w:val="21"/>
          <w:highlight w:val="none"/>
          <w:lang w:val="en-US" w:eastAsia="zh-CN"/>
        </w:rPr>
        <w:t>响应</w:t>
      </w:r>
      <w:r>
        <w:rPr>
          <w:rFonts w:hint="eastAsia" w:ascii="宋体" w:hAnsi="宋体" w:cs="宋体"/>
          <w:color w:val="auto"/>
          <w:highlight w:val="none"/>
        </w:rPr>
        <w:t>，</w:t>
      </w:r>
      <w:r>
        <w:rPr>
          <w:rFonts w:hint="eastAsia" w:ascii="宋体" w:hAnsi="宋体" w:cs="宋体"/>
          <w:color w:val="auto"/>
          <w:szCs w:val="21"/>
          <w:highlight w:val="none"/>
        </w:rPr>
        <w:t>联合体</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要求详见“供应商须知前附表”。</w:t>
      </w:r>
    </w:p>
    <w:p w14:paraId="71A9D68C">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 xml:space="preserve">6.转包与分包             </w:t>
      </w:r>
    </w:p>
    <w:p w14:paraId="64BA7FA6">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6.1本项目不允许转包。</w:t>
      </w:r>
    </w:p>
    <w:p w14:paraId="1162BC3F">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6.2本项目是否允许分包详见“供应商须知前附表”，本项目不允许违法分包。</w:t>
      </w:r>
    </w:p>
    <w:p w14:paraId="3E7F5CA8">
      <w:pPr>
        <w:shd w:val="clear"/>
        <w:spacing w:line="360" w:lineRule="auto"/>
        <w:ind w:firstLine="482" w:firstLineChars="200"/>
        <w:rPr>
          <w:rFonts w:ascii="宋体" w:hAnsi="宋体" w:cs="宋体"/>
          <w:b/>
          <w:bCs/>
          <w:color w:val="auto"/>
          <w:sz w:val="24"/>
          <w:highlight w:val="none"/>
        </w:rPr>
      </w:pPr>
      <w:bookmarkStart w:id="45" w:name="_Toc254970532"/>
      <w:bookmarkStart w:id="46" w:name="_Toc254970673"/>
      <w:r>
        <w:rPr>
          <w:rFonts w:hint="eastAsia" w:ascii="宋体" w:hAnsi="宋体" w:cs="宋体"/>
          <w:b/>
          <w:bCs/>
          <w:color w:val="auto"/>
          <w:sz w:val="24"/>
          <w:highlight w:val="none"/>
        </w:rPr>
        <w:t>7.特别说明</w:t>
      </w:r>
      <w:bookmarkEnd w:id="45"/>
      <w:bookmarkEnd w:id="46"/>
    </w:p>
    <w:p w14:paraId="5A92C674">
      <w:pPr>
        <w:shd w:val="clear"/>
        <w:spacing w:line="360" w:lineRule="auto"/>
        <w:ind w:firstLine="420" w:firstLineChars="200"/>
        <w:rPr>
          <w:rFonts w:ascii="宋体" w:hAnsi="宋体" w:cs="宋体"/>
          <w:color w:val="auto"/>
          <w:szCs w:val="21"/>
          <w:highlight w:val="none"/>
        </w:rPr>
      </w:pPr>
      <w:bookmarkStart w:id="47" w:name="_8.1提供相同品牌产品且通过资格审查、符合性审查的不同投标人参加同一合"/>
      <w:bookmarkEnd w:id="47"/>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HYPERLINK  \l "_8.1"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7.1</w:t>
      </w:r>
      <w:r>
        <w:rPr>
          <w:rFonts w:hint="eastAsia" w:ascii="宋体" w:hAnsi="宋体" w:cs="宋体"/>
          <w:color w:val="auto"/>
          <w:szCs w:val="21"/>
          <w:highlight w:val="none"/>
        </w:rPr>
        <w:fldChar w:fldCharType="end"/>
      </w:r>
      <w:r>
        <w:rPr>
          <w:rFonts w:hint="eastAsia" w:ascii="宋体" w:hAnsi="宋体" w:cs="宋体"/>
          <w:color w:val="auto"/>
          <w:szCs w:val="21"/>
          <w:highlight w:val="none"/>
        </w:rPr>
        <w:t>提供相同品牌产品的不同供应商参加同一合同项下</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的，以其中通过资格审查、符合性审查、谈判且最后报价最低的参加报价评审；最后报价相同的，由采购人或者采购人委托谈判小组按照“供应商须知前附表”规定的方式确定一个供应商获得成交</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推荐资格，其他响应文件按无效处理。</w:t>
      </w:r>
    </w:p>
    <w:p w14:paraId="0FE9FC2D">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非单一产品采购项目，多家供应商提供的核心产品品牌相同的，按前款规定处理。</w:t>
      </w:r>
    </w:p>
    <w:p w14:paraId="1B755696">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7.2如果本谈判文件要求供应商提供资格、信誉、荣誉、业绩与企业认证等材料的，则供应商所提供的以上材料必须为供应商所拥有。</w:t>
      </w:r>
    </w:p>
    <w:p w14:paraId="77D99020">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7.3供应商应仔细阅读谈判文件的所有内容，按照谈判文件的要求提交响应文件，并对所提供的全部资料的真实性承担法律责任。</w:t>
      </w:r>
    </w:p>
    <w:p w14:paraId="13972D36">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7.4供应商在</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活动中提供任何疑似虚假材料，将报监管部门查处；签订合同后发现的，成交供应商须依照《中华人民共和国消费者权益保护法》规定赔偿采购人，且民事赔偿并不免除违法供应商的行政与刑事责任。</w:t>
      </w:r>
    </w:p>
    <w:p w14:paraId="5D213BEE">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7.5在项目采购活动中，采购人员及相关人员与供应商有下列利害关系之一的，应当回避：</w:t>
      </w:r>
    </w:p>
    <w:p w14:paraId="707040C1">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2CEC8BAC">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767028C3">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16F55109">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25A12092">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（5）与供应商有其他可能影响项目采购活动公平、公正进行的关系。</w:t>
      </w:r>
    </w:p>
    <w:p w14:paraId="6D07532A">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E9BE535">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7.6有下列情形之一的视为供应商相互串通</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，响应文件将被视为无效：</w:t>
      </w:r>
    </w:p>
    <w:p w14:paraId="6E56EDBF">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（1）不同供应商的响应文件由同一单位或者个人编制；或者不同供应商报名的IP地址一致的；</w:t>
      </w:r>
    </w:p>
    <w:p w14:paraId="196A529B">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事宜；</w:t>
      </w:r>
    </w:p>
    <w:p w14:paraId="346D5A5B">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09A07E1A">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773049EB">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7C6750B7">
      <w:pPr>
        <w:shd w:val="clear"/>
        <w:tabs>
          <w:tab w:val="left" w:pos="6931"/>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（6）不同供应商的谈判保证金从同一单位或者个人账户转出。</w:t>
      </w:r>
      <w:r>
        <w:rPr>
          <w:rFonts w:hint="eastAsia" w:ascii="宋体" w:hAnsi="宋体" w:cs="宋体"/>
          <w:color w:val="auto"/>
          <w:szCs w:val="21"/>
          <w:highlight w:val="none"/>
        </w:rPr>
        <w:tab/>
      </w:r>
    </w:p>
    <w:p w14:paraId="4AB6BBB0">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7.7供应商有下列情形之一的，属于恶意串通行为，将报同级监督管理部门：</w:t>
      </w:r>
    </w:p>
    <w:p w14:paraId="1E6FE1AC">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6A444523">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F7788BB">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730BE923">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（4）属于同一集团、协会、商会等组织成员的供应商按照该组织要求协同参加项目采购活动；</w:t>
      </w:r>
    </w:p>
    <w:p w14:paraId="1B07102A">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（5）供应商之间事先约定一致抬高或者压低报价，或者在项目采购活动中事先约定轮流以高价位或者低价位成交，或者事先约定由某一特定供应商成交，然后再参加</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w:t>
      </w:r>
    </w:p>
    <w:p w14:paraId="6D49C7C0">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（6）供应商之间商定部分供应商放弃参加项目采购活动或者放弃成交；</w:t>
      </w:r>
    </w:p>
    <w:p w14:paraId="7F8547F6">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3BBFE5E6">
      <w:pPr>
        <w:shd w:val="clear"/>
        <w:spacing w:line="360" w:lineRule="auto"/>
        <w:ind w:firstLine="420" w:firstLineChars="200"/>
        <w:rPr>
          <w:rFonts w:ascii="宋体" w:hAnsi="宋体" w:cs="宋体"/>
          <w:color w:val="auto"/>
          <w:szCs w:val="21"/>
          <w:highlight w:val="none"/>
        </w:rPr>
      </w:pPr>
    </w:p>
    <w:p w14:paraId="5E8C7244">
      <w:pPr>
        <w:shd w:val="clear"/>
        <w:spacing w:line="360" w:lineRule="auto"/>
        <w:jc w:val="center"/>
        <w:rPr>
          <w:rFonts w:ascii="宋体" w:hAnsi="宋体" w:cs="宋体"/>
          <w:b/>
          <w:bCs/>
          <w:color w:val="auto"/>
          <w:sz w:val="32"/>
          <w:szCs w:val="32"/>
          <w:highlight w:val="none"/>
        </w:rPr>
      </w:pPr>
      <w:bookmarkStart w:id="48" w:name="_Toc254970675"/>
      <w:bookmarkStart w:id="49" w:name="_Toc254970534"/>
      <w:r>
        <w:rPr>
          <w:rFonts w:hint="eastAsia" w:ascii="宋体" w:hAnsi="宋体" w:cs="宋体"/>
          <w:b/>
          <w:bCs/>
          <w:color w:val="auto"/>
          <w:sz w:val="32"/>
          <w:szCs w:val="32"/>
          <w:highlight w:val="none"/>
        </w:rPr>
        <w:t>二、谈判文件</w:t>
      </w:r>
      <w:bookmarkEnd w:id="48"/>
      <w:bookmarkEnd w:id="49"/>
    </w:p>
    <w:p w14:paraId="660058B9">
      <w:pPr>
        <w:shd w:val="clear"/>
        <w:spacing w:line="360" w:lineRule="auto"/>
        <w:jc w:val="center"/>
        <w:rPr>
          <w:rFonts w:ascii="宋体" w:hAnsi="宋体" w:cs="宋体"/>
          <w:color w:val="auto"/>
          <w:szCs w:val="21"/>
          <w:highlight w:val="none"/>
        </w:rPr>
      </w:pPr>
    </w:p>
    <w:p w14:paraId="4DA34EA3">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8.谈判文件的构成</w:t>
      </w:r>
    </w:p>
    <w:p w14:paraId="476DC81F">
      <w:pPr>
        <w:shd w:val="clea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（1）竞争性谈判公告；</w:t>
      </w:r>
    </w:p>
    <w:p w14:paraId="31E37ADE">
      <w:pPr>
        <w:shd w:val="clea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（2）供应商须知； </w:t>
      </w:r>
    </w:p>
    <w:p w14:paraId="432D0ECF">
      <w:pPr>
        <w:shd w:val="clea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（3）采购需求；</w:t>
      </w:r>
    </w:p>
    <w:p w14:paraId="2C7228F7">
      <w:pPr>
        <w:shd w:val="clea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（4）评审程序、评审方法和评审标准；</w:t>
      </w:r>
    </w:p>
    <w:p w14:paraId="275D77ED">
      <w:pPr>
        <w:shd w:val="clea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（5）响应文件格式；</w:t>
      </w:r>
    </w:p>
    <w:p w14:paraId="50EEEF3D">
      <w:pPr>
        <w:shd w:val="clea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（6）合同文本。</w:t>
      </w:r>
    </w:p>
    <w:p w14:paraId="09CBF03C">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9.供应商的询问</w:t>
      </w:r>
    </w:p>
    <w:p w14:paraId="1DF62211">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供应商应认真阅读谈判文件的采购需求，如供应商对谈判文件有疑问的，如要求采购人作出澄清或者修改的，供应商尽可能在提交首次响应文件截止之日前，以书面形式向采购人、采购代理机构提出。</w:t>
      </w:r>
    </w:p>
    <w:p w14:paraId="462C5CD6">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10.谈判文件的澄清和修改</w:t>
      </w:r>
    </w:p>
    <w:p w14:paraId="7134751A">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在提交首次响应文件截止之日3个工作日前，以书面形式通知所有获取谈判文件的供应商，不足3个工作日的，应当顺延提交首次响应文件截止之日。</w:t>
      </w:r>
    </w:p>
    <w:p w14:paraId="50A93AF0">
      <w:pPr>
        <w:shd w:val="clear"/>
        <w:spacing w:line="360" w:lineRule="auto"/>
        <w:rPr>
          <w:rFonts w:ascii="宋体" w:hAnsi="宋体" w:cs="宋体"/>
          <w:color w:val="auto"/>
          <w:szCs w:val="21"/>
          <w:highlight w:val="none"/>
        </w:rPr>
      </w:pPr>
    </w:p>
    <w:p w14:paraId="393989BD">
      <w:pPr>
        <w:shd w:val="clear"/>
        <w:spacing w:line="360" w:lineRule="auto"/>
        <w:jc w:val="center"/>
        <w:rPr>
          <w:rFonts w:ascii="宋体" w:hAnsi="宋体" w:cs="宋体"/>
          <w:b/>
          <w:bCs/>
          <w:color w:val="auto"/>
          <w:szCs w:val="21"/>
          <w:highlight w:val="none"/>
        </w:rPr>
      </w:pPr>
      <w:r>
        <w:rPr>
          <w:rFonts w:hint="eastAsia" w:ascii="宋体" w:hAnsi="宋体" w:cs="宋体"/>
          <w:b/>
          <w:bCs/>
          <w:color w:val="auto"/>
          <w:sz w:val="32"/>
          <w:szCs w:val="32"/>
          <w:highlight w:val="none"/>
        </w:rPr>
        <w:t>三、响应文件的编制</w:t>
      </w:r>
    </w:p>
    <w:p w14:paraId="69FB2FED">
      <w:pPr>
        <w:shd w:val="clear"/>
        <w:spacing w:line="360" w:lineRule="auto"/>
        <w:rPr>
          <w:rFonts w:ascii="宋体" w:hAnsi="宋体" w:cs="宋体"/>
          <w:color w:val="auto"/>
          <w:szCs w:val="21"/>
          <w:highlight w:val="none"/>
        </w:rPr>
      </w:pPr>
    </w:p>
    <w:p w14:paraId="4E1451E3">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11.响应文件的编制原则</w:t>
      </w:r>
    </w:p>
    <w:p w14:paraId="7130E441">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供应商必须按照谈判文件的要求编制响应文件，并对其提交的响应文件的真实性、合法性承担法律责任。响应文件必须对谈判文件作出实质性响应。</w:t>
      </w:r>
    </w:p>
    <w:p w14:paraId="55869C75">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12.响应文件的组成</w:t>
      </w:r>
    </w:p>
    <w:p w14:paraId="09DBBE60">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12.1响应文件由资格证明文件、商务技术文件、报价文件三部分组成。</w:t>
      </w:r>
    </w:p>
    <w:p w14:paraId="39C86072">
      <w:pPr>
        <w:shd w:val="clea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5765E515">
      <w:pPr>
        <w:shd w:val="clea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72BF7DAD">
      <w:pPr>
        <w:shd w:val="clea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12.1.3报价文件：详见须知前附表</w:t>
      </w:r>
    </w:p>
    <w:p w14:paraId="0A470DCE">
      <w:pPr>
        <w:shd w:val="clea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102F3DBA">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13.计量单位</w:t>
      </w:r>
    </w:p>
    <w:p w14:paraId="2025571E">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谈判文件已有明确规定的，使用谈判文件规定的计量单位；谈判文件没有规定的，应采用中华人民共和国法定计量单位，货币种类为人民币，否则视同未响应。</w:t>
      </w:r>
    </w:p>
    <w:p w14:paraId="1D1645CA">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14.</w:t>
      </w:r>
      <w:r>
        <w:rPr>
          <w:rFonts w:hint="eastAsia" w:ascii="宋体" w:hAnsi="宋体" w:cs="宋体"/>
          <w:b/>
          <w:bCs/>
          <w:color w:val="auto"/>
          <w:sz w:val="24"/>
          <w:highlight w:val="none"/>
          <w:lang w:val="en-US" w:eastAsia="zh-CN"/>
        </w:rPr>
        <w:t>响应</w:t>
      </w:r>
      <w:r>
        <w:rPr>
          <w:rFonts w:hint="eastAsia" w:ascii="宋体" w:hAnsi="宋体" w:cs="宋体"/>
          <w:b/>
          <w:bCs/>
          <w:color w:val="auto"/>
          <w:sz w:val="24"/>
          <w:highlight w:val="none"/>
        </w:rPr>
        <w:t>的风险</w:t>
      </w:r>
    </w:p>
    <w:p w14:paraId="518713B3">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供应商没有按照谈判文件要求提供全部资料，或者供应商没有对谈判文件在各方面作出实质性响应可能导致其响应无效，是供应商应当考虑的风险。</w:t>
      </w:r>
    </w:p>
    <w:p w14:paraId="216BE77B">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15.</w:t>
      </w:r>
      <w:r>
        <w:rPr>
          <w:rFonts w:hint="eastAsia" w:ascii="宋体" w:hAnsi="宋体" w:cs="宋体"/>
          <w:b/>
          <w:bCs/>
          <w:color w:val="auto"/>
          <w:sz w:val="24"/>
          <w:highlight w:val="none"/>
          <w:lang w:val="en-US" w:eastAsia="zh-CN"/>
        </w:rPr>
        <w:t>响应</w:t>
      </w:r>
      <w:r>
        <w:rPr>
          <w:rFonts w:hint="eastAsia" w:ascii="宋体" w:hAnsi="宋体" w:cs="宋体"/>
          <w:b/>
          <w:bCs/>
          <w:color w:val="auto"/>
          <w:sz w:val="24"/>
          <w:highlight w:val="none"/>
        </w:rPr>
        <w:t>报价要求和构成</w:t>
      </w:r>
    </w:p>
    <w:p w14:paraId="12AD2BC2">
      <w:pPr>
        <w:shd w:val="clea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15.1</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报价应按谈判文件中“响应报价表”格式填写。</w:t>
      </w:r>
    </w:p>
    <w:p w14:paraId="1935659D">
      <w:pPr>
        <w:shd w:val="clea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报价的价格构成见“供应商须知前附表”。</w:t>
      </w:r>
    </w:p>
    <w:p w14:paraId="1D8A691D">
      <w:pPr>
        <w:shd w:val="clear"/>
        <w:spacing w:line="360" w:lineRule="auto"/>
        <w:ind w:left="426" w:leftChars="203"/>
        <w:rPr>
          <w:rFonts w:ascii="宋体" w:hAnsi="宋体" w:cs="宋体"/>
          <w:color w:val="auto"/>
          <w:szCs w:val="21"/>
          <w:highlight w:val="none"/>
        </w:rPr>
      </w:pPr>
      <w:r>
        <w:rPr>
          <w:rFonts w:hint="eastAsia" w:ascii="宋体" w:hAnsi="宋体" w:cs="宋体"/>
          <w:color w:val="auto"/>
          <w:szCs w:val="21"/>
          <w:highlight w:val="none"/>
        </w:rPr>
        <w:t>15.3</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报价要求</w:t>
      </w:r>
    </w:p>
    <w:p w14:paraId="718F48A6">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15.3.1供应商的</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报价应符合以下要求，否则响应文件按无效响应处理：</w:t>
      </w:r>
    </w:p>
    <w:p w14:paraId="28A6571F">
      <w:pPr>
        <w:shd w:val="clea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（1）供应商必须就“采购需求”中所</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的每个分标的全部内容分别作完整唯一总价报价，</w:t>
      </w:r>
    </w:p>
    <w:p w14:paraId="5BCB6FF4">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不得存在漏项报价；</w:t>
      </w:r>
    </w:p>
    <w:p w14:paraId="3B24324E">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（2）供应商必须就所</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的分标的单项内容作唯一报价。</w:t>
      </w:r>
    </w:p>
    <w:p w14:paraId="68D6B22A">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15.3.2</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报价（包含首次报价、最后报价）超过所</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分标规定的采购预算金额或者最高限价的，其响应文件将按无效处理。</w:t>
      </w:r>
    </w:p>
    <w:p w14:paraId="28F860A0">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15.3.3</w:t>
      </w:r>
      <w:bookmarkStart w:id="50" w:name="_Hlk42592874"/>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报价（包含首次报价、最后报价）超过分项采购预算金额或者最高限价的，其响应文件将按无效处理。</w:t>
      </w:r>
    </w:p>
    <w:bookmarkEnd w:id="50"/>
    <w:p w14:paraId="6A504693">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16.</w:t>
      </w:r>
      <w:r>
        <w:rPr>
          <w:rFonts w:hint="eastAsia" w:ascii="宋体" w:hAnsi="宋体" w:cs="宋体"/>
          <w:b/>
          <w:bCs/>
          <w:color w:val="auto"/>
          <w:sz w:val="24"/>
          <w:highlight w:val="none"/>
          <w:lang w:val="en-US" w:eastAsia="zh-CN"/>
        </w:rPr>
        <w:t>响应</w:t>
      </w:r>
      <w:r>
        <w:rPr>
          <w:rFonts w:hint="eastAsia" w:ascii="宋体" w:hAnsi="宋体" w:cs="宋体"/>
          <w:b/>
          <w:bCs/>
          <w:color w:val="auto"/>
          <w:sz w:val="24"/>
          <w:highlight w:val="none"/>
        </w:rPr>
        <w:t>有效期</w:t>
      </w:r>
    </w:p>
    <w:p w14:paraId="0565021E">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有效期是指为保证采购人有足够的时间在提交响应文件后完成评审、确定成交供应商、合同签订等工作而要求供应商提交的响应文件在一定时间内保持有效的期限。</w:t>
      </w:r>
    </w:p>
    <w:p w14:paraId="3C8CD938">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有效期应由供应商按“供应商须知前附表”规定的期限作出响应。</w:t>
      </w:r>
    </w:p>
    <w:p w14:paraId="31D39BA8">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有效期内均保持有效。</w:t>
      </w:r>
    </w:p>
    <w:p w14:paraId="0C832638">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17.谈判保证金</w:t>
      </w:r>
    </w:p>
    <w:p w14:paraId="7F98BA9D">
      <w:pPr>
        <w:shd w:val="clea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17.1供应商须按“供应商须知前附表”的规定提交谈判保证金。</w:t>
      </w:r>
    </w:p>
    <w:p w14:paraId="7C28EE75">
      <w:pPr>
        <w:shd w:val="clea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17.2谈判保证金的退还</w:t>
      </w:r>
    </w:p>
    <w:p w14:paraId="22F3740D">
      <w:pPr>
        <w:pStyle w:val="7"/>
        <w:shd w:val="clea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17.2.1未</w:t>
      </w:r>
      <w:r>
        <w:rPr>
          <w:rFonts w:hint="eastAsia" w:ascii="宋体" w:hAnsi="宋体" w:cs="宋体"/>
          <w:color w:val="auto"/>
          <w:spacing w:val="-6"/>
          <w:szCs w:val="21"/>
          <w:highlight w:val="none"/>
        </w:rPr>
        <w:t>成交供应商的谈判保证金自成交通知书发出之日起5个工作日内退还，退还方式如下：</w:t>
      </w:r>
      <w:r>
        <w:rPr>
          <w:rFonts w:hint="eastAsia" w:ascii="宋体" w:hAnsi="宋体" w:cs="宋体"/>
          <w:color w:val="auto"/>
          <w:szCs w:val="21"/>
          <w:highlight w:val="none"/>
        </w:rPr>
        <w:t>以转账方式退回到供应商银行账户。</w:t>
      </w:r>
    </w:p>
    <w:p w14:paraId="67BB272E">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17.2.2成交供应商的谈判保证金自签订合同之日起5个工作日内退还，退还方式同未成交供应商的谈判保证金的退还方式。 </w:t>
      </w:r>
    </w:p>
    <w:p w14:paraId="70D414F3">
      <w:pPr>
        <w:shd w:val="clea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17.3谈判保证金按法规执行。</w:t>
      </w:r>
    </w:p>
    <w:p w14:paraId="192A7255">
      <w:pPr>
        <w:shd w:val="clea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 xml:space="preserve">17.4供应商有下列情形之一的，谈判保证金将不予退还： </w:t>
      </w:r>
    </w:p>
    <w:p w14:paraId="093701D3">
      <w:pPr>
        <w:shd w:val="clea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2006F845">
      <w:pPr>
        <w:shd w:val="clea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（2）供应商在响应文件中提供虚假材料的；</w:t>
      </w:r>
    </w:p>
    <w:p w14:paraId="372359F0">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（3）除因不可抗力或者谈判文件认可的情形以外，成交供应商不与采购人签订合同的；</w:t>
      </w:r>
    </w:p>
    <w:p w14:paraId="2D8A68D9">
      <w:pPr>
        <w:shd w:val="clea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（4）供应商与采购人、其他供应商或者采购代理机构恶意串通的；</w:t>
      </w:r>
    </w:p>
    <w:p w14:paraId="0CE1182A">
      <w:pPr>
        <w:shd w:val="clea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（5）谈判文件规定的其他情形。</w:t>
      </w:r>
    </w:p>
    <w:p w14:paraId="19463559">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18.响应文件编制的要求</w:t>
      </w:r>
    </w:p>
    <w:p w14:paraId="44E81B89">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18.1供应商应按本谈判文件规定的格式和顺序编制、装订响应文件并标注页码，响应文件内容</w:t>
      </w:r>
      <w:r>
        <w:rPr>
          <w:rFonts w:hint="eastAsia" w:ascii="宋体" w:hAnsi="宋体" w:cs="宋体"/>
          <w:color w:val="auto"/>
          <w:spacing w:val="-6"/>
          <w:szCs w:val="21"/>
          <w:highlight w:val="none"/>
        </w:rPr>
        <w:t>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pacing w:val="-6"/>
          <w:szCs w:val="21"/>
          <w:highlight w:val="none"/>
        </w:rPr>
        <w:t>后果由供应商承担。</w:t>
      </w:r>
    </w:p>
    <w:p w14:paraId="6609E6F6">
      <w:pPr>
        <w:shd w:val="clear"/>
        <w:spacing w:line="360" w:lineRule="auto"/>
        <w:ind w:firstLine="420" w:firstLineChars="200"/>
        <w:rPr>
          <w:rFonts w:ascii="宋体" w:hAnsi="宋体" w:cs="宋体"/>
          <w:color w:val="auto"/>
          <w:highlight w:val="none"/>
        </w:rPr>
      </w:pPr>
      <w:r>
        <w:rPr>
          <w:rFonts w:hint="eastAsia" w:ascii="宋体" w:hAnsi="宋体" w:cs="宋体"/>
          <w:color w:val="auto"/>
          <w:szCs w:val="21"/>
          <w:highlight w:val="none"/>
        </w:rPr>
        <w:t>18.2</w:t>
      </w:r>
      <w:r>
        <w:rPr>
          <w:rFonts w:hint="eastAsia" w:ascii="宋体" w:hAnsi="宋体" w:cs="宋体"/>
          <w:color w:val="auto"/>
          <w:highlight w:val="none"/>
        </w:rPr>
        <w:t>响应文件应按资格证明文件、报价文件分别编制，商务技术文件合并编制，本项目只接收电子版响应文件，要求见本章“12.2响应文件电子版要求”。</w:t>
      </w:r>
    </w:p>
    <w:p w14:paraId="5F78DE47">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18.</w:t>
      </w:r>
      <w:bookmarkStart w:id="51" w:name="_Hlk65832699"/>
      <w:r>
        <w:rPr>
          <w:rFonts w:hint="eastAsia" w:ascii="宋体" w:hAnsi="宋体" w:cs="宋体"/>
          <w:color w:val="auto"/>
          <w:highlight w:val="none"/>
        </w:rPr>
        <w:t>3响应文件须由供应商在</w:t>
      </w:r>
      <w:bookmarkEnd w:id="51"/>
      <w:r>
        <w:rPr>
          <w:rFonts w:hint="eastAsia" w:ascii="宋体" w:hAnsi="宋体" w:cs="宋体"/>
          <w:color w:val="auto"/>
          <w:kern w:val="0"/>
          <w:highlight w:val="none"/>
        </w:rPr>
        <w:t>“</w:t>
      </w:r>
      <w:r>
        <w:rPr>
          <w:rFonts w:hint="eastAsia" w:ascii="宋体" w:hAnsi="宋体" w:cs="宋体"/>
          <w:color w:val="auto"/>
          <w:highlight w:val="none"/>
        </w:rPr>
        <w:t>第五章 响应文件格式</w:t>
      </w:r>
      <w:r>
        <w:rPr>
          <w:rFonts w:hint="eastAsia" w:ascii="宋体" w:hAnsi="宋体" w:cs="宋体"/>
          <w:color w:val="auto"/>
          <w:kern w:val="0"/>
          <w:highlight w:val="none"/>
        </w:rPr>
        <w:t>”</w:t>
      </w:r>
      <w:r>
        <w:rPr>
          <w:rFonts w:hint="eastAsia" w:ascii="宋体" w:hAnsi="宋体" w:cs="宋体"/>
          <w:color w:val="auto"/>
          <w:highlight w:val="none"/>
        </w:rPr>
        <w:t>规定位置进行签署、盖章，否则其响应文件按无效响应处理。骑缝盖公章不视为在规定位置盖章。</w:t>
      </w:r>
    </w:p>
    <w:p w14:paraId="722AF29C">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18.4响应文件中标注的供应商名称应与营业执照（事业单位法人证书、执业许可证、自然人身份证）及电子公章一致，否则其响应文件按无效响应处理。</w:t>
      </w:r>
    </w:p>
    <w:p w14:paraId="5BD66B6F">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highlight w:val="none"/>
        </w:rPr>
        <w:t>18.5响应文件应避免涂改、行间插字或者删除，否则其响应文件按无效响应处理</w:t>
      </w:r>
      <w:r>
        <w:rPr>
          <w:rFonts w:hint="eastAsia" w:ascii="宋体" w:hAnsi="宋体" w:cs="宋体"/>
          <w:color w:val="auto"/>
          <w:szCs w:val="21"/>
          <w:highlight w:val="none"/>
        </w:rPr>
        <w:t>。</w:t>
      </w:r>
    </w:p>
    <w:p w14:paraId="0A076C80">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19.响应文件的密封和标记</w:t>
      </w:r>
    </w:p>
    <w:p w14:paraId="416DC373">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19.1供应商进行电子交易应安装客户端软件—“广西政府采购云平台电子交易客户端”，并按照谈判文件和电子交易平台的要求编制并加密响应文件。供应商未按规定加密的响应文件，电子交易平台将拒收并提示。</w:t>
      </w:r>
    </w:p>
    <w:p w14:paraId="1FAE41EF">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19.2使用“广西政府采购云平台电子交易客户端”需要提前申领CA数字证书，申领流程见该项目采购公告附件。</w:t>
      </w:r>
    </w:p>
    <w:p w14:paraId="65D118C8">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515CF3BB">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20.响应文件的提交</w:t>
      </w:r>
    </w:p>
    <w:p w14:paraId="6DC42CD5">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3EF24994">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20.2在响应文件提交截止时间以后，不能补充、修改响应文件。</w:t>
      </w:r>
    </w:p>
    <w:p w14:paraId="78356F72">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20.3在提交“最后报价”后，供应商不能退出谈判。</w:t>
      </w:r>
    </w:p>
    <w:p w14:paraId="74CDCBF9">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20.4电子交易平台收到响应文件，将妥善保存并即时向供应商发出确认回执通知。在响应文件提交截止时间前，除供应商补充、修改或者撤回响应文件外，任何单位和个人不得解密或提取响应文件。</w:t>
      </w:r>
    </w:p>
    <w:p w14:paraId="7F311021">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20.5采购</w:t>
      </w:r>
      <w:r>
        <w:rPr>
          <w:rFonts w:hint="eastAsia" w:ascii="宋体" w:hAnsi="宋体" w:cs="宋体"/>
          <w:color w:val="auto"/>
          <w:szCs w:val="21"/>
          <w:highlight w:val="none"/>
          <w:lang w:val="en-US" w:eastAsia="zh-CN"/>
        </w:rPr>
        <w:t>代理</w:t>
      </w:r>
      <w:r>
        <w:rPr>
          <w:rFonts w:hint="eastAsia" w:ascii="宋体" w:hAnsi="宋体" w:cs="宋体"/>
          <w:color w:val="auto"/>
          <w:szCs w:val="21"/>
          <w:highlight w:val="none"/>
        </w:rPr>
        <w:t>机构不可视情况延长提交响应文件的截止时间。</w:t>
      </w:r>
    </w:p>
    <w:p w14:paraId="316526CE">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20.6备份响应文件。详见“供应商须知前附表”。</w:t>
      </w:r>
    </w:p>
    <w:p w14:paraId="384589C7">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21.首次响应文件的补充、修改与撤回</w:t>
      </w:r>
    </w:p>
    <w:p w14:paraId="43986116">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14:paraId="057F4EFE">
      <w:pPr>
        <w:shd w:val="clear"/>
        <w:spacing w:line="360" w:lineRule="auto"/>
        <w:ind w:firstLine="482" w:firstLineChars="200"/>
        <w:rPr>
          <w:rFonts w:ascii="宋体" w:hAnsi="宋体" w:cs="宋体"/>
          <w:b/>
          <w:bCs/>
          <w:color w:val="auto"/>
          <w:sz w:val="24"/>
          <w:highlight w:val="none"/>
        </w:rPr>
      </w:pPr>
      <w:bookmarkStart w:id="52" w:name="_Hlk45702405"/>
      <w:r>
        <w:rPr>
          <w:rFonts w:hint="eastAsia" w:ascii="宋体" w:hAnsi="宋体" w:cs="宋体"/>
          <w:b/>
          <w:bCs/>
          <w:color w:val="auto"/>
          <w:sz w:val="24"/>
          <w:highlight w:val="none"/>
        </w:rPr>
        <w:t>22.首次响应文件的退回</w:t>
      </w:r>
    </w:p>
    <w:p w14:paraId="7E9EB52E">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highlight w:val="none"/>
        </w:rPr>
        <w:t>详见“竞争性谈判公告”</w:t>
      </w:r>
      <w:r>
        <w:rPr>
          <w:rFonts w:hint="eastAsia" w:ascii="宋体" w:hAnsi="宋体" w:cs="宋体"/>
          <w:color w:val="auto"/>
          <w:szCs w:val="21"/>
          <w:highlight w:val="none"/>
        </w:rPr>
        <w:t>。</w:t>
      </w:r>
    </w:p>
    <w:p w14:paraId="4A262CD9">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23.截止时间后的撤回</w:t>
      </w:r>
    </w:p>
    <w:p w14:paraId="176B310C">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供应商在首次响应文件提交截止时间后向采购人、采购代理机构书面申请撤回响应文件的，将根据本须知正文17.4的规定不予退还其谈判保证金。</w:t>
      </w:r>
    </w:p>
    <w:bookmarkEnd w:id="52"/>
    <w:p w14:paraId="0792DEA7">
      <w:pPr>
        <w:shd w:val="clear"/>
        <w:spacing w:line="360" w:lineRule="auto"/>
        <w:rPr>
          <w:rFonts w:ascii="宋体" w:hAnsi="宋体" w:cs="宋体"/>
          <w:color w:val="auto"/>
          <w:szCs w:val="21"/>
          <w:highlight w:val="none"/>
        </w:rPr>
      </w:pPr>
    </w:p>
    <w:p w14:paraId="14695F56">
      <w:pPr>
        <w:shd w:val="clear"/>
        <w:spacing w:line="360" w:lineRule="auto"/>
        <w:ind w:left="420" w:firstLine="420"/>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四、评审及谈判</w:t>
      </w:r>
    </w:p>
    <w:p w14:paraId="7E5F08CE">
      <w:pPr>
        <w:shd w:val="clear"/>
        <w:spacing w:line="360" w:lineRule="auto"/>
        <w:ind w:left="420" w:firstLine="420"/>
        <w:rPr>
          <w:rFonts w:ascii="宋体" w:hAnsi="宋体" w:cs="宋体"/>
          <w:color w:val="auto"/>
          <w:szCs w:val="21"/>
          <w:highlight w:val="none"/>
        </w:rPr>
      </w:pPr>
    </w:p>
    <w:p w14:paraId="616C8C68">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24.谈判小组成立</w:t>
      </w:r>
    </w:p>
    <w:p w14:paraId="3AA1F3CA">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谈判小组由评审专家共3人以上单数组成，具体人数见“供应商须知前附表”，其中评审专家人数不得少于谈判小组成员总数的2/3。采购人代表不得以评审专家身份参加本部门或者本单位采购项目的评审。采购代理机构人员不得参加本机构代理的采购项目的评审。达到公开招标数额标准的货物或者货物采购项目，或者达到公开招标规模标准的政府采购工程，经批准采用竞争性谈判方式采购的，谈判小组由5人以上单数组成。</w:t>
      </w:r>
    </w:p>
    <w:p w14:paraId="1CB1F85F">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从政采云平台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7D932B03">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25.首次响应文件的开启</w:t>
      </w:r>
    </w:p>
    <w:p w14:paraId="600F4105">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25.1首次响应文件由谈判小组或者采购代理机构在“供应商须知前附表”规定的时间开启。</w:t>
      </w:r>
    </w:p>
    <w:p w14:paraId="401AB116">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25.2响应文件解密</w:t>
      </w:r>
    </w:p>
    <w:p w14:paraId="1F5B0884">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代理机构将在“供应商须知前附表”规定的时间通过电子交易平台组织响应文件开启，采购机构依托电子交易平台发起开始解密指令，供应商的法定代表人或其委托代理人须携带加密时所用的CA锁按平台提示和谈判文件的规定登录到“广西政府采购云平台”平台电子开标大厅签到并在发起解密指令之时起30分钟内完成对电子响应文件在线解密。发起解密指令之时起5分钟内供应商还未进行解密的，代理机构要通知供应商，供应商没预留联系方式或预留联系方式无效，导致代理机构无法联系到供应商进行解密的，视为响应文件无效。（解密异常情况处理：详见本章26.3电子交易活动的中止）</w:t>
      </w:r>
    </w:p>
    <w:p w14:paraId="1760897F">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如供应商成功解密响应文件，但未在“广西政府采购云平台”电子开标大厅参加谈判的，视同认可谈判过程和结果，由此产生的后果由供应商自行负责。参与谈判的供应商不足3家的，不得谈判。</w:t>
      </w:r>
    </w:p>
    <w:p w14:paraId="07B99920">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26.评审程序、评审方法和评审标准</w:t>
      </w:r>
    </w:p>
    <w:p w14:paraId="41EC8F9A">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26.1谈判小组按照“第四章 评审程序、评审方法和评审标准”规定的方法、评审因素、标准和程序对响应文件进行评审。</w:t>
      </w:r>
    </w:p>
    <w:p w14:paraId="6E3AC27F">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26.2采购需求负偏离要求及谈判顺序详见“供应商须知前附表”。</w:t>
      </w:r>
    </w:p>
    <w:p w14:paraId="40A8452E">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26.3电子交易活动的中止。采购过程中出现以下情形，导致电子交易平台无法正常运行，或者无法保证电子交易的公平、公正和安全时，采购机构可中止电子交易活动：</w:t>
      </w:r>
    </w:p>
    <w:p w14:paraId="1E36911C">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（1）电子交易平台发生故障而无法登录访问的； </w:t>
      </w:r>
    </w:p>
    <w:p w14:paraId="15732E8A">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（2）电子交易平台应用或数据库出现错误，不能进行正常操作的；</w:t>
      </w:r>
    </w:p>
    <w:p w14:paraId="612D05DA">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（3）电子交易平台发现严重安全漏洞，有潜在泄密危险的；</w:t>
      </w:r>
    </w:p>
    <w:p w14:paraId="37EE373B">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（4）病毒发作导致不能进行正常操作的； </w:t>
      </w:r>
    </w:p>
    <w:p w14:paraId="08E64BD1">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（5）其他无法保证电子交易的公平、公正和安全的情况。</w:t>
      </w:r>
    </w:p>
    <w:p w14:paraId="7831AD39">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做出妥善保密处理，并报财政部门备案。</w:t>
      </w:r>
    </w:p>
    <w:p w14:paraId="4D8EAFB0">
      <w:pPr>
        <w:shd w:val="clear"/>
        <w:spacing w:line="360" w:lineRule="auto"/>
        <w:ind w:left="420" w:firstLine="420"/>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五、成交及合同</w:t>
      </w:r>
    </w:p>
    <w:p w14:paraId="2B2C87EC">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27.确定成交供应商及结果公告</w:t>
      </w:r>
    </w:p>
    <w:p w14:paraId="76D4474F">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27.1采购代理机构应当在评审结束后2个工作日内将评审报告送采购人确认。采购人应当在收到评审报告后5个工作日内，从评审报告提出的成交候选</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中，按照排序由高到低的原则确定成交供应商，也可以书面授权谈判小组直接确定成交供应商。采购人逾期未确定成交供应商且不提出异议的，视为确定评审报告提出的排序第一的供应商为成交供应商。</w:t>
      </w:r>
    </w:p>
    <w:p w14:paraId="29D01783">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27.2采购代理机构应当在</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规定条件的供应商，取消其成交资格，并确定排名第二的成交候选</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为成交供应商。排名第二的成交候选</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因上述规定的同样原因被取消成交资格的，采购人可以确定排名第三的成交候选</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为成交供应商，以此类推。以上信息查询记录及相关证据与谈判文件一并保存。</w:t>
      </w:r>
      <w:bookmarkStart w:id="53" w:name="_Hlk66782294"/>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bookmarkEnd w:id="53"/>
    </w:p>
    <w:p w14:paraId="55552088">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27.3采购人、采购代理机构认为供应商对采购过程、成交结果提出的质疑成立且影响或者可能影响成交结果的，合格供应商符合法定数量时，可以从合格的成交候选</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中另行确定成交供应商的，应当依法另行确定成交供应商；否则应当重新开展采购活动。</w:t>
      </w:r>
    </w:p>
    <w:p w14:paraId="7EAB71FA">
      <w:pPr>
        <w:shd w:val="clea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27.4排名第一的成交候选</w:t>
      </w:r>
      <w:r>
        <w:rPr>
          <w:rFonts w:hint="eastAsia" w:ascii="宋体" w:hAnsi="宋体" w:cs="宋体"/>
          <w:color w:val="auto"/>
          <w:szCs w:val="21"/>
          <w:highlight w:val="none"/>
          <w:lang w:val="en-US" w:eastAsia="zh-CN"/>
        </w:rPr>
        <w:t>供应商</w:t>
      </w:r>
      <w:r>
        <w:rPr>
          <w:rFonts w:hint="eastAsia" w:ascii="宋体" w:hAnsi="宋体" w:cs="宋体"/>
          <w:bCs/>
          <w:color w:val="auto"/>
          <w:szCs w:val="21"/>
          <w:highlight w:val="none"/>
        </w:rPr>
        <w:t>放弃成交、因不可抗力提出不能履行合同，采购人可以确定排名第二的成交候选</w:t>
      </w:r>
      <w:r>
        <w:rPr>
          <w:rFonts w:hint="eastAsia" w:ascii="宋体" w:hAnsi="宋体" w:cs="宋体"/>
          <w:color w:val="auto"/>
          <w:szCs w:val="21"/>
          <w:highlight w:val="none"/>
          <w:lang w:val="en-US" w:eastAsia="zh-CN"/>
        </w:rPr>
        <w:t>供应商</w:t>
      </w:r>
      <w:r>
        <w:rPr>
          <w:rFonts w:hint="eastAsia" w:ascii="宋体" w:hAnsi="宋体" w:cs="宋体"/>
          <w:bCs/>
          <w:color w:val="auto"/>
          <w:szCs w:val="21"/>
          <w:highlight w:val="none"/>
        </w:rPr>
        <w:t>为成交供应商。排名第二的成交候选</w:t>
      </w:r>
      <w:r>
        <w:rPr>
          <w:rFonts w:hint="eastAsia" w:ascii="宋体" w:hAnsi="宋体" w:cs="宋体"/>
          <w:color w:val="auto"/>
          <w:szCs w:val="21"/>
          <w:highlight w:val="none"/>
          <w:lang w:val="en-US" w:eastAsia="zh-CN"/>
        </w:rPr>
        <w:t>供应商</w:t>
      </w:r>
      <w:r>
        <w:rPr>
          <w:rFonts w:hint="eastAsia" w:ascii="宋体" w:hAnsi="宋体" w:cs="宋体"/>
          <w:bCs/>
          <w:color w:val="auto"/>
          <w:szCs w:val="21"/>
          <w:highlight w:val="none"/>
        </w:rPr>
        <w:t>因前款规定的同样原因不能签订合同的，采购人可以确定排名第三的成交候选</w:t>
      </w:r>
      <w:r>
        <w:rPr>
          <w:rFonts w:hint="eastAsia" w:ascii="宋体" w:hAnsi="宋体" w:cs="宋体"/>
          <w:color w:val="auto"/>
          <w:szCs w:val="21"/>
          <w:highlight w:val="none"/>
          <w:lang w:val="en-US" w:eastAsia="zh-CN"/>
        </w:rPr>
        <w:t>供应商</w:t>
      </w:r>
      <w:r>
        <w:rPr>
          <w:rFonts w:hint="eastAsia" w:ascii="宋体" w:hAnsi="宋体" w:cs="宋体"/>
          <w:bCs/>
          <w:color w:val="auto"/>
          <w:szCs w:val="21"/>
          <w:highlight w:val="none"/>
        </w:rPr>
        <w:t>为成交供应商，以此类推。</w:t>
      </w:r>
    </w:p>
    <w:p w14:paraId="34205DE3">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28.履约保证金</w:t>
      </w:r>
    </w:p>
    <w:p w14:paraId="51C5AF10">
      <w:pPr>
        <w:shd w:val="clea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28.1履约保证金的金额、提交方式、退付的时间和条件详见“供应商须知前附表”。成交供应商未按规定提交履约保证金的，视为拒绝</w:t>
      </w:r>
      <w:r>
        <w:rPr>
          <w:rFonts w:hint="eastAsia" w:ascii="宋体" w:hAnsi="宋体" w:cs="宋体"/>
          <w:color w:val="auto"/>
          <w:highlight w:val="none"/>
        </w:rPr>
        <w:t>与采购人</w:t>
      </w:r>
      <w:r>
        <w:rPr>
          <w:rFonts w:hint="eastAsia" w:ascii="宋体" w:hAnsi="宋体" w:cs="宋体"/>
          <w:color w:val="auto"/>
          <w:szCs w:val="21"/>
          <w:highlight w:val="none"/>
        </w:rPr>
        <w:t>签订合同，采购人可以按照评审报告推荐的成交候选</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名单排序，确定下一候选人为成交供应商，也可以重新开展采购活动。</w:t>
      </w:r>
    </w:p>
    <w:p w14:paraId="07D1067B">
      <w:pPr>
        <w:shd w:val="clea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28.2签订合同后，如成交供应商不按双方签订的合同规定履约，则没收其全部履约保证金，履约保证金不足以赔偿损失的，按实际损失赔偿。</w:t>
      </w:r>
    </w:p>
    <w:p w14:paraId="36EC11C7">
      <w:pPr>
        <w:shd w:val="clea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28.3在履约保证金退还日期前，若成交供应商的开户名称、开户银行、账号有变动的，请以书面形式通知履约保证金收取单位，否则由此产生的后果由成交供应商自行承担。</w:t>
      </w:r>
    </w:p>
    <w:p w14:paraId="4ABCC2FC">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29.签订合同</w:t>
      </w:r>
    </w:p>
    <w:p w14:paraId="02685D32">
      <w:pPr>
        <w:shd w:val="clea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29.1成交供应商在收到成交通知书后，应当在签订合同时向采购人出示相关证明材料，具体内容详见“供应商须知前附表”，经采购人核验合格后方可签订合同。</w:t>
      </w:r>
    </w:p>
    <w:p w14:paraId="20ECBAB9">
      <w:pPr>
        <w:shd w:val="clea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29.2签订合同时间：按成交通知书规定的时间与采购人签订采购合同。</w:t>
      </w:r>
    </w:p>
    <w:p w14:paraId="65AC1E73">
      <w:pPr>
        <w:shd w:val="clea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29.3采购人不得向成交供应商提出超出谈判文件以外的任何要求作为签订合同的条件，不得与成交供应商订立背离谈判文件确定的合同文本以及采购标的、货物技术、采购金额、采购数量、技术和货物要求等实质性内容的协议。</w:t>
      </w:r>
    </w:p>
    <w:p w14:paraId="123F7F9D">
      <w:pPr>
        <w:shd w:val="clea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29.4成交供应商拒绝与采购人签订合同的，采购人可以按照评审报告推荐的成交候选</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名单排序，确定下一候选人为成交供应商，也可以重新开展项目采购活动。拒绝签订采购合同的成交供应商不得参加对该合同项重新开展的采购活动。</w:t>
      </w:r>
    </w:p>
    <w:p w14:paraId="391C379E">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30.采购合同公告</w:t>
      </w:r>
    </w:p>
    <w:p w14:paraId="38C21C1B">
      <w:pPr>
        <w:shd w:val="clear"/>
        <w:spacing w:line="360" w:lineRule="auto"/>
        <w:ind w:firstLine="420" w:firstLineChars="200"/>
        <w:rPr>
          <w:rFonts w:ascii="宋体" w:hAnsi="宋体" w:cs="宋体"/>
          <w:b/>
          <w:bCs/>
          <w:color w:val="auto"/>
          <w:sz w:val="24"/>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776CFE44">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31.询问、质疑和投诉</w:t>
      </w:r>
    </w:p>
    <w:p w14:paraId="6EF78910">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31.1供应商对项目采购活动事项有疑问的，可以向采购人、采购代理机构提出询问，采购人或者采购代理机构应当在3个工作日内对供应商依法提出的询问作出答复。</w:t>
      </w:r>
    </w:p>
    <w:p w14:paraId="3AFBFD2D">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31.2供应商认为谈判文件、采购过程或者成交结果使自己的合法权益受到损害的，应当在知道或者应知其权益受到损害之日起7个工作日内，以书面形式向采购人、采购代理机构提出质疑，接收质疑函的方式、联系部门、联系电话和通讯地址等信息详见“供应商须</w:t>
      </w:r>
      <w:r>
        <w:rPr>
          <w:rFonts w:hint="eastAsia" w:ascii="宋体" w:hAnsi="宋体" w:cs="宋体"/>
          <w:color w:val="auto"/>
          <w:szCs w:val="21"/>
          <w:highlight w:val="none"/>
        </w:rPr>
        <w:t>知前附表”</w:t>
      </w:r>
      <w:r>
        <w:rPr>
          <w:rFonts w:hint="eastAsia" w:ascii="宋体" w:hAnsi="宋体" w:cs="宋体"/>
          <w:color w:val="auto"/>
          <w:highlight w:val="none"/>
        </w:rPr>
        <w:t>。具体质疑起算时间如下：</w:t>
      </w:r>
    </w:p>
    <w:p w14:paraId="42A051C3">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（1）对可以质疑的谈判文件提出质疑的，为收到谈判文件之日或者竞争性谈判公告期限届满之日；</w:t>
      </w:r>
    </w:p>
    <w:p w14:paraId="2335AE21">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09B262E9">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3EF3D5B8">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31.3供应商提出的询问或者质疑超出采购人对采购代理机构委托授权范围的，采购代理机构应当告知供应商向采购人提出。项目采购评审专家应当配合采购人或者采购代理机构答复供应商的询问和质疑。</w:t>
      </w:r>
    </w:p>
    <w:p w14:paraId="03761969">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31.4供应商提出质疑应当提交质疑函和必要的证明材料，针对同一采购程序环节的质疑必须在法定质疑期内一次性提出。质疑函应当包括下列内容</w:t>
      </w:r>
      <w:r>
        <w:rPr>
          <w:rFonts w:hint="eastAsia" w:ascii="宋体" w:hAnsi="宋体" w:cs="宋体"/>
          <w:bCs/>
          <w:color w:val="auto"/>
          <w:highlight w:val="none"/>
        </w:rPr>
        <w:t>（质疑函格式后附）</w:t>
      </w:r>
      <w:r>
        <w:rPr>
          <w:rFonts w:hint="eastAsia" w:ascii="宋体" w:hAnsi="宋体" w:cs="宋体"/>
          <w:color w:val="auto"/>
          <w:highlight w:val="none"/>
        </w:rPr>
        <w:t>：</w:t>
      </w:r>
    </w:p>
    <w:p w14:paraId="09ABEBC0">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7B0AE246">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039CAE61">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4EC2A746">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7BEF6A2D">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02E4C714">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0DEBD40F">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69A78D81">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46B9C5F5">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（一）对谈判文件提出的质疑，依法通过澄清或者修改可以继续开展采购活动的，澄清或者修改谈判文件后继续开展采购活动；否则应当修改谈判文件后重新开展采购活动。</w:t>
      </w:r>
    </w:p>
    <w:p w14:paraId="387DC9E9">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w:t>
      </w:r>
      <w:r>
        <w:rPr>
          <w:rFonts w:hint="eastAsia" w:ascii="宋体" w:hAnsi="宋体" w:cs="宋体"/>
          <w:color w:val="auto"/>
          <w:szCs w:val="21"/>
          <w:highlight w:val="none"/>
          <w:lang w:val="en-US" w:eastAsia="zh-CN"/>
        </w:rPr>
        <w:t>供应商</w:t>
      </w:r>
      <w:r>
        <w:rPr>
          <w:rFonts w:hint="eastAsia" w:ascii="宋体" w:hAnsi="宋体" w:cs="宋体"/>
          <w:color w:val="auto"/>
          <w:highlight w:val="none"/>
        </w:rPr>
        <w:t>中另行确定成交供应商的，应当依法另行确定成交供应商；否则应当重新开展采购活动。</w:t>
      </w:r>
    </w:p>
    <w:p w14:paraId="5CEC6814">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质疑答复导致成交结果改变的，采购人或者采购代理机构应当将有关情况书面报告采购人监督管理部门。</w:t>
      </w:r>
    </w:p>
    <w:p w14:paraId="3A8CBC14">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31.6投诉的权利。质疑供应商对采购人、采购代理机构的答复不满意，或者采购人、采购代理机构未在规定时间内作出答复的，可以在答复期满后15个工作日内向采购人监督管理部门提起投诉。</w:t>
      </w:r>
    </w:p>
    <w:p w14:paraId="0740DD38">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32.其他内容</w:t>
      </w:r>
    </w:p>
    <w:p w14:paraId="1B4231E0">
      <w:pPr>
        <w:shd w:val="clear"/>
        <w:tabs>
          <w:tab w:val="left" w:pos="283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32.1代理服务收费标准及缴费账户详见“供应商须知前附表”，供应商为联合体的，可以由联合体中的一方或者多方共同交纳代理服务费。</w:t>
      </w:r>
    </w:p>
    <w:p w14:paraId="4361DE10">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33.需要补充的其他内容</w:t>
      </w:r>
    </w:p>
    <w:p w14:paraId="326761C0">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33.1本谈判文件解释规则详见“供应商须知前附表”。</w:t>
      </w:r>
    </w:p>
    <w:p w14:paraId="236EED6C">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33.2其他事项详见“供应商须知前附表”。</w:t>
      </w:r>
    </w:p>
    <w:p w14:paraId="02CCBC06">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货物符合下列情形的，享受本文件规定的中小企业扶持政策：</w:t>
      </w:r>
    </w:p>
    <w:p w14:paraId="58364245">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在货物采购项目中，货物由中小企业制造，即货物由中小企业生产且使用该中小企业商号或者注册商标，不对其中涉及的工程承建商和货物的承接商作出要求；</w:t>
      </w:r>
    </w:p>
    <w:p w14:paraId="106599CC">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093F4FB0">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依据本文件规定享受扶持政策获得政府采购合同的，小微企业不得将合同分包给大中型企业，中型企业不得将合同分包给大型企业。</w:t>
      </w:r>
    </w:p>
    <w:p w14:paraId="1A93D1DA">
      <w:pPr>
        <w:pStyle w:val="19"/>
        <w:shd w:val="clear"/>
        <w:rPr>
          <w:rFonts w:ascii="宋体" w:hAnsi="宋体" w:cs="宋体"/>
          <w:color w:val="auto"/>
          <w:highlight w:val="none"/>
        </w:rPr>
      </w:pPr>
    </w:p>
    <w:p w14:paraId="27BB39FE">
      <w:pPr>
        <w:shd w:val="clear"/>
        <w:spacing w:line="360" w:lineRule="auto"/>
        <w:rPr>
          <w:rFonts w:ascii="宋体" w:hAnsi="宋体" w:cs="宋体"/>
          <w:color w:val="auto"/>
          <w:highlight w:val="none"/>
        </w:rPr>
      </w:pPr>
    </w:p>
    <w:p w14:paraId="71AA87BA">
      <w:pPr>
        <w:shd w:val="clear"/>
        <w:rPr>
          <w:rFonts w:ascii="宋体" w:hAnsi="宋体" w:cs="宋体"/>
          <w:color w:val="auto"/>
          <w:highlight w:val="none"/>
        </w:rPr>
      </w:pPr>
      <w:r>
        <w:rPr>
          <w:rFonts w:hint="eastAsia" w:ascii="宋体" w:hAnsi="宋体" w:cs="宋体"/>
          <w:color w:val="auto"/>
          <w:highlight w:val="none"/>
        </w:rPr>
        <w:br w:type="page"/>
      </w:r>
    </w:p>
    <w:p w14:paraId="1BDBC219">
      <w:pPr>
        <w:pStyle w:val="2"/>
        <w:shd w:val="clear"/>
        <w:jc w:val="center"/>
        <w:outlineLvl w:val="0"/>
        <w:rPr>
          <w:rFonts w:ascii="宋体" w:hAnsi="宋体" w:cs="宋体"/>
          <w:color w:val="auto"/>
          <w:highlight w:val="none"/>
        </w:rPr>
      </w:pPr>
      <w:bookmarkStart w:id="54" w:name="_Toc18286"/>
      <w:r>
        <w:rPr>
          <w:rFonts w:hint="eastAsia" w:ascii="宋体" w:hAnsi="宋体" w:cs="宋体"/>
          <w:color w:val="auto"/>
          <w:highlight w:val="none"/>
        </w:rPr>
        <w:t>第三章  采购需求</w:t>
      </w:r>
      <w:bookmarkEnd w:id="54"/>
    </w:p>
    <w:p w14:paraId="5650739B">
      <w:pPr>
        <w:shd w:val="clear"/>
        <w:tabs>
          <w:tab w:val="left" w:pos="180"/>
          <w:tab w:val="left" w:pos="1620"/>
        </w:tabs>
        <w:spacing w:line="440" w:lineRule="exact"/>
        <w:rPr>
          <w:rFonts w:ascii="宋体" w:hAnsi="宋体" w:cs="宋体"/>
          <w:color w:val="auto"/>
          <w:szCs w:val="21"/>
          <w:highlight w:val="none"/>
        </w:rPr>
      </w:pPr>
      <w:r>
        <w:rPr>
          <w:rFonts w:hint="eastAsia" w:ascii="宋体" w:hAnsi="宋体" w:cs="宋体"/>
          <w:color w:val="auto"/>
          <w:szCs w:val="21"/>
          <w:highlight w:val="none"/>
        </w:rPr>
        <w:t>说明：</w:t>
      </w:r>
    </w:p>
    <w:p w14:paraId="7436F6BD">
      <w:pPr>
        <w:shd w:val="clear"/>
        <w:spacing w:line="440" w:lineRule="exact"/>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本项目需求表中的品牌型号仅起参考作用，</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可选用其他品牌型号替代，但这些替代的品牌型号要实质上相当于或优于参考品牌型号及其技术参数性能（配置）要求。</w:t>
      </w:r>
    </w:p>
    <w:p w14:paraId="1F6100E9">
      <w:pPr>
        <w:shd w:val="clear"/>
        <w:spacing w:line="440" w:lineRule="exact"/>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本项目需求表中带有“▲”的技术参数或要求为实质性要求，必须满足，</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响应不得低于该技术指标或要求。</w:t>
      </w:r>
    </w:p>
    <w:p w14:paraId="0CC5C027">
      <w:pPr>
        <w:shd w:val="clear"/>
        <w:spacing w:line="440" w:lineRule="exact"/>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本竞争性谈判文件所称中小企业必须符合《政府采购促进中小企业发展管理办法》（财库〔2020〕46号）的规定。</w:t>
      </w:r>
    </w:p>
    <w:p w14:paraId="077D3FB5">
      <w:pPr>
        <w:shd w:val="clear"/>
        <w:spacing w:line="440" w:lineRule="exact"/>
        <w:ind w:firstLine="424" w:firstLineChars="202"/>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4.本招标文件所称本国产品必须符合《国务院办公厅关于在政府采购中实施本国产品标准及相关政策的通知》（国办发〔2025〕34号）的规定。</w:t>
      </w:r>
    </w:p>
    <w:p w14:paraId="7AD2B496">
      <w:pPr>
        <w:shd w:val="clear"/>
        <w:spacing w:line="440" w:lineRule="exact"/>
        <w:ind w:firstLine="424" w:firstLineChars="202"/>
        <w:jc w:val="left"/>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根据财库〔2019〕9号及财库〔2019〕19号文件规定，台式计算机，便携式计算机、平板式微型计算机，激光打印机，针式打印机，液晶显示器，制冷压缩机（冷水机组、水源热泵机组、溴化锂吸收式冷水机组），空调机组[多联式空调（热泵）机组（制冷量＞14000W），单元式空气调节机（制冷量＞14000W）]，专用制冷、空调设备（机房空调），镇流器（管</w:t>
      </w:r>
      <w:r>
        <w:rPr>
          <w:rFonts w:hint="eastAsia" w:ascii="宋体" w:hAnsi="宋体" w:cs="宋体"/>
          <w:color w:val="auto"/>
          <w:szCs w:val="21"/>
          <w:highlight w:val="none"/>
          <w:lang w:val="en-US" w:eastAsia="zh-CN"/>
        </w:rPr>
        <w:t>形</w:t>
      </w:r>
      <w:r>
        <w:rPr>
          <w:rFonts w:hint="eastAsia" w:ascii="宋体" w:hAnsi="宋体" w:cs="宋体"/>
          <w:color w:val="auto"/>
          <w:szCs w:val="21"/>
          <w:highlight w:val="none"/>
        </w:rPr>
        <w:t>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的品目，属于政府强制采购节能产品。若采购货物属于以上品目清单的产品时，</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的</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货物必须使用政府强制采购的节能产品，</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必须在响应文件中提供由国家确定的认证机构出具的处于有效期之内的节能产品认证证书复印件（加盖供应商公章（或电子签章）），</w:t>
      </w:r>
      <w:r>
        <w:rPr>
          <w:rFonts w:hint="eastAsia" w:ascii="宋体" w:hAnsi="宋体" w:eastAsia="宋体" w:cs="宋体"/>
          <w:b/>
          <w:bCs/>
          <w:color w:val="auto"/>
          <w:szCs w:val="21"/>
          <w:highlight w:val="none"/>
        </w:rPr>
        <w:t>否则响应文件按无效响应处理。</w:t>
      </w:r>
    </w:p>
    <w:p w14:paraId="775C43AA">
      <w:pPr>
        <w:shd w:val="clear"/>
        <w:wordWrap w:val="0"/>
        <w:spacing w:line="360" w:lineRule="auto"/>
        <w:ind w:firstLine="424" w:firstLineChars="202"/>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w:t>
      </w:r>
      <w:r>
        <w:rPr>
          <w:rFonts w:hint="eastAsia" w:ascii="宋体" w:hAnsi="宋体" w:cs="宋体"/>
          <w:color w:val="auto"/>
          <w:szCs w:val="21"/>
          <w:highlight w:val="none"/>
        </w:rPr>
        <w:t>（加盖供应商公章（或电子签章）），</w:t>
      </w:r>
      <w:r>
        <w:rPr>
          <w:rFonts w:hint="eastAsia" w:ascii="宋体" w:hAnsi="宋体" w:eastAsia="宋体" w:cs="宋体"/>
          <w:b/>
          <w:bCs/>
          <w:color w:val="auto"/>
          <w:szCs w:val="21"/>
          <w:highlight w:val="none"/>
        </w:rPr>
        <w:t>否则响应文件按无效响应处理。</w:t>
      </w:r>
    </w:p>
    <w:p w14:paraId="1411FA96">
      <w:pPr>
        <w:shd w:val="clear"/>
        <w:wordWrap w:val="0"/>
        <w:spacing w:line="360" w:lineRule="auto"/>
        <w:ind w:firstLine="424" w:firstLineChars="202"/>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w:t>
      </w:r>
      <w:r>
        <w:rPr>
          <w:rFonts w:hint="eastAsia"/>
          <w:color w:val="auto"/>
          <w:highlight w:val="none"/>
        </w:rPr>
        <w:t>本项目中所投产品涉及纳入国家认证认可监督管理委员会现行《强制性产品认证目录描述与界定表》管理的强制性认证产品（简称3C认证产品）的，</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必须在</w:t>
      </w: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rPr>
        <w:t>文件（商务</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技术文件）中提供所投产品的</w:t>
      </w:r>
      <w:r>
        <w:rPr>
          <w:rFonts w:hint="eastAsia"/>
          <w:color w:val="auto"/>
          <w:highlight w:val="none"/>
        </w:rPr>
        <w:t>强制性认证证书复印件</w:t>
      </w:r>
      <w:r>
        <w:rPr>
          <w:rFonts w:hint="eastAsia" w:ascii="宋体" w:hAnsi="宋体" w:cs="宋体"/>
          <w:color w:val="auto"/>
          <w:szCs w:val="21"/>
          <w:highlight w:val="none"/>
        </w:rPr>
        <w:t>（加盖供应商公章（或电子签章）），</w:t>
      </w:r>
      <w:r>
        <w:rPr>
          <w:rFonts w:hint="eastAsia" w:ascii="宋体" w:hAnsi="宋体" w:eastAsia="宋体" w:cs="宋体"/>
          <w:b/>
          <w:bCs/>
          <w:color w:val="auto"/>
          <w:szCs w:val="21"/>
          <w:highlight w:val="none"/>
        </w:rPr>
        <w:t>否则响应文件按无效响应处理。</w:t>
      </w:r>
    </w:p>
    <w:p w14:paraId="104E2B94">
      <w:pPr>
        <w:shd w:val="clear"/>
        <w:spacing w:line="440" w:lineRule="exact"/>
        <w:ind w:firstLine="424" w:firstLineChars="202"/>
        <w:jc w:val="left"/>
        <w:rPr>
          <w:rFonts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供应商必须自行为其</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产品侵犯他人的知识产权或者专利成果的行为承担相应法律责任。</w:t>
      </w:r>
    </w:p>
    <w:p w14:paraId="7F14D6D2">
      <w:pPr>
        <w:shd w:val="clear"/>
        <w:spacing w:line="440" w:lineRule="exact"/>
        <w:ind w:firstLine="424" w:firstLineChars="202"/>
        <w:jc w:val="left"/>
        <w:rPr>
          <w:rFonts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供应商所</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货物或服务如有国家相关标准、行业标准、地方标准或者其他标准、规范要求的按相关规定执行，若执行标准有修改或更新按最新版本执行。</w:t>
      </w:r>
    </w:p>
    <w:p w14:paraId="6602F5BC">
      <w:pPr>
        <w:shd w:val="clear"/>
        <w:spacing w:line="440" w:lineRule="exact"/>
        <w:ind w:firstLine="424" w:firstLineChars="202"/>
        <w:jc w:val="left"/>
        <w:rPr>
          <w:rFonts w:ascii="宋体" w:hAnsi="宋体" w:cs="宋体"/>
          <w:b/>
          <w:bCs/>
          <w:color w:val="auto"/>
          <w:szCs w:val="21"/>
          <w:highlight w:val="none"/>
        </w:rPr>
      </w:pP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采购标的对应的中小企业划分标准所属行业：根据《关于印发中小企业划型标准规定的通知》（工信部联企业〔2011〕300号），本次采购标的属于：</w:t>
      </w:r>
      <w:r>
        <w:rPr>
          <w:rFonts w:hint="eastAsia" w:ascii="宋体" w:hAnsi="宋体" w:cs="宋体"/>
          <w:b/>
          <w:bCs/>
          <w:color w:val="auto"/>
          <w:szCs w:val="21"/>
          <w:highlight w:val="none"/>
        </w:rPr>
        <w:t>工业。</w:t>
      </w:r>
    </w:p>
    <w:p w14:paraId="22DB4B48">
      <w:pPr>
        <w:shd w:val="clear"/>
        <w:spacing w:line="440" w:lineRule="exact"/>
        <w:ind w:firstLine="426" w:firstLineChars="202"/>
        <w:jc w:val="left"/>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11</w:t>
      </w:r>
      <w:r>
        <w:rPr>
          <w:rFonts w:hint="eastAsia" w:ascii="宋体" w:hAnsi="宋体" w:cs="宋体"/>
          <w:color w:val="auto"/>
          <w:szCs w:val="21"/>
          <w:highlight w:val="none"/>
          <w:lang w:val="en-US" w:eastAsia="zh-CN"/>
        </w:rPr>
        <w:t>.</w:t>
      </w:r>
      <w:r>
        <w:rPr>
          <w:rFonts w:hint="eastAsia" w:ascii="宋体" w:hAnsi="宋体" w:cs="宋体"/>
          <w:b/>
          <w:bCs/>
          <w:color w:val="auto"/>
          <w:szCs w:val="21"/>
          <w:highlight w:val="none"/>
        </w:rPr>
        <w:t>本项目核心产品为序号</w:t>
      </w:r>
      <w:r>
        <w:rPr>
          <w:rFonts w:hint="eastAsia" w:ascii="宋体" w:hAnsi="宋体" w:cs="宋体"/>
          <w:b/>
          <w:bCs/>
          <w:color w:val="auto"/>
          <w:szCs w:val="21"/>
          <w:highlight w:val="none"/>
          <w:u w:val="single"/>
          <w:lang w:val="en-US" w:eastAsia="zh-CN"/>
        </w:rPr>
        <w:t xml:space="preserve"> 13 </w:t>
      </w:r>
      <w:r>
        <w:rPr>
          <w:rFonts w:hint="eastAsia" w:ascii="宋体" w:hAnsi="宋体" w:cs="宋体"/>
          <w:b/>
          <w:bCs/>
          <w:color w:val="auto"/>
          <w:szCs w:val="21"/>
          <w:highlight w:val="none"/>
        </w:rPr>
        <w:t>：</w:t>
      </w:r>
      <w:r>
        <w:rPr>
          <w:rFonts w:hint="eastAsia" w:ascii="宋体" w:hAnsi="宋体" w:cs="宋体"/>
          <w:b/>
          <w:bCs/>
          <w:color w:val="auto"/>
          <w:szCs w:val="21"/>
          <w:highlight w:val="none"/>
          <w:u w:val="single"/>
          <w:lang w:val="en-US" w:eastAsia="zh-CN"/>
        </w:rPr>
        <w:t xml:space="preserve"> 显微镜  （以</w:t>
      </w:r>
      <w:r>
        <w:rPr>
          <w:rFonts w:hint="eastAsia" w:ascii="宋体" w:hAnsi="宋体" w:cs="宋体"/>
          <w:color w:val="auto"/>
          <w:szCs w:val="21"/>
          <w:highlight w:val="none"/>
          <w:u w:val="single"/>
        </w:rPr>
        <w:t>“</w:t>
      </w:r>
      <w:r>
        <w:rPr>
          <w:rFonts w:hint="eastAsia" w:ascii="宋体" w:hAnsi="宋体" w:eastAsia="宋体" w:cs="宋体"/>
          <w:color w:val="auto"/>
          <w:szCs w:val="21"/>
          <w:highlight w:val="none"/>
          <w:u w:val="single"/>
        </w:rPr>
        <w:t>▇</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val="en-US" w:eastAsia="zh-CN"/>
        </w:rPr>
        <w:t>标注</w:t>
      </w:r>
      <w:r>
        <w:rPr>
          <w:rFonts w:hint="eastAsia" w:ascii="宋体" w:hAnsi="宋体" w:cs="宋体"/>
          <w:b/>
          <w:bCs/>
          <w:color w:val="auto"/>
          <w:szCs w:val="21"/>
          <w:highlight w:val="none"/>
          <w:u w:val="single"/>
          <w:lang w:val="en-US" w:eastAsia="zh-CN"/>
        </w:rPr>
        <w:t>）</w:t>
      </w:r>
      <w:r>
        <w:rPr>
          <w:rFonts w:hint="eastAsia" w:ascii="宋体" w:hAnsi="宋体" w:cs="宋体"/>
          <w:b/>
          <w:bCs/>
          <w:color w:val="auto"/>
          <w:szCs w:val="21"/>
          <w:highlight w:val="none"/>
        </w:rPr>
        <w:t>；多家有效供应商提供相同品牌产品，以核心产品为准；多个核心产品的，若有一种产品品牌相同，即视为提供相同品牌产品，则按一家供应商计算；非核心产品多家供应商提供相同品牌产品，则按多家供应商计算。</w:t>
      </w:r>
    </w:p>
    <w:tbl>
      <w:tblPr>
        <w:tblStyle w:val="28"/>
        <w:tblW w:w="10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096"/>
        <w:gridCol w:w="229"/>
        <w:gridCol w:w="542"/>
        <w:gridCol w:w="680"/>
        <w:gridCol w:w="5826"/>
        <w:gridCol w:w="1287"/>
      </w:tblGrid>
      <w:tr w14:paraId="3A1A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6" w:type="dxa"/>
            <w:gridSpan w:val="7"/>
            <w:tcBorders>
              <w:top w:val="single" w:color="auto" w:sz="4" w:space="0"/>
              <w:left w:val="single" w:color="auto" w:sz="4" w:space="0"/>
              <w:bottom w:val="single" w:color="auto" w:sz="4" w:space="0"/>
              <w:right w:val="single" w:color="auto" w:sz="4" w:space="0"/>
            </w:tcBorders>
            <w:noWrap w:val="0"/>
            <w:vAlign w:val="center"/>
          </w:tcPr>
          <w:p w14:paraId="05D869A5">
            <w:pPr>
              <w:keepNext w:val="0"/>
              <w:keepLines w:val="0"/>
              <w:pageBreakBefore w:val="0"/>
              <w:shd w:val="clear"/>
              <w:kinsoku/>
              <w:wordWrap w:val="0"/>
              <w:overflowPunct/>
              <w:topLinePunct w:val="0"/>
              <w:autoSpaceDE/>
              <w:autoSpaceDN/>
              <w:bidi w:val="0"/>
              <w:adjustRightInd/>
              <w:spacing w:line="360" w:lineRule="auto"/>
              <w:jc w:val="left"/>
              <w:textAlignment w:val="auto"/>
              <w:rPr>
                <w:rFonts w:hint="eastAsia" w:ascii="宋体" w:hAnsi="宋体" w:eastAsia="宋体" w:cs="宋体"/>
                <w:b/>
                <w:bCs/>
                <w:strike w:val="0"/>
                <w:dstrike w:val="0"/>
                <w:color w:val="auto"/>
                <w:sz w:val="21"/>
                <w:szCs w:val="21"/>
                <w:highlight w:val="none"/>
                <w:lang w:val="en-US" w:eastAsia="zh-CN"/>
              </w:rPr>
            </w:pPr>
            <w:r>
              <w:rPr>
                <w:rFonts w:hint="eastAsia" w:ascii="宋体" w:hAnsi="宋体" w:eastAsia="宋体" w:cs="宋体"/>
                <w:b/>
                <w:bCs/>
                <w:strike w:val="0"/>
                <w:dstrike w:val="0"/>
                <w:color w:val="auto"/>
                <w:sz w:val="21"/>
                <w:szCs w:val="21"/>
                <w:highlight w:val="none"/>
                <w:lang w:val="en-US" w:eastAsia="zh-CN"/>
              </w:rPr>
              <w:t>一、</w:t>
            </w:r>
            <w:r>
              <w:rPr>
                <w:rFonts w:hint="eastAsia" w:ascii="宋体" w:hAnsi="宋体" w:eastAsia="宋体" w:cs="宋体"/>
                <w:b/>
                <w:bCs/>
                <w:strike w:val="0"/>
                <w:dstrike w:val="0"/>
                <w:color w:val="auto"/>
                <w:sz w:val="21"/>
                <w:szCs w:val="21"/>
                <w:highlight w:val="none"/>
              </w:rPr>
              <w:t>技术要求</w:t>
            </w:r>
          </w:p>
        </w:tc>
      </w:tr>
      <w:tr w14:paraId="3D41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6DF112AB">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41E316DB">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标的名称</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655997D3">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5150915F">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单位</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3FF68DED">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w:t>
            </w:r>
            <w:r>
              <w:rPr>
                <w:rFonts w:hint="eastAsia" w:ascii="宋体" w:hAnsi="宋体" w:eastAsia="宋体" w:cs="宋体"/>
                <w:b/>
                <w:color w:val="auto"/>
                <w:sz w:val="21"/>
                <w:szCs w:val="21"/>
                <w:highlight w:val="none"/>
                <w:lang w:val="en-US" w:eastAsia="zh-CN"/>
              </w:rPr>
              <w:t>要求</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66C8DF94">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bCs/>
                <w:strike w:val="0"/>
                <w:dstrike w:val="0"/>
                <w:color w:val="auto"/>
                <w:kern w:val="0"/>
                <w:sz w:val="21"/>
                <w:szCs w:val="21"/>
                <w:highlight w:val="none"/>
                <w:lang w:val="en-US" w:eastAsia="zh-CN"/>
              </w:rPr>
              <w:t>分项最高限价（元）</w:t>
            </w:r>
          </w:p>
        </w:tc>
      </w:tr>
      <w:tr w14:paraId="2921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6" w:type="dxa"/>
            <w:gridSpan w:val="7"/>
            <w:tcBorders>
              <w:top w:val="single" w:color="auto" w:sz="4" w:space="0"/>
              <w:left w:val="single" w:color="auto" w:sz="4" w:space="0"/>
              <w:bottom w:val="single" w:color="auto" w:sz="4" w:space="0"/>
              <w:right w:val="single" w:color="auto" w:sz="4" w:space="0"/>
            </w:tcBorders>
            <w:noWrap w:val="0"/>
            <w:vAlign w:val="center"/>
          </w:tcPr>
          <w:p w14:paraId="66673101">
            <w:pPr>
              <w:pStyle w:val="26"/>
              <w:keepNext w:val="0"/>
              <w:keepLines w:val="0"/>
              <w:pageBreakBefore w:val="0"/>
              <w:numPr>
                <w:ilvl w:val="0"/>
                <w:numId w:val="0"/>
              </w:numPr>
              <w:shd w:val="clear"/>
              <w:kinsoku/>
              <w:wordWrap w:val="0"/>
              <w:overflowPunct/>
              <w:topLinePunct w:val="0"/>
              <w:autoSpaceDE/>
              <w:autoSpaceDN/>
              <w:bidi w:val="0"/>
              <w:adjustRightInd/>
              <w:spacing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（一）生产设备工程</w:t>
            </w:r>
          </w:p>
        </w:tc>
      </w:tr>
      <w:tr w14:paraId="4D9B3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6" w:type="dxa"/>
            <w:gridSpan w:val="7"/>
            <w:tcBorders>
              <w:top w:val="single" w:color="auto" w:sz="4" w:space="0"/>
              <w:left w:val="single" w:color="auto" w:sz="4" w:space="0"/>
              <w:bottom w:val="single" w:color="auto" w:sz="4" w:space="0"/>
              <w:right w:val="single" w:color="auto" w:sz="4" w:space="0"/>
            </w:tcBorders>
            <w:noWrap w:val="0"/>
            <w:vAlign w:val="center"/>
          </w:tcPr>
          <w:p w14:paraId="1F08EBFD">
            <w:pPr>
              <w:pStyle w:val="26"/>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（1）简便装播生产线</w:t>
            </w:r>
          </w:p>
        </w:tc>
      </w:tr>
      <w:tr w14:paraId="1DB7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20ED664B">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43F2CB9A">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基质粉碎机</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7FD5769F">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42D1E5B5">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6B2EC3BE">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1.机器尺寸：2400×550×1100mm；</w:t>
            </w:r>
          </w:p>
          <w:p w14:paraId="4582E2AC">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2.产量：6t左右每小时；</w:t>
            </w:r>
          </w:p>
          <w:p w14:paraId="1AEABE9A">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3.转速：1400转/分；</w:t>
            </w:r>
          </w:p>
          <w:p w14:paraId="0B51628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4.电压：380V；</w:t>
            </w:r>
          </w:p>
          <w:p w14:paraId="1C9DA05C">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5.电机功率：7.5kW；</w:t>
            </w:r>
          </w:p>
          <w:p w14:paraId="3322A92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6.移动方式：轮式。</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46494FF1">
            <w:pPr>
              <w:keepNext w:val="0"/>
              <w:keepLines w:val="0"/>
              <w:widowControl/>
              <w:suppressLineNumbers w:val="0"/>
              <w:shd w:val="clear"/>
              <w:wordWrap w:val="0"/>
              <w:spacing w:line="360" w:lineRule="auto"/>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9500.00</w:t>
            </w:r>
          </w:p>
        </w:tc>
      </w:tr>
      <w:tr w14:paraId="02BB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5C2321E4">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38771536">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搅拌机</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2CA64DF3">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1</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55ED0497">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099F71EC">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1.容积：1.5立方米；</w:t>
            </w:r>
          </w:p>
          <w:p w14:paraId="61414E6A">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2.整机尺寸：2.8×1.01×2.1m；</w:t>
            </w:r>
          </w:p>
          <w:p w14:paraId="0F48FE2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3.罐体尺寸：1.8×0.9×1.05m；</w:t>
            </w:r>
          </w:p>
          <w:p w14:paraId="1C571F9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4.机身厚度：2mm；</w:t>
            </w:r>
          </w:p>
          <w:p w14:paraId="02780213">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5.螺带厚度：8mm；</w:t>
            </w:r>
          </w:p>
          <w:p w14:paraId="536DBD2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6.堵头厚度：4mm；</w:t>
            </w:r>
          </w:p>
          <w:p w14:paraId="2FCF075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7.大轴直径：90mm；</w:t>
            </w:r>
          </w:p>
          <w:p w14:paraId="35B831A8">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21"/>
                <w:szCs w:val="21"/>
                <w:highlight w:val="none"/>
                <w:lang w:val="en-US" w:eastAsia="zh-CN" w:bidi="ar-SA"/>
              </w:rPr>
              <w:t>8.搅拌机功率：7.5kW；</w:t>
            </w:r>
          </w:p>
          <w:p w14:paraId="7F41078B">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9.支架：碳钢；</w:t>
            </w:r>
          </w:p>
          <w:p w14:paraId="53AF65C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10.配电柜；</w:t>
            </w:r>
          </w:p>
          <w:p w14:paraId="391907C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11.1000kg搅拌机，配不锈钢螺旋上料机；</w:t>
            </w:r>
          </w:p>
          <w:p w14:paraId="166CB8B2">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12.罐体材质：304不锈钢。</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35DC5C37">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27000.00</w:t>
            </w:r>
          </w:p>
        </w:tc>
      </w:tr>
      <w:tr w14:paraId="1AA4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6" w:type="dxa"/>
            <w:gridSpan w:val="7"/>
            <w:tcBorders>
              <w:top w:val="single" w:color="auto" w:sz="4" w:space="0"/>
              <w:left w:val="single" w:color="auto" w:sz="4" w:space="0"/>
              <w:bottom w:val="single" w:color="auto" w:sz="4" w:space="0"/>
              <w:right w:val="single" w:color="auto" w:sz="4" w:space="0"/>
            </w:tcBorders>
            <w:noWrap w:val="0"/>
            <w:vAlign w:val="center"/>
          </w:tcPr>
          <w:p w14:paraId="7C93E48C">
            <w:pPr>
              <w:pStyle w:val="26"/>
              <w:keepNext w:val="0"/>
              <w:keepLines w:val="0"/>
              <w:pageBreakBefore w:val="0"/>
              <w:numPr>
                <w:ilvl w:val="0"/>
                <w:numId w:val="0"/>
              </w:numPr>
              <w:shd w:val="clear"/>
              <w:kinsoku/>
              <w:wordWrap w:val="0"/>
              <w:overflowPunct/>
              <w:topLinePunct w:val="0"/>
              <w:autoSpaceDE/>
              <w:autoSpaceDN/>
              <w:bidi w:val="0"/>
              <w:adjustRightInd/>
              <w:spacing w:line="36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（2）实验设备</w:t>
            </w:r>
          </w:p>
        </w:tc>
      </w:tr>
      <w:tr w14:paraId="7F38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4059C117">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1290F684">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消毒仪器</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477FB4BF">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6042D648">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39587C6C">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1.利用高温高压蒸汽进行灭菌的设备，工作温度为121°C，工作压力为0.1MPa，灭菌时间为15～30分钟；</w:t>
            </w:r>
          </w:p>
          <w:p w14:paraId="79BB2BB4">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2.容积：≥75L，功率：220V/50Hz/约3.5kW；</w:t>
            </w:r>
          </w:p>
          <w:p w14:paraId="3B31915C">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3.灭菌室有效尺寸：Ф约388×480mm；</w:t>
            </w:r>
          </w:p>
          <w:p w14:paraId="56DF8EB5">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4.压力表：0.4Mpa；</w:t>
            </w:r>
          </w:p>
          <w:p w14:paraId="520FEC3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5.最高工作压力：0.22MPa；</w:t>
            </w:r>
          </w:p>
          <w:p w14:paraId="71F5CA6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6.设计温度：142℃；</w:t>
            </w:r>
          </w:p>
          <w:p w14:paraId="08D5941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7.最高工作温度：134℃；</w:t>
            </w:r>
          </w:p>
          <w:p w14:paraId="268496EE">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8.灭菌时间范围：0-9999min；</w:t>
            </w:r>
          </w:p>
          <w:p w14:paraId="60084151">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9.灭菌温度范围：100-134℃；</w:t>
            </w:r>
          </w:p>
          <w:p w14:paraId="356D0E7E">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10.升温、排空、灭菌、排气过程微电脑控制，自动运行；</w:t>
            </w:r>
          </w:p>
          <w:p w14:paraId="78F4024C">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11.数码显示、触摸式开关，灭菌过程故障状态显示提示；</w:t>
            </w:r>
          </w:p>
          <w:p w14:paraId="4CF94A1C">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12.快开门结构：手轮式平移门，玻璃钢防烫罩，安全防护；</w:t>
            </w:r>
          </w:p>
          <w:p w14:paraId="29895CF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13.安全联锁：当桶内有压力时，无法开门；</w:t>
            </w:r>
          </w:p>
          <w:p w14:paraId="7CBFF5B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14.下排式排气方式，排放冷空气更彻底；</w:t>
            </w:r>
          </w:p>
          <w:p w14:paraId="64FD494E">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15.可选配打印功能，标配不带打印功能；</w:t>
            </w:r>
          </w:p>
          <w:p w14:paraId="6E8B0DB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16.可选配辅助干燥；</w:t>
            </w:r>
          </w:p>
          <w:p w14:paraId="30EF00F4">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17.电加热方式，自胀式密封圈；</w:t>
            </w:r>
          </w:p>
          <w:p w14:paraId="77291243">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18.超压自泄保护：安全阀能释放过高压力；</w:t>
            </w:r>
          </w:p>
          <w:p w14:paraId="6A77DBB3">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19.超温保护：超过设计温度灭菌器自动断电；</w:t>
            </w:r>
          </w:p>
          <w:p w14:paraId="1E1E95D1">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20.漏电保护：出现漏电灭菌器自动断电；</w:t>
            </w:r>
          </w:p>
          <w:p w14:paraId="2D10FC6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21.断水保护：灭菌器内缺水、低水自动停止工作，报警提示；</w:t>
            </w:r>
          </w:p>
          <w:p w14:paraId="79A7853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22.工作结束，灭菌器声光报警提示；</w:t>
            </w:r>
          </w:p>
          <w:p w14:paraId="403A3416">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23.整机设计精巧，移动省力、拆装维护方便；</w:t>
            </w:r>
          </w:p>
          <w:p w14:paraId="44FEAA2B">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24.消毒内筒、外筒、外框全部采用SUS304材质；配置：主机一台，网架一套。</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45CE6625">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27000.00</w:t>
            </w:r>
          </w:p>
        </w:tc>
      </w:tr>
      <w:tr w14:paraId="77FB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4BDE5509">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714457E5">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消毒仪器</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4C2F56E7">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0715FC63">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3BCD7B9C">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1.光波+臭氧杀菌+红外线消毒一体机；</w:t>
            </w:r>
          </w:p>
          <w:p w14:paraId="69099659">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2.50℃中温烘干；</w:t>
            </w:r>
          </w:p>
          <w:p w14:paraId="4EC15BC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3.60分钟智能定时功能；</w:t>
            </w:r>
          </w:p>
          <w:p w14:paraId="416F8D4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4.自动断电功能；</w:t>
            </w:r>
          </w:p>
          <w:p w14:paraId="0CC016E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5.机械按钮控制；</w:t>
            </w:r>
          </w:p>
          <w:p w14:paraId="43D8B88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w:t>
            </w:r>
            <w:r>
              <w:rPr>
                <w:rFonts w:hint="eastAsia" w:ascii="宋体" w:hAnsi="宋体" w:eastAsia="宋体" w:cs="宋体"/>
                <w:color w:val="auto"/>
                <w:highlight w:val="none"/>
                <w:lang w:val="en-US" w:eastAsia="zh-CN"/>
              </w:rPr>
              <w:t>层数：≥5层；</w:t>
            </w:r>
          </w:p>
          <w:p w14:paraId="61F2587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w:t>
            </w:r>
            <w:r>
              <w:rPr>
                <w:rFonts w:hint="eastAsia" w:ascii="宋体" w:hAnsi="宋体" w:eastAsia="宋体" w:cs="宋体"/>
                <w:color w:val="auto"/>
                <w:highlight w:val="none"/>
                <w:lang w:val="en-US" w:eastAsia="zh-CN"/>
              </w:rPr>
              <w:t>容积：≥1500L</w:t>
            </w:r>
            <w:r>
              <w:rPr>
                <w:rFonts w:hint="eastAsia" w:ascii="宋体" w:hAnsi="宋体" w:eastAsia="宋体" w:cs="宋体"/>
                <w:color w:val="auto"/>
                <w:highlight w:val="none"/>
                <w:lang w:eastAsia="zh-CN"/>
              </w:rPr>
              <w:t>；</w:t>
            </w:r>
          </w:p>
          <w:p w14:paraId="13EFADA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8.钢化玻璃面板；</w:t>
            </w:r>
          </w:p>
          <w:p w14:paraId="1B16189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w:t>
            </w:r>
            <w:r>
              <w:rPr>
                <w:rFonts w:hint="eastAsia" w:ascii="宋体" w:hAnsi="宋体" w:eastAsia="宋体" w:cs="宋体"/>
                <w:color w:val="auto"/>
                <w:szCs w:val="21"/>
                <w:highlight w:val="none"/>
                <w:lang w:val="en-US" w:eastAsia="zh-CN"/>
              </w:rPr>
              <w:t>质保期不少于五年（含五年），质保期内负责上门服务、维修、更换配件等</w:t>
            </w:r>
            <w:r>
              <w:rPr>
                <w:rFonts w:hint="eastAsia" w:ascii="宋体" w:hAnsi="宋体" w:eastAsia="宋体" w:cs="宋体"/>
                <w:color w:val="auto"/>
                <w:kern w:val="0"/>
                <w:sz w:val="21"/>
                <w:szCs w:val="21"/>
                <w:highlight w:val="none"/>
                <w:lang w:val="en-US" w:eastAsia="zh-CN" w:bidi="ar-SA"/>
              </w:rPr>
              <w:t>所产生费用包含已在本次投标报价中，不另行收费。</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59A0D021">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6400.00</w:t>
            </w:r>
          </w:p>
        </w:tc>
      </w:tr>
      <w:tr w14:paraId="47A9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44F4859B">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44CDFE37">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冷藏柜</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2E4A722F">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5013F3FB">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5A5F73E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1.用于实验室环境中储存和保存林木种苗、种子、组织培养材料及其他生物样本的设备，容积1000L，温度范围-25℃至10℃，数字控温，LED数字显示箱内温度、湿度值，风冷式制冷，不结霜；</w:t>
            </w:r>
          </w:p>
          <w:p w14:paraId="0AB93F9C">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2.一级能效变频风冷；</w:t>
            </w:r>
          </w:p>
          <w:p w14:paraId="51380EA9">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3.LED显示；</w:t>
            </w:r>
          </w:p>
          <w:p w14:paraId="5BE6476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4.变温类型：档位变温；</w:t>
            </w:r>
          </w:p>
          <w:p w14:paraId="51C12988">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5.散热方式：底部散温；</w:t>
            </w:r>
          </w:p>
          <w:p w14:paraId="18508EB2">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6.制冷循环：双循环；</w:t>
            </w:r>
          </w:p>
          <w:p w14:paraId="30D5DE1B">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7.静音程度：＜45dB；</w:t>
            </w:r>
          </w:p>
          <w:p w14:paraId="0DF45313">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8.综合耗能：＜1.50kW·h/24h；</w:t>
            </w:r>
          </w:p>
          <w:p w14:paraId="622C25C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9.制冷剂：R290a；</w:t>
            </w:r>
          </w:p>
          <w:p w14:paraId="01733833">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10.容积：总体积约750L，冷藏约400L，冷冻约350L；</w:t>
            </w:r>
          </w:p>
          <w:p w14:paraId="7A465FEF">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11.电压：220V；</w:t>
            </w:r>
          </w:p>
          <w:p w14:paraId="3DD7CD0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12.重量：约112kg；</w:t>
            </w:r>
          </w:p>
          <w:p w14:paraId="4C01805C">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13.产品尺寸：宽约992mm，深约655mm，高约2050mm；</w:t>
            </w:r>
          </w:p>
          <w:p w14:paraId="5A033C8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14.包装尺寸：宽约1055mm，深约720mm，高约2180mm；</w:t>
            </w:r>
          </w:p>
          <w:p w14:paraId="3520ABF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15.开门方式：对开门，90直角；</w:t>
            </w:r>
          </w:p>
          <w:p w14:paraId="1822200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16.门数：2；</w:t>
            </w:r>
          </w:p>
          <w:p w14:paraId="17396B93">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17.控温方式：电脑控温，冷藏2-6℃，冷冻-16~-24℃；</w:t>
            </w:r>
          </w:p>
          <w:p w14:paraId="19205129">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18.面板材质：金属。</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70D2AB07">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15180.00</w:t>
            </w:r>
          </w:p>
        </w:tc>
      </w:tr>
      <w:tr w14:paraId="29A4F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61EE380D">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327567A7">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干燥箱</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705C92FD">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4A3DC9F2">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1779A08B">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1.用于干燥物品或干热灭菌的设备。箱体容积不小于50升，长宽高分别不小于30厘米、30厘米、60厘米；</w:t>
            </w:r>
          </w:p>
          <w:p w14:paraId="04CA50EE">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2.电源电压：220V，50Hz；</w:t>
            </w:r>
          </w:p>
          <w:p w14:paraId="6909BD3E">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3.控温范围：RT +10~250℃、恒温波动度±1℃、温度分辨率0.1℃、定时范围1-9999 min；</w:t>
            </w:r>
          </w:p>
          <w:p w14:paraId="398049DF">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4.输入功率：约1120W；</w:t>
            </w:r>
          </w:p>
          <w:p w14:paraId="01473CA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5.内胆尺寸（mm）W×D×H 420×400×345，载物托架（标配）2块；</w:t>
            </w:r>
          </w:p>
          <w:p w14:paraId="3671A16F">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lang w:val="en-US" w:eastAsia="zh-CN" w:bidi="ar-SA"/>
              </w:rPr>
              <w:t>6.高温样品托盘：采用冷轧钢板长≥425×宽375×高8mm，650度以上绝缘防腐层板材质一次冲压成型压力测试承重≥400kg/块（相当于4KN以上）、绝缘材料涂层（根据静电敏感环境区分标准，电阻率高于10的12次方以上为绝缘体）、采用高温650度以上烧制涂层具有耐刀刮不脱落性能，经过金属尖锐器具剐蹭后导入98%浓硫酸、盐酸不发生反应（650度以上5分钟测试表面无可见变化为合格），高温烧制后可承受分析纯浓硫酸测试浸泡24小时（24小时浸泡测试表面涂层无变化为合格）；</w:t>
            </w:r>
            <w:r>
              <w:rPr>
                <w:rFonts w:hint="eastAsia" w:ascii="宋体" w:hAnsi="宋体" w:eastAsia="宋体" w:cs="宋体"/>
                <w:color w:val="auto"/>
                <w:kern w:val="0"/>
                <w:szCs w:val="21"/>
                <w:highlight w:val="none"/>
              </w:rPr>
              <w:t>投标时须提供国家认可的第三方检测机构出具的检测报告</w:t>
            </w:r>
            <w:r>
              <w:rPr>
                <w:rFonts w:hint="eastAsia" w:ascii="宋体" w:hAnsi="宋体" w:eastAsia="宋体" w:cs="宋体"/>
                <w:color w:val="auto"/>
                <w:kern w:val="0"/>
                <w:szCs w:val="21"/>
                <w:highlight w:val="none"/>
                <w:lang w:eastAsia="zh-CN"/>
              </w:rPr>
              <w:t>；</w:t>
            </w:r>
          </w:p>
          <w:p w14:paraId="7ACC9AB1">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7.配置：主机一台，高温样品托盘2套，搁板3块、说明书一份，5年保修卡一张、本地销售保单一份；</w:t>
            </w:r>
          </w:p>
          <w:p w14:paraId="38334631">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w:t>
            </w:r>
            <w:r>
              <w:rPr>
                <w:rFonts w:hint="eastAsia" w:ascii="宋体" w:hAnsi="宋体" w:eastAsia="宋体" w:cs="宋体"/>
                <w:color w:val="auto"/>
                <w:szCs w:val="21"/>
                <w:highlight w:val="none"/>
                <w:lang w:val="en-US" w:eastAsia="zh-CN"/>
              </w:rPr>
              <w:t>质保期不少于五年（含五年），质保期内负责上门服务、维修、更换配件等</w:t>
            </w:r>
            <w:r>
              <w:rPr>
                <w:rFonts w:hint="eastAsia" w:ascii="宋体" w:hAnsi="宋体" w:eastAsia="宋体" w:cs="宋体"/>
                <w:color w:val="auto"/>
                <w:kern w:val="0"/>
                <w:sz w:val="21"/>
                <w:szCs w:val="21"/>
                <w:highlight w:val="none"/>
                <w:lang w:val="en-US" w:eastAsia="zh-CN" w:bidi="ar-SA"/>
              </w:rPr>
              <w:t>所产生费用包含已在本次投标报价中，不另行收费。</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6399D1AC">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8100.00</w:t>
            </w:r>
          </w:p>
        </w:tc>
      </w:tr>
      <w:tr w14:paraId="1A15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099299E4">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57D1C32D">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水分速测仪</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79253877">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5101058D">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07FEE70E">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1.用于快速测试种子水分的仪器。电阻法或近红外光谱法（NIR）测量，测量范围5%～40%（种子水分含量），测量精度±0.5%，分辨率0.1%，LCD液晶屏，背光显示，可存储≥1000组数据，工作温度0℃至40℃；</w:t>
            </w:r>
          </w:p>
          <w:p w14:paraId="1229AA8F">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2.湿度量程：0-60%，分辨率0.1%；</w:t>
            </w:r>
          </w:p>
          <w:p w14:paraId="061B5DEA">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3.测量方法：电阻法；</w:t>
            </w:r>
          </w:p>
          <w:p w14:paraId="28A57E2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4.可用于材质：木头、木材、纸箱、纸张、水泥、石膏、腻子、砖头、墙面；</w:t>
            </w:r>
          </w:p>
          <w:p w14:paraId="63DEC44F">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5.自动关机：约5分钟无操作自动关机；</w:t>
            </w:r>
          </w:p>
          <w:p w14:paraId="03E1AFD3">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6.温度量程：-10~50℃，分辨率0.1；</w:t>
            </w:r>
          </w:p>
          <w:p w14:paraId="0005A949">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7.外形尺寸：约185×40×31mm；</w:t>
            </w:r>
          </w:p>
          <w:p w14:paraId="06587C5B">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8.重量：约90g。</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326AAEDF">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168.00</w:t>
            </w:r>
          </w:p>
        </w:tc>
      </w:tr>
      <w:tr w14:paraId="323E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447A88C1">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33EF34B9">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水分速测仪</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59047DFA">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51464D3A">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7B322679">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一、产品特点：</w:t>
            </w:r>
          </w:p>
          <w:p w14:paraId="560A5F9E">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1.5寸智能触控显示屏，时间-失水率曲线实时动态分析，多项参数直接读取； </w:t>
            </w:r>
          </w:p>
          <w:p w14:paraId="5286BC98">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2.最多储存15组最近测试记录，内置RS-232接口，可连接打印机、计算机等设备； </w:t>
            </w:r>
          </w:p>
          <w:p w14:paraId="041DB6FC">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3.自动干燥、定时干燥模式可选，满足不同测量需求。 </w:t>
            </w:r>
          </w:p>
          <w:p w14:paraId="0493961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4.样品量太少提示、设定时间过短提醒，保证样品准确测量。</w:t>
            </w:r>
          </w:p>
          <w:p w14:paraId="2CA02C0E">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5.称重传感器，最大可满足110g超大称量。 </w:t>
            </w:r>
          </w:p>
          <w:p w14:paraId="2822F11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6.满足多种个性化设置，样品命名功能、时间、按键音量与屏幕亮度都可自由调节。 </w:t>
            </w:r>
          </w:p>
          <w:p w14:paraId="0E5C22BE">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二、参数：</w:t>
            </w:r>
          </w:p>
          <w:p w14:paraId="72411B0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1.输入电源：220V，3A；</w:t>
            </w:r>
          </w:p>
          <w:p w14:paraId="03C3AC28">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2.频率：50HZ±1HZ；</w:t>
            </w:r>
          </w:p>
          <w:p w14:paraId="2393E6A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3.整机功率：约350W；</w:t>
            </w:r>
          </w:p>
          <w:p w14:paraId="640E184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4.显示方式：5寸LCD液晶屏；</w:t>
            </w:r>
          </w:p>
          <w:p w14:paraId="2CE926E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5.水分含量测定范围（%）：0-100；</w:t>
            </w:r>
          </w:p>
          <w:p w14:paraId="6697387C">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6.水分显示精度（%）：±0.01；</w:t>
            </w:r>
          </w:p>
          <w:p w14:paraId="5774F9AB">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7.最大称量值（max）：110g；</w:t>
            </w:r>
          </w:p>
          <w:p w14:paraId="17D0615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8.最小称量值（min）：0.001g；</w:t>
            </w:r>
          </w:p>
          <w:p w14:paraId="489C0AEE">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9.称量精度（g）：±0.001；</w:t>
            </w:r>
          </w:p>
          <w:p w14:paraId="494B68A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10.精准度级别：Ⅱ级；</w:t>
            </w:r>
          </w:p>
          <w:p w14:paraId="70C176C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11.温控范围℃：50-180；</w:t>
            </w:r>
          </w:p>
          <w:p w14:paraId="7B97692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12.控温精度℃：±1；</w:t>
            </w:r>
          </w:p>
          <w:p w14:paraId="3339AE0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13.加热时间设定范围min：0-99；</w:t>
            </w:r>
          </w:p>
          <w:p w14:paraId="21C87F2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14.RS232数据接口；</w:t>
            </w:r>
          </w:p>
          <w:p w14:paraId="4E89096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15.加热元件高效卤素灯；</w:t>
            </w:r>
          </w:p>
          <w:p w14:paraId="6EE853BA">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16.标配砝码（g）：20,50,100；</w:t>
            </w:r>
          </w:p>
          <w:p w14:paraId="3C98E70E">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17.秤盘尺寸（mm）：Φ100；</w:t>
            </w:r>
          </w:p>
          <w:p w14:paraId="305B93DF">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18.净重约4.5kg；</w:t>
            </w:r>
          </w:p>
          <w:p w14:paraId="42BDDCD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19.产品尺寸（L×W×H mm）：约360×223×176。</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4360A8CF">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3700.00</w:t>
            </w:r>
          </w:p>
        </w:tc>
      </w:tr>
      <w:tr w14:paraId="6918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7B16125E">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52DCE28E">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恒温培养箱</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22019D3E">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2B53C48C">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2F6FFEC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1.用于培养细胞、组织培养、种子发芽等仪器设备，容积150升，室温+5℃至 60℃，控温精度±0.5℃，功率400W；</w:t>
            </w:r>
          </w:p>
          <w:p w14:paraId="2C75B3BA">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2.电源电压：220V、50Hz；</w:t>
            </w:r>
          </w:p>
          <w:p w14:paraId="619BCA8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3.加热方式：电热膜；</w:t>
            </w:r>
          </w:p>
          <w:p w14:paraId="7BD73C98">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4.控温范围：RT+5～65℃；</w:t>
            </w:r>
          </w:p>
          <w:p w14:paraId="10E40A7A">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5.恒温波动度：±0.5℃；</w:t>
            </w:r>
          </w:p>
          <w:p w14:paraId="5C37339A">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6.温度分辨率：0.1℃；</w:t>
            </w:r>
          </w:p>
          <w:p w14:paraId="09B607DB">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7.输入功率：约560W；</w:t>
            </w:r>
          </w:p>
          <w:p w14:paraId="43BC90D2">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8.内胆尺寸（mm）： 约500×500×650；</w:t>
            </w:r>
          </w:p>
          <w:p w14:paraId="6647AF7B">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lang w:val="en-US" w:eastAsia="zh-CN" w:bidi="ar-SA"/>
              </w:rPr>
              <w:t>9.培养皿托盘：≥375×425mm，采用全钢结构绝缘防腐层板材质一次冲压成型压力测试承重≥400kg/块（相当于4KN以上）、绝缘材料涂层（根据静电敏感环境区分标准，电阻率高于10的12次方以上为绝缘体）、经650度烧制后表面涂层具有耐刮防腐特点，用尖锐金属利器刮擦不脱落后并倒入98%浓硫酸或者盐酸不发生反应（650度以上5分钟测试表面无可见变化为合格），经高温烧制后可承受分析纯浓硫酸测试浸泡24小时（24小时浸泡测试表面涂层无变化为合格）、（24小时浸泡测试表面涂层无变化为合格）｛检测方法：测试条件：硫酸（AR），完全浸泡，23℃，24h}；投标时须提供国家认可的第三方检测机构出具的检测报告；</w:t>
            </w:r>
          </w:p>
          <w:p w14:paraId="41789F3E">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10.载物托架（标配）：3块；</w:t>
            </w:r>
          </w:p>
          <w:p w14:paraId="0C19254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11.定时范围：1-9999 min；</w:t>
            </w:r>
          </w:p>
          <w:p w14:paraId="69D5836E">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12.配置：主机一台、托架3块、5年质保保修卡一张、培养皿托盘1套，合格证一张、说明书一份、本地销售保单一份；</w:t>
            </w:r>
          </w:p>
          <w:p w14:paraId="2D6B7CE2">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13.</w:t>
            </w:r>
            <w:r>
              <w:rPr>
                <w:rFonts w:hint="eastAsia" w:ascii="宋体" w:hAnsi="宋体" w:eastAsia="宋体" w:cs="宋体"/>
                <w:color w:val="auto"/>
                <w:szCs w:val="21"/>
                <w:highlight w:val="none"/>
                <w:lang w:val="en-US" w:eastAsia="zh-CN"/>
              </w:rPr>
              <w:t>质保期不少于五年（含五年），质保期内负责上门服务、维修、更换配件等</w:t>
            </w:r>
            <w:r>
              <w:rPr>
                <w:rFonts w:hint="eastAsia" w:ascii="宋体" w:hAnsi="宋体" w:eastAsia="宋体" w:cs="宋体"/>
                <w:color w:val="auto"/>
                <w:kern w:val="0"/>
                <w:sz w:val="21"/>
                <w:szCs w:val="21"/>
                <w:highlight w:val="none"/>
                <w:lang w:val="en-US" w:eastAsia="zh-CN" w:bidi="ar-SA"/>
              </w:rPr>
              <w:t>所产生费用包含已在本次投标报价中，不另行收费。</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1A241278">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10550.00</w:t>
            </w:r>
          </w:p>
        </w:tc>
      </w:tr>
      <w:tr w14:paraId="6FD3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7C0C423E">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31661DCC">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扦样器</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79B532A2">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75676793">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6F0B62B5">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一、用途：</w:t>
            </w:r>
          </w:p>
          <w:p w14:paraId="6D13105F">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1.用于种子样品选取的设备。电动，取样深度 0.5米至2米，取样直径10毫米至50毫米，不锈钢；</w:t>
            </w:r>
          </w:p>
          <w:p w14:paraId="480ED085">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二、性能要求：</w:t>
            </w:r>
          </w:p>
          <w:p w14:paraId="563AB815">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1.主机最大吸力可达30m；</w:t>
            </w:r>
          </w:p>
          <w:p w14:paraId="540D5B83">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2.可两用吸尘与取样；</w:t>
            </w:r>
          </w:p>
          <w:p w14:paraId="35EBF23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3.所取样品能较好地保持原粮的原始质量状况；</w:t>
            </w:r>
          </w:p>
          <w:p w14:paraId="48114B0A">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4.带插孔底座，方便储存附件；</w:t>
            </w:r>
          </w:p>
          <w:p w14:paraId="24214A4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5.有安全保护装置，保护电机正常运转；</w:t>
            </w:r>
          </w:p>
          <w:p w14:paraId="3833D6E4">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6.具有吸力强、取样快，减少工人劳动力，使用可靠，操作简便等优点；</w:t>
            </w:r>
          </w:p>
          <w:p w14:paraId="5DF74F86">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7.电动取样器配套：约1600W，主机1台、2米软管1根、软管钢管连接头1个、1.2米直径28/32毫米不锈钢五根。</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198B9582">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5720.00</w:t>
            </w:r>
          </w:p>
        </w:tc>
      </w:tr>
      <w:tr w14:paraId="4B9C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3F697FC7">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6271DFBE">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分样器</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34161ABC">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5984B0E1">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0256DDD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一、用途：林木种子的精密分样的设备。分样精度±1%至±5%，容量5千克，不锈钢。</w:t>
            </w:r>
          </w:p>
          <w:p w14:paraId="02A9A236">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二、加大号钟鼎式分样器技术参数：</w:t>
            </w:r>
          </w:p>
          <w:p w14:paraId="27DF23C1">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1.材质：不锈钢；</w:t>
            </w:r>
          </w:p>
          <w:p w14:paraId="5FF1534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2.分量：≥5000克；</w:t>
            </w:r>
          </w:p>
          <w:p w14:paraId="7200A91F">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3.整机高度：约1米；</w:t>
            </w:r>
          </w:p>
          <w:p w14:paraId="25EBB0A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4.分样格数：36格；</w:t>
            </w:r>
          </w:p>
          <w:p w14:paraId="2C50C00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5.分样误差：小颗粒＜0.6%；</w:t>
            </w:r>
          </w:p>
          <w:p w14:paraId="1D6B04C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6.分样误差：大颗粒＜2%；</w:t>
            </w:r>
          </w:p>
          <w:p w14:paraId="0AF8065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7.适用范围：稻谷、玉米、大豆、饲料、小麦、大米、油菜籽、花生米等颗粒。</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78702F90">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5060.00</w:t>
            </w:r>
          </w:p>
        </w:tc>
      </w:tr>
      <w:tr w14:paraId="3A33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2DB734D4">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06C1E30F">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样品柜</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5D23924E">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672E688C">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个</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4DE4E58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一、用途：用于存放和管理实验室样品的设备。容量500升，防腐木材，防尘、防潮设计。</w:t>
            </w:r>
          </w:p>
          <w:p w14:paraId="531D0141">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二、特点：微电脑智能控制，断电记忆，全自动运行到达设定值停止降湿，超过设定值重新启动，全自动切换断电24小时内湿度不上升10%RH。</w:t>
            </w:r>
          </w:p>
          <w:p w14:paraId="4E674335">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三、基本参数：</w:t>
            </w:r>
          </w:p>
          <w:p w14:paraId="005D9FA5">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1.外形尺寸：约600×690×1485(mm）；</w:t>
            </w:r>
          </w:p>
          <w:p w14:paraId="5F5DB699">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2.内部尺寸：约555×640×1315(mm）；</w:t>
            </w:r>
          </w:p>
          <w:p w14:paraId="1748CFD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3.湿度范围：10%-60%RH（可设置）；</w:t>
            </w:r>
          </w:p>
          <w:p w14:paraId="4A8EF77E">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4.湿度误差：±3%RH；</w:t>
            </w:r>
          </w:p>
          <w:p w14:paraId="28A71255">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5.温度误差：±1℃（温度只显示，不可调）；</w:t>
            </w:r>
          </w:p>
          <w:p w14:paraId="078736A8">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6.活动层板：3块（层板可调节）；</w:t>
            </w:r>
          </w:p>
          <w:p w14:paraId="28668C79">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7.高效电子降湿装置1套（高效降湿，无消耗品）；</w:t>
            </w:r>
          </w:p>
          <w:p w14:paraId="1E669A59">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8.电源电压：220V，50HZ；</w:t>
            </w:r>
          </w:p>
          <w:p w14:paraId="71FEDCA8">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9.功率：30W。</w:t>
            </w:r>
          </w:p>
          <w:p w14:paraId="2F5A4196">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四、箱体结构特征：</w:t>
            </w:r>
          </w:p>
          <w:p w14:paraId="7616C42F">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1.结构形式：5mm防暴钢化玻璃，双层门框结构，平整美观，配防盗门锁，具有保险功能，并配有冰箱用磁性密封条，保证箱体极好的密封性能；</w:t>
            </w:r>
          </w:p>
          <w:p w14:paraId="1EDE0A5A">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2.箱体材质：选用1.2mm优质冷轧钢板冲压折弯成型，氩弧精密焊接，箱体喷涂之前经除油、除锈处理，保证表面涂层不会脱落或老化；</w:t>
            </w:r>
          </w:p>
          <w:p w14:paraId="1C41CB5B">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3.便于移动：箱体底部安装有可移动承重脚轮，两只万向，两只带刹车；</w:t>
            </w:r>
          </w:p>
          <w:p w14:paraId="0761F62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4.层板冲孔：为保证箱内空气湿度均匀，每块层板都有气孔流，以方便空气对流；</w:t>
            </w:r>
          </w:p>
          <w:p w14:paraId="108F7918">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箱体工艺：为保证焊缝的气密性，对箱体内侧的焊缝第一层采用TLG焊自熔，要求不填充焊丝进行自熔焊接，然后再填充焊丝进行焊接，最后采用MIG焊进行盖面，焊接过程中要求严格控制层间温度，使其≤60℃，同时在焊的起弧和收弧工艺措施，以减少焊接缺陷，保证焊缝的焊接质量，从而保证焊缝的气密性。</w:t>
            </w:r>
          </w:p>
          <w:p w14:paraId="02F9E5E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五、控制操作系统：</w:t>
            </w:r>
          </w:p>
          <w:p w14:paraId="0B7DB243">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1.控制技术：采用微电脑智能模糊湿度惯性控制技术，数字化频率输出端口，通用性强，更换方便，精度高，年漂移量少，抗干扰能力强，湿度显示误差在正负3%RH以内；</w:t>
            </w:r>
          </w:p>
          <w:p w14:paraId="0E85AAD2">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2.显示屏：高清液晶屏显示，温度显示范围-9-99℃，湿度显示范围 0-99%RH，除了显示温湿度功能外，还能显示除湿机芯工作状态，方便故障排查；</w:t>
            </w:r>
          </w:p>
          <w:p w14:paraId="13E6C4EC">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3.电子降湿系统：高效降湿系统，降湿速度快、故障率低、使用寿命长达12 年以上，无消耗品。 </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111B0F7D">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152</w:t>
            </w:r>
            <w:r>
              <w:rPr>
                <w:rFonts w:hint="eastAsia" w:ascii="宋体" w:hAnsi="宋体" w:cs="宋体"/>
                <w:i w:val="0"/>
                <w:iCs w:val="0"/>
                <w:color w:val="auto"/>
                <w:kern w:val="0"/>
                <w:sz w:val="20"/>
                <w:szCs w:val="20"/>
                <w:highlight w:val="none"/>
                <w:u w:val="none"/>
                <w:lang w:val="en-US" w:eastAsia="zh-CN" w:bidi="ar"/>
              </w:rPr>
              <w:t>00</w:t>
            </w:r>
            <w:r>
              <w:rPr>
                <w:rFonts w:hint="eastAsia" w:ascii="宋体" w:hAnsi="宋体" w:eastAsia="宋体" w:cs="宋体"/>
                <w:i w:val="0"/>
                <w:iCs w:val="0"/>
                <w:color w:val="auto"/>
                <w:kern w:val="0"/>
                <w:sz w:val="20"/>
                <w:szCs w:val="20"/>
                <w:highlight w:val="none"/>
                <w:u w:val="none"/>
                <w:lang w:val="en-US" w:eastAsia="zh-CN" w:bidi="ar"/>
              </w:rPr>
              <w:t>.00</w:t>
            </w:r>
          </w:p>
        </w:tc>
      </w:tr>
      <w:tr w14:paraId="5F85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19924BDA">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Cs w:val="21"/>
                <w:highlight w:val="none"/>
                <w:u w:val="single"/>
              </w:rPr>
              <w:t>▇</w:t>
            </w:r>
            <w:r>
              <w:rPr>
                <w:rFonts w:hint="eastAsia" w:ascii="宋体" w:hAnsi="宋体" w:eastAsia="宋体" w:cs="宋体"/>
                <w:color w:val="auto"/>
                <w:kern w:val="0"/>
                <w:sz w:val="21"/>
                <w:szCs w:val="21"/>
                <w:highlight w:val="none"/>
                <w:lang w:val="en-US" w:eastAsia="zh-CN"/>
              </w:rPr>
              <w:t>13</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41A51D54">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显微镜</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5A959ADC">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0442FC37">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4ACE8BE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一、用途：用于林木种表皮受损、杂种子及虫害种子的筛选。放大倍数40-1000倍，光源LED或卤素灯，分辨率0.1-0.01微米。</w:t>
            </w:r>
          </w:p>
          <w:p w14:paraId="28D410B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1.在电源220V（10%）/50Hz、气温摄氏5℃～40℃和相对湿度80%的环境条件下运行；</w:t>
            </w:r>
          </w:p>
          <w:p w14:paraId="04C35888">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2.配置符合中国有关标准要求的插头，或提供适当的转换插座。</w:t>
            </w:r>
          </w:p>
          <w:p w14:paraId="62CB2D99">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3.体式显微镜：放大倍率：6.7-45倍；变倍：0.67-45X连续变倍，变倍比1:6.7；工作距离：约110mm；三目观察筒：视场数为22，瞳距调节范围为52—76mm；目镜：10X，F.N. 22；LED反射/透射照明底座；LED寿命：平均60000小时。</w:t>
            </w:r>
          </w:p>
          <w:p w14:paraId="03FCE606">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二、1200万专业成像系统：</w:t>
            </w:r>
          </w:p>
          <w:p w14:paraId="0762245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1.相机为标准C接口，适用于Olympus三目显微镜。采用1/2.3英寸彩色CMOS传感器SONY IMX412；最高分辨率4000×3000，帧率30帧/秒；静态、动态均1200万像素，无像素插值；像元尺寸：1.55μm×1.55μm；曝光方式：实时自动和手动调节；白平衡：实时自动、手动R B分别调节；曝光时间：10μs-330ms；光谱响应：380~650nm。</w:t>
            </w:r>
          </w:p>
          <w:p w14:paraId="35D6653E">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2.内含5G Wi-Fi 802.11ac模块，图像输出支持多种输出方式：</w:t>
            </w:r>
          </w:p>
          <w:p w14:paraId="13789751">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USB模式：USB连接PC电脑；Wi-Fi模式：5G Wi-Fi连接Windows、iOS、Android、鸿蒙操作系统；HDMI模式：连接显示器（显示器用户自备），支持最高3840×2160 30Hz HDMI输出到大显示器、电视机、投影机；网络模式：支持接入局域网，局域网内的电脑、手机可同屏显示实时画面。</w:t>
            </w:r>
          </w:p>
          <w:p w14:paraId="66B947B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3.适用于明场与强荧光图像采集。</w:t>
            </w:r>
          </w:p>
          <w:p w14:paraId="5F8FB633">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三、软件：</w:t>
            </w:r>
          </w:p>
          <w:p w14:paraId="7C58F2BF">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1.PC端软件功能：</w:t>
            </w:r>
          </w:p>
          <w:p w14:paraId="1F2A7393">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（1）PC电脑通过USB连接相机实时显现高清图像，支持切换图像像素4000×3000与3840×2160，支持切换预览格式H264与MJPG，可兼顾高、中配置的计算机。</w:t>
            </w:r>
          </w:p>
          <w:p w14:paraId="5896FF02">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（2）PC电脑通过5G Wi-Fi连接相机实时显现高清图像，支持切换图像比例4:3与16:9，可兼顾高、中配置的计算机。</w:t>
            </w:r>
          </w:p>
          <w:p w14:paraId="2296D68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工作模式设置：支持通过在软件上选择不同染色病理切片专属模式来获取匹配的图像效果及更精准的色彩还原。预设模式有BF模式1：适用于以红色或金色为主的切片；BF模式2：适用于以青色为主的切片，FL模式：适用于荧光观察（FL模式根据客户使用需求，出厂前设置）。</w:t>
            </w:r>
          </w:p>
          <w:p w14:paraId="5A3BFDC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图像属性调节功能：目标亮度、自动/手动曝光、增益、自动/手动白平衡（RB通道分别调节，当工作模式设置为FL时，只有手动白平衡）、对比度、色度、饱和度、锐度、伽玛，以及辅助功能：导出图像属性、导入图像属性、恢复默认值（Default）。</w:t>
            </w:r>
          </w:p>
          <w:p w14:paraId="6D8DCF8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提供多种常用工具：打开文件、保存文件、返回相机、选择对象、拖动、撤销、重做、一键删除/选中删除编辑对象（橡皮擦工具）、提供全屏，主屏、双屏对比、四屏对比浏览图像功能，支持画面翻转、镜像功能、支持拍照、宏观拍照、录像、宏观录像功能，以及其他工具：文件资源管理器、导出图像（含测量数据）以及生成PDF、Word、Excel，打印文件，生成邮件功能。</w:t>
            </w:r>
          </w:p>
          <w:p w14:paraId="5714358B">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支持荧光多通道叠加：叠加窗口功能包含实时图像拍照、预览窗口（原始图像和组合通道图像、仅组合通道图像）、图像放大、图像缩小、适应屏幕、导入图片在缩略图栏显示。组合通道里的图像放大后可通过鼠标移动，支持自定义通道名称、X / Y偏移（X / Y偏移设置窗口支持调节X与Y数值及裁剪边缘）、亮度的修改。眼睛图标亮起即当前通道的图像在组合图像窗口中叠加显示、眼睛图标隐藏时即当前通道的图像在组合图像窗口中不叠加显示。组合通道图像支持无透视或指定某张图像叠加。</w:t>
            </w:r>
          </w:p>
          <w:p w14:paraId="4251CA65">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支持荧光多组合彩色图像叠加：叠加窗口功能包含实时图像拍照、预览窗口（原始图像和组合彩色图像、仅组合彩色图像）、图像放大、图像缩小、适应屏幕、导入图片在缩略图栏显示。组合彩色图像框里的图像放大后可通过鼠标移动，支持自定义图像名称、X / Y偏移（X / Y偏移设置窗口支持调节X与Y数值及裁剪边缘）、亮度的修改。眼睛图标亮起即当前彩色图像在组合图像窗口中叠加显示、眼睛图标隐藏时即当前彩色图像在组合图像窗口中不叠加显示。</w:t>
            </w:r>
          </w:p>
          <w:p w14:paraId="0D3D722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常规设置：支持选择文件保存路径，支持选择拍照文件保存格式（.jpg/.bmp/.tiff/.png），支持选择拍照有声/无声，支持切换语言（中文简体、英文、中文繁体），支持选择录像时间（10分钟、30分钟、60分钟）。</w:t>
            </w:r>
          </w:p>
          <w:p w14:paraId="07787A9F">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（9）支持设定HDMI输出分辨率3840×2160P30 /1920×1080P60 /1920×1080P30 / 1280×720P60以适应不同种类的显示器。</w:t>
            </w:r>
          </w:p>
          <w:p w14:paraId="4C7FE00B">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支持多种测量工具：直线、圆形、矩形、角度、平行线距、双平行线中心距、折线、多边形、弧形、三点垂直线、四点测角度、椭圆、圆心半径画图、三点画圆、同心圆、圆心半径圆心距画圆、圆环、手动计算，设置字体（字体、字型、大小、效果），支持选择显示刻度线、支持选择拍照保存刻度线，支持添加比例尺（比例尺类型、长度的设置），支持选择标定模板，线型、线宽、透明度、颜色设定。</w:t>
            </w:r>
          </w:p>
          <w:p w14:paraId="5DDCE4B5">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（11）提供多种绘图工具：铅笔、直线、荧光笔、单箭头直线、矩形、椭形、同心圆、等腰三角形、设置字体（字体、字型、大小、效果）、插入文字、线型、线宽、透明度、颜色设定。</w:t>
            </w:r>
          </w:p>
          <w:p w14:paraId="2C7CEE3E">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（12）建议匹配计算机配置：Microsoft Windows 10 64位及以上操作系统，CPU：i7八代或以上，硬盘：512GB或以上，内存：16GB或以上，显卡：核显，网卡：10/100/1000M自适应。</w:t>
            </w:r>
          </w:p>
          <w:p w14:paraId="304AB96E">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13）相机内置至少15套图像参数固件，每套固件根据不同的显微镜类型、不同的光源条件而拥有专属的图像属性视频参数，获取管理员权限者可通过软件根据当前使用的显微镜类型如生物显微镜、体视显微镜、倒置显微镜等一键切换，最终获得厂家验证过的更优图像效果。</w:t>
            </w:r>
          </w:p>
          <w:p w14:paraId="620FF5FB">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2.移动终端APP功能： </w:t>
            </w:r>
          </w:p>
          <w:p w14:paraId="1773AD8F">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（1）机身贴有二维码，以便用户扫码下载手机版APP及扫码连接显微画面。</w:t>
            </w:r>
          </w:p>
          <w:p w14:paraId="70A736F8">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（2）通过无线Wi-Fi方式可同时连接多达13台或以上手机、平板电脑实现共览画面，支持iOS、安卓与鸿蒙系统。</w:t>
            </w:r>
          </w:p>
          <w:p w14:paraId="612343A6">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（3）支持切换图像比例：4:3与16:9。</w:t>
            </w:r>
          </w:p>
          <w:p w14:paraId="449C6B1E">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工作模式设置：支持通过在软件上选择不同染色病理切片专属模式来获取匹配的图像效果及更精准的色彩还原。预设模式有BF模式1：适用于以红色或金色为主的切片；BF模式2：适用于以青色为主的切片，FL模式：适用于荧光观察（通过PC端软件设置后在APP上自动显示FL模式）。</w:t>
            </w:r>
          </w:p>
          <w:p w14:paraId="651D938E">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（5）图像属性调节功能：目标亮度、自动/手动曝光、增益、自动/手动白平衡（RB通道分别调节，当工作模式设置为FL时，只有手动白平衡）、对比度、饱和度、色度、锐度、伽玛、恢复默认值（Default）。</w:t>
            </w:r>
          </w:p>
          <w:p w14:paraId="621F3109">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提供丰富的点评、测量工具：直线绘图、直线箭头绘图、圆形绘图、椭圆形绘图、矩形测量、圆形测量、角度测量、直线测量、手绘、选择、删除、添加文字批注、字体大小设定、字体颜色设定、橡皮擦、旋转、添加图片、添加/删除/编辑标定、添加/编辑比例尺。</w:t>
            </w:r>
          </w:p>
          <w:p w14:paraId="624B777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（7）图像可进行翻转、镜像、180°旋转，支持一键拍照、录像，支持隐藏、显示工具栏。</w:t>
            </w:r>
          </w:p>
          <w:p w14:paraId="2D2212E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（8）文件夹管理：可随时浏览拍摄的图片及视频，可修改图片视频的文件名、支持单选/多选图片以导出到本地相册、分享到社交网络、一键删除，支持按文件名搜索图片视频库。</w:t>
            </w:r>
          </w:p>
          <w:p w14:paraId="04B8E1B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APP设置功能：当有多台相机同时工作时，支持通过设置来一键切换相机；支持导出连接二维码为图片；支持选择备份功能，拍照后图片同时保存到手机相册；支持选择总是显示软件操作指引；支持选择显示/隐藏比例尺；支持设定HDMI输出分辨率3840×2160P30 /1920×1080P60 /1920×1080P30 / 1280×20P60以适应不同种类的显示器。</w:t>
            </w:r>
          </w:p>
          <w:p w14:paraId="5D7ADA91">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三、显微镜要求</w:t>
            </w:r>
          </w:p>
          <w:p w14:paraId="7A8D3B74">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highlight w:val="none"/>
                <w:lang w:val="en-US" w:eastAsia="zh-CN"/>
              </w:rPr>
              <w:t>1.SZ61TR1型显微镜镜体，具备防静电（ESD）能力，配备0.67-4.5倍变倍光学系统，以及45度倾斜式双目镜筒；</w:t>
            </w:r>
          </w:p>
          <w:p w14:paraId="181848F1">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highlight w:val="none"/>
                <w:lang w:val="en-US" w:eastAsia="zh-CN"/>
              </w:rPr>
              <w:t>2.SZ2-ILST 1 型透射光和反射光LED照明底座；</w:t>
            </w:r>
          </w:p>
          <w:p w14:paraId="0A0A83F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3.UYCP-33 1 电源线； </w:t>
            </w:r>
          </w:p>
          <w:p w14:paraId="4891292B">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4.10X屈光度可调目镜：</w:t>
            </w:r>
            <w:r>
              <w:rPr>
                <w:rFonts w:hint="eastAsia" w:ascii="宋体" w:hAnsi="宋体" w:eastAsia="宋体" w:cs="宋体"/>
                <w:color w:val="auto"/>
                <w:kern w:val="0"/>
                <w:szCs w:val="21"/>
                <w:highlight w:val="none"/>
              </w:rPr>
              <w:t>WHSZ10X-H 2 型目镜，10倍放大倍率，具备防静电（ESD）能力，视场数22，可聚焦</w:t>
            </w:r>
            <w:r>
              <w:rPr>
                <w:rFonts w:hint="eastAsia" w:ascii="宋体" w:hAnsi="宋体" w:eastAsia="宋体" w:cs="宋体"/>
                <w:color w:val="auto"/>
                <w:kern w:val="0"/>
                <w:szCs w:val="21"/>
                <w:highlight w:val="none"/>
                <w:lang w:eastAsia="zh-CN"/>
              </w:rPr>
              <w:t>；</w:t>
            </w:r>
          </w:p>
          <w:p w14:paraId="3E8EB15B">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5.BC1200 1套 1200万像素高性能显微数码成像系统。</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288003B2">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158400.00</w:t>
            </w:r>
          </w:p>
        </w:tc>
      </w:tr>
      <w:tr w14:paraId="1051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3C1827D2">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14</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1BAF3A1E">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电子天平</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5C6E3553">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34EA69D5">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5CF54D84">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1.是林木种子检验过程中广泛应用的仪器设备。量程0.01克至10千克，精度±0.001克至±0.1克，数字液晶屏，单位转换、计数功能；</w:t>
            </w:r>
          </w:p>
          <w:p w14:paraId="4AA7C38E">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2.量程：10kg，精度0.01g；</w:t>
            </w:r>
          </w:p>
          <w:p w14:paraId="000A853A">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3.秤盘尺寸：约18cm×15.3cm；</w:t>
            </w:r>
          </w:p>
          <w:p w14:paraId="602CE118">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4.充电/插电使用，待机30天；</w:t>
            </w:r>
          </w:p>
          <w:p w14:paraId="26524941">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5.秤盘形状：方盘。</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317DBCA9">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507.00</w:t>
            </w:r>
          </w:p>
        </w:tc>
      </w:tr>
      <w:tr w14:paraId="10DD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2FB1E7AB">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5CF23758">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电子天平</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623187E3">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6E15A4F6">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072898E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一、产品特点：</w:t>
            </w:r>
          </w:p>
          <w:p w14:paraId="4D32305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1.高对比LCD大液晶显示屏。显示屏上有重量刻度，便于查看量程百分比进度条；</w:t>
            </w:r>
          </w:p>
          <w:p w14:paraId="15502CC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2.电磁力传感器。（仅LC-JA5103和LC-JA10003）；</w:t>
            </w:r>
          </w:p>
          <w:p w14:paraId="6A1CDDD3">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3.称量速度可调、灵敏度可调；</w:t>
            </w:r>
          </w:p>
          <w:p w14:paraId="5614192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4.含外置砝码，一键校准功能（外校）；</w:t>
            </w:r>
          </w:p>
          <w:p w14:paraId="67C0B48C">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5.内置RS-232接口，可连接打印机、计算机等设备；</w:t>
            </w:r>
          </w:p>
          <w:p w14:paraId="54A3EB6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6.出厂经振动台测试，四级防震，稳定性高；外观增加防风玻璃罩，排除外围环境影响；</w:t>
            </w:r>
          </w:p>
          <w:p w14:paraId="78ED39E3">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7.多种单位转换、计数功能；</w:t>
            </w:r>
          </w:p>
          <w:p w14:paraId="4C1CE3DF">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8.不锈钢秤盘，下称功能（仅LC-JA5103和LC-JA10003），方便特殊产品的称量。</w:t>
            </w:r>
          </w:p>
          <w:p w14:paraId="183229D8">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二、参数：</w:t>
            </w:r>
          </w:p>
          <w:p w14:paraId="3E2C058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1.输入电源：220V/6V，2A；</w:t>
            </w:r>
          </w:p>
          <w:p w14:paraId="29852719">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2.频率：50Hz；</w:t>
            </w:r>
          </w:p>
          <w:p w14:paraId="2F35AE1E">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3.功率：约15W；</w:t>
            </w:r>
          </w:p>
          <w:p w14:paraId="69C4130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4.显示方式 ：LCD液晶显示；</w:t>
            </w:r>
          </w:p>
          <w:p w14:paraId="7DACF81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5.准确度级别 ：Ⅱ级；</w:t>
            </w:r>
          </w:p>
          <w:p w14:paraId="265B719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6.称量范围（g）：0-1000；</w:t>
            </w:r>
          </w:p>
          <w:p w14:paraId="0054008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7.分度值（mg） ：1；</w:t>
            </w:r>
          </w:p>
          <w:p w14:paraId="1BB441D2">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8.去皮范围（g）：0-1000；</w:t>
            </w:r>
          </w:p>
          <w:p w14:paraId="25188922">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9.线性误差（g）：±0.002；</w:t>
            </w:r>
          </w:p>
          <w:p w14:paraId="5722114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10.重复性误差（g）：0.001；</w:t>
            </w:r>
          </w:p>
          <w:p w14:paraId="67D744B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11.稳定时间（典型）(s）：≤6；</w:t>
            </w:r>
          </w:p>
          <w:p w14:paraId="43CA913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12.称量单位： g,Ct,oz；</w:t>
            </w:r>
          </w:p>
          <w:p w14:paraId="11FE4558">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13.称量盘规格（mm）： φ约110；</w:t>
            </w:r>
          </w:p>
          <w:p w14:paraId="3389FF1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14.标配砝码（g）：1000；</w:t>
            </w:r>
          </w:p>
          <w:p w14:paraId="2697A7F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15.RS232接口 ：有；</w:t>
            </w:r>
          </w:p>
          <w:p w14:paraId="63776AA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16.净重（KG）：约 5.5；</w:t>
            </w:r>
          </w:p>
          <w:p w14:paraId="2C6F93FA">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17.产品尺寸（L×W×H mm）：约355×213×346。</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30E2FD16">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3500.00</w:t>
            </w:r>
          </w:p>
        </w:tc>
      </w:tr>
      <w:tr w14:paraId="2F4B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1824A6C8">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16</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0F1938C8">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超静工作台（双人）</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0EE80BE3">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1380D31B">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7A395F0C">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1.用于实验、检测的工作区。工作面尺寸 1200 毫米（宽）×600 毫米（深）×600 毫米（高），噪音≤62dB，LED 灯；</w:t>
            </w:r>
          </w:p>
          <w:p w14:paraId="6597AF0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2.控制面板：采用五寸彩色液晶屏，微电脑控制，轻触型开关按键操作；</w:t>
            </w:r>
          </w:p>
          <w:p w14:paraId="638055E3">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3.自带高效报警、杀菌定时、累计工作时间；实时显示工作室温度；</w:t>
            </w:r>
          </w:p>
          <w:p w14:paraId="3404F769">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4.主体结构 碳钢板，外部为静电喷涂层白色，操作室结构：不锈钢操作台；</w:t>
            </w:r>
          </w:p>
          <w:p w14:paraId="7E39B72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5.外形设计新颖，台面底部带抽屉方便操作员放置随身用品</w:t>
            </w:r>
          </w:p>
          <w:p w14:paraId="34454BAA">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外形尺寸约1480×630×1570mm，内部尺寸约1360×600×550mm、使用人双人操作；</w:t>
            </w:r>
          </w:p>
          <w:p w14:paraId="0F4AC5A9">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6.气流形式：垂直层流；</w:t>
            </w:r>
          </w:p>
          <w:p w14:paraId="230306B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7.过滤技术：过滤效率99.995%（ 0.3μm颗粒），洁净等级：ISO 5级；</w:t>
            </w:r>
          </w:p>
          <w:p w14:paraId="208F41AF">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8.菌落数≤0.5个/皿•时（ф90 mm 培养平皿）；</w:t>
            </w:r>
          </w:p>
          <w:p w14:paraId="49DE69C9">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9.照度≥300Lx；</w:t>
            </w:r>
          </w:p>
          <w:p w14:paraId="761FD2F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10.噪音dB(A)≤62；</w:t>
            </w:r>
          </w:p>
          <w:p w14:paraId="00E39C83">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11.振动/半峰值μm≤0.5（x.y.z方向）；</w:t>
            </w:r>
          </w:p>
          <w:p w14:paraId="31BDDE2C">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12.平均风速 ：0.25-0.45（三档调速）；</w:t>
            </w:r>
          </w:p>
          <w:p w14:paraId="5E83ACF9">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13.操作面板为安全钢化玻璃移门≥5 mm厚度，卷簧式悬挂系统，控制位置上下任意可调，升降自如、定位准确、无故障、免维护，并能完全关闭以便灭菌；</w:t>
            </w:r>
          </w:p>
          <w:p w14:paraId="7A3AE77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14.配备四个万向脚轮可轻松移动，刹车装置可使设备避免移动；</w:t>
            </w:r>
          </w:p>
          <w:p w14:paraId="4404BA2E">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15.风机系统：可变风量风机机组，可根据需要调节工作区送风风速；</w:t>
            </w:r>
          </w:p>
          <w:p w14:paraId="78BF1BEE">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lang w:val="en-US" w:eastAsia="zh-CN" w:bidi="ar-SA"/>
              </w:rPr>
              <w:t>16.废液收集托盘含底座、10升容器：全钢结构绝缘防腐层板材质一次冲压成型压力测试承重≥400kg/块（相当于4KN以上）、绝缘材料涂层（根据静电敏感环境区分标准，电阻率高于10的12次方以上为绝缘体）、经650度烧制后表面涂层具有耐刮防腐特点，用尖锐金属利器刮擦不脱落，并倒入98%浓硫酸或者盐酸不发生反应（650度以上5分钟测试表面无可见变化为合格），经高温烧制后可承受分析纯浓硫酸测试浸泡24小时（24小时浸泡测试表面涂层无变化为合格）、（24小时浸泡测试表面涂层无变化为合格）｛检测方法：测试条件：硫酸（AR），完全浸泡，23℃，24h}，投标时须提供国家认可的第三方检测机构出具的检测报告；</w:t>
            </w:r>
          </w:p>
          <w:p w14:paraId="1BCB742B">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17.配置：主机一台，说明书一份、废液收集托盘含底座一套、五年质保保修卡一张、含备用插座；</w:t>
            </w:r>
          </w:p>
          <w:p w14:paraId="75AEB9F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18.</w:t>
            </w:r>
            <w:r>
              <w:rPr>
                <w:rFonts w:hint="eastAsia" w:ascii="宋体" w:hAnsi="宋体" w:eastAsia="宋体" w:cs="宋体"/>
                <w:color w:val="auto"/>
                <w:szCs w:val="21"/>
                <w:highlight w:val="none"/>
                <w:lang w:val="en-US" w:eastAsia="zh-CN"/>
              </w:rPr>
              <w:t>质保期不少于五年（含五年），质保期内负责上门服务、维修、更换配件等</w:t>
            </w:r>
            <w:r>
              <w:rPr>
                <w:rFonts w:hint="eastAsia" w:ascii="宋体" w:hAnsi="宋体" w:eastAsia="宋体" w:cs="宋体"/>
                <w:color w:val="auto"/>
                <w:kern w:val="0"/>
                <w:sz w:val="21"/>
                <w:szCs w:val="21"/>
                <w:highlight w:val="none"/>
                <w:lang w:val="en-US" w:eastAsia="zh-CN" w:bidi="ar-SA"/>
              </w:rPr>
              <w:t>所产生费用包含已在本次投标报价中，不另行收费。</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46483822">
            <w:pPr>
              <w:keepNext w:val="0"/>
              <w:keepLines w:val="0"/>
              <w:widowControl/>
              <w:suppressLineNumbers w:val="0"/>
              <w:shd w:val="clear"/>
              <w:wordWrap w:val="0"/>
              <w:spacing w:line="360" w:lineRule="auto"/>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181</w:t>
            </w:r>
            <w:r>
              <w:rPr>
                <w:rFonts w:hint="eastAsia" w:ascii="宋体" w:hAnsi="宋体" w:cs="宋体"/>
                <w:i w:val="0"/>
                <w:iCs w:val="0"/>
                <w:color w:val="auto"/>
                <w:kern w:val="0"/>
                <w:sz w:val="20"/>
                <w:szCs w:val="20"/>
                <w:highlight w:val="none"/>
                <w:u w:val="none"/>
                <w:lang w:val="en-US" w:eastAsia="zh-CN" w:bidi="ar"/>
              </w:rPr>
              <w:t>00</w:t>
            </w:r>
            <w:r>
              <w:rPr>
                <w:rFonts w:hint="eastAsia" w:ascii="宋体" w:hAnsi="宋体" w:eastAsia="宋体" w:cs="宋体"/>
                <w:i w:val="0"/>
                <w:iCs w:val="0"/>
                <w:color w:val="auto"/>
                <w:kern w:val="0"/>
                <w:sz w:val="20"/>
                <w:szCs w:val="20"/>
                <w:highlight w:val="none"/>
                <w:u w:val="none"/>
                <w:lang w:val="en-US" w:eastAsia="zh-CN" w:bidi="ar"/>
              </w:rPr>
              <w:t>.00</w:t>
            </w:r>
          </w:p>
        </w:tc>
      </w:tr>
      <w:tr w14:paraId="4BC8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6" w:type="dxa"/>
            <w:gridSpan w:val="7"/>
            <w:tcBorders>
              <w:top w:val="single" w:color="auto" w:sz="4" w:space="0"/>
              <w:left w:val="single" w:color="auto" w:sz="4" w:space="0"/>
              <w:bottom w:val="single" w:color="auto" w:sz="4" w:space="0"/>
              <w:right w:val="single" w:color="auto" w:sz="4" w:space="0"/>
            </w:tcBorders>
            <w:noWrap w:val="0"/>
            <w:vAlign w:val="center"/>
          </w:tcPr>
          <w:p w14:paraId="7D38BB32">
            <w:pPr>
              <w:keepNext w:val="0"/>
              <w:keepLines w:val="0"/>
              <w:pageBreakBefore w:val="0"/>
              <w:shd w:val="clear"/>
              <w:kinsoku/>
              <w:wordWrap w:val="0"/>
              <w:overflowPunct/>
              <w:topLinePunct w:val="0"/>
              <w:autoSpaceDE/>
              <w:autoSpaceDN/>
              <w:bidi w:val="0"/>
              <w:adjustRightInd/>
              <w:spacing w:line="36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（3）育苗机具设备</w:t>
            </w:r>
          </w:p>
        </w:tc>
      </w:tr>
      <w:tr w14:paraId="51C7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01A389AD">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17</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660F3A56">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作床机</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557EBDC1">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6</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51970396">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32D8680B">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1.用于制作育苗床的机械设备。配套动力 50马力以上拖拉机，床面宽度 110 厘米，床面高度 15～25 厘米，生产率≥5 亩/h；</w:t>
            </w:r>
          </w:p>
          <w:p w14:paraId="486C2F0C">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2.耕幅：约1.6m，外宽1.7米；</w:t>
            </w:r>
          </w:p>
          <w:p w14:paraId="2169087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3.箱体：150箱；</w:t>
            </w:r>
          </w:p>
          <w:p w14:paraId="08BCAAB6">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4.垄面宽度：约1.1m；</w:t>
            </w:r>
          </w:p>
          <w:p w14:paraId="6B141872">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5.垄高：约25—30cm；</w:t>
            </w:r>
          </w:p>
          <w:p w14:paraId="5DB5498A">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6.整机重量：约450kg；</w:t>
            </w:r>
          </w:p>
          <w:p w14:paraId="2D50585A">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7.配套动力：45-70hp。</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33942FD0">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73050.00</w:t>
            </w:r>
          </w:p>
        </w:tc>
      </w:tr>
      <w:tr w14:paraId="48D2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2C2F2977">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18</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7367D56B">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挖穴机</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73D97E89">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71769C7C">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3B28509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1.用于挖掘整齐的树苗种植坑的机械设备。电动手持式，挖坑直径为40～200毫米，坑深为10～800毫米，效率为20秒/个；</w:t>
            </w:r>
          </w:p>
          <w:p w14:paraId="79125E28">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2.锂电电动型，2电2充；</w:t>
            </w:r>
          </w:p>
          <w:p w14:paraId="1A07487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3.双叶钻头：300mm；</w:t>
            </w:r>
          </w:p>
          <w:p w14:paraId="7B02960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4.钻头长度800mm；</w:t>
            </w:r>
          </w:p>
          <w:p w14:paraId="5E6BDF5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5.锂电池：2块；</w:t>
            </w:r>
          </w:p>
          <w:p w14:paraId="7CADA08B">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6.功率：约2000W。</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452E3C06">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2850.00</w:t>
            </w:r>
          </w:p>
        </w:tc>
      </w:tr>
      <w:tr w14:paraId="50B28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63ABBB3B">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19</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0A06F89E">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挖穴机</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206D6396">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7990548D">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45B552E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1.发动机：四冲汽油发动机；</w:t>
            </w:r>
          </w:p>
          <w:p w14:paraId="657A9059">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2.启动方式：电子启动；</w:t>
            </w:r>
          </w:p>
          <w:p w14:paraId="10B1661F">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3.脚踩式地钻；</w:t>
            </w:r>
          </w:p>
          <w:p w14:paraId="624B79A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4.钻头材质：锰钢钻头；</w:t>
            </w:r>
          </w:p>
          <w:p w14:paraId="4C6DB60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5.钻头尺寸：≥300mm钻头；</w:t>
            </w:r>
          </w:p>
          <w:p w14:paraId="21363A8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6.钻头长度：80cm；</w:t>
            </w:r>
          </w:p>
          <w:p w14:paraId="2CDCB70E">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7.油箱容积：约1000mL；</w:t>
            </w:r>
          </w:p>
          <w:p w14:paraId="5150651F">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8.机油类型：二冲程机油；</w:t>
            </w:r>
          </w:p>
          <w:p w14:paraId="4BAA2058">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9.发动机功率：约3kW。</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7AC5F443">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6840.00</w:t>
            </w:r>
          </w:p>
        </w:tc>
      </w:tr>
      <w:tr w14:paraId="42098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1BCB2DC1">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0A571EE1">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起苗机</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1A394F63">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6</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03D62EA5">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1C89B6B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1.用于苗圃中掘取苗木的机械设备。配套动力40马力以上拖拉机，最大宽度135厘米，起苗深度15～25厘米，生产率≥5亩/h；</w:t>
            </w:r>
          </w:p>
          <w:p w14:paraId="3B39A60F">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2.二冲程汽油机；</w:t>
            </w:r>
          </w:p>
          <w:p w14:paraId="42BE0CD5">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3.发动机功率：约1900W；</w:t>
            </w:r>
          </w:p>
          <w:p w14:paraId="6F408215">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4.冲击次数：≥1500次/分；</w:t>
            </w:r>
          </w:p>
          <w:p w14:paraId="2673D36A">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5.手拉启动；</w:t>
            </w:r>
          </w:p>
          <w:p w14:paraId="5CFD2101">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6.油箱：约1.3L；</w:t>
            </w:r>
          </w:p>
          <w:p w14:paraId="5143FA79">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7.机器净重：约16kg；</w:t>
            </w:r>
          </w:p>
          <w:p w14:paraId="30F67D26">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8.加宽手柄减少振动；</w:t>
            </w:r>
          </w:p>
          <w:p w14:paraId="785606C8">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9.配平头铲。</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22BFAA33">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9600.00</w:t>
            </w:r>
          </w:p>
        </w:tc>
      </w:tr>
      <w:tr w14:paraId="7D39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3F0BA68C">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21</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6BA916D2">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牵引机械</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0CB1086C">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793861A3">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2B557859">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1.用于林业苗木的短途运输的机械设备。柴油发动机，发动机功率15HP，牵引力≥500kg行驶速度1千～10千米/小时（可调节）；</w:t>
            </w:r>
          </w:p>
          <w:p w14:paraId="1D51DE88">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2.配套动力：40马力；</w:t>
            </w:r>
          </w:p>
          <w:p w14:paraId="0014D61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3.驱动形式：四轮驱动；</w:t>
            </w:r>
          </w:p>
          <w:p w14:paraId="3505B69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4.整机外廓尺寸：约3460×1490×2375mm；</w:t>
            </w:r>
          </w:p>
          <w:p w14:paraId="7A69511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5.轴距：≥1818mm；</w:t>
            </w:r>
          </w:p>
          <w:p w14:paraId="0AFAEE3B">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6.常用轮距（前轮/后轮）或轨距：约1200/1200mm；</w:t>
            </w:r>
          </w:p>
          <w:p w14:paraId="3B8708FE">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7.最小离地间隙及部位：约415mm；</w:t>
            </w:r>
          </w:p>
          <w:p w14:paraId="052B6621">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8.变速箱齿轮副轴孔中心距：约85.5mm；</w:t>
            </w:r>
          </w:p>
          <w:p w14:paraId="26D814D9">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9.最小使用质量（kg）：约1635；</w:t>
            </w:r>
          </w:p>
          <w:p w14:paraId="44DF38D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10.防翻安全架。</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549E27F0">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76000.00</w:t>
            </w:r>
          </w:p>
        </w:tc>
      </w:tr>
      <w:tr w14:paraId="0B77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6D3DC6B3">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22</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1AE98803">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牵引机械</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6B1FF9EC">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352B2378">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236F3D49">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1.配套动力：50马力；</w:t>
            </w:r>
          </w:p>
          <w:p w14:paraId="28005803">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2.驱动形式：四轮驱动；</w:t>
            </w:r>
          </w:p>
          <w:p w14:paraId="32658E8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3.整机外廓尺寸：约3620×1520×2550mm；</w:t>
            </w:r>
          </w:p>
          <w:p w14:paraId="17CBFC9B">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4.轴距：≥1930mm；</w:t>
            </w:r>
          </w:p>
          <w:p w14:paraId="4D8D397A">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5.常用轮距（前轮/后轮）：约1200/1200 mm；</w:t>
            </w:r>
          </w:p>
          <w:p w14:paraId="6E05AA5F">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6.轮距（前轮/后轮）：1200、1300/1200、1300、1400mm；</w:t>
            </w:r>
          </w:p>
          <w:p w14:paraId="1F1D33E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7.最小离地间隙及部位：420mm；</w:t>
            </w:r>
          </w:p>
          <w:p w14:paraId="01B4C8B8">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8.变速箱齿轮副轴孔中心距：约85.5mm；</w:t>
            </w:r>
          </w:p>
          <w:p w14:paraId="33D3D12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9.最小使用质量（kg）：1950；</w:t>
            </w:r>
          </w:p>
          <w:p w14:paraId="2DE705F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10.防翻安全架。</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1B093385">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160600.00</w:t>
            </w:r>
          </w:p>
        </w:tc>
      </w:tr>
      <w:tr w14:paraId="0BDF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07FA40F2">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23</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5AF05951">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牵引机械</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616CF088">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26AEF422">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4475BEB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1.配套动力：70马力；</w:t>
            </w:r>
          </w:p>
          <w:p w14:paraId="5E5D2719">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2.驱动形式：四轮驱动；</w:t>
            </w:r>
          </w:p>
          <w:p w14:paraId="7B46A1D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3.整机外廓尺寸：3620×1565×2490mm；</w:t>
            </w:r>
          </w:p>
          <w:p w14:paraId="4264CF3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4.轴距：≥1930mm；</w:t>
            </w:r>
          </w:p>
          <w:p w14:paraId="5D43285B">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5.常用轮距（前轮/后轮）：约1200/1200 mm；</w:t>
            </w:r>
          </w:p>
          <w:p w14:paraId="5AD1A6A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6.轮距（前轮/后轮）： 1200、1300/1200、1300、1400mm；</w:t>
            </w:r>
          </w:p>
          <w:p w14:paraId="58E0B5C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7.最小离地间隙及部位：420mm； </w:t>
            </w:r>
          </w:p>
          <w:p w14:paraId="5CF71AF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8.变速箱齿轮副轴孔中心距：约85.5mm；</w:t>
            </w:r>
          </w:p>
          <w:p w14:paraId="5F7797C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9.最小使用质量（kg）：约2115；</w:t>
            </w:r>
          </w:p>
          <w:p w14:paraId="7F1376B8">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10.防翻安全架。</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581511DB">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92320.00</w:t>
            </w:r>
          </w:p>
        </w:tc>
      </w:tr>
      <w:tr w14:paraId="74EE0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49216934">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24</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34D4A23A">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小翻斗</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24B1C0BC">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21B4FBCE">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7A1B8FA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1.用来进行短途运输各种散装物料的设备，额定载重1.2吨；</w:t>
            </w:r>
          </w:p>
          <w:p w14:paraId="197200C6">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2.18马力常州发动机；</w:t>
            </w:r>
          </w:p>
          <w:p w14:paraId="27CDEE2C">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3.电启动，前翻斗液压自卸；</w:t>
            </w:r>
          </w:p>
          <w:p w14:paraId="6BEBE546">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4.整车长2.75米，宽1.45米，高2.05米左右；</w:t>
            </w:r>
          </w:p>
          <w:p w14:paraId="78D2BCC1">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5.车斗装载：1.8吨左右；</w:t>
            </w:r>
          </w:p>
          <w:p w14:paraId="216BAD69">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6.车斗尺寸：约1.42×1.45×0.7cm；</w:t>
            </w:r>
          </w:p>
          <w:p w14:paraId="4B401FC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7.前轮750-16，后轮550-16；</w:t>
            </w:r>
          </w:p>
          <w:p w14:paraId="09E10261">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8.助力方向盘；</w:t>
            </w:r>
          </w:p>
          <w:p w14:paraId="4C762D5F">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9.液压泵：310偏左泵；</w:t>
            </w:r>
          </w:p>
          <w:p w14:paraId="3FB57358">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10.刹车：油刹；</w:t>
            </w:r>
          </w:p>
          <w:p w14:paraId="638BAD8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11.升级：带高低速大电瓶；</w:t>
            </w:r>
          </w:p>
          <w:p w14:paraId="15345532">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12.备注：带发动机防护罩。</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50B9C82E">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16510.00</w:t>
            </w:r>
          </w:p>
        </w:tc>
      </w:tr>
      <w:tr w14:paraId="182F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6070F58D">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25</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43883F33">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小翻斗</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538BFD21">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05D5B11F">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00D6FED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1.25马力发动机；</w:t>
            </w:r>
          </w:p>
          <w:p w14:paraId="3F38D56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2.全棚驾驶室；</w:t>
            </w:r>
          </w:p>
          <w:p w14:paraId="2E47D1CB">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3.双油顶自卸；</w:t>
            </w:r>
          </w:p>
          <w:p w14:paraId="791022C3">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4.四驱六轮车（后双轮）；</w:t>
            </w:r>
          </w:p>
          <w:p w14:paraId="6A8A1E8E">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5.油刹；</w:t>
            </w:r>
          </w:p>
          <w:p w14:paraId="15ED81F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6.前桥212；</w:t>
            </w:r>
          </w:p>
          <w:p w14:paraId="5A8221C2">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7.后桥130；</w:t>
            </w:r>
          </w:p>
          <w:p w14:paraId="4C7BA472">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8.10</w:t>
            </w:r>
            <w:r>
              <w:rPr>
                <w:rFonts w:hint="eastAsia" w:ascii="宋体" w:hAnsi="宋体" w:eastAsia="宋体" w:cs="宋体"/>
                <w:color w:val="auto"/>
                <w:highlight w:val="none"/>
                <w:lang w:val="en-US" w:eastAsia="zh-CN"/>
              </w:rPr>
              <w:t>档</w:t>
            </w:r>
            <w:r>
              <w:rPr>
                <w:rFonts w:hint="eastAsia" w:ascii="宋体" w:hAnsi="宋体" w:eastAsia="宋体" w:cs="宋体"/>
                <w:color w:val="auto"/>
                <w:kern w:val="0"/>
                <w:sz w:val="21"/>
                <w:szCs w:val="21"/>
                <w:highlight w:val="none"/>
                <w:lang w:val="en-US" w:eastAsia="zh-CN" w:bidi="ar-SA"/>
              </w:rPr>
              <w:t>变速箱；</w:t>
            </w:r>
          </w:p>
          <w:p w14:paraId="39DD9BD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9.全时四驱；</w:t>
            </w:r>
          </w:p>
          <w:p w14:paraId="5B023AD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10.带高低速爬坡</w:t>
            </w:r>
            <w:r>
              <w:rPr>
                <w:rFonts w:hint="eastAsia" w:ascii="宋体" w:hAnsi="宋体" w:eastAsia="宋体" w:cs="宋体"/>
                <w:color w:val="auto"/>
                <w:highlight w:val="none"/>
                <w:lang w:val="en-US" w:eastAsia="zh-CN"/>
              </w:rPr>
              <w:t>档</w:t>
            </w:r>
            <w:r>
              <w:rPr>
                <w:rFonts w:hint="eastAsia" w:ascii="宋体" w:hAnsi="宋体" w:eastAsia="宋体" w:cs="宋体"/>
                <w:color w:val="auto"/>
                <w:kern w:val="0"/>
                <w:sz w:val="21"/>
                <w:szCs w:val="21"/>
                <w:highlight w:val="none"/>
                <w:lang w:val="en-US" w:eastAsia="zh-CN" w:bidi="ar-SA"/>
              </w:rPr>
              <w:t>；</w:t>
            </w:r>
          </w:p>
          <w:p w14:paraId="5C2CA852">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11.助力方向盘；</w:t>
            </w:r>
          </w:p>
          <w:p w14:paraId="7CFE2CA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12.车厢长约2.2米，宽约1.7米，栏高约45公分，车厢底板离地面的距离是85cm左右；</w:t>
            </w:r>
          </w:p>
          <w:p w14:paraId="634FDFD8">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13.700-16山地防滑爬坡胎。</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3CEC687C">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63750.00</w:t>
            </w:r>
          </w:p>
        </w:tc>
      </w:tr>
      <w:tr w14:paraId="3910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4A7BD1C9">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26</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04DFA312">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小翻斗</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1A1CFC25">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3EFDAFAE">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6A2F239E">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1.变速箱：515变速箱四驱；</w:t>
            </w:r>
          </w:p>
          <w:p w14:paraId="1905A25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2.后桥：前212后桥-后桥212；</w:t>
            </w:r>
          </w:p>
          <w:p w14:paraId="209D7AA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3.发动机：25马力柴油机；</w:t>
            </w:r>
          </w:p>
          <w:p w14:paraId="760A7D0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4.电瓶：免维护电瓶；</w:t>
            </w:r>
          </w:p>
          <w:p w14:paraId="5AFF646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5.轮胎：宽体防爆胎25-10-12防爆加宽轮胎；</w:t>
            </w:r>
          </w:p>
          <w:p w14:paraId="4D23E47E">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6.车厢：三开门车厢约2.2米，宽约1.4高约0.4+0.15米；</w:t>
            </w:r>
          </w:p>
          <w:p w14:paraId="6F2E349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7.款式：无棚；</w:t>
            </w:r>
          </w:p>
          <w:p w14:paraId="010994EB">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8.刹车方式：真空助力；</w:t>
            </w:r>
          </w:p>
          <w:p w14:paraId="5491A10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9.散热方式：水冷；</w:t>
            </w:r>
          </w:p>
          <w:p w14:paraId="2A46D9E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10.传动方式：轴传动；</w:t>
            </w:r>
          </w:p>
          <w:p w14:paraId="59F61F2A">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11.颜色：蓝色/红色/黑色可选；</w:t>
            </w:r>
          </w:p>
          <w:p w14:paraId="3D6F4352">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12.油顶：双油顶。</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6F5C5340">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29600.00</w:t>
            </w:r>
          </w:p>
        </w:tc>
      </w:tr>
      <w:tr w14:paraId="768C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43E8591B">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27</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5B083CED">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旋耕机</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33828005">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0B4E566F">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79B77DB1">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1.一种耕整地机械，耕作深度150～250毫米（可调节），耕作宽度800～200毫米（根据型号不同），配套动力20HP；</w:t>
            </w:r>
          </w:p>
          <w:p w14:paraId="533A677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2.耕幅：约1.25m，外宽约1.35米；</w:t>
            </w:r>
          </w:p>
          <w:p w14:paraId="4907F40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3.刀片数量：≥28片；</w:t>
            </w:r>
          </w:p>
          <w:p w14:paraId="3EBA0145">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4.箱体：125箱；</w:t>
            </w:r>
          </w:p>
          <w:p w14:paraId="54247A5C">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5.整机重量：157kg；</w:t>
            </w:r>
          </w:p>
          <w:p w14:paraId="71132BEF">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6.配套马力：30HP以上。</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2661957F">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4468.00</w:t>
            </w:r>
          </w:p>
        </w:tc>
      </w:tr>
      <w:tr w14:paraId="6C44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32EAD467">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28</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2B6F297F">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旋耕机</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43DBC662">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563D0C42">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52D4979A">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1.耕幅：约1.5m，外宽约1.6米；</w:t>
            </w:r>
          </w:p>
          <w:p w14:paraId="4DCFD85B">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2.刀片数量：≥32片；</w:t>
            </w:r>
          </w:p>
          <w:p w14:paraId="491B250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3.刀盘数量：≥8个；</w:t>
            </w:r>
          </w:p>
          <w:p w14:paraId="499A0E4E">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4.箱体：150箱；</w:t>
            </w:r>
          </w:p>
          <w:p w14:paraId="2605462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5.整机重量：约285kg；</w:t>
            </w:r>
          </w:p>
          <w:p w14:paraId="4DB73A90">
            <w:pPr>
              <w:keepNext w:val="0"/>
              <w:keepLines w:val="0"/>
              <w:pageBreakBefore w:val="0"/>
              <w:shd w:val="clear"/>
              <w:kinsoku/>
              <w:wordWrap w:val="0"/>
              <w:overflowPunct/>
              <w:topLinePunct w:val="0"/>
              <w:autoSpaceDE/>
              <w:autoSpaceDN/>
              <w:bidi w:val="0"/>
              <w:adjustRightInd/>
              <w:spacing w:line="360" w:lineRule="auto"/>
              <w:textAlignment w:val="auto"/>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6.配套动力：40-55HP。</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2A39CF03">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4850.00</w:t>
            </w:r>
          </w:p>
        </w:tc>
      </w:tr>
      <w:tr w14:paraId="4BAA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2DDEE5CE">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29</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287EF6D0">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旋耕机</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2574F1D1">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3EAF5577">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6FA07DD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1.型式：单缸、卧式、四冲程；</w:t>
            </w:r>
          </w:p>
          <w:p w14:paraId="7E785FEF">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2.总排量：约0.995；</w:t>
            </w:r>
          </w:p>
          <w:p w14:paraId="396BB05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3.标定功率：约13.2kW；</w:t>
            </w:r>
          </w:p>
          <w:p w14:paraId="4E64138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4.最大功率：14.7kW；</w:t>
            </w:r>
          </w:p>
          <w:p w14:paraId="3306C45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5.燃油消耗率：≤247.5g/kW·h；</w:t>
            </w:r>
          </w:p>
          <w:p w14:paraId="50DCF17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6.燃烧方式：直喷式；</w:t>
            </w:r>
          </w:p>
          <w:p w14:paraId="09D0A2A8">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7.冷却方式：蒸发式；</w:t>
            </w:r>
          </w:p>
          <w:p w14:paraId="5CC3FECF">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8.润滑方式：压力飞溅；</w:t>
            </w:r>
          </w:p>
          <w:p w14:paraId="082C4D12">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9.启动方式：手摇；</w:t>
            </w:r>
          </w:p>
          <w:p w14:paraId="3F7B463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10.水箱容量（L）：约15.5；</w:t>
            </w:r>
          </w:p>
          <w:p w14:paraId="72CE02B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11.轮胎：600-12；</w:t>
            </w:r>
          </w:p>
          <w:p w14:paraId="1C52B052">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12.耕宽：≥80CM；</w:t>
            </w:r>
          </w:p>
          <w:p w14:paraId="15CF4BE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13.耕深：10-35CM。</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1618A43A">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147</w:t>
            </w:r>
            <w:r>
              <w:rPr>
                <w:rFonts w:hint="eastAsia" w:ascii="宋体" w:hAnsi="宋体" w:cs="宋体"/>
                <w:i w:val="0"/>
                <w:iCs w:val="0"/>
                <w:color w:val="auto"/>
                <w:kern w:val="0"/>
                <w:sz w:val="20"/>
                <w:szCs w:val="20"/>
                <w:highlight w:val="none"/>
                <w:u w:val="none"/>
                <w:lang w:val="en-US" w:eastAsia="zh-CN" w:bidi="ar"/>
              </w:rPr>
              <w:t>52</w:t>
            </w:r>
            <w:r>
              <w:rPr>
                <w:rFonts w:hint="eastAsia" w:ascii="宋体" w:hAnsi="宋体" w:eastAsia="宋体" w:cs="宋体"/>
                <w:i w:val="0"/>
                <w:iCs w:val="0"/>
                <w:color w:val="auto"/>
                <w:kern w:val="0"/>
                <w:sz w:val="20"/>
                <w:szCs w:val="20"/>
                <w:highlight w:val="none"/>
                <w:u w:val="none"/>
                <w:lang w:val="en-US" w:eastAsia="zh-CN" w:bidi="ar"/>
              </w:rPr>
              <w:t>.00</w:t>
            </w:r>
          </w:p>
        </w:tc>
      </w:tr>
      <w:tr w14:paraId="1E5A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455DE9E5">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30</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61333EB4">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平土机</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1D3D5303">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4E58801D">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1410209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1.用于平整土地、土地整理和重建、挖沟等功能的机械设备。平整宽度1200～1800毫米，平整深度50~-200毫米，配套动力20~30HP 柴油机或汽油机，液压传动或机械传动，工作速度 3~6 千米/小时；</w:t>
            </w:r>
          </w:p>
          <w:p w14:paraId="595A2CEA">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2.耕幅：约1.5m；</w:t>
            </w:r>
          </w:p>
          <w:p w14:paraId="3AEFC629">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3.齿轮箱：小中箱；</w:t>
            </w:r>
          </w:p>
          <w:p w14:paraId="3A3E736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4.螺旋直径约28厘米，管子60×60mm/5个厚，蛟龙叶片5个厚/前端薄后面厚；</w:t>
            </w:r>
          </w:p>
          <w:p w14:paraId="7064E87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5.整机尺寸：约0.6×1.6×1m；</w:t>
            </w:r>
          </w:p>
          <w:p w14:paraId="564E450B">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6.整机重量：200kg左右；</w:t>
            </w:r>
          </w:p>
          <w:p w14:paraId="5D8DC2C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7.配套动力：35-60HP。</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1D05CDF5">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12090.00</w:t>
            </w:r>
          </w:p>
        </w:tc>
      </w:tr>
      <w:tr w14:paraId="3B49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02CD526A">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31</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2EF8628C">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平土机</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2E4960AD">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36AD5953">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476A39B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1.配套动力：≥50匹；</w:t>
            </w:r>
          </w:p>
          <w:p w14:paraId="7283672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2.外形尺寸：约2600×1600×1350mm；</w:t>
            </w:r>
          </w:p>
          <w:p w14:paraId="0ED4437B">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3.铲体箱容积：约1.5m³；</w:t>
            </w:r>
          </w:p>
          <w:p w14:paraId="5B944C3B">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4.结构型式：悬挂式牵引式；</w:t>
            </w:r>
          </w:p>
          <w:p w14:paraId="21D60BA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5.配套动力输出轴转速：540/720r/min；</w:t>
            </w:r>
          </w:p>
          <w:p w14:paraId="1283955C">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6.作业宽幅：≥2300mm；</w:t>
            </w:r>
          </w:p>
          <w:p w14:paraId="142BB69A">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7.误差：≤2cm；</w:t>
            </w:r>
          </w:p>
          <w:p w14:paraId="31A7DABA">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8.卸料方式：液压式；</w:t>
            </w:r>
          </w:p>
          <w:p w14:paraId="0AFFF25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9.油缸数量：4根；</w:t>
            </w:r>
          </w:p>
          <w:p w14:paraId="2CF298F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10.作业效率：1-3亩/h；</w:t>
            </w:r>
          </w:p>
          <w:p w14:paraId="61688B78">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11.卸料分离装置型式：液压式；</w:t>
            </w:r>
          </w:p>
          <w:p w14:paraId="504E342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12.轮距（最外边）：约1200mm；</w:t>
            </w:r>
          </w:p>
          <w:p w14:paraId="615BD3D2">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13.轮胎数量：2个；</w:t>
            </w:r>
          </w:p>
          <w:p w14:paraId="052BAD2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14.轮胎型号：23×8.50-12NHS；</w:t>
            </w:r>
          </w:p>
          <w:p w14:paraId="617E12DA">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15.集土方式：铲体箱；</w:t>
            </w:r>
          </w:p>
          <w:p w14:paraId="60481952">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16.含卫星系统，确保平整精度。</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20C96699">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82500.00</w:t>
            </w:r>
          </w:p>
        </w:tc>
      </w:tr>
      <w:tr w14:paraId="657FD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6FCC21FB">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32</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1167B41D">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覆土机</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27F2FFE7">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11B5D7A6">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58B61A94">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1.用于苗床起垄种植作业的机械设备。配套动力 30 马力以上拖拉机，覆土宽度1080 毫米，覆土厚度 5～12 毫米（可调），生产率≥5 亩/h；</w:t>
            </w:r>
          </w:p>
          <w:p w14:paraId="0CEFBB34">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2.无轨电动型；</w:t>
            </w:r>
          </w:p>
          <w:p w14:paraId="27F2EDDE">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3.不锈钢材质；</w:t>
            </w:r>
          </w:p>
          <w:p w14:paraId="2E33CAAF">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4.宽度1.2m；</w:t>
            </w:r>
          </w:p>
          <w:p w14:paraId="5D31B496">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5.普通电瓶；</w:t>
            </w:r>
          </w:p>
          <w:p w14:paraId="18690119">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6.箱体容量：大于100斤泥土；</w:t>
            </w:r>
          </w:p>
          <w:p w14:paraId="0D61CF7C">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7.轮间距大约1.4米。</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14F47C22">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7800.00</w:t>
            </w:r>
          </w:p>
        </w:tc>
      </w:tr>
      <w:tr w14:paraId="46DD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6D1906AB">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2FEFB581">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覆土机</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7D7AE2F6">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0861A01E">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0BA0C48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1.传动方式：皮带传动、刀具箱（全齿轮）、行走箱（全齿轮）；</w:t>
            </w:r>
          </w:p>
          <w:p w14:paraId="2B20810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2.机身：静电喷塑；</w:t>
            </w:r>
          </w:p>
          <w:p w14:paraId="41FF105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3.机油容积：0.9—1.1L；</w:t>
            </w:r>
          </w:p>
          <w:p w14:paraId="7935D6B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4.手把：上下可调，左右360°旋转；</w:t>
            </w:r>
          </w:p>
          <w:p w14:paraId="78B13D8F">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5.档位：刀具箱（高速、空档、低速）、行走箱（快速、空档、慢档），整机（前进档、空档、后退档）；</w:t>
            </w:r>
          </w:p>
          <w:p w14:paraId="25CB9DBB">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6.轮距：胶轮宽度30—55cm可调；</w:t>
            </w:r>
          </w:p>
          <w:p w14:paraId="0E46C14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7.启动方式：电启动；</w:t>
            </w:r>
          </w:p>
          <w:p w14:paraId="7EFDF953">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8.培土单侧出土50-60公分左右，机器覆土距离30公分-1米可调节；</w:t>
            </w:r>
          </w:p>
          <w:p w14:paraId="5B4915E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9.可根据需求装配旋耕、培土、开沟配件。</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09132E1C">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23000.00</w:t>
            </w:r>
          </w:p>
        </w:tc>
      </w:tr>
      <w:tr w14:paraId="4933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1EAE0E92">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34</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40C2EB06">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除草松土机</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58F77277">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394B79B4">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357FF12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1.用于除草、松土的机械设备。配套动力 40 马力以上拖拉机，作业幅宽 40×2 厘米，作业深度 10～20 厘米，生产率≥5 亩/h；</w:t>
            </w:r>
          </w:p>
          <w:p w14:paraId="519F8FC3">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2.配套动力：170汽油机；</w:t>
            </w:r>
          </w:p>
          <w:p w14:paraId="0A13438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3.输出功率：约4kW；</w:t>
            </w:r>
          </w:p>
          <w:p w14:paraId="48A996F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4.启动方式：手拉；</w:t>
            </w:r>
          </w:p>
          <w:p w14:paraId="54AEE90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5.传动方式：皮带；</w:t>
            </w:r>
          </w:p>
          <w:p w14:paraId="359E437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6.行走方式：后驱；</w:t>
            </w:r>
          </w:p>
          <w:p w14:paraId="69952C48">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7.离合方式：涨紧；</w:t>
            </w:r>
          </w:p>
          <w:p w14:paraId="1FAE9A3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8.功能：除草、旋耕；</w:t>
            </w:r>
          </w:p>
          <w:p w14:paraId="151AC0C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9.工作宽度：390mm；</w:t>
            </w:r>
          </w:p>
          <w:p w14:paraId="454E9DE3">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10.刀片数量：≥7；</w:t>
            </w:r>
          </w:p>
          <w:p w14:paraId="0729719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11.留差高度：-30；</w:t>
            </w:r>
          </w:p>
          <w:p w14:paraId="2F10F64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12.整机净重：约60kg；</w:t>
            </w:r>
          </w:p>
          <w:p w14:paraId="64AD4CA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13.纸箱包装尺寸：940×580×580mm。</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5528355C">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11500.00</w:t>
            </w:r>
          </w:p>
        </w:tc>
      </w:tr>
      <w:tr w14:paraId="453B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4F667ACE">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30BD8094">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切根机</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00B7A894">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181AB5A9">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4A5408A3">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1.用于将树根或其它地下部分切断的机器。旋转刀片切割，电机驱动，切割直径3~30 毫米，功率 4 千瓦；</w:t>
            </w:r>
          </w:p>
          <w:p w14:paraId="653F6E26">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2.工作电压：24/36/48V；</w:t>
            </w:r>
          </w:p>
          <w:p w14:paraId="56EA199C">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3.输入功率：≥180W；</w:t>
            </w:r>
          </w:p>
          <w:p w14:paraId="65279E5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4.切割直径：大于4cm；</w:t>
            </w:r>
          </w:p>
          <w:p w14:paraId="1DA60573">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5.单机重量约1.2kg；</w:t>
            </w:r>
          </w:p>
          <w:p w14:paraId="2F8DC5E8">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6.空载转速：6000r/min；</w:t>
            </w:r>
          </w:p>
          <w:p w14:paraId="170DBA0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7.配10米电缆线；</w:t>
            </w:r>
          </w:p>
          <w:p w14:paraId="75E730D5">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8.锯盘开口：5cm；</w:t>
            </w:r>
          </w:p>
          <w:p w14:paraId="592ABAFB">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9.双重保险开关；</w:t>
            </w:r>
          </w:p>
          <w:p w14:paraId="1031EA0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10.配48V锂电池。</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47D10C6D">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1800.00</w:t>
            </w:r>
          </w:p>
        </w:tc>
      </w:tr>
      <w:tr w14:paraId="22AD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0B2EF9B0">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36</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00C8F2B1">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切根机</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107979EE">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7221E697">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751AD1D3">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1.铝合金伸缩杆长度：≥3.6m；</w:t>
            </w:r>
          </w:p>
          <w:p w14:paraId="48AA760A">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2.24V无刷电机；</w:t>
            </w:r>
          </w:p>
          <w:p w14:paraId="3C4235B8">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3.配24V15Ah锂电池；</w:t>
            </w:r>
          </w:p>
          <w:p w14:paraId="41F4FA2F">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4.修剪直径：0-7cm；</w:t>
            </w:r>
          </w:p>
          <w:p w14:paraId="510701C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5.重量：约1.5kg；</w:t>
            </w:r>
          </w:p>
          <w:p w14:paraId="3F1EE6CE">
            <w:pPr>
              <w:keepNext w:val="0"/>
              <w:keepLines w:val="0"/>
              <w:pageBreakBefore w:val="0"/>
              <w:shd w:val="clear"/>
              <w:kinsoku/>
              <w:wordWrap w:val="0"/>
              <w:overflowPunct/>
              <w:topLinePunct w:val="0"/>
              <w:autoSpaceDE/>
              <w:autoSpaceDN/>
              <w:bidi w:val="0"/>
              <w:adjustRightInd/>
              <w:spacing w:line="360" w:lineRule="auto"/>
              <w:textAlignment w:val="auto"/>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6.锯片尺寸：110/125mm。</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016E2466">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3780.00</w:t>
            </w:r>
          </w:p>
        </w:tc>
      </w:tr>
      <w:tr w14:paraId="3C54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66DB5963">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37</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582DE5F9">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切根机</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2C23438A">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020F0EA3">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3F11553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1.导板长度：12寸；</w:t>
            </w:r>
          </w:p>
          <w:p w14:paraId="20AC78D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2.无刷电机；</w:t>
            </w:r>
          </w:p>
          <w:p w14:paraId="699CC0D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3.切割直径0-30cm；</w:t>
            </w:r>
          </w:p>
          <w:p w14:paraId="0B29810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4.电池2块；</w:t>
            </w:r>
          </w:p>
          <w:p w14:paraId="26D860E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5.链条2条；</w:t>
            </w:r>
          </w:p>
          <w:p w14:paraId="589B400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6.充电器1个；</w:t>
            </w:r>
          </w:p>
          <w:p w14:paraId="51ADD573">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7.箱子1个。</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168DE4F8">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515.00</w:t>
            </w:r>
          </w:p>
        </w:tc>
      </w:tr>
      <w:tr w14:paraId="6EC7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4416CBCB">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38</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2FF10C58">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霜冻报警器</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2701A333">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10</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0E28FA76">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4536E97B">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1.用于霜冻报警的设备。温度量程为-40℃-70℃，安装方式支持挂壁安装/抱管安装等；</w:t>
            </w:r>
          </w:p>
          <w:p w14:paraId="176F2783">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2.温度范围：-50~200℃；</w:t>
            </w:r>
          </w:p>
          <w:p w14:paraId="2A7B6332">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3.有多种探头可以选择（探针。螺钉、防水探讨、报箍式探讨、贴片式、螺纹式等）；</w:t>
            </w:r>
          </w:p>
          <w:p w14:paraId="28DEDB3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4.标配探讨线长1m；</w:t>
            </w:r>
          </w:p>
          <w:p w14:paraId="15BE21E9">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5.报警声音可调；</w:t>
            </w:r>
          </w:p>
          <w:p w14:paraId="5EAF4284">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6.配有一块锂电池；</w:t>
            </w:r>
          </w:p>
          <w:p w14:paraId="3535096A">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7.报警温度自由设置；</w:t>
            </w:r>
          </w:p>
          <w:p w14:paraId="6B48FEF3">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8.温度可校正；</w:t>
            </w:r>
          </w:p>
          <w:p w14:paraId="6DF2C572">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9.配有充电适配器。</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6F381DB7">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3300.00</w:t>
            </w:r>
          </w:p>
        </w:tc>
      </w:tr>
      <w:tr w14:paraId="3D5D4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72FD2DFA">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39</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70494284">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手推车</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691CF971">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10</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2CE00531">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6D7C21B2">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1.用于林木种苗运送的设备，负载能力 400 千克；</w:t>
            </w:r>
          </w:p>
          <w:p w14:paraId="4B791CD3">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2.板面长宽：约2×1.2m；</w:t>
            </w:r>
          </w:p>
          <w:p w14:paraId="3262E3D8">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3.板面材质：钢板；</w:t>
            </w:r>
          </w:p>
          <w:p w14:paraId="41779762">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4.载重：1T；</w:t>
            </w:r>
          </w:p>
          <w:p w14:paraId="7E520189">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5.续航：50km；</w:t>
            </w:r>
          </w:p>
          <w:p w14:paraId="692FCE8A">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6.电池：47V32A；</w:t>
            </w:r>
          </w:p>
          <w:p w14:paraId="2D8A6BE5">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7.电机功率：约2000W；</w:t>
            </w:r>
          </w:p>
          <w:p w14:paraId="426AE109">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8.轮胎规格：300-8；</w:t>
            </w:r>
          </w:p>
          <w:p w14:paraId="268FFDCF">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9.正反骑行。</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321ED06F">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48000.00</w:t>
            </w:r>
          </w:p>
        </w:tc>
      </w:tr>
      <w:tr w14:paraId="5657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475AC54E">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40</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24E313E8">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手推车</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5EBFE7E5">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10</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6041D541">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508CD20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1.电机功率：续航2000W；</w:t>
            </w:r>
          </w:p>
          <w:p w14:paraId="3A53270B">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2.标配电瓶：60V20A；</w:t>
            </w:r>
          </w:p>
          <w:p w14:paraId="75D9CCE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3.续航能力：8-10h；</w:t>
            </w:r>
          </w:p>
          <w:p w14:paraId="783EAE4B">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4.额定载重：约1000kg；</w:t>
            </w:r>
          </w:p>
          <w:p w14:paraId="4D11E26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5.整车质量：约280kg；</w:t>
            </w:r>
          </w:p>
          <w:p w14:paraId="6F6ABE1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6.运行速度：8—15km/h；</w:t>
            </w:r>
          </w:p>
          <w:p w14:paraId="3545E24E">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7.轮胎型号：400-8越野胎；</w:t>
            </w:r>
          </w:p>
          <w:p w14:paraId="4E6C623A">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8.外形尺寸：约1600×700×1250mm；</w:t>
            </w:r>
          </w:p>
          <w:p w14:paraId="4A446D7E">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9.货箱尺寸：约1350×680×600mm。</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55C09E9E">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54350.00</w:t>
            </w:r>
          </w:p>
        </w:tc>
      </w:tr>
      <w:tr w14:paraId="39A1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6" w:type="dxa"/>
            <w:gridSpan w:val="7"/>
            <w:tcBorders>
              <w:top w:val="single" w:color="auto" w:sz="4" w:space="0"/>
              <w:left w:val="single" w:color="auto" w:sz="4" w:space="0"/>
              <w:bottom w:val="single" w:color="auto" w:sz="4" w:space="0"/>
              <w:right w:val="single" w:color="auto" w:sz="4" w:space="0"/>
            </w:tcBorders>
            <w:noWrap w:val="0"/>
            <w:vAlign w:val="center"/>
          </w:tcPr>
          <w:p w14:paraId="7CEA3777">
            <w:pPr>
              <w:pStyle w:val="26"/>
              <w:keepNext w:val="0"/>
              <w:keepLines w:val="0"/>
              <w:pageBreakBefore w:val="0"/>
              <w:numPr>
                <w:ilvl w:val="0"/>
                <w:numId w:val="0"/>
              </w:numPr>
              <w:shd w:val="clear"/>
              <w:kinsoku/>
              <w:wordWrap w:val="0"/>
              <w:overflowPunct/>
              <w:topLinePunct w:val="0"/>
              <w:autoSpaceDE/>
              <w:autoSpaceDN/>
              <w:bidi w:val="0"/>
              <w:adjustRightInd/>
              <w:spacing w:line="360" w:lineRule="auto"/>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二、辅助工程</w:t>
            </w:r>
          </w:p>
        </w:tc>
      </w:tr>
      <w:tr w14:paraId="4EE0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6" w:type="dxa"/>
            <w:gridSpan w:val="7"/>
            <w:tcBorders>
              <w:top w:val="single" w:color="auto" w:sz="4" w:space="0"/>
              <w:left w:val="single" w:color="auto" w:sz="4" w:space="0"/>
              <w:bottom w:val="single" w:color="auto" w:sz="4" w:space="0"/>
              <w:right w:val="single" w:color="auto" w:sz="4" w:space="0"/>
            </w:tcBorders>
            <w:noWrap w:val="0"/>
            <w:vAlign w:val="center"/>
          </w:tcPr>
          <w:p w14:paraId="279F050C">
            <w:pPr>
              <w:pStyle w:val="26"/>
              <w:keepNext w:val="0"/>
              <w:keepLines w:val="0"/>
              <w:pageBreakBefore w:val="0"/>
              <w:numPr>
                <w:ilvl w:val="0"/>
                <w:numId w:val="0"/>
              </w:numPr>
              <w:shd w:val="clear"/>
              <w:kinsoku/>
              <w:wordWrap w:val="0"/>
              <w:overflowPunct/>
              <w:topLinePunct w:val="0"/>
              <w:autoSpaceDE/>
              <w:autoSpaceDN/>
              <w:bidi w:val="0"/>
              <w:adjustRightInd/>
              <w:spacing w:line="36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（1）病虫害防治设备</w:t>
            </w:r>
          </w:p>
        </w:tc>
      </w:tr>
      <w:tr w14:paraId="2CC4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4F3273C9">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41</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14D1581B">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高压喷药机</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3F15110D">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6</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4C24410F">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39C96E6B">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1.用于林木种苗病虫害防治的设备。燃油箱容积 5000 毫升，吸水量 200 升/分钟，喷雾量 20 升/分钟 作业速度 20 公里/小时；</w:t>
            </w:r>
          </w:p>
          <w:p w14:paraId="6810713E">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2.发动机型号：170F；</w:t>
            </w:r>
          </w:p>
          <w:p w14:paraId="5F31A4FB">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3.配套动力：7.5HP；</w:t>
            </w:r>
          </w:p>
          <w:p w14:paraId="5DCC666F">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4.药桶容量：100—300L；</w:t>
            </w:r>
          </w:p>
          <w:p w14:paraId="63CAEA92">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5.工作压力：2.0-3.5MPa；</w:t>
            </w:r>
          </w:p>
          <w:p w14:paraId="4C967F5E">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6.流量：30—40L/MIN；</w:t>
            </w:r>
          </w:p>
          <w:p w14:paraId="32536B82">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7.容量：约200L；</w:t>
            </w:r>
          </w:p>
          <w:p w14:paraId="77C6CE0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8.启动方式：手拉启动 （不含药管和喷枪）；</w:t>
            </w:r>
          </w:p>
          <w:p w14:paraId="55B52E1B">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9.油箱：5L左右。</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5D452549">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164</w:t>
            </w:r>
            <w:r>
              <w:rPr>
                <w:rFonts w:hint="eastAsia" w:ascii="宋体" w:hAnsi="宋体" w:cs="宋体"/>
                <w:i w:val="0"/>
                <w:iCs w:val="0"/>
                <w:color w:val="auto"/>
                <w:kern w:val="0"/>
                <w:sz w:val="20"/>
                <w:szCs w:val="20"/>
                <w:highlight w:val="none"/>
                <w:u w:val="none"/>
                <w:lang w:val="en-US" w:eastAsia="zh-CN" w:bidi="ar"/>
              </w:rPr>
              <w:t>10</w:t>
            </w:r>
            <w:r>
              <w:rPr>
                <w:rFonts w:hint="eastAsia" w:ascii="宋体" w:hAnsi="宋体" w:eastAsia="宋体" w:cs="宋体"/>
                <w:i w:val="0"/>
                <w:iCs w:val="0"/>
                <w:color w:val="auto"/>
                <w:kern w:val="0"/>
                <w:sz w:val="20"/>
                <w:szCs w:val="20"/>
                <w:highlight w:val="none"/>
                <w:u w:val="none"/>
                <w:lang w:val="en-US" w:eastAsia="zh-CN" w:bidi="ar"/>
              </w:rPr>
              <w:t>.00</w:t>
            </w:r>
          </w:p>
        </w:tc>
      </w:tr>
      <w:tr w14:paraId="3B78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3E51B2FD">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42</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45197680">
            <w:pPr>
              <w:keepNext w:val="0"/>
              <w:keepLines w:val="0"/>
              <w:pageBreakBefore w:val="0"/>
              <w:widowControl/>
              <w:suppressLineNumbers w:val="0"/>
              <w:shd w:val="clear"/>
              <w:kinsoku/>
              <w:wordWrap w:val="0"/>
              <w:overflowPunct/>
              <w:topLinePunct w:val="0"/>
              <w:autoSpaceDE/>
              <w:autoSpaceDN/>
              <w:bidi w:val="0"/>
              <w:adjustRightInd/>
              <w:spacing w:line="36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机动喷雾器</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5A4572F9">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10</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17ED643C">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20766526">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1.用于林木种苗病虫害防治的设备。药箱容量 15 升以上，烟雾距离 50~150 米，水雾距离 10~12 米；</w:t>
            </w:r>
          </w:p>
          <w:p w14:paraId="4B06569A">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2.药箱容量：约16升；</w:t>
            </w:r>
          </w:p>
          <w:p w14:paraId="32CFDBA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3.油箱容量：约2升； </w:t>
            </w:r>
          </w:p>
          <w:p w14:paraId="02A029A2">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4.燃油标准：92号以上无铅汽油；</w:t>
            </w:r>
          </w:p>
          <w:p w14:paraId="62704BB3">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5.爆发管：304加厚不锈钢；</w:t>
            </w:r>
          </w:p>
          <w:p w14:paraId="2B99A8EC">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6.启动方式：电启动+手启动；</w:t>
            </w:r>
          </w:p>
          <w:p w14:paraId="14B6AB42">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7.喷雾量：80—130L/小时；</w:t>
            </w:r>
          </w:p>
          <w:p w14:paraId="270A4793">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8.启动电池：锂电DC12V电池；</w:t>
            </w:r>
          </w:p>
          <w:p w14:paraId="545E7B4E">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9.机器净重：约12.2kg；</w:t>
            </w:r>
          </w:p>
          <w:p w14:paraId="0A5FCBE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10.烟雾弥漫距离：30-150米；</w:t>
            </w:r>
          </w:p>
          <w:p w14:paraId="72BA1CE6">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11.水雾打药距：1-15米；</w:t>
            </w:r>
          </w:p>
          <w:p w14:paraId="303DC98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12.排量：110CC。</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5AF4932A">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10900.00</w:t>
            </w:r>
          </w:p>
        </w:tc>
      </w:tr>
      <w:tr w14:paraId="1F246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06A10546">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43</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3583F2AA">
            <w:pPr>
              <w:keepNext w:val="0"/>
              <w:keepLines w:val="0"/>
              <w:pageBreakBefore w:val="0"/>
              <w:widowControl/>
              <w:suppressLineNumbers w:val="0"/>
              <w:shd w:val="clear"/>
              <w:kinsoku/>
              <w:wordWrap w:val="0"/>
              <w:overflowPunct/>
              <w:topLinePunct w:val="0"/>
              <w:autoSpaceDE/>
              <w:autoSpaceDN/>
              <w:bidi w:val="0"/>
              <w:adjustRightInd/>
              <w:spacing w:line="360" w:lineRule="auto"/>
              <w:jc w:val="center"/>
              <w:textAlignment w:val="center"/>
              <w:rPr>
                <w:rFonts w:hint="eastAsia" w:ascii="宋体" w:hAnsi="宋体" w:eastAsia="宋体" w:cs="宋体"/>
                <w:b w:val="0"/>
                <w:bCs/>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诱杀灯</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524914AE">
            <w:pPr>
              <w:keepNext w:val="0"/>
              <w:keepLines w:val="0"/>
              <w:pageBreakBefore w:val="0"/>
              <w:widowControl/>
              <w:suppressLineNumbers w:val="0"/>
              <w:shd w:val="clear"/>
              <w:kinsoku/>
              <w:wordWrap w:val="0"/>
              <w:overflowPunct/>
              <w:topLinePunct w:val="0"/>
              <w:autoSpaceDE/>
              <w:autoSpaceDN/>
              <w:bidi w:val="0"/>
              <w:adjustRightInd/>
              <w:spacing w:line="360" w:lineRule="auto"/>
              <w:jc w:val="center"/>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100</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6E2E1BFC">
            <w:pPr>
              <w:keepNext w:val="0"/>
              <w:keepLines w:val="0"/>
              <w:pageBreakBefore w:val="0"/>
              <w:widowControl/>
              <w:suppressLineNumbers w:val="0"/>
              <w:shd w:val="clear"/>
              <w:kinsoku/>
              <w:wordWrap w:val="0"/>
              <w:overflowPunct/>
              <w:topLinePunct w:val="0"/>
              <w:autoSpaceDE/>
              <w:autoSpaceDN/>
              <w:bidi w:val="0"/>
              <w:adjustRightInd/>
              <w:spacing w:line="360" w:lineRule="auto"/>
              <w:jc w:val="center"/>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个</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6407CBF1">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1.用于林木种苗病虫害防治的设备。LED 灯，功率 ≥30 瓦，覆盖面积 500 平方米，续航时间 ≥10 小时（夜间工作）；</w:t>
            </w:r>
          </w:p>
          <w:p w14:paraId="529A5E8E">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2.网撞击半径：≥0.31m，天黑自动亮，工作时长不小于10小时；</w:t>
            </w:r>
          </w:p>
          <w:p w14:paraId="5F33CBEC">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3.灯杆高度：≥2.7 米；</w:t>
            </w:r>
          </w:p>
          <w:p w14:paraId="1DA56958">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4.总高度及材质：材质Q235优质钢板镀锌表面打磨处理；</w:t>
            </w:r>
          </w:p>
          <w:p w14:paraId="49AB62DC">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5.整体尺寸（mm）：≥330（长）×330（宽）×630（高）；</w:t>
            </w:r>
          </w:p>
          <w:p w14:paraId="46AF902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6.光伏板：40W/12V，额定电流 2A，锂电池＞30Ah；</w:t>
            </w:r>
          </w:p>
          <w:p w14:paraId="3F8DE4F9">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7.高压发生器：电容式；</w:t>
            </w:r>
          </w:p>
          <w:p w14:paraId="4F234294">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8.诱集光源：采用多谱多面太阳能杀虫灯专用 LED 光源，波长 320nm-680nm 之间；</w:t>
            </w:r>
          </w:p>
          <w:p w14:paraId="7A6BA395">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9.整灯功率：≥11W；</w:t>
            </w:r>
          </w:p>
          <w:p w14:paraId="6A30CF0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10.杀虫方式：杀虫灯采用专用光源诱虫高压电电击灭虫。</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4F6DA3BA">
            <w:pPr>
              <w:keepNext w:val="0"/>
              <w:keepLines w:val="0"/>
              <w:widowControl/>
              <w:suppressLineNumbers w:val="0"/>
              <w:shd w:val="clear"/>
              <w:wordWrap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98000.00</w:t>
            </w:r>
          </w:p>
        </w:tc>
      </w:tr>
      <w:tr w14:paraId="2221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0D5A02DF">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44</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35A37F73">
            <w:pPr>
              <w:keepNext w:val="0"/>
              <w:keepLines w:val="0"/>
              <w:pageBreakBefore w:val="0"/>
              <w:widowControl/>
              <w:suppressLineNumbers w:val="0"/>
              <w:shd w:val="clear"/>
              <w:kinsoku/>
              <w:wordWrap w:val="0"/>
              <w:overflowPunct/>
              <w:topLinePunct w:val="0"/>
              <w:autoSpaceDE/>
              <w:autoSpaceDN/>
              <w:bidi w:val="0"/>
              <w:adjustRightInd/>
              <w:spacing w:line="360" w:lineRule="auto"/>
              <w:jc w:val="center"/>
              <w:textAlignment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高压杀虫网</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6C095696">
            <w:pPr>
              <w:keepNext w:val="0"/>
              <w:keepLines w:val="0"/>
              <w:pageBreakBefore w:val="0"/>
              <w:widowControl/>
              <w:suppressLineNumbers w:val="0"/>
              <w:shd w:val="clear"/>
              <w:kinsoku/>
              <w:wordWrap w:val="0"/>
              <w:overflowPunct/>
              <w:topLinePunct w:val="0"/>
              <w:autoSpaceDE/>
              <w:autoSpaceDN/>
              <w:bidi w:val="0"/>
              <w:adjustRightInd/>
              <w:spacing w:line="360" w:lineRule="auto"/>
              <w:jc w:val="center"/>
              <w:textAlignment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6B825C5F">
            <w:pPr>
              <w:keepNext w:val="0"/>
              <w:keepLines w:val="0"/>
              <w:pageBreakBefore w:val="0"/>
              <w:widowControl/>
              <w:suppressLineNumbers w:val="0"/>
              <w:shd w:val="clear"/>
              <w:kinsoku/>
              <w:wordWrap w:val="0"/>
              <w:overflowPunct/>
              <w:topLinePunct w:val="0"/>
              <w:autoSpaceDE/>
              <w:autoSpaceDN/>
              <w:bidi w:val="0"/>
              <w:adjustRightInd/>
              <w:spacing w:line="360" w:lineRule="auto"/>
              <w:jc w:val="center"/>
              <w:textAlignment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73677519">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1.用于林木种苗病虫害防治的设备。网孔尺寸 5 毫米，网径 50 厘米，手柄长度1~2 米（可伸缩）碳纤维，捕捉飞虫、小型害虫；</w:t>
            </w:r>
          </w:p>
          <w:p w14:paraId="69384A03">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2.双灯管LED荧光灯；</w:t>
            </w:r>
          </w:p>
          <w:p w14:paraId="39000DD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3.功率：≥40W；</w:t>
            </w:r>
          </w:p>
          <w:p w14:paraId="60880CE6">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4.电压频率：220V—50Hz；</w:t>
            </w:r>
          </w:p>
          <w:p w14:paraId="16012747">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5.材质：铝合金＋阻燃ABS；</w:t>
            </w:r>
          </w:p>
          <w:p w14:paraId="1BD24284">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6.挂链式；</w:t>
            </w:r>
          </w:p>
          <w:p w14:paraId="59B524A2">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7.尺寸：约53×23cm。</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75FD79DC">
            <w:pPr>
              <w:keepNext w:val="0"/>
              <w:keepLines w:val="0"/>
              <w:widowControl/>
              <w:suppressLineNumbers w:val="0"/>
              <w:shd w:val="clear"/>
              <w:wordWrap w:val="0"/>
              <w:spacing w:line="360" w:lineRule="auto"/>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780.00</w:t>
            </w:r>
          </w:p>
        </w:tc>
      </w:tr>
      <w:tr w14:paraId="011E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6" w:type="dxa"/>
            <w:gridSpan w:val="7"/>
            <w:tcBorders>
              <w:top w:val="single" w:color="auto" w:sz="4" w:space="0"/>
              <w:left w:val="single" w:color="auto" w:sz="4" w:space="0"/>
              <w:bottom w:val="single" w:color="auto" w:sz="4" w:space="0"/>
              <w:right w:val="single" w:color="auto" w:sz="4" w:space="0"/>
            </w:tcBorders>
            <w:noWrap w:val="0"/>
            <w:vAlign w:val="center"/>
          </w:tcPr>
          <w:p w14:paraId="3E02EC8B">
            <w:pPr>
              <w:pStyle w:val="26"/>
              <w:keepNext w:val="0"/>
              <w:keepLines w:val="0"/>
              <w:pageBreakBefore w:val="0"/>
              <w:numPr>
                <w:ilvl w:val="0"/>
                <w:numId w:val="0"/>
              </w:numPr>
              <w:shd w:val="clear"/>
              <w:kinsoku/>
              <w:wordWrap w:val="0"/>
              <w:overflowPunct/>
              <w:topLinePunct w:val="0"/>
              <w:autoSpaceDE/>
              <w:autoSpaceDN/>
              <w:bidi w:val="0"/>
              <w:adjustRightInd/>
              <w:spacing w:line="36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（2）消防设备</w:t>
            </w:r>
          </w:p>
        </w:tc>
      </w:tr>
      <w:tr w14:paraId="51B6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14:paraId="35620BC8">
            <w:pPr>
              <w:keepNext w:val="0"/>
              <w:keepLines w:val="0"/>
              <w:pageBreakBefore w:val="0"/>
              <w:widowControl/>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45</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14:paraId="2AD1843E">
            <w:pPr>
              <w:keepNext w:val="0"/>
              <w:keepLines w:val="0"/>
              <w:pageBreakBefore w:val="0"/>
              <w:widowControl/>
              <w:suppressLineNumbers w:val="0"/>
              <w:shd w:val="clear"/>
              <w:kinsoku/>
              <w:wordWrap w:val="0"/>
              <w:overflowPunct/>
              <w:topLinePunct w:val="0"/>
              <w:autoSpaceDE/>
              <w:autoSpaceDN/>
              <w:bidi w:val="0"/>
              <w:adjustRightInd/>
              <w:spacing w:line="360" w:lineRule="auto"/>
              <w:jc w:val="center"/>
              <w:textAlignment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风力灭火器</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01D54ECC">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10</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641824CB">
            <w:pPr>
              <w:keepNext w:val="0"/>
              <w:keepLines w:val="0"/>
              <w:pageBreakBefore w:val="0"/>
              <w:widowControl/>
              <w:suppressLineNumbers w:val="0"/>
              <w:shd w:val="clear"/>
              <w:kinsoku/>
              <w:wordWrap w:val="0"/>
              <w:overflowPunct/>
              <w:topLinePunct w:val="0"/>
              <w:autoSpaceDE/>
              <w:autoSpaceDN/>
              <w:bidi w:val="0"/>
              <w:adjustRightInd/>
              <w:spacing w:line="360" w:lineRule="auto"/>
              <w:jc w:val="center"/>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台</w:t>
            </w:r>
          </w:p>
        </w:tc>
        <w:tc>
          <w:tcPr>
            <w:tcW w:w="5826" w:type="dxa"/>
            <w:tcBorders>
              <w:top w:val="single" w:color="auto" w:sz="4" w:space="0"/>
              <w:left w:val="single" w:color="auto" w:sz="4" w:space="0"/>
              <w:bottom w:val="single" w:color="auto" w:sz="4" w:space="0"/>
              <w:right w:val="single" w:color="auto" w:sz="4" w:space="0"/>
            </w:tcBorders>
            <w:noWrap w:val="0"/>
            <w:vAlign w:val="center"/>
          </w:tcPr>
          <w:p w14:paraId="51AC1F81">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1.用于森林消防设备。风量 1400 立方米/时，风速 99 米/秒，发动机 2-mix；</w:t>
            </w:r>
          </w:p>
          <w:p w14:paraId="7696EE89">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2.发动机型式：单杠、风冷、二冲程；</w:t>
            </w:r>
          </w:p>
          <w:p w14:paraId="5B7D098C">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3.额定功率：≥4kW；</w:t>
            </w:r>
          </w:p>
          <w:p w14:paraId="390DF3A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4.转速：≥7000r/min；</w:t>
            </w:r>
          </w:p>
          <w:p w14:paraId="5E0E0BE6">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5.启动方式：手拉；</w:t>
            </w:r>
          </w:p>
          <w:p w14:paraId="6EAF8998">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6.常温启动性能：约3s；</w:t>
            </w:r>
          </w:p>
          <w:p w14:paraId="413DB0CD">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7.灭火机怠速：约2800r/min；</w:t>
            </w:r>
          </w:p>
          <w:p w14:paraId="55EE8BAA">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8.灭火机噪音：≤105dB；</w:t>
            </w:r>
          </w:p>
          <w:p w14:paraId="7FB7526A">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9.装备重量：约7.5kg；</w:t>
            </w:r>
          </w:p>
          <w:p w14:paraId="6E9665C5">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10.风量：≥0.5㎡/s；</w:t>
            </w:r>
          </w:p>
          <w:p w14:paraId="77C79310">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11.一次性加油工作时间：≥35min；</w:t>
            </w:r>
          </w:p>
          <w:p w14:paraId="73AECC99">
            <w:pPr>
              <w:keepNext w:val="0"/>
              <w:keepLines w:val="0"/>
              <w:pageBreakBefore w:val="0"/>
              <w:numPr>
                <w:ilvl w:val="0"/>
                <w:numId w:val="0"/>
              </w:numPr>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12.包装尺寸：约520×380×520mm。</w:t>
            </w:r>
          </w:p>
        </w:tc>
        <w:tc>
          <w:tcPr>
            <w:tcW w:w="1287" w:type="dxa"/>
            <w:tcBorders>
              <w:top w:val="single" w:color="auto" w:sz="4" w:space="0"/>
              <w:left w:val="single" w:color="auto" w:sz="4" w:space="0"/>
              <w:bottom w:val="single" w:color="auto" w:sz="4" w:space="0"/>
              <w:right w:val="single" w:color="auto" w:sz="4" w:space="0"/>
            </w:tcBorders>
            <w:noWrap w:val="0"/>
            <w:vAlign w:val="center"/>
          </w:tcPr>
          <w:p w14:paraId="3BC0AEF0">
            <w:pPr>
              <w:keepNext w:val="0"/>
              <w:keepLines w:val="0"/>
              <w:widowControl/>
              <w:suppressLineNumbers w:val="0"/>
              <w:shd w:val="clear"/>
              <w:wordWrap w:val="0"/>
              <w:spacing w:line="360" w:lineRule="auto"/>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26000.00</w:t>
            </w:r>
          </w:p>
        </w:tc>
      </w:tr>
      <w:tr w14:paraId="2695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6" w:type="dxa"/>
            <w:gridSpan w:val="7"/>
            <w:tcBorders>
              <w:top w:val="single" w:color="auto" w:sz="4" w:space="0"/>
              <w:left w:val="single" w:color="auto" w:sz="4" w:space="0"/>
              <w:bottom w:val="single" w:color="auto" w:sz="4" w:space="0"/>
              <w:right w:val="single" w:color="auto" w:sz="4" w:space="0"/>
            </w:tcBorders>
            <w:noWrap w:val="0"/>
            <w:vAlign w:val="center"/>
          </w:tcPr>
          <w:p w14:paraId="4A0F4588">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、商务要求</w:t>
            </w:r>
          </w:p>
        </w:tc>
      </w:tr>
      <w:tr w14:paraId="0098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2" w:type="dxa"/>
            <w:gridSpan w:val="2"/>
            <w:tcBorders>
              <w:top w:val="single" w:color="auto" w:sz="4" w:space="0"/>
              <w:left w:val="single" w:color="auto" w:sz="4" w:space="0"/>
              <w:bottom w:val="single" w:color="auto" w:sz="4" w:space="0"/>
              <w:right w:val="single" w:color="auto" w:sz="4" w:space="0"/>
            </w:tcBorders>
            <w:noWrap w:val="0"/>
            <w:vAlign w:val="center"/>
          </w:tcPr>
          <w:p w14:paraId="208B0EAD">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合同签订时间</w:t>
            </w:r>
          </w:p>
        </w:tc>
        <w:tc>
          <w:tcPr>
            <w:tcW w:w="8564" w:type="dxa"/>
            <w:gridSpan w:val="5"/>
            <w:tcBorders>
              <w:top w:val="single" w:color="auto" w:sz="4" w:space="0"/>
              <w:left w:val="single" w:color="auto" w:sz="4" w:space="0"/>
              <w:bottom w:val="single" w:color="auto" w:sz="4" w:space="0"/>
              <w:right w:val="single" w:color="auto" w:sz="4" w:space="0"/>
            </w:tcBorders>
            <w:noWrap w:val="0"/>
            <w:vAlign w:val="center"/>
          </w:tcPr>
          <w:p w14:paraId="7C8DA1C7">
            <w:pPr>
              <w:keepNext w:val="0"/>
              <w:keepLines w:val="0"/>
              <w:pageBreakBefore w:val="0"/>
              <w:shd w:val="clear"/>
              <w:kinsoku/>
              <w:wordWrap w:val="0"/>
              <w:overflowPunct/>
              <w:topLinePunct w:val="0"/>
              <w:autoSpaceDE/>
              <w:autoSpaceDN/>
              <w:bidi w:val="0"/>
              <w:adjustRightIn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 xml:space="preserve">通知书发出之日起 </w:t>
            </w:r>
            <w:r>
              <w:rPr>
                <w:rFonts w:hint="eastAsia" w:ascii="宋体" w:hAnsi="宋体" w:eastAsia="宋体" w:cs="宋体"/>
                <w:color w:val="auto"/>
                <w:sz w:val="21"/>
                <w:szCs w:val="21"/>
                <w:highlight w:val="none"/>
                <w:u w:val="single"/>
              </w:rPr>
              <w:t>25</w:t>
            </w:r>
            <w:r>
              <w:rPr>
                <w:rFonts w:hint="eastAsia" w:ascii="宋体" w:hAnsi="宋体" w:eastAsia="宋体" w:cs="宋体"/>
                <w:color w:val="auto"/>
                <w:sz w:val="21"/>
                <w:szCs w:val="21"/>
                <w:highlight w:val="none"/>
              </w:rPr>
              <w:t>个日历日内。</w:t>
            </w:r>
          </w:p>
        </w:tc>
      </w:tr>
      <w:tr w14:paraId="7EB6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2" w:type="dxa"/>
            <w:gridSpan w:val="2"/>
            <w:tcBorders>
              <w:top w:val="single" w:color="auto" w:sz="4" w:space="0"/>
              <w:left w:val="single" w:color="auto" w:sz="4" w:space="0"/>
              <w:bottom w:val="single" w:color="auto" w:sz="4" w:space="0"/>
              <w:right w:val="single" w:color="auto" w:sz="4" w:space="0"/>
            </w:tcBorders>
            <w:noWrap w:val="0"/>
            <w:vAlign w:val="center"/>
          </w:tcPr>
          <w:p w14:paraId="3EA49ED1">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w:t>
            </w:r>
            <w:r>
              <w:rPr>
                <w:rFonts w:hint="eastAsia" w:ascii="宋体" w:hAnsi="宋体" w:eastAsia="宋体" w:cs="宋体"/>
                <w:color w:val="auto"/>
                <w:sz w:val="21"/>
                <w:szCs w:val="21"/>
                <w:highlight w:val="none"/>
                <w:lang w:val="en-US" w:eastAsia="zh-CN"/>
              </w:rPr>
              <w:t>货期</w:t>
            </w:r>
            <w:r>
              <w:rPr>
                <w:rFonts w:hint="eastAsia" w:ascii="宋体" w:hAnsi="宋体" w:eastAsia="宋体" w:cs="宋体"/>
                <w:color w:val="auto"/>
                <w:sz w:val="21"/>
                <w:szCs w:val="21"/>
                <w:highlight w:val="none"/>
              </w:rPr>
              <w:t>及</w:t>
            </w:r>
            <w:r>
              <w:rPr>
                <w:rFonts w:hint="eastAsia" w:ascii="宋体" w:hAnsi="宋体" w:eastAsia="宋体" w:cs="宋体"/>
                <w:color w:val="auto"/>
                <w:sz w:val="21"/>
                <w:szCs w:val="21"/>
                <w:highlight w:val="none"/>
                <w:lang w:val="en-US" w:eastAsia="zh-CN"/>
              </w:rPr>
              <w:t>交货方式、</w:t>
            </w:r>
            <w:r>
              <w:rPr>
                <w:rFonts w:hint="eastAsia" w:ascii="宋体" w:hAnsi="宋体" w:eastAsia="宋体" w:cs="宋体"/>
                <w:color w:val="auto"/>
                <w:sz w:val="21"/>
                <w:szCs w:val="21"/>
                <w:highlight w:val="none"/>
              </w:rPr>
              <w:t>地点</w:t>
            </w:r>
          </w:p>
        </w:tc>
        <w:tc>
          <w:tcPr>
            <w:tcW w:w="8564" w:type="dxa"/>
            <w:gridSpan w:val="5"/>
            <w:tcBorders>
              <w:top w:val="single" w:color="auto" w:sz="4" w:space="0"/>
              <w:left w:val="single" w:color="auto" w:sz="4" w:space="0"/>
              <w:bottom w:val="single" w:color="auto" w:sz="4" w:space="0"/>
              <w:right w:val="single" w:color="auto" w:sz="4" w:space="0"/>
            </w:tcBorders>
            <w:noWrap w:val="0"/>
            <w:vAlign w:val="top"/>
          </w:tcPr>
          <w:p w14:paraId="3DC25199">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1.交货期：合同签订，接</w:t>
            </w:r>
            <w:r>
              <w:rPr>
                <w:rFonts w:hint="eastAsia" w:ascii="宋体" w:hAnsi="宋体" w:eastAsia="宋体" w:cs="宋体"/>
                <w:color w:val="auto"/>
                <w:sz w:val="21"/>
                <w:szCs w:val="21"/>
                <w:highlight w:val="none"/>
                <w:lang w:eastAsia="zh-CN"/>
              </w:rPr>
              <w:t>到</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供货通知后</w:t>
            </w:r>
            <w:r>
              <w:rPr>
                <w:rFonts w:hint="eastAsia" w:ascii="宋体" w:hAnsi="宋体" w:eastAsia="宋体" w:cs="宋体"/>
                <w:color w:val="auto"/>
                <w:sz w:val="21"/>
                <w:szCs w:val="21"/>
                <w:highlight w:val="none"/>
                <w:u w:val="single"/>
                <w:lang w:val="en-US" w:eastAsia="zh-CN"/>
              </w:rPr>
              <w:t xml:space="preserve"> 60  </w:t>
            </w:r>
            <w:r>
              <w:rPr>
                <w:rFonts w:hint="eastAsia" w:ascii="宋体" w:hAnsi="宋体" w:eastAsia="宋体" w:cs="宋体"/>
                <w:color w:val="auto"/>
                <w:sz w:val="21"/>
                <w:szCs w:val="21"/>
                <w:highlight w:val="none"/>
              </w:rPr>
              <w:t>个工作日内到货并安装调试完毕，达到正常使用状态。</w:t>
            </w:r>
          </w:p>
          <w:p w14:paraId="7DC397CA">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2.交货方式：现场安装调试、培训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验收合格。</w:t>
            </w:r>
          </w:p>
          <w:p w14:paraId="75C28822">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3.交货地点：</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指定地点。</w:t>
            </w:r>
          </w:p>
        </w:tc>
      </w:tr>
      <w:tr w14:paraId="451E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2" w:type="dxa"/>
            <w:gridSpan w:val="2"/>
            <w:tcBorders>
              <w:top w:val="single" w:color="auto" w:sz="4" w:space="0"/>
              <w:left w:val="single" w:color="auto" w:sz="4" w:space="0"/>
              <w:bottom w:val="single" w:color="auto" w:sz="4" w:space="0"/>
              <w:right w:val="single" w:color="auto" w:sz="4" w:space="0"/>
            </w:tcBorders>
            <w:noWrap w:val="0"/>
            <w:vAlign w:val="center"/>
          </w:tcPr>
          <w:p w14:paraId="2AA35A36">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付款方式</w:t>
            </w:r>
          </w:p>
        </w:tc>
        <w:tc>
          <w:tcPr>
            <w:tcW w:w="8564" w:type="dxa"/>
            <w:gridSpan w:val="5"/>
            <w:tcBorders>
              <w:top w:val="single" w:color="auto" w:sz="4" w:space="0"/>
              <w:left w:val="single" w:color="auto" w:sz="4" w:space="0"/>
              <w:bottom w:val="single" w:color="auto" w:sz="4" w:space="0"/>
              <w:right w:val="single" w:color="auto" w:sz="4" w:space="0"/>
            </w:tcBorders>
            <w:noWrap w:val="0"/>
            <w:vAlign w:val="center"/>
          </w:tcPr>
          <w:p w14:paraId="04685DC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与</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lang w:val="en-US" w:eastAsia="zh-CN"/>
              </w:rPr>
              <w:t>后，</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lang w:val="en-US" w:eastAsia="zh-CN"/>
              </w:rPr>
              <w:t>人收到成交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请款申请后15</w:t>
            </w:r>
            <w:r>
              <w:rPr>
                <w:rFonts w:hint="eastAsia" w:ascii="宋体" w:hAnsi="宋体" w:eastAsia="宋体" w:cs="宋体"/>
                <w:color w:val="auto"/>
                <w:sz w:val="21"/>
                <w:szCs w:val="21"/>
                <w:highlight w:val="none"/>
              </w:rPr>
              <w:t>个工作日内支付合同款</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0%预付款，货到验收合格后</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lang w:val="en-US" w:eastAsia="zh-CN"/>
              </w:rPr>
              <w:t>人支付</w:t>
            </w:r>
            <w:r>
              <w:rPr>
                <w:rFonts w:hint="eastAsia" w:ascii="宋体" w:hAnsi="宋体" w:eastAsia="宋体" w:cs="宋体"/>
                <w:color w:val="auto"/>
                <w:sz w:val="21"/>
                <w:szCs w:val="21"/>
                <w:highlight w:val="none"/>
              </w:rPr>
              <w:t>合同金额</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0%付给</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，根据</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lang w:val="en-US" w:eastAsia="zh-CN"/>
              </w:rPr>
              <w:t>人要求安装调试完成后支付剩余合同款10%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付款前，</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未按要求开具符合</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要求的正规财务票据的，</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有权暂缓或拒付款项且不构成违约。</w:t>
            </w:r>
            <w:r>
              <w:rPr>
                <w:rFonts w:hint="eastAsia" w:ascii="宋体" w:hAnsi="宋体" w:eastAsia="宋体" w:cs="宋体"/>
                <w:color w:val="auto"/>
                <w:sz w:val="21"/>
                <w:szCs w:val="21"/>
                <w:highlight w:val="none"/>
                <w:lang w:eastAsia="zh-CN"/>
              </w:rPr>
              <w:t>）</w:t>
            </w:r>
          </w:p>
          <w:p w14:paraId="6423758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2.票据要求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必须按照</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要求提供真实、有效、合法的正式税务发票。一旦发现</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提供虚假税务发票，除须向</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补开合法的税务发票外，须赔偿</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发票票面金额一倍的违约金，且</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有权终止合同，</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不得提出异议，因终止合同而产生的一切损失均由</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承担。</w:t>
            </w:r>
          </w:p>
        </w:tc>
      </w:tr>
      <w:tr w14:paraId="0813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2" w:type="dxa"/>
            <w:gridSpan w:val="2"/>
            <w:tcBorders>
              <w:top w:val="single" w:color="auto" w:sz="4" w:space="0"/>
              <w:left w:val="single" w:color="auto" w:sz="4" w:space="0"/>
              <w:bottom w:val="single" w:color="auto" w:sz="4" w:space="0"/>
              <w:right w:val="single" w:color="auto" w:sz="4" w:space="0"/>
            </w:tcBorders>
            <w:noWrap w:val="0"/>
            <w:vAlign w:val="center"/>
          </w:tcPr>
          <w:p w14:paraId="7D4E7E97">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报价要求</w:t>
            </w:r>
          </w:p>
        </w:tc>
        <w:tc>
          <w:tcPr>
            <w:tcW w:w="8564" w:type="dxa"/>
            <w:gridSpan w:val="5"/>
            <w:tcBorders>
              <w:top w:val="single" w:color="auto" w:sz="4" w:space="0"/>
              <w:left w:val="single" w:color="auto" w:sz="4" w:space="0"/>
              <w:bottom w:val="single" w:color="auto" w:sz="4" w:space="0"/>
              <w:right w:val="single" w:color="auto" w:sz="4" w:space="0"/>
            </w:tcBorders>
            <w:noWrap w:val="0"/>
            <w:vAlign w:val="top"/>
          </w:tcPr>
          <w:p w14:paraId="786519DA">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highlight w:val="none"/>
                <w:lang w:val="en-US" w:eastAsia="zh-CN"/>
              </w:rPr>
              <w:t>响应报价包含货物、货物标准附件、软件、备品备件、专用工具、设备安装辅材、包装、运输、装卸、保险、货到就位、质保期（保修期）内维护、保养、维修及设备软件更新升级的各种费用以及安装、调试、软件接口费用等本竞争性谈判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w:t>
            </w:r>
            <w:r>
              <w:rPr>
                <w:rFonts w:hint="eastAsia" w:ascii="宋体" w:hAnsi="宋体" w:eastAsia="宋体" w:cs="宋体"/>
                <w:color w:val="auto"/>
                <w:sz w:val="21"/>
                <w:szCs w:val="21"/>
                <w:highlight w:val="none"/>
              </w:rPr>
              <w:t>合同履行过程中，采购人不再支付合同以外的其他费用。</w:t>
            </w:r>
          </w:p>
        </w:tc>
      </w:tr>
      <w:tr w14:paraId="18C2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2" w:type="dxa"/>
            <w:gridSpan w:val="2"/>
            <w:tcBorders>
              <w:top w:val="single" w:color="auto" w:sz="4" w:space="0"/>
              <w:left w:val="single" w:color="auto" w:sz="4" w:space="0"/>
              <w:bottom w:val="single" w:color="auto" w:sz="4" w:space="0"/>
              <w:right w:val="single" w:color="auto" w:sz="4" w:space="0"/>
            </w:tcBorders>
            <w:noWrap w:val="0"/>
            <w:vAlign w:val="center"/>
          </w:tcPr>
          <w:p w14:paraId="3E684139">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质保期</w:t>
            </w:r>
          </w:p>
        </w:tc>
        <w:tc>
          <w:tcPr>
            <w:tcW w:w="8564" w:type="dxa"/>
            <w:gridSpan w:val="5"/>
            <w:tcBorders>
              <w:top w:val="single" w:color="auto" w:sz="4" w:space="0"/>
              <w:left w:val="single" w:color="auto" w:sz="4" w:space="0"/>
              <w:bottom w:val="single" w:color="auto" w:sz="4" w:space="0"/>
              <w:right w:val="single" w:color="auto" w:sz="4" w:space="0"/>
            </w:tcBorders>
            <w:noWrap w:val="0"/>
            <w:vAlign w:val="top"/>
          </w:tcPr>
          <w:p w14:paraId="0B881622">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1.设备质保期：按国家有关产品“三包”规定执行“三包”，</w:t>
            </w:r>
            <w:r>
              <w:rPr>
                <w:rFonts w:hint="eastAsia" w:ascii="宋体" w:hAnsi="宋体" w:eastAsia="宋体" w:cs="宋体"/>
                <w:color w:val="auto"/>
                <w:kern w:val="0"/>
                <w:szCs w:val="21"/>
                <w:highlight w:val="none"/>
              </w:rPr>
              <w:t>除特别说明外，</w:t>
            </w:r>
            <w:r>
              <w:rPr>
                <w:rFonts w:hint="eastAsia" w:ascii="宋体" w:hAnsi="宋体" w:eastAsia="宋体" w:cs="宋体"/>
                <w:color w:val="auto"/>
                <w:sz w:val="21"/>
                <w:szCs w:val="21"/>
                <w:highlight w:val="none"/>
                <w:lang w:val="en-US" w:eastAsia="zh-CN"/>
              </w:rPr>
              <w:t>所有货物质保期从最终验收合格之日起计算不少于一年（含一年），质保期内负责上门服务、维修、更换配件，不得收取任何费用。</w:t>
            </w:r>
          </w:p>
          <w:p w14:paraId="6CF79AF5">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2.厂家保修（质保）期承诺优于本条款要求的，按厂家承诺执行。</w:t>
            </w:r>
          </w:p>
          <w:p w14:paraId="73DFC59B">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3.质保期（保修期）结束后，供应商对合同货物提供终身保修服务，且承诺相关配件及人工费用低于平均市场价格。</w:t>
            </w:r>
          </w:p>
          <w:p w14:paraId="2B65E8A3">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highlight w:val="none"/>
              </w:rPr>
              <w:t>在质量保证期内设备非因人为及不可抗拒因素的原因而引起损坏或质量问题，</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highlight w:val="none"/>
              </w:rPr>
              <w:t>供应商应免费予以技术服务、维修或设备更换，并承担相应费用和零部件的费用，因人为因素出现的故障不在免费保修范围内，</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highlight w:val="none"/>
              </w:rPr>
              <w:t>供应商也要积极帮助采购人修理，并提供优惠价格的配件和服务</w:t>
            </w:r>
            <w:r>
              <w:rPr>
                <w:rFonts w:hint="eastAsia" w:ascii="宋体" w:hAnsi="宋体" w:eastAsia="宋体" w:cs="宋体"/>
                <w:color w:val="auto"/>
                <w:highlight w:val="none"/>
                <w:lang w:eastAsia="zh-CN"/>
              </w:rPr>
              <w:t>。</w:t>
            </w:r>
          </w:p>
        </w:tc>
      </w:tr>
      <w:tr w14:paraId="57AC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2" w:type="dxa"/>
            <w:gridSpan w:val="2"/>
            <w:tcBorders>
              <w:top w:val="single" w:color="auto" w:sz="4" w:space="0"/>
              <w:left w:val="single" w:color="auto" w:sz="4" w:space="0"/>
              <w:bottom w:val="single" w:color="auto" w:sz="4" w:space="0"/>
              <w:right w:val="single" w:color="auto" w:sz="4" w:space="0"/>
            </w:tcBorders>
            <w:noWrap w:val="0"/>
            <w:vAlign w:val="center"/>
          </w:tcPr>
          <w:p w14:paraId="6C384642">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验收标准</w:t>
            </w:r>
          </w:p>
        </w:tc>
        <w:tc>
          <w:tcPr>
            <w:tcW w:w="8564" w:type="dxa"/>
            <w:gridSpan w:val="5"/>
            <w:tcBorders>
              <w:top w:val="single" w:color="auto" w:sz="4" w:space="0"/>
              <w:left w:val="single" w:color="auto" w:sz="4" w:space="0"/>
              <w:bottom w:val="single" w:color="auto" w:sz="4" w:space="0"/>
              <w:right w:val="single" w:color="auto" w:sz="4" w:space="0"/>
            </w:tcBorders>
            <w:noWrap w:val="0"/>
            <w:vAlign w:val="top"/>
          </w:tcPr>
          <w:p w14:paraId="1512F300">
            <w:pPr>
              <w:keepNext w:val="0"/>
              <w:keepLines w:val="0"/>
              <w:pageBreakBefore w:val="0"/>
              <w:shd w:val="clear" w:color="auto"/>
              <w:tabs>
                <w:tab w:val="left" w:pos="180"/>
                <w:tab w:val="left" w:pos="1620"/>
              </w:tabs>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必须按</w:t>
            </w:r>
            <w:r>
              <w:rPr>
                <w:rFonts w:hint="eastAsia" w:ascii="宋体" w:hAnsi="宋体" w:eastAsia="宋体" w:cs="宋体"/>
                <w:color w:val="auto"/>
                <w:sz w:val="21"/>
                <w:szCs w:val="21"/>
                <w:highlight w:val="none"/>
                <w:lang w:val="en-US" w:eastAsia="zh-CN"/>
              </w:rPr>
              <w:t>竞争性谈判</w:t>
            </w:r>
            <w:r>
              <w:rPr>
                <w:rFonts w:hint="eastAsia" w:ascii="宋体" w:hAnsi="宋体" w:eastAsia="宋体" w:cs="宋体"/>
                <w:color w:val="auto"/>
                <w:sz w:val="21"/>
                <w:szCs w:val="21"/>
                <w:highlight w:val="none"/>
              </w:rPr>
              <w:t>文件要求、</w:t>
            </w: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rPr>
              <w:t>文件承诺提供产品，且提供的产品必须符合国家强制执行的相关质量标准要求以及产品制造厂家合格产品的出厂质量标准。</w:t>
            </w:r>
          </w:p>
          <w:p w14:paraId="69BEDC74">
            <w:pPr>
              <w:keepNext w:val="0"/>
              <w:keepLines w:val="0"/>
              <w:pageBreakBefore w:val="0"/>
              <w:shd w:val="clear" w:color="auto"/>
              <w:tabs>
                <w:tab w:val="left" w:pos="180"/>
                <w:tab w:val="left" w:pos="1620"/>
              </w:tabs>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2.设备需全新、完好、无破损，设备生产日期不能超过6个月，产品到货后，采购人现场根据</w:t>
            </w:r>
            <w:r>
              <w:rPr>
                <w:rFonts w:hint="eastAsia" w:ascii="宋体" w:hAnsi="宋体" w:eastAsia="宋体" w:cs="宋体"/>
                <w:color w:val="auto"/>
                <w:sz w:val="21"/>
                <w:szCs w:val="21"/>
                <w:highlight w:val="none"/>
                <w:lang w:val="en-US" w:eastAsia="zh-CN"/>
              </w:rPr>
              <w:t>竞争性谈判</w:t>
            </w:r>
            <w:r>
              <w:rPr>
                <w:rFonts w:hint="eastAsia" w:ascii="宋体" w:hAnsi="宋体" w:eastAsia="宋体" w:cs="宋体"/>
                <w:color w:val="auto"/>
                <w:sz w:val="21"/>
                <w:szCs w:val="21"/>
                <w:highlight w:val="none"/>
              </w:rPr>
              <w:t>文件要求及</w:t>
            </w: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rPr>
              <w:t>文件承诺逐条对应进行核验，必要时，采购人有权邀请国家质量监督检验部门或国家认可的第三方检测机构参与共同验收。如产品不满足</w:t>
            </w:r>
            <w:r>
              <w:rPr>
                <w:rFonts w:hint="eastAsia" w:ascii="宋体" w:hAnsi="宋体" w:eastAsia="宋体" w:cs="宋体"/>
                <w:color w:val="auto"/>
                <w:sz w:val="21"/>
                <w:szCs w:val="21"/>
                <w:highlight w:val="none"/>
                <w:lang w:val="en-US" w:eastAsia="zh-CN"/>
              </w:rPr>
              <w:t>竞争性谈判</w:t>
            </w:r>
            <w:r>
              <w:rPr>
                <w:rFonts w:hint="eastAsia" w:ascii="宋体" w:hAnsi="宋体" w:eastAsia="宋体" w:cs="宋体"/>
                <w:color w:val="auto"/>
                <w:sz w:val="21"/>
                <w:szCs w:val="21"/>
                <w:highlight w:val="none"/>
              </w:rPr>
              <w:t>文件要求、</w:t>
            </w: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rPr>
              <w:t>文件承诺或国家强制执行的相关质量标准要求以及产品制造厂家合格产品的出厂质量标准，采购人有权不予验收，由此造成采购人的经济损失由</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承担全部赔偿责任。</w:t>
            </w:r>
          </w:p>
          <w:p w14:paraId="6B2CC804">
            <w:pPr>
              <w:keepNext w:val="0"/>
              <w:keepLines w:val="0"/>
              <w:pageBreakBefore w:val="0"/>
              <w:shd w:val="clear" w:color="auto"/>
              <w:tabs>
                <w:tab w:val="left" w:pos="180"/>
                <w:tab w:val="left" w:pos="1620"/>
              </w:tabs>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3.供货时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rPr>
              <w:t>向采购人提供所投</w:t>
            </w:r>
            <w:r>
              <w:rPr>
                <w:rFonts w:hint="eastAsia" w:ascii="宋体" w:hAnsi="宋体" w:eastAsia="宋体" w:cs="宋体"/>
                <w:color w:val="auto"/>
                <w:sz w:val="21"/>
                <w:szCs w:val="21"/>
                <w:highlight w:val="none"/>
                <w:lang w:val="en-US" w:eastAsia="zh-CN"/>
              </w:rPr>
              <w:t>货物的</w:t>
            </w:r>
            <w:r>
              <w:rPr>
                <w:rFonts w:hint="eastAsia" w:ascii="宋体" w:hAnsi="宋体" w:eastAsia="宋体" w:cs="宋体"/>
                <w:color w:val="auto"/>
                <w:sz w:val="21"/>
                <w:szCs w:val="21"/>
                <w:highlight w:val="none"/>
              </w:rPr>
              <w:t>检测检验报告书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或</w:t>
            </w:r>
            <w:r>
              <w:rPr>
                <w:rFonts w:hint="eastAsia" w:ascii="宋体" w:hAnsi="宋体" w:eastAsia="宋体" w:cs="宋体"/>
                <w:color w:val="auto"/>
                <w:kern w:val="0"/>
                <w:szCs w:val="21"/>
                <w:highlight w:val="none"/>
              </w:rPr>
              <w:t>质量合格证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、产品彩页（或参数说明书）等资料材料，以便核实相关技术参数，否则不予验收。</w:t>
            </w:r>
          </w:p>
          <w:p w14:paraId="6F25B6C7">
            <w:pPr>
              <w:keepNext w:val="0"/>
              <w:keepLines w:val="0"/>
              <w:pageBreakBefore w:val="0"/>
              <w:shd w:val="clear" w:color="auto"/>
              <w:tabs>
                <w:tab w:val="left" w:pos="180"/>
                <w:tab w:val="left" w:pos="1620"/>
              </w:tabs>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4.验收过程中所产生的一切费用均由成交供应商承担。报价时应考虑相关费用。</w:t>
            </w:r>
          </w:p>
          <w:p w14:paraId="630862E9">
            <w:pPr>
              <w:keepNext w:val="0"/>
              <w:keepLines w:val="0"/>
              <w:pageBreakBefore w:val="0"/>
              <w:shd w:val="clear" w:color="auto"/>
              <w:tabs>
                <w:tab w:val="left" w:pos="180"/>
                <w:tab w:val="left" w:pos="1620"/>
              </w:tabs>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成交供应商负责安装的技术人员按照验收流程要求提供合格证标明的内容及技术参数表逐条进行验收。验收应符合国家相关法规及合同的技术要求，同时也应符合厂家提供的技术资料中各项技术指标和参数要求，参数要求必须符合采购参数规定，不能以“标准配置”“选购配置”为由与采购参数不符。</w:t>
            </w:r>
          </w:p>
          <w:p w14:paraId="2E26DC96">
            <w:pPr>
              <w:keepNext w:val="0"/>
              <w:keepLines w:val="0"/>
              <w:pageBreakBefore w:val="0"/>
              <w:shd w:val="clear" w:color="auto"/>
              <w:tabs>
                <w:tab w:val="left" w:pos="180"/>
                <w:tab w:val="left" w:pos="1620"/>
              </w:tabs>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6.采购标的需执行国家相关标准、行业标准等相关标准、规范。</w:t>
            </w:r>
          </w:p>
          <w:p w14:paraId="257125B4">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按照竞争性谈判文件要求、响应文件承诺以及合同条款进行验收</w:t>
            </w:r>
            <w:r>
              <w:rPr>
                <w:rFonts w:hint="eastAsia" w:ascii="宋体" w:hAnsi="宋体" w:eastAsia="宋体" w:cs="宋体"/>
                <w:color w:val="auto"/>
                <w:sz w:val="21"/>
                <w:szCs w:val="21"/>
                <w:highlight w:val="none"/>
              </w:rPr>
              <w:t>。采购人有权拒绝接受，由此产生的一切损失均由</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自行承担。</w:t>
            </w:r>
          </w:p>
          <w:p w14:paraId="6FA34EC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验收标准</w:t>
            </w:r>
          </w:p>
          <w:p w14:paraId="7BAB529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1）本采购文件的相关要求；</w:t>
            </w:r>
          </w:p>
          <w:p w14:paraId="3C5331EC">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2）国家相关法律、法规、标准和规范等。</w:t>
            </w:r>
          </w:p>
          <w:p w14:paraId="244446C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3）执行《关于印发广西壮族自治区政府采购项目履约验收管理办法的通知》（桂财采〔2015〕22号），采用文中《广西壮族自治区政府采购项目合同验收书》格式文本等规范。</w:t>
            </w:r>
          </w:p>
        </w:tc>
      </w:tr>
      <w:tr w14:paraId="5DEC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2" w:type="dxa"/>
            <w:gridSpan w:val="2"/>
            <w:tcBorders>
              <w:top w:val="single" w:color="auto" w:sz="4" w:space="0"/>
              <w:left w:val="single" w:color="auto" w:sz="4" w:space="0"/>
              <w:bottom w:val="single" w:color="auto" w:sz="4" w:space="0"/>
              <w:right w:val="single" w:color="auto" w:sz="4" w:space="0"/>
            </w:tcBorders>
            <w:noWrap w:val="0"/>
            <w:vAlign w:val="center"/>
          </w:tcPr>
          <w:p w14:paraId="43E726C6">
            <w:pPr>
              <w:keepNext w:val="0"/>
              <w:keepLines w:val="0"/>
              <w:pageBreakBefore w:val="0"/>
              <w:shd w:val="clear"/>
              <w:tabs>
                <w:tab w:val="left" w:pos="4214"/>
              </w:tabs>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售后服务要求</w:t>
            </w:r>
          </w:p>
        </w:tc>
        <w:tc>
          <w:tcPr>
            <w:tcW w:w="8564" w:type="dxa"/>
            <w:gridSpan w:val="5"/>
            <w:tcBorders>
              <w:top w:val="single" w:color="auto" w:sz="4" w:space="0"/>
              <w:left w:val="single" w:color="auto" w:sz="4" w:space="0"/>
              <w:bottom w:val="single" w:color="auto" w:sz="4" w:space="0"/>
              <w:right w:val="single" w:color="auto" w:sz="4" w:space="0"/>
            </w:tcBorders>
            <w:noWrap w:val="0"/>
            <w:vAlign w:val="center"/>
          </w:tcPr>
          <w:p w14:paraId="4AB7D62D">
            <w:pPr>
              <w:keepNext w:val="0"/>
              <w:keepLines w:val="0"/>
              <w:pageBreakBefore w:val="0"/>
              <w:shd w:val="clear"/>
              <w:tabs>
                <w:tab w:val="left" w:pos="4214"/>
              </w:tabs>
              <w:kinsoku/>
              <w:wordWrap w:val="0"/>
              <w:overflowPunct/>
              <w:topLinePunct w:val="0"/>
              <w:autoSpaceDE/>
              <w:autoSpaceDN/>
              <w:bidi w:val="0"/>
              <w:adjustRightIn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供应商提供的以下售后服务均应包含在响应报价中，采购人不再就此另行支付任何费用：</w:t>
            </w:r>
          </w:p>
          <w:p w14:paraId="0154B790">
            <w:pPr>
              <w:keepNext w:val="0"/>
              <w:keepLines w:val="0"/>
              <w:pageBreakBefore w:val="0"/>
              <w:shd w:val="clear"/>
              <w:tabs>
                <w:tab w:val="left" w:pos="4214"/>
              </w:tabs>
              <w:kinsoku/>
              <w:wordWrap w:val="0"/>
              <w:overflowPunct/>
              <w:topLinePunct w:val="0"/>
              <w:autoSpaceDE/>
              <w:autoSpaceDN/>
              <w:bidi w:val="0"/>
              <w:adjustRightIn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1.按厂家承诺实行“三包”；负责送货到采购人指定地点，协助采购人进行安装场地设计，负责安装、调试，安装应符合国家行业相关标准、规范及规定。</w:t>
            </w:r>
          </w:p>
          <w:p w14:paraId="0336043F">
            <w:pPr>
              <w:keepNext w:val="0"/>
              <w:keepLines w:val="0"/>
              <w:pageBreakBefore w:val="0"/>
              <w:shd w:val="clear"/>
              <w:tabs>
                <w:tab w:val="left" w:pos="4214"/>
              </w:tabs>
              <w:kinsoku/>
              <w:wordWrap w:val="0"/>
              <w:overflowPunct/>
              <w:topLinePunct w:val="0"/>
              <w:autoSpaceDE/>
              <w:autoSpaceDN/>
              <w:bidi w:val="0"/>
              <w:adjustRightIn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2.质保期内为采购人提供完善的设备、操作培训和维修技术人员的培训，确保采购人有关人员能独立操作使用设备；培训人数由采购人确定。</w:t>
            </w:r>
          </w:p>
          <w:p w14:paraId="08153ED0">
            <w:pPr>
              <w:keepNext w:val="0"/>
              <w:keepLines w:val="0"/>
              <w:pageBreakBefore w:val="0"/>
              <w:shd w:val="clear"/>
              <w:tabs>
                <w:tab w:val="left" w:pos="4214"/>
              </w:tabs>
              <w:kinsoku/>
              <w:wordWrap w:val="0"/>
              <w:overflowPunct/>
              <w:topLinePunct w:val="0"/>
              <w:autoSpaceDE/>
              <w:autoSpaceDN/>
              <w:bidi w:val="0"/>
              <w:adjustRightIn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3.设备安装调试期间采购人及成交供应商双方必须安排人员到场，采购人只负责协调及监督工作，成交供应商应当安排足够人员到场负责进行装卸、调试。清理产生的木箱等工作；</w:t>
            </w:r>
          </w:p>
          <w:p w14:paraId="4C7AEA32">
            <w:pPr>
              <w:keepNext w:val="0"/>
              <w:keepLines w:val="0"/>
              <w:pageBreakBefore w:val="0"/>
              <w:shd w:val="clear"/>
              <w:tabs>
                <w:tab w:val="left" w:pos="4214"/>
              </w:tabs>
              <w:kinsoku/>
              <w:wordWrap w:val="0"/>
              <w:overflowPunct/>
              <w:topLinePunct w:val="0"/>
              <w:autoSpaceDE/>
              <w:autoSpaceDN/>
              <w:bidi w:val="0"/>
              <w:adjustRightIn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4.保修要求：</w:t>
            </w:r>
          </w:p>
          <w:p w14:paraId="4B2DBB9E">
            <w:pPr>
              <w:keepNext w:val="0"/>
              <w:keepLines w:val="0"/>
              <w:pageBreakBefore w:val="0"/>
              <w:shd w:val="clear"/>
              <w:tabs>
                <w:tab w:val="left" w:pos="4214"/>
              </w:tabs>
              <w:kinsoku/>
              <w:wordWrap w:val="0"/>
              <w:overflowPunct/>
              <w:topLinePunct w:val="0"/>
              <w:autoSpaceDE/>
              <w:autoSpaceDN/>
              <w:bidi w:val="0"/>
              <w:adjustRightIn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（1）保修期内，如果出现故障，成交供应商在接到采购人电话通知后，6小时内做出响应，24小时内工程师到达维修现场。一般问题应在48小时内解决，重大故障处理时限不超过72小时修复（不可抗力情况除外）。</w:t>
            </w:r>
          </w:p>
          <w:p w14:paraId="29393B4C">
            <w:pPr>
              <w:keepNext w:val="0"/>
              <w:keepLines w:val="0"/>
              <w:pageBreakBefore w:val="0"/>
              <w:shd w:val="clear"/>
              <w:tabs>
                <w:tab w:val="left" w:pos="4214"/>
              </w:tabs>
              <w:kinsoku/>
              <w:wordWrap w:val="0"/>
              <w:overflowPunct/>
              <w:topLinePunct w:val="0"/>
              <w:autoSpaceDE/>
              <w:autoSpaceDN/>
              <w:bidi w:val="0"/>
              <w:adjustRightIn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（2）若产品自带软件的，则须提供保修期内提供软件升级服务。</w:t>
            </w:r>
          </w:p>
          <w:p w14:paraId="70D60FFB">
            <w:pPr>
              <w:keepNext w:val="0"/>
              <w:keepLines w:val="0"/>
              <w:pageBreakBefore w:val="0"/>
              <w:shd w:val="clear"/>
              <w:tabs>
                <w:tab w:val="left" w:pos="4214"/>
              </w:tabs>
              <w:kinsoku/>
              <w:wordWrap w:val="0"/>
              <w:overflowPunct/>
              <w:topLinePunct w:val="0"/>
              <w:autoSpaceDE/>
              <w:autoSpaceDN/>
              <w:bidi w:val="0"/>
              <w:adjustRightIn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（3）每半年至少进行一次定期回访以及对设备保养。</w:t>
            </w:r>
          </w:p>
          <w:p w14:paraId="2138AE7A">
            <w:pPr>
              <w:keepNext w:val="0"/>
              <w:keepLines w:val="0"/>
              <w:pageBreakBefore w:val="0"/>
              <w:shd w:val="clear"/>
              <w:tabs>
                <w:tab w:val="left" w:pos="4214"/>
              </w:tabs>
              <w:kinsoku/>
              <w:wordWrap w:val="0"/>
              <w:overflowPunct/>
              <w:topLinePunct w:val="0"/>
              <w:autoSpaceDE/>
              <w:autoSpaceDN/>
              <w:bidi w:val="0"/>
              <w:adjustRightIn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5.在设备使用年限之内，按要求需要对设备进行的检测项目，检测所产生的相关费用由成交供应商负责，采购人不再另行支付。</w:t>
            </w:r>
          </w:p>
          <w:p w14:paraId="78538D2E">
            <w:pPr>
              <w:keepNext w:val="0"/>
              <w:keepLines w:val="0"/>
              <w:pageBreakBefore w:val="0"/>
              <w:shd w:val="clear"/>
              <w:tabs>
                <w:tab w:val="left" w:pos="4214"/>
              </w:tabs>
              <w:kinsoku/>
              <w:wordWrap w:val="0"/>
              <w:overflowPunct/>
              <w:topLinePunct w:val="0"/>
              <w:autoSpaceDE/>
              <w:autoSpaceDN/>
              <w:bidi w:val="0"/>
              <w:adjustRightIn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在保修期内，成交供应商应对货物出现的质量及安全问题负责处理解决并承担一切费用。在保修期内因货物本身的质量问题发生故障，成交供应商应负责修理和更换零部件。对达不到技术要求者，根据实际情况，经双方协商，可按以下办法处理：</w:t>
            </w:r>
          </w:p>
          <w:p w14:paraId="334D3919">
            <w:pPr>
              <w:keepNext w:val="0"/>
              <w:keepLines w:val="0"/>
              <w:pageBreakBefore w:val="0"/>
              <w:shd w:val="clear"/>
              <w:tabs>
                <w:tab w:val="left" w:pos="4214"/>
              </w:tabs>
              <w:kinsoku/>
              <w:wordWrap w:val="0"/>
              <w:overflowPunct/>
              <w:topLinePunct w:val="0"/>
              <w:autoSpaceDE/>
              <w:autoSpaceDN/>
              <w:bidi w:val="0"/>
              <w:adjustRightIn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（1）更换：由成交供应商承担所发生的全部费用。</w:t>
            </w:r>
          </w:p>
          <w:p w14:paraId="3A9D0B71">
            <w:pPr>
              <w:keepNext w:val="0"/>
              <w:keepLines w:val="0"/>
              <w:pageBreakBefore w:val="0"/>
              <w:shd w:val="clear"/>
              <w:tabs>
                <w:tab w:val="left" w:pos="4214"/>
              </w:tabs>
              <w:kinsoku/>
              <w:wordWrap w:val="0"/>
              <w:overflowPunct/>
              <w:topLinePunct w:val="0"/>
              <w:autoSpaceDE/>
              <w:autoSpaceDN/>
              <w:bidi w:val="0"/>
              <w:adjustRightIn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（2）贬值处理：由采购人、成交供应商双方合议定价。</w:t>
            </w:r>
          </w:p>
          <w:p w14:paraId="14D87C63">
            <w:pPr>
              <w:keepNext w:val="0"/>
              <w:keepLines w:val="0"/>
              <w:pageBreakBefore w:val="0"/>
              <w:shd w:val="clear"/>
              <w:tabs>
                <w:tab w:val="left" w:pos="4214"/>
              </w:tabs>
              <w:kinsoku/>
              <w:wordWrap w:val="0"/>
              <w:overflowPunct/>
              <w:topLinePunct w:val="0"/>
              <w:autoSpaceDE/>
              <w:autoSpaceDN/>
              <w:bidi w:val="0"/>
              <w:adjustRightIn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（3）退货处理：成交供应商应退还采购人支付的相应设备合同款，同时应承担该货物的直接费用（运输、保险、检验、贷款利息及银行手续费等）。</w:t>
            </w:r>
          </w:p>
          <w:p w14:paraId="424D7625">
            <w:pPr>
              <w:keepNext w:val="0"/>
              <w:keepLines w:val="0"/>
              <w:pageBreakBefore w:val="0"/>
              <w:shd w:val="clear"/>
              <w:tabs>
                <w:tab w:val="left" w:pos="4214"/>
              </w:tabs>
              <w:kinsoku/>
              <w:wordWrap w:val="0"/>
              <w:overflowPunct/>
              <w:topLinePunct w:val="0"/>
              <w:autoSpaceDE/>
              <w:autoSpaceDN/>
              <w:bidi w:val="0"/>
              <w:adjustRightIn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8.售后服务其他要求按合同条款执行。</w:t>
            </w:r>
          </w:p>
          <w:p w14:paraId="31CDAA7A">
            <w:pPr>
              <w:keepNext w:val="0"/>
              <w:keepLines w:val="0"/>
              <w:pageBreakBefore w:val="0"/>
              <w:shd w:val="clear"/>
              <w:tabs>
                <w:tab w:val="left" w:pos="4214"/>
              </w:tabs>
              <w:kinsoku/>
              <w:wordWrap w:val="0"/>
              <w:overflowPunct/>
              <w:topLinePunct w:val="0"/>
              <w:autoSpaceDE/>
              <w:autoSpaceDN/>
              <w:bidi w:val="0"/>
              <w:adjustRightInd/>
              <w:spacing w:line="360" w:lineRule="auto"/>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2"/>
                <w:sz w:val="21"/>
                <w:szCs w:val="21"/>
                <w:highlight w:val="none"/>
                <w:lang w:val="en-US" w:eastAsia="zh-CN" w:bidi="ar-SA"/>
              </w:rPr>
              <w:t>成交供应商</w:t>
            </w:r>
            <w:r>
              <w:rPr>
                <w:rFonts w:hint="eastAsia" w:ascii="宋体" w:hAnsi="宋体" w:eastAsia="宋体" w:cs="宋体"/>
                <w:color w:val="auto"/>
                <w:kern w:val="0"/>
                <w:sz w:val="21"/>
                <w:szCs w:val="21"/>
                <w:highlight w:val="none"/>
              </w:rPr>
              <w:t>应保证提供的是全新未经使用的合格产品</w:t>
            </w:r>
            <w:r>
              <w:rPr>
                <w:rFonts w:hint="eastAsia" w:ascii="宋体" w:hAnsi="宋体" w:eastAsia="宋体" w:cs="宋体"/>
                <w:color w:val="auto"/>
                <w:sz w:val="21"/>
                <w:szCs w:val="21"/>
                <w:highlight w:val="none"/>
              </w:rPr>
              <w:t>。</w:t>
            </w:r>
          </w:p>
        </w:tc>
      </w:tr>
      <w:tr w14:paraId="2C211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2" w:type="dxa"/>
            <w:gridSpan w:val="2"/>
            <w:tcBorders>
              <w:top w:val="single" w:color="auto" w:sz="4" w:space="0"/>
              <w:left w:val="single" w:color="auto" w:sz="4" w:space="0"/>
              <w:bottom w:val="single" w:color="auto" w:sz="4" w:space="0"/>
              <w:right w:val="single" w:color="auto" w:sz="4" w:space="0"/>
            </w:tcBorders>
            <w:noWrap w:val="0"/>
            <w:vAlign w:val="center"/>
          </w:tcPr>
          <w:p w14:paraId="0216B4F2">
            <w:pPr>
              <w:keepNext w:val="0"/>
              <w:keepLines w:val="0"/>
              <w:pageBreakBefore w:val="0"/>
              <w:shd w:val="clear" w:color="auto"/>
              <w:kinsoku/>
              <w:wordWrap w:val="0"/>
              <w:overflowPunct/>
              <w:topLinePunct w:val="0"/>
              <w:autoSpaceDE/>
              <w:autoSpaceDN/>
              <w:bidi w:val="0"/>
              <w:adjustRightInd/>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包装和运输</w:t>
            </w:r>
          </w:p>
        </w:tc>
        <w:tc>
          <w:tcPr>
            <w:tcW w:w="8564" w:type="dxa"/>
            <w:gridSpan w:val="5"/>
            <w:tcBorders>
              <w:top w:val="single" w:color="auto" w:sz="4" w:space="0"/>
              <w:left w:val="single" w:color="auto" w:sz="4" w:space="0"/>
              <w:bottom w:val="single" w:color="auto" w:sz="4" w:space="0"/>
              <w:right w:val="single" w:color="auto" w:sz="4" w:space="0"/>
            </w:tcBorders>
            <w:noWrap w:val="0"/>
            <w:vAlign w:val="center"/>
          </w:tcPr>
          <w:p w14:paraId="6EC0DBA0">
            <w:pPr>
              <w:keepNext w:val="0"/>
              <w:keepLines w:val="0"/>
              <w:pageBreakBefore w:val="0"/>
              <w:shd w:val="clear" w:color="auto"/>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1.原厂原包装，包装完好完整、无破损、未开封。</w:t>
            </w:r>
          </w:p>
          <w:p w14:paraId="6100AF76">
            <w:pPr>
              <w:keepNext w:val="0"/>
              <w:keepLines w:val="0"/>
              <w:pageBreakBefore w:val="0"/>
              <w:shd w:val="clear" w:color="auto"/>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kern w:val="2"/>
                <w:sz w:val="21"/>
                <w:szCs w:val="21"/>
                <w:highlight w:val="none"/>
                <w:lang w:val="en-US" w:eastAsia="zh-CN" w:bidi="ar-SA"/>
              </w:rPr>
              <w:t>成交</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应在货物发运前对其进行满足于运输距离、防潮、防震、防锈和防破损装卸要求的包装，以保证货物安全无损的运输到达采购人指定地点。</w:t>
            </w:r>
          </w:p>
          <w:p w14:paraId="57A36469">
            <w:pPr>
              <w:keepNext w:val="0"/>
              <w:keepLines w:val="0"/>
              <w:pageBreakBefore w:val="0"/>
              <w:shd w:val="clear" w:color="auto"/>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使用说明书、质量检验证明书、随配附件和工具以及配置清单等一并附于货物内交付采购人。</w:t>
            </w:r>
          </w:p>
          <w:p w14:paraId="61C0BD99">
            <w:pPr>
              <w:keepNext w:val="0"/>
              <w:keepLines w:val="0"/>
              <w:pageBreakBefore w:val="0"/>
              <w:shd w:val="clear" w:color="auto"/>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kern w:val="2"/>
                <w:sz w:val="21"/>
                <w:szCs w:val="21"/>
                <w:highlight w:val="none"/>
                <w:lang w:val="en-US" w:eastAsia="zh-CN" w:bidi="ar-SA"/>
              </w:rPr>
              <w:t>成交</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负责将货物安全运送到采购人指定地点，并负责清理回收采购人抛弃的相关大件包装，不另收任何费用。货到采购人</w:t>
            </w:r>
            <w:r>
              <w:rPr>
                <w:rFonts w:hint="eastAsia" w:ascii="宋体" w:hAnsi="宋体" w:eastAsia="宋体" w:cs="宋体"/>
                <w:color w:val="auto"/>
                <w:sz w:val="21"/>
                <w:szCs w:val="21"/>
                <w:highlight w:val="none"/>
                <w:lang w:val="en-US" w:eastAsia="zh-CN"/>
              </w:rPr>
              <w:t>指定交货地点</w:t>
            </w:r>
            <w:r>
              <w:rPr>
                <w:rFonts w:hint="eastAsia" w:ascii="宋体" w:hAnsi="宋体" w:eastAsia="宋体" w:cs="宋体"/>
                <w:color w:val="auto"/>
                <w:sz w:val="21"/>
                <w:szCs w:val="21"/>
                <w:highlight w:val="none"/>
              </w:rPr>
              <w:t>前48小时，由</w:t>
            </w:r>
            <w:r>
              <w:rPr>
                <w:rFonts w:hint="eastAsia" w:ascii="宋体" w:hAnsi="宋体" w:eastAsia="宋体" w:cs="宋体"/>
                <w:color w:val="auto"/>
                <w:kern w:val="2"/>
                <w:sz w:val="21"/>
                <w:szCs w:val="21"/>
                <w:highlight w:val="none"/>
                <w:lang w:val="en-US" w:eastAsia="zh-CN" w:bidi="ar-SA"/>
              </w:rPr>
              <w:t>成交</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通知采购人，但在验收前采购人原则上不负责接收货物。</w:t>
            </w:r>
          </w:p>
          <w:p w14:paraId="6E0E32DC">
            <w:pPr>
              <w:keepNext w:val="0"/>
              <w:keepLines w:val="0"/>
              <w:pageBreakBefore w:val="0"/>
              <w:shd w:val="clear" w:color="auto"/>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国家对包装及运输有相关强制性标准或要求的，</w:t>
            </w:r>
            <w:r>
              <w:rPr>
                <w:rFonts w:hint="eastAsia" w:ascii="宋体" w:hAnsi="宋体" w:eastAsia="宋体" w:cs="宋体"/>
                <w:color w:val="auto"/>
                <w:kern w:val="2"/>
                <w:sz w:val="21"/>
                <w:szCs w:val="21"/>
                <w:highlight w:val="none"/>
                <w:lang w:val="en-US" w:eastAsia="zh-CN" w:bidi="ar-SA"/>
              </w:rPr>
              <w:t>成交</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应当执行。</w:t>
            </w:r>
          </w:p>
          <w:p w14:paraId="2BC189D9">
            <w:pPr>
              <w:keepNext w:val="0"/>
              <w:keepLines w:val="0"/>
              <w:pageBreakBefore w:val="0"/>
              <w:shd w:val="clear" w:color="auto"/>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产品（含包装）运抵采购人指定交付地点前发生损坏、丢失等全部风险和责任均由</w:t>
            </w:r>
            <w:r>
              <w:rPr>
                <w:rFonts w:hint="eastAsia" w:ascii="宋体" w:hAnsi="宋体" w:eastAsia="宋体" w:cs="宋体"/>
                <w:color w:val="auto"/>
                <w:kern w:val="2"/>
                <w:sz w:val="21"/>
                <w:szCs w:val="21"/>
                <w:highlight w:val="none"/>
                <w:lang w:val="en-US" w:eastAsia="zh-CN" w:bidi="ar-SA"/>
              </w:rPr>
              <w:t>成交</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自行承担。</w:t>
            </w:r>
          </w:p>
        </w:tc>
      </w:tr>
      <w:tr w14:paraId="5C59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2" w:type="dxa"/>
            <w:gridSpan w:val="2"/>
            <w:tcBorders>
              <w:top w:val="single" w:color="auto" w:sz="4" w:space="0"/>
              <w:left w:val="single" w:color="auto" w:sz="4" w:space="0"/>
              <w:bottom w:val="single" w:color="auto" w:sz="4" w:space="0"/>
              <w:right w:val="single" w:color="auto" w:sz="4" w:space="0"/>
            </w:tcBorders>
            <w:noWrap w:val="0"/>
            <w:vAlign w:val="center"/>
          </w:tcPr>
          <w:p w14:paraId="2FBCF191">
            <w:pPr>
              <w:keepNext w:val="0"/>
              <w:keepLines w:val="0"/>
              <w:pageBreakBefore w:val="0"/>
              <w:shd w:val="clear" w:color="auto"/>
              <w:kinsoku/>
              <w:wordWrap w:val="0"/>
              <w:overflowPunct/>
              <w:topLinePunct w:val="0"/>
              <w:autoSpaceDE/>
              <w:autoSpaceDN/>
              <w:bidi w:val="0"/>
              <w:adjustRightInd/>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保险</w:t>
            </w:r>
          </w:p>
        </w:tc>
        <w:tc>
          <w:tcPr>
            <w:tcW w:w="8564" w:type="dxa"/>
            <w:gridSpan w:val="5"/>
            <w:tcBorders>
              <w:top w:val="single" w:color="auto" w:sz="4" w:space="0"/>
              <w:left w:val="single" w:color="auto" w:sz="4" w:space="0"/>
              <w:bottom w:val="single" w:color="auto" w:sz="4" w:space="0"/>
              <w:right w:val="single" w:color="auto" w:sz="4" w:space="0"/>
            </w:tcBorders>
            <w:noWrap w:val="0"/>
            <w:vAlign w:val="center"/>
          </w:tcPr>
          <w:p w14:paraId="5A6B4674">
            <w:pPr>
              <w:keepNext w:val="0"/>
              <w:keepLines w:val="0"/>
              <w:pageBreakBefore w:val="0"/>
              <w:shd w:val="clear" w:color="auto"/>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成交</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kern w:val="0"/>
                <w:sz w:val="21"/>
                <w:szCs w:val="21"/>
                <w:highlight w:val="none"/>
                <w:lang w:val="en-US" w:eastAsia="zh-CN"/>
              </w:rPr>
              <w:t>负责办理运输和保险，将货物运抵交货地点。</w:t>
            </w:r>
            <w:r>
              <w:rPr>
                <w:rFonts w:hint="eastAsia" w:ascii="宋体" w:hAnsi="宋体" w:eastAsia="宋体" w:cs="宋体"/>
                <w:color w:val="auto"/>
                <w:sz w:val="21"/>
                <w:szCs w:val="21"/>
                <w:highlight w:val="none"/>
              </w:rPr>
              <w:t>若</w:t>
            </w:r>
            <w:r>
              <w:rPr>
                <w:rFonts w:hint="eastAsia" w:ascii="宋体" w:hAnsi="宋体" w:eastAsia="宋体" w:cs="宋体"/>
                <w:color w:val="auto"/>
                <w:sz w:val="21"/>
                <w:szCs w:val="21"/>
                <w:highlight w:val="none"/>
                <w:lang w:val="en-US" w:eastAsia="zh-CN"/>
              </w:rPr>
              <w:t>成交供应商</w:t>
            </w:r>
            <w:r>
              <w:rPr>
                <w:rFonts w:hint="eastAsia" w:ascii="宋体" w:hAnsi="宋体" w:eastAsia="宋体" w:cs="宋体"/>
                <w:color w:val="auto"/>
                <w:sz w:val="21"/>
                <w:szCs w:val="21"/>
                <w:highlight w:val="none"/>
              </w:rPr>
              <w:t>为本项目标的及标的涉及的相关材料、设备、人员、运输等购买保险的，相关费用由</w:t>
            </w:r>
            <w:r>
              <w:rPr>
                <w:rFonts w:hint="eastAsia" w:ascii="宋体" w:hAnsi="宋体" w:eastAsia="宋体" w:cs="宋体"/>
                <w:color w:val="auto"/>
                <w:sz w:val="21"/>
                <w:szCs w:val="21"/>
                <w:highlight w:val="none"/>
                <w:lang w:val="en-US" w:eastAsia="zh-CN"/>
              </w:rPr>
              <w:t>成交供应商</w:t>
            </w:r>
            <w:r>
              <w:rPr>
                <w:rFonts w:hint="eastAsia" w:ascii="宋体" w:hAnsi="宋体" w:eastAsia="宋体" w:cs="宋体"/>
                <w:color w:val="auto"/>
                <w:sz w:val="21"/>
                <w:szCs w:val="21"/>
                <w:highlight w:val="none"/>
              </w:rPr>
              <w:t>自行承担。</w:t>
            </w:r>
          </w:p>
        </w:tc>
      </w:tr>
      <w:tr w14:paraId="3BD9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2" w:type="dxa"/>
            <w:gridSpan w:val="2"/>
            <w:tcBorders>
              <w:top w:val="single" w:color="auto" w:sz="4" w:space="0"/>
              <w:left w:val="single" w:color="auto" w:sz="4" w:space="0"/>
              <w:bottom w:val="single" w:color="auto" w:sz="4" w:space="0"/>
              <w:right w:val="single" w:color="auto" w:sz="4" w:space="0"/>
            </w:tcBorders>
            <w:noWrap w:val="0"/>
            <w:vAlign w:val="center"/>
          </w:tcPr>
          <w:p w14:paraId="3D1AE5C6">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其他要求</w:t>
            </w:r>
          </w:p>
        </w:tc>
        <w:tc>
          <w:tcPr>
            <w:tcW w:w="8564" w:type="dxa"/>
            <w:gridSpan w:val="5"/>
            <w:tcBorders>
              <w:top w:val="single" w:color="auto" w:sz="4" w:space="0"/>
              <w:left w:val="single" w:color="auto" w:sz="4" w:space="0"/>
              <w:bottom w:val="single" w:color="auto" w:sz="4" w:space="0"/>
              <w:right w:val="single" w:color="auto" w:sz="4" w:space="0"/>
            </w:tcBorders>
            <w:noWrap w:val="0"/>
            <w:vAlign w:val="top"/>
          </w:tcPr>
          <w:p w14:paraId="0047C83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应保证，采购人在中华人民共和国使用该货物或货物的任何一部分时，免受第三方提出的侵犯其专利权、商标权、著作权或其它知识产权的起诉，如发生此类纠纷，由</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承担一切责任。</w:t>
            </w:r>
          </w:p>
          <w:p w14:paraId="6EDC391D">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在货物验收时，如发现存在虚假响应，采购人将终止合同，并上报监督管理部门进行处罚。</w:t>
            </w:r>
          </w:p>
        </w:tc>
      </w:tr>
      <w:tr w14:paraId="47D6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6" w:type="dxa"/>
            <w:gridSpan w:val="7"/>
            <w:tcBorders>
              <w:top w:val="single" w:color="auto" w:sz="4" w:space="0"/>
              <w:left w:val="single" w:color="auto" w:sz="4" w:space="0"/>
              <w:bottom w:val="single" w:color="auto" w:sz="4" w:space="0"/>
              <w:right w:val="single" w:color="auto" w:sz="4" w:space="0"/>
            </w:tcBorders>
            <w:noWrap w:val="0"/>
            <w:vAlign w:val="center"/>
          </w:tcPr>
          <w:p w14:paraId="0655C53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三</w:t>
            </w:r>
            <w:r>
              <w:rPr>
                <w:rFonts w:hint="eastAsia" w:ascii="宋体" w:hAnsi="宋体" w:eastAsia="宋体" w:cs="宋体"/>
                <w:b/>
                <w:bCs w:val="0"/>
                <w:color w:val="auto"/>
                <w:sz w:val="21"/>
                <w:szCs w:val="21"/>
                <w:highlight w:val="none"/>
              </w:rPr>
              <w:t>、与实现项目目标相关的其他要求</w:t>
            </w:r>
          </w:p>
        </w:tc>
      </w:tr>
      <w:tr w14:paraId="580C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6" w:type="dxa"/>
            <w:gridSpan w:val="7"/>
            <w:tcBorders>
              <w:top w:val="single" w:color="auto" w:sz="4" w:space="0"/>
              <w:left w:val="single" w:color="auto" w:sz="4" w:space="0"/>
              <w:bottom w:val="single" w:color="auto" w:sz="4" w:space="0"/>
              <w:right w:val="single" w:color="auto" w:sz="4" w:space="0"/>
            </w:tcBorders>
            <w:noWrap w:val="0"/>
            <w:vAlign w:val="center"/>
          </w:tcPr>
          <w:p w14:paraId="1BF8814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的履约能力要求</w:t>
            </w:r>
          </w:p>
        </w:tc>
      </w:tr>
      <w:tr w14:paraId="2046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2" w:type="dxa"/>
            <w:gridSpan w:val="2"/>
            <w:tcBorders>
              <w:top w:val="single" w:color="auto" w:sz="4" w:space="0"/>
              <w:left w:val="single" w:color="auto" w:sz="4" w:space="0"/>
              <w:bottom w:val="single" w:color="auto" w:sz="4" w:space="0"/>
              <w:right w:val="single" w:color="auto" w:sz="4" w:space="0"/>
            </w:tcBorders>
            <w:noWrap w:val="0"/>
            <w:vAlign w:val="center"/>
          </w:tcPr>
          <w:p w14:paraId="67C39C12">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质量管理、企业信用要求</w:t>
            </w:r>
          </w:p>
        </w:tc>
        <w:tc>
          <w:tcPr>
            <w:tcW w:w="8564" w:type="dxa"/>
            <w:gridSpan w:val="5"/>
            <w:tcBorders>
              <w:top w:val="single" w:color="auto" w:sz="4" w:space="0"/>
              <w:left w:val="single" w:color="auto" w:sz="4" w:space="0"/>
              <w:bottom w:val="single" w:color="auto" w:sz="4" w:space="0"/>
              <w:right w:val="single" w:color="auto" w:sz="4" w:space="0"/>
            </w:tcBorders>
            <w:noWrap w:val="0"/>
            <w:vAlign w:val="center"/>
          </w:tcPr>
          <w:p w14:paraId="4FBE9E55">
            <w:pPr>
              <w:keepNext w:val="0"/>
              <w:keepLines w:val="0"/>
              <w:pageBreakBefore w:val="0"/>
              <w:shd w:val="clear"/>
              <w:kinsoku/>
              <w:wordWrap w:val="0"/>
              <w:overflowPunct/>
              <w:topLinePunct w:val="0"/>
              <w:autoSpaceDE/>
              <w:autoSpaceDN/>
              <w:bidi w:val="0"/>
              <w:adjustRightIn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详见《第四章</w:t>
            </w:r>
            <w:r>
              <w:rPr>
                <w:rFonts w:hint="eastAsia" w:ascii="宋体" w:hAnsi="宋体" w:cs="宋体"/>
                <w:color w:val="auto"/>
                <w:highlight w:val="none"/>
              </w:rPr>
              <w:t>评审程序、评审方法和评审标准</w:t>
            </w:r>
            <w:r>
              <w:rPr>
                <w:rFonts w:hint="eastAsia" w:ascii="宋体" w:hAnsi="宋体" w:eastAsia="宋体" w:cs="宋体"/>
                <w:color w:val="auto"/>
                <w:sz w:val="21"/>
                <w:szCs w:val="21"/>
                <w:highlight w:val="none"/>
              </w:rPr>
              <w:t>》。</w:t>
            </w:r>
          </w:p>
        </w:tc>
      </w:tr>
      <w:tr w14:paraId="6F1F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2" w:type="dxa"/>
            <w:gridSpan w:val="2"/>
            <w:tcBorders>
              <w:top w:val="single" w:color="auto" w:sz="4" w:space="0"/>
              <w:left w:val="single" w:color="auto" w:sz="4" w:space="0"/>
              <w:bottom w:val="single" w:color="auto" w:sz="4" w:space="0"/>
              <w:right w:val="single" w:color="auto" w:sz="4" w:space="0"/>
            </w:tcBorders>
            <w:noWrap w:val="0"/>
            <w:vAlign w:val="center"/>
          </w:tcPr>
          <w:p w14:paraId="284EC0FC">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能力或者业绩</w:t>
            </w:r>
          </w:p>
          <w:p w14:paraId="6E51560F">
            <w:pPr>
              <w:keepNext w:val="0"/>
              <w:keepLines w:val="0"/>
              <w:pageBreakBefore w:val="0"/>
              <w:shd w:val="clear"/>
              <w:kinsoku/>
              <w:wordWrap w:val="0"/>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  求</w:t>
            </w:r>
          </w:p>
        </w:tc>
        <w:tc>
          <w:tcPr>
            <w:tcW w:w="8564" w:type="dxa"/>
            <w:gridSpan w:val="5"/>
            <w:tcBorders>
              <w:top w:val="single" w:color="auto" w:sz="4" w:space="0"/>
              <w:left w:val="single" w:color="auto" w:sz="4" w:space="0"/>
              <w:bottom w:val="single" w:color="auto" w:sz="4" w:space="0"/>
              <w:right w:val="single" w:color="auto" w:sz="4" w:space="0"/>
            </w:tcBorders>
            <w:noWrap w:val="0"/>
            <w:vAlign w:val="center"/>
          </w:tcPr>
          <w:p w14:paraId="182DAD7C">
            <w:pPr>
              <w:keepNext w:val="0"/>
              <w:keepLines w:val="0"/>
              <w:pageBreakBefore w:val="0"/>
              <w:shd w:val="clear"/>
              <w:kinsoku/>
              <w:wordWrap w:val="0"/>
              <w:overflowPunct/>
              <w:topLinePunct w:val="0"/>
              <w:autoSpaceDE/>
              <w:autoSpaceDN/>
              <w:bidi w:val="0"/>
              <w:adjustRightIn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详见《第四章</w:t>
            </w:r>
            <w:r>
              <w:rPr>
                <w:rFonts w:hint="eastAsia" w:ascii="宋体" w:hAnsi="宋体" w:cs="宋体"/>
                <w:color w:val="auto"/>
                <w:highlight w:val="none"/>
              </w:rPr>
              <w:t>评审程序、评审方法和评审标准</w:t>
            </w:r>
            <w:r>
              <w:rPr>
                <w:rFonts w:hint="eastAsia" w:ascii="宋体" w:hAnsi="宋体" w:eastAsia="宋体" w:cs="宋体"/>
                <w:color w:val="auto"/>
                <w:sz w:val="21"/>
                <w:szCs w:val="21"/>
                <w:highlight w:val="none"/>
              </w:rPr>
              <w:t>》。</w:t>
            </w:r>
          </w:p>
        </w:tc>
      </w:tr>
      <w:tr w14:paraId="2EDD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6" w:type="dxa"/>
            <w:gridSpan w:val="7"/>
            <w:tcBorders>
              <w:top w:val="single" w:color="auto" w:sz="4" w:space="0"/>
              <w:left w:val="single" w:color="auto" w:sz="4" w:space="0"/>
              <w:bottom w:val="single" w:color="auto" w:sz="4" w:space="0"/>
              <w:right w:val="single" w:color="auto" w:sz="4" w:space="0"/>
            </w:tcBorders>
            <w:noWrap w:val="0"/>
            <w:vAlign w:val="center"/>
          </w:tcPr>
          <w:p w14:paraId="006D7CB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（二）政策性加分条件</w:t>
            </w:r>
          </w:p>
        </w:tc>
      </w:tr>
      <w:tr w14:paraId="2BF9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6" w:type="dxa"/>
            <w:gridSpan w:val="7"/>
            <w:tcBorders>
              <w:top w:val="single" w:color="auto" w:sz="4" w:space="0"/>
              <w:left w:val="single" w:color="auto" w:sz="4" w:space="0"/>
              <w:bottom w:val="single" w:color="auto" w:sz="4" w:space="0"/>
              <w:right w:val="single" w:color="auto" w:sz="4" w:space="0"/>
            </w:tcBorders>
            <w:noWrap w:val="0"/>
            <w:vAlign w:val="center"/>
          </w:tcPr>
          <w:p w14:paraId="6BDA08B3">
            <w:pPr>
              <w:keepNext w:val="0"/>
              <w:keepLines w:val="0"/>
              <w:pageBreakBefore w:val="0"/>
              <w:shd w:val="clear"/>
              <w:kinsoku/>
              <w:wordWrap w:val="0"/>
              <w:overflowPunct/>
              <w:topLinePunct w:val="0"/>
              <w:autoSpaceDE/>
              <w:autoSpaceDN/>
              <w:bidi w:val="0"/>
              <w:adjustRightInd/>
              <w:spacing w:line="36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符合节能环保等国家政策要求</w:t>
            </w:r>
            <w:r>
              <w:rPr>
                <w:rFonts w:hint="eastAsia" w:ascii="宋体" w:hAnsi="宋体" w:eastAsia="宋体" w:cs="宋体"/>
                <w:color w:val="auto"/>
                <w:sz w:val="21"/>
                <w:szCs w:val="21"/>
                <w:highlight w:val="none"/>
                <w:lang w:eastAsia="zh-CN"/>
              </w:rPr>
              <w:t>。</w:t>
            </w:r>
          </w:p>
        </w:tc>
      </w:tr>
      <w:tr w14:paraId="4354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6" w:type="dxa"/>
            <w:gridSpan w:val="7"/>
            <w:tcBorders>
              <w:top w:val="single" w:color="auto" w:sz="4" w:space="0"/>
              <w:left w:val="single" w:color="auto" w:sz="4" w:space="0"/>
              <w:bottom w:val="single" w:color="auto" w:sz="4" w:space="0"/>
              <w:right w:val="single" w:color="auto" w:sz="4" w:space="0"/>
            </w:tcBorders>
            <w:noWrap w:val="0"/>
            <w:vAlign w:val="center"/>
          </w:tcPr>
          <w:p w14:paraId="671B4002">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（三）进口产品说明</w:t>
            </w:r>
          </w:p>
        </w:tc>
      </w:tr>
      <w:tr w14:paraId="3451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2" w:type="dxa"/>
            <w:gridSpan w:val="2"/>
            <w:tcBorders>
              <w:top w:val="single" w:color="auto" w:sz="4" w:space="0"/>
              <w:left w:val="single" w:color="auto" w:sz="4" w:space="0"/>
              <w:bottom w:val="single" w:color="auto" w:sz="4" w:space="0"/>
              <w:right w:val="single" w:color="auto" w:sz="4" w:space="0"/>
            </w:tcBorders>
            <w:noWrap w:val="0"/>
            <w:vAlign w:val="center"/>
          </w:tcPr>
          <w:p w14:paraId="4E72436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进口产品说明</w:t>
            </w:r>
          </w:p>
        </w:tc>
        <w:tc>
          <w:tcPr>
            <w:tcW w:w="8564" w:type="dxa"/>
            <w:gridSpan w:val="5"/>
            <w:tcBorders>
              <w:top w:val="single" w:color="auto" w:sz="4" w:space="0"/>
              <w:left w:val="single" w:color="auto" w:sz="4" w:space="0"/>
              <w:bottom w:val="single" w:color="auto" w:sz="4" w:space="0"/>
              <w:right w:val="single" w:color="auto" w:sz="4" w:space="0"/>
            </w:tcBorders>
            <w:noWrap w:val="0"/>
            <w:vAlign w:val="top"/>
          </w:tcPr>
          <w:p w14:paraId="076E41F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的货物不接受进口产品（即通过中国海关报关验放进入中国境内且产自关境外的产品）参与</w:t>
            </w:r>
            <w:r>
              <w:rPr>
                <w:rFonts w:hint="eastAsia" w:ascii="宋体" w:hAnsi="宋体" w:cs="宋体"/>
                <w:color w:val="auto"/>
                <w:sz w:val="21"/>
                <w:szCs w:val="21"/>
                <w:highlight w:val="none"/>
                <w:lang w:val="en-US" w:eastAsia="zh-CN"/>
              </w:rPr>
              <w:t>响应</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如有进口产品参与</w:t>
            </w:r>
            <w:r>
              <w:rPr>
                <w:rFonts w:hint="eastAsia" w:ascii="宋体" w:hAnsi="宋体" w:eastAsia="宋体" w:cs="宋体"/>
                <w:b/>
                <w:color w:val="auto"/>
                <w:sz w:val="21"/>
                <w:szCs w:val="21"/>
                <w:highlight w:val="none"/>
                <w:lang w:val="en-US" w:eastAsia="zh-CN"/>
              </w:rPr>
              <w:t>响应</w:t>
            </w:r>
            <w:r>
              <w:rPr>
                <w:rFonts w:hint="eastAsia" w:ascii="宋体" w:hAnsi="宋体" w:eastAsia="宋体" w:cs="宋体"/>
                <w:b/>
                <w:color w:val="auto"/>
                <w:sz w:val="21"/>
                <w:szCs w:val="21"/>
                <w:highlight w:val="none"/>
              </w:rPr>
              <w:t>的作无效标处理</w:t>
            </w:r>
            <w:r>
              <w:rPr>
                <w:rFonts w:hint="eastAsia" w:ascii="宋体" w:hAnsi="宋体" w:eastAsia="宋体" w:cs="宋体"/>
                <w:color w:val="auto"/>
                <w:sz w:val="21"/>
                <w:szCs w:val="21"/>
                <w:highlight w:val="none"/>
              </w:rPr>
              <w:t>。</w:t>
            </w:r>
          </w:p>
        </w:tc>
      </w:tr>
      <w:tr w14:paraId="2DEC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6" w:type="dxa"/>
            <w:gridSpan w:val="7"/>
            <w:tcBorders>
              <w:top w:val="single" w:color="auto" w:sz="4" w:space="0"/>
              <w:left w:val="single" w:color="auto" w:sz="4" w:space="0"/>
              <w:bottom w:val="single" w:color="auto" w:sz="4" w:space="0"/>
              <w:right w:val="single" w:color="auto" w:sz="4" w:space="0"/>
            </w:tcBorders>
            <w:noWrap w:val="0"/>
            <w:vAlign w:val="center"/>
          </w:tcPr>
          <w:p w14:paraId="53C4F6E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）核心产品</w:t>
            </w:r>
          </w:p>
        </w:tc>
      </w:tr>
      <w:tr w14:paraId="5347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6" w:type="dxa"/>
            <w:gridSpan w:val="7"/>
            <w:tcBorders>
              <w:top w:val="single" w:color="auto" w:sz="4" w:space="0"/>
              <w:left w:val="single" w:color="auto" w:sz="4" w:space="0"/>
              <w:bottom w:val="single" w:color="auto" w:sz="4" w:space="0"/>
              <w:right w:val="single" w:color="auto" w:sz="4" w:space="0"/>
            </w:tcBorders>
            <w:noWrap w:val="0"/>
            <w:vAlign w:val="center"/>
          </w:tcPr>
          <w:p w14:paraId="5B6CC82C">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本项目核心产品为</w:t>
            </w:r>
            <w:r>
              <w:rPr>
                <w:rFonts w:hint="eastAsia" w:ascii="宋体" w:hAnsi="宋体" w:eastAsia="宋体" w:cs="宋体"/>
                <w:color w:val="auto"/>
                <w:sz w:val="21"/>
                <w:szCs w:val="21"/>
                <w:highlight w:val="none"/>
                <w:lang w:eastAsia="zh-CN"/>
              </w:rPr>
              <w:t>：</w:t>
            </w:r>
            <w:r>
              <w:rPr>
                <w:rFonts w:hint="eastAsia" w:ascii="宋体" w:hAnsi="宋体" w:cs="宋体"/>
                <w:b/>
                <w:bCs/>
                <w:color w:val="auto"/>
                <w:szCs w:val="21"/>
                <w:highlight w:val="none"/>
              </w:rPr>
              <w:t>序号</w:t>
            </w:r>
            <w:r>
              <w:rPr>
                <w:rFonts w:hint="eastAsia" w:ascii="宋体" w:hAnsi="宋体" w:cs="宋体"/>
                <w:b/>
                <w:bCs/>
                <w:color w:val="auto"/>
                <w:szCs w:val="21"/>
                <w:highlight w:val="none"/>
                <w:u w:val="single"/>
                <w:lang w:val="en-US" w:eastAsia="zh-CN"/>
              </w:rPr>
              <w:t xml:space="preserve"> 13 </w:t>
            </w:r>
            <w:r>
              <w:rPr>
                <w:rFonts w:hint="eastAsia" w:ascii="宋体" w:hAnsi="宋体" w:cs="宋体"/>
                <w:b/>
                <w:bCs/>
                <w:color w:val="auto"/>
                <w:szCs w:val="21"/>
                <w:highlight w:val="none"/>
              </w:rPr>
              <w:t>：</w:t>
            </w:r>
            <w:r>
              <w:rPr>
                <w:rFonts w:hint="eastAsia" w:ascii="宋体" w:hAnsi="宋体" w:cs="宋体"/>
                <w:b/>
                <w:bCs/>
                <w:color w:val="auto"/>
                <w:szCs w:val="21"/>
                <w:highlight w:val="none"/>
                <w:u w:val="single"/>
                <w:lang w:val="en-US" w:eastAsia="zh-CN"/>
              </w:rPr>
              <w:t xml:space="preserve"> 显微镜  （以</w:t>
            </w:r>
            <w:r>
              <w:rPr>
                <w:rFonts w:hint="eastAsia" w:ascii="宋体" w:hAnsi="宋体" w:cs="宋体"/>
                <w:color w:val="auto"/>
                <w:szCs w:val="21"/>
                <w:highlight w:val="none"/>
                <w:u w:val="single"/>
              </w:rPr>
              <w:t>“</w:t>
            </w:r>
            <w:r>
              <w:rPr>
                <w:rFonts w:hint="eastAsia" w:ascii="宋体" w:hAnsi="宋体" w:eastAsia="宋体" w:cs="宋体"/>
                <w:color w:val="auto"/>
                <w:szCs w:val="21"/>
                <w:highlight w:val="none"/>
                <w:u w:val="single"/>
              </w:rPr>
              <w:t>▇</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val="en-US" w:eastAsia="zh-CN"/>
              </w:rPr>
              <w:t>标注</w:t>
            </w:r>
            <w:r>
              <w:rPr>
                <w:rFonts w:hint="eastAsia" w:ascii="宋体" w:hAnsi="宋体" w:cs="宋体"/>
                <w:b/>
                <w:bCs/>
                <w:color w:val="auto"/>
                <w:szCs w:val="21"/>
                <w:highlight w:val="none"/>
                <w:u w:val="single"/>
                <w:lang w:val="en-US" w:eastAsia="zh-CN"/>
              </w:rPr>
              <w:t>）</w:t>
            </w:r>
            <w:r>
              <w:rPr>
                <w:rFonts w:hint="eastAsia" w:ascii="宋体" w:hAnsi="宋体" w:cs="宋体"/>
                <w:b/>
                <w:bCs/>
                <w:color w:val="auto"/>
                <w:szCs w:val="21"/>
                <w:highlight w:val="none"/>
              </w:rPr>
              <w:t>；多家有效供应商提供相同品牌产品，以核心产品为准；多个核心产品的，若有一种产品品牌相同，即视为提供相同品牌产品，则按一家供应商计算；非核心产品多家供应商提供相同品牌产品，则按多家供应商计算。</w:t>
            </w:r>
          </w:p>
        </w:tc>
      </w:tr>
      <w:tr w14:paraId="2C3E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6" w:type="dxa"/>
            <w:gridSpan w:val="7"/>
            <w:tcBorders>
              <w:top w:val="single" w:color="auto" w:sz="4" w:space="0"/>
              <w:left w:val="single" w:color="auto" w:sz="4" w:space="0"/>
              <w:bottom w:val="single" w:color="auto" w:sz="4" w:space="0"/>
              <w:right w:val="single" w:color="auto" w:sz="4" w:space="0"/>
            </w:tcBorders>
            <w:noWrap w:val="0"/>
            <w:vAlign w:val="top"/>
          </w:tcPr>
          <w:p w14:paraId="518ECA69">
            <w:pPr>
              <w:keepNext w:val="0"/>
              <w:keepLines w:val="0"/>
              <w:pageBreakBefore w:val="0"/>
              <w:shd w:val="clear" w:color="auto"/>
              <w:kinsoku/>
              <w:wordWrap w:val="0"/>
              <w:overflowPunct/>
              <w:topLinePunct w:val="0"/>
              <w:autoSpaceDE/>
              <w:autoSpaceDN/>
              <w:bidi w:val="0"/>
              <w:adjustRightInd/>
              <w:spacing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五</w:t>
            </w:r>
            <w:r>
              <w:rPr>
                <w:rFonts w:hint="eastAsia" w:ascii="宋体" w:hAnsi="宋体" w:eastAsia="宋体" w:cs="宋体"/>
                <w:b w:val="0"/>
                <w:bCs/>
                <w:color w:val="auto"/>
                <w:sz w:val="21"/>
                <w:szCs w:val="21"/>
                <w:highlight w:val="none"/>
              </w:rPr>
              <w:t>）其他要求</w:t>
            </w:r>
          </w:p>
        </w:tc>
      </w:tr>
      <w:tr w14:paraId="16404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6" w:type="dxa"/>
            <w:gridSpan w:val="7"/>
            <w:tcBorders>
              <w:top w:val="single" w:color="auto" w:sz="4" w:space="0"/>
              <w:left w:val="single" w:color="auto" w:sz="4" w:space="0"/>
              <w:bottom w:val="single" w:color="auto" w:sz="4" w:space="0"/>
              <w:right w:val="single" w:color="auto" w:sz="4" w:space="0"/>
            </w:tcBorders>
            <w:noWrap w:val="0"/>
            <w:vAlign w:val="top"/>
          </w:tcPr>
          <w:p w14:paraId="5463D951">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1.若供应商所响应产品优于竞争性谈判文件要求时，响应</w:t>
            </w:r>
            <w:r>
              <w:rPr>
                <w:rFonts w:hint="eastAsia" w:ascii="宋体" w:hAnsi="宋体" w:eastAsia="宋体" w:cs="宋体"/>
                <w:color w:val="auto"/>
                <w:sz w:val="21"/>
                <w:szCs w:val="21"/>
                <w:highlight w:val="none"/>
              </w:rPr>
              <w:t>文件中</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rPr>
              <w:t>提供投标产品对外公开的产品彩页或说明书（体现技术参数，可以是从生产厂家网页下载的PDF或HTM文件或检测报告或生产厂家盖章的技术参数证明材料），以供评标时核对。当</w:t>
            </w: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rPr>
              <w:t>文件提供的</w:t>
            </w:r>
            <w:r>
              <w:rPr>
                <w:rFonts w:hint="eastAsia" w:ascii="宋体" w:hAnsi="宋体" w:eastAsia="宋体" w:cs="宋体"/>
                <w:color w:val="auto"/>
                <w:sz w:val="21"/>
                <w:szCs w:val="21"/>
                <w:highlight w:val="none"/>
                <w:lang w:val="en-US" w:eastAsia="zh-CN"/>
              </w:rPr>
              <w:t>货物</w:t>
            </w:r>
            <w:r>
              <w:rPr>
                <w:rFonts w:hint="eastAsia" w:ascii="宋体" w:hAnsi="宋体" w:eastAsia="宋体" w:cs="宋体"/>
                <w:color w:val="auto"/>
                <w:sz w:val="21"/>
                <w:szCs w:val="21"/>
                <w:highlight w:val="none"/>
              </w:rPr>
              <w:t>性能参数与该</w:t>
            </w:r>
            <w:r>
              <w:rPr>
                <w:rFonts w:hint="eastAsia" w:ascii="宋体" w:hAnsi="宋体" w:eastAsia="宋体" w:cs="宋体"/>
                <w:color w:val="auto"/>
                <w:sz w:val="21"/>
                <w:szCs w:val="21"/>
                <w:highlight w:val="none"/>
                <w:lang w:val="en-US" w:eastAsia="zh-CN"/>
              </w:rPr>
              <w:t>货物</w:t>
            </w:r>
            <w:r>
              <w:rPr>
                <w:rFonts w:hint="eastAsia" w:ascii="宋体" w:hAnsi="宋体" w:eastAsia="宋体" w:cs="宋体"/>
                <w:color w:val="auto"/>
                <w:sz w:val="21"/>
                <w:szCs w:val="21"/>
                <w:highlight w:val="none"/>
              </w:rPr>
              <w:t>生产商提供的性能参数不符合时，以后者为准。</w:t>
            </w:r>
          </w:p>
          <w:p w14:paraId="21D10856">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供应商在供货时，必须提供所</w:t>
            </w:r>
            <w:r>
              <w:rPr>
                <w:rFonts w:hint="eastAsia" w:ascii="宋体" w:hAnsi="宋体" w:eastAsia="宋体" w:cs="宋体"/>
                <w:color w:val="auto"/>
                <w:sz w:val="21"/>
                <w:szCs w:val="21"/>
                <w:highlight w:val="none"/>
                <w:lang w:val="en-US" w:eastAsia="zh-CN"/>
              </w:rPr>
              <w:t>供</w:t>
            </w:r>
            <w:r>
              <w:rPr>
                <w:rFonts w:hint="eastAsia" w:ascii="宋体" w:hAnsi="宋体" w:eastAsia="宋体" w:cs="宋体"/>
                <w:color w:val="auto"/>
                <w:sz w:val="21"/>
                <w:szCs w:val="21"/>
                <w:highlight w:val="none"/>
              </w:rPr>
              <w:t>设备生产厂家</w:t>
            </w:r>
            <w:r>
              <w:rPr>
                <w:rFonts w:hint="eastAsia" w:ascii="宋体" w:hAnsi="宋体" w:eastAsia="宋体" w:cs="宋体"/>
                <w:color w:val="auto"/>
                <w:kern w:val="0"/>
                <w:szCs w:val="21"/>
                <w:highlight w:val="none"/>
              </w:rPr>
              <w:t>或合法授权的厂家代理商</w:t>
            </w:r>
            <w:r>
              <w:rPr>
                <w:rFonts w:hint="eastAsia" w:ascii="宋体" w:hAnsi="宋体" w:eastAsia="宋体" w:cs="宋体"/>
                <w:color w:val="auto"/>
                <w:sz w:val="21"/>
                <w:szCs w:val="21"/>
                <w:highlight w:val="none"/>
              </w:rPr>
              <w:t>出具的授权书，原件备查。</w:t>
            </w:r>
          </w:p>
          <w:p w14:paraId="78F627E0">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本项目采购设置最高限价，所有</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报价单价和总价均不能超过最高限价，否则作无效响应处理。</w:t>
            </w:r>
          </w:p>
          <w:p w14:paraId="1CF9726C">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.技术要求评审中允许负偏离的条款数为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不限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项（注：带▲的为实质性条款，不允许负偏离）。</w:t>
            </w:r>
          </w:p>
        </w:tc>
      </w:tr>
      <w:tr w14:paraId="3000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6" w:type="dxa"/>
            <w:gridSpan w:val="7"/>
            <w:tcBorders>
              <w:top w:val="single" w:color="auto" w:sz="4" w:space="0"/>
              <w:left w:val="single" w:color="auto" w:sz="4" w:space="0"/>
              <w:bottom w:val="single" w:color="auto" w:sz="4" w:space="0"/>
              <w:right w:val="single" w:color="auto" w:sz="4" w:space="0"/>
            </w:tcBorders>
            <w:noWrap w:val="0"/>
            <w:vAlign w:val="top"/>
          </w:tcPr>
          <w:p w14:paraId="31DA3957">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六</w:t>
            </w:r>
            <w:r>
              <w:rPr>
                <w:rFonts w:hint="eastAsia" w:ascii="宋体" w:hAnsi="宋体" w:eastAsia="宋体" w:cs="宋体"/>
                <w:b w:val="0"/>
                <w:bCs w:val="0"/>
                <w:color w:val="auto"/>
                <w:sz w:val="21"/>
                <w:szCs w:val="21"/>
                <w:highlight w:val="none"/>
                <w:lang w:eastAsia="zh-CN"/>
              </w:rPr>
              <w:t>）采购预算及最高限价</w:t>
            </w:r>
          </w:p>
          <w:p w14:paraId="6FB5C9B8">
            <w:pPr>
              <w:keepNext w:val="0"/>
              <w:keepLines w:val="0"/>
              <w:pageBreakBefore w:val="0"/>
              <w:shd w:val="clear"/>
              <w:kinsoku/>
              <w:wordWrap w:val="0"/>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本</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lang w:eastAsia="zh-CN"/>
              </w:rPr>
              <w:t>采购预算为</w:t>
            </w:r>
            <w:r>
              <w:rPr>
                <w:rFonts w:hint="eastAsia" w:ascii="宋体" w:hAnsi="宋体" w:eastAsia="宋体" w:cs="宋体"/>
                <w:color w:val="auto"/>
                <w:sz w:val="21"/>
                <w:szCs w:val="21"/>
                <w:highlight w:val="none"/>
                <w:lang w:val="en-US" w:eastAsia="zh-CN"/>
              </w:rPr>
              <w:t>人民币壹佰贰拾柒万元整（￥1270000.00）</w:t>
            </w:r>
            <w:r>
              <w:rPr>
                <w:rFonts w:hint="eastAsia" w:ascii="宋体" w:hAnsi="宋体" w:eastAsia="宋体" w:cs="宋体"/>
                <w:color w:val="auto"/>
                <w:sz w:val="21"/>
                <w:szCs w:val="21"/>
                <w:highlight w:val="none"/>
                <w:lang w:eastAsia="zh-CN"/>
              </w:rPr>
              <w:t>，最高限价为</w:t>
            </w:r>
            <w:r>
              <w:rPr>
                <w:rFonts w:hint="eastAsia" w:ascii="宋体" w:hAnsi="宋体" w:eastAsia="宋体" w:cs="宋体"/>
                <w:color w:val="auto"/>
                <w:sz w:val="21"/>
                <w:szCs w:val="21"/>
                <w:highlight w:val="none"/>
                <w:lang w:val="en-US" w:eastAsia="zh-CN"/>
              </w:rPr>
              <w:t>人民币壹佰贰拾柒万元整（￥1270000.00）</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供应商响应</w:t>
            </w:r>
            <w:r>
              <w:rPr>
                <w:rFonts w:hint="eastAsia" w:ascii="宋体" w:hAnsi="宋体" w:eastAsia="宋体" w:cs="宋体"/>
                <w:color w:val="auto"/>
                <w:sz w:val="21"/>
                <w:szCs w:val="21"/>
                <w:highlight w:val="none"/>
                <w:lang w:eastAsia="zh-CN"/>
              </w:rPr>
              <w:t>报价超最高限价（总价、分项最高限价），或者超出相应分标采购预算金额（总价、分项预算金额）的，</w:t>
            </w: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lang w:eastAsia="zh-CN"/>
              </w:rPr>
              <w:t>文件均按无效处理。</w:t>
            </w:r>
          </w:p>
        </w:tc>
      </w:tr>
    </w:tbl>
    <w:p w14:paraId="3992E146">
      <w:pPr>
        <w:pStyle w:val="66"/>
        <w:shd w:val="clear"/>
        <w:rPr>
          <w:color w:val="auto"/>
          <w:highlight w:val="none"/>
        </w:rPr>
      </w:pPr>
    </w:p>
    <w:p w14:paraId="70406328">
      <w:pPr>
        <w:shd w:val="clear"/>
        <w:rPr>
          <w:rFonts w:ascii="宋体" w:hAnsi="宋体" w:cs="宋体"/>
          <w:color w:val="auto"/>
          <w:sz w:val="30"/>
          <w:szCs w:val="30"/>
          <w:highlight w:val="none"/>
        </w:rPr>
      </w:pPr>
    </w:p>
    <w:p w14:paraId="6DE8E3A3">
      <w:pPr>
        <w:shd w:val="clear"/>
        <w:rPr>
          <w:rFonts w:ascii="宋体" w:hAnsi="宋体" w:cs="宋体"/>
          <w:color w:val="auto"/>
          <w:sz w:val="30"/>
          <w:szCs w:val="30"/>
          <w:highlight w:val="none"/>
        </w:rPr>
      </w:pPr>
    </w:p>
    <w:p w14:paraId="4FCE1C99">
      <w:pPr>
        <w:shd w:val="clear"/>
        <w:spacing w:line="240" w:lineRule="auto"/>
        <w:rPr>
          <w:rFonts w:hint="eastAsia" w:ascii="宋体" w:hAnsi="宋体" w:cs="宋体"/>
          <w:color w:val="auto"/>
          <w:sz w:val="30"/>
          <w:szCs w:val="30"/>
          <w:highlight w:val="none"/>
        </w:rPr>
      </w:pPr>
      <w:r>
        <w:rPr>
          <w:rFonts w:hint="eastAsia" w:ascii="宋体" w:hAnsi="宋体" w:cs="宋体"/>
          <w:color w:val="auto"/>
          <w:sz w:val="30"/>
          <w:szCs w:val="30"/>
          <w:highlight w:val="none"/>
        </w:rPr>
        <w:br w:type="page"/>
      </w:r>
    </w:p>
    <w:p w14:paraId="31E7EEC4">
      <w:pPr>
        <w:shd w:val="clear"/>
        <w:spacing w:line="428" w:lineRule="exact"/>
        <w:rPr>
          <w:rFonts w:ascii="宋体" w:hAnsi="宋体" w:cs="宋体"/>
          <w:color w:val="auto"/>
          <w:sz w:val="17"/>
          <w:szCs w:val="17"/>
          <w:highlight w:val="none"/>
        </w:rPr>
      </w:pPr>
      <w:r>
        <w:rPr>
          <w:rFonts w:hint="eastAsia" w:ascii="宋体" w:hAnsi="宋体" w:cs="宋体"/>
          <w:color w:val="auto"/>
          <w:sz w:val="30"/>
          <w:szCs w:val="30"/>
          <w:highlight w:val="none"/>
        </w:rPr>
        <w:t>附件1：</w:t>
      </w:r>
    </w:p>
    <w:p w14:paraId="1456A734">
      <w:pPr>
        <w:shd w:val="clear"/>
        <w:jc w:val="center"/>
        <w:rPr>
          <w:rFonts w:ascii="宋体" w:hAnsi="宋体" w:cs="宋体"/>
          <w:b/>
          <w:color w:val="auto"/>
          <w:sz w:val="30"/>
          <w:szCs w:val="30"/>
          <w:highlight w:val="none"/>
        </w:rPr>
      </w:pPr>
      <w:r>
        <w:rPr>
          <w:rFonts w:hint="eastAsia" w:ascii="宋体" w:hAnsi="宋体" w:cs="宋体"/>
          <w:b/>
          <w:color w:val="auto"/>
          <w:sz w:val="30"/>
          <w:szCs w:val="30"/>
          <w:highlight w:val="none"/>
        </w:rPr>
        <w:t>节能产品政府采购品目清单</w:t>
      </w:r>
    </w:p>
    <w:tbl>
      <w:tblPr>
        <w:tblStyle w:val="28"/>
        <w:tblW w:w="922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024"/>
        <w:gridCol w:w="1516"/>
        <w:gridCol w:w="1612"/>
        <w:gridCol w:w="4335"/>
      </w:tblGrid>
      <w:tr w14:paraId="2E72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33" w:type="dxa"/>
          </w:tcPr>
          <w:p w14:paraId="2A995914">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品目序号</w:t>
            </w:r>
          </w:p>
        </w:tc>
        <w:tc>
          <w:tcPr>
            <w:tcW w:w="4152" w:type="dxa"/>
            <w:gridSpan w:val="3"/>
            <w:vAlign w:val="center"/>
          </w:tcPr>
          <w:p w14:paraId="4BBFE3C7">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名称</w:t>
            </w:r>
          </w:p>
        </w:tc>
        <w:tc>
          <w:tcPr>
            <w:tcW w:w="4335" w:type="dxa"/>
            <w:vAlign w:val="center"/>
          </w:tcPr>
          <w:p w14:paraId="1952FA2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依据的标准</w:t>
            </w:r>
          </w:p>
        </w:tc>
      </w:tr>
      <w:tr w14:paraId="514D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Merge w:val="restart"/>
            <w:vAlign w:val="center"/>
          </w:tcPr>
          <w:p w14:paraId="0C3CAF0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1024" w:type="dxa"/>
            <w:vMerge w:val="restart"/>
            <w:vAlign w:val="center"/>
          </w:tcPr>
          <w:p w14:paraId="34915AF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A020101计算机设备</w:t>
            </w:r>
          </w:p>
        </w:tc>
        <w:tc>
          <w:tcPr>
            <w:tcW w:w="1516" w:type="dxa"/>
            <w:vAlign w:val="center"/>
          </w:tcPr>
          <w:p w14:paraId="6697A20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★A02010104台式计算机</w:t>
            </w:r>
          </w:p>
        </w:tc>
        <w:tc>
          <w:tcPr>
            <w:tcW w:w="1612" w:type="dxa"/>
            <w:vAlign w:val="center"/>
          </w:tcPr>
          <w:p w14:paraId="5844833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2B19D3FE">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《微型计算机能效限定值及能效等级》（GB28380）</w:t>
            </w:r>
          </w:p>
        </w:tc>
      </w:tr>
      <w:tr w14:paraId="382A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Merge w:val="continue"/>
            <w:vAlign w:val="center"/>
          </w:tcPr>
          <w:p w14:paraId="4CA54E1D">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5708D194">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Align w:val="center"/>
          </w:tcPr>
          <w:p w14:paraId="440A982D">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★A02010105便携式计算机</w:t>
            </w:r>
          </w:p>
        </w:tc>
        <w:tc>
          <w:tcPr>
            <w:tcW w:w="1612" w:type="dxa"/>
            <w:vAlign w:val="center"/>
          </w:tcPr>
          <w:p w14:paraId="29D45C3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59AF6861">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《微型计算机能效限定值及能效等级》（GB28380）</w:t>
            </w:r>
          </w:p>
        </w:tc>
      </w:tr>
      <w:tr w14:paraId="3EFD7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733" w:type="dxa"/>
            <w:vMerge w:val="continue"/>
            <w:vAlign w:val="center"/>
          </w:tcPr>
          <w:p w14:paraId="357D2C72">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455E743D">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Align w:val="center"/>
          </w:tcPr>
          <w:p w14:paraId="03B8D06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★A02010107平板式微型计算机</w:t>
            </w:r>
          </w:p>
        </w:tc>
        <w:tc>
          <w:tcPr>
            <w:tcW w:w="1612" w:type="dxa"/>
            <w:vAlign w:val="center"/>
          </w:tcPr>
          <w:p w14:paraId="55BE1A4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1380DA5A">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《微型计算机能效限定值及能效等级》（GB28380）</w:t>
            </w:r>
          </w:p>
        </w:tc>
      </w:tr>
      <w:tr w14:paraId="75C4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Merge w:val="restart"/>
            <w:vAlign w:val="center"/>
          </w:tcPr>
          <w:p w14:paraId="7B1263E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w:t>
            </w:r>
          </w:p>
        </w:tc>
        <w:tc>
          <w:tcPr>
            <w:tcW w:w="1024" w:type="dxa"/>
            <w:vMerge w:val="restart"/>
            <w:vAlign w:val="center"/>
          </w:tcPr>
          <w:p w14:paraId="5D9ED3A4">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A020106输入输出设备</w:t>
            </w:r>
          </w:p>
        </w:tc>
        <w:tc>
          <w:tcPr>
            <w:tcW w:w="1516" w:type="dxa"/>
            <w:vMerge w:val="restart"/>
            <w:vAlign w:val="center"/>
          </w:tcPr>
          <w:p w14:paraId="54D368F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A02010601打印设备</w:t>
            </w:r>
          </w:p>
        </w:tc>
        <w:tc>
          <w:tcPr>
            <w:tcW w:w="1612" w:type="dxa"/>
            <w:vAlign w:val="center"/>
          </w:tcPr>
          <w:p w14:paraId="173C2006">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A0201060101喷墨打印机</w:t>
            </w:r>
          </w:p>
        </w:tc>
        <w:tc>
          <w:tcPr>
            <w:tcW w:w="4335" w:type="dxa"/>
            <w:vAlign w:val="center"/>
          </w:tcPr>
          <w:p w14:paraId="7C7B7B2D">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《复印机、打印机和传真机能效限定值及能效等级》（GB21521）</w:t>
            </w:r>
          </w:p>
        </w:tc>
      </w:tr>
      <w:tr w14:paraId="73F8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Merge w:val="continue"/>
            <w:vAlign w:val="center"/>
          </w:tcPr>
          <w:p w14:paraId="57CEED55">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62FD1738">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Merge w:val="continue"/>
            <w:vAlign w:val="center"/>
          </w:tcPr>
          <w:p w14:paraId="47881B0E">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612" w:type="dxa"/>
            <w:vAlign w:val="center"/>
          </w:tcPr>
          <w:p w14:paraId="0ADF914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★A0201060102激光打印机</w:t>
            </w:r>
          </w:p>
        </w:tc>
        <w:tc>
          <w:tcPr>
            <w:tcW w:w="4335" w:type="dxa"/>
            <w:vAlign w:val="center"/>
          </w:tcPr>
          <w:p w14:paraId="24E32CB5">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《复印机、打印机和传真机能效限定值及能效等级》（GB21521）</w:t>
            </w:r>
          </w:p>
        </w:tc>
      </w:tr>
      <w:tr w14:paraId="624D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Merge w:val="continue"/>
            <w:vAlign w:val="center"/>
          </w:tcPr>
          <w:p w14:paraId="5F44B280">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38A98AB6">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Merge w:val="continue"/>
            <w:vAlign w:val="center"/>
          </w:tcPr>
          <w:p w14:paraId="29ED3CB9">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612" w:type="dxa"/>
            <w:vAlign w:val="center"/>
          </w:tcPr>
          <w:p w14:paraId="7532016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★A0201060104针式打印机</w:t>
            </w:r>
          </w:p>
        </w:tc>
        <w:tc>
          <w:tcPr>
            <w:tcW w:w="4335" w:type="dxa"/>
            <w:vAlign w:val="center"/>
          </w:tcPr>
          <w:p w14:paraId="308CC483">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《复印机、打印机和传真机能效限定值及能效等级》（GB21521）</w:t>
            </w:r>
          </w:p>
        </w:tc>
      </w:tr>
      <w:tr w14:paraId="2B89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Merge w:val="continue"/>
            <w:vAlign w:val="center"/>
          </w:tcPr>
          <w:p w14:paraId="7CB928DA">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5CCFF0A8">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Align w:val="center"/>
          </w:tcPr>
          <w:p w14:paraId="38EBB2E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A02010604显示设备</w:t>
            </w:r>
          </w:p>
        </w:tc>
        <w:tc>
          <w:tcPr>
            <w:tcW w:w="1612" w:type="dxa"/>
            <w:vAlign w:val="center"/>
          </w:tcPr>
          <w:p w14:paraId="14BA5B33">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★A0201060401液晶显示器</w:t>
            </w:r>
          </w:p>
        </w:tc>
        <w:tc>
          <w:tcPr>
            <w:tcW w:w="4335" w:type="dxa"/>
            <w:vAlign w:val="center"/>
          </w:tcPr>
          <w:p w14:paraId="1F45FB19">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《计算机显示器能效限定值及能效等级》（GB21520）</w:t>
            </w:r>
          </w:p>
        </w:tc>
      </w:tr>
      <w:tr w14:paraId="7AEDB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733" w:type="dxa"/>
            <w:vMerge w:val="continue"/>
            <w:vAlign w:val="center"/>
          </w:tcPr>
          <w:p w14:paraId="4695DF8E">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1D61A844">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Align w:val="center"/>
          </w:tcPr>
          <w:p w14:paraId="1C5C4C37">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A02010609图形图像输入设备</w:t>
            </w:r>
          </w:p>
        </w:tc>
        <w:tc>
          <w:tcPr>
            <w:tcW w:w="1612" w:type="dxa"/>
            <w:vAlign w:val="center"/>
          </w:tcPr>
          <w:p w14:paraId="2E6E55A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A0201060901扫描仪</w:t>
            </w:r>
          </w:p>
        </w:tc>
        <w:tc>
          <w:tcPr>
            <w:tcW w:w="4335" w:type="dxa"/>
            <w:vAlign w:val="center"/>
          </w:tcPr>
          <w:p w14:paraId="58F8CE1D">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参照《复印机、打印机和传真机能效限定值及能效等级》GB21521中打印速度为15页/分的针式打印机相关要求中打印速度为15页/分的针式打印机相关要求</w:t>
            </w:r>
          </w:p>
        </w:tc>
      </w:tr>
      <w:tr w14:paraId="7322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Align w:val="center"/>
          </w:tcPr>
          <w:p w14:paraId="1ADBDDF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1024" w:type="dxa"/>
            <w:vAlign w:val="center"/>
          </w:tcPr>
          <w:p w14:paraId="20C7837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A020202投影仪</w:t>
            </w:r>
          </w:p>
        </w:tc>
        <w:tc>
          <w:tcPr>
            <w:tcW w:w="1516" w:type="dxa"/>
            <w:vAlign w:val="center"/>
          </w:tcPr>
          <w:p w14:paraId="5AB8C06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1612" w:type="dxa"/>
            <w:vAlign w:val="center"/>
          </w:tcPr>
          <w:p w14:paraId="7B67639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08A23B6A">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《投影机能效限定值及能效等级》（GB32028）</w:t>
            </w:r>
          </w:p>
        </w:tc>
      </w:tr>
      <w:tr w14:paraId="3341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Align w:val="center"/>
          </w:tcPr>
          <w:p w14:paraId="4E87297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1024" w:type="dxa"/>
            <w:vAlign w:val="center"/>
          </w:tcPr>
          <w:p w14:paraId="3178F254">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A020204多功能一体机</w:t>
            </w:r>
          </w:p>
        </w:tc>
        <w:tc>
          <w:tcPr>
            <w:tcW w:w="1516" w:type="dxa"/>
            <w:vAlign w:val="center"/>
          </w:tcPr>
          <w:p w14:paraId="72FFC07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1612" w:type="dxa"/>
            <w:vAlign w:val="center"/>
          </w:tcPr>
          <w:p w14:paraId="35C29CF8">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7DFAA58F">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《复印机、打印机和传真机能效限定值及能效等级》（GB21521）</w:t>
            </w:r>
          </w:p>
        </w:tc>
      </w:tr>
      <w:tr w14:paraId="5C9D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Align w:val="center"/>
          </w:tcPr>
          <w:p w14:paraId="1753D773">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5</w:t>
            </w:r>
          </w:p>
        </w:tc>
        <w:tc>
          <w:tcPr>
            <w:tcW w:w="1024" w:type="dxa"/>
            <w:vAlign w:val="center"/>
          </w:tcPr>
          <w:p w14:paraId="3876A387">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A020519泵</w:t>
            </w:r>
          </w:p>
        </w:tc>
        <w:tc>
          <w:tcPr>
            <w:tcW w:w="1516" w:type="dxa"/>
            <w:vAlign w:val="center"/>
          </w:tcPr>
          <w:p w14:paraId="05F31E88">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A02051901离心泵</w:t>
            </w:r>
          </w:p>
        </w:tc>
        <w:tc>
          <w:tcPr>
            <w:tcW w:w="1612" w:type="dxa"/>
            <w:vAlign w:val="center"/>
          </w:tcPr>
          <w:p w14:paraId="5B9963C8">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7D3155C9">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《清水离心泵能效限定值及节能评价值》（GB19762）</w:t>
            </w:r>
          </w:p>
        </w:tc>
      </w:tr>
      <w:tr w14:paraId="3D66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733" w:type="dxa"/>
            <w:vMerge w:val="restart"/>
            <w:vAlign w:val="center"/>
          </w:tcPr>
          <w:p w14:paraId="110B2B0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6</w:t>
            </w:r>
          </w:p>
        </w:tc>
        <w:tc>
          <w:tcPr>
            <w:tcW w:w="1024" w:type="dxa"/>
            <w:vMerge w:val="restart"/>
            <w:vAlign w:val="center"/>
          </w:tcPr>
          <w:p w14:paraId="43FC9744">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A020523制冷空调设备</w:t>
            </w:r>
          </w:p>
        </w:tc>
        <w:tc>
          <w:tcPr>
            <w:tcW w:w="1516" w:type="dxa"/>
            <w:vMerge w:val="restart"/>
            <w:vAlign w:val="center"/>
          </w:tcPr>
          <w:p w14:paraId="2020071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★A02052301制冷压缩机</w:t>
            </w:r>
          </w:p>
        </w:tc>
        <w:tc>
          <w:tcPr>
            <w:tcW w:w="1612" w:type="dxa"/>
            <w:vAlign w:val="center"/>
          </w:tcPr>
          <w:p w14:paraId="6BFA41D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冷水机组</w:t>
            </w:r>
          </w:p>
        </w:tc>
        <w:tc>
          <w:tcPr>
            <w:tcW w:w="4335" w:type="dxa"/>
            <w:vAlign w:val="center"/>
          </w:tcPr>
          <w:p w14:paraId="1B39709A">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《冷水机组能效限定值及能效等级》（GB19577），《低环境温度空气源热泵（冷水）机组能效限定值及能效等级》（GB37480）</w:t>
            </w:r>
          </w:p>
        </w:tc>
      </w:tr>
      <w:tr w14:paraId="2251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Merge w:val="continue"/>
            <w:vAlign w:val="center"/>
          </w:tcPr>
          <w:p w14:paraId="219A86CC">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486C4872">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Merge w:val="continue"/>
            <w:vAlign w:val="center"/>
          </w:tcPr>
          <w:p w14:paraId="398E029F">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612" w:type="dxa"/>
            <w:vAlign w:val="center"/>
          </w:tcPr>
          <w:p w14:paraId="43205DB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水源热泵机组</w:t>
            </w:r>
          </w:p>
        </w:tc>
        <w:tc>
          <w:tcPr>
            <w:tcW w:w="4335" w:type="dxa"/>
            <w:vAlign w:val="center"/>
          </w:tcPr>
          <w:p w14:paraId="17DDA3EC">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《水（地）源热泵机组能效限定值及能效等级》（GB30721）</w:t>
            </w:r>
          </w:p>
        </w:tc>
      </w:tr>
      <w:tr w14:paraId="5AAEC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Merge w:val="continue"/>
            <w:vAlign w:val="center"/>
          </w:tcPr>
          <w:p w14:paraId="616ED999">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346898E4">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Merge w:val="continue"/>
            <w:vAlign w:val="center"/>
          </w:tcPr>
          <w:p w14:paraId="02AD2F04">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612" w:type="dxa"/>
            <w:vAlign w:val="center"/>
          </w:tcPr>
          <w:p w14:paraId="20598F0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溴化锂吸收式冷水机组</w:t>
            </w:r>
          </w:p>
        </w:tc>
        <w:tc>
          <w:tcPr>
            <w:tcW w:w="4335" w:type="dxa"/>
            <w:vAlign w:val="center"/>
          </w:tcPr>
          <w:p w14:paraId="78783B71">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《溴化锂吸收式冷水机组能效限定值及能效等级》（GB29540）</w:t>
            </w:r>
          </w:p>
        </w:tc>
      </w:tr>
      <w:tr w14:paraId="1A7EB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733" w:type="dxa"/>
            <w:vMerge w:val="continue"/>
            <w:vAlign w:val="center"/>
          </w:tcPr>
          <w:p w14:paraId="75FFB60D">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6663CAA9">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Merge w:val="restart"/>
            <w:vAlign w:val="center"/>
          </w:tcPr>
          <w:p w14:paraId="2026426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★A02052305空调机组</w:t>
            </w:r>
          </w:p>
        </w:tc>
        <w:tc>
          <w:tcPr>
            <w:tcW w:w="1612" w:type="dxa"/>
            <w:vAlign w:val="center"/>
          </w:tcPr>
          <w:p w14:paraId="47A964F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多联式空调（热泵）机组（制冷量&gt;14000W）</w:t>
            </w:r>
          </w:p>
        </w:tc>
        <w:tc>
          <w:tcPr>
            <w:tcW w:w="4335" w:type="dxa"/>
            <w:vAlign w:val="center"/>
          </w:tcPr>
          <w:p w14:paraId="102CD829">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《多联式空调（热泵）机组能效限定值及能源效率等级》（GB21454）</w:t>
            </w:r>
          </w:p>
        </w:tc>
      </w:tr>
      <w:tr w14:paraId="1347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733" w:type="dxa"/>
            <w:vMerge w:val="continue"/>
            <w:vAlign w:val="center"/>
          </w:tcPr>
          <w:p w14:paraId="5FDED384">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7BC4A08C">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Merge w:val="continue"/>
            <w:vAlign w:val="center"/>
          </w:tcPr>
          <w:p w14:paraId="709BF848">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612" w:type="dxa"/>
            <w:vAlign w:val="center"/>
          </w:tcPr>
          <w:p w14:paraId="069636C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单元式空气调节机（制冷量&gt;14000W）</w:t>
            </w:r>
          </w:p>
        </w:tc>
        <w:tc>
          <w:tcPr>
            <w:tcW w:w="4335" w:type="dxa"/>
            <w:vAlign w:val="center"/>
          </w:tcPr>
          <w:p w14:paraId="6AEC2955">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《单元式空气调节机能效限定值及能效等级》（GB19576）《风管送风式空调机组能效限定值及能效等级》（GB37479）</w:t>
            </w:r>
          </w:p>
        </w:tc>
      </w:tr>
      <w:tr w14:paraId="5330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733" w:type="dxa"/>
            <w:vMerge w:val="continue"/>
            <w:vAlign w:val="center"/>
          </w:tcPr>
          <w:p w14:paraId="221E7EBC">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017BA266">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Align w:val="center"/>
          </w:tcPr>
          <w:p w14:paraId="11D30E4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★A02052309专用制冷、空调设备</w:t>
            </w:r>
          </w:p>
        </w:tc>
        <w:tc>
          <w:tcPr>
            <w:tcW w:w="1612" w:type="dxa"/>
            <w:vAlign w:val="center"/>
          </w:tcPr>
          <w:p w14:paraId="60E0F29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机房空调</w:t>
            </w:r>
          </w:p>
        </w:tc>
        <w:tc>
          <w:tcPr>
            <w:tcW w:w="4335" w:type="dxa"/>
            <w:vAlign w:val="center"/>
          </w:tcPr>
          <w:p w14:paraId="0478D58C">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《单元式空气调节机能效限定值及能效等级》（GB19576）</w:t>
            </w:r>
          </w:p>
        </w:tc>
      </w:tr>
      <w:tr w14:paraId="2CBE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733" w:type="dxa"/>
            <w:vMerge w:val="continue"/>
            <w:vAlign w:val="center"/>
          </w:tcPr>
          <w:p w14:paraId="695F32F7">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7FCA398F">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Align w:val="center"/>
          </w:tcPr>
          <w:p w14:paraId="0C0BD843">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A02052399其他制冷空调设备</w:t>
            </w:r>
          </w:p>
        </w:tc>
        <w:tc>
          <w:tcPr>
            <w:tcW w:w="1612" w:type="dxa"/>
            <w:vAlign w:val="center"/>
          </w:tcPr>
          <w:p w14:paraId="6152363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冷却塔</w:t>
            </w:r>
          </w:p>
        </w:tc>
        <w:tc>
          <w:tcPr>
            <w:tcW w:w="4335" w:type="dxa"/>
            <w:vAlign w:val="center"/>
          </w:tcPr>
          <w:p w14:paraId="578EA0F5">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《机械通风冷却塔第1部分：中小型开式冷却塔》（GB/T7190.1）；《机械通风冷却塔第2部分：大型开式冷却塔》（GB/T7190.2）</w:t>
            </w:r>
          </w:p>
        </w:tc>
      </w:tr>
      <w:tr w14:paraId="02E6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Align w:val="center"/>
          </w:tcPr>
          <w:p w14:paraId="498811A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7</w:t>
            </w:r>
          </w:p>
        </w:tc>
        <w:tc>
          <w:tcPr>
            <w:tcW w:w="1024" w:type="dxa"/>
            <w:vAlign w:val="center"/>
          </w:tcPr>
          <w:p w14:paraId="150BEF9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A020601电机</w:t>
            </w:r>
          </w:p>
        </w:tc>
        <w:tc>
          <w:tcPr>
            <w:tcW w:w="1516" w:type="dxa"/>
            <w:vAlign w:val="center"/>
          </w:tcPr>
          <w:p w14:paraId="3E62162D">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1612" w:type="dxa"/>
            <w:vAlign w:val="center"/>
          </w:tcPr>
          <w:p w14:paraId="517D314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6DF5119B">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《中小型三相异步电动机能效限定值及能效等级》（GB18613）</w:t>
            </w:r>
          </w:p>
        </w:tc>
      </w:tr>
      <w:tr w14:paraId="0099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Align w:val="center"/>
          </w:tcPr>
          <w:p w14:paraId="5FC161C3">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8</w:t>
            </w:r>
          </w:p>
        </w:tc>
        <w:tc>
          <w:tcPr>
            <w:tcW w:w="1024" w:type="dxa"/>
            <w:vAlign w:val="center"/>
          </w:tcPr>
          <w:p w14:paraId="5A39F8C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A020602变压器</w:t>
            </w:r>
          </w:p>
        </w:tc>
        <w:tc>
          <w:tcPr>
            <w:tcW w:w="1516" w:type="dxa"/>
            <w:vAlign w:val="center"/>
          </w:tcPr>
          <w:p w14:paraId="3F7CDFF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配电变压器</w:t>
            </w:r>
          </w:p>
        </w:tc>
        <w:tc>
          <w:tcPr>
            <w:tcW w:w="1612" w:type="dxa"/>
            <w:vAlign w:val="center"/>
          </w:tcPr>
          <w:p w14:paraId="77CAC72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32FC9DE8">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《三相配电变压器能效限定值及能效等级》（GB20052）</w:t>
            </w:r>
          </w:p>
        </w:tc>
      </w:tr>
      <w:tr w14:paraId="4C4CC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Align w:val="center"/>
          </w:tcPr>
          <w:p w14:paraId="68952E93">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9</w:t>
            </w:r>
          </w:p>
        </w:tc>
        <w:tc>
          <w:tcPr>
            <w:tcW w:w="1024" w:type="dxa"/>
            <w:vAlign w:val="center"/>
          </w:tcPr>
          <w:p w14:paraId="3EF9E9D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★A020609镇流器</w:t>
            </w:r>
          </w:p>
        </w:tc>
        <w:tc>
          <w:tcPr>
            <w:tcW w:w="1516" w:type="dxa"/>
            <w:vAlign w:val="center"/>
          </w:tcPr>
          <w:p w14:paraId="29828016">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管型荧光灯镇流器</w:t>
            </w:r>
          </w:p>
        </w:tc>
        <w:tc>
          <w:tcPr>
            <w:tcW w:w="1612" w:type="dxa"/>
            <w:vAlign w:val="center"/>
          </w:tcPr>
          <w:p w14:paraId="32D6E70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09F3BC77">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《管形荧光灯镇流器能效限定值及能效等级》（GB17896）</w:t>
            </w:r>
          </w:p>
        </w:tc>
      </w:tr>
      <w:tr w14:paraId="1670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Merge w:val="restart"/>
            <w:vAlign w:val="center"/>
          </w:tcPr>
          <w:p w14:paraId="34570B1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w:t>
            </w:r>
          </w:p>
        </w:tc>
        <w:tc>
          <w:tcPr>
            <w:tcW w:w="1024" w:type="dxa"/>
            <w:vMerge w:val="restart"/>
            <w:vAlign w:val="center"/>
          </w:tcPr>
          <w:p w14:paraId="132ABEC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A020618生活用电器</w:t>
            </w:r>
          </w:p>
        </w:tc>
        <w:tc>
          <w:tcPr>
            <w:tcW w:w="1516" w:type="dxa"/>
            <w:vAlign w:val="center"/>
          </w:tcPr>
          <w:p w14:paraId="5992B72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A0206180101电冰箱</w:t>
            </w:r>
          </w:p>
        </w:tc>
        <w:tc>
          <w:tcPr>
            <w:tcW w:w="1612" w:type="dxa"/>
            <w:vAlign w:val="center"/>
          </w:tcPr>
          <w:p w14:paraId="6684881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38EE8993">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《家用电冰箱耗电量限定值及能效等级》（GB 12021.2）</w:t>
            </w:r>
          </w:p>
        </w:tc>
      </w:tr>
      <w:tr w14:paraId="6D0D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733" w:type="dxa"/>
            <w:vMerge w:val="continue"/>
            <w:vAlign w:val="center"/>
          </w:tcPr>
          <w:p w14:paraId="58D3D446">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4C1E6E56">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Merge w:val="restart"/>
            <w:vAlign w:val="center"/>
          </w:tcPr>
          <w:p w14:paraId="2D36AA7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★A0206180203空调机</w:t>
            </w:r>
          </w:p>
        </w:tc>
        <w:tc>
          <w:tcPr>
            <w:tcW w:w="1612" w:type="dxa"/>
            <w:vAlign w:val="center"/>
          </w:tcPr>
          <w:p w14:paraId="290A869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房间空气调节器</w:t>
            </w:r>
          </w:p>
        </w:tc>
        <w:tc>
          <w:tcPr>
            <w:tcW w:w="4335" w:type="dxa"/>
            <w:vAlign w:val="center"/>
          </w:tcPr>
          <w:p w14:paraId="585645FC">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《转速可控型房间空气调节器能效限定值及能效等级》（GB21455-2013），待2019年修订发布后，按《房间空气调节器能效限定值及能效等级》GB21455-2019实施。</w:t>
            </w:r>
          </w:p>
        </w:tc>
      </w:tr>
      <w:tr w14:paraId="1DA72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733" w:type="dxa"/>
            <w:vMerge w:val="continue"/>
            <w:vAlign w:val="center"/>
          </w:tcPr>
          <w:p w14:paraId="22E93FBB">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14FE2A3B">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Merge w:val="continue"/>
            <w:vAlign w:val="center"/>
          </w:tcPr>
          <w:p w14:paraId="3EEEADA5">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612" w:type="dxa"/>
            <w:vAlign w:val="center"/>
          </w:tcPr>
          <w:p w14:paraId="4A0E7CA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多联式空调（热泵）机组（制冷量≤ 14000W）</w:t>
            </w:r>
          </w:p>
        </w:tc>
        <w:tc>
          <w:tcPr>
            <w:tcW w:w="4335" w:type="dxa"/>
            <w:vAlign w:val="center"/>
          </w:tcPr>
          <w:p w14:paraId="0CE3DEB5">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《多联式空调（热泵）机组能效限定值及能源效率等级》（GB21454）</w:t>
            </w:r>
          </w:p>
        </w:tc>
      </w:tr>
      <w:tr w14:paraId="68BDF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733" w:type="dxa"/>
            <w:vMerge w:val="continue"/>
            <w:vAlign w:val="center"/>
          </w:tcPr>
          <w:p w14:paraId="3CB962B9">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0DF3EC75">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Merge w:val="continue"/>
            <w:vAlign w:val="center"/>
          </w:tcPr>
          <w:p w14:paraId="1D009F92">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612" w:type="dxa"/>
            <w:vAlign w:val="center"/>
          </w:tcPr>
          <w:p w14:paraId="0D8F6568">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单元式空气调节机（制冷量≤14000W）</w:t>
            </w:r>
          </w:p>
        </w:tc>
        <w:tc>
          <w:tcPr>
            <w:tcW w:w="4335" w:type="dxa"/>
            <w:vAlign w:val="center"/>
          </w:tcPr>
          <w:p w14:paraId="3342004C">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《单元式空气调节机能效限定值及能源效率等级》（GB19576）《风管送风式空调机组能效限定值及能效等级》（GB37479）</w:t>
            </w:r>
          </w:p>
        </w:tc>
      </w:tr>
      <w:tr w14:paraId="6909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Merge w:val="continue"/>
            <w:vAlign w:val="center"/>
          </w:tcPr>
          <w:p w14:paraId="1C77FC7F">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07B92E3A">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Align w:val="center"/>
          </w:tcPr>
          <w:p w14:paraId="032F842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A0206180301洗衣机</w:t>
            </w:r>
          </w:p>
        </w:tc>
        <w:tc>
          <w:tcPr>
            <w:tcW w:w="1612" w:type="dxa"/>
            <w:vAlign w:val="center"/>
          </w:tcPr>
          <w:p w14:paraId="18256497">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583251BB">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《电动洗衣机能效水效限定值及等级》（GB12021.4）</w:t>
            </w:r>
          </w:p>
        </w:tc>
      </w:tr>
      <w:tr w14:paraId="5D54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Merge w:val="continue"/>
            <w:vAlign w:val="center"/>
          </w:tcPr>
          <w:p w14:paraId="734F0879">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1EC03C86">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Merge w:val="restart"/>
            <w:vAlign w:val="center"/>
          </w:tcPr>
          <w:p w14:paraId="1BF5E1E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A02061808热水器</w:t>
            </w:r>
          </w:p>
        </w:tc>
        <w:tc>
          <w:tcPr>
            <w:tcW w:w="1612" w:type="dxa"/>
            <w:vAlign w:val="center"/>
          </w:tcPr>
          <w:p w14:paraId="68B1D00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★电热水器</w:t>
            </w:r>
          </w:p>
        </w:tc>
        <w:tc>
          <w:tcPr>
            <w:tcW w:w="4335" w:type="dxa"/>
            <w:vAlign w:val="center"/>
          </w:tcPr>
          <w:p w14:paraId="117C65D2">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《储水式电热水器能效限定值及能效等级》（GB21519）</w:t>
            </w:r>
          </w:p>
        </w:tc>
      </w:tr>
      <w:tr w14:paraId="6404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Merge w:val="continue"/>
            <w:vAlign w:val="center"/>
          </w:tcPr>
          <w:p w14:paraId="73B92A77">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2CDA7B5D">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Merge w:val="continue"/>
            <w:vAlign w:val="center"/>
          </w:tcPr>
          <w:p w14:paraId="3151108D">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612" w:type="dxa"/>
            <w:vAlign w:val="center"/>
          </w:tcPr>
          <w:p w14:paraId="740568C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燃气热水器</w:t>
            </w:r>
          </w:p>
        </w:tc>
        <w:tc>
          <w:tcPr>
            <w:tcW w:w="4335" w:type="dxa"/>
            <w:vAlign w:val="center"/>
          </w:tcPr>
          <w:p w14:paraId="0487D666">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《家用燃气快速热水器和燃气采暖热水炉能效限定值及能效等级》（GB20665）</w:t>
            </w:r>
          </w:p>
        </w:tc>
      </w:tr>
      <w:tr w14:paraId="114D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Merge w:val="continue"/>
            <w:vAlign w:val="center"/>
          </w:tcPr>
          <w:p w14:paraId="4471E8A3">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0F9D6DD4">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Merge w:val="continue"/>
            <w:vAlign w:val="center"/>
          </w:tcPr>
          <w:p w14:paraId="2B151D76">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612" w:type="dxa"/>
            <w:vAlign w:val="center"/>
          </w:tcPr>
          <w:p w14:paraId="79ACBDF7">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热泵热水器</w:t>
            </w:r>
          </w:p>
        </w:tc>
        <w:tc>
          <w:tcPr>
            <w:tcW w:w="4335" w:type="dxa"/>
            <w:vAlign w:val="center"/>
          </w:tcPr>
          <w:p w14:paraId="2775D2ED">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《热泵热水机（器）能效限定值及能效等级》（GB29541）</w:t>
            </w:r>
          </w:p>
        </w:tc>
      </w:tr>
      <w:tr w14:paraId="16EC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Merge w:val="continue"/>
            <w:vAlign w:val="center"/>
          </w:tcPr>
          <w:p w14:paraId="0794BA81">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2711439E">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Merge w:val="continue"/>
            <w:vAlign w:val="center"/>
          </w:tcPr>
          <w:p w14:paraId="4A47EE12">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612" w:type="dxa"/>
            <w:vAlign w:val="center"/>
          </w:tcPr>
          <w:p w14:paraId="06802D7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太阳能热水系统</w:t>
            </w:r>
          </w:p>
        </w:tc>
        <w:tc>
          <w:tcPr>
            <w:tcW w:w="4335" w:type="dxa"/>
            <w:vAlign w:val="center"/>
          </w:tcPr>
          <w:p w14:paraId="72F5AC92">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《家用太阳能热水系统能效限定值及能效等级》（GB26969）</w:t>
            </w:r>
          </w:p>
        </w:tc>
      </w:tr>
      <w:tr w14:paraId="4309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Merge w:val="restart"/>
            <w:vAlign w:val="center"/>
          </w:tcPr>
          <w:p w14:paraId="467AD9B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1024" w:type="dxa"/>
            <w:vMerge w:val="restart"/>
            <w:vAlign w:val="center"/>
          </w:tcPr>
          <w:p w14:paraId="4B6DC0E4">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A020619照明设备</w:t>
            </w:r>
          </w:p>
        </w:tc>
        <w:tc>
          <w:tcPr>
            <w:tcW w:w="1516" w:type="dxa"/>
            <w:vAlign w:val="center"/>
          </w:tcPr>
          <w:p w14:paraId="578C7E53">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★普通照明用双端荧光灯</w:t>
            </w:r>
          </w:p>
        </w:tc>
        <w:tc>
          <w:tcPr>
            <w:tcW w:w="1612" w:type="dxa"/>
            <w:vAlign w:val="center"/>
          </w:tcPr>
          <w:p w14:paraId="11C81EF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0D6CC16B">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《普通照明用双端荧光灯能效限定值及能效等级》（GB19043）</w:t>
            </w:r>
          </w:p>
        </w:tc>
      </w:tr>
      <w:tr w14:paraId="61BB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Merge w:val="continue"/>
            <w:vAlign w:val="center"/>
          </w:tcPr>
          <w:p w14:paraId="64F2C5B1">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6E12563B">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Align w:val="center"/>
          </w:tcPr>
          <w:p w14:paraId="5CC3B126">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LED道路/隧道照明产品</w:t>
            </w:r>
          </w:p>
        </w:tc>
        <w:tc>
          <w:tcPr>
            <w:tcW w:w="1612" w:type="dxa"/>
            <w:vAlign w:val="center"/>
          </w:tcPr>
          <w:p w14:paraId="1605EE3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65D23365">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《道路和隧道照明用LED灯具能效限定值及能效等级》（GB37478）</w:t>
            </w:r>
          </w:p>
        </w:tc>
      </w:tr>
      <w:tr w14:paraId="6C1F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Merge w:val="continue"/>
            <w:vAlign w:val="center"/>
          </w:tcPr>
          <w:p w14:paraId="0E50389A">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11A07191">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Align w:val="center"/>
          </w:tcPr>
          <w:p w14:paraId="2DCA42D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LED筒灯</w:t>
            </w:r>
          </w:p>
        </w:tc>
        <w:tc>
          <w:tcPr>
            <w:tcW w:w="1612" w:type="dxa"/>
            <w:vAlign w:val="center"/>
          </w:tcPr>
          <w:p w14:paraId="18DA7E5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6CE9E4BF">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《室内照明用LED产品能效限定值及能效等级》（GB30255）</w:t>
            </w:r>
          </w:p>
        </w:tc>
      </w:tr>
      <w:tr w14:paraId="00F6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733" w:type="dxa"/>
            <w:vMerge w:val="continue"/>
            <w:vAlign w:val="center"/>
          </w:tcPr>
          <w:p w14:paraId="047055CD">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6D3F49A0">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Align w:val="center"/>
          </w:tcPr>
          <w:p w14:paraId="3B936636">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普通照明用非定向自镇流LED灯</w:t>
            </w:r>
          </w:p>
        </w:tc>
        <w:tc>
          <w:tcPr>
            <w:tcW w:w="1612" w:type="dxa"/>
            <w:vAlign w:val="center"/>
          </w:tcPr>
          <w:p w14:paraId="397CB834">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38EC9912">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《室内照明用LED产品能效限定值及能效等级》（GB30255）</w:t>
            </w:r>
          </w:p>
        </w:tc>
      </w:tr>
      <w:tr w14:paraId="12065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733" w:type="dxa"/>
            <w:vAlign w:val="center"/>
          </w:tcPr>
          <w:p w14:paraId="0BCA5DB6">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12</w:t>
            </w:r>
          </w:p>
        </w:tc>
        <w:tc>
          <w:tcPr>
            <w:tcW w:w="1024" w:type="dxa"/>
            <w:vAlign w:val="center"/>
          </w:tcPr>
          <w:p w14:paraId="24BFD25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★A020910电视设备</w:t>
            </w:r>
          </w:p>
        </w:tc>
        <w:tc>
          <w:tcPr>
            <w:tcW w:w="1516" w:type="dxa"/>
            <w:vAlign w:val="center"/>
          </w:tcPr>
          <w:p w14:paraId="1ABB948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A02091001普通电视设备（电视机）</w:t>
            </w:r>
          </w:p>
        </w:tc>
        <w:tc>
          <w:tcPr>
            <w:tcW w:w="1612" w:type="dxa"/>
            <w:vAlign w:val="center"/>
          </w:tcPr>
          <w:p w14:paraId="4A0343BF">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39148010">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《平板电视能效限定值及能效等级》（GB24850）</w:t>
            </w:r>
          </w:p>
        </w:tc>
      </w:tr>
      <w:tr w14:paraId="1425A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733" w:type="dxa"/>
            <w:vAlign w:val="center"/>
          </w:tcPr>
          <w:p w14:paraId="0C2750D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13</w:t>
            </w:r>
          </w:p>
        </w:tc>
        <w:tc>
          <w:tcPr>
            <w:tcW w:w="1024" w:type="dxa"/>
            <w:vAlign w:val="center"/>
          </w:tcPr>
          <w:p w14:paraId="037303C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★A020911视频设备</w:t>
            </w:r>
          </w:p>
        </w:tc>
        <w:tc>
          <w:tcPr>
            <w:tcW w:w="1516" w:type="dxa"/>
            <w:vAlign w:val="center"/>
          </w:tcPr>
          <w:p w14:paraId="1579B09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A02091107视频监控设备</w:t>
            </w:r>
          </w:p>
        </w:tc>
        <w:tc>
          <w:tcPr>
            <w:tcW w:w="1612" w:type="dxa"/>
            <w:vAlign w:val="center"/>
          </w:tcPr>
          <w:p w14:paraId="0DDA18C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监视器</w:t>
            </w:r>
          </w:p>
        </w:tc>
        <w:tc>
          <w:tcPr>
            <w:tcW w:w="4335" w:type="dxa"/>
            <w:vAlign w:val="center"/>
          </w:tcPr>
          <w:p w14:paraId="008A3683">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以射频信号为主要信号输入的监视器应符合《平板电视能效限定值及能效等级》（GB24850），以数字信号为主要信号输入的监视器应符合《计算机显示器能效限定值及能效等级》（GB21520）</w:t>
            </w:r>
          </w:p>
        </w:tc>
      </w:tr>
      <w:tr w14:paraId="4CE1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Align w:val="center"/>
          </w:tcPr>
          <w:p w14:paraId="71D2F533">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14</w:t>
            </w:r>
          </w:p>
        </w:tc>
        <w:tc>
          <w:tcPr>
            <w:tcW w:w="1024" w:type="dxa"/>
            <w:vAlign w:val="center"/>
          </w:tcPr>
          <w:p w14:paraId="5503B40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A031210饮食炊事机械</w:t>
            </w:r>
          </w:p>
        </w:tc>
        <w:tc>
          <w:tcPr>
            <w:tcW w:w="1516" w:type="dxa"/>
            <w:vAlign w:val="center"/>
          </w:tcPr>
          <w:p w14:paraId="3C1F602F">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商用燃气灶具</w:t>
            </w:r>
          </w:p>
        </w:tc>
        <w:tc>
          <w:tcPr>
            <w:tcW w:w="1612" w:type="dxa"/>
            <w:vAlign w:val="center"/>
          </w:tcPr>
          <w:p w14:paraId="234165E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394F5793">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《商用燃气灶具能效限定值及能效等级》（GB30531）</w:t>
            </w:r>
          </w:p>
        </w:tc>
      </w:tr>
      <w:tr w14:paraId="01E6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3" w:type="dxa"/>
            <w:vMerge w:val="restart"/>
            <w:vAlign w:val="center"/>
          </w:tcPr>
          <w:p w14:paraId="5696A9E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1024" w:type="dxa"/>
            <w:vMerge w:val="restart"/>
            <w:vAlign w:val="center"/>
          </w:tcPr>
          <w:p w14:paraId="4ED7569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★A060805便器</w:t>
            </w:r>
          </w:p>
        </w:tc>
        <w:tc>
          <w:tcPr>
            <w:tcW w:w="1516" w:type="dxa"/>
            <w:vAlign w:val="center"/>
          </w:tcPr>
          <w:p w14:paraId="47D1256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坐便器</w:t>
            </w:r>
          </w:p>
        </w:tc>
        <w:tc>
          <w:tcPr>
            <w:tcW w:w="1612" w:type="dxa"/>
            <w:vAlign w:val="center"/>
          </w:tcPr>
          <w:p w14:paraId="4B70F0A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3BDA5330">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《坐便器水效限定值及水效等级》（GB25502）</w:t>
            </w:r>
          </w:p>
        </w:tc>
      </w:tr>
      <w:tr w14:paraId="6EF8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Merge w:val="continue"/>
            <w:vAlign w:val="center"/>
          </w:tcPr>
          <w:p w14:paraId="7BB723C1">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412C51A2">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Align w:val="center"/>
          </w:tcPr>
          <w:p w14:paraId="3E710A4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蹲便器</w:t>
            </w:r>
          </w:p>
        </w:tc>
        <w:tc>
          <w:tcPr>
            <w:tcW w:w="1612" w:type="dxa"/>
            <w:vAlign w:val="center"/>
          </w:tcPr>
          <w:p w14:paraId="3509EE2F">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67B5910F">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《蹲便器用水效率限定值及用水效率等级》（GB30717）</w:t>
            </w:r>
          </w:p>
        </w:tc>
      </w:tr>
      <w:tr w14:paraId="73B7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Merge w:val="continue"/>
            <w:vAlign w:val="center"/>
          </w:tcPr>
          <w:p w14:paraId="143A503A">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024" w:type="dxa"/>
            <w:vMerge w:val="continue"/>
            <w:vAlign w:val="center"/>
          </w:tcPr>
          <w:p w14:paraId="3CEDF4BD">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p>
        </w:tc>
        <w:tc>
          <w:tcPr>
            <w:tcW w:w="1516" w:type="dxa"/>
            <w:vAlign w:val="center"/>
          </w:tcPr>
          <w:p w14:paraId="0CF897B3">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小便器</w:t>
            </w:r>
          </w:p>
        </w:tc>
        <w:tc>
          <w:tcPr>
            <w:tcW w:w="1612" w:type="dxa"/>
            <w:vAlign w:val="center"/>
          </w:tcPr>
          <w:p w14:paraId="5ED2A15D">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4779F13B">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《小便器用水效率限定值及用水效率等级》（GB28377）</w:t>
            </w:r>
          </w:p>
        </w:tc>
      </w:tr>
      <w:tr w14:paraId="58AB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Align w:val="center"/>
          </w:tcPr>
          <w:p w14:paraId="2E72B147">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16</w:t>
            </w:r>
          </w:p>
        </w:tc>
        <w:tc>
          <w:tcPr>
            <w:tcW w:w="1024" w:type="dxa"/>
            <w:vAlign w:val="center"/>
          </w:tcPr>
          <w:p w14:paraId="6CD54EA7">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★A060806水嘴</w:t>
            </w:r>
          </w:p>
        </w:tc>
        <w:tc>
          <w:tcPr>
            <w:tcW w:w="1516" w:type="dxa"/>
            <w:vAlign w:val="center"/>
          </w:tcPr>
          <w:p w14:paraId="5802083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1612" w:type="dxa"/>
            <w:vAlign w:val="center"/>
          </w:tcPr>
          <w:p w14:paraId="7DAE331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58AD2B32">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《水嘴用水效率限定值及用水效率等级》（GB 25501）</w:t>
            </w:r>
          </w:p>
        </w:tc>
      </w:tr>
      <w:tr w14:paraId="600F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Align w:val="center"/>
          </w:tcPr>
          <w:p w14:paraId="336220A7">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17</w:t>
            </w:r>
          </w:p>
        </w:tc>
        <w:tc>
          <w:tcPr>
            <w:tcW w:w="1024" w:type="dxa"/>
            <w:vAlign w:val="center"/>
          </w:tcPr>
          <w:p w14:paraId="72CC6D1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A060807便器冲洗阀</w:t>
            </w:r>
          </w:p>
        </w:tc>
        <w:tc>
          <w:tcPr>
            <w:tcW w:w="1516" w:type="dxa"/>
            <w:vAlign w:val="center"/>
          </w:tcPr>
          <w:p w14:paraId="73C491E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1612" w:type="dxa"/>
            <w:vAlign w:val="center"/>
          </w:tcPr>
          <w:p w14:paraId="51BABA7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6727AF62">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《便器冲洗阀用水效率限定值及用水效率等级》（GB28379）</w:t>
            </w:r>
          </w:p>
        </w:tc>
      </w:tr>
      <w:tr w14:paraId="01E0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3" w:type="dxa"/>
            <w:vAlign w:val="center"/>
          </w:tcPr>
          <w:p w14:paraId="63A5B9D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18</w:t>
            </w:r>
          </w:p>
        </w:tc>
        <w:tc>
          <w:tcPr>
            <w:tcW w:w="1024" w:type="dxa"/>
            <w:vAlign w:val="center"/>
          </w:tcPr>
          <w:p w14:paraId="10C0C844">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A060810淋浴器</w:t>
            </w:r>
          </w:p>
        </w:tc>
        <w:tc>
          <w:tcPr>
            <w:tcW w:w="1516" w:type="dxa"/>
            <w:vAlign w:val="center"/>
          </w:tcPr>
          <w:p w14:paraId="1CD5B7E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1612" w:type="dxa"/>
            <w:vAlign w:val="center"/>
          </w:tcPr>
          <w:p w14:paraId="1A40D3D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335" w:type="dxa"/>
            <w:vAlign w:val="center"/>
          </w:tcPr>
          <w:p w14:paraId="4E990A64">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《淋浴器用水效率限定值及用水效率等级》（GB28378）</w:t>
            </w:r>
          </w:p>
        </w:tc>
      </w:tr>
    </w:tbl>
    <w:p w14:paraId="2217663D">
      <w:pPr>
        <w:shd w:val="clear"/>
        <w:spacing w:after="120" w:line="360" w:lineRule="auto"/>
        <w:rPr>
          <w:rFonts w:ascii="宋体" w:hAnsi="宋体" w:cs="宋体"/>
          <w:color w:val="auto"/>
          <w:szCs w:val="21"/>
          <w:highlight w:val="none"/>
        </w:rPr>
      </w:pPr>
      <w:r>
        <w:rPr>
          <w:rFonts w:hint="eastAsia" w:ascii="宋体" w:hAnsi="宋体" w:cs="宋体"/>
          <w:color w:val="auto"/>
          <w:spacing w:val="-3"/>
          <w:szCs w:val="21"/>
          <w:highlight w:val="none"/>
        </w:rPr>
        <w:t>注：1.节能产品认证应依据相关国家标准的最新版本，依据国家标准中二级能效（水效）</w:t>
      </w:r>
      <w:r>
        <w:rPr>
          <w:rFonts w:hint="eastAsia" w:ascii="宋体" w:hAnsi="宋体" w:cs="宋体"/>
          <w:color w:val="auto"/>
          <w:szCs w:val="21"/>
          <w:highlight w:val="none"/>
        </w:rPr>
        <w:t>指标。</w:t>
      </w:r>
    </w:p>
    <w:p w14:paraId="27A313D6">
      <w:pPr>
        <w:shd w:val="clear"/>
        <w:jc w:val="left"/>
        <w:rPr>
          <w:rFonts w:ascii="宋体" w:hAnsi="宋体" w:cs="宋体"/>
          <w:color w:val="auto"/>
          <w:kern w:val="0"/>
          <w:sz w:val="32"/>
          <w:szCs w:val="32"/>
          <w:highlight w:val="none"/>
        </w:rPr>
      </w:pPr>
      <w:r>
        <w:rPr>
          <w:rFonts w:hint="eastAsia" w:ascii="宋体" w:hAnsi="宋体" w:cs="宋体"/>
          <w:color w:val="auto"/>
          <w:kern w:val="0"/>
          <w:sz w:val="20"/>
          <w:szCs w:val="21"/>
          <w:highlight w:val="none"/>
        </w:rPr>
        <w:t xml:space="preserve">    2.以“★”标注的为政府强制采购产品。</w:t>
      </w:r>
      <w:r>
        <w:rPr>
          <w:rFonts w:hint="eastAsia" w:ascii="宋体" w:hAnsi="宋体" w:cs="宋体"/>
          <w:color w:val="auto"/>
          <w:kern w:val="0"/>
          <w:sz w:val="20"/>
          <w:szCs w:val="21"/>
          <w:highlight w:val="none"/>
        </w:rPr>
        <w:br w:type="page"/>
      </w:r>
      <w:r>
        <w:rPr>
          <w:rFonts w:hint="eastAsia" w:ascii="宋体" w:hAnsi="宋体" w:cs="宋体"/>
          <w:color w:val="auto"/>
          <w:kern w:val="0"/>
          <w:sz w:val="30"/>
          <w:szCs w:val="30"/>
          <w:highlight w:val="none"/>
        </w:rPr>
        <w:t>附件2：</w:t>
      </w:r>
    </w:p>
    <w:p w14:paraId="3287249F">
      <w:pPr>
        <w:shd w:val="clear"/>
        <w:jc w:val="center"/>
        <w:rPr>
          <w:rFonts w:ascii="宋体" w:hAnsi="宋体" w:cs="宋体"/>
          <w:b/>
          <w:color w:val="auto"/>
          <w:sz w:val="30"/>
          <w:szCs w:val="30"/>
          <w:highlight w:val="none"/>
        </w:rPr>
      </w:pPr>
      <w:r>
        <w:rPr>
          <w:rFonts w:hint="eastAsia" w:ascii="宋体" w:hAnsi="宋体" w:cs="宋体"/>
          <w:b/>
          <w:color w:val="auto"/>
          <w:sz w:val="30"/>
          <w:szCs w:val="30"/>
          <w:highlight w:val="none"/>
        </w:rPr>
        <w:t>中小微企业划型标准</w:t>
      </w:r>
    </w:p>
    <w:tbl>
      <w:tblPr>
        <w:tblStyle w:val="28"/>
        <w:tblW w:w="943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3"/>
        <w:gridCol w:w="1972"/>
        <w:gridCol w:w="845"/>
        <w:gridCol w:w="1830"/>
        <w:gridCol w:w="1690"/>
        <w:gridCol w:w="1127"/>
      </w:tblGrid>
      <w:tr w14:paraId="3D95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973" w:type="dxa"/>
            <w:vAlign w:val="center"/>
          </w:tcPr>
          <w:p w14:paraId="1FDCCEF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行业名称</w:t>
            </w:r>
          </w:p>
        </w:tc>
        <w:tc>
          <w:tcPr>
            <w:tcW w:w="1972" w:type="dxa"/>
            <w:vAlign w:val="center"/>
          </w:tcPr>
          <w:p w14:paraId="2B00691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指标名称</w:t>
            </w:r>
          </w:p>
        </w:tc>
        <w:tc>
          <w:tcPr>
            <w:tcW w:w="845" w:type="dxa"/>
            <w:vAlign w:val="center"/>
          </w:tcPr>
          <w:p w14:paraId="21C2E778">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计量单位</w:t>
            </w:r>
          </w:p>
        </w:tc>
        <w:tc>
          <w:tcPr>
            <w:tcW w:w="1830" w:type="dxa"/>
            <w:vAlign w:val="center"/>
          </w:tcPr>
          <w:p w14:paraId="06D695DD">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中型</w:t>
            </w:r>
          </w:p>
        </w:tc>
        <w:tc>
          <w:tcPr>
            <w:tcW w:w="1690" w:type="dxa"/>
            <w:vAlign w:val="center"/>
          </w:tcPr>
          <w:p w14:paraId="538B052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小型</w:t>
            </w:r>
          </w:p>
        </w:tc>
        <w:tc>
          <w:tcPr>
            <w:tcW w:w="1127" w:type="dxa"/>
            <w:vAlign w:val="center"/>
          </w:tcPr>
          <w:p w14:paraId="46D1C7F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微型</w:t>
            </w:r>
          </w:p>
        </w:tc>
      </w:tr>
      <w:tr w14:paraId="72AA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Align w:val="center"/>
          </w:tcPr>
          <w:p w14:paraId="6F85E797">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农、林、牧、渔</w:t>
            </w:r>
          </w:p>
        </w:tc>
        <w:tc>
          <w:tcPr>
            <w:tcW w:w="1972" w:type="dxa"/>
            <w:vAlign w:val="center"/>
          </w:tcPr>
          <w:p w14:paraId="06D282A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营业收入（Y）</w:t>
            </w:r>
          </w:p>
        </w:tc>
        <w:tc>
          <w:tcPr>
            <w:tcW w:w="845" w:type="dxa"/>
            <w:vAlign w:val="center"/>
          </w:tcPr>
          <w:p w14:paraId="67EE7A2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万元</w:t>
            </w:r>
          </w:p>
        </w:tc>
        <w:tc>
          <w:tcPr>
            <w:tcW w:w="1830" w:type="dxa"/>
            <w:vAlign w:val="center"/>
          </w:tcPr>
          <w:p w14:paraId="0E40C51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500≤Y＜20000</w:t>
            </w:r>
          </w:p>
        </w:tc>
        <w:tc>
          <w:tcPr>
            <w:tcW w:w="1690" w:type="dxa"/>
            <w:vAlign w:val="center"/>
          </w:tcPr>
          <w:p w14:paraId="5AE38E28">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50≤Y＜500</w:t>
            </w:r>
          </w:p>
        </w:tc>
        <w:tc>
          <w:tcPr>
            <w:tcW w:w="1127" w:type="dxa"/>
            <w:vAlign w:val="center"/>
          </w:tcPr>
          <w:p w14:paraId="69CBB20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Y＜50</w:t>
            </w:r>
          </w:p>
        </w:tc>
      </w:tr>
      <w:tr w14:paraId="1FBE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restart"/>
            <w:vAlign w:val="center"/>
          </w:tcPr>
          <w:p w14:paraId="573EADF6">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工业</w:t>
            </w:r>
          </w:p>
        </w:tc>
        <w:tc>
          <w:tcPr>
            <w:tcW w:w="1972" w:type="dxa"/>
            <w:vAlign w:val="center"/>
          </w:tcPr>
          <w:p w14:paraId="2A1345F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从业人员（X）</w:t>
            </w:r>
          </w:p>
        </w:tc>
        <w:tc>
          <w:tcPr>
            <w:tcW w:w="845" w:type="dxa"/>
            <w:vAlign w:val="center"/>
          </w:tcPr>
          <w:p w14:paraId="5706B7A8">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人</w:t>
            </w:r>
          </w:p>
        </w:tc>
        <w:tc>
          <w:tcPr>
            <w:tcW w:w="1830" w:type="dxa"/>
            <w:vAlign w:val="center"/>
          </w:tcPr>
          <w:p w14:paraId="722240E8">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300≤X＜1000</w:t>
            </w:r>
          </w:p>
        </w:tc>
        <w:tc>
          <w:tcPr>
            <w:tcW w:w="1690" w:type="dxa"/>
            <w:vAlign w:val="center"/>
          </w:tcPr>
          <w:p w14:paraId="1D48DE9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20≤X＜300</w:t>
            </w:r>
          </w:p>
        </w:tc>
        <w:tc>
          <w:tcPr>
            <w:tcW w:w="1127" w:type="dxa"/>
            <w:vAlign w:val="center"/>
          </w:tcPr>
          <w:p w14:paraId="6A3EDC16">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X＜20</w:t>
            </w:r>
          </w:p>
        </w:tc>
      </w:tr>
      <w:tr w14:paraId="208FF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continue"/>
            <w:vAlign w:val="center"/>
          </w:tcPr>
          <w:p w14:paraId="3A9500D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p>
        </w:tc>
        <w:tc>
          <w:tcPr>
            <w:tcW w:w="1972" w:type="dxa"/>
            <w:vAlign w:val="center"/>
          </w:tcPr>
          <w:p w14:paraId="55A2353F">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营业收入（Y）</w:t>
            </w:r>
          </w:p>
        </w:tc>
        <w:tc>
          <w:tcPr>
            <w:tcW w:w="845" w:type="dxa"/>
            <w:vAlign w:val="center"/>
          </w:tcPr>
          <w:p w14:paraId="40AEECCF">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万元</w:t>
            </w:r>
          </w:p>
        </w:tc>
        <w:tc>
          <w:tcPr>
            <w:tcW w:w="1830" w:type="dxa"/>
            <w:vAlign w:val="center"/>
          </w:tcPr>
          <w:p w14:paraId="679B0E1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2000≤Y＜40000</w:t>
            </w:r>
          </w:p>
        </w:tc>
        <w:tc>
          <w:tcPr>
            <w:tcW w:w="1690" w:type="dxa"/>
            <w:vAlign w:val="center"/>
          </w:tcPr>
          <w:p w14:paraId="2F4C715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300≤Y＜2000</w:t>
            </w:r>
          </w:p>
        </w:tc>
        <w:tc>
          <w:tcPr>
            <w:tcW w:w="1127" w:type="dxa"/>
            <w:vAlign w:val="center"/>
          </w:tcPr>
          <w:p w14:paraId="0F09A6F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Y＜300</w:t>
            </w:r>
          </w:p>
        </w:tc>
      </w:tr>
      <w:tr w14:paraId="1AC2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restart"/>
            <w:vAlign w:val="center"/>
          </w:tcPr>
          <w:p w14:paraId="1F00DFE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建筑业</w:t>
            </w:r>
          </w:p>
        </w:tc>
        <w:tc>
          <w:tcPr>
            <w:tcW w:w="1972" w:type="dxa"/>
            <w:vAlign w:val="center"/>
          </w:tcPr>
          <w:p w14:paraId="5013A6D6">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营业收入（Y）</w:t>
            </w:r>
          </w:p>
        </w:tc>
        <w:tc>
          <w:tcPr>
            <w:tcW w:w="845" w:type="dxa"/>
            <w:vAlign w:val="center"/>
          </w:tcPr>
          <w:p w14:paraId="58BA69F7">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万元</w:t>
            </w:r>
          </w:p>
        </w:tc>
        <w:tc>
          <w:tcPr>
            <w:tcW w:w="1830" w:type="dxa"/>
            <w:vAlign w:val="center"/>
          </w:tcPr>
          <w:p w14:paraId="4CA1DAA6">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6000≤Y＜80000</w:t>
            </w:r>
          </w:p>
        </w:tc>
        <w:tc>
          <w:tcPr>
            <w:tcW w:w="1690" w:type="dxa"/>
            <w:vAlign w:val="center"/>
          </w:tcPr>
          <w:p w14:paraId="14E7E08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300≤Y＜6000</w:t>
            </w:r>
          </w:p>
        </w:tc>
        <w:tc>
          <w:tcPr>
            <w:tcW w:w="1127" w:type="dxa"/>
            <w:vAlign w:val="center"/>
          </w:tcPr>
          <w:p w14:paraId="23B63968">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Y＜300</w:t>
            </w:r>
          </w:p>
        </w:tc>
      </w:tr>
      <w:tr w14:paraId="0474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continue"/>
            <w:vAlign w:val="center"/>
          </w:tcPr>
          <w:p w14:paraId="4230E62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p>
        </w:tc>
        <w:tc>
          <w:tcPr>
            <w:tcW w:w="1972" w:type="dxa"/>
            <w:vAlign w:val="center"/>
          </w:tcPr>
          <w:p w14:paraId="42C4E9B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资产总额（Z）</w:t>
            </w:r>
          </w:p>
        </w:tc>
        <w:tc>
          <w:tcPr>
            <w:tcW w:w="845" w:type="dxa"/>
            <w:vAlign w:val="center"/>
          </w:tcPr>
          <w:p w14:paraId="7DB7DD6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万元</w:t>
            </w:r>
          </w:p>
        </w:tc>
        <w:tc>
          <w:tcPr>
            <w:tcW w:w="1830" w:type="dxa"/>
            <w:vAlign w:val="center"/>
          </w:tcPr>
          <w:p w14:paraId="5252824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5000≤Z＜80000</w:t>
            </w:r>
          </w:p>
        </w:tc>
        <w:tc>
          <w:tcPr>
            <w:tcW w:w="1690" w:type="dxa"/>
            <w:vAlign w:val="center"/>
          </w:tcPr>
          <w:p w14:paraId="2B087833">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300≤Z＜5000</w:t>
            </w:r>
          </w:p>
        </w:tc>
        <w:tc>
          <w:tcPr>
            <w:tcW w:w="1127" w:type="dxa"/>
            <w:vAlign w:val="center"/>
          </w:tcPr>
          <w:p w14:paraId="31F0686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Z＜300</w:t>
            </w:r>
          </w:p>
        </w:tc>
      </w:tr>
      <w:tr w14:paraId="6749E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restart"/>
            <w:vAlign w:val="center"/>
          </w:tcPr>
          <w:p w14:paraId="3F05F354">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批发业</w:t>
            </w:r>
          </w:p>
        </w:tc>
        <w:tc>
          <w:tcPr>
            <w:tcW w:w="1972" w:type="dxa"/>
            <w:vAlign w:val="center"/>
          </w:tcPr>
          <w:p w14:paraId="02830A8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从业人员（X）</w:t>
            </w:r>
          </w:p>
        </w:tc>
        <w:tc>
          <w:tcPr>
            <w:tcW w:w="845" w:type="dxa"/>
            <w:vAlign w:val="center"/>
          </w:tcPr>
          <w:p w14:paraId="725D4AD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人</w:t>
            </w:r>
          </w:p>
        </w:tc>
        <w:tc>
          <w:tcPr>
            <w:tcW w:w="1830" w:type="dxa"/>
            <w:vAlign w:val="center"/>
          </w:tcPr>
          <w:p w14:paraId="24C2D1D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20≤X＜200</w:t>
            </w:r>
          </w:p>
        </w:tc>
        <w:tc>
          <w:tcPr>
            <w:tcW w:w="1690" w:type="dxa"/>
            <w:vAlign w:val="center"/>
          </w:tcPr>
          <w:p w14:paraId="47A8D96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5≤X＜20</w:t>
            </w:r>
          </w:p>
        </w:tc>
        <w:tc>
          <w:tcPr>
            <w:tcW w:w="1127" w:type="dxa"/>
            <w:vAlign w:val="center"/>
          </w:tcPr>
          <w:p w14:paraId="4800D3C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X＜5</w:t>
            </w:r>
          </w:p>
        </w:tc>
      </w:tr>
      <w:tr w14:paraId="2197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continue"/>
            <w:vAlign w:val="center"/>
          </w:tcPr>
          <w:p w14:paraId="1117E45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p>
        </w:tc>
        <w:tc>
          <w:tcPr>
            <w:tcW w:w="1972" w:type="dxa"/>
            <w:vAlign w:val="center"/>
          </w:tcPr>
          <w:p w14:paraId="39E7E34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营业收入（Y）</w:t>
            </w:r>
          </w:p>
        </w:tc>
        <w:tc>
          <w:tcPr>
            <w:tcW w:w="845" w:type="dxa"/>
            <w:vAlign w:val="center"/>
          </w:tcPr>
          <w:p w14:paraId="726D716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万元</w:t>
            </w:r>
          </w:p>
        </w:tc>
        <w:tc>
          <w:tcPr>
            <w:tcW w:w="1830" w:type="dxa"/>
            <w:vAlign w:val="center"/>
          </w:tcPr>
          <w:p w14:paraId="61C7364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5000≤Y＜40000</w:t>
            </w:r>
          </w:p>
        </w:tc>
        <w:tc>
          <w:tcPr>
            <w:tcW w:w="1690" w:type="dxa"/>
            <w:vAlign w:val="center"/>
          </w:tcPr>
          <w:p w14:paraId="6288FD7D">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1000≤Y＜5000</w:t>
            </w:r>
          </w:p>
        </w:tc>
        <w:tc>
          <w:tcPr>
            <w:tcW w:w="1127" w:type="dxa"/>
            <w:vAlign w:val="center"/>
          </w:tcPr>
          <w:p w14:paraId="0C0DF0B8">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Y＜1000</w:t>
            </w:r>
          </w:p>
        </w:tc>
      </w:tr>
      <w:tr w14:paraId="1EBA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restart"/>
            <w:vAlign w:val="center"/>
          </w:tcPr>
          <w:p w14:paraId="4D2D8447">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零售业</w:t>
            </w:r>
          </w:p>
        </w:tc>
        <w:tc>
          <w:tcPr>
            <w:tcW w:w="1972" w:type="dxa"/>
            <w:vAlign w:val="center"/>
          </w:tcPr>
          <w:p w14:paraId="2AEB3CCD">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从业人员（X）</w:t>
            </w:r>
          </w:p>
        </w:tc>
        <w:tc>
          <w:tcPr>
            <w:tcW w:w="845" w:type="dxa"/>
            <w:vAlign w:val="center"/>
          </w:tcPr>
          <w:p w14:paraId="59E8662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人</w:t>
            </w:r>
          </w:p>
        </w:tc>
        <w:tc>
          <w:tcPr>
            <w:tcW w:w="1830" w:type="dxa"/>
            <w:vAlign w:val="center"/>
          </w:tcPr>
          <w:p w14:paraId="2D4CB4D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50≤X＜300</w:t>
            </w:r>
          </w:p>
        </w:tc>
        <w:tc>
          <w:tcPr>
            <w:tcW w:w="1690" w:type="dxa"/>
            <w:vAlign w:val="center"/>
          </w:tcPr>
          <w:p w14:paraId="2AE0F3D7">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10≤X＜50</w:t>
            </w:r>
          </w:p>
        </w:tc>
        <w:tc>
          <w:tcPr>
            <w:tcW w:w="1127" w:type="dxa"/>
            <w:vAlign w:val="center"/>
          </w:tcPr>
          <w:p w14:paraId="6C09F79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X＜10</w:t>
            </w:r>
          </w:p>
        </w:tc>
      </w:tr>
      <w:tr w14:paraId="63E1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continue"/>
            <w:vAlign w:val="center"/>
          </w:tcPr>
          <w:p w14:paraId="3CC89C0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p>
        </w:tc>
        <w:tc>
          <w:tcPr>
            <w:tcW w:w="1972" w:type="dxa"/>
            <w:vAlign w:val="center"/>
          </w:tcPr>
          <w:p w14:paraId="62AEE68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营业收入（Y）</w:t>
            </w:r>
          </w:p>
        </w:tc>
        <w:tc>
          <w:tcPr>
            <w:tcW w:w="845" w:type="dxa"/>
            <w:vAlign w:val="center"/>
          </w:tcPr>
          <w:p w14:paraId="3AE712C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万元</w:t>
            </w:r>
          </w:p>
        </w:tc>
        <w:tc>
          <w:tcPr>
            <w:tcW w:w="1830" w:type="dxa"/>
            <w:vAlign w:val="center"/>
          </w:tcPr>
          <w:p w14:paraId="196E69F4">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500≤Y＜20000</w:t>
            </w:r>
          </w:p>
        </w:tc>
        <w:tc>
          <w:tcPr>
            <w:tcW w:w="1690" w:type="dxa"/>
            <w:vAlign w:val="center"/>
          </w:tcPr>
          <w:p w14:paraId="5E07759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100≤Y＜500</w:t>
            </w:r>
          </w:p>
        </w:tc>
        <w:tc>
          <w:tcPr>
            <w:tcW w:w="1127" w:type="dxa"/>
            <w:vAlign w:val="center"/>
          </w:tcPr>
          <w:p w14:paraId="56EDACF8">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Y＜100</w:t>
            </w:r>
          </w:p>
        </w:tc>
      </w:tr>
      <w:tr w14:paraId="2127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restart"/>
            <w:vAlign w:val="center"/>
          </w:tcPr>
          <w:p w14:paraId="3E8A681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交通运输业</w:t>
            </w:r>
          </w:p>
        </w:tc>
        <w:tc>
          <w:tcPr>
            <w:tcW w:w="1972" w:type="dxa"/>
            <w:vAlign w:val="center"/>
          </w:tcPr>
          <w:p w14:paraId="2FA1743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从业人员（X）</w:t>
            </w:r>
          </w:p>
        </w:tc>
        <w:tc>
          <w:tcPr>
            <w:tcW w:w="845" w:type="dxa"/>
            <w:vAlign w:val="center"/>
          </w:tcPr>
          <w:p w14:paraId="79A8DA9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人</w:t>
            </w:r>
          </w:p>
        </w:tc>
        <w:tc>
          <w:tcPr>
            <w:tcW w:w="1830" w:type="dxa"/>
            <w:vAlign w:val="center"/>
          </w:tcPr>
          <w:p w14:paraId="1E2BFD47">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300≤X＜1000</w:t>
            </w:r>
          </w:p>
        </w:tc>
        <w:tc>
          <w:tcPr>
            <w:tcW w:w="1690" w:type="dxa"/>
            <w:vAlign w:val="center"/>
          </w:tcPr>
          <w:p w14:paraId="3660512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20≤X＜300</w:t>
            </w:r>
          </w:p>
        </w:tc>
        <w:tc>
          <w:tcPr>
            <w:tcW w:w="1127" w:type="dxa"/>
            <w:vAlign w:val="center"/>
          </w:tcPr>
          <w:p w14:paraId="299FA63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X＜20</w:t>
            </w:r>
          </w:p>
        </w:tc>
      </w:tr>
      <w:tr w14:paraId="6366A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continue"/>
            <w:vAlign w:val="center"/>
          </w:tcPr>
          <w:p w14:paraId="6C3DB98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p>
        </w:tc>
        <w:tc>
          <w:tcPr>
            <w:tcW w:w="1972" w:type="dxa"/>
            <w:vAlign w:val="center"/>
          </w:tcPr>
          <w:p w14:paraId="33E8CFC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营业收入（Y）</w:t>
            </w:r>
          </w:p>
        </w:tc>
        <w:tc>
          <w:tcPr>
            <w:tcW w:w="845" w:type="dxa"/>
            <w:vAlign w:val="center"/>
          </w:tcPr>
          <w:p w14:paraId="115D983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万元</w:t>
            </w:r>
          </w:p>
        </w:tc>
        <w:tc>
          <w:tcPr>
            <w:tcW w:w="1830" w:type="dxa"/>
            <w:vAlign w:val="center"/>
          </w:tcPr>
          <w:p w14:paraId="5216AC8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3000≤Y＜30000</w:t>
            </w:r>
          </w:p>
        </w:tc>
        <w:tc>
          <w:tcPr>
            <w:tcW w:w="1690" w:type="dxa"/>
            <w:vAlign w:val="center"/>
          </w:tcPr>
          <w:p w14:paraId="4EDC8756">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200≤Y＜3000</w:t>
            </w:r>
          </w:p>
        </w:tc>
        <w:tc>
          <w:tcPr>
            <w:tcW w:w="1127" w:type="dxa"/>
            <w:vAlign w:val="center"/>
          </w:tcPr>
          <w:p w14:paraId="00C40C1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Y＜200</w:t>
            </w:r>
          </w:p>
        </w:tc>
      </w:tr>
      <w:tr w14:paraId="6CBE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restart"/>
            <w:vAlign w:val="center"/>
          </w:tcPr>
          <w:p w14:paraId="2656F4E3">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仓储业</w:t>
            </w:r>
          </w:p>
        </w:tc>
        <w:tc>
          <w:tcPr>
            <w:tcW w:w="1972" w:type="dxa"/>
            <w:vAlign w:val="center"/>
          </w:tcPr>
          <w:p w14:paraId="46BD6A0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从业人员（X）</w:t>
            </w:r>
          </w:p>
        </w:tc>
        <w:tc>
          <w:tcPr>
            <w:tcW w:w="845" w:type="dxa"/>
            <w:vAlign w:val="center"/>
          </w:tcPr>
          <w:p w14:paraId="026A07D6">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人</w:t>
            </w:r>
          </w:p>
        </w:tc>
        <w:tc>
          <w:tcPr>
            <w:tcW w:w="1830" w:type="dxa"/>
            <w:vAlign w:val="center"/>
          </w:tcPr>
          <w:p w14:paraId="4136A43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100≤X＜200</w:t>
            </w:r>
          </w:p>
        </w:tc>
        <w:tc>
          <w:tcPr>
            <w:tcW w:w="1690" w:type="dxa"/>
            <w:vAlign w:val="center"/>
          </w:tcPr>
          <w:p w14:paraId="3FE2E08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20≤X＜100</w:t>
            </w:r>
          </w:p>
        </w:tc>
        <w:tc>
          <w:tcPr>
            <w:tcW w:w="1127" w:type="dxa"/>
            <w:vAlign w:val="center"/>
          </w:tcPr>
          <w:p w14:paraId="24C6E078">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X＜20</w:t>
            </w:r>
          </w:p>
        </w:tc>
      </w:tr>
      <w:tr w14:paraId="7B7D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continue"/>
            <w:vAlign w:val="center"/>
          </w:tcPr>
          <w:p w14:paraId="6CD1127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p>
        </w:tc>
        <w:tc>
          <w:tcPr>
            <w:tcW w:w="1972" w:type="dxa"/>
            <w:vAlign w:val="center"/>
          </w:tcPr>
          <w:p w14:paraId="78EB4A9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营业收入（Y）</w:t>
            </w:r>
          </w:p>
        </w:tc>
        <w:tc>
          <w:tcPr>
            <w:tcW w:w="845" w:type="dxa"/>
            <w:vAlign w:val="center"/>
          </w:tcPr>
          <w:p w14:paraId="0F232D8F">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万元</w:t>
            </w:r>
          </w:p>
        </w:tc>
        <w:tc>
          <w:tcPr>
            <w:tcW w:w="1830" w:type="dxa"/>
            <w:vAlign w:val="center"/>
          </w:tcPr>
          <w:p w14:paraId="5596412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1000≤Y＜30000</w:t>
            </w:r>
          </w:p>
        </w:tc>
        <w:tc>
          <w:tcPr>
            <w:tcW w:w="1690" w:type="dxa"/>
            <w:vAlign w:val="center"/>
          </w:tcPr>
          <w:p w14:paraId="383CE623">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100≤Y＜1000</w:t>
            </w:r>
          </w:p>
        </w:tc>
        <w:tc>
          <w:tcPr>
            <w:tcW w:w="1127" w:type="dxa"/>
            <w:vAlign w:val="center"/>
          </w:tcPr>
          <w:p w14:paraId="1BB7339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Y＜100</w:t>
            </w:r>
          </w:p>
        </w:tc>
      </w:tr>
      <w:tr w14:paraId="09BA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restart"/>
            <w:vAlign w:val="center"/>
          </w:tcPr>
          <w:p w14:paraId="771C21C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邮政业</w:t>
            </w:r>
          </w:p>
        </w:tc>
        <w:tc>
          <w:tcPr>
            <w:tcW w:w="1972" w:type="dxa"/>
            <w:vAlign w:val="center"/>
          </w:tcPr>
          <w:p w14:paraId="3123B6F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从业人员（X）</w:t>
            </w:r>
          </w:p>
        </w:tc>
        <w:tc>
          <w:tcPr>
            <w:tcW w:w="845" w:type="dxa"/>
            <w:vAlign w:val="center"/>
          </w:tcPr>
          <w:p w14:paraId="45A5934D">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人</w:t>
            </w:r>
          </w:p>
        </w:tc>
        <w:tc>
          <w:tcPr>
            <w:tcW w:w="1830" w:type="dxa"/>
            <w:vAlign w:val="center"/>
          </w:tcPr>
          <w:p w14:paraId="7143C2D8">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300≤X＜1000</w:t>
            </w:r>
          </w:p>
        </w:tc>
        <w:tc>
          <w:tcPr>
            <w:tcW w:w="1690" w:type="dxa"/>
            <w:vAlign w:val="center"/>
          </w:tcPr>
          <w:p w14:paraId="4634198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20≤X＜300</w:t>
            </w:r>
          </w:p>
        </w:tc>
        <w:tc>
          <w:tcPr>
            <w:tcW w:w="1127" w:type="dxa"/>
            <w:vAlign w:val="center"/>
          </w:tcPr>
          <w:p w14:paraId="42B6A2F3">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X＜20</w:t>
            </w:r>
          </w:p>
        </w:tc>
      </w:tr>
      <w:tr w14:paraId="6552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continue"/>
            <w:vAlign w:val="center"/>
          </w:tcPr>
          <w:p w14:paraId="45E8ED1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p>
        </w:tc>
        <w:tc>
          <w:tcPr>
            <w:tcW w:w="1972" w:type="dxa"/>
            <w:vAlign w:val="center"/>
          </w:tcPr>
          <w:p w14:paraId="3816F64F">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营业收入（Y）</w:t>
            </w:r>
          </w:p>
        </w:tc>
        <w:tc>
          <w:tcPr>
            <w:tcW w:w="845" w:type="dxa"/>
            <w:vAlign w:val="center"/>
          </w:tcPr>
          <w:p w14:paraId="7E51D9B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万元</w:t>
            </w:r>
          </w:p>
        </w:tc>
        <w:tc>
          <w:tcPr>
            <w:tcW w:w="1830" w:type="dxa"/>
            <w:vAlign w:val="center"/>
          </w:tcPr>
          <w:p w14:paraId="5BFA963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2000≤Y＜30000</w:t>
            </w:r>
          </w:p>
        </w:tc>
        <w:tc>
          <w:tcPr>
            <w:tcW w:w="1690" w:type="dxa"/>
            <w:vAlign w:val="center"/>
          </w:tcPr>
          <w:p w14:paraId="74F5A11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100≤Y＜2000</w:t>
            </w:r>
          </w:p>
        </w:tc>
        <w:tc>
          <w:tcPr>
            <w:tcW w:w="1127" w:type="dxa"/>
            <w:vAlign w:val="center"/>
          </w:tcPr>
          <w:p w14:paraId="0441BD2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Y＜100</w:t>
            </w:r>
          </w:p>
        </w:tc>
      </w:tr>
      <w:tr w14:paraId="3022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restart"/>
            <w:vAlign w:val="center"/>
          </w:tcPr>
          <w:p w14:paraId="61CDD17F">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住宿业</w:t>
            </w:r>
          </w:p>
        </w:tc>
        <w:tc>
          <w:tcPr>
            <w:tcW w:w="1972" w:type="dxa"/>
            <w:vAlign w:val="center"/>
          </w:tcPr>
          <w:p w14:paraId="7A6F2CA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从业人员（X）</w:t>
            </w:r>
          </w:p>
        </w:tc>
        <w:tc>
          <w:tcPr>
            <w:tcW w:w="845" w:type="dxa"/>
            <w:vAlign w:val="center"/>
          </w:tcPr>
          <w:p w14:paraId="24DC71B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人</w:t>
            </w:r>
          </w:p>
        </w:tc>
        <w:tc>
          <w:tcPr>
            <w:tcW w:w="1830" w:type="dxa"/>
            <w:vAlign w:val="center"/>
          </w:tcPr>
          <w:p w14:paraId="3B15C203">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100≤X＜300</w:t>
            </w:r>
          </w:p>
        </w:tc>
        <w:tc>
          <w:tcPr>
            <w:tcW w:w="1690" w:type="dxa"/>
            <w:vAlign w:val="center"/>
          </w:tcPr>
          <w:p w14:paraId="0FD8806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10≤X＜100</w:t>
            </w:r>
          </w:p>
        </w:tc>
        <w:tc>
          <w:tcPr>
            <w:tcW w:w="1127" w:type="dxa"/>
            <w:vAlign w:val="center"/>
          </w:tcPr>
          <w:p w14:paraId="7A2528D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X＜10</w:t>
            </w:r>
          </w:p>
        </w:tc>
      </w:tr>
      <w:tr w14:paraId="1EEB1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continue"/>
            <w:vAlign w:val="center"/>
          </w:tcPr>
          <w:p w14:paraId="3A78BC2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p>
        </w:tc>
        <w:tc>
          <w:tcPr>
            <w:tcW w:w="1972" w:type="dxa"/>
            <w:vAlign w:val="center"/>
          </w:tcPr>
          <w:p w14:paraId="2F1ACE3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营业收入（Y）</w:t>
            </w:r>
          </w:p>
        </w:tc>
        <w:tc>
          <w:tcPr>
            <w:tcW w:w="845" w:type="dxa"/>
            <w:vAlign w:val="center"/>
          </w:tcPr>
          <w:p w14:paraId="29002A3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万元</w:t>
            </w:r>
          </w:p>
        </w:tc>
        <w:tc>
          <w:tcPr>
            <w:tcW w:w="1830" w:type="dxa"/>
            <w:vAlign w:val="center"/>
          </w:tcPr>
          <w:p w14:paraId="2178A847">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2000≤Y＜10000</w:t>
            </w:r>
          </w:p>
        </w:tc>
        <w:tc>
          <w:tcPr>
            <w:tcW w:w="1690" w:type="dxa"/>
            <w:vAlign w:val="center"/>
          </w:tcPr>
          <w:p w14:paraId="16DE767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100≤Y＜2000</w:t>
            </w:r>
          </w:p>
        </w:tc>
        <w:tc>
          <w:tcPr>
            <w:tcW w:w="1127" w:type="dxa"/>
            <w:vAlign w:val="center"/>
          </w:tcPr>
          <w:p w14:paraId="784841D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Y＜100</w:t>
            </w:r>
          </w:p>
        </w:tc>
      </w:tr>
      <w:tr w14:paraId="08F9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restart"/>
            <w:vAlign w:val="center"/>
          </w:tcPr>
          <w:p w14:paraId="3EF2005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餐饮业</w:t>
            </w:r>
          </w:p>
        </w:tc>
        <w:tc>
          <w:tcPr>
            <w:tcW w:w="1972" w:type="dxa"/>
            <w:vAlign w:val="center"/>
          </w:tcPr>
          <w:p w14:paraId="3A8850B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从业人员（X）</w:t>
            </w:r>
          </w:p>
        </w:tc>
        <w:tc>
          <w:tcPr>
            <w:tcW w:w="845" w:type="dxa"/>
            <w:vAlign w:val="center"/>
          </w:tcPr>
          <w:p w14:paraId="62F8310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人</w:t>
            </w:r>
          </w:p>
        </w:tc>
        <w:tc>
          <w:tcPr>
            <w:tcW w:w="1830" w:type="dxa"/>
            <w:vAlign w:val="center"/>
          </w:tcPr>
          <w:p w14:paraId="1C4946B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100≤X＜300</w:t>
            </w:r>
          </w:p>
        </w:tc>
        <w:tc>
          <w:tcPr>
            <w:tcW w:w="1690" w:type="dxa"/>
            <w:vAlign w:val="center"/>
          </w:tcPr>
          <w:p w14:paraId="044747B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10≤X＜100</w:t>
            </w:r>
          </w:p>
        </w:tc>
        <w:tc>
          <w:tcPr>
            <w:tcW w:w="1127" w:type="dxa"/>
            <w:vAlign w:val="center"/>
          </w:tcPr>
          <w:p w14:paraId="2436EBED">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X＜10</w:t>
            </w:r>
          </w:p>
        </w:tc>
      </w:tr>
      <w:tr w14:paraId="7BFD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continue"/>
            <w:vAlign w:val="center"/>
          </w:tcPr>
          <w:p w14:paraId="204D876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p>
        </w:tc>
        <w:tc>
          <w:tcPr>
            <w:tcW w:w="1972" w:type="dxa"/>
            <w:vAlign w:val="center"/>
          </w:tcPr>
          <w:p w14:paraId="258CCB6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营业收入（Y）</w:t>
            </w:r>
          </w:p>
        </w:tc>
        <w:tc>
          <w:tcPr>
            <w:tcW w:w="845" w:type="dxa"/>
            <w:vAlign w:val="center"/>
          </w:tcPr>
          <w:p w14:paraId="066674B4">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万元</w:t>
            </w:r>
          </w:p>
        </w:tc>
        <w:tc>
          <w:tcPr>
            <w:tcW w:w="1830" w:type="dxa"/>
            <w:vAlign w:val="center"/>
          </w:tcPr>
          <w:p w14:paraId="24F93928">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2000≤Y＜10000</w:t>
            </w:r>
          </w:p>
        </w:tc>
        <w:tc>
          <w:tcPr>
            <w:tcW w:w="1690" w:type="dxa"/>
            <w:vAlign w:val="center"/>
          </w:tcPr>
          <w:p w14:paraId="3FFC821D">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100≤Y＜2000</w:t>
            </w:r>
          </w:p>
        </w:tc>
        <w:tc>
          <w:tcPr>
            <w:tcW w:w="1127" w:type="dxa"/>
            <w:vAlign w:val="center"/>
          </w:tcPr>
          <w:p w14:paraId="4697102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Y＜100</w:t>
            </w:r>
          </w:p>
        </w:tc>
      </w:tr>
      <w:tr w14:paraId="57EB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restart"/>
            <w:vAlign w:val="center"/>
          </w:tcPr>
          <w:p w14:paraId="5ADD92F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信息传输业</w:t>
            </w:r>
          </w:p>
        </w:tc>
        <w:tc>
          <w:tcPr>
            <w:tcW w:w="1972" w:type="dxa"/>
            <w:vAlign w:val="center"/>
          </w:tcPr>
          <w:p w14:paraId="629CBD4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从业人员（X）</w:t>
            </w:r>
          </w:p>
        </w:tc>
        <w:tc>
          <w:tcPr>
            <w:tcW w:w="845" w:type="dxa"/>
            <w:vAlign w:val="center"/>
          </w:tcPr>
          <w:p w14:paraId="0DB7472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人</w:t>
            </w:r>
          </w:p>
        </w:tc>
        <w:tc>
          <w:tcPr>
            <w:tcW w:w="1830" w:type="dxa"/>
            <w:vAlign w:val="center"/>
          </w:tcPr>
          <w:p w14:paraId="6BC4679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100≤X＜2000</w:t>
            </w:r>
          </w:p>
        </w:tc>
        <w:tc>
          <w:tcPr>
            <w:tcW w:w="1690" w:type="dxa"/>
            <w:vAlign w:val="center"/>
          </w:tcPr>
          <w:p w14:paraId="0532607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10≤X＜100</w:t>
            </w:r>
          </w:p>
        </w:tc>
        <w:tc>
          <w:tcPr>
            <w:tcW w:w="1127" w:type="dxa"/>
            <w:vAlign w:val="center"/>
          </w:tcPr>
          <w:p w14:paraId="48EEB95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X＜10</w:t>
            </w:r>
          </w:p>
        </w:tc>
      </w:tr>
      <w:tr w14:paraId="45C6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continue"/>
            <w:vAlign w:val="center"/>
          </w:tcPr>
          <w:p w14:paraId="131877F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p>
        </w:tc>
        <w:tc>
          <w:tcPr>
            <w:tcW w:w="1972" w:type="dxa"/>
            <w:vAlign w:val="center"/>
          </w:tcPr>
          <w:p w14:paraId="50D6A6B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营业收入（Y）</w:t>
            </w:r>
          </w:p>
        </w:tc>
        <w:tc>
          <w:tcPr>
            <w:tcW w:w="845" w:type="dxa"/>
            <w:vAlign w:val="center"/>
          </w:tcPr>
          <w:p w14:paraId="5C3A906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万元</w:t>
            </w:r>
          </w:p>
        </w:tc>
        <w:tc>
          <w:tcPr>
            <w:tcW w:w="1830" w:type="dxa"/>
            <w:vAlign w:val="center"/>
          </w:tcPr>
          <w:p w14:paraId="5AD4BFE7">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1000≤Y＜100000</w:t>
            </w:r>
          </w:p>
        </w:tc>
        <w:tc>
          <w:tcPr>
            <w:tcW w:w="1690" w:type="dxa"/>
            <w:vAlign w:val="center"/>
          </w:tcPr>
          <w:p w14:paraId="1904193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100≤Y＜1000</w:t>
            </w:r>
          </w:p>
        </w:tc>
        <w:tc>
          <w:tcPr>
            <w:tcW w:w="1127" w:type="dxa"/>
            <w:vAlign w:val="center"/>
          </w:tcPr>
          <w:p w14:paraId="76B09F6F">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Y＜100</w:t>
            </w:r>
          </w:p>
        </w:tc>
      </w:tr>
      <w:tr w14:paraId="1E1F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restart"/>
            <w:vAlign w:val="center"/>
          </w:tcPr>
          <w:p w14:paraId="44ABD1A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软件和信息技术服务业</w:t>
            </w:r>
          </w:p>
        </w:tc>
        <w:tc>
          <w:tcPr>
            <w:tcW w:w="1972" w:type="dxa"/>
            <w:vAlign w:val="center"/>
          </w:tcPr>
          <w:p w14:paraId="1C8E980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从业人员（X）</w:t>
            </w:r>
          </w:p>
        </w:tc>
        <w:tc>
          <w:tcPr>
            <w:tcW w:w="845" w:type="dxa"/>
            <w:vAlign w:val="center"/>
          </w:tcPr>
          <w:p w14:paraId="38DE9456">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人</w:t>
            </w:r>
          </w:p>
        </w:tc>
        <w:tc>
          <w:tcPr>
            <w:tcW w:w="1830" w:type="dxa"/>
            <w:vAlign w:val="center"/>
          </w:tcPr>
          <w:p w14:paraId="7A9EF9B4">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100≤X＜300</w:t>
            </w:r>
          </w:p>
        </w:tc>
        <w:tc>
          <w:tcPr>
            <w:tcW w:w="1690" w:type="dxa"/>
            <w:vAlign w:val="center"/>
          </w:tcPr>
          <w:p w14:paraId="7D267683">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10≤X＜100</w:t>
            </w:r>
          </w:p>
        </w:tc>
        <w:tc>
          <w:tcPr>
            <w:tcW w:w="1127" w:type="dxa"/>
            <w:vAlign w:val="center"/>
          </w:tcPr>
          <w:p w14:paraId="418258F6">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X＜10</w:t>
            </w:r>
          </w:p>
        </w:tc>
      </w:tr>
      <w:tr w14:paraId="1197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continue"/>
            <w:vAlign w:val="center"/>
          </w:tcPr>
          <w:p w14:paraId="7F78AA93">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p>
        </w:tc>
        <w:tc>
          <w:tcPr>
            <w:tcW w:w="1972" w:type="dxa"/>
            <w:vAlign w:val="center"/>
          </w:tcPr>
          <w:p w14:paraId="309F98A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营业收入（Y）</w:t>
            </w:r>
          </w:p>
        </w:tc>
        <w:tc>
          <w:tcPr>
            <w:tcW w:w="845" w:type="dxa"/>
            <w:vAlign w:val="center"/>
          </w:tcPr>
          <w:p w14:paraId="1E24271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万元</w:t>
            </w:r>
          </w:p>
        </w:tc>
        <w:tc>
          <w:tcPr>
            <w:tcW w:w="1830" w:type="dxa"/>
            <w:vAlign w:val="center"/>
          </w:tcPr>
          <w:p w14:paraId="5768E15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1000≤Y＜10000</w:t>
            </w:r>
          </w:p>
        </w:tc>
        <w:tc>
          <w:tcPr>
            <w:tcW w:w="1690" w:type="dxa"/>
            <w:vAlign w:val="center"/>
          </w:tcPr>
          <w:p w14:paraId="566A3B8D">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50≤Y＜1000</w:t>
            </w:r>
          </w:p>
        </w:tc>
        <w:tc>
          <w:tcPr>
            <w:tcW w:w="1127" w:type="dxa"/>
            <w:vAlign w:val="center"/>
          </w:tcPr>
          <w:p w14:paraId="456BC164">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Y＜50</w:t>
            </w:r>
          </w:p>
        </w:tc>
      </w:tr>
      <w:tr w14:paraId="2FED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restart"/>
            <w:vAlign w:val="center"/>
          </w:tcPr>
          <w:p w14:paraId="444149E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房地产开发经营</w:t>
            </w:r>
          </w:p>
        </w:tc>
        <w:tc>
          <w:tcPr>
            <w:tcW w:w="1972" w:type="dxa"/>
            <w:vAlign w:val="center"/>
          </w:tcPr>
          <w:p w14:paraId="2DEB8E7D">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营业收入（Y）</w:t>
            </w:r>
          </w:p>
        </w:tc>
        <w:tc>
          <w:tcPr>
            <w:tcW w:w="845" w:type="dxa"/>
            <w:vAlign w:val="center"/>
          </w:tcPr>
          <w:p w14:paraId="2301A0C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万元</w:t>
            </w:r>
          </w:p>
        </w:tc>
        <w:tc>
          <w:tcPr>
            <w:tcW w:w="1830" w:type="dxa"/>
            <w:vAlign w:val="center"/>
          </w:tcPr>
          <w:p w14:paraId="3795694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1000≤Y＜200000</w:t>
            </w:r>
          </w:p>
        </w:tc>
        <w:tc>
          <w:tcPr>
            <w:tcW w:w="1690" w:type="dxa"/>
            <w:vAlign w:val="center"/>
          </w:tcPr>
          <w:p w14:paraId="47C7754F">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100≤X＜1000</w:t>
            </w:r>
          </w:p>
        </w:tc>
        <w:tc>
          <w:tcPr>
            <w:tcW w:w="1127" w:type="dxa"/>
            <w:vAlign w:val="center"/>
          </w:tcPr>
          <w:p w14:paraId="74259D1F">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X＜100</w:t>
            </w:r>
          </w:p>
        </w:tc>
      </w:tr>
      <w:tr w14:paraId="7484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continue"/>
            <w:vAlign w:val="center"/>
          </w:tcPr>
          <w:p w14:paraId="1E86F88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p>
        </w:tc>
        <w:tc>
          <w:tcPr>
            <w:tcW w:w="1972" w:type="dxa"/>
            <w:vAlign w:val="center"/>
          </w:tcPr>
          <w:p w14:paraId="00C77E3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资产总额（Z）</w:t>
            </w:r>
          </w:p>
        </w:tc>
        <w:tc>
          <w:tcPr>
            <w:tcW w:w="845" w:type="dxa"/>
            <w:vAlign w:val="center"/>
          </w:tcPr>
          <w:p w14:paraId="378DF62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万元</w:t>
            </w:r>
          </w:p>
        </w:tc>
        <w:tc>
          <w:tcPr>
            <w:tcW w:w="1830" w:type="dxa"/>
            <w:vAlign w:val="center"/>
          </w:tcPr>
          <w:p w14:paraId="7E63168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5000≤Z＜10000</w:t>
            </w:r>
          </w:p>
        </w:tc>
        <w:tc>
          <w:tcPr>
            <w:tcW w:w="1690" w:type="dxa"/>
            <w:vAlign w:val="center"/>
          </w:tcPr>
          <w:p w14:paraId="0175597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2000≤Y＜5000</w:t>
            </w:r>
          </w:p>
        </w:tc>
        <w:tc>
          <w:tcPr>
            <w:tcW w:w="1127" w:type="dxa"/>
            <w:vAlign w:val="center"/>
          </w:tcPr>
          <w:p w14:paraId="1763624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Y＜2000</w:t>
            </w:r>
          </w:p>
        </w:tc>
      </w:tr>
      <w:tr w14:paraId="536AF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restart"/>
            <w:vAlign w:val="center"/>
          </w:tcPr>
          <w:p w14:paraId="13426E7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物业管理</w:t>
            </w:r>
          </w:p>
        </w:tc>
        <w:tc>
          <w:tcPr>
            <w:tcW w:w="1972" w:type="dxa"/>
            <w:vAlign w:val="center"/>
          </w:tcPr>
          <w:p w14:paraId="0FCE06E7">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从业人员（X）</w:t>
            </w:r>
          </w:p>
        </w:tc>
        <w:tc>
          <w:tcPr>
            <w:tcW w:w="845" w:type="dxa"/>
            <w:vAlign w:val="center"/>
          </w:tcPr>
          <w:p w14:paraId="74ADAE7D">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人</w:t>
            </w:r>
          </w:p>
        </w:tc>
        <w:tc>
          <w:tcPr>
            <w:tcW w:w="1830" w:type="dxa"/>
            <w:vAlign w:val="center"/>
          </w:tcPr>
          <w:p w14:paraId="73A9533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300≤X＜1000</w:t>
            </w:r>
          </w:p>
        </w:tc>
        <w:tc>
          <w:tcPr>
            <w:tcW w:w="1690" w:type="dxa"/>
            <w:vAlign w:val="center"/>
          </w:tcPr>
          <w:p w14:paraId="732FF93D">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100≤X＜300</w:t>
            </w:r>
          </w:p>
        </w:tc>
        <w:tc>
          <w:tcPr>
            <w:tcW w:w="1127" w:type="dxa"/>
            <w:vAlign w:val="center"/>
          </w:tcPr>
          <w:p w14:paraId="10D01E9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X＜100</w:t>
            </w:r>
          </w:p>
        </w:tc>
      </w:tr>
      <w:tr w14:paraId="7610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continue"/>
            <w:vAlign w:val="center"/>
          </w:tcPr>
          <w:p w14:paraId="4800238F">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p>
        </w:tc>
        <w:tc>
          <w:tcPr>
            <w:tcW w:w="1972" w:type="dxa"/>
            <w:vAlign w:val="center"/>
          </w:tcPr>
          <w:p w14:paraId="363D839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营业收入（Y）</w:t>
            </w:r>
          </w:p>
        </w:tc>
        <w:tc>
          <w:tcPr>
            <w:tcW w:w="845" w:type="dxa"/>
            <w:vAlign w:val="center"/>
          </w:tcPr>
          <w:p w14:paraId="59DC81A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万元</w:t>
            </w:r>
          </w:p>
        </w:tc>
        <w:tc>
          <w:tcPr>
            <w:tcW w:w="1830" w:type="dxa"/>
            <w:vAlign w:val="center"/>
          </w:tcPr>
          <w:p w14:paraId="07D3C6B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1000≤Y＜5000</w:t>
            </w:r>
          </w:p>
        </w:tc>
        <w:tc>
          <w:tcPr>
            <w:tcW w:w="1690" w:type="dxa"/>
            <w:vAlign w:val="center"/>
          </w:tcPr>
          <w:p w14:paraId="12AFC16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500≤Y＜1000</w:t>
            </w:r>
          </w:p>
        </w:tc>
        <w:tc>
          <w:tcPr>
            <w:tcW w:w="1127" w:type="dxa"/>
            <w:vAlign w:val="center"/>
          </w:tcPr>
          <w:p w14:paraId="0F96CB6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Y＜500</w:t>
            </w:r>
          </w:p>
        </w:tc>
      </w:tr>
      <w:tr w14:paraId="3189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restart"/>
            <w:vAlign w:val="center"/>
          </w:tcPr>
          <w:p w14:paraId="7D1BAD9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租赁和商务服务业</w:t>
            </w:r>
          </w:p>
        </w:tc>
        <w:tc>
          <w:tcPr>
            <w:tcW w:w="1972" w:type="dxa"/>
            <w:vAlign w:val="center"/>
          </w:tcPr>
          <w:p w14:paraId="48DF629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从业人员（X）</w:t>
            </w:r>
          </w:p>
        </w:tc>
        <w:tc>
          <w:tcPr>
            <w:tcW w:w="845" w:type="dxa"/>
            <w:vAlign w:val="center"/>
          </w:tcPr>
          <w:p w14:paraId="4A673F3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人</w:t>
            </w:r>
          </w:p>
        </w:tc>
        <w:tc>
          <w:tcPr>
            <w:tcW w:w="1830" w:type="dxa"/>
            <w:vAlign w:val="center"/>
          </w:tcPr>
          <w:p w14:paraId="170FED08">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100≤X＜300</w:t>
            </w:r>
          </w:p>
        </w:tc>
        <w:tc>
          <w:tcPr>
            <w:tcW w:w="1690" w:type="dxa"/>
            <w:vAlign w:val="center"/>
          </w:tcPr>
          <w:p w14:paraId="1A18A1A6">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10≤X＜100</w:t>
            </w:r>
          </w:p>
        </w:tc>
        <w:tc>
          <w:tcPr>
            <w:tcW w:w="1127" w:type="dxa"/>
            <w:vAlign w:val="center"/>
          </w:tcPr>
          <w:p w14:paraId="0D397F0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X＜10</w:t>
            </w:r>
          </w:p>
        </w:tc>
      </w:tr>
      <w:tr w14:paraId="6BEB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73" w:type="dxa"/>
            <w:vMerge w:val="continue"/>
            <w:vAlign w:val="center"/>
          </w:tcPr>
          <w:p w14:paraId="60CBDFA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p>
        </w:tc>
        <w:tc>
          <w:tcPr>
            <w:tcW w:w="1972" w:type="dxa"/>
            <w:vAlign w:val="center"/>
          </w:tcPr>
          <w:p w14:paraId="6D4AF4D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资产总额（Z）</w:t>
            </w:r>
          </w:p>
        </w:tc>
        <w:tc>
          <w:tcPr>
            <w:tcW w:w="845" w:type="dxa"/>
            <w:vAlign w:val="center"/>
          </w:tcPr>
          <w:p w14:paraId="6E69001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万元</w:t>
            </w:r>
          </w:p>
        </w:tc>
        <w:tc>
          <w:tcPr>
            <w:tcW w:w="1830" w:type="dxa"/>
            <w:vAlign w:val="center"/>
          </w:tcPr>
          <w:p w14:paraId="5D53E75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8000≤Z＜120000</w:t>
            </w:r>
          </w:p>
        </w:tc>
        <w:tc>
          <w:tcPr>
            <w:tcW w:w="1690" w:type="dxa"/>
            <w:vAlign w:val="center"/>
          </w:tcPr>
          <w:p w14:paraId="1AF5242F">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100≤Z＜8000</w:t>
            </w:r>
          </w:p>
        </w:tc>
        <w:tc>
          <w:tcPr>
            <w:tcW w:w="1127" w:type="dxa"/>
            <w:vAlign w:val="center"/>
          </w:tcPr>
          <w:p w14:paraId="5503C3A3">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Y＜100</w:t>
            </w:r>
          </w:p>
        </w:tc>
      </w:tr>
      <w:tr w14:paraId="04EA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973" w:type="dxa"/>
            <w:vAlign w:val="center"/>
          </w:tcPr>
          <w:p w14:paraId="65E9381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其他未列明行业</w:t>
            </w:r>
          </w:p>
        </w:tc>
        <w:tc>
          <w:tcPr>
            <w:tcW w:w="1972" w:type="dxa"/>
            <w:vAlign w:val="center"/>
          </w:tcPr>
          <w:p w14:paraId="3B36F7F3">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从业人员（X）</w:t>
            </w:r>
          </w:p>
        </w:tc>
        <w:tc>
          <w:tcPr>
            <w:tcW w:w="845" w:type="dxa"/>
            <w:vAlign w:val="center"/>
          </w:tcPr>
          <w:p w14:paraId="07AEAB97">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人</w:t>
            </w:r>
          </w:p>
        </w:tc>
        <w:tc>
          <w:tcPr>
            <w:tcW w:w="1830" w:type="dxa"/>
            <w:vAlign w:val="center"/>
          </w:tcPr>
          <w:p w14:paraId="442C777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100≤X＜300</w:t>
            </w:r>
          </w:p>
        </w:tc>
        <w:tc>
          <w:tcPr>
            <w:tcW w:w="1690" w:type="dxa"/>
            <w:vAlign w:val="center"/>
          </w:tcPr>
          <w:p w14:paraId="2E5A79F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10≤X＜100</w:t>
            </w:r>
          </w:p>
        </w:tc>
        <w:tc>
          <w:tcPr>
            <w:tcW w:w="1127" w:type="dxa"/>
            <w:vAlign w:val="center"/>
          </w:tcPr>
          <w:p w14:paraId="3D635DE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X＜10</w:t>
            </w:r>
          </w:p>
        </w:tc>
      </w:tr>
    </w:tbl>
    <w:p w14:paraId="37028DB8">
      <w:pPr>
        <w:shd w:val="clear"/>
        <w:ind w:firstLine="525" w:firstLineChars="250"/>
        <w:rPr>
          <w:rFonts w:ascii="宋体" w:hAnsi="宋体" w:cs="宋体"/>
          <w:color w:val="auto"/>
          <w:szCs w:val="21"/>
          <w:highlight w:val="none"/>
        </w:rPr>
      </w:pPr>
      <w:r>
        <w:rPr>
          <w:rFonts w:hint="eastAsia" w:ascii="宋体" w:hAnsi="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1102433C">
      <w:pPr>
        <w:shd w:val="clear"/>
        <w:rPr>
          <w:rFonts w:ascii="宋体" w:hAnsi="宋体" w:cs="宋体"/>
          <w:color w:val="auto"/>
          <w:highlight w:val="none"/>
        </w:rPr>
      </w:pPr>
    </w:p>
    <w:p w14:paraId="1C843B15">
      <w:pPr>
        <w:shd w:val="clear"/>
        <w:rPr>
          <w:rFonts w:ascii="宋体" w:hAnsi="宋体" w:cs="宋体"/>
          <w:color w:val="auto"/>
          <w:highlight w:val="none"/>
        </w:rPr>
      </w:pPr>
    </w:p>
    <w:p w14:paraId="42354AA2">
      <w:pPr>
        <w:pStyle w:val="13"/>
        <w:shd w:val="clear"/>
        <w:ind w:firstLine="420"/>
        <w:rPr>
          <w:rFonts w:hint="eastAsia" w:ascii="宋体" w:hAnsi="宋体" w:eastAsia="宋体" w:cs="宋体"/>
          <w:color w:val="auto"/>
          <w:sz w:val="21"/>
          <w:szCs w:val="21"/>
          <w:highlight w:val="none"/>
        </w:rPr>
      </w:pPr>
      <w:r>
        <w:rPr>
          <w:rFonts w:hint="eastAsia" w:ascii="宋体" w:hAnsi="宋体" w:cs="宋体"/>
          <w:color w:val="auto"/>
          <w:highlight w:val="none"/>
        </w:rPr>
        <w:br w:type="page"/>
      </w:r>
      <w:bookmarkStart w:id="55" w:name="_Toc22567"/>
      <w:r>
        <w:rPr>
          <w:rFonts w:hint="eastAsia" w:ascii="宋体" w:hAnsi="宋体" w:eastAsia="宋体" w:cs="宋体"/>
          <w:color w:val="auto"/>
          <w:sz w:val="32"/>
          <w:szCs w:val="32"/>
          <w:highlight w:val="none"/>
        </w:rPr>
        <w:t>附件</w:t>
      </w:r>
      <w:r>
        <w:rPr>
          <w:rFonts w:hint="eastAsia" w:ascii="宋体" w:hAnsi="宋体" w:eastAsia="宋体" w:cs="宋体"/>
          <w:color w:val="auto"/>
          <w:sz w:val="32"/>
          <w:szCs w:val="32"/>
          <w:highlight w:val="none"/>
          <w:lang w:val="en-US" w:eastAsia="zh-CN"/>
        </w:rPr>
        <w:t>3</w:t>
      </w:r>
      <w:r>
        <w:rPr>
          <w:rFonts w:hint="eastAsia" w:ascii="宋体" w:hAnsi="宋体" w:eastAsia="宋体" w:cs="宋体"/>
          <w:color w:val="auto"/>
          <w:sz w:val="32"/>
          <w:szCs w:val="32"/>
          <w:highlight w:val="none"/>
        </w:rPr>
        <w:t>：</w:t>
      </w:r>
    </w:p>
    <w:p w14:paraId="26243FE2">
      <w:pPr>
        <w:widowControl/>
        <w:shd w:val="clear" w:color="auto"/>
        <w:spacing w:line="528" w:lineRule="exact"/>
        <w:ind w:left="1871"/>
        <w:jc w:val="left"/>
        <w:textAlignment w:val="auto"/>
        <w:rPr>
          <w:rFonts w:hint="eastAsia" w:ascii="宋体" w:hAnsi="宋体" w:eastAsia="宋体" w:cs="宋体"/>
          <w:color w:val="auto"/>
          <w:kern w:val="2"/>
          <w:sz w:val="40"/>
          <w:szCs w:val="40"/>
          <w:highlight w:val="none"/>
          <w:lang w:bidi="ar"/>
        </w:rPr>
      </w:pPr>
      <w:r>
        <w:rPr>
          <w:rFonts w:hint="eastAsia" w:ascii="宋体" w:hAnsi="宋体" w:eastAsia="宋体" w:cs="宋体"/>
          <w:b w:val="0"/>
          <w:bCs w:val="0"/>
          <w:color w:val="auto"/>
          <w:kern w:val="2"/>
          <w:sz w:val="40"/>
          <w:szCs w:val="40"/>
          <w:highlight w:val="none"/>
          <w:lang w:bidi="ar"/>
        </w:rPr>
        <w:t>中国境内生产的组件成本核算基本规则</w:t>
      </w:r>
    </w:p>
    <w:p w14:paraId="00148DFD">
      <w:pPr>
        <w:pStyle w:val="13"/>
        <w:shd w:val="clear"/>
        <w:spacing w:line="360" w:lineRule="auto"/>
        <w:ind w:firstLine="46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产品在中国境内生产的组件成本，一般按照其二级组件的相关成本进行核算。按照产品的一级组件进行成本核算能够满足中国境内生产的组件成本判定需求的，可以按照一级组件的相关成本进行核算。</w:t>
      </w:r>
    </w:p>
    <w:p w14:paraId="5B0A0CBD">
      <w:pPr>
        <w:pStyle w:val="13"/>
        <w:shd w:val="clear"/>
        <w:spacing w:line="360" w:lineRule="auto"/>
        <w:ind w:firstLine="46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一、产品的一级组件是指直接组成产品的组件。产品的二级组件是指直接组成产品一级组件的组件。一级组件不可分解的，视同二级组件。</w:t>
      </w:r>
    </w:p>
    <w:p w14:paraId="4EF0CA98">
      <w:pPr>
        <w:pStyle w:val="13"/>
        <w:shd w:val="clear"/>
        <w:spacing w:line="360" w:lineRule="auto"/>
        <w:ind w:firstLine="46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二、二级组件在中国境内生产的，其全部成本计入中国境内生产的组件成本;二级组件不在中国境内生产的，其成本不计入中国境内生产的组件成本。</w:t>
      </w:r>
    </w:p>
    <w:p w14:paraId="297A3AAE">
      <w:pPr>
        <w:pStyle w:val="13"/>
        <w:shd w:val="clear"/>
        <w:spacing w:line="360" w:lineRule="auto"/>
        <w:ind w:firstLine="46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三、产品总成本和组件成本以相关会计核算数据、采购合同、进货记录等为基础进行计算。</w:t>
      </w:r>
    </w:p>
    <w:p w14:paraId="12CC645D">
      <w:pPr>
        <w:pStyle w:val="13"/>
        <w:shd w:val="clear"/>
        <w:ind w:firstLine="465"/>
        <w:jc w:val="center"/>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四、需要对成本核算规则予以进一步明确的其他有关事项，由财政部会同有关部门另行规定。</w:t>
      </w:r>
    </w:p>
    <w:p w14:paraId="213C8352">
      <w:pPr>
        <w:shd w:val="clear"/>
        <w:rPr>
          <w:rFonts w:hint="eastAsia" w:ascii="宋体" w:hAnsi="宋体" w:cs="宋体"/>
          <w:color w:val="auto"/>
          <w:highlight w:val="none"/>
        </w:rPr>
      </w:pPr>
      <w:r>
        <w:rPr>
          <w:rFonts w:hint="eastAsia" w:ascii="宋体" w:hAnsi="宋体" w:cs="宋体"/>
          <w:color w:val="auto"/>
          <w:highlight w:val="none"/>
        </w:rPr>
        <w:br w:type="page"/>
      </w:r>
    </w:p>
    <w:p w14:paraId="25B61451">
      <w:pPr>
        <w:pStyle w:val="2"/>
        <w:shd w:val="clear"/>
        <w:jc w:val="center"/>
        <w:outlineLvl w:val="0"/>
        <w:rPr>
          <w:rFonts w:ascii="宋体" w:hAnsi="宋体" w:cs="宋体"/>
          <w:color w:val="auto"/>
          <w:highlight w:val="none"/>
        </w:rPr>
      </w:pPr>
      <w:r>
        <w:rPr>
          <w:rFonts w:hint="eastAsia" w:ascii="宋体" w:hAnsi="宋体" w:cs="宋体"/>
          <w:color w:val="auto"/>
          <w:highlight w:val="none"/>
        </w:rPr>
        <w:t>第四章  评审程序、评审方法和评审标准</w:t>
      </w:r>
      <w:bookmarkEnd w:id="55"/>
    </w:p>
    <w:p w14:paraId="7375EC44">
      <w:pPr>
        <w:shd w:val="clear"/>
        <w:spacing w:line="400" w:lineRule="exact"/>
        <w:jc w:val="center"/>
        <w:rPr>
          <w:rFonts w:ascii="宋体" w:hAnsi="宋体" w:cs="宋体"/>
          <w:b/>
          <w:color w:val="auto"/>
          <w:sz w:val="32"/>
          <w:szCs w:val="32"/>
          <w:highlight w:val="none"/>
        </w:rPr>
      </w:pPr>
      <w:bookmarkStart w:id="56" w:name="_Toc22682"/>
      <w:r>
        <w:rPr>
          <w:rFonts w:hint="eastAsia" w:ascii="宋体" w:hAnsi="宋体" w:cs="宋体"/>
          <w:b/>
          <w:color w:val="auto"/>
          <w:sz w:val="32"/>
          <w:szCs w:val="32"/>
          <w:highlight w:val="none"/>
        </w:rPr>
        <w:t>一、评审程序和评审方法</w:t>
      </w:r>
      <w:bookmarkEnd w:id="56"/>
    </w:p>
    <w:p w14:paraId="66703400">
      <w:pPr>
        <w:shd w:val="clear"/>
        <w:spacing w:line="360" w:lineRule="auto"/>
        <w:ind w:firstLine="420" w:firstLineChars="200"/>
        <w:rPr>
          <w:rFonts w:ascii="宋体" w:hAnsi="宋体" w:cs="宋体"/>
          <w:bCs/>
          <w:color w:val="auto"/>
          <w:szCs w:val="21"/>
          <w:highlight w:val="none"/>
        </w:rPr>
      </w:pPr>
    </w:p>
    <w:p w14:paraId="170BC00E">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评审方法：☑最低评标价法，是指</w:t>
      </w:r>
      <w:r>
        <w:rPr>
          <w:rFonts w:hint="eastAsia" w:ascii="宋体" w:hAnsi="宋体" w:cs="宋体"/>
          <w:bCs/>
          <w:color w:val="auto"/>
          <w:szCs w:val="21"/>
          <w:highlight w:val="none"/>
          <w:lang w:val="en-US" w:eastAsia="zh-CN"/>
        </w:rPr>
        <w:t>响应</w:t>
      </w:r>
      <w:r>
        <w:rPr>
          <w:rFonts w:hint="eastAsia" w:ascii="宋体" w:hAnsi="宋体" w:cs="宋体"/>
          <w:bCs/>
          <w:color w:val="auto"/>
          <w:szCs w:val="21"/>
          <w:highlight w:val="none"/>
        </w:rPr>
        <w:t>文件满足</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谈判文件全部实质性要求，且</w:t>
      </w:r>
      <w:r>
        <w:rPr>
          <w:rFonts w:hint="eastAsia" w:ascii="宋体" w:hAnsi="宋体" w:cs="宋体"/>
          <w:bCs/>
          <w:color w:val="auto"/>
          <w:szCs w:val="21"/>
          <w:highlight w:val="none"/>
          <w:lang w:val="en-US" w:eastAsia="zh-CN"/>
        </w:rPr>
        <w:t>响应</w:t>
      </w:r>
      <w:r>
        <w:rPr>
          <w:rFonts w:hint="eastAsia" w:ascii="宋体" w:hAnsi="宋体" w:cs="宋体"/>
          <w:bCs/>
          <w:color w:val="auto"/>
          <w:szCs w:val="21"/>
          <w:highlight w:val="none"/>
        </w:rPr>
        <w:t>报价最低的谈判供应商为成交候选</w:t>
      </w:r>
      <w:r>
        <w:rPr>
          <w:rFonts w:hint="eastAsia" w:ascii="宋体" w:hAnsi="宋体" w:cs="宋体"/>
          <w:bCs/>
          <w:color w:val="auto"/>
          <w:szCs w:val="21"/>
          <w:highlight w:val="none"/>
          <w:lang w:val="en-US" w:eastAsia="zh-CN"/>
        </w:rPr>
        <w:t>供应商</w:t>
      </w:r>
      <w:r>
        <w:rPr>
          <w:rFonts w:hint="eastAsia" w:ascii="宋体" w:hAnsi="宋体" w:cs="宋体"/>
          <w:bCs/>
          <w:color w:val="auto"/>
          <w:szCs w:val="21"/>
          <w:highlight w:val="none"/>
        </w:rPr>
        <w:t>的评标方法。</w:t>
      </w:r>
    </w:p>
    <w:p w14:paraId="1AA6EF38">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1.确认</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w:t>
      </w:r>
    </w:p>
    <w:p w14:paraId="3FAF4FEB">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由谈判小组确认</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w:t>
      </w:r>
    </w:p>
    <w:p w14:paraId="4781033C">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2.资格审查</w:t>
      </w:r>
    </w:p>
    <w:p w14:paraId="4EF62A15">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2.1响应文件开启后，谈判小组依法对供应商的资格证明文件进行审查。</w:t>
      </w:r>
    </w:p>
    <w:p w14:paraId="416098CF">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注：采购人代表或者采购代理机构在资格审查结束前，对供应商进行信用查询。</w:t>
      </w:r>
    </w:p>
    <w:p w14:paraId="34CD147A">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（1）查询渠道：“广西政府采购云”平台、“信用中国”网站、中国政府采购网链接入口。</w:t>
      </w:r>
    </w:p>
    <w:p w14:paraId="473E6D2D">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（2）信用查询截止时点：资格审查结束前。</w:t>
      </w:r>
    </w:p>
    <w:p w14:paraId="4EB29E2F">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查询记录和证据留存方式：在查询网站中直接打印查询记录，截图另存为电子文档作为评审资料保存。</w:t>
      </w:r>
    </w:p>
    <w:p w14:paraId="46C38573">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信用信息使用规则：对在“信用中国”网站（www.creditchina.gov.cn）、中国政府采购网（www.ccgp.gov.cn）等渠道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53818DF">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2.2资格审查标准为本</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谈判文件中载明对供应商资格要求的条件。资格审查采用合格制，凡符合</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谈判文件规定的供应商资格要求的响应文件均通过资格审查。</w:t>
      </w:r>
    </w:p>
    <w:p w14:paraId="2C35FD0A">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2.3供应商有下列情形之一的，资格审查不通过，其响应文件按无效响应处理：</w:t>
      </w:r>
    </w:p>
    <w:p w14:paraId="7800FFFC">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（1）不具备</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谈判文件中规定的资格要求的；</w:t>
      </w:r>
    </w:p>
    <w:p w14:paraId="52A39083">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（2）响应文件未提供任一项“供应商须知前附表”资格证明文件规定的“必须提供”的文件资料的；</w:t>
      </w:r>
    </w:p>
    <w:p w14:paraId="63E5E1B8">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（3）响应文件提供的资格证明文件出现任一项不符合“供应商须知前附表”资格证明文件规定的“必须提供”的文件资料要求或者无效的。</w:t>
      </w:r>
    </w:p>
    <w:p w14:paraId="6DDF6EB9">
      <w:pPr>
        <w:shd w:val="clear"/>
        <w:spacing w:line="360" w:lineRule="auto"/>
        <w:ind w:firstLine="420" w:firstLineChars="200"/>
        <w:rPr>
          <w:rFonts w:ascii="宋体" w:hAnsi="宋体" w:cs="宋体"/>
          <w:bCs/>
          <w:color w:val="auto"/>
          <w:szCs w:val="21"/>
          <w:highlight w:val="none"/>
        </w:rPr>
      </w:pPr>
      <w:bookmarkStart w:id="57" w:name="_Hlk68601553"/>
      <w:r>
        <w:rPr>
          <w:rFonts w:hint="eastAsia" w:ascii="宋体" w:hAnsi="宋体" w:cs="宋体"/>
          <w:bCs/>
          <w:color w:val="auto"/>
          <w:szCs w:val="21"/>
          <w:highlight w:val="none"/>
        </w:rPr>
        <w:t>（4）同一合同项下的不同供应商，单位负责人为同一人或者存在直接控股、管理关系的；为本项目提供过整体设计、规范编制或者项目管理、监理、检测等服务的。</w:t>
      </w:r>
      <w:bookmarkEnd w:id="57"/>
    </w:p>
    <w:p w14:paraId="75C07712">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2.4通过资格审查的合格供应商不足3家的，不得进入符合性审查环节，采购人或者采购代理机构应当重新开展采购活动。</w:t>
      </w:r>
    </w:p>
    <w:p w14:paraId="1DEF1CBB">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3.符合性审查</w:t>
      </w:r>
    </w:p>
    <w:p w14:paraId="5D879C3F">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3.1由谈判小组对通过资格审查的合格供应商的响应文件的响应报价、商务、技术等实质性要求进行符合性审查，以确定其是否满足</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谈判文件的实质性要求。</w:t>
      </w:r>
    </w:p>
    <w:p w14:paraId="24BE3B5D">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80E1D3C">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3.3谈判小组要求供应商澄清、说明或者更正响应文件应当以电子澄清函形式作出。供应商的澄清、说明或者更正应当以电子回函的形式按照谈判小组的要求作出明确的澄清、说明或者更正，未按谈判小组的要求作出明确澄清、说明或者更正的供应商的响应文件将按照有利于采购人的原则由谈判小组进行判定。供应商的澄清、说明或者更正必须加盖供应商公章（或电子签章）。供应商为自然人的，必须由本人签字并附身份证明。</w:t>
      </w:r>
    </w:p>
    <w:p w14:paraId="5D056555">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 xml:space="preserve">3.4首次响应文件报价出现前后不一致的，按照下列规定修正： </w:t>
      </w:r>
    </w:p>
    <w:p w14:paraId="4D123017">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cs="宋体"/>
          <w:bCs/>
          <w:color w:val="auto"/>
          <w:szCs w:val="21"/>
          <w:highlight w:val="none"/>
        </w:rPr>
        <w:t>（1）响应文件中</w:t>
      </w:r>
      <w:r>
        <w:rPr>
          <w:rFonts w:hint="eastAsia" w:ascii="宋体" w:hAnsi="宋体" w:eastAsia="宋体" w:cs="宋体"/>
          <w:bCs/>
          <w:color w:val="auto"/>
          <w:szCs w:val="21"/>
          <w:highlight w:val="none"/>
        </w:rPr>
        <w:t>报价表内容与响应文件中相应内容不一致的，以报价表为准；</w:t>
      </w:r>
    </w:p>
    <w:p w14:paraId="4F098AE2">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（2）大写金额和小写金额不一致的，以大写金额为准；</w:t>
      </w:r>
    </w:p>
    <w:p w14:paraId="45D8F13D">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（3）单价金额小数点或者百分比有明显错位的，以报价表的总价为准，并修改单价；</w:t>
      </w:r>
    </w:p>
    <w:p w14:paraId="3F7ED8C0">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（4）总价金额与按单价汇总金额不一致的，以单价金额计算结果为准。</w:t>
      </w:r>
    </w:p>
    <w:p w14:paraId="099A0577">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同时出现两种以上不一致的，按照以上（1）～（4）规定的顺序逐条进行修正。修正后的报价经供应商确认后产生约束力，供应商不确认的，其响应文件按无效响应处理。</w:t>
      </w:r>
    </w:p>
    <w:p w14:paraId="684F5380">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3.5商务技术、报价评审</w:t>
      </w:r>
    </w:p>
    <w:p w14:paraId="499BE548">
      <w:pPr>
        <w:shd w:val="clear"/>
        <w:spacing w:line="360" w:lineRule="auto"/>
        <w:ind w:firstLine="420" w:firstLineChars="200"/>
        <w:rPr>
          <w:rFonts w:ascii="宋体" w:hAnsi="宋体" w:cs="宋体"/>
          <w:bCs/>
          <w:color w:val="auto"/>
          <w:szCs w:val="21"/>
          <w:highlight w:val="none"/>
        </w:rPr>
      </w:pPr>
      <w:r>
        <w:rPr>
          <w:rFonts w:hint="eastAsia" w:ascii="宋体" w:hAnsi="宋体" w:eastAsia="宋体" w:cs="宋体"/>
          <w:bCs/>
          <w:color w:val="auto"/>
          <w:szCs w:val="21"/>
          <w:highlight w:val="none"/>
        </w:rPr>
        <w:t>在评审时，如发现下列情形之一的</w:t>
      </w:r>
      <w:r>
        <w:rPr>
          <w:rFonts w:hint="eastAsia" w:ascii="宋体" w:hAnsi="宋体" w:cs="宋体"/>
          <w:bCs/>
          <w:color w:val="auto"/>
          <w:szCs w:val="21"/>
          <w:highlight w:val="none"/>
        </w:rPr>
        <w:t>，将被视为响应文件无效处理：</w:t>
      </w:r>
    </w:p>
    <w:p w14:paraId="37CF54D0">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（1）商务技术评审</w:t>
      </w:r>
    </w:p>
    <w:p w14:paraId="371F54C0">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1）响应文件未按</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谈判文件要求签署、盖章；</w:t>
      </w:r>
    </w:p>
    <w:p w14:paraId="33E21CB2">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 xml:space="preserve">2）委托代理人未能出具有效身份证明或者出具的身份证明与授权委托书中的信息不符； </w:t>
      </w:r>
    </w:p>
    <w:p w14:paraId="2DC94DE4">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1DF01AF">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4）商务条款中标“▲”的条款发生负偏离的或者允许负偏离的条款数超过“供应商须知前附表”规定项数的或者标明实质性的要求发生负偏离；</w:t>
      </w:r>
    </w:p>
    <w:p w14:paraId="52F789F0">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5）未对</w:t>
      </w:r>
      <w:r>
        <w:rPr>
          <w:rFonts w:hint="eastAsia" w:ascii="宋体" w:hAnsi="宋体" w:cs="宋体"/>
          <w:bCs/>
          <w:color w:val="auto"/>
          <w:szCs w:val="21"/>
          <w:highlight w:val="none"/>
          <w:lang w:val="en-US" w:eastAsia="zh-CN"/>
        </w:rPr>
        <w:t>响应</w:t>
      </w:r>
      <w:r>
        <w:rPr>
          <w:rFonts w:hint="eastAsia" w:ascii="宋体" w:hAnsi="宋体" w:cs="宋体"/>
          <w:bCs/>
          <w:color w:val="auto"/>
          <w:szCs w:val="21"/>
          <w:highlight w:val="none"/>
        </w:rPr>
        <w:t>有效期作出响应或者响应文件承诺的</w:t>
      </w:r>
      <w:r>
        <w:rPr>
          <w:rFonts w:hint="eastAsia" w:ascii="宋体" w:hAnsi="宋体" w:cs="宋体"/>
          <w:bCs/>
          <w:color w:val="auto"/>
          <w:szCs w:val="21"/>
          <w:highlight w:val="none"/>
          <w:lang w:val="en-US" w:eastAsia="zh-CN"/>
        </w:rPr>
        <w:t>响应</w:t>
      </w:r>
      <w:r>
        <w:rPr>
          <w:rFonts w:hint="eastAsia" w:ascii="宋体" w:hAnsi="宋体" w:cs="宋体"/>
          <w:bCs/>
          <w:color w:val="auto"/>
          <w:szCs w:val="21"/>
          <w:highlight w:val="none"/>
        </w:rPr>
        <w:t>有效期不满足</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谈判文件要求；</w:t>
      </w:r>
    </w:p>
    <w:p w14:paraId="079B425C">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6）响应文件的实质性内容未使用中文表述、使用计量单位不符合</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谈判文件要求；</w:t>
      </w:r>
    </w:p>
    <w:p w14:paraId="6036CE9F">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7）响应文件中的文件资料因填写不齐全或者内容虚假或者出现其他情形而导致被谈判小组认定无效；</w:t>
      </w:r>
    </w:p>
    <w:p w14:paraId="40524153">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8）响应文件含有采购人不能接受的附加条件；</w:t>
      </w:r>
    </w:p>
    <w:p w14:paraId="371BB190">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9）属于“供应商须知正文”第7.5条情形；</w:t>
      </w:r>
    </w:p>
    <w:p w14:paraId="5AC32B5C">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10）技术需求允许负偏离的条款数超过“供应商须知前附表”规定项数；</w:t>
      </w:r>
    </w:p>
    <w:p w14:paraId="37F51E27">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11）虚假</w:t>
      </w:r>
      <w:r>
        <w:rPr>
          <w:rFonts w:hint="eastAsia" w:ascii="宋体" w:hAnsi="宋体" w:cs="宋体"/>
          <w:bCs/>
          <w:color w:val="auto"/>
          <w:szCs w:val="21"/>
          <w:highlight w:val="none"/>
          <w:lang w:val="en-US" w:eastAsia="zh-CN"/>
        </w:rPr>
        <w:t>响应</w:t>
      </w:r>
      <w:r>
        <w:rPr>
          <w:rFonts w:hint="eastAsia" w:ascii="宋体" w:hAnsi="宋体" w:cs="宋体"/>
          <w:bCs/>
          <w:color w:val="auto"/>
          <w:szCs w:val="21"/>
          <w:highlight w:val="none"/>
        </w:rPr>
        <w:t>，或者出现其他情形而导致被谈判小组认定无效；</w:t>
      </w:r>
    </w:p>
    <w:p w14:paraId="01ACDA62">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12）</w:t>
      </w:r>
      <w:r>
        <w:rPr>
          <w:rFonts w:hint="eastAsia" w:ascii="宋体" w:hAnsi="宋体" w:cs="宋体"/>
          <w:bCs/>
          <w:color w:val="auto"/>
          <w:szCs w:val="21"/>
          <w:highlight w:val="none"/>
          <w:lang w:val="en-US" w:eastAsia="zh-CN"/>
        </w:rPr>
        <w:t>响应</w:t>
      </w:r>
      <w:r>
        <w:rPr>
          <w:rFonts w:hint="eastAsia" w:ascii="宋体" w:hAnsi="宋体" w:cs="宋体"/>
          <w:bCs/>
          <w:color w:val="auto"/>
          <w:szCs w:val="21"/>
          <w:highlight w:val="none"/>
        </w:rPr>
        <w:t>技术方案不明确，</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谈判文件未允许但响应文件中存在一个或者一个以上备选（替代）</w:t>
      </w:r>
      <w:r>
        <w:rPr>
          <w:rFonts w:hint="eastAsia" w:ascii="宋体" w:hAnsi="宋体" w:cs="宋体"/>
          <w:bCs/>
          <w:color w:val="auto"/>
          <w:szCs w:val="21"/>
          <w:highlight w:val="none"/>
          <w:lang w:val="en-US" w:eastAsia="zh-CN"/>
        </w:rPr>
        <w:t>响应</w:t>
      </w:r>
      <w:r>
        <w:rPr>
          <w:rFonts w:hint="eastAsia" w:ascii="宋体" w:hAnsi="宋体" w:cs="宋体"/>
          <w:bCs/>
          <w:color w:val="auto"/>
          <w:szCs w:val="21"/>
          <w:highlight w:val="none"/>
        </w:rPr>
        <w:t>方案；</w:t>
      </w:r>
    </w:p>
    <w:p w14:paraId="6FEC905A">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13）响应文件标注的项目名称或者项目编号与竞争性谈判文件标注的项目名称或者项目编号不一致的；</w:t>
      </w:r>
    </w:p>
    <w:p w14:paraId="42E0B521">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14）未响应</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谈判文件实质性要求；</w:t>
      </w:r>
    </w:p>
    <w:p w14:paraId="1F58AC67">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15）法律法规和</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谈判文件规定的其他无效情形。</w:t>
      </w:r>
    </w:p>
    <w:p w14:paraId="3CF89C3E">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（2）报价评审</w:t>
      </w:r>
    </w:p>
    <w:p w14:paraId="7E9AF678">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 响应文件未提供“供应商须知前附表” 报价文件中规定的“响应报价表”；</w:t>
      </w:r>
    </w:p>
    <w:p w14:paraId="461DF13B">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2）未采用人民币报价或者未按照</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谈判文件标明的币种报价；</w:t>
      </w:r>
    </w:p>
    <w:p w14:paraId="58FB27A6">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3）供应商未就所</w:t>
      </w:r>
      <w:r>
        <w:rPr>
          <w:rFonts w:hint="eastAsia" w:ascii="宋体" w:hAnsi="宋体" w:cs="宋体"/>
          <w:bCs/>
          <w:color w:val="auto"/>
          <w:szCs w:val="21"/>
          <w:highlight w:val="none"/>
          <w:lang w:val="en-US" w:eastAsia="zh-CN"/>
        </w:rPr>
        <w:t>响应</w:t>
      </w:r>
      <w:r>
        <w:rPr>
          <w:rFonts w:hint="eastAsia" w:ascii="宋体" w:hAnsi="宋体" w:cs="宋体"/>
          <w:bCs/>
          <w:color w:val="auto"/>
          <w:szCs w:val="21"/>
          <w:highlight w:val="none"/>
        </w:rPr>
        <w:t>分标进行报价或者存在漏项报价；供应商未就所</w:t>
      </w:r>
      <w:r>
        <w:rPr>
          <w:rFonts w:hint="eastAsia" w:ascii="宋体" w:hAnsi="宋体" w:cs="宋体"/>
          <w:bCs/>
          <w:color w:val="auto"/>
          <w:szCs w:val="21"/>
          <w:highlight w:val="none"/>
          <w:lang w:val="en-US" w:eastAsia="zh-CN"/>
        </w:rPr>
        <w:t>响应</w:t>
      </w:r>
      <w:r>
        <w:rPr>
          <w:rFonts w:hint="eastAsia" w:ascii="宋体" w:hAnsi="宋体" w:cs="宋体"/>
          <w:bCs/>
          <w:color w:val="auto"/>
          <w:szCs w:val="21"/>
          <w:highlight w:val="none"/>
        </w:rPr>
        <w:t>分标的单项内容作唯一报价；供应商未就所</w:t>
      </w:r>
      <w:r>
        <w:rPr>
          <w:rFonts w:hint="eastAsia" w:ascii="宋体" w:hAnsi="宋体" w:cs="宋体"/>
          <w:bCs/>
          <w:color w:val="auto"/>
          <w:szCs w:val="21"/>
          <w:highlight w:val="none"/>
          <w:lang w:val="en-US" w:eastAsia="zh-CN"/>
        </w:rPr>
        <w:t>响应</w:t>
      </w:r>
      <w:r>
        <w:rPr>
          <w:rFonts w:hint="eastAsia" w:ascii="宋体" w:hAnsi="宋体" w:cs="宋体"/>
          <w:bCs/>
          <w:color w:val="auto"/>
          <w:szCs w:val="21"/>
          <w:highlight w:val="none"/>
        </w:rPr>
        <w:t>分标的全部内容作唯一总价报价；供应商响应文件中存在有选择、有条件报价的（</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谈判文件允许有备选方案或者其他约定的除外）；</w:t>
      </w:r>
    </w:p>
    <w:p w14:paraId="787847EF">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4）响应报价（包含首次报价、最后报价）超过所</w:t>
      </w:r>
      <w:r>
        <w:rPr>
          <w:rFonts w:hint="eastAsia" w:ascii="宋体" w:hAnsi="宋体" w:cs="宋体"/>
          <w:bCs/>
          <w:color w:val="auto"/>
          <w:szCs w:val="21"/>
          <w:highlight w:val="none"/>
          <w:lang w:val="en-US" w:eastAsia="zh-CN"/>
        </w:rPr>
        <w:t>响应</w:t>
      </w:r>
      <w:r>
        <w:rPr>
          <w:rFonts w:hint="eastAsia" w:ascii="宋体" w:hAnsi="宋体" w:cs="宋体"/>
          <w:bCs/>
          <w:color w:val="auto"/>
          <w:szCs w:val="21"/>
          <w:highlight w:val="none"/>
        </w:rPr>
        <w:t>分标规定的采购预算金额或者最高限价的（如本项目公布了最高限价）；响应报价（包含首次报价、最后报价）超过</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谈判文件分项采购预算金额或者最高限价的（如本项目公布了最高限价）；</w:t>
      </w:r>
    </w:p>
    <w:p w14:paraId="135F4A23">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5）修正后的报价，供应商不确认的；或者经供应商确认修正后的响应报价（包含首次报价、最后报价）超过所</w:t>
      </w:r>
      <w:r>
        <w:rPr>
          <w:rFonts w:hint="eastAsia" w:ascii="宋体" w:hAnsi="宋体" w:cs="宋体"/>
          <w:bCs/>
          <w:color w:val="auto"/>
          <w:szCs w:val="21"/>
          <w:highlight w:val="none"/>
          <w:lang w:val="en-US" w:eastAsia="zh-CN"/>
        </w:rPr>
        <w:t>响应</w:t>
      </w:r>
      <w:r>
        <w:rPr>
          <w:rFonts w:hint="eastAsia" w:ascii="宋体" w:hAnsi="宋体" w:cs="宋体"/>
          <w:bCs/>
          <w:color w:val="auto"/>
          <w:szCs w:val="21"/>
          <w:highlight w:val="none"/>
        </w:rPr>
        <w:t>分标规定的采购预算金额或者最高限价（如本项目公布了最高限价）；或者经供应商确认修正后响应报价（包含首次报价、最后报价）超过</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谈判文件分项采购预算金额或者最高限价的（如本项目公布了最高限价）。</w:t>
      </w:r>
    </w:p>
    <w:p w14:paraId="778F0494">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6）响应文件响应的标的数量及单位与竞争性谈判文件要求实质性不一致的。</w:t>
      </w:r>
    </w:p>
    <w:p w14:paraId="5A972A42">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7）未响应</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谈判文件实质性要求的。</w:t>
      </w:r>
    </w:p>
    <w:p w14:paraId="1A1FC7F5">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3.6谈判小组对响应文件进行评审，未实质性响应</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谈判文件的响应文件按无效处理，谈判小组应当将资格和符合性不通过的情况告知有关供应商。谈判小组从符合</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谈判文件规定的相应资格条件的供应商名单中确定不少于3家的供应商参加谈判。</w:t>
      </w:r>
    </w:p>
    <w:p w14:paraId="45C132AD">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4.谈判程序</w:t>
      </w:r>
    </w:p>
    <w:p w14:paraId="0D4B4A65">
      <w:pPr>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auto"/>
        <w:rPr>
          <w:rFonts w:ascii="宋体" w:hAnsi="宋体" w:cs="宋体"/>
          <w:bCs/>
          <w:color w:val="auto"/>
          <w:szCs w:val="21"/>
          <w:highlight w:val="none"/>
        </w:rPr>
      </w:pPr>
      <w:r>
        <w:rPr>
          <w:rFonts w:hint="eastAsia" w:ascii="宋体" w:hAnsi="宋体" w:cs="宋体"/>
          <w:bCs/>
          <w:color w:val="auto"/>
          <w:szCs w:val="21"/>
          <w:highlight w:val="none"/>
        </w:rPr>
        <w:t>4.1谈判小组按照“供应商须知前附表” 确定的顺序，集中与单一供应商分别进行谈判，并给予所有参加谈判的供应商平等的谈判机会。符合谈判资格的供应商必须实时关注广西政府采购云平台（https://www.zcygov.cn）开标信息，在接到谈判通知后规定时间内参加谈判，未在规定时间内参加谈判的视同放弃参加谈判权利，其响应文件按无效响应处理。</w:t>
      </w:r>
    </w:p>
    <w:p w14:paraId="542A1D21">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4.2在谈判过程中，谈判小组可以根据</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谈判文件和谈判情况实质性变动采购需求中的技术、服务要求以及合同草案条款，但不得变动</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谈判文件中的其他内容。实质性变动的内容，须经采购人代表确认。可能实质性变动的内容为采购需求中的技术、服务要求以及合同草案条款。</w:t>
      </w:r>
    </w:p>
    <w:p w14:paraId="596A4E9F">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4.3对</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谈判文件作出的实质性变动是</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谈判文件的有效组成部分，由谈判小组及时以电子澄清函形式同时通知所有参加谈判的供应商。</w:t>
      </w:r>
    </w:p>
    <w:p w14:paraId="512EFD92">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4.4供应商必须按照</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的变动情况和谈判小组的要求以回函的形式重新提交响应文件，并加盖供应商公章（或电子签章）。供应商为自然人的，必须由本人签字并附身份证明。参加谈判的供应商未在规定时间内重新提交响应文件的，视同退出谈判。</w:t>
      </w:r>
    </w:p>
    <w:p w14:paraId="7D1E2D9A">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4.5谈判中，谈判的任何一方不得透露与谈判有关的其他供应商的技术资料、价格和其他信息。</w:t>
      </w:r>
    </w:p>
    <w:p w14:paraId="25A0A098">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4.6采购代理机构对谈判过程和重要谈判内容进行记录，谈判双方在记录上签字确认。</w:t>
      </w:r>
    </w:p>
    <w:p w14:paraId="060458AB">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4.7谈判过程中重新提交的响应文件，供应商可以在开启前补充、修改。</w:t>
      </w:r>
    </w:p>
    <w:p w14:paraId="61BA795C">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4.8对谈判过程中提交的响应文件进行有效性、完整性和响应程度审查，通过审查的合格供应商不足3家的，采购人或者采购代理机构应当重新开展采购活动。</w:t>
      </w:r>
    </w:p>
    <w:p w14:paraId="0EF6291B">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5.最后报价</w:t>
      </w:r>
    </w:p>
    <w:p w14:paraId="27576C09">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5.1</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能够详细列明采购标的的技术、货物要求的，谈判结束后，由谈判小组要求所有继续参加谈判的供应商在规定时间内在广西政府采购云平台（https://www.zcygov.cn）提交最后报价，提交最后报价的供应商不得少于3家，否则必须重新采购。</w:t>
      </w:r>
    </w:p>
    <w:p w14:paraId="47143F34">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5.2</w:t>
      </w:r>
      <w:r>
        <w:rPr>
          <w:rFonts w:hint="eastAsia" w:ascii="宋体" w:hAnsi="宋体" w:cs="宋体"/>
          <w:bCs/>
          <w:color w:val="auto"/>
          <w:szCs w:val="21"/>
          <w:highlight w:val="none"/>
          <w:lang w:val="en-US" w:eastAsia="zh-CN"/>
        </w:rPr>
        <w:t>竞争性</w:t>
      </w:r>
      <w:r>
        <w:rPr>
          <w:rFonts w:hint="eastAsia" w:ascii="宋体" w:hAnsi="宋体" w:cs="宋体"/>
          <w:bCs/>
          <w:color w:val="auto"/>
          <w:szCs w:val="21"/>
          <w:highlight w:val="none"/>
        </w:rPr>
        <w:t>谈判文件不能详细列明采购标的的技术、货物要求，需经谈判由供应商提供最后设计方案或者解决方案的，谈判结束后，由谈判小组按照少数服从多数的原则投票推荐3家以上供应商的设计方案或者解决方案，并要求其在规定时间内在广西政府采购云平台（https://www.zcygov.cn）提交最后报价。</w:t>
      </w:r>
    </w:p>
    <w:p w14:paraId="1FAAD91C">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5.3最后报价是供应商响应文件的有效组成部分。</w:t>
      </w:r>
    </w:p>
    <w:p w14:paraId="55E652AF">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5.4已经提交响应文件的供应商，在提交最后报价之前，可以根据谈判情况退出谈判，退出谈判的供应商的响应文件按无效响应处理。</w:t>
      </w:r>
    </w:p>
    <w:p w14:paraId="6B88ADEB">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5.5供应商未在规定时间内提交最后报价的，视同退出谈判。</w:t>
      </w:r>
    </w:p>
    <w:p w14:paraId="58D4AE0A">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5.6谈判小组收齐某一分标最后报价后统一开启，谈判小组对最后报价进行有效性、完整性和响应程度的审查。</w:t>
      </w:r>
    </w:p>
    <w:p w14:paraId="01E68A81">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 xml:space="preserve">5.7最终响应文件的报价出现前后不一致的，按照本章第3.4条的规定修正。 </w:t>
      </w:r>
    </w:p>
    <w:p w14:paraId="348D610E">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5.8修正后的最终报价出现下列情形的，按无效响应处理：</w:t>
      </w:r>
    </w:p>
    <w:p w14:paraId="6D823496">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（1）供应商不确认的（全流程电子化评标采取在线确认）；</w:t>
      </w:r>
    </w:p>
    <w:p w14:paraId="7EF33270">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（2）经供应商确认修正后的响应报价（包含首次报价、最后报价）超过所</w:t>
      </w:r>
      <w:r>
        <w:rPr>
          <w:rFonts w:hint="eastAsia" w:ascii="宋体" w:hAnsi="宋体" w:cs="宋体"/>
          <w:bCs/>
          <w:color w:val="auto"/>
          <w:szCs w:val="21"/>
          <w:highlight w:val="none"/>
          <w:lang w:val="en-US" w:eastAsia="zh-CN"/>
        </w:rPr>
        <w:t>响应</w:t>
      </w:r>
      <w:r>
        <w:rPr>
          <w:rFonts w:hint="eastAsia" w:ascii="宋体" w:hAnsi="宋体" w:cs="宋体"/>
          <w:bCs/>
          <w:color w:val="auto"/>
          <w:szCs w:val="21"/>
          <w:highlight w:val="none"/>
        </w:rPr>
        <w:t>分标规定的采购预算金额或者最高限价的（如本项目公布了最高限价）；</w:t>
      </w:r>
    </w:p>
    <w:p w14:paraId="46EDC76F">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（3）经供应商确认修正后的响应报价（包含首次报价、最后报价）超过分项采购预算金额或者最高限价的（如本项目公布了最高限价）。</w:t>
      </w:r>
    </w:p>
    <w:p w14:paraId="50F16FD9">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5.9经供应商确认修正后的最后报价作为评审及签订合同的依据。</w:t>
      </w:r>
    </w:p>
    <w:p w14:paraId="36BAA820">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5.10供应商出现最后报价按无效响应处理或者响应文件按无效处理时，谈判小组应当告知有关供应商。</w:t>
      </w:r>
    </w:p>
    <w:p w14:paraId="606ACF01">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5.11最后报价结束后，谈判小组不得再与供应商进行任何形式的商谈。</w:t>
      </w:r>
    </w:p>
    <w:p w14:paraId="0EADB431">
      <w:pPr>
        <w:widowControl/>
        <w:shd w:val="clear"/>
        <w:snapToGrid w:val="0"/>
        <w:spacing w:line="400" w:lineRule="exact"/>
        <w:ind w:firstLine="422" w:firstLineChars="200"/>
        <w:jc w:val="left"/>
        <w:rPr>
          <w:rFonts w:hint="eastAsia" w:ascii="宋体" w:hAnsi="宋体" w:cs="宋体"/>
          <w:b/>
          <w:bCs w:val="0"/>
          <w:color w:val="auto"/>
          <w:szCs w:val="21"/>
          <w:highlight w:val="none"/>
        </w:rPr>
      </w:pPr>
      <w:r>
        <w:rPr>
          <w:rFonts w:hint="eastAsia" w:ascii="宋体" w:hAnsi="宋体" w:cs="宋体"/>
          <w:b/>
          <w:bCs w:val="0"/>
          <w:color w:val="auto"/>
          <w:szCs w:val="21"/>
          <w:highlight w:val="none"/>
          <w:lang w:val="en-US" w:eastAsia="zh-CN"/>
        </w:rPr>
        <w:t>5.12</w:t>
      </w:r>
      <w:r>
        <w:rPr>
          <w:rFonts w:hint="eastAsia" w:ascii="宋体" w:hAnsi="宋体" w:cs="宋体"/>
          <w:b/>
          <w:bCs w:val="0"/>
          <w:color w:val="auto"/>
          <w:szCs w:val="21"/>
          <w:highlight w:val="none"/>
          <w:lang w:bidi="ar"/>
        </w:rPr>
        <w:t>异常低价审查</w:t>
      </w:r>
    </w:p>
    <w:p w14:paraId="2D4A2E09">
      <w:pPr>
        <w:shd w:val="clea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5.12.</w:t>
      </w:r>
      <w:r>
        <w:rPr>
          <w:rFonts w:hint="eastAsia" w:ascii="宋体" w:hAnsi="宋体" w:cs="宋体"/>
          <w:bCs/>
          <w:color w:val="auto"/>
          <w:szCs w:val="21"/>
          <w:highlight w:val="none"/>
        </w:rPr>
        <w:t>1根据《关于推动解决政府采购异常低价问题的通知》(财库〔2026〕2号)规定，政府采购评审中出现异常低价下列情形之一的，磋商小组应当启动异常低价投标审查程序：</w:t>
      </w:r>
    </w:p>
    <w:p w14:paraId="2E77D3C2">
      <w:pPr>
        <w:shd w:val="clea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（1）投标（响应）报价低于全部通过符合性审查供应商投标（响应）报价平均值50%的，即投标（响应）报价&lt;全部通过符合性审查供应商投标（响应）报价平均值×50%；</w:t>
      </w:r>
    </w:p>
    <w:p w14:paraId="2D07049E">
      <w:pPr>
        <w:shd w:val="clea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（2）投标（响应）报价低于通过符合性审查的次低报价供应商投标（响应）报价50%的，即投标（响应）报价&lt;通过符合性审查的次低报价供应商投标（响应）报价×50%；</w:t>
      </w:r>
    </w:p>
    <w:p w14:paraId="531D3830">
      <w:pPr>
        <w:shd w:val="clea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（3）投标（响应）报价低于采购项目最高限价45%的，即投标（响应）报价&lt;采购项目最高限价×45%；</w:t>
      </w:r>
    </w:p>
    <w:p w14:paraId="7260D0A2">
      <w:pPr>
        <w:shd w:val="clea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（4）磋商小组基于专业判断，认为供应商报价过低，有可能影响产品质量或者不能诚信履约的其他情形。</w:t>
      </w:r>
    </w:p>
    <w:p w14:paraId="33757997">
      <w:pPr>
        <w:shd w:val="clea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（5）相关法律法规对供应商报价有规定的，从其规定。</w:t>
      </w:r>
    </w:p>
    <w:p w14:paraId="045E5640">
      <w:pPr>
        <w:shd w:val="clea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5.12.</w:t>
      </w:r>
      <w:r>
        <w:rPr>
          <w:rFonts w:hint="eastAsia" w:ascii="宋体" w:hAnsi="宋体" w:cs="宋体"/>
          <w:bCs/>
          <w:color w:val="auto"/>
          <w:szCs w:val="21"/>
          <w:highlight w:val="none"/>
        </w:rPr>
        <w:t>2资料要求：磋商小组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24802DD8">
      <w:pPr>
        <w:shd w:val="clea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5.12.</w:t>
      </w:r>
      <w:r>
        <w:rPr>
          <w:rFonts w:hint="eastAsia" w:ascii="宋体" w:hAnsi="宋体" w:cs="宋体"/>
          <w:bCs/>
          <w:color w:val="auto"/>
          <w:szCs w:val="21"/>
          <w:highlight w:val="none"/>
        </w:rPr>
        <w:t>3审查要求：磋商小组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磋商小组应当将其作为无效投标（响应）处理。</w:t>
      </w:r>
    </w:p>
    <w:p w14:paraId="45A2DA2A">
      <w:pPr>
        <w:shd w:val="clea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5.12.</w:t>
      </w:r>
      <w:r>
        <w:rPr>
          <w:rFonts w:hint="eastAsia" w:ascii="宋体" w:hAnsi="宋体" w:cs="宋体"/>
          <w:bCs/>
          <w:color w:val="auto"/>
          <w:szCs w:val="21"/>
          <w:highlight w:val="none"/>
        </w:rPr>
        <w:t>4评审组织：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79ED7D06">
      <w:pPr>
        <w:shd w:val="clea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5.12.</w:t>
      </w:r>
      <w:r>
        <w:rPr>
          <w:rFonts w:hint="eastAsia" w:ascii="宋体" w:hAnsi="宋体" w:cs="宋体"/>
          <w:bCs/>
          <w:color w:val="auto"/>
          <w:szCs w:val="21"/>
          <w:highlight w:val="none"/>
        </w:rPr>
        <w:t>5记录及归档：异常低价投标（响应）审查的启动原因、审查意见和审查结果应当在评审报告中记录，并随供应商提供的相关书面说明及证明材料，以及磋商小组有关互联网浏览、查询历史一并归档。</w:t>
      </w:r>
    </w:p>
    <w:p w14:paraId="7E7A59D7">
      <w:pPr>
        <w:widowControl/>
        <w:shd w:val="clear"/>
        <w:snapToGrid w:val="0"/>
        <w:spacing w:line="400" w:lineRule="exact"/>
        <w:ind w:firstLine="422" w:firstLineChars="200"/>
        <w:jc w:val="left"/>
        <w:rPr>
          <w:rFonts w:hint="eastAsia" w:ascii="宋体" w:hAnsi="宋体" w:eastAsia="宋体" w:cs="宋体"/>
          <w:b/>
          <w:bCs w:val="0"/>
          <w:color w:val="auto"/>
          <w:szCs w:val="21"/>
          <w:highlight w:val="none"/>
          <w:lang w:val="en-US" w:eastAsia="zh-CN" w:bidi="ar"/>
        </w:rPr>
      </w:pPr>
      <w:r>
        <w:rPr>
          <w:rFonts w:hint="eastAsia" w:ascii="宋体" w:hAnsi="宋体" w:eastAsia="宋体" w:cs="宋体"/>
          <w:b/>
          <w:bCs w:val="0"/>
          <w:color w:val="auto"/>
          <w:szCs w:val="21"/>
          <w:highlight w:val="none"/>
          <w:lang w:val="en-US" w:eastAsia="zh-CN" w:bidi="ar"/>
        </w:rPr>
        <w:t>5.13实施本国产品标准及相关政策：</w:t>
      </w:r>
    </w:p>
    <w:p w14:paraId="7676976D">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5.13.1</w:t>
      </w:r>
      <w:r>
        <w:rPr>
          <w:rFonts w:hint="eastAsia" w:ascii="宋体" w:hAnsi="宋体" w:eastAsia="宋体" w:cs="宋体"/>
          <w:bCs/>
          <w:color w:val="auto"/>
          <w:szCs w:val="21"/>
          <w:highlight w:val="none"/>
        </w:rPr>
        <w:t>本国产品标准</w:t>
      </w:r>
    </w:p>
    <w:p w14:paraId="03A7E41E">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本国产品应当符合以下条件：</w:t>
      </w:r>
    </w:p>
    <w:p w14:paraId="7A08000C">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在中国境内生产</w:t>
      </w:r>
    </w:p>
    <w:p w14:paraId="18E92216">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产品应当在中国境内生产，即在中华人民共和国关境内实现从原材料、组件到产品的属性改变。</w:t>
      </w:r>
    </w:p>
    <w:p w14:paraId="5B1E2B2B">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属性改变是指经过制造、加工或者组装等工序，产生完全不同于原材料、组件的新产品，并具有新的名称和特征(用途)。属性改变不包括以下细微操作：</w:t>
      </w:r>
    </w:p>
    <w:p w14:paraId="17496C2F">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①</w:t>
      </w:r>
      <w:r>
        <w:rPr>
          <w:rFonts w:hint="eastAsia" w:ascii="宋体" w:hAnsi="宋体" w:eastAsia="宋体" w:cs="宋体"/>
          <w:bCs/>
          <w:color w:val="auto"/>
          <w:szCs w:val="21"/>
          <w:highlight w:val="none"/>
        </w:rPr>
        <w:t>为确保产品在运输或者储存期间保持某种状态而进行的操作</w:t>
      </w:r>
      <w:r>
        <w:rPr>
          <w:rFonts w:hint="eastAsia" w:ascii="宋体" w:hAnsi="宋体" w:eastAsia="宋体" w:cs="宋体"/>
          <w:bCs/>
          <w:color w:val="auto"/>
          <w:szCs w:val="21"/>
          <w:highlight w:val="none"/>
          <w:lang w:eastAsia="zh-CN"/>
        </w:rPr>
        <w:t>；</w:t>
      </w:r>
    </w:p>
    <w:p w14:paraId="626D85A6">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②</w:t>
      </w:r>
      <w:r>
        <w:rPr>
          <w:rFonts w:hint="eastAsia" w:ascii="宋体" w:hAnsi="宋体" w:eastAsia="宋体" w:cs="宋体"/>
          <w:bCs/>
          <w:color w:val="auto"/>
          <w:szCs w:val="21"/>
          <w:highlight w:val="none"/>
        </w:rPr>
        <w:t>为产品运输或者销售进行的包装或者展示</w:t>
      </w:r>
      <w:r>
        <w:rPr>
          <w:rFonts w:hint="eastAsia" w:ascii="宋体" w:hAnsi="宋体" w:eastAsia="宋体" w:cs="宋体"/>
          <w:bCs/>
          <w:color w:val="auto"/>
          <w:szCs w:val="21"/>
          <w:highlight w:val="none"/>
          <w:lang w:eastAsia="zh-CN"/>
        </w:rPr>
        <w:t>；</w:t>
      </w:r>
    </w:p>
    <w:p w14:paraId="76360462">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③</w:t>
      </w:r>
      <w:r>
        <w:rPr>
          <w:rFonts w:hint="eastAsia" w:ascii="宋体" w:hAnsi="宋体" w:eastAsia="宋体" w:cs="宋体"/>
          <w:bCs/>
          <w:color w:val="auto"/>
          <w:szCs w:val="21"/>
          <w:highlight w:val="none"/>
        </w:rPr>
        <w:t>在产品或者其包装上粘贴或者印刷品牌、标志、标识以及其他用于区别的标记</w:t>
      </w:r>
      <w:r>
        <w:rPr>
          <w:rFonts w:hint="eastAsia" w:ascii="宋体" w:hAnsi="宋体" w:eastAsia="宋体" w:cs="宋体"/>
          <w:bCs/>
          <w:color w:val="auto"/>
          <w:szCs w:val="21"/>
          <w:highlight w:val="none"/>
          <w:lang w:eastAsia="zh-CN"/>
        </w:rPr>
        <w:t>；</w:t>
      </w:r>
    </w:p>
    <w:p w14:paraId="32C0D65B">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④</w:t>
      </w:r>
      <w:r>
        <w:rPr>
          <w:rFonts w:hint="eastAsia" w:ascii="宋体" w:hAnsi="宋体" w:eastAsia="宋体" w:cs="宋体"/>
          <w:bCs/>
          <w:color w:val="auto"/>
          <w:szCs w:val="21"/>
          <w:highlight w:val="none"/>
        </w:rPr>
        <w:t>简单的上漆、磨光和分装</w:t>
      </w:r>
      <w:r>
        <w:rPr>
          <w:rFonts w:hint="eastAsia" w:ascii="宋体" w:hAnsi="宋体" w:eastAsia="宋体" w:cs="宋体"/>
          <w:bCs/>
          <w:color w:val="auto"/>
          <w:szCs w:val="21"/>
          <w:highlight w:val="none"/>
          <w:lang w:eastAsia="zh-CN"/>
        </w:rPr>
        <w:t>；</w:t>
      </w:r>
    </w:p>
    <w:p w14:paraId="4D2835BC">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⑤</w:t>
      </w:r>
      <w:r>
        <w:rPr>
          <w:rFonts w:hint="eastAsia" w:ascii="宋体" w:hAnsi="宋体" w:eastAsia="宋体" w:cs="宋体"/>
          <w:bCs/>
          <w:color w:val="auto"/>
          <w:szCs w:val="21"/>
          <w:highlight w:val="none"/>
        </w:rPr>
        <w:t>其他不属于属性改变的情形。</w:t>
      </w:r>
    </w:p>
    <w:p w14:paraId="26A4FEEF">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2</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在中国境内生产的组件成本占比达到规定比例</w:t>
      </w:r>
    </w:p>
    <w:p w14:paraId="7E7E8251">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产品在中国境内生产的组件成本占比应当达到规定比例，计算公式为：</w:t>
      </w:r>
    </w:p>
    <w:p w14:paraId="43CA4766">
      <w:pPr>
        <w:widowControl/>
        <w:shd w:val="clear" w:color="auto"/>
        <w:spacing w:line="360" w:lineRule="atLeast"/>
        <w:jc w:val="center"/>
        <w:textAlignment w:val="baseline"/>
        <w:rPr>
          <w:rFonts w:hint="eastAsia" w:ascii="微软雅黑" w:hAnsi="微软雅黑" w:eastAsia="微软雅黑" w:cs="宋体"/>
          <w:color w:val="auto"/>
          <w:kern w:val="0"/>
          <w:sz w:val="24"/>
          <w:szCs w:val="24"/>
          <w:highlight w:val="none"/>
        </w:rPr>
      </w:pPr>
      <w:r>
        <w:rPr>
          <w:rFonts w:ascii="微软雅黑" w:hAnsi="微软雅黑" w:eastAsia="微软雅黑" w:cs="宋体"/>
          <w:color w:val="auto"/>
          <w:kern w:val="0"/>
          <w:sz w:val="24"/>
          <w:szCs w:val="24"/>
          <w:highlight w:val="none"/>
        </w:rPr>
        <w:drawing>
          <wp:inline distT="0" distB="0" distL="114300" distR="114300">
            <wp:extent cx="4829175" cy="762000"/>
            <wp:effectExtent l="0" t="0" r="9525" b="0"/>
            <wp:docPr id="1" name="图片 1" descr="https://hainan.chinatax.gov.cn/u/cms/www/202510/090841112j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hainan.chinatax.gov.cn/u/cms/www/202510/090841112j4q.jpg"/>
                    <pic:cNvPicPr>
                      <a:picLocks noChangeAspect="1"/>
                    </pic:cNvPicPr>
                  </pic:nvPicPr>
                  <pic:blipFill>
                    <a:blip r:embed="rId12"/>
                    <a:stretch>
                      <a:fillRect/>
                    </a:stretch>
                  </pic:blipFill>
                  <pic:spPr>
                    <a:xfrm>
                      <a:off x="0" y="0"/>
                      <a:ext cx="4829175" cy="762000"/>
                    </a:xfrm>
                    <a:prstGeom prst="rect">
                      <a:avLst/>
                    </a:prstGeom>
                    <a:noFill/>
                    <a:ln>
                      <a:noFill/>
                    </a:ln>
                  </pic:spPr>
                </pic:pic>
              </a:graphicData>
            </a:graphic>
          </wp:inline>
        </w:drawing>
      </w:r>
    </w:p>
    <w:p w14:paraId="58CAA053">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0FCE9F32">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特定产品的关键组件、关键工序符合相关要求</w:t>
      </w:r>
    </w:p>
    <w:p w14:paraId="30DA4F02">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对特定产品，在符合本通知第一条第(一)项和第(二)项条件的基础上，应当符合财政部会同有关行业主管部门确定的其关键组件、关键工序在中国境内生产、完成等要求。</w:t>
      </w:r>
    </w:p>
    <w:p w14:paraId="011360AC">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24B77611">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5.13.2</w:t>
      </w:r>
      <w:r>
        <w:rPr>
          <w:rFonts w:hint="eastAsia" w:ascii="宋体" w:hAnsi="宋体" w:eastAsia="宋体" w:cs="宋体"/>
          <w:bCs/>
          <w:color w:val="auto"/>
          <w:szCs w:val="21"/>
          <w:highlight w:val="none"/>
        </w:rPr>
        <w:t>本国产品标准的适用范围</w:t>
      </w:r>
    </w:p>
    <w:p w14:paraId="1A7E2F7D">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B9C1056">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5.13.3</w:t>
      </w:r>
      <w:r>
        <w:rPr>
          <w:rFonts w:hint="eastAsia" w:ascii="宋体" w:hAnsi="宋体" w:eastAsia="宋体" w:cs="宋体"/>
          <w:bCs/>
          <w:color w:val="auto"/>
          <w:szCs w:val="21"/>
          <w:highlight w:val="none"/>
        </w:rPr>
        <w:t>对本国产品的支持政策</w:t>
      </w:r>
    </w:p>
    <w:p w14:paraId="76E3B201">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政府采购活动中既有本国产品又有非本国产品参与竞争的，依法对本国产品给予价格评审优惠，对本国产品的报价给予20%的价格扣除，用扣除后的价格参与评审。</w:t>
      </w:r>
    </w:p>
    <w:p w14:paraId="6BD1F61C">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92DF70C">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5.13.4</w:t>
      </w:r>
      <w:r>
        <w:rPr>
          <w:rFonts w:hint="eastAsia" w:ascii="宋体" w:hAnsi="宋体" w:eastAsia="宋体" w:cs="宋体"/>
          <w:bCs/>
          <w:color w:val="auto"/>
          <w:szCs w:val="21"/>
          <w:highlight w:val="none"/>
        </w:rPr>
        <w:t>政策执行要求</w:t>
      </w:r>
    </w:p>
    <w:p w14:paraId="5D4C03E7">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产品在中国境内生产的组件成本核算规则。产品在中国境内生产的组件成本，按照《中国境内生产的组件成本核算基本规则》(见附件</w:t>
      </w:r>
      <w:r>
        <w:rPr>
          <w:rFonts w:hint="eastAsia" w:ascii="宋体" w:hAnsi="宋体" w:eastAsia="宋体" w:cs="宋体"/>
          <w:bCs/>
          <w:color w:val="auto"/>
          <w:szCs w:val="21"/>
          <w:highlight w:val="none"/>
          <w:lang w:eastAsia="zh-CN"/>
        </w:rPr>
        <w:t>3</w:t>
      </w:r>
      <w:r>
        <w:rPr>
          <w:rFonts w:hint="eastAsia" w:ascii="宋体" w:hAnsi="宋体" w:eastAsia="宋体" w:cs="宋体"/>
          <w:bCs/>
          <w:color w:val="auto"/>
          <w:szCs w:val="21"/>
          <w:highlight w:val="none"/>
        </w:rPr>
        <w:t>)计算。</w:t>
      </w:r>
    </w:p>
    <w:p w14:paraId="12F55CB0">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2</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有关证明文件。采购人、采购代理机构应当在采购文件中明确要求供应商对其提供的产品出具《关于符合本国产品标准的声明函》(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547BF69D">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采购人、采购代理机构应当随中标、成交结果同时公告中标、成交供应商提供的《声明函》或有关证明文件。</w:t>
      </w:r>
    </w:p>
    <w:p w14:paraId="324010C7">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14:paraId="7244E71F">
      <w:pPr>
        <w:shd w:val="clear"/>
        <w:spacing w:line="360" w:lineRule="auto"/>
        <w:ind w:firstLine="420" w:firstLineChars="200"/>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4</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中华人民共和国缔结或者共同参加的国际条约、协定对政府采购中本国产品政策另有规定的，按照有关条约、协定执行。</w:t>
      </w:r>
    </w:p>
    <w:p w14:paraId="049A8C35">
      <w:pPr>
        <w:shd w:val="clear"/>
        <w:spacing w:line="360" w:lineRule="auto"/>
        <w:ind w:firstLine="420" w:firstLineChars="200"/>
        <w:rPr>
          <w:rFonts w:hint="eastAsia" w:ascii="宋体" w:hAnsi="宋体" w:cs="宋体"/>
          <w:bCs/>
          <w:color w:val="auto"/>
          <w:szCs w:val="21"/>
          <w:highlight w:val="none"/>
          <w:lang w:eastAsia="zh-CN"/>
        </w:rPr>
      </w:pPr>
      <w:r>
        <w:rPr>
          <w:rFonts w:hint="eastAsia" w:ascii="宋体" w:hAnsi="宋体" w:cs="宋体"/>
          <w:bCs/>
          <w:color w:val="auto"/>
          <w:szCs w:val="21"/>
          <w:highlight w:val="none"/>
        </w:rPr>
        <w:t>6.最后报价政府采购政策性扣除</w:t>
      </w:r>
      <w:r>
        <w:rPr>
          <w:rFonts w:hint="eastAsia" w:ascii="宋体" w:hAnsi="宋体" w:cs="宋体"/>
          <w:bCs/>
          <w:color w:val="auto"/>
          <w:szCs w:val="21"/>
          <w:highlight w:val="none"/>
          <w:lang w:eastAsia="zh-CN"/>
        </w:rPr>
        <w:t>：</w:t>
      </w:r>
    </w:p>
    <w:p w14:paraId="020CC41A">
      <w:pPr>
        <w:shd w:val="clea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6.1评审价为供应商的最后报价进行政策性扣除后的价格，评审价只是作为评审时使用。最终成交供应商的成交金额等于最后报价（如有修正，以确认修正后的最后报价为准）。</w:t>
      </w:r>
    </w:p>
    <w:p w14:paraId="773BBFBF">
      <w:pPr>
        <w:shd w:val="clea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6.2政策性扣除计算方法。</w:t>
      </w:r>
    </w:p>
    <w:p w14:paraId="0155581D">
      <w:pPr>
        <w:shd w:val="clea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根据《政府采购促进中小企业发展管理办法》（财库〔2020〕46号）、《广西壮族自治区财政厅关于持续优化政府采购营商环境推动高质量发展的通知》（桂财采〔2024〕55号）的规定，供应商在其响应文件中提供《中小企业声明函》，且其</w:t>
      </w:r>
      <w:r>
        <w:rPr>
          <w:rFonts w:hint="eastAsia" w:ascii="宋体" w:hAnsi="宋体" w:cs="宋体"/>
          <w:bCs/>
          <w:color w:val="auto"/>
          <w:szCs w:val="21"/>
          <w:highlight w:val="none"/>
          <w:lang w:val="en-US" w:eastAsia="zh-CN"/>
        </w:rPr>
        <w:t>响应</w:t>
      </w:r>
      <w:r>
        <w:rPr>
          <w:rFonts w:hint="eastAsia" w:ascii="宋体" w:hAnsi="宋体" w:cs="宋体"/>
          <w:bCs/>
          <w:color w:val="auto"/>
          <w:szCs w:val="21"/>
          <w:highlight w:val="none"/>
        </w:rPr>
        <w:t>全部货物均由小微企业提供的，对供应商的</w:t>
      </w:r>
      <w:r>
        <w:rPr>
          <w:rFonts w:hint="eastAsia" w:ascii="宋体" w:hAnsi="宋体" w:cs="宋体"/>
          <w:bCs/>
          <w:color w:val="auto"/>
          <w:szCs w:val="21"/>
          <w:highlight w:val="none"/>
          <w:lang w:val="en-US" w:eastAsia="zh-CN"/>
        </w:rPr>
        <w:t>响应</w:t>
      </w:r>
      <w:r>
        <w:rPr>
          <w:rFonts w:hint="eastAsia" w:ascii="宋体" w:hAnsi="宋体" w:cs="宋体"/>
          <w:bCs/>
          <w:color w:val="auto"/>
          <w:szCs w:val="21"/>
          <w:highlight w:val="none"/>
        </w:rPr>
        <w:t>报价给予10%的扣除，扣除后的价格为评审</w:t>
      </w:r>
      <w:r>
        <w:rPr>
          <w:rFonts w:hint="eastAsia" w:ascii="宋体" w:hAnsi="宋体" w:cs="宋体"/>
          <w:bCs/>
          <w:color w:val="auto"/>
          <w:szCs w:val="21"/>
          <w:highlight w:val="none"/>
          <w:lang w:val="en-US" w:eastAsia="zh-CN"/>
        </w:rPr>
        <w:t>报</w:t>
      </w:r>
      <w:r>
        <w:rPr>
          <w:rFonts w:hint="eastAsia" w:ascii="宋体" w:hAnsi="宋体" w:cs="宋体"/>
          <w:bCs/>
          <w:color w:val="auto"/>
          <w:szCs w:val="21"/>
          <w:highlight w:val="none"/>
        </w:rPr>
        <w:t>价，即评审</w:t>
      </w:r>
      <w:r>
        <w:rPr>
          <w:rFonts w:hint="eastAsia" w:ascii="宋体" w:hAnsi="宋体" w:cs="宋体"/>
          <w:bCs/>
          <w:color w:val="auto"/>
          <w:szCs w:val="21"/>
          <w:highlight w:val="none"/>
          <w:lang w:val="en-US" w:eastAsia="zh-CN"/>
        </w:rPr>
        <w:t>报</w:t>
      </w:r>
      <w:r>
        <w:rPr>
          <w:rFonts w:hint="eastAsia" w:ascii="宋体" w:hAnsi="宋体" w:cs="宋体"/>
          <w:bCs/>
          <w:color w:val="auto"/>
          <w:szCs w:val="21"/>
          <w:highlight w:val="none"/>
        </w:rPr>
        <w:t>价=</w:t>
      </w:r>
      <w:r>
        <w:rPr>
          <w:rFonts w:hint="eastAsia" w:ascii="宋体" w:hAnsi="宋体" w:cs="宋体"/>
          <w:bCs/>
          <w:color w:val="auto"/>
          <w:szCs w:val="21"/>
          <w:highlight w:val="none"/>
          <w:lang w:val="en-US" w:eastAsia="zh-CN"/>
        </w:rPr>
        <w:t>响应</w:t>
      </w:r>
      <w:r>
        <w:rPr>
          <w:rFonts w:hint="eastAsia" w:ascii="宋体" w:hAnsi="宋体" w:cs="宋体"/>
          <w:bCs/>
          <w:color w:val="auto"/>
          <w:szCs w:val="21"/>
          <w:highlight w:val="none"/>
        </w:rPr>
        <w:t>报价×（1-10%）。</w:t>
      </w:r>
    </w:p>
    <w:p w14:paraId="70EF7340">
      <w:pPr>
        <w:shd w:val="clea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6.3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10AF8390">
      <w:pPr>
        <w:shd w:val="clea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6.4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CA4FD72">
      <w:pPr>
        <w:shd w:val="clea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6.5除上述情况外，评审</w:t>
      </w:r>
      <w:r>
        <w:rPr>
          <w:rFonts w:hint="eastAsia" w:ascii="宋体" w:hAnsi="宋体" w:cs="宋体"/>
          <w:bCs/>
          <w:color w:val="auto"/>
          <w:szCs w:val="21"/>
          <w:highlight w:val="none"/>
          <w:lang w:val="en-US" w:eastAsia="zh-CN"/>
        </w:rPr>
        <w:t>报</w:t>
      </w:r>
      <w:r>
        <w:rPr>
          <w:rFonts w:hint="eastAsia" w:ascii="宋体" w:hAnsi="宋体" w:cs="宋体"/>
          <w:bCs/>
          <w:color w:val="auto"/>
          <w:szCs w:val="21"/>
          <w:highlight w:val="none"/>
        </w:rPr>
        <w:t>价＝最后报价。</w:t>
      </w:r>
    </w:p>
    <w:p w14:paraId="0923D0ED">
      <w:pPr>
        <w:shd w:val="clear"/>
        <w:spacing w:line="400" w:lineRule="exact"/>
        <w:jc w:val="center"/>
        <w:rPr>
          <w:rFonts w:ascii="宋体" w:hAnsi="宋体" w:cs="宋体"/>
          <w:b/>
          <w:color w:val="auto"/>
          <w:sz w:val="32"/>
          <w:szCs w:val="32"/>
          <w:highlight w:val="none"/>
        </w:rPr>
      </w:pPr>
    </w:p>
    <w:p w14:paraId="42CC5FE2">
      <w:pPr>
        <w:shd w:val="clea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二、评审原则</w:t>
      </w:r>
    </w:p>
    <w:p w14:paraId="67DA3001">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1.评审原则</w:t>
      </w:r>
    </w:p>
    <w:p w14:paraId="387894E6">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1.1谈判小组成员要依法独立评审，并对评审意见承担个人责任。谈判小组成员对需要共同认定的事项存在争议的，按照少数服从多数的原则作出结论。持不同意见的谈判小组成员应当在评审报告上签署不同意见并说明理由，否则视为同意。</w:t>
      </w:r>
    </w:p>
    <w:p w14:paraId="69914AD8">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1.2根据《政府采购非招标采购方式管理办法》（财政部令第74号）第二十一条规定，评审结果汇总完成后，采购人、采购代理机构和谈判小组均不得修改评审结果或者要求重新评审，但资格性检查认定错误、分值汇总计算错误、分项评分超出评分标准范围、客观分评分不一致、经评审委员会一致认定评分畸高、畸低的情形除外。出现上述除外情形的，谈判小组应当现场修改评审结果，并在评审报告中明确记载。</w:t>
      </w:r>
    </w:p>
    <w:p w14:paraId="2DA91AF4">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谈判小组发现竞争性谈判文件存在歧义、重大缺陷导致评审工作无法进行，或者竞争性谈判文件内容违反国家有关规定的，要停止评审工作并向采购人或采购代理机构书面说明情况，采购人或采购代理机构应当修改竞争性谈判文件后重新组织采购活动；发现供应商提供虚假材料、串通等违法违规行为的，要及时向采购人或采购代理机构报告。</w:t>
      </w:r>
    </w:p>
    <w:p w14:paraId="1DC5F11D">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2.终止竞争性谈判采购活动</w:t>
      </w:r>
    </w:p>
    <w:p w14:paraId="4C43E356">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出现下列情形之一的，采购人或者采购代理机构应当终止竞争性谈判采购活动，发布项目终止公告并说明原因，重新开展采购活动：</w:t>
      </w:r>
    </w:p>
    <w:p w14:paraId="7D925C8D">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 xml:space="preserve">（1）因情况变化，不再符合规定的竞争性谈判采购方式适用情形的； </w:t>
      </w:r>
    </w:p>
    <w:p w14:paraId="7264CF0A">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（2）出现影响采购公正的违法、违规行为的；</w:t>
      </w:r>
    </w:p>
    <w:p w14:paraId="70EC3E01">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（3）在采购过程中符合竞争要求的供应商或者报价未超过采购预算的供应商不足3家的，但《政府采购非招标采购方式管理办法》第二十七条第二款规定的情形除外。</w:t>
      </w:r>
    </w:p>
    <w:p w14:paraId="1E99F3A0">
      <w:pPr>
        <w:shd w:val="clear"/>
        <w:spacing w:line="360" w:lineRule="auto"/>
        <w:rPr>
          <w:rFonts w:ascii="宋体" w:hAnsi="宋体" w:cs="宋体"/>
          <w:bCs/>
          <w:color w:val="auto"/>
          <w:szCs w:val="21"/>
          <w:highlight w:val="none"/>
        </w:rPr>
      </w:pPr>
    </w:p>
    <w:p w14:paraId="446A1A95">
      <w:pPr>
        <w:shd w:val="clear"/>
        <w:spacing w:line="360" w:lineRule="auto"/>
        <w:ind w:firstLine="420" w:firstLineChars="200"/>
        <w:rPr>
          <w:rFonts w:ascii="宋体" w:hAnsi="宋体" w:cs="宋体"/>
          <w:bCs/>
          <w:color w:val="auto"/>
          <w:szCs w:val="21"/>
          <w:highlight w:val="none"/>
        </w:rPr>
      </w:pPr>
    </w:p>
    <w:p w14:paraId="63D5B83F">
      <w:pPr>
        <w:shd w:val="clear"/>
        <w:spacing w:line="400" w:lineRule="exact"/>
        <w:jc w:val="center"/>
        <w:rPr>
          <w:rFonts w:ascii="宋体" w:hAnsi="宋体" w:cs="宋体"/>
          <w:b/>
          <w:color w:val="auto"/>
          <w:sz w:val="32"/>
          <w:szCs w:val="32"/>
          <w:highlight w:val="none"/>
        </w:rPr>
      </w:pPr>
      <w:bookmarkStart w:id="58" w:name="_Toc80205935"/>
      <w:bookmarkStart w:id="59" w:name="_Toc10329"/>
      <w:r>
        <w:rPr>
          <w:rFonts w:hint="eastAsia" w:ascii="宋体" w:hAnsi="宋体" w:cs="宋体"/>
          <w:b/>
          <w:color w:val="auto"/>
          <w:sz w:val="32"/>
          <w:szCs w:val="32"/>
          <w:highlight w:val="none"/>
        </w:rPr>
        <w:t>三、评审报告</w:t>
      </w:r>
      <w:bookmarkEnd w:id="58"/>
      <w:bookmarkEnd w:id="59"/>
    </w:p>
    <w:p w14:paraId="219A558E">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1.成交标准</w:t>
      </w:r>
    </w:p>
    <w:p w14:paraId="435B86C5">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谈判小组应当从</w:t>
      </w:r>
      <w:r>
        <w:rPr>
          <w:rFonts w:hint="eastAsia" w:ascii="宋体" w:hAnsi="宋体" w:cs="宋体"/>
          <w:bCs/>
          <w:color w:val="auto"/>
          <w:szCs w:val="21"/>
          <w:highlight w:val="none"/>
          <w:lang w:val="en-US" w:eastAsia="zh-CN"/>
        </w:rPr>
        <w:t>响应</w:t>
      </w:r>
      <w:r>
        <w:rPr>
          <w:rFonts w:hint="eastAsia" w:ascii="宋体" w:hAnsi="宋体" w:cs="宋体"/>
          <w:bCs/>
          <w:color w:val="auto"/>
          <w:szCs w:val="21"/>
          <w:highlight w:val="none"/>
        </w:rPr>
        <w:t>报价由低到高顺序排列，报价最低的谈判供应商为成交候选</w:t>
      </w:r>
      <w:r>
        <w:rPr>
          <w:rFonts w:hint="eastAsia" w:ascii="宋体" w:hAnsi="宋体" w:cs="宋体"/>
          <w:bCs/>
          <w:color w:val="auto"/>
          <w:szCs w:val="21"/>
          <w:highlight w:val="none"/>
          <w:lang w:val="en-US" w:eastAsia="zh-CN"/>
        </w:rPr>
        <w:t>供应商</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响应报</w:t>
      </w:r>
      <w:r>
        <w:rPr>
          <w:rFonts w:hint="eastAsia" w:ascii="宋体" w:hAnsi="宋体" w:cs="宋体"/>
          <w:bCs/>
          <w:color w:val="auto"/>
          <w:szCs w:val="21"/>
          <w:highlight w:val="none"/>
        </w:rPr>
        <w:t>价相同时，由谈判小组推荐代表随机抽取），采购</w:t>
      </w:r>
      <w:r>
        <w:rPr>
          <w:rFonts w:hint="eastAsia" w:ascii="宋体" w:hAnsi="宋体" w:cs="宋体"/>
          <w:bCs/>
          <w:color w:val="auto"/>
          <w:szCs w:val="21"/>
          <w:highlight w:val="none"/>
          <w:lang w:val="en-US" w:eastAsia="zh-CN"/>
        </w:rPr>
        <w:t>人</w:t>
      </w:r>
      <w:r>
        <w:rPr>
          <w:rFonts w:hint="eastAsia" w:ascii="宋体" w:hAnsi="宋体" w:cs="宋体"/>
          <w:bCs/>
          <w:color w:val="auto"/>
          <w:szCs w:val="21"/>
          <w:highlight w:val="none"/>
        </w:rPr>
        <w:t>应当确定谈判小组推荐排名第一的成交候选</w:t>
      </w:r>
      <w:r>
        <w:rPr>
          <w:rFonts w:hint="eastAsia" w:ascii="宋体" w:hAnsi="宋体" w:cs="宋体"/>
          <w:bCs/>
          <w:color w:val="auto"/>
          <w:szCs w:val="21"/>
          <w:highlight w:val="none"/>
          <w:lang w:val="en-US" w:eastAsia="zh-CN"/>
        </w:rPr>
        <w:t>供应商</w:t>
      </w:r>
      <w:r>
        <w:rPr>
          <w:rFonts w:hint="eastAsia" w:ascii="宋体" w:hAnsi="宋体" w:cs="宋体"/>
          <w:bCs/>
          <w:color w:val="auto"/>
          <w:szCs w:val="21"/>
          <w:highlight w:val="none"/>
        </w:rPr>
        <w:t>为成交</w:t>
      </w:r>
      <w:r>
        <w:rPr>
          <w:rFonts w:hint="eastAsia" w:ascii="宋体" w:hAnsi="宋体" w:cs="宋体"/>
          <w:bCs/>
          <w:color w:val="auto"/>
          <w:szCs w:val="21"/>
          <w:highlight w:val="none"/>
          <w:lang w:val="en-US" w:eastAsia="zh-CN"/>
        </w:rPr>
        <w:t>供应商</w:t>
      </w:r>
      <w:r>
        <w:rPr>
          <w:rFonts w:hint="eastAsia" w:ascii="宋体" w:hAnsi="宋体" w:cs="宋体"/>
          <w:bCs/>
          <w:color w:val="auto"/>
          <w:szCs w:val="21"/>
          <w:highlight w:val="none"/>
        </w:rPr>
        <w:t>，并在线编写电子评审报告。</w:t>
      </w:r>
    </w:p>
    <w:p w14:paraId="104BBA4C">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2.评标争议事项处理</w:t>
      </w:r>
    </w:p>
    <w:p w14:paraId="68D340D8">
      <w:pPr>
        <w:shd w:val="clear"/>
        <w:spacing w:line="360" w:lineRule="auto"/>
        <w:ind w:firstLine="420" w:firstLineChars="200"/>
        <w:rPr>
          <w:rFonts w:ascii="宋体" w:hAnsi="宋体" w:cs="宋体"/>
          <w:bCs/>
          <w:color w:val="auto"/>
          <w:szCs w:val="21"/>
          <w:highlight w:val="none"/>
        </w:rPr>
      </w:pPr>
      <w:bookmarkStart w:id="60" w:name="_Toc80205936"/>
      <w:bookmarkStart w:id="61" w:name="_Toc11370"/>
      <w:r>
        <w:rPr>
          <w:rFonts w:hint="eastAsia" w:ascii="宋体" w:hAnsi="宋体" w:cs="宋体"/>
          <w:bCs/>
          <w:color w:val="auto"/>
          <w:szCs w:val="21"/>
          <w:highlight w:val="none"/>
        </w:rPr>
        <w:t>谈判小组成员对需要共同认定的事项存在争议的，应当按照少数服从多数的原则作出结论。持不同意见的谈判小组成员应当在评标报告上签署不同意见及理由，否则视为同意评标报告。</w:t>
      </w:r>
    </w:p>
    <w:p w14:paraId="466DA500">
      <w:pPr>
        <w:shd w:val="clea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第四节 评审过程的保密与录像</w:t>
      </w:r>
      <w:bookmarkEnd w:id="60"/>
      <w:bookmarkEnd w:id="61"/>
    </w:p>
    <w:p w14:paraId="07E2AC97">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1.保密。</w:t>
      </w:r>
    </w:p>
    <w:p w14:paraId="5209E0C0">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评审活动在严格保密的情况下进行。评审过程中凡是与响应文件评审和比较、成交供应商推荐等评审有关的情况，以及涉及国家秘密和商业秘密等信息，</w:t>
      </w:r>
      <w:r>
        <w:rPr>
          <w:rFonts w:hint="eastAsia" w:ascii="宋体" w:hAnsi="宋体" w:cs="宋体"/>
          <w:bCs/>
          <w:color w:val="auto"/>
          <w:szCs w:val="21"/>
          <w:highlight w:val="none"/>
          <w:lang w:val="en-US" w:eastAsia="zh-CN"/>
        </w:rPr>
        <w:t>谈判小组</w:t>
      </w:r>
      <w:r>
        <w:rPr>
          <w:rFonts w:hint="eastAsia" w:ascii="宋体" w:hAnsi="宋体" w:cs="宋体"/>
          <w:bCs/>
          <w:color w:val="auto"/>
          <w:szCs w:val="21"/>
          <w:highlight w:val="none"/>
        </w:rPr>
        <w:t>成员、采购人和采购机构工作人员、相关监督人员等与评审有关的人员应当予以保密。</w:t>
      </w:r>
    </w:p>
    <w:p w14:paraId="64111703">
      <w:pPr>
        <w:shd w:val="clea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2.录音录像。</w:t>
      </w:r>
    </w:p>
    <w:p w14:paraId="415BD4A1">
      <w:pPr>
        <w:shd w:val="clear"/>
        <w:spacing w:line="360" w:lineRule="auto"/>
        <w:ind w:firstLine="420" w:firstLineChars="200"/>
        <w:rPr>
          <w:rFonts w:ascii="宋体" w:hAnsi="宋体" w:cs="宋体"/>
          <w:color w:val="auto"/>
          <w:highlight w:val="none"/>
        </w:rPr>
      </w:pPr>
      <w:r>
        <w:rPr>
          <w:rFonts w:hint="eastAsia" w:ascii="宋体" w:hAnsi="宋体" w:cs="宋体"/>
          <w:bCs/>
          <w:color w:val="auto"/>
          <w:szCs w:val="21"/>
          <w:highlight w:val="none"/>
        </w:rPr>
        <w:t>采购代理机构对评审工作现场及操作屏幕进行全过程录音录像，录音录像资料作为采购项目文件随其他文件一并存档。</w:t>
      </w:r>
    </w:p>
    <w:p w14:paraId="706157A0">
      <w:pPr>
        <w:pStyle w:val="2"/>
        <w:shd w:val="clear"/>
        <w:jc w:val="center"/>
        <w:outlineLvl w:val="0"/>
        <w:rPr>
          <w:rFonts w:ascii="宋体" w:hAnsi="宋体" w:cs="宋体"/>
          <w:color w:val="auto"/>
          <w:highlight w:val="none"/>
        </w:rPr>
      </w:pPr>
      <w:r>
        <w:rPr>
          <w:rFonts w:hint="eastAsia" w:ascii="宋体" w:hAnsi="宋体" w:cs="宋体"/>
          <w:color w:val="auto"/>
          <w:highlight w:val="none"/>
        </w:rPr>
        <w:br w:type="page"/>
      </w:r>
      <w:bookmarkStart w:id="62" w:name="_Toc8481"/>
      <w:r>
        <w:rPr>
          <w:rFonts w:hint="eastAsia" w:ascii="宋体" w:hAnsi="宋体" w:cs="宋体"/>
          <w:color w:val="auto"/>
          <w:highlight w:val="none"/>
        </w:rPr>
        <w:t>第五章  响应文件格式</w:t>
      </w:r>
      <w:bookmarkEnd w:id="62"/>
    </w:p>
    <w:p w14:paraId="17B6662E">
      <w:pPr>
        <w:pStyle w:val="3"/>
        <w:shd w:val="clear"/>
        <w:rPr>
          <w:rFonts w:ascii="宋体" w:hAnsi="宋体" w:cs="宋体"/>
          <w:color w:val="auto"/>
          <w:highlight w:val="none"/>
        </w:rPr>
      </w:pPr>
      <w:bookmarkStart w:id="63" w:name="_Toc26483"/>
      <w:bookmarkStart w:id="64" w:name="_Toc35611516"/>
      <w:bookmarkStart w:id="65" w:name="_Toc35611438"/>
      <w:bookmarkStart w:id="66" w:name="_Toc44229899"/>
      <w:bookmarkStart w:id="67" w:name="_Toc31723070"/>
      <w:bookmarkStart w:id="68" w:name="_Toc31728084"/>
      <w:r>
        <w:rPr>
          <w:rFonts w:hint="eastAsia" w:ascii="宋体" w:hAnsi="宋体" w:cs="宋体"/>
          <w:color w:val="auto"/>
          <w:highlight w:val="none"/>
        </w:rPr>
        <w:t>一、资格证明文件格式</w:t>
      </w:r>
      <w:bookmarkEnd w:id="63"/>
      <w:bookmarkEnd w:id="64"/>
      <w:bookmarkEnd w:id="65"/>
      <w:bookmarkEnd w:id="66"/>
      <w:bookmarkEnd w:id="67"/>
      <w:bookmarkEnd w:id="68"/>
    </w:p>
    <w:p w14:paraId="1DCCA1EF">
      <w:pPr>
        <w:shd w:val="clear"/>
        <w:snapToGrid w:val="0"/>
        <w:spacing w:before="156" w:beforeLines="50" w:after="50" w:line="360" w:lineRule="auto"/>
        <w:jc w:val="left"/>
        <w:rPr>
          <w:rFonts w:ascii="宋体" w:hAnsi="宋体" w:cs="宋体"/>
          <w:b/>
          <w:color w:val="auto"/>
          <w:sz w:val="24"/>
          <w:highlight w:val="none"/>
        </w:rPr>
      </w:pPr>
      <w:r>
        <w:rPr>
          <w:rFonts w:hint="eastAsia" w:ascii="宋体" w:hAnsi="宋体" w:cs="宋体"/>
          <w:b/>
          <w:color w:val="auto"/>
          <w:sz w:val="32"/>
          <w:szCs w:val="32"/>
          <w:highlight w:val="none"/>
        </w:rPr>
        <w:t>1.资格证明文件封面格式：</w:t>
      </w:r>
      <w:r>
        <w:rPr>
          <w:rFonts w:hint="eastAsia" w:ascii="宋体" w:hAnsi="宋体" w:cs="宋体"/>
          <w:b/>
          <w:color w:val="auto"/>
          <w:sz w:val="24"/>
          <w:highlight w:val="none"/>
        </w:rPr>
        <w:t xml:space="preserve"> </w:t>
      </w:r>
    </w:p>
    <w:p w14:paraId="2FFF6582">
      <w:pPr>
        <w:shd w:val="clear"/>
        <w:snapToGrid w:val="0"/>
        <w:spacing w:before="156" w:beforeLines="50" w:after="50"/>
        <w:rPr>
          <w:rFonts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sz w:val="24"/>
          <w:highlight w:val="none"/>
        </w:rPr>
        <w:t>电子响应文件</w:t>
      </w:r>
    </w:p>
    <w:p w14:paraId="647290B1">
      <w:pPr>
        <w:shd w:val="clear"/>
        <w:snapToGrid w:val="0"/>
        <w:spacing w:before="156" w:beforeLines="50" w:after="50"/>
        <w:rPr>
          <w:rFonts w:ascii="宋体" w:hAnsi="宋体" w:cs="宋体"/>
          <w:color w:val="auto"/>
          <w:sz w:val="24"/>
          <w:szCs w:val="20"/>
          <w:highlight w:val="none"/>
        </w:rPr>
      </w:pPr>
    </w:p>
    <w:p w14:paraId="0AEF65FA">
      <w:pPr>
        <w:shd w:val="clear"/>
        <w:snapToGrid w:val="0"/>
        <w:spacing w:before="156" w:beforeLines="50" w:after="50"/>
        <w:rPr>
          <w:rFonts w:ascii="宋体" w:hAnsi="宋体" w:cs="宋体"/>
          <w:color w:val="auto"/>
          <w:sz w:val="24"/>
          <w:szCs w:val="20"/>
          <w:highlight w:val="none"/>
        </w:rPr>
      </w:pPr>
    </w:p>
    <w:p w14:paraId="441A4F51">
      <w:pPr>
        <w:shd w:val="clear"/>
        <w:snapToGrid w:val="0"/>
        <w:spacing w:before="156" w:beforeLines="50" w:after="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资  格  证  明  文  件</w:t>
      </w:r>
    </w:p>
    <w:p w14:paraId="7B301AA8">
      <w:pPr>
        <w:shd w:val="clear"/>
        <w:snapToGrid w:val="0"/>
        <w:spacing w:before="156" w:beforeLines="50" w:after="50"/>
        <w:rPr>
          <w:rFonts w:ascii="宋体" w:hAnsi="宋体" w:cs="宋体"/>
          <w:bCs/>
          <w:color w:val="auto"/>
          <w:sz w:val="24"/>
          <w:szCs w:val="20"/>
          <w:highlight w:val="none"/>
        </w:rPr>
      </w:pPr>
    </w:p>
    <w:p w14:paraId="2C6D6E87">
      <w:pPr>
        <w:shd w:val="clear"/>
        <w:snapToGrid w:val="0"/>
        <w:spacing w:before="156" w:beforeLines="50" w:after="50"/>
        <w:rPr>
          <w:rFonts w:ascii="宋体" w:hAnsi="宋体" w:cs="宋体"/>
          <w:bCs/>
          <w:color w:val="auto"/>
          <w:sz w:val="24"/>
          <w:szCs w:val="20"/>
          <w:highlight w:val="none"/>
        </w:rPr>
      </w:pPr>
    </w:p>
    <w:p w14:paraId="466FB593">
      <w:pPr>
        <w:shd w:val="clear"/>
        <w:snapToGrid w:val="0"/>
        <w:spacing w:before="156" w:beforeLines="50" w:after="50"/>
        <w:rPr>
          <w:rFonts w:ascii="宋体" w:hAnsi="宋体" w:cs="宋体"/>
          <w:bCs/>
          <w:color w:val="auto"/>
          <w:sz w:val="24"/>
          <w:szCs w:val="20"/>
          <w:highlight w:val="none"/>
        </w:rPr>
      </w:pPr>
    </w:p>
    <w:p w14:paraId="65DF72AE">
      <w:pPr>
        <w:shd w:val="clear"/>
        <w:snapToGrid w:val="0"/>
        <w:spacing w:before="156" w:beforeLines="50" w:after="50"/>
        <w:rPr>
          <w:rFonts w:ascii="宋体" w:hAnsi="宋体" w:cs="宋体"/>
          <w:bCs/>
          <w:color w:val="auto"/>
          <w:sz w:val="24"/>
          <w:szCs w:val="20"/>
          <w:highlight w:val="none"/>
        </w:rPr>
      </w:pPr>
    </w:p>
    <w:p w14:paraId="2DEB08C2">
      <w:pPr>
        <w:shd w:val="clear"/>
        <w:snapToGrid w:val="0"/>
        <w:spacing w:before="156"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项目名称：</w:t>
      </w:r>
    </w:p>
    <w:p w14:paraId="5F4043D3">
      <w:pPr>
        <w:shd w:val="clear"/>
        <w:snapToGrid w:val="0"/>
        <w:spacing w:before="156" w:beforeLines="50" w:after="50"/>
        <w:ind w:firstLine="720" w:firstLineChars="225"/>
        <w:rPr>
          <w:rFonts w:ascii="宋体" w:hAnsi="宋体" w:cs="宋体"/>
          <w:bCs/>
          <w:color w:val="auto"/>
          <w:sz w:val="32"/>
          <w:szCs w:val="32"/>
          <w:highlight w:val="none"/>
        </w:rPr>
      </w:pPr>
    </w:p>
    <w:p w14:paraId="31F3AFE8">
      <w:pPr>
        <w:shd w:val="clear"/>
        <w:snapToGrid w:val="0"/>
        <w:spacing w:before="156" w:beforeLines="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项目编号：</w:t>
      </w:r>
    </w:p>
    <w:p w14:paraId="4678E51B">
      <w:pPr>
        <w:shd w:val="clear"/>
        <w:snapToGrid w:val="0"/>
        <w:spacing w:before="156" w:beforeLines="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 xml:space="preserve"> </w:t>
      </w:r>
    </w:p>
    <w:p w14:paraId="1AF7F97A">
      <w:pPr>
        <w:shd w:val="clear"/>
        <w:snapToGrid w:val="0"/>
        <w:spacing w:before="156" w:beforeLines="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所</w:t>
      </w:r>
      <w:r>
        <w:rPr>
          <w:rFonts w:hint="eastAsia" w:ascii="宋体" w:hAnsi="宋体" w:cs="宋体"/>
          <w:bCs/>
          <w:color w:val="auto"/>
          <w:sz w:val="32"/>
          <w:szCs w:val="32"/>
          <w:highlight w:val="none"/>
          <w:lang w:val="en-US" w:eastAsia="zh-CN"/>
        </w:rPr>
        <w:t>响应</w:t>
      </w:r>
      <w:r>
        <w:rPr>
          <w:rFonts w:hint="eastAsia" w:ascii="宋体" w:hAnsi="宋体" w:cs="宋体"/>
          <w:bCs/>
          <w:color w:val="auto"/>
          <w:sz w:val="32"/>
          <w:szCs w:val="32"/>
          <w:highlight w:val="none"/>
        </w:rPr>
        <w:t>分标（如有则填写，无分标时填写“无”或者留空）：</w:t>
      </w:r>
    </w:p>
    <w:p w14:paraId="4376D0BC">
      <w:pPr>
        <w:shd w:val="clear"/>
        <w:snapToGrid w:val="0"/>
        <w:spacing w:before="156" w:beforeLines="50" w:after="50"/>
        <w:ind w:firstLine="720" w:firstLineChars="225"/>
        <w:rPr>
          <w:rFonts w:ascii="宋体" w:hAnsi="宋体" w:cs="宋体"/>
          <w:bCs/>
          <w:color w:val="auto"/>
          <w:sz w:val="32"/>
          <w:szCs w:val="32"/>
          <w:highlight w:val="none"/>
        </w:rPr>
      </w:pPr>
    </w:p>
    <w:p w14:paraId="73F6996A">
      <w:pPr>
        <w:pStyle w:val="7"/>
        <w:shd w:val="clear"/>
        <w:snapToGrid w:val="0"/>
        <w:spacing w:before="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供应商名称：</w:t>
      </w:r>
    </w:p>
    <w:p w14:paraId="244CA587">
      <w:pPr>
        <w:pStyle w:val="7"/>
        <w:shd w:val="clear"/>
        <w:snapToGrid w:val="0"/>
        <w:spacing w:before="50" w:after="50"/>
        <w:ind w:firstLine="1280" w:firstLineChars="400"/>
        <w:rPr>
          <w:rFonts w:ascii="宋体" w:hAnsi="宋体" w:cs="宋体"/>
          <w:bCs/>
          <w:color w:val="auto"/>
          <w:sz w:val="32"/>
          <w:szCs w:val="32"/>
          <w:highlight w:val="none"/>
        </w:rPr>
      </w:pPr>
    </w:p>
    <w:p w14:paraId="7E515FA4">
      <w:pPr>
        <w:shd w:val="clear"/>
        <w:snapToGrid w:val="0"/>
        <w:spacing w:before="156" w:beforeLines="50" w:after="50"/>
        <w:jc w:val="center"/>
        <w:rPr>
          <w:rFonts w:ascii="宋体" w:hAnsi="宋体" w:cs="宋体"/>
          <w:color w:val="auto"/>
          <w:sz w:val="32"/>
          <w:szCs w:val="32"/>
          <w:highlight w:val="none"/>
        </w:rPr>
      </w:pPr>
      <w:r>
        <w:rPr>
          <w:rFonts w:hint="eastAsia" w:ascii="宋体" w:hAnsi="宋体" w:cs="宋体"/>
          <w:color w:val="auto"/>
          <w:sz w:val="32"/>
          <w:szCs w:val="32"/>
          <w:highlight w:val="none"/>
        </w:rPr>
        <w:t>年    月    日</w:t>
      </w:r>
    </w:p>
    <w:p w14:paraId="473C04EF">
      <w:pPr>
        <w:shd w:val="clear"/>
        <w:snapToGrid w:val="0"/>
        <w:spacing w:before="156" w:beforeLines="50" w:after="50" w:line="360" w:lineRule="auto"/>
        <w:ind w:left="142"/>
        <w:jc w:val="left"/>
        <w:rPr>
          <w:rFonts w:ascii="宋体" w:hAnsi="宋体" w:cs="宋体"/>
          <w:b/>
          <w:bCs/>
          <w:color w:val="auto"/>
          <w:sz w:val="32"/>
          <w:szCs w:val="32"/>
          <w:highlight w:val="none"/>
        </w:rPr>
      </w:pPr>
      <w:r>
        <w:rPr>
          <w:rFonts w:hint="eastAsia" w:ascii="宋体" w:hAnsi="宋体" w:cs="宋体"/>
          <w:color w:val="auto"/>
          <w:sz w:val="24"/>
          <w:highlight w:val="none"/>
        </w:rPr>
        <w:br w:type="page"/>
      </w:r>
      <w:r>
        <w:rPr>
          <w:rFonts w:hint="eastAsia" w:ascii="宋体" w:hAnsi="宋体" w:cs="宋体"/>
          <w:b/>
          <w:bCs/>
          <w:color w:val="auto"/>
          <w:sz w:val="32"/>
          <w:szCs w:val="32"/>
          <w:highlight w:val="none"/>
        </w:rPr>
        <w:t>2.资格证明文件目录</w:t>
      </w:r>
    </w:p>
    <w:p w14:paraId="7E2DE03D">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一、</w:t>
      </w:r>
      <w:r>
        <w:rPr>
          <w:rFonts w:hint="eastAsia" w:ascii="宋体" w:hAnsi="宋体" w:cs="宋体"/>
          <w:color w:val="auto"/>
          <w:sz w:val="24"/>
          <w:highlight w:val="none"/>
        </w:rPr>
        <w:t>供应商为法人或者其他组织的提供其营业执照等证明文件（如营业执照或者事业单位法人证书或者执业许可证等），供应商为自然人的提供其身份证复印件</w:t>
      </w:r>
      <w:r>
        <w:rPr>
          <w:rFonts w:hint="eastAsia" w:ascii="宋体" w:hAnsi="宋体" w:cs="宋体"/>
          <w:color w:val="auto"/>
          <w:kern w:val="0"/>
          <w:sz w:val="24"/>
          <w:highlight w:val="none"/>
        </w:rPr>
        <w:t>…（页码）</w:t>
      </w:r>
    </w:p>
    <w:p w14:paraId="7C5897EF">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二、供应商依法缴纳税收的相关材料[近半年2025年</w:t>
      </w:r>
      <w:r>
        <w:rPr>
          <w:rFonts w:hint="eastAsia" w:ascii="宋体" w:hAnsi="宋体" w:cs="宋体"/>
          <w:color w:val="auto"/>
          <w:kern w:val="0"/>
          <w:sz w:val="24"/>
          <w:highlight w:val="none"/>
          <w:lang w:val="en-US" w:eastAsia="zh-CN"/>
        </w:rPr>
        <w:t>10</w:t>
      </w:r>
      <w:r>
        <w:rPr>
          <w:rFonts w:hint="eastAsia" w:ascii="宋体" w:hAnsi="宋体" w:cs="宋体"/>
          <w:color w:val="auto"/>
          <w:kern w:val="0"/>
          <w:sz w:val="24"/>
          <w:highlight w:val="none"/>
        </w:rPr>
        <w:t>月至2026年</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月内任意连续3个月的依法缴纳税收的凭据复印件；依法免税的供应商，必须提供相应文件证明其依法免税。从取得营业执照时间起到首次响应文件提交截止时间为止不足要求月数的，只需提供从取得营业执照起的依法缴纳税收相应证明文件]…………………………………………………（页码）</w:t>
      </w:r>
    </w:p>
    <w:p w14:paraId="244E9D35">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三、供应商依法缴纳社会保障资金的相关材料[近半年2025年</w:t>
      </w:r>
      <w:r>
        <w:rPr>
          <w:rFonts w:hint="eastAsia" w:ascii="宋体" w:hAnsi="宋体" w:cs="宋体"/>
          <w:color w:val="auto"/>
          <w:kern w:val="0"/>
          <w:sz w:val="24"/>
          <w:highlight w:val="none"/>
          <w:lang w:val="en-US" w:eastAsia="zh-CN"/>
        </w:rPr>
        <w:t>10</w:t>
      </w:r>
      <w:r>
        <w:rPr>
          <w:rFonts w:hint="eastAsia" w:ascii="宋体" w:hAnsi="宋体" w:cs="宋体"/>
          <w:color w:val="auto"/>
          <w:kern w:val="0"/>
          <w:sz w:val="24"/>
          <w:highlight w:val="none"/>
        </w:rPr>
        <w:t>月至2026年</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月内任意连续3个月的依法缴纳社会保障资金的缴费凭证（专用收据或者社会保险缴纳清单）复印件；依法不需要缴纳社会保障资金的供应商，必须提供相应文件证明不需要缴纳社会保障资金。从取得营业执照时间起到首次响应文件提交截止时间为止不足要求月数的只需提供从取得营业执照起的依法缴纳社会保障资金的相应证明文件]…………………………（页码）</w:t>
      </w:r>
    </w:p>
    <w:p w14:paraId="50DB1D38">
      <w:pPr>
        <w:shd w:val="clea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四、供应商财务状况报告[供应商202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年或202</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年的年度财务状况报告复印件（可以是财务报表或银行出具的资信证明或第三方审计报告等证明材料）；供应商属于成立时间在规定年度之后的法人或其他组织，需提供成立之日起至响应文件提交截止时间前的1个月报表或银行出具的资信证明；资信证明应在有效期内，未注明有效期的，银行出具时间至响应文件提交截止时间不得超过一年]</w:t>
      </w:r>
      <w:r>
        <w:rPr>
          <w:rFonts w:hint="eastAsia" w:ascii="宋体" w:hAnsi="宋体" w:cs="宋体"/>
          <w:color w:val="auto"/>
          <w:kern w:val="0"/>
          <w:sz w:val="24"/>
          <w:highlight w:val="none"/>
        </w:rPr>
        <w:t>…………………………（页码）</w:t>
      </w:r>
    </w:p>
    <w:p w14:paraId="7FFF1C15">
      <w:pPr>
        <w:shd w:val="clea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五、供应商直接控股股东信息表、供应商直接管理关系信息表</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…（页码）</w:t>
      </w:r>
    </w:p>
    <w:p w14:paraId="3B460C6E">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六、</w:t>
      </w:r>
      <w:r>
        <w:rPr>
          <w:rFonts w:hint="eastAsia" w:ascii="宋体" w:hAnsi="宋体" w:cs="宋体"/>
          <w:color w:val="auto"/>
          <w:kern w:val="0"/>
          <w:sz w:val="24"/>
          <w:highlight w:val="none"/>
          <w:lang w:val="en-US" w:eastAsia="zh-CN"/>
        </w:rPr>
        <w:t>响应</w:t>
      </w:r>
      <w:r>
        <w:rPr>
          <w:rFonts w:hint="eastAsia" w:ascii="宋体" w:hAnsi="宋体" w:cs="宋体"/>
          <w:color w:val="auto"/>
          <w:kern w:val="0"/>
          <w:sz w:val="24"/>
          <w:highlight w:val="none"/>
        </w:rPr>
        <w:t>声明………………………………………………………………………（页码）</w:t>
      </w:r>
    </w:p>
    <w:p w14:paraId="0F441F74">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七、联合体协议书……………………………………………………………………（页码）</w:t>
      </w:r>
    </w:p>
    <w:p w14:paraId="4F4CD270">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八、除</w:t>
      </w:r>
      <w:r>
        <w:rPr>
          <w:rFonts w:hint="eastAsia" w:ascii="宋体" w:hAnsi="宋体" w:cs="宋体"/>
          <w:color w:val="auto"/>
          <w:kern w:val="0"/>
          <w:sz w:val="24"/>
          <w:highlight w:val="none"/>
          <w:lang w:val="en-US" w:eastAsia="zh-CN"/>
        </w:rPr>
        <w:t>竞争性</w:t>
      </w:r>
      <w:r>
        <w:rPr>
          <w:rFonts w:hint="eastAsia" w:ascii="宋体" w:hAnsi="宋体" w:cs="宋体"/>
          <w:color w:val="auto"/>
          <w:kern w:val="0"/>
          <w:sz w:val="24"/>
          <w:highlight w:val="none"/>
        </w:rPr>
        <w:t>谈判文件规定必须提供以外，供应商认为需要提供的其他证明材料…（页码）</w:t>
      </w:r>
    </w:p>
    <w:p w14:paraId="788A4CB2">
      <w:pPr>
        <w:shd w:val="clear"/>
        <w:rPr>
          <w:rFonts w:ascii="宋体" w:hAnsi="宋体" w:cs="宋体"/>
          <w:color w:val="auto"/>
          <w:sz w:val="24"/>
          <w:highlight w:val="none"/>
        </w:rPr>
      </w:pPr>
    </w:p>
    <w:p w14:paraId="0762C815">
      <w:pPr>
        <w:shd w:val="clear"/>
        <w:snapToGrid w:val="0"/>
        <w:spacing w:before="156" w:beforeLines="50" w:after="50" w:line="360" w:lineRule="auto"/>
        <w:ind w:firstLine="645"/>
        <w:rPr>
          <w:rFonts w:ascii="宋体" w:hAnsi="宋体" w:cs="宋体"/>
          <w:color w:val="auto"/>
          <w:sz w:val="24"/>
          <w:highlight w:val="none"/>
        </w:rPr>
      </w:pPr>
      <w:r>
        <w:rPr>
          <w:rFonts w:hint="eastAsia" w:ascii="宋体" w:hAnsi="宋体" w:cs="宋体"/>
          <w:b/>
          <w:bCs/>
          <w:color w:val="auto"/>
          <w:sz w:val="24"/>
          <w:highlight w:val="none"/>
        </w:rPr>
        <w:t>注：以上目录是编制供应商响应文件的基本格式要求，各供应商可根据自身情况进一步细化</w:t>
      </w:r>
      <w:r>
        <w:rPr>
          <w:rFonts w:hint="eastAsia" w:ascii="宋体" w:hAnsi="宋体" w:cs="宋体"/>
          <w:color w:val="auto"/>
          <w:sz w:val="24"/>
          <w:highlight w:val="none"/>
        </w:rPr>
        <w:t>。</w:t>
      </w:r>
    </w:p>
    <w:p w14:paraId="15B58B45">
      <w:pPr>
        <w:pStyle w:val="19"/>
        <w:shd w:val="clear"/>
        <w:rPr>
          <w:rFonts w:ascii="宋体" w:hAnsi="宋体" w:cs="宋体"/>
          <w:color w:val="auto"/>
          <w:highlight w:val="none"/>
        </w:rPr>
      </w:pPr>
    </w:p>
    <w:p w14:paraId="674BD19E">
      <w:pPr>
        <w:shd w:val="clear"/>
        <w:snapToGrid w:val="0"/>
        <w:spacing w:before="156" w:beforeLines="50" w:after="50"/>
        <w:rPr>
          <w:rFonts w:ascii="宋体" w:hAnsi="宋体" w:cs="宋体"/>
          <w:b/>
          <w:color w:val="auto"/>
          <w:sz w:val="24"/>
          <w:szCs w:val="20"/>
          <w:highlight w:val="none"/>
        </w:rPr>
      </w:pPr>
      <w:r>
        <w:rPr>
          <w:rFonts w:hint="eastAsia" w:ascii="宋体" w:hAnsi="宋体" w:cs="宋体"/>
          <w:b/>
          <w:color w:val="auto"/>
          <w:sz w:val="24"/>
          <w:szCs w:val="20"/>
          <w:highlight w:val="none"/>
        </w:rPr>
        <w:br w:type="page"/>
      </w:r>
      <w:r>
        <w:rPr>
          <w:rFonts w:hint="eastAsia" w:ascii="宋体" w:hAnsi="宋体" w:cs="宋体"/>
          <w:b/>
          <w:color w:val="auto"/>
          <w:sz w:val="28"/>
          <w:szCs w:val="28"/>
          <w:highlight w:val="none"/>
        </w:rPr>
        <w:t>一、供应商为法人或者其他组织的提供其营业执照等证明文件（如营业执照或者事业单位法人证书或者执业许可证等），供应商为自然人的提供其身份证复印件</w:t>
      </w:r>
    </w:p>
    <w:p w14:paraId="42AC0541">
      <w:pPr>
        <w:shd w:val="clear"/>
        <w:autoSpaceDE w:val="0"/>
        <w:autoSpaceDN w:val="0"/>
        <w:spacing w:line="360" w:lineRule="auto"/>
        <w:ind w:left="4365" w:leftChars="1850" w:hanging="480" w:hangingChars="2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37A4BDD0">
      <w:pPr>
        <w:shd w:val="clear"/>
        <w:autoSpaceDE w:val="0"/>
        <w:autoSpaceDN w:val="0"/>
        <w:spacing w:line="360" w:lineRule="auto"/>
        <w:ind w:firstLine="6120" w:firstLineChars="2550"/>
        <w:rPr>
          <w:rFonts w:ascii="宋体" w:hAnsi="宋体" w:cs="宋体"/>
          <w:b/>
          <w:bCs/>
          <w:color w:val="auto"/>
          <w:sz w:val="24"/>
          <w:highlight w:val="none"/>
        </w:rPr>
      </w:pPr>
      <w:r>
        <w:rPr>
          <w:rFonts w:hint="eastAsia" w:ascii="宋体" w:hAnsi="宋体" w:cs="宋体"/>
          <w:color w:val="auto"/>
          <w:kern w:val="0"/>
          <w:sz w:val="24"/>
          <w:highlight w:val="none"/>
        </w:rPr>
        <w:t>日期：  年  月   日</w:t>
      </w:r>
    </w:p>
    <w:p w14:paraId="312E841E">
      <w:pPr>
        <w:pStyle w:val="19"/>
        <w:shd w:val="clear"/>
        <w:rPr>
          <w:rFonts w:ascii="宋体" w:hAnsi="宋体" w:cs="宋体"/>
          <w:color w:val="auto"/>
          <w:highlight w:val="none"/>
        </w:rPr>
      </w:pPr>
    </w:p>
    <w:p w14:paraId="25388013">
      <w:pPr>
        <w:pStyle w:val="19"/>
        <w:shd w:val="clear"/>
        <w:rPr>
          <w:rFonts w:ascii="宋体" w:hAnsi="宋体" w:cs="宋体"/>
          <w:color w:val="auto"/>
          <w:highlight w:val="none"/>
        </w:rPr>
      </w:pPr>
    </w:p>
    <w:p w14:paraId="498C8C34">
      <w:pPr>
        <w:pStyle w:val="19"/>
        <w:shd w:val="clear"/>
        <w:rPr>
          <w:rFonts w:ascii="宋体" w:hAnsi="宋体" w:cs="宋体"/>
          <w:b/>
          <w:color w:val="auto"/>
          <w:sz w:val="28"/>
          <w:szCs w:val="28"/>
          <w:highlight w:val="none"/>
        </w:rPr>
      </w:pPr>
      <w:r>
        <w:rPr>
          <w:rFonts w:hint="eastAsia" w:ascii="宋体" w:hAnsi="宋体" w:cs="宋体"/>
          <w:b/>
          <w:color w:val="auto"/>
          <w:sz w:val="28"/>
          <w:szCs w:val="28"/>
          <w:highlight w:val="none"/>
        </w:rPr>
        <w:t>二、供应商依法缴纳税收的相关材料[近半年2025年</w:t>
      </w:r>
      <w:r>
        <w:rPr>
          <w:rFonts w:hint="eastAsia" w:ascii="宋体" w:hAnsi="宋体" w:cs="宋体"/>
          <w:b/>
          <w:color w:val="auto"/>
          <w:sz w:val="28"/>
          <w:szCs w:val="28"/>
          <w:highlight w:val="none"/>
          <w:lang w:val="en-US" w:eastAsia="zh-CN"/>
        </w:rPr>
        <w:t>10</w:t>
      </w:r>
      <w:r>
        <w:rPr>
          <w:rFonts w:hint="eastAsia" w:ascii="宋体" w:hAnsi="宋体" w:cs="宋体"/>
          <w:b/>
          <w:color w:val="auto"/>
          <w:sz w:val="28"/>
          <w:szCs w:val="28"/>
          <w:highlight w:val="none"/>
        </w:rPr>
        <w:t>月至2026年</w:t>
      </w:r>
      <w:r>
        <w:rPr>
          <w:rFonts w:hint="eastAsia" w:ascii="宋体" w:hAnsi="宋体" w:cs="宋体"/>
          <w:b/>
          <w:color w:val="auto"/>
          <w:sz w:val="28"/>
          <w:szCs w:val="28"/>
          <w:highlight w:val="none"/>
          <w:lang w:val="en-US" w:eastAsia="zh-CN"/>
        </w:rPr>
        <w:t>3</w:t>
      </w:r>
      <w:r>
        <w:rPr>
          <w:rFonts w:hint="eastAsia" w:ascii="宋体" w:hAnsi="宋体" w:cs="宋体"/>
          <w:b/>
          <w:color w:val="auto"/>
          <w:sz w:val="28"/>
          <w:szCs w:val="28"/>
          <w:highlight w:val="none"/>
        </w:rPr>
        <w:t>月内任意连续3个月的依法缴纳税收的凭据复印件；依法免税的供应商，必须提供相应文件证明其依法免税。从取得营业执照时间起到首次响应文件提交截止时间为止不足要求月数的，只需提供从取得营业执照起的依法缴纳税收相应证明文件]</w:t>
      </w:r>
    </w:p>
    <w:p w14:paraId="0B1C810D">
      <w:pPr>
        <w:pStyle w:val="19"/>
        <w:shd w:val="clear"/>
        <w:rPr>
          <w:rFonts w:ascii="宋体" w:hAnsi="宋体" w:cs="宋体"/>
          <w:color w:val="auto"/>
          <w:highlight w:val="none"/>
        </w:rPr>
      </w:pPr>
    </w:p>
    <w:p w14:paraId="618E3076">
      <w:pPr>
        <w:shd w:val="clear"/>
        <w:autoSpaceDE w:val="0"/>
        <w:autoSpaceDN w:val="0"/>
        <w:spacing w:line="360" w:lineRule="auto"/>
        <w:ind w:left="4365" w:leftChars="1850" w:hanging="480" w:hangingChars="2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41D6DB4E">
      <w:pPr>
        <w:shd w:val="clear"/>
        <w:autoSpaceDE w:val="0"/>
        <w:autoSpaceDN w:val="0"/>
        <w:spacing w:line="360" w:lineRule="auto"/>
        <w:ind w:firstLine="6120" w:firstLineChars="2550"/>
        <w:rPr>
          <w:rFonts w:ascii="宋体" w:hAnsi="宋体" w:cs="宋体"/>
          <w:b/>
          <w:bCs/>
          <w:color w:val="auto"/>
          <w:sz w:val="24"/>
          <w:highlight w:val="none"/>
        </w:rPr>
      </w:pPr>
      <w:r>
        <w:rPr>
          <w:rFonts w:hint="eastAsia" w:ascii="宋体" w:hAnsi="宋体" w:cs="宋体"/>
          <w:color w:val="auto"/>
          <w:kern w:val="0"/>
          <w:sz w:val="24"/>
          <w:highlight w:val="none"/>
        </w:rPr>
        <w:t>日期：  年  月   日</w:t>
      </w:r>
    </w:p>
    <w:p w14:paraId="32A5D030">
      <w:pPr>
        <w:pStyle w:val="19"/>
        <w:shd w:val="clear"/>
        <w:rPr>
          <w:rFonts w:ascii="宋体" w:hAnsi="宋体" w:cs="宋体"/>
          <w:color w:val="auto"/>
          <w:highlight w:val="none"/>
        </w:rPr>
      </w:pPr>
    </w:p>
    <w:p w14:paraId="55AED3C2">
      <w:pPr>
        <w:pStyle w:val="19"/>
        <w:shd w:val="clear"/>
        <w:rPr>
          <w:rFonts w:ascii="宋体" w:hAnsi="宋体" w:cs="宋体"/>
          <w:color w:val="auto"/>
          <w:highlight w:val="none"/>
        </w:rPr>
      </w:pPr>
    </w:p>
    <w:p w14:paraId="337724EC">
      <w:pPr>
        <w:pStyle w:val="19"/>
        <w:shd w:val="clear"/>
        <w:rPr>
          <w:rFonts w:ascii="宋体" w:hAnsi="宋体" w:cs="宋体"/>
          <w:b/>
          <w:color w:val="auto"/>
          <w:sz w:val="28"/>
          <w:szCs w:val="28"/>
          <w:highlight w:val="none"/>
        </w:rPr>
      </w:pPr>
      <w:r>
        <w:rPr>
          <w:rFonts w:hint="eastAsia" w:ascii="宋体" w:hAnsi="宋体" w:cs="宋体"/>
          <w:b/>
          <w:color w:val="auto"/>
          <w:sz w:val="28"/>
          <w:szCs w:val="28"/>
          <w:highlight w:val="none"/>
        </w:rPr>
        <w:t>三、供应商依法缴纳社会保障资金的相关材料[近半年2025年</w:t>
      </w:r>
      <w:r>
        <w:rPr>
          <w:rFonts w:hint="eastAsia" w:ascii="宋体" w:hAnsi="宋体" w:cs="宋体"/>
          <w:b/>
          <w:color w:val="auto"/>
          <w:sz w:val="28"/>
          <w:szCs w:val="28"/>
          <w:highlight w:val="none"/>
          <w:lang w:val="en-US" w:eastAsia="zh-CN"/>
        </w:rPr>
        <w:t>10</w:t>
      </w:r>
      <w:r>
        <w:rPr>
          <w:rFonts w:hint="eastAsia" w:ascii="宋体" w:hAnsi="宋体" w:cs="宋体"/>
          <w:b/>
          <w:color w:val="auto"/>
          <w:sz w:val="28"/>
          <w:szCs w:val="28"/>
          <w:highlight w:val="none"/>
        </w:rPr>
        <w:t>月至2026年</w:t>
      </w:r>
      <w:r>
        <w:rPr>
          <w:rFonts w:hint="eastAsia" w:ascii="宋体" w:hAnsi="宋体" w:cs="宋体"/>
          <w:b/>
          <w:color w:val="auto"/>
          <w:sz w:val="28"/>
          <w:szCs w:val="28"/>
          <w:highlight w:val="none"/>
          <w:lang w:val="en-US" w:eastAsia="zh-CN"/>
        </w:rPr>
        <w:t>3</w:t>
      </w:r>
      <w:r>
        <w:rPr>
          <w:rFonts w:hint="eastAsia" w:ascii="宋体" w:hAnsi="宋体" w:cs="宋体"/>
          <w:b/>
          <w:color w:val="auto"/>
          <w:sz w:val="28"/>
          <w:szCs w:val="28"/>
          <w:highlight w:val="none"/>
        </w:rPr>
        <w:t>月内任意连续3个月的依法缴纳社会保障资金的缴费凭证（专用收据或者社会保险缴纳清单）复印件；依法不需要缴纳社会保障资金的供应商，必须提供相应文件证明不需要缴纳社会保障资金。从取得营业执照时间起到首次响应文件提交截止时间为止不足要求月数的只需提供从取得营业执照起依法缴纳社会保障资金的相应证明文件]</w:t>
      </w:r>
    </w:p>
    <w:p w14:paraId="01528928">
      <w:pPr>
        <w:pStyle w:val="19"/>
        <w:shd w:val="clear"/>
        <w:rPr>
          <w:rFonts w:ascii="宋体" w:hAnsi="宋体" w:cs="宋体"/>
          <w:color w:val="auto"/>
          <w:sz w:val="24"/>
          <w:highlight w:val="none"/>
        </w:rPr>
      </w:pPr>
    </w:p>
    <w:p w14:paraId="5283FC05">
      <w:pPr>
        <w:pStyle w:val="19"/>
        <w:shd w:val="clear"/>
        <w:rPr>
          <w:rFonts w:ascii="宋体" w:hAnsi="宋体" w:cs="宋体"/>
          <w:color w:val="auto"/>
          <w:sz w:val="24"/>
          <w:highlight w:val="none"/>
        </w:rPr>
      </w:pPr>
    </w:p>
    <w:p w14:paraId="7B48EB1A">
      <w:pPr>
        <w:shd w:val="clear"/>
        <w:autoSpaceDE w:val="0"/>
        <w:autoSpaceDN w:val="0"/>
        <w:spacing w:line="360" w:lineRule="auto"/>
        <w:ind w:left="4365" w:leftChars="1850" w:hanging="480" w:hangingChars="2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3119EF0E">
      <w:pPr>
        <w:shd w:val="clear"/>
        <w:autoSpaceDE w:val="0"/>
        <w:autoSpaceDN w:val="0"/>
        <w:spacing w:line="360" w:lineRule="auto"/>
        <w:ind w:firstLine="6120" w:firstLineChars="2550"/>
        <w:rPr>
          <w:rFonts w:ascii="宋体" w:hAnsi="宋体" w:cs="宋体"/>
          <w:b/>
          <w:bCs/>
          <w:color w:val="auto"/>
          <w:sz w:val="24"/>
          <w:highlight w:val="none"/>
        </w:rPr>
      </w:pPr>
      <w:r>
        <w:rPr>
          <w:rFonts w:hint="eastAsia" w:ascii="宋体" w:hAnsi="宋体" w:cs="宋体"/>
          <w:color w:val="auto"/>
          <w:kern w:val="0"/>
          <w:sz w:val="24"/>
          <w:highlight w:val="none"/>
        </w:rPr>
        <w:t>日期：  年  月   日</w:t>
      </w:r>
    </w:p>
    <w:p w14:paraId="56B54AEF">
      <w:pPr>
        <w:pStyle w:val="19"/>
        <w:shd w:val="clear"/>
        <w:rPr>
          <w:rFonts w:ascii="宋体" w:hAnsi="宋体" w:cs="宋体"/>
          <w:color w:val="auto"/>
          <w:highlight w:val="none"/>
        </w:rPr>
      </w:pPr>
    </w:p>
    <w:p w14:paraId="1D4FDA58">
      <w:pPr>
        <w:pStyle w:val="19"/>
        <w:shd w:val="clear"/>
        <w:rPr>
          <w:rFonts w:ascii="宋体" w:hAnsi="宋体" w:cs="宋体"/>
          <w:color w:val="auto"/>
          <w:highlight w:val="none"/>
        </w:rPr>
      </w:pPr>
    </w:p>
    <w:p w14:paraId="6CE33996">
      <w:pPr>
        <w:pStyle w:val="19"/>
        <w:shd w:val="clear"/>
        <w:rPr>
          <w:rFonts w:ascii="宋体" w:hAnsi="宋体" w:cs="宋体"/>
          <w:b/>
          <w:color w:val="auto"/>
          <w:sz w:val="28"/>
          <w:szCs w:val="28"/>
          <w:highlight w:val="none"/>
        </w:rPr>
      </w:pPr>
      <w:r>
        <w:rPr>
          <w:rFonts w:hint="eastAsia" w:ascii="宋体" w:hAnsi="宋体" w:cs="宋体"/>
          <w:b/>
          <w:color w:val="auto"/>
          <w:sz w:val="28"/>
          <w:szCs w:val="28"/>
          <w:highlight w:val="none"/>
        </w:rPr>
        <w:t>四、供应商财务状况报告[供应商202</w:t>
      </w:r>
      <w:r>
        <w:rPr>
          <w:rFonts w:hint="eastAsia" w:ascii="宋体" w:hAnsi="宋体" w:cs="宋体"/>
          <w:b/>
          <w:color w:val="auto"/>
          <w:sz w:val="28"/>
          <w:szCs w:val="28"/>
          <w:highlight w:val="none"/>
          <w:lang w:val="en-US" w:eastAsia="zh-CN"/>
        </w:rPr>
        <w:t>4</w:t>
      </w:r>
      <w:r>
        <w:rPr>
          <w:rFonts w:hint="eastAsia" w:ascii="宋体" w:hAnsi="宋体" w:cs="宋体"/>
          <w:b/>
          <w:color w:val="auto"/>
          <w:sz w:val="28"/>
          <w:szCs w:val="28"/>
          <w:highlight w:val="none"/>
        </w:rPr>
        <w:t>年或202</w:t>
      </w:r>
      <w:r>
        <w:rPr>
          <w:rFonts w:hint="eastAsia" w:ascii="宋体" w:hAnsi="宋体" w:cs="宋体"/>
          <w:b/>
          <w:color w:val="auto"/>
          <w:sz w:val="28"/>
          <w:szCs w:val="28"/>
          <w:highlight w:val="none"/>
          <w:lang w:val="en-US" w:eastAsia="zh-CN"/>
        </w:rPr>
        <w:t>5</w:t>
      </w:r>
      <w:r>
        <w:rPr>
          <w:rFonts w:hint="eastAsia" w:ascii="宋体" w:hAnsi="宋体" w:cs="宋体"/>
          <w:b/>
          <w:color w:val="auto"/>
          <w:sz w:val="28"/>
          <w:szCs w:val="28"/>
          <w:highlight w:val="none"/>
        </w:rPr>
        <w:t>年的年度财务状况报告复印件（可以是财务报表或银行出具的资信证明或第三方审计报告等证明材料）；供应商属于成立时间在规定年度之后的法人或其他组织，需提供成立之日起至响应文件提交截止时间前的1个月报表或银行出具的资信证明；资信证明应在有效期内，未注明有效期的，银行出具时间至响应文件提交截止时间不得超过一年]</w:t>
      </w:r>
    </w:p>
    <w:p w14:paraId="666D8C6D">
      <w:pPr>
        <w:pStyle w:val="19"/>
        <w:shd w:val="clear"/>
        <w:rPr>
          <w:rFonts w:ascii="宋体" w:hAnsi="宋体" w:cs="宋体"/>
          <w:color w:val="auto"/>
          <w:highlight w:val="none"/>
        </w:rPr>
      </w:pPr>
    </w:p>
    <w:p w14:paraId="10D6306C">
      <w:pPr>
        <w:shd w:val="clear"/>
        <w:autoSpaceDE w:val="0"/>
        <w:autoSpaceDN w:val="0"/>
        <w:spacing w:line="360" w:lineRule="auto"/>
        <w:ind w:left="4365" w:leftChars="1850" w:hanging="480" w:hangingChars="2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2949A302">
      <w:pPr>
        <w:shd w:val="clear"/>
        <w:autoSpaceDE w:val="0"/>
        <w:autoSpaceDN w:val="0"/>
        <w:spacing w:line="360" w:lineRule="auto"/>
        <w:ind w:firstLine="6120" w:firstLineChars="2550"/>
        <w:rPr>
          <w:rFonts w:ascii="宋体" w:hAnsi="宋体" w:cs="宋体"/>
          <w:b/>
          <w:bCs/>
          <w:color w:val="auto"/>
          <w:sz w:val="24"/>
          <w:highlight w:val="none"/>
        </w:rPr>
      </w:pPr>
      <w:r>
        <w:rPr>
          <w:rFonts w:hint="eastAsia" w:ascii="宋体" w:hAnsi="宋体" w:cs="宋体"/>
          <w:color w:val="auto"/>
          <w:kern w:val="0"/>
          <w:sz w:val="24"/>
          <w:highlight w:val="none"/>
        </w:rPr>
        <w:t>日期：  年  月   日</w:t>
      </w:r>
    </w:p>
    <w:p w14:paraId="59CA6931">
      <w:pPr>
        <w:shd w:val="clear"/>
        <w:spacing w:line="300" w:lineRule="auto"/>
        <w:rPr>
          <w:rFonts w:ascii="宋体" w:hAnsi="宋体" w:cs="宋体"/>
          <w:color w:val="auto"/>
          <w:szCs w:val="21"/>
          <w:highlight w:val="none"/>
        </w:rPr>
      </w:pPr>
    </w:p>
    <w:p w14:paraId="221058D9">
      <w:pPr>
        <w:shd w:val="clear"/>
        <w:spacing w:line="320" w:lineRule="exact"/>
        <w:jc w:val="left"/>
        <w:rPr>
          <w:rFonts w:ascii="宋体" w:hAnsi="宋体" w:cs="宋体"/>
          <w:color w:val="auto"/>
          <w:szCs w:val="21"/>
          <w:highlight w:val="none"/>
        </w:rPr>
      </w:pPr>
      <w:r>
        <w:rPr>
          <w:rFonts w:hint="eastAsia" w:ascii="宋体" w:hAnsi="宋体" w:cs="宋体"/>
          <w:color w:val="auto"/>
          <w:szCs w:val="21"/>
          <w:highlight w:val="none"/>
        </w:rPr>
        <w:t xml:space="preserve"> </w:t>
      </w:r>
    </w:p>
    <w:p w14:paraId="4BE0288A">
      <w:pPr>
        <w:shd w:val="clear"/>
        <w:spacing w:line="320" w:lineRule="exact"/>
        <w:jc w:val="center"/>
        <w:rPr>
          <w:rFonts w:hint="eastAsia" w:ascii="宋体" w:hAnsi="宋体" w:cs="宋体"/>
          <w:b/>
          <w:color w:val="auto"/>
          <w:sz w:val="32"/>
          <w:szCs w:val="32"/>
          <w:highlight w:val="none"/>
        </w:rPr>
      </w:pPr>
    </w:p>
    <w:p w14:paraId="29CB4E6A">
      <w:pPr>
        <w:shd w:val="clear"/>
        <w:spacing w:line="32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五、供应商直接控股股东信息表、供应商直接管理关系信息表</w:t>
      </w:r>
    </w:p>
    <w:p w14:paraId="1BF56DE4">
      <w:pPr>
        <w:shd w:val="clear"/>
        <w:snapToGrid w:val="0"/>
        <w:spacing w:before="156" w:beforeLines="50" w:after="50" w:line="360" w:lineRule="auto"/>
        <w:jc w:val="center"/>
        <w:rPr>
          <w:rFonts w:ascii="宋体" w:hAnsi="宋体" w:cs="宋体"/>
          <w:b/>
          <w:color w:val="auto"/>
          <w:sz w:val="24"/>
          <w:highlight w:val="none"/>
        </w:rPr>
      </w:pPr>
    </w:p>
    <w:p w14:paraId="088566B5">
      <w:pPr>
        <w:shd w:val="clear"/>
        <w:spacing w:line="32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供应商直接控股股东信息表</w:t>
      </w:r>
    </w:p>
    <w:p w14:paraId="1A3488B8">
      <w:pPr>
        <w:shd w:val="clear"/>
        <w:snapToGrid w:val="0"/>
        <w:spacing w:before="50" w:after="156" w:afterLines="50" w:line="360" w:lineRule="auto"/>
        <w:jc w:val="center"/>
        <w:rPr>
          <w:rFonts w:ascii="宋体" w:hAnsi="宋体" w:cs="宋体"/>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62F80EB8">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3A3ADD4">
            <w:pPr>
              <w:widowControl/>
              <w:shd w:val="clea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5053B49">
            <w:pPr>
              <w:widowControl/>
              <w:shd w:val="clea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EA4E7B8">
            <w:pPr>
              <w:widowControl/>
              <w:shd w:val="clea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E097529">
            <w:pPr>
              <w:widowControl/>
              <w:shd w:val="clea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84D15C6">
            <w:pPr>
              <w:widowControl/>
              <w:shd w:val="clea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C4F5F97">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B249A7B">
            <w:pPr>
              <w:widowControl/>
              <w:shd w:val="clea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B732CE7">
            <w:pPr>
              <w:widowControl/>
              <w:shd w:val="clear"/>
              <w:spacing w:line="360" w:lineRule="auto"/>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59DE67">
            <w:pPr>
              <w:widowControl/>
              <w:shd w:val="clear"/>
              <w:spacing w:line="360" w:lineRule="auto"/>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E920A7D">
            <w:pPr>
              <w:widowControl/>
              <w:shd w:val="clear"/>
              <w:spacing w:line="360" w:lineRule="auto"/>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4367913">
            <w:pPr>
              <w:widowControl/>
              <w:shd w:val="clear"/>
              <w:spacing w:line="360" w:lineRule="auto"/>
              <w:jc w:val="center"/>
              <w:rPr>
                <w:rFonts w:ascii="宋体" w:hAnsi="宋体" w:cs="宋体"/>
                <w:color w:val="auto"/>
                <w:kern w:val="0"/>
                <w:sz w:val="24"/>
                <w:highlight w:val="none"/>
              </w:rPr>
            </w:pPr>
          </w:p>
        </w:tc>
      </w:tr>
      <w:tr w14:paraId="03AAB010">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933A175">
            <w:pPr>
              <w:widowControl/>
              <w:shd w:val="clea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1A6CCC4">
            <w:pPr>
              <w:widowControl/>
              <w:shd w:val="clear"/>
              <w:spacing w:line="360" w:lineRule="auto"/>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F9B2D35">
            <w:pPr>
              <w:widowControl/>
              <w:shd w:val="clear"/>
              <w:spacing w:line="360" w:lineRule="auto"/>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98A3EB0">
            <w:pPr>
              <w:widowControl/>
              <w:shd w:val="clear"/>
              <w:spacing w:line="360" w:lineRule="auto"/>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ED17F09">
            <w:pPr>
              <w:widowControl/>
              <w:shd w:val="clear"/>
              <w:spacing w:line="360" w:lineRule="auto"/>
              <w:jc w:val="center"/>
              <w:rPr>
                <w:rFonts w:ascii="宋体" w:hAnsi="宋体" w:cs="宋体"/>
                <w:color w:val="auto"/>
                <w:kern w:val="0"/>
                <w:sz w:val="24"/>
                <w:highlight w:val="none"/>
              </w:rPr>
            </w:pPr>
          </w:p>
        </w:tc>
      </w:tr>
      <w:tr w14:paraId="1332241A">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D70BBD8">
            <w:pPr>
              <w:widowControl/>
              <w:shd w:val="clea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EFEF0E2">
            <w:pPr>
              <w:widowControl/>
              <w:shd w:val="clear"/>
              <w:spacing w:line="360" w:lineRule="auto"/>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08B55FD">
            <w:pPr>
              <w:widowControl/>
              <w:shd w:val="clear"/>
              <w:spacing w:line="360" w:lineRule="auto"/>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E721EBC">
            <w:pPr>
              <w:widowControl/>
              <w:shd w:val="clear"/>
              <w:spacing w:line="360" w:lineRule="auto"/>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9035D19">
            <w:pPr>
              <w:widowControl/>
              <w:shd w:val="clear"/>
              <w:spacing w:line="360" w:lineRule="auto"/>
              <w:jc w:val="center"/>
              <w:rPr>
                <w:rFonts w:ascii="宋体" w:hAnsi="宋体" w:cs="宋体"/>
                <w:color w:val="auto"/>
                <w:kern w:val="0"/>
                <w:sz w:val="24"/>
                <w:highlight w:val="none"/>
              </w:rPr>
            </w:pPr>
          </w:p>
        </w:tc>
      </w:tr>
      <w:tr w14:paraId="5F111EF0">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62A1C48">
            <w:pPr>
              <w:widowControl/>
              <w:shd w:val="clea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8A2473E">
            <w:pPr>
              <w:widowControl/>
              <w:shd w:val="clear"/>
              <w:spacing w:line="360" w:lineRule="auto"/>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C772B52">
            <w:pPr>
              <w:widowControl/>
              <w:shd w:val="clear"/>
              <w:spacing w:line="360" w:lineRule="auto"/>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D093E2D">
            <w:pPr>
              <w:widowControl/>
              <w:shd w:val="clear"/>
              <w:spacing w:line="360" w:lineRule="auto"/>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918AF12">
            <w:pPr>
              <w:widowControl/>
              <w:shd w:val="clear"/>
              <w:spacing w:line="360" w:lineRule="auto"/>
              <w:jc w:val="center"/>
              <w:rPr>
                <w:rFonts w:ascii="宋体" w:hAnsi="宋体" w:cs="宋体"/>
                <w:color w:val="auto"/>
                <w:kern w:val="0"/>
                <w:sz w:val="24"/>
                <w:highlight w:val="none"/>
              </w:rPr>
            </w:pPr>
          </w:p>
        </w:tc>
      </w:tr>
    </w:tbl>
    <w:p w14:paraId="77574E22">
      <w:pPr>
        <w:shd w:val="clea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注：</w:t>
      </w:r>
    </w:p>
    <w:p w14:paraId="707CF418">
      <w:pPr>
        <w:shd w:val="clea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8AE5263">
      <w:pPr>
        <w:shd w:val="clea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6B320D7C">
      <w:pPr>
        <w:shd w:val="clea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3.供应商不存在直接控股股东的，则填“无”。</w:t>
      </w:r>
    </w:p>
    <w:p w14:paraId="79063261">
      <w:pPr>
        <w:shd w:val="clear"/>
        <w:snapToGrid w:val="0"/>
        <w:spacing w:line="360" w:lineRule="auto"/>
        <w:jc w:val="left"/>
        <w:rPr>
          <w:rFonts w:ascii="宋体" w:hAnsi="宋体" w:cs="宋体"/>
          <w:color w:val="auto"/>
          <w:sz w:val="24"/>
          <w:highlight w:val="none"/>
        </w:rPr>
      </w:pPr>
    </w:p>
    <w:p w14:paraId="54AD684A">
      <w:pPr>
        <w:shd w:val="clear"/>
        <w:snapToGrid w:val="0"/>
        <w:spacing w:line="360" w:lineRule="auto"/>
        <w:jc w:val="left"/>
        <w:rPr>
          <w:rFonts w:ascii="宋体" w:hAnsi="宋体" w:cs="宋体"/>
          <w:color w:val="auto"/>
          <w:sz w:val="24"/>
          <w:highlight w:val="none"/>
        </w:rPr>
      </w:pPr>
    </w:p>
    <w:p w14:paraId="70EDBD7C">
      <w:pPr>
        <w:shd w:val="clear"/>
        <w:autoSpaceDE w:val="0"/>
        <w:autoSpaceDN w:val="0"/>
        <w:spacing w:line="360" w:lineRule="auto"/>
        <w:ind w:left="4365" w:leftChars="1850" w:hanging="480" w:hangingChars="2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66C1E55D">
      <w:pPr>
        <w:shd w:val="clear"/>
        <w:autoSpaceDE w:val="0"/>
        <w:autoSpaceDN w:val="0"/>
        <w:spacing w:line="360" w:lineRule="auto"/>
        <w:ind w:firstLine="6120" w:firstLineChars="2550"/>
        <w:rPr>
          <w:rFonts w:ascii="宋体" w:hAnsi="宋体" w:cs="宋体"/>
          <w:b/>
          <w:bCs/>
          <w:color w:val="auto"/>
          <w:sz w:val="24"/>
          <w:highlight w:val="none"/>
        </w:rPr>
      </w:pPr>
      <w:r>
        <w:rPr>
          <w:rFonts w:hint="eastAsia" w:ascii="宋体" w:hAnsi="宋体" w:cs="宋体"/>
          <w:color w:val="auto"/>
          <w:kern w:val="0"/>
          <w:sz w:val="24"/>
          <w:highlight w:val="none"/>
        </w:rPr>
        <w:t>日期：  年  月   日</w:t>
      </w:r>
    </w:p>
    <w:p w14:paraId="739323C0">
      <w:pPr>
        <w:pStyle w:val="19"/>
        <w:shd w:val="clear"/>
        <w:rPr>
          <w:rFonts w:ascii="宋体" w:hAnsi="宋体" w:cs="宋体"/>
          <w:color w:val="auto"/>
          <w:highlight w:val="none"/>
        </w:rPr>
      </w:pPr>
    </w:p>
    <w:p w14:paraId="0B3984A0">
      <w:pPr>
        <w:pStyle w:val="19"/>
        <w:shd w:val="clear"/>
        <w:rPr>
          <w:rFonts w:ascii="宋体" w:hAnsi="宋体" w:cs="宋体"/>
          <w:color w:val="auto"/>
          <w:highlight w:val="none"/>
        </w:rPr>
      </w:pPr>
    </w:p>
    <w:p w14:paraId="305AD595">
      <w:pPr>
        <w:shd w:val="clear"/>
        <w:snapToGrid w:val="0"/>
        <w:jc w:val="center"/>
        <w:rPr>
          <w:rFonts w:ascii="宋体" w:hAnsi="宋体" w:cs="宋体"/>
          <w:b/>
          <w:color w:val="auto"/>
          <w:sz w:val="28"/>
          <w:szCs w:val="28"/>
          <w:highlight w:val="none"/>
        </w:rPr>
      </w:pPr>
      <w:r>
        <w:rPr>
          <w:rFonts w:hint="eastAsia" w:ascii="宋体" w:hAnsi="宋体" w:cs="宋体"/>
          <w:b/>
          <w:color w:val="auto"/>
          <w:sz w:val="28"/>
          <w:szCs w:val="28"/>
          <w:highlight w:val="none"/>
        </w:rPr>
        <w:br w:type="page"/>
      </w:r>
    </w:p>
    <w:p w14:paraId="319C7DB4">
      <w:pPr>
        <w:shd w:val="clear"/>
        <w:spacing w:line="32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供应商直接管理关系信息表</w:t>
      </w:r>
    </w:p>
    <w:p w14:paraId="47735A7B">
      <w:pPr>
        <w:shd w:val="clear"/>
        <w:snapToGrid w:val="0"/>
        <w:spacing w:line="360" w:lineRule="auto"/>
        <w:jc w:val="center"/>
        <w:rPr>
          <w:rFonts w:ascii="宋体" w:hAnsi="宋体" w:cs="宋体"/>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788F66C0">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813C97">
            <w:pPr>
              <w:widowControl/>
              <w:shd w:val="clea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44917B8">
            <w:pPr>
              <w:widowControl/>
              <w:shd w:val="clea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CA79D3F">
            <w:pPr>
              <w:widowControl/>
              <w:shd w:val="clea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8716C98">
            <w:pPr>
              <w:widowControl/>
              <w:shd w:val="clea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A818CB8">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A45E996">
            <w:pPr>
              <w:widowControl/>
              <w:shd w:val="clea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12CEB26">
            <w:pPr>
              <w:widowControl/>
              <w:shd w:val="clear"/>
              <w:spacing w:line="360" w:lineRule="auto"/>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440D143">
            <w:pPr>
              <w:widowControl/>
              <w:shd w:val="clear"/>
              <w:spacing w:line="360" w:lineRule="auto"/>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AE52872">
            <w:pPr>
              <w:widowControl/>
              <w:shd w:val="clear"/>
              <w:spacing w:line="360" w:lineRule="auto"/>
              <w:jc w:val="center"/>
              <w:rPr>
                <w:rFonts w:ascii="宋体" w:hAnsi="宋体" w:cs="宋体"/>
                <w:color w:val="auto"/>
                <w:kern w:val="0"/>
                <w:sz w:val="24"/>
                <w:highlight w:val="none"/>
              </w:rPr>
            </w:pPr>
          </w:p>
        </w:tc>
      </w:tr>
      <w:tr w14:paraId="2908399A">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F0F54F6">
            <w:pPr>
              <w:widowControl/>
              <w:shd w:val="clea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9078197">
            <w:pPr>
              <w:widowControl/>
              <w:shd w:val="clear"/>
              <w:spacing w:line="360" w:lineRule="auto"/>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F724396">
            <w:pPr>
              <w:widowControl/>
              <w:shd w:val="clear"/>
              <w:spacing w:line="360" w:lineRule="auto"/>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1F91EF0">
            <w:pPr>
              <w:widowControl/>
              <w:shd w:val="clear"/>
              <w:spacing w:line="360" w:lineRule="auto"/>
              <w:jc w:val="center"/>
              <w:rPr>
                <w:rFonts w:ascii="宋体" w:hAnsi="宋体" w:cs="宋体"/>
                <w:color w:val="auto"/>
                <w:kern w:val="0"/>
                <w:sz w:val="24"/>
                <w:highlight w:val="none"/>
              </w:rPr>
            </w:pPr>
          </w:p>
        </w:tc>
      </w:tr>
      <w:tr w14:paraId="371449E6">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07A725B">
            <w:pPr>
              <w:widowControl/>
              <w:shd w:val="clea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6EB558E">
            <w:pPr>
              <w:widowControl/>
              <w:shd w:val="clear"/>
              <w:spacing w:line="360" w:lineRule="auto"/>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4E12D91">
            <w:pPr>
              <w:widowControl/>
              <w:shd w:val="clear"/>
              <w:spacing w:line="360" w:lineRule="auto"/>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B1AA7ED">
            <w:pPr>
              <w:widowControl/>
              <w:shd w:val="clear"/>
              <w:spacing w:line="360" w:lineRule="auto"/>
              <w:jc w:val="center"/>
              <w:rPr>
                <w:rFonts w:ascii="宋体" w:hAnsi="宋体" w:cs="宋体"/>
                <w:color w:val="auto"/>
                <w:kern w:val="0"/>
                <w:sz w:val="24"/>
                <w:highlight w:val="none"/>
              </w:rPr>
            </w:pPr>
          </w:p>
        </w:tc>
      </w:tr>
      <w:tr w14:paraId="79E2E9B9">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80583C5">
            <w:pPr>
              <w:widowControl/>
              <w:shd w:val="clea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ADE9E7F">
            <w:pPr>
              <w:widowControl/>
              <w:shd w:val="clear"/>
              <w:spacing w:line="360" w:lineRule="auto"/>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C978845">
            <w:pPr>
              <w:widowControl/>
              <w:shd w:val="clear"/>
              <w:spacing w:line="360" w:lineRule="auto"/>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246EB90">
            <w:pPr>
              <w:widowControl/>
              <w:shd w:val="clear"/>
              <w:spacing w:line="360" w:lineRule="auto"/>
              <w:jc w:val="center"/>
              <w:rPr>
                <w:rFonts w:ascii="宋体" w:hAnsi="宋体" w:cs="宋体"/>
                <w:color w:val="auto"/>
                <w:kern w:val="0"/>
                <w:sz w:val="24"/>
                <w:highlight w:val="none"/>
              </w:rPr>
            </w:pPr>
          </w:p>
        </w:tc>
      </w:tr>
    </w:tbl>
    <w:p w14:paraId="31D5ABB8">
      <w:pPr>
        <w:shd w:val="clea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注：</w:t>
      </w:r>
    </w:p>
    <w:p w14:paraId="494E2F42">
      <w:pPr>
        <w:shd w:val="clea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1.管理关系：是指不具有出资持股关系的其他单位之间存在的管理与被管理关系，如一些上下级关系的事业单位和团体组织。</w:t>
      </w:r>
    </w:p>
    <w:p w14:paraId="1CACF0C9">
      <w:pPr>
        <w:shd w:val="clea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pacing w:val="-6"/>
          <w:sz w:val="24"/>
          <w:highlight w:val="none"/>
        </w:rPr>
        <w:t>本表所指的管理关系仅限于直接管理关系，不包括间接的管理关系。</w:t>
      </w:r>
    </w:p>
    <w:p w14:paraId="1AA019C7">
      <w:pPr>
        <w:shd w:val="clea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3.供应商不存在直接管理关系的，则填“无”。</w:t>
      </w:r>
    </w:p>
    <w:p w14:paraId="6214242D">
      <w:pPr>
        <w:shd w:val="clear"/>
        <w:snapToGrid w:val="0"/>
        <w:spacing w:line="360" w:lineRule="auto"/>
        <w:jc w:val="left"/>
        <w:rPr>
          <w:rFonts w:ascii="宋体" w:hAnsi="宋体" w:cs="宋体"/>
          <w:color w:val="auto"/>
          <w:sz w:val="24"/>
          <w:highlight w:val="none"/>
        </w:rPr>
      </w:pPr>
    </w:p>
    <w:p w14:paraId="5EF8C088">
      <w:pPr>
        <w:shd w:val="clear"/>
        <w:autoSpaceDE w:val="0"/>
        <w:autoSpaceDN w:val="0"/>
        <w:spacing w:line="360" w:lineRule="auto"/>
        <w:ind w:left="4365" w:leftChars="1850" w:hanging="480" w:hangingChars="2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226434A7">
      <w:pPr>
        <w:shd w:val="clear"/>
        <w:autoSpaceDE w:val="0"/>
        <w:autoSpaceDN w:val="0"/>
        <w:spacing w:line="360" w:lineRule="auto"/>
        <w:ind w:firstLine="6120" w:firstLineChars="2550"/>
        <w:rPr>
          <w:rFonts w:ascii="宋体" w:hAnsi="宋体" w:cs="宋体"/>
          <w:b/>
          <w:bCs/>
          <w:color w:val="auto"/>
          <w:sz w:val="24"/>
          <w:highlight w:val="none"/>
        </w:rPr>
      </w:pPr>
      <w:r>
        <w:rPr>
          <w:rFonts w:hint="eastAsia" w:ascii="宋体" w:hAnsi="宋体" w:cs="宋体"/>
          <w:color w:val="auto"/>
          <w:kern w:val="0"/>
          <w:sz w:val="24"/>
          <w:highlight w:val="none"/>
        </w:rPr>
        <w:t>日期：  年  月   日</w:t>
      </w:r>
    </w:p>
    <w:p w14:paraId="54B93883">
      <w:pPr>
        <w:shd w:val="clear"/>
        <w:spacing w:line="320" w:lineRule="exact"/>
        <w:jc w:val="center"/>
        <w:rPr>
          <w:rFonts w:ascii="宋体" w:hAnsi="宋体" w:cs="宋体"/>
          <w:b/>
          <w:color w:val="auto"/>
          <w:sz w:val="32"/>
          <w:szCs w:val="32"/>
          <w:highlight w:val="none"/>
        </w:rPr>
      </w:pPr>
      <w:r>
        <w:rPr>
          <w:rFonts w:hint="eastAsia" w:ascii="宋体" w:hAnsi="宋体" w:cs="宋体"/>
          <w:color w:val="auto"/>
          <w:sz w:val="28"/>
          <w:szCs w:val="28"/>
          <w:highlight w:val="none"/>
        </w:rPr>
        <w:br w:type="page"/>
      </w:r>
      <w:r>
        <w:rPr>
          <w:rFonts w:hint="eastAsia" w:ascii="宋体" w:hAnsi="宋体" w:cs="宋体"/>
          <w:b/>
          <w:color w:val="auto"/>
          <w:sz w:val="32"/>
          <w:szCs w:val="32"/>
          <w:highlight w:val="none"/>
        </w:rPr>
        <w:t>六、</w:t>
      </w:r>
      <w:r>
        <w:rPr>
          <w:rFonts w:hint="eastAsia" w:ascii="宋体" w:hAnsi="宋体" w:cs="宋体"/>
          <w:b/>
          <w:color w:val="auto"/>
          <w:sz w:val="32"/>
          <w:szCs w:val="32"/>
          <w:highlight w:val="none"/>
          <w:lang w:val="en-US" w:eastAsia="zh-CN"/>
        </w:rPr>
        <w:t>响应</w:t>
      </w:r>
      <w:r>
        <w:rPr>
          <w:rFonts w:hint="eastAsia" w:ascii="宋体" w:hAnsi="宋体" w:cs="宋体"/>
          <w:b/>
          <w:color w:val="auto"/>
          <w:sz w:val="32"/>
          <w:szCs w:val="32"/>
          <w:highlight w:val="none"/>
        </w:rPr>
        <w:t>声明</w:t>
      </w:r>
    </w:p>
    <w:p w14:paraId="035B534F">
      <w:pPr>
        <w:shd w:val="clear"/>
        <w:spacing w:line="320" w:lineRule="exact"/>
        <w:jc w:val="center"/>
        <w:rPr>
          <w:rFonts w:ascii="宋体" w:hAnsi="宋体" w:cs="宋体"/>
          <w:color w:val="auto"/>
          <w:sz w:val="24"/>
          <w:szCs w:val="20"/>
          <w:highlight w:val="none"/>
        </w:rPr>
      </w:pPr>
    </w:p>
    <w:p w14:paraId="23B2C666">
      <w:pPr>
        <w:shd w:val="clear"/>
        <w:spacing w:before="156" w:beforeLines="50" w:after="50" w:line="360" w:lineRule="auto"/>
        <w:contextualSpacing/>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p>
    <w:p w14:paraId="106FF83E">
      <w:pPr>
        <w:keepNext w:val="0"/>
        <w:keepLines w:val="0"/>
        <w:pageBreakBefore w:val="0"/>
        <w:widowControl w:val="0"/>
        <w:shd w:val="clear"/>
        <w:kinsoku/>
        <w:wordWrap w:val="0"/>
        <w:overflowPunct/>
        <w:topLinePunct w:val="0"/>
        <w:autoSpaceDE/>
        <w:autoSpaceDN/>
        <w:bidi w:val="0"/>
        <w:adjustRightInd/>
        <w:snapToGrid/>
        <w:spacing w:before="156" w:beforeLines="50" w:after="50" w:line="360" w:lineRule="auto"/>
        <w:ind w:firstLine="480" w:firstLineChars="200"/>
        <w:contextualSpacing/>
        <w:textAlignment w:val="auto"/>
        <w:rPr>
          <w:rFonts w:ascii="宋体" w:hAnsi="宋体" w:cs="宋体"/>
          <w:color w:val="auto"/>
          <w:sz w:val="24"/>
          <w:highlight w:val="none"/>
        </w:rPr>
      </w:pP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4903C36">
      <w:pPr>
        <w:shd w:val="clea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项目的</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，为便于贵方公正、择优地确定成交供应商及其</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产品和服务，我方就本次</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有关事项郑重声明如下：</w:t>
      </w:r>
    </w:p>
    <w:p w14:paraId="3D2D2BAA">
      <w:pPr>
        <w:shd w:val="clea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0506D515">
      <w:pPr>
        <w:shd w:val="clea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28F6FF7D">
      <w:pPr>
        <w:shd w:val="clea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3.在此，我方宣布同意如下：</w:t>
      </w:r>
    </w:p>
    <w:p w14:paraId="0AE69D6F">
      <w:pPr>
        <w:shd w:val="clea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（1）将按</w:t>
      </w:r>
      <w:r>
        <w:rPr>
          <w:rFonts w:hint="eastAsia" w:ascii="宋体" w:hAnsi="宋体" w:cs="宋体"/>
          <w:color w:val="auto"/>
          <w:sz w:val="24"/>
          <w:highlight w:val="none"/>
          <w:lang w:val="en-US" w:eastAsia="zh-CN"/>
        </w:rPr>
        <w:t>竞争性</w:t>
      </w:r>
      <w:r>
        <w:rPr>
          <w:rFonts w:hint="eastAsia" w:ascii="宋体" w:hAnsi="宋体" w:cs="宋体"/>
          <w:color w:val="auto"/>
          <w:sz w:val="24"/>
          <w:highlight w:val="none"/>
        </w:rPr>
        <w:t>谈判文件的约定履行合同责任和义务；</w:t>
      </w:r>
    </w:p>
    <w:p w14:paraId="5057EB74">
      <w:pPr>
        <w:shd w:val="clea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（2）已详细审查全部</w:t>
      </w:r>
      <w:r>
        <w:rPr>
          <w:rFonts w:hint="eastAsia" w:ascii="宋体" w:hAnsi="宋体" w:cs="宋体"/>
          <w:color w:val="auto"/>
          <w:sz w:val="24"/>
          <w:highlight w:val="none"/>
          <w:lang w:val="en-US" w:eastAsia="zh-CN"/>
        </w:rPr>
        <w:t>竞争性</w:t>
      </w:r>
      <w:r>
        <w:rPr>
          <w:rFonts w:hint="eastAsia" w:ascii="宋体" w:hAnsi="宋体" w:cs="宋体"/>
          <w:color w:val="auto"/>
          <w:sz w:val="24"/>
          <w:highlight w:val="none"/>
        </w:rPr>
        <w:t>谈判文件，包括澄清或者更正公告（如有）；</w:t>
      </w:r>
    </w:p>
    <w:p w14:paraId="34CD4A70">
      <w:pPr>
        <w:shd w:val="clea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（3）同意提供按照贵方可能要求的与谈判有关的一切数据或者资料；</w:t>
      </w:r>
    </w:p>
    <w:p w14:paraId="30B04713">
      <w:pPr>
        <w:shd w:val="clea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（4）响应</w:t>
      </w:r>
      <w:r>
        <w:rPr>
          <w:rFonts w:hint="eastAsia" w:ascii="宋体" w:hAnsi="宋体" w:cs="宋体"/>
          <w:color w:val="auto"/>
          <w:sz w:val="24"/>
          <w:highlight w:val="none"/>
          <w:lang w:val="en-US" w:eastAsia="zh-CN"/>
        </w:rPr>
        <w:t>竞争性</w:t>
      </w:r>
      <w:r>
        <w:rPr>
          <w:rFonts w:hint="eastAsia" w:ascii="宋体" w:hAnsi="宋体" w:cs="宋体"/>
          <w:color w:val="auto"/>
          <w:sz w:val="24"/>
          <w:highlight w:val="none"/>
        </w:rPr>
        <w:t>谈判文件规定的</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有效期。</w:t>
      </w:r>
    </w:p>
    <w:p w14:paraId="1530632B">
      <w:pPr>
        <w:shd w:val="clea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1AEE8E4B">
      <w:pPr>
        <w:shd w:val="clea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13B76ADE">
      <w:pPr>
        <w:shd w:val="clea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4093707F">
      <w:pPr>
        <w:shd w:val="clea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3F0556F8">
      <w:pPr>
        <w:shd w:val="clea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0F083044">
      <w:pPr>
        <w:shd w:val="clea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3BA546D1">
      <w:pPr>
        <w:shd w:val="clea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14:paraId="5D95D6BE">
      <w:pPr>
        <w:shd w:val="clea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0F6C9BD7">
      <w:pPr>
        <w:shd w:val="clea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5A243ADA">
      <w:pPr>
        <w:shd w:val="clea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49089ED4">
      <w:pPr>
        <w:shd w:val="clea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45591C0B">
      <w:pPr>
        <w:pStyle w:val="16"/>
        <w:shd w:val="clear"/>
        <w:spacing w:line="360" w:lineRule="auto"/>
        <w:ind w:firstLine="480" w:firstLineChars="200"/>
        <w:contextualSpacing/>
        <w:rPr>
          <w:rFonts w:hAnsi="宋体" w:cs="宋体"/>
          <w:color w:val="auto"/>
          <w:sz w:val="24"/>
          <w:szCs w:val="24"/>
          <w:highlight w:val="none"/>
          <w:u w:val="single"/>
        </w:rPr>
      </w:pPr>
      <w:r>
        <w:rPr>
          <w:rFonts w:hint="eastAsia" w:hAnsi="宋体" w:cs="宋体"/>
          <w:color w:val="auto"/>
          <w:sz w:val="24"/>
          <w:szCs w:val="24"/>
          <w:highlight w:val="none"/>
        </w:rPr>
        <w:t>7.与本谈判有关的一切正式往来信函请寄：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1D763218">
      <w:pPr>
        <w:pStyle w:val="16"/>
        <w:shd w:val="clear"/>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电子函件：</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4815E34C">
      <w:pPr>
        <w:pStyle w:val="15"/>
        <w:shd w:val="clear"/>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银行</w:t>
      </w:r>
      <w:r>
        <w:rPr>
          <w:rFonts w:hint="eastAsia" w:ascii="宋体" w:hAnsi="宋体" w:cs="宋体"/>
          <w:color w:val="auto"/>
          <w:sz w:val="24"/>
          <w:highlight w:val="none"/>
        </w:rPr>
        <w:t>账号：</w:t>
      </w:r>
      <w:r>
        <w:rPr>
          <w:rFonts w:hint="eastAsia" w:ascii="宋体" w:hAnsi="宋体" w:cs="宋体"/>
          <w:color w:val="auto"/>
          <w:sz w:val="24"/>
          <w:highlight w:val="none"/>
          <w:u w:val="single"/>
        </w:rPr>
        <w:t xml:space="preserve">                            </w:t>
      </w:r>
    </w:p>
    <w:p w14:paraId="76303FAD">
      <w:pPr>
        <w:pStyle w:val="15"/>
        <w:shd w:val="clear"/>
        <w:tabs>
          <w:tab w:val="left" w:pos="939"/>
        </w:tabs>
        <w:spacing w:line="360" w:lineRule="auto"/>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1B94CCFB">
      <w:pPr>
        <w:pStyle w:val="15"/>
        <w:shd w:val="clear"/>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特此承诺。</w:t>
      </w:r>
    </w:p>
    <w:p w14:paraId="0A7AFEE2">
      <w:pPr>
        <w:shd w:val="clea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注：如为联合体</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，盖章处须加盖联合体各方公章并由联合体各方法定代表人签署，否则其响应文件按无效响应处理。</w:t>
      </w:r>
    </w:p>
    <w:p w14:paraId="3C536DAB">
      <w:pPr>
        <w:shd w:val="clear"/>
        <w:spacing w:line="360" w:lineRule="auto"/>
        <w:ind w:firstLine="4320" w:firstLineChars="1800"/>
        <w:rPr>
          <w:rFonts w:ascii="宋体" w:hAnsi="宋体" w:cs="宋体"/>
          <w:color w:val="auto"/>
          <w:sz w:val="24"/>
          <w:highlight w:val="none"/>
        </w:rPr>
      </w:pPr>
    </w:p>
    <w:p w14:paraId="3A8834CF">
      <w:pPr>
        <w:shd w:val="clear"/>
        <w:snapToGrid w:val="0"/>
        <w:spacing w:before="156" w:beforeLines="50" w:after="50" w:line="360" w:lineRule="auto"/>
        <w:ind w:right="480" w:firstLine="240" w:firstLineChars="100"/>
        <w:jc w:val="right"/>
        <w:rPr>
          <w:rFonts w:ascii="宋体" w:hAnsi="宋体" w:cs="宋体"/>
          <w:color w:val="auto"/>
          <w:sz w:val="24"/>
          <w:highlight w:val="none"/>
        </w:rPr>
      </w:pPr>
      <w:r>
        <w:rPr>
          <w:rFonts w:hint="eastAsia" w:ascii="宋体" w:hAnsi="宋体" w:cs="宋体"/>
          <w:color w:val="auto"/>
          <w:sz w:val="24"/>
          <w:highlight w:val="none"/>
        </w:rPr>
        <w:t>供应商名称（电子签章）：</w:t>
      </w:r>
    </w:p>
    <w:p w14:paraId="77270CEE">
      <w:pPr>
        <w:shd w:val="clear"/>
        <w:snapToGrid w:val="0"/>
        <w:spacing w:before="156" w:beforeLines="50" w:after="50" w:line="360" w:lineRule="auto"/>
        <w:ind w:right="480" w:firstLine="240" w:firstLineChars="100"/>
        <w:jc w:val="right"/>
        <w:rPr>
          <w:rFonts w:ascii="宋体" w:hAnsi="宋体" w:cs="宋体"/>
          <w:color w:val="auto"/>
          <w:sz w:val="24"/>
          <w:highlight w:val="none"/>
        </w:rPr>
      </w:pPr>
      <w:r>
        <w:rPr>
          <w:rFonts w:hint="eastAsia" w:ascii="宋体" w:hAnsi="宋体" w:cs="宋体"/>
          <w:color w:val="auto"/>
          <w:sz w:val="24"/>
          <w:highlight w:val="none"/>
        </w:rPr>
        <w:t>日期：  年  月   日</w:t>
      </w:r>
    </w:p>
    <w:p w14:paraId="6EB2FB8A">
      <w:pPr>
        <w:shd w:val="clear"/>
        <w:rPr>
          <w:rFonts w:ascii="宋体" w:hAnsi="宋体" w:cs="宋体"/>
          <w:color w:val="auto"/>
          <w:highlight w:val="none"/>
        </w:rPr>
      </w:pPr>
    </w:p>
    <w:p w14:paraId="4E3D2AC7">
      <w:pPr>
        <w:pStyle w:val="19"/>
        <w:shd w:val="clear"/>
        <w:rPr>
          <w:rFonts w:ascii="宋体" w:hAnsi="宋体" w:cs="宋体"/>
          <w:color w:val="auto"/>
          <w:highlight w:val="none"/>
        </w:rPr>
      </w:pPr>
    </w:p>
    <w:p w14:paraId="17E66E5E">
      <w:pPr>
        <w:pStyle w:val="19"/>
        <w:shd w:val="clear"/>
        <w:rPr>
          <w:rFonts w:ascii="宋体" w:hAnsi="宋体" w:cs="宋体"/>
          <w:color w:val="auto"/>
          <w:highlight w:val="none"/>
        </w:rPr>
      </w:pPr>
    </w:p>
    <w:p w14:paraId="2295AE87">
      <w:pPr>
        <w:pStyle w:val="19"/>
        <w:shd w:val="clear"/>
        <w:rPr>
          <w:rFonts w:ascii="宋体" w:hAnsi="宋体" w:cs="宋体"/>
          <w:color w:val="auto"/>
          <w:highlight w:val="none"/>
        </w:rPr>
      </w:pPr>
    </w:p>
    <w:p w14:paraId="525FBD53">
      <w:pPr>
        <w:pStyle w:val="19"/>
        <w:shd w:val="clear"/>
        <w:rPr>
          <w:rFonts w:ascii="宋体" w:hAnsi="宋体" w:cs="宋体"/>
          <w:color w:val="auto"/>
          <w:highlight w:val="none"/>
        </w:rPr>
      </w:pPr>
    </w:p>
    <w:p w14:paraId="42484B4A">
      <w:pPr>
        <w:pStyle w:val="19"/>
        <w:shd w:val="clear"/>
        <w:rPr>
          <w:rFonts w:ascii="宋体" w:hAnsi="宋体" w:cs="宋体"/>
          <w:color w:val="auto"/>
          <w:highlight w:val="none"/>
        </w:rPr>
      </w:pPr>
    </w:p>
    <w:p w14:paraId="74582A31">
      <w:pPr>
        <w:shd w:val="clear"/>
        <w:spacing w:line="320" w:lineRule="exact"/>
        <w:jc w:val="center"/>
        <w:rPr>
          <w:rFonts w:ascii="宋体" w:hAnsi="宋体" w:cs="宋体"/>
          <w:b/>
          <w:color w:val="auto"/>
          <w:highlight w:val="none"/>
        </w:rPr>
      </w:pPr>
      <w:r>
        <w:rPr>
          <w:rFonts w:hint="eastAsia" w:ascii="宋体" w:hAnsi="宋体" w:cs="宋体"/>
          <w:color w:val="auto"/>
          <w:highlight w:val="none"/>
        </w:rPr>
        <w:br w:type="page"/>
      </w:r>
      <w:r>
        <w:rPr>
          <w:rFonts w:hint="eastAsia" w:ascii="宋体" w:hAnsi="宋体" w:cs="宋体"/>
          <w:b/>
          <w:color w:val="auto"/>
          <w:sz w:val="32"/>
          <w:szCs w:val="32"/>
          <w:highlight w:val="none"/>
        </w:rPr>
        <w:t>七、联合体协议书</w:t>
      </w:r>
    </w:p>
    <w:p w14:paraId="338E2903">
      <w:pPr>
        <w:shd w:val="clear"/>
        <w:rPr>
          <w:rFonts w:ascii="宋体" w:hAnsi="宋体" w:cs="宋体"/>
          <w:color w:val="auto"/>
          <w:highlight w:val="none"/>
        </w:rPr>
      </w:pPr>
    </w:p>
    <w:p w14:paraId="72272964">
      <w:pPr>
        <w:shd w:val="clear"/>
        <w:rPr>
          <w:rFonts w:ascii="宋体" w:hAnsi="宋体" w:cs="宋体"/>
          <w:color w:val="auto"/>
          <w:highlight w:val="none"/>
        </w:rPr>
      </w:pPr>
    </w:p>
    <w:p w14:paraId="06934B7E">
      <w:pPr>
        <w:pStyle w:val="7"/>
        <w:shd w:val="clear"/>
        <w:overflowPunct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（所有成员单位名称）自愿组成</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（联合体名称）联合体，共同参加</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（项目名称）采购项目</w:t>
      </w:r>
      <w:r>
        <w:rPr>
          <w:rFonts w:hint="eastAsia" w:ascii="宋体" w:hAnsi="宋体" w:cs="宋体"/>
          <w:color w:val="auto"/>
          <w:sz w:val="24"/>
          <w:szCs w:val="24"/>
          <w:highlight w:val="none"/>
          <w:lang w:val="en-US" w:eastAsia="zh-CN"/>
        </w:rPr>
        <w:t>响应</w:t>
      </w:r>
      <w:r>
        <w:rPr>
          <w:rFonts w:hint="eastAsia" w:ascii="宋体" w:hAnsi="宋体" w:cs="宋体"/>
          <w:color w:val="auto"/>
          <w:sz w:val="24"/>
          <w:szCs w:val="24"/>
          <w:highlight w:val="none"/>
        </w:rPr>
        <w:t>。现就联合体</w:t>
      </w:r>
      <w:r>
        <w:rPr>
          <w:rFonts w:hint="eastAsia" w:ascii="宋体" w:hAnsi="宋体" w:cs="宋体"/>
          <w:color w:val="auto"/>
          <w:sz w:val="24"/>
          <w:szCs w:val="24"/>
          <w:highlight w:val="none"/>
          <w:lang w:val="en-US" w:eastAsia="zh-CN"/>
        </w:rPr>
        <w:t>响应</w:t>
      </w:r>
      <w:r>
        <w:rPr>
          <w:rFonts w:hint="eastAsia" w:ascii="宋体" w:hAnsi="宋体" w:cs="宋体"/>
          <w:color w:val="auto"/>
          <w:sz w:val="24"/>
          <w:szCs w:val="24"/>
          <w:highlight w:val="none"/>
        </w:rPr>
        <w:t>事宜订立如下协议：</w:t>
      </w:r>
    </w:p>
    <w:p w14:paraId="720B3D6C">
      <w:pPr>
        <w:pStyle w:val="7"/>
        <w:shd w:val="clear"/>
        <w:overflowPunct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（某成员单位名称）为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（联合体名称）牵头人。</w:t>
      </w:r>
    </w:p>
    <w:p w14:paraId="7B22A553">
      <w:pPr>
        <w:pStyle w:val="7"/>
        <w:shd w:val="clear"/>
        <w:overflowPunct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2.联合体各成员授权牵头人代表联合体参加</w:t>
      </w:r>
      <w:r>
        <w:rPr>
          <w:rFonts w:hint="eastAsia" w:ascii="宋体" w:hAnsi="宋体" w:cs="宋体"/>
          <w:color w:val="auto"/>
          <w:sz w:val="24"/>
          <w:szCs w:val="24"/>
          <w:highlight w:val="none"/>
          <w:lang w:val="en-US" w:eastAsia="zh-CN"/>
        </w:rPr>
        <w:t>响应</w:t>
      </w:r>
      <w:r>
        <w:rPr>
          <w:rFonts w:hint="eastAsia" w:ascii="宋体" w:hAnsi="宋体" w:cs="宋体"/>
          <w:color w:val="auto"/>
          <w:sz w:val="24"/>
          <w:szCs w:val="24"/>
          <w:highlight w:val="none"/>
        </w:rPr>
        <w:t>活动，签署文件及对文件的盖章，提交和接收相关的资料、信息及指示，进行合同谈判活动，负责合同实施阶段的组织和协调工作，以及处理与本</w:t>
      </w:r>
      <w:r>
        <w:rPr>
          <w:rFonts w:hint="eastAsia" w:ascii="宋体" w:hAnsi="宋体" w:cs="宋体"/>
          <w:color w:val="auto"/>
          <w:sz w:val="24"/>
          <w:szCs w:val="24"/>
          <w:highlight w:val="none"/>
          <w:lang w:val="en-US" w:eastAsia="zh-CN"/>
        </w:rPr>
        <w:t>响应</w:t>
      </w:r>
      <w:r>
        <w:rPr>
          <w:rFonts w:hint="eastAsia" w:ascii="宋体" w:hAnsi="宋体" w:cs="宋体"/>
          <w:color w:val="auto"/>
          <w:sz w:val="24"/>
          <w:szCs w:val="24"/>
          <w:highlight w:val="none"/>
        </w:rPr>
        <w:t>项目有关的一切事宜。</w:t>
      </w:r>
    </w:p>
    <w:p w14:paraId="7D5C9C0D">
      <w:pPr>
        <w:pStyle w:val="7"/>
        <w:shd w:val="clear"/>
        <w:overflowPunct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3.联合体牵头人在本项目中签署和盖章的一切文件和处理的一切事宜，联合体各成员均予以承认。联合体各成员将严格按照</w:t>
      </w:r>
      <w:r>
        <w:rPr>
          <w:rFonts w:hint="eastAsia" w:ascii="宋体" w:hAnsi="宋体" w:cs="宋体"/>
          <w:color w:val="auto"/>
          <w:sz w:val="24"/>
          <w:szCs w:val="24"/>
          <w:highlight w:val="none"/>
          <w:lang w:val="en-US" w:eastAsia="zh-CN"/>
        </w:rPr>
        <w:t>竞争性</w:t>
      </w:r>
      <w:r>
        <w:rPr>
          <w:rFonts w:hint="eastAsia" w:ascii="宋体" w:hAnsi="宋体" w:cs="宋体"/>
          <w:color w:val="auto"/>
          <w:sz w:val="24"/>
          <w:szCs w:val="24"/>
          <w:highlight w:val="none"/>
        </w:rPr>
        <w:t>谈判文件、响应文件和合同的要求全面履行义务，并向采购人承担连带责任。</w:t>
      </w:r>
    </w:p>
    <w:p w14:paraId="405D586F">
      <w:pPr>
        <w:pStyle w:val="7"/>
        <w:shd w:val="clear"/>
        <w:overflowPunct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4.联合体各成员单位内部的职责分工如下：</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14:paraId="46517F12">
      <w:pPr>
        <w:pStyle w:val="7"/>
        <w:shd w:val="clear"/>
        <w:overflowPunct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5.本</w:t>
      </w:r>
      <w:r>
        <w:rPr>
          <w:rFonts w:hint="eastAsia" w:ascii="宋体" w:hAnsi="宋体" w:cs="宋体"/>
          <w:color w:val="auto"/>
          <w:spacing w:val="-6"/>
          <w:sz w:val="24"/>
          <w:szCs w:val="24"/>
          <w:highlight w:val="none"/>
        </w:rPr>
        <w:t>协议书自所有成员单位法定代表人或者其委托代理人签字或者盖单位章之日起生效，合同履行完毕后自动失效。</w:t>
      </w:r>
    </w:p>
    <w:p w14:paraId="7D21C407">
      <w:pPr>
        <w:pStyle w:val="7"/>
        <w:shd w:val="clear"/>
        <w:overflowPunct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6.本协议书一式</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rPr>
        <w:t>份，联合体成员和采购人各执一份。</w:t>
      </w:r>
    </w:p>
    <w:p w14:paraId="367D8306">
      <w:pPr>
        <w:pStyle w:val="7"/>
        <w:shd w:val="clear"/>
        <w:overflowPunct w:val="0"/>
        <w:ind w:firstLine="480" w:firstLineChars="200"/>
        <w:rPr>
          <w:rFonts w:ascii="宋体" w:hAnsi="宋体" w:cs="宋体"/>
          <w:color w:val="auto"/>
          <w:sz w:val="24"/>
          <w:highlight w:val="none"/>
        </w:rPr>
      </w:pPr>
      <w:r>
        <w:rPr>
          <w:rFonts w:hint="eastAsia" w:ascii="宋体" w:hAnsi="宋体" w:cs="宋体"/>
          <w:color w:val="auto"/>
          <w:sz w:val="24"/>
          <w:szCs w:val="24"/>
          <w:highlight w:val="none"/>
        </w:rPr>
        <w:t>注：</w:t>
      </w:r>
      <w:r>
        <w:rPr>
          <w:rFonts w:hint="eastAsia" w:ascii="宋体" w:hAnsi="宋体" w:cs="宋体"/>
          <w:color w:val="auto"/>
          <w:sz w:val="24"/>
          <w:highlight w:val="none"/>
        </w:rPr>
        <w:t>本协议书由法定代表人签字的，应附法定代表人身份证明；本协议书由委托代理人签字的，应附法定代表人授权委托书。</w:t>
      </w:r>
    </w:p>
    <w:p w14:paraId="5CF31933">
      <w:pPr>
        <w:pStyle w:val="7"/>
        <w:shd w:val="clear"/>
        <w:overflowPunct w:val="0"/>
        <w:ind w:firstLine="480" w:firstLineChars="200"/>
        <w:rPr>
          <w:rFonts w:ascii="宋体" w:hAnsi="宋体" w:cs="宋体"/>
          <w:color w:val="auto"/>
          <w:sz w:val="24"/>
          <w:highlight w:val="none"/>
        </w:rPr>
      </w:pPr>
    </w:p>
    <w:p w14:paraId="05DEB439">
      <w:pPr>
        <w:pStyle w:val="7"/>
        <w:shd w:val="clear"/>
        <w:overflowPunct w:val="0"/>
        <w:ind w:firstLine="480" w:firstLineChars="200"/>
        <w:rPr>
          <w:rFonts w:ascii="宋体" w:hAnsi="宋体" w:cs="宋体"/>
          <w:color w:val="auto"/>
          <w:sz w:val="24"/>
          <w:highlight w:val="none"/>
        </w:rPr>
      </w:pPr>
      <w:r>
        <w:rPr>
          <w:rFonts w:hint="eastAsia" w:ascii="宋体" w:hAnsi="宋体" w:cs="宋体"/>
          <w:color w:val="auto"/>
          <w:sz w:val="24"/>
          <w:highlight w:val="none"/>
        </w:rPr>
        <w:t>牵头人名称：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（公章/电子签章）</w:t>
      </w:r>
    </w:p>
    <w:p w14:paraId="43780161">
      <w:pPr>
        <w:pStyle w:val="7"/>
        <w:shd w:val="clear"/>
        <w:overflowPunct w:val="0"/>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法定代表人或其委托代理人：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（签字或盖章）</w:t>
      </w:r>
    </w:p>
    <w:p w14:paraId="01BCB029">
      <w:pPr>
        <w:pStyle w:val="7"/>
        <w:shd w:val="clear"/>
        <w:overflowPunct w:val="0"/>
        <w:ind w:firstLine="480" w:firstLineChars="200"/>
        <w:rPr>
          <w:rFonts w:ascii="宋体" w:hAnsi="宋体" w:cs="宋体"/>
          <w:color w:val="auto"/>
          <w:sz w:val="24"/>
          <w:highlight w:val="none"/>
        </w:rPr>
      </w:pPr>
    </w:p>
    <w:p w14:paraId="3ABF05E3">
      <w:pPr>
        <w:pStyle w:val="7"/>
        <w:shd w:val="clear"/>
        <w:overflowPunct w:val="0"/>
        <w:ind w:firstLine="480" w:firstLineChars="200"/>
        <w:rPr>
          <w:rFonts w:ascii="宋体" w:hAnsi="宋体" w:cs="宋体"/>
          <w:color w:val="auto"/>
          <w:sz w:val="24"/>
          <w:highlight w:val="none"/>
        </w:rPr>
      </w:pPr>
      <w:r>
        <w:rPr>
          <w:rFonts w:hint="eastAsia" w:ascii="宋体" w:hAnsi="宋体" w:cs="宋体"/>
          <w:color w:val="auto"/>
          <w:sz w:val="24"/>
          <w:highlight w:val="none"/>
        </w:rPr>
        <w:t>成员一名称：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（公章/电子签章）</w:t>
      </w:r>
    </w:p>
    <w:p w14:paraId="23DCFF89">
      <w:pPr>
        <w:pStyle w:val="7"/>
        <w:shd w:val="clear"/>
        <w:overflowPunct w:val="0"/>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法定代表人或其委托代理人：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（签字或盖章）</w:t>
      </w:r>
    </w:p>
    <w:p w14:paraId="69620234">
      <w:pPr>
        <w:pStyle w:val="7"/>
        <w:shd w:val="clear"/>
        <w:overflowPunct w:val="0"/>
        <w:ind w:firstLine="480" w:firstLineChars="200"/>
        <w:rPr>
          <w:rFonts w:ascii="宋体" w:hAnsi="宋体" w:cs="宋体"/>
          <w:color w:val="auto"/>
          <w:sz w:val="24"/>
          <w:highlight w:val="none"/>
        </w:rPr>
      </w:pPr>
    </w:p>
    <w:p w14:paraId="5A7422FC">
      <w:pPr>
        <w:pStyle w:val="7"/>
        <w:shd w:val="clear"/>
        <w:overflowPunct w:val="0"/>
        <w:ind w:firstLine="480" w:firstLineChars="200"/>
        <w:rPr>
          <w:rFonts w:ascii="宋体" w:hAnsi="宋体" w:cs="宋体"/>
          <w:color w:val="auto"/>
          <w:sz w:val="24"/>
          <w:highlight w:val="none"/>
        </w:rPr>
      </w:pPr>
      <w:r>
        <w:rPr>
          <w:rFonts w:hint="eastAsia" w:ascii="宋体" w:hAnsi="宋体" w:cs="宋体"/>
          <w:color w:val="auto"/>
          <w:sz w:val="24"/>
          <w:highlight w:val="none"/>
        </w:rPr>
        <w:t>成员二名称：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（公章/电子签章）</w:t>
      </w:r>
    </w:p>
    <w:p w14:paraId="51FDD744">
      <w:pPr>
        <w:pStyle w:val="7"/>
        <w:shd w:val="clear"/>
        <w:overflowPunct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法定代表人或其委托代理人：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（签字或盖章）</w:t>
      </w:r>
    </w:p>
    <w:p w14:paraId="39B95E5C">
      <w:pPr>
        <w:pStyle w:val="7"/>
        <w:shd w:val="clear"/>
        <w:overflowPunct w:val="0"/>
        <w:spacing w:line="360" w:lineRule="auto"/>
        <w:ind w:firstLine="480" w:firstLineChars="200"/>
        <w:rPr>
          <w:rFonts w:ascii="宋体" w:hAnsi="宋体" w:cs="宋体"/>
          <w:color w:val="auto"/>
          <w:sz w:val="24"/>
          <w:highlight w:val="none"/>
        </w:rPr>
      </w:pPr>
    </w:p>
    <w:p w14:paraId="11D68D39">
      <w:pPr>
        <w:pStyle w:val="7"/>
        <w:shd w:val="clear"/>
        <w:overflowPunct w:val="0"/>
        <w:spacing w:line="360" w:lineRule="auto"/>
        <w:ind w:firstLine="480" w:firstLineChars="200"/>
        <w:rPr>
          <w:rFonts w:ascii="宋体" w:hAnsi="宋体" w:cs="宋体"/>
          <w:color w:val="auto"/>
          <w:sz w:val="24"/>
          <w:highlight w:val="none"/>
        </w:rPr>
      </w:pPr>
    </w:p>
    <w:p w14:paraId="7179949A">
      <w:pPr>
        <w:pStyle w:val="19"/>
        <w:shd w:val="clear"/>
        <w:rPr>
          <w:rFonts w:ascii="宋体" w:hAnsi="宋体" w:cs="宋体"/>
          <w:color w:val="auto"/>
          <w:sz w:val="24"/>
          <w:szCs w:val="24"/>
          <w:highlight w:val="none"/>
        </w:rPr>
      </w:pPr>
      <w:r>
        <w:rPr>
          <w:rFonts w:hint="eastAsia" w:ascii="宋体" w:hAnsi="宋体" w:cs="宋体"/>
          <w:b/>
          <w:color w:val="auto"/>
          <w:sz w:val="32"/>
          <w:szCs w:val="32"/>
          <w:highlight w:val="none"/>
        </w:rPr>
        <w:br w:type="page"/>
      </w:r>
    </w:p>
    <w:p w14:paraId="45AE6078">
      <w:pPr>
        <w:pStyle w:val="19"/>
        <w:shd w:val="clear"/>
        <w:rPr>
          <w:rFonts w:ascii="宋体" w:hAnsi="宋体" w:cs="宋体"/>
          <w:color w:val="auto"/>
          <w:sz w:val="24"/>
          <w:szCs w:val="24"/>
          <w:highlight w:val="none"/>
        </w:rPr>
      </w:pPr>
    </w:p>
    <w:p w14:paraId="7F74D6B0">
      <w:pPr>
        <w:pStyle w:val="19"/>
        <w:shd w:val="clear"/>
        <w:rPr>
          <w:rFonts w:ascii="宋体" w:hAnsi="宋体" w:cs="宋体"/>
          <w:b/>
          <w:color w:val="auto"/>
          <w:sz w:val="28"/>
          <w:szCs w:val="28"/>
          <w:highlight w:val="none"/>
        </w:rPr>
      </w:pPr>
      <w:r>
        <w:rPr>
          <w:rFonts w:hint="eastAsia" w:ascii="宋体" w:hAnsi="宋体" w:cs="宋体"/>
          <w:b/>
          <w:color w:val="auto"/>
          <w:sz w:val="28"/>
          <w:szCs w:val="28"/>
          <w:highlight w:val="none"/>
        </w:rPr>
        <w:t>八、除</w:t>
      </w:r>
      <w:r>
        <w:rPr>
          <w:rFonts w:hint="eastAsia" w:ascii="宋体" w:hAnsi="宋体" w:cs="宋体"/>
          <w:b/>
          <w:color w:val="auto"/>
          <w:sz w:val="28"/>
          <w:szCs w:val="28"/>
          <w:highlight w:val="none"/>
          <w:lang w:val="en-US" w:eastAsia="zh-CN"/>
        </w:rPr>
        <w:t>竞争性</w:t>
      </w:r>
      <w:r>
        <w:rPr>
          <w:rFonts w:hint="eastAsia" w:ascii="宋体" w:hAnsi="宋体" w:cs="宋体"/>
          <w:b/>
          <w:color w:val="auto"/>
          <w:sz w:val="28"/>
          <w:szCs w:val="28"/>
          <w:highlight w:val="none"/>
        </w:rPr>
        <w:t>谈判文件规定必须提供以外，供应商认为需要提供的其他证明材料</w:t>
      </w:r>
    </w:p>
    <w:p w14:paraId="058180AD">
      <w:pPr>
        <w:pStyle w:val="19"/>
        <w:shd w:val="clear"/>
        <w:rPr>
          <w:rFonts w:ascii="宋体" w:hAnsi="宋体" w:cs="宋体"/>
          <w:color w:val="auto"/>
          <w:sz w:val="24"/>
          <w:szCs w:val="24"/>
          <w:highlight w:val="none"/>
        </w:rPr>
      </w:pPr>
    </w:p>
    <w:p w14:paraId="61848A87">
      <w:pPr>
        <w:pStyle w:val="19"/>
        <w:shd w:val="clear"/>
        <w:rPr>
          <w:rFonts w:ascii="宋体" w:hAnsi="宋体" w:cs="宋体"/>
          <w:color w:val="auto"/>
          <w:sz w:val="24"/>
          <w:szCs w:val="24"/>
          <w:highlight w:val="none"/>
        </w:rPr>
      </w:pPr>
    </w:p>
    <w:p w14:paraId="1D53F5D6">
      <w:pPr>
        <w:shd w:val="clear"/>
        <w:spacing w:line="360" w:lineRule="auto"/>
        <w:rPr>
          <w:rFonts w:ascii="宋体" w:hAnsi="宋体" w:cs="宋体"/>
          <w:color w:val="auto"/>
          <w:sz w:val="24"/>
          <w:highlight w:val="none"/>
        </w:rPr>
      </w:pPr>
    </w:p>
    <w:p w14:paraId="60F9F56A">
      <w:pPr>
        <w:shd w:val="clear"/>
        <w:spacing w:line="276" w:lineRule="auto"/>
        <w:ind w:firstLine="4320" w:firstLineChars="1800"/>
        <w:rPr>
          <w:rFonts w:ascii="宋体" w:hAnsi="宋体" w:cs="宋体"/>
          <w:color w:val="auto"/>
          <w:sz w:val="24"/>
          <w:highlight w:val="none"/>
        </w:rPr>
      </w:pPr>
    </w:p>
    <w:p w14:paraId="23C5ECA3">
      <w:pPr>
        <w:shd w:val="clear"/>
        <w:spacing w:line="276" w:lineRule="auto"/>
        <w:ind w:firstLine="4320" w:firstLineChars="1800"/>
        <w:rPr>
          <w:rFonts w:ascii="宋体" w:hAnsi="宋体" w:cs="宋体"/>
          <w:color w:val="auto"/>
          <w:sz w:val="24"/>
          <w:highlight w:val="none"/>
        </w:rPr>
      </w:pPr>
      <w:r>
        <w:rPr>
          <w:rFonts w:hint="eastAsia" w:ascii="宋体" w:hAnsi="宋体" w:cs="宋体"/>
          <w:color w:val="auto"/>
          <w:sz w:val="24"/>
          <w:highlight w:val="none"/>
        </w:rPr>
        <w:t>供应商名称（电子签章）：</w:t>
      </w:r>
    </w:p>
    <w:p w14:paraId="275802EF">
      <w:pPr>
        <w:shd w:val="clear"/>
        <w:spacing w:line="276" w:lineRule="auto"/>
        <w:ind w:firstLine="4320" w:firstLineChars="1800"/>
        <w:rPr>
          <w:rFonts w:ascii="宋体" w:hAnsi="宋体" w:cs="宋体"/>
          <w:color w:val="auto"/>
          <w:sz w:val="24"/>
          <w:highlight w:val="none"/>
        </w:rPr>
      </w:pPr>
      <w:r>
        <w:rPr>
          <w:rFonts w:hint="eastAsia" w:ascii="宋体" w:hAnsi="宋体" w:cs="宋体"/>
          <w:color w:val="auto"/>
          <w:sz w:val="24"/>
          <w:highlight w:val="none"/>
        </w:rPr>
        <w:t>日期：  年  月   日</w:t>
      </w:r>
    </w:p>
    <w:p w14:paraId="4BBB0DE0">
      <w:pPr>
        <w:shd w:val="clear"/>
        <w:spacing w:line="360" w:lineRule="auto"/>
        <w:rPr>
          <w:rFonts w:ascii="宋体" w:hAnsi="宋体" w:cs="宋体"/>
          <w:color w:val="auto"/>
          <w:sz w:val="24"/>
          <w:highlight w:val="none"/>
        </w:rPr>
      </w:pPr>
    </w:p>
    <w:p w14:paraId="0E91AA50">
      <w:pPr>
        <w:pStyle w:val="19"/>
        <w:shd w:val="clear"/>
        <w:rPr>
          <w:rFonts w:ascii="宋体" w:hAnsi="宋体" w:cs="宋体"/>
          <w:color w:val="auto"/>
          <w:sz w:val="24"/>
          <w:szCs w:val="24"/>
          <w:highlight w:val="none"/>
        </w:rPr>
      </w:pPr>
    </w:p>
    <w:p w14:paraId="348AF8FC">
      <w:pPr>
        <w:pStyle w:val="19"/>
        <w:shd w:val="clear"/>
        <w:rPr>
          <w:rFonts w:ascii="宋体" w:hAnsi="宋体" w:cs="宋体"/>
          <w:color w:val="auto"/>
          <w:sz w:val="24"/>
          <w:szCs w:val="24"/>
          <w:highlight w:val="none"/>
        </w:rPr>
      </w:pPr>
    </w:p>
    <w:p w14:paraId="5C6A7E5F">
      <w:pPr>
        <w:pStyle w:val="19"/>
        <w:shd w:val="clear"/>
        <w:rPr>
          <w:rFonts w:ascii="宋体" w:hAnsi="宋体" w:cs="宋体"/>
          <w:color w:val="auto"/>
          <w:sz w:val="24"/>
          <w:szCs w:val="24"/>
          <w:highlight w:val="none"/>
        </w:rPr>
      </w:pPr>
    </w:p>
    <w:p w14:paraId="3A4369B7">
      <w:pPr>
        <w:pStyle w:val="19"/>
        <w:shd w:val="clear"/>
        <w:rPr>
          <w:rFonts w:ascii="宋体" w:hAnsi="宋体" w:cs="宋体"/>
          <w:color w:val="auto"/>
          <w:sz w:val="24"/>
          <w:szCs w:val="24"/>
          <w:highlight w:val="none"/>
        </w:rPr>
      </w:pPr>
    </w:p>
    <w:p w14:paraId="7670F702">
      <w:pPr>
        <w:pStyle w:val="19"/>
        <w:shd w:val="clear"/>
        <w:rPr>
          <w:rFonts w:ascii="宋体" w:hAnsi="宋体" w:cs="宋体"/>
          <w:color w:val="auto"/>
          <w:highlight w:val="none"/>
        </w:rPr>
      </w:pPr>
    </w:p>
    <w:p w14:paraId="2C21AC91">
      <w:pPr>
        <w:pStyle w:val="19"/>
        <w:shd w:val="clear"/>
        <w:rPr>
          <w:rFonts w:ascii="宋体" w:hAnsi="宋体" w:cs="宋体"/>
          <w:color w:val="auto"/>
          <w:highlight w:val="none"/>
        </w:rPr>
      </w:pPr>
    </w:p>
    <w:p w14:paraId="1FF5AFAE">
      <w:pPr>
        <w:pStyle w:val="3"/>
        <w:shd w:val="clear"/>
        <w:rPr>
          <w:rFonts w:ascii="宋体" w:hAnsi="宋体" w:cs="宋体"/>
          <w:color w:val="auto"/>
          <w:highlight w:val="none"/>
        </w:rPr>
      </w:pPr>
      <w:r>
        <w:rPr>
          <w:rFonts w:hint="eastAsia" w:ascii="宋体" w:hAnsi="宋体" w:cs="宋体"/>
          <w:color w:val="auto"/>
          <w:highlight w:val="none"/>
        </w:rPr>
        <w:br w:type="page"/>
      </w:r>
      <w:bookmarkStart w:id="69" w:name="_Toc14506"/>
      <w:r>
        <w:rPr>
          <w:rFonts w:hint="eastAsia" w:ascii="宋体" w:hAnsi="宋体" w:cs="宋体"/>
          <w:color w:val="auto"/>
          <w:highlight w:val="none"/>
        </w:rPr>
        <w:t>二、商务技术文件格式</w:t>
      </w:r>
      <w:bookmarkEnd w:id="69"/>
      <w:r>
        <w:rPr>
          <w:rFonts w:hint="eastAsia" w:ascii="宋体" w:hAnsi="宋体" w:cs="宋体"/>
          <w:color w:val="auto"/>
          <w:highlight w:val="none"/>
        </w:rPr>
        <w:t xml:space="preserve"> </w:t>
      </w:r>
    </w:p>
    <w:p w14:paraId="3B7F01A4">
      <w:pPr>
        <w:shd w:val="clear"/>
        <w:snapToGrid w:val="0"/>
        <w:spacing w:before="156" w:beforeLines="50" w:after="50" w:line="360" w:lineRule="auto"/>
        <w:jc w:val="left"/>
        <w:rPr>
          <w:rFonts w:ascii="宋体" w:hAnsi="宋体" w:cs="宋体"/>
          <w:b/>
          <w:color w:val="auto"/>
          <w:sz w:val="32"/>
          <w:szCs w:val="32"/>
          <w:highlight w:val="none"/>
        </w:rPr>
      </w:pPr>
      <w:r>
        <w:rPr>
          <w:rFonts w:hint="eastAsia" w:ascii="宋体" w:hAnsi="宋体" w:cs="宋体"/>
          <w:b/>
          <w:color w:val="auto"/>
          <w:sz w:val="32"/>
          <w:szCs w:val="32"/>
          <w:highlight w:val="none"/>
        </w:rPr>
        <w:t>1.商务技术文件封面格式</w:t>
      </w:r>
    </w:p>
    <w:p w14:paraId="0D8C62F5">
      <w:pPr>
        <w:shd w:val="clear"/>
        <w:snapToGrid w:val="0"/>
        <w:spacing w:before="156" w:beforeLines="50" w:after="50"/>
        <w:rPr>
          <w:rFonts w:ascii="宋体" w:hAnsi="宋体" w:cs="宋体"/>
          <w:color w:val="auto"/>
          <w:sz w:val="24"/>
          <w:highlight w:val="none"/>
        </w:rPr>
      </w:pPr>
      <w:r>
        <w:rPr>
          <w:rFonts w:hint="eastAsia" w:ascii="宋体" w:hAnsi="宋体" w:cs="宋体"/>
          <w:color w:val="auto"/>
          <w:sz w:val="24"/>
          <w:highlight w:val="none"/>
        </w:rPr>
        <w:t xml:space="preserve">                                                </w:t>
      </w:r>
    </w:p>
    <w:p w14:paraId="0D904A7D">
      <w:pPr>
        <w:shd w:val="clear"/>
        <w:snapToGrid w:val="0"/>
        <w:spacing w:before="156" w:beforeLines="50" w:after="50"/>
        <w:jc w:val="right"/>
        <w:rPr>
          <w:rFonts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sz w:val="24"/>
          <w:highlight w:val="none"/>
        </w:rPr>
        <w:t>电子响应文件</w:t>
      </w:r>
    </w:p>
    <w:p w14:paraId="0A55FC8E">
      <w:pPr>
        <w:shd w:val="clear"/>
        <w:snapToGrid w:val="0"/>
        <w:spacing w:before="156" w:beforeLines="50" w:after="50"/>
        <w:rPr>
          <w:rFonts w:ascii="宋体" w:hAnsi="宋体" w:cs="宋体"/>
          <w:color w:val="auto"/>
          <w:sz w:val="24"/>
          <w:szCs w:val="20"/>
          <w:highlight w:val="none"/>
        </w:rPr>
      </w:pPr>
    </w:p>
    <w:p w14:paraId="5A80800F">
      <w:pPr>
        <w:shd w:val="clear"/>
        <w:snapToGrid w:val="0"/>
        <w:spacing w:before="156" w:beforeLines="50" w:after="50"/>
        <w:rPr>
          <w:rFonts w:ascii="宋体" w:hAnsi="宋体" w:cs="宋体"/>
          <w:color w:val="auto"/>
          <w:sz w:val="24"/>
          <w:szCs w:val="20"/>
          <w:highlight w:val="none"/>
        </w:rPr>
      </w:pPr>
    </w:p>
    <w:p w14:paraId="7565DEF2">
      <w:pPr>
        <w:shd w:val="clear"/>
        <w:snapToGrid w:val="0"/>
        <w:spacing w:before="156" w:beforeLines="50" w:after="50"/>
        <w:rPr>
          <w:rFonts w:ascii="宋体" w:hAnsi="宋体" w:cs="宋体"/>
          <w:color w:val="auto"/>
          <w:sz w:val="24"/>
          <w:szCs w:val="20"/>
          <w:highlight w:val="none"/>
        </w:rPr>
      </w:pPr>
    </w:p>
    <w:p w14:paraId="50F934D4">
      <w:pPr>
        <w:shd w:val="clear"/>
        <w:snapToGrid w:val="0"/>
        <w:spacing w:before="156" w:beforeLines="50" w:after="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商  务  技  术  文  件</w:t>
      </w:r>
    </w:p>
    <w:p w14:paraId="53DA1334">
      <w:pPr>
        <w:shd w:val="clear"/>
        <w:snapToGrid w:val="0"/>
        <w:spacing w:before="156" w:beforeLines="50" w:after="50"/>
        <w:rPr>
          <w:rFonts w:ascii="宋体" w:hAnsi="宋体" w:cs="宋体"/>
          <w:bCs/>
          <w:color w:val="auto"/>
          <w:sz w:val="24"/>
          <w:szCs w:val="20"/>
          <w:highlight w:val="none"/>
        </w:rPr>
      </w:pPr>
    </w:p>
    <w:p w14:paraId="33BBB439">
      <w:pPr>
        <w:shd w:val="clear"/>
        <w:snapToGrid w:val="0"/>
        <w:spacing w:before="156" w:beforeLines="50" w:after="50"/>
        <w:rPr>
          <w:rFonts w:ascii="宋体" w:hAnsi="宋体" w:cs="宋体"/>
          <w:bCs/>
          <w:color w:val="auto"/>
          <w:sz w:val="24"/>
          <w:szCs w:val="20"/>
          <w:highlight w:val="none"/>
        </w:rPr>
      </w:pPr>
    </w:p>
    <w:p w14:paraId="169C73A4">
      <w:pPr>
        <w:shd w:val="clear"/>
        <w:snapToGrid w:val="0"/>
        <w:spacing w:before="156" w:beforeLines="50" w:after="50"/>
        <w:rPr>
          <w:rFonts w:ascii="宋体" w:hAnsi="宋体" w:cs="宋体"/>
          <w:bCs/>
          <w:color w:val="auto"/>
          <w:sz w:val="24"/>
          <w:szCs w:val="20"/>
          <w:highlight w:val="none"/>
        </w:rPr>
      </w:pPr>
    </w:p>
    <w:p w14:paraId="69841616">
      <w:pPr>
        <w:shd w:val="clear"/>
        <w:snapToGrid w:val="0"/>
        <w:spacing w:before="156"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项目名称：</w:t>
      </w:r>
    </w:p>
    <w:p w14:paraId="0B8F5BB2">
      <w:pPr>
        <w:shd w:val="clear"/>
        <w:snapToGrid w:val="0"/>
        <w:spacing w:before="156" w:beforeLines="50" w:after="50"/>
        <w:ind w:firstLine="720" w:firstLineChars="225"/>
        <w:rPr>
          <w:rFonts w:ascii="宋体" w:hAnsi="宋体" w:cs="宋体"/>
          <w:bCs/>
          <w:color w:val="auto"/>
          <w:sz w:val="32"/>
          <w:szCs w:val="32"/>
          <w:highlight w:val="none"/>
        </w:rPr>
      </w:pPr>
    </w:p>
    <w:p w14:paraId="421B4868">
      <w:pPr>
        <w:shd w:val="clear"/>
        <w:snapToGrid w:val="0"/>
        <w:spacing w:before="156"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项目编号：</w:t>
      </w:r>
    </w:p>
    <w:p w14:paraId="6CFFF173">
      <w:pPr>
        <w:shd w:val="clear"/>
        <w:snapToGrid w:val="0"/>
        <w:spacing w:before="156" w:beforeLines="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 xml:space="preserve"> </w:t>
      </w:r>
    </w:p>
    <w:p w14:paraId="7B6187C0">
      <w:pPr>
        <w:shd w:val="clear"/>
        <w:snapToGrid w:val="0"/>
        <w:spacing w:before="156"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所</w:t>
      </w:r>
      <w:r>
        <w:rPr>
          <w:rFonts w:hint="eastAsia" w:ascii="宋体" w:hAnsi="宋体" w:cs="宋体"/>
          <w:bCs/>
          <w:color w:val="auto"/>
          <w:sz w:val="32"/>
          <w:szCs w:val="32"/>
          <w:highlight w:val="none"/>
          <w:lang w:val="en-US" w:eastAsia="zh-CN"/>
        </w:rPr>
        <w:t>响应</w:t>
      </w:r>
      <w:r>
        <w:rPr>
          <w:rFonts w:hint="eastAsia" w:ascii="宋体" w:hAnsi="宋体" w:cs="宋体"/>
          <w:bCs/>
          <w:color w:val="auto"/>
          <w:sz w:val="32"/>
          <w:szCs w:val="32"/>
          <w:highlight w:val="none"/>
        </w:rPr>
        <w:t>分标（如有则填写，无分标时填写“无”或者留空）：</w:t>
      </w:r>
    </w:p>
    <w:p w14:paraId="10FE5F2D">
      <w:pPr>
        <w:shd w:val="clear"/>
        <w:snapToGrid w:val="0"/>
        <w:spacing w:before="156" w:beforeLines="50" w:after="50"/>
        <w:ind w:firstLine="720" w:firstLineChars="225"/>
        <w:rPr>
          <w:rFonts w:ascii="宋体" w:hAnsi="宋体" w:cs="宋体"/>
          <w:bCs/>
          <w:color w:val="auto"/>
          <w:sz w:val="32"/>
          <w:szCs w:val="32"/>
          <w:highlight w:val="none"/>
        </w:rPr>
      </w:pPr>
    </w:p>
    <w:p w14:paraId="18D7D251">
      <w:pPr>
        <w:pStyle w:val="7"/>
        <w:shd w:val="clear"/>
        <w:snapToGrid w:val="0"/>
        <w:spacing w:before="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供应商名称：</w:t>
      </w:r>
    </w:p>
    <w:p w14:paraId="4C3E36B5">
      <w:pPr>
        <w:pStyle w:val="7"/>
        <w:shd w:val="clear"/>
        <w:snapToGrid w:val="0"/>
        <w:spacing w:before="50" w:after="50"/>
        <w:ind w:firstLine="1280" w:firstLineChars="400"/>
        <w:rPr>
          <w:rFonts w:ascii="宋体" w:hAnsi="宋体" w:cs="宋体"/>
          <w:bCs/>
          <w:color w:val="auto"/>
          <w:sz w:val="32"/>
          <w:szCs w:val="32"/>
          <w:highlight w:val="none"/>
        </w:rPr>
      </w:pPr>
    </w:p>
    <w:p w14:paraId="7A4576FD">
      <w:pPr>
        <w:shd w:val="clear"/>
        <w:snapToGrid w:val="0"/>
        <w:spacing w:before="156" w:beforeLines="50" w:after="50"/>
        <w:jc w:val="center"/>
        <w:rPr>
          <w:rFonts w:ascii="宋体" w:hAnsi="宋体" w:cs="宋体"/>
          <w:color w:val="auto"/>
          <w:sz w:val="32"/>
          <w:szCs w:val="32"/>
          <w:highlight w:val="none"/>
        </w:rPr>
      </w:pPr>
      <w:r>
        <w:rPr>
          <w:rFonts w:hint="eastAsia" w:ascii="宋体" w:hAnsi="宋体" w:cs="宋体"/>
          <w:color w:val="auto"/>
          <w:sz w:val="32"/>
          <w:szCs w:val="32"/>
          <w:highlight w:val="none"/>
        </w:rPr>
        <w:t>年    月    日</w:t>
      </w:r>
    </w:p>
    <w:p w14:paraId="0124F139">
      <w:pPr>
        <w:shd w:val="clear"/>
        <w:snapToGrid w:val="0"/>
        <w:spacing w:before="156" w:beforeLines="50" w:after="50" w:line="360" w:lineRule="auto"/>
        <w:ind w:left="142"/>
        <w:jc w:val="left"/>
        <w:rPr>
          <w:rFonts w:ascii="宋体" w:hAnsi="宋体" w:cs="宋体"/>
          <w:b/>
          <w:bCs/>
          <w:color w:val="auto"/>
          <w:sz w:val="24"/>
          <w:highlight w:val="none"/>
        </w:rPr>
      </w:pPr>
      <w:r>
        <w:rPr>
          <w:rFonts w:hint="eastAsia" w:ascii="宋体" w:hAnsi="宋体" w:cs="宋体"/>
          <w:color w:val="auto"/>
          <w:sz w:val="24"/>
          <w:highlight w:val="none"/>
        </w:rPr>
        <w:br w:type="page"/>
      </w:r>
      <w:r>
        <w:rPr>
          <w:rFonts w:hint="eastAsia" w:ascii="宋体" w:hAnsi="宋体" w:cs="宋体"/>
          <w:b/>
          <w:bCs/>
          <w:color w:val="auto"/>
          <w:sz w:val="32"/>
          <w:szCs w:val="32"/>
          <w:highlight w:val="none"/>
        </w:rPr>
        <w:t>2.商务技术文件目录</w:t>
      </w:r>
    </w:p>
    <w:p w14:paraId="28A7C41A">
      <w:pPr>
        <w:shd w:val="clear"/>
        <w:snapToGrid w:val="0"/>
        <w:spacing w:before="156" w:beforeLines="50" w:after="50" w:line="360" w:lineRule="auto"/>
        <w:ind w:firstLine="562" w:firstLineChars="200"/>
        <w:rPr>
          <w:rFonts w:ascii="宋体" w:hAnsi="宋体" w:cs="宋体"/>
          <w:b/>
          <w:color w:val="auto"/>
          <w:sz w:val="28"/>
          <w:szCs w:val="28"/>
          <w:highlight w:val="none"/>
        </w:rPr>
      </w:pPr>
      <w:r>
        <w:rPr>
          <w:rFonts w:hint="eastAsia" w:ascii="宋体" w:hAnsi="宋体" w:cs="宋体"/>
          <w:b/>
          <w:color w:val="auto"/>
          <w:sz w:val="28"/>
          <w:szCs w:val="28"/>
          <w:highlight w:val="none"/>
        </w:rPr>
        <w:t>商务文件</w:t>
      </w:r>
    </w:p>
    <w:p w14:paraId="2AD3EDDB">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一、无串通</w:t>
      </w:r>
      <w:r>
        <w:rPr>
          <w:rFonts w:hint="eastAsia" w:ascii="宋体" w:hAnsi="宋体" w:cs="宋体"/>
          <w:color w:val="auto"/>
          <w:kern w:val="0"/>
          <w:sz w:val="24"/>
          <w:highlight w:val="none"/>
          <w:lang w:val="en-US" w:eastAsia="zh-CN"/>
        </w:rPr>
        <w:t>响应</w:t>
      </w:r>
      <w:r>
        <w:rPr>
          <w:rFonts w:hint="eastAsia" w:ascii="宋体" w:hAnsi="宋体" w:cs="宋体"/>
          <w:color w:val="auto"/>
          <w:kern w:val="0"/>
          <w:sz w:val="24"/>
          <w:highlight w:val="none"/>
        </w:rPr>
        <w:t>行为的承诺函……………………………………………………（页码）</w:t>
      </w:r>
    </w:p>
    <w:p w14:paraId="61EFCD25">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二、法定代表人身份证明书及法定代表人有效身份证正反面复印件…（页码）</w:t>
      </w:r>
    </w:p>
    <w:p w14:paraId="6F88670A">
      <w:pPr>
        <w:shd w:val="clea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三、法定代表人授权委托书及委托代理人有效身份证正反面复印件…………（页码）</w:t>
      </w:r>
    </w:p>
    <w:p w14:paraId="775A9DCF">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四、商务条款偏离表…………………………………………………………………（页码）</w:t>
      </w:r>
    </w:p>
    <w:p w14:paraId="4321208C">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五、谈判保证金</w:t>
      </w:r>
      <w:r>
        <w:rPr>
          <w:rFonts w:hint="eastAsia" w:ascii="宋体" w:hAnsi="宋体" w:cs="宋体"/>
          <w:color w:val="auto"/>
          <w:kern w:val="0"/>
          <w:sz w:val="24"/>
          <w:highlight w:val="none"/>
          <w:lang w:val="en-US" w:eastAsia="zh-CN"/>
        </w:rPr>
        <w:t>缴纳</w:t>
      </w:r>
      <w:r>
        <w:rPr>
          <w:rFonts w:hint="eastAsia" w:ascii="宋体" w:hAnsi="宋体" w:cs="宋体"/>
          <w:color w:val="auto"/>
          <w:kern w:val="0"/>
          <w:sz w:val="24"/>
          <w:highlight w:val="none"/>
        </w:rPr>
        <w:t>凭证……………………………………………………………（页码）</w:t>
      </w:r>
    </w:p>
    <w:p w14:paraId="4E7CF658">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六、供应商认为需要提供的其他有关资料…………………………………………（页码）</w:t>
      </w:r>
    </w:p>
    <w:p w14:paraId="2DADD243">
      <w:pPr>
        <w:shd w:val="clear"/>
        <w:snapToGrid w:val="0"/>
        <w:spacing w:before="156" w:beforeLines="50" w:after="50" w:line="360" w:lineRule="auto"/>
        <w:ind w:firstLine="562" w:firstLineChars="200"/>
        <w:rPr>
          <w:rFonts w:ascii="宋体" w:hAnsi="宋体" w:cs="宋体"/>
          <w:b/>
          <w:color w:val="auto"/>
          <w:sz w:val="28"/>
          <w:szCs w:val="28"/>
          <w:highlight w:val="none"/>
        </w:rPr>
      </w:pPr>
      <w:r>
        <w:rPr>
          <w:rFonts w:hint="eastAsia" w:ascii="宋体" w:hAnsi="宋体" w:cs="宋体"/>
          <w:b/>
          <w:color w:val="auto"/>
          <w:sz w:val="28"/>
          <w:szCs w:val="28"/>
          <w:highlight w:val="none"/>
        </w:rPr>
        <w:t>技术文件</w:t>
      </w:r>
    </w:p>
    <w:p w14:paraId="2260E407">
      <w:pPr>
        <w:pStyle w:val="19"/>
        <w:shd w:val="clear"/>
        <w:rPr>
          <w:rFonts w:ascii="宋体" w:hAnsi="宋体" w:cs="宋体"/>
          <w:color w:val="auto"/>
          <w:highlight w:val="none"/>
        </w:rPr>
      </w:pPr>
    </w:p>
    <w:p w14:paraId="2CC9BA23">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一、技术需求偏离表…………………………………………………………………（页码）</w:t>
      </w:r>
    </w:p>
    <w:p w14:paraId="53E373D4">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二、配置清单（均不含报价）………………………………………………………（页码）</w:t>
      </w:r>
    </w:p>
    <w:p w14:paraId="1DB5B4BE">
      <w:pPr>
        <w:pStyle w:val="25"/>
        <w:shd w:val="clear"/>
        <w:ind w:firstLine="0" w:firstLineChars="0"/>
        <w:rPr>
          <w:rFonts w:ascii="宋体" w:hAnsi="宋体" w:cs="宋体"/>
          <w:color w:val="auto"/>
          <w:highlight w:val="none"/>
        </w:rPr>
      </w:pPr>
      <w:r>
        <w:rPr>
          <w:rFonts w:hint="eastAsia" w:ascii="宋体" w:hAnsi="宋体" w:cs="宋体"/>
          <w:color w:val="auto"/>
          <w:kern w:val="0"/>
          <w:sz w:val="24"/>
          <w:highlight w:val="none"/>
        </w:rPr>
        <w:t>三、售后服务方案……………………………………………………………………（页码）</w:t>
      </w:r>
    </w:p>
    <w:p w14:paraId="6CDE4303">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四、项目实施人员一览表……………………………………………………………（页码）</w:t>
      </w:r>
    </w:p>
    <w:p w14:paraId="00F87ED3">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五、供应商认为需要提供的其他有关资料…………………………………………（页码）</w:t>
      </w:r>
    </w:p>
    <w:p w14:paraId="5E2D2A1B">
      <w:pPr>
        <w:pStyle w:val="19"/>
        <w:shd w:val="clear"/>
        <w:rPr>
          <w:rFonts w:ascii="宋体" w:hAnsi="宋体" w:cs="宋体"/>
          <w:color w:val="auto"/>
          <w:highlight w:val="none"/>
        </w:rPr>
      </w:pPr>
    </w:p>
    <w:p w14:paraId="17A8B12F">
      <w:pPr>
        <w:pStyle w:val="19"/>
        <w:shd w:val="clear"/>
        <w:rPr>
          <w:rFonts w:ascii="宋体" w:hAnsi="宋体" w:cs="宋体"/>
          <w:color w:val="auto"/>
          <w:highlight w:val="none"/>
        </w:rPr>
      </w:pPr>
    </w:p>
    <w:p w14:paraId="2C23B96C">
      <w:pPr>
        <w:shd w:val="clear"/>
        <w:snapToGrid w:val="0"/>
        <w:spacing w:before="156" w:beforeLines="50" w:after="50" w:line="360" w:lineRule="auto"/>
        <w:ind w:firstLine="645"/>
        <w:rPr>
          <w:rFonts w:ascii="宋体" w:hAnsi="宋体" w:cs="宋体"/>
          <w:color w:val="auto"/>
          <w:sz w:val="24"/>
          <w:highlight w:val="none"/>
        </w:rPr>
      </w:pPr>
      <w:r>
        <w:rPr>
          <w:rFonts w:hint="eastAsia" w:ascii="宋体" w:hAnsi="宋体" w:cs="宋体"/>
          <w:b/>
          <w:bCs/>
          <w:color w:val="auto"/>
          <w:sz w:val="24"/>
          <w:highlight w:val="none"/>
        </w:rPr>
        <w:t>注：以上目录是编制供应商响应文件的基本格式要求，各供应商可根据自身情况进一步细化</w:t>
      </w:r>
      <w:r>
        <w:rPr>
          <w:rFonts w:hint="eastAsia" w:ascii="宋体" w:hAnsi="宋体" w:cs="宋体"/>
          <w:color w:val="auto"/>
          <w:sz w:val="24"/>
          <w:highlight w:val="none"/>
        </w:rPr>
        <w:t>。</w:t>
      </w:r>
    </w:p>
    <w:p w14:paraId="0E7E1920">
      <w:pPr>
        <w:pStyle w:val="19"/>
        <w:shd w:val="clear"/>
        <w:rPr>
          <w:rFonts w:ascii="宋体" w:hAnsi="宋体" w:cs="宋体"/>
          <w:color w:val="auto"/>
          <w:highlight w:val="none"/>
        </w:rPr>
      </w:pPr>
    </w:p>
    <w:p w14:paraId="10F31530">
      <w:pPr>
        <w:pStyle w:val="19"/>
        <w:shd w:val="clear"/>
        <w:rPr>
          <w:rFonts w:ascii="宋体" w:hAnsi="宋体" w:cs="宋体"/>
          <w:color w:val="auto"/>
          <w:highlight w:val="none"/>
        </w:rPr>
      </w:pPr>
    </w:p>
    <w:p w14:paraId="044A8055">
      <w:pPr>
        <w:pStyle w:val="19"/>
        <w:shd w:val="clear"/>
        <w:rPr>
          <w:rFonts w:ascii="宋体" w:hAnsi="宋体" w:cs="宋体"/>
          <w:color w:val="auto"/>
          <w:highlight w:val="none"/>
        </w:rPr>
      </w:pPr>
    </w:p>
    <w:p w14:paraId="56909C04">
      <w:pPr>
        <w:pStyle w:val="19"/>
        <w:shd w:val="clear"/>
        <w:rPr>
          <w:rFonts w:ascii="宋体" w:hAnsi="宋体" w:cs="宋体"/>
          <w:color w:val="auto"/>
          <w:highlight w:val="none"/>
        </w:rPr>
      </w:pPr>
    </w:p>
    <w:p w14:paraId="611983BA">
      <w:pPr>
        <w:shd w:val="clear"/>
        <w:spacing w:line="520" w:lineRule="exact"/>
        <w:jc w:val="left"/>
        <w:rPr>
          <w:rFonts w:ascii="宋体" w:hAnsi="宋体" w:cs="宋体"/>
          <w:color w:val="auto"/>
          <w:sz w:val="44"/>
          <w:szCs w:val="44"/>
          <w:highlight w:val="none"/>
        </w:rPr>
      </w:pPr>
      <w:r>
        <w:rPr>
          <w:rFonts w:hint="eastAsia" w:ascii="宋体" w:hAnsi="宋体" w:cs="宋体"/>
          <w:color w:val="auto"/>
          <w:sz w:val="44"/>
          <w:szCs w:val="44"/>
          <w:highlight w:val="none"/>
        </w:rPr>
        <w:br w:type="page"/>
      </w:r>
      <w:r>
        <w:rPr>
          <w:rFonts w:hint="eastAsia" w:ascii="宋体" w:hAnsi="宋体" w:cs="宋体"/>
          <w:b/>
          <w:color w:val="auto"/>
          <w:sz w:val="28"/>
          <w:szCs w:val="28"/>
          <w:highlight w:val="none"/>
        </w:rPr>
        <w:t>商务文件</w:t>
      </w:r>
    </w:p>
    <w:p w14:paraId="340D2EB5">
      <w:pPr>
        <w:shd w:val="clear"/>
        <w:spacing w:line="520" w:lineRule="exact"/>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一、无串通</w:t>
      </w:r>
      <w:r>
        <w:rPr>
          <w:rFonts w:hint="eastAsia" w:ascii="宋体" w:hAnsi="宋体" w:cs="宋体"/>
          <w:b/>
          <w:bCs/>
          <w:color w:val="auto"/>
          <w:sz w:val="32"/>
          <w:szCs w:val="32"/>
          <w:highlight w:val="none"/>
          <w:lang w:val="en-US" w:eastAsia="zh-CN"/>
        </w:rPr>
        <w:t>响应</w:t>
      </w:r>
      <w:r>
        <w:rPr>
          <w:rFonts w:hint="eastAsia" w:ascii="宋体" w:hAnsi="宋体" w:cs="宋体"/>
          <w:b/>
          <w:bCs/>
          <w:color w:val="auto"/>
          <w:sz w:val="32"/>
          <w:szCs w:val="32"/>
          <w:highlight w:val="none"/>
        </w:rPr>
        <w:t>行为的承诺函</w:t>
      </w:r>
    </w:p>
    <w:p w14:paraId="28898561">
      <w:pPr>
        <w:shd w:val="clear"/>
        <w:spacing w:line="400" w:lineRule="exact"/>
        <w:ind w:firstLine="640" w:firstLineChars="200"/>
        <w:rPr>
          <w:rFonts w:ascii="宋体" w:hAnsi="宋体" w:cs="宋体"/>
          <w:color w:val="auto"/>
          <w:sz w:val="32"/>
          <w:szCs w:val="32"/>
          <w:highlight w:val="none"/>
        </w:rPr>
      </w:pPr>
    </w:p>
    <w:p w14:paraId="4A2ED156">
      <w:pPr>
        <w:shd w:val="clear"/>
        <w:spacing w:line="360" w:lineRule="auto"/>
        <w:ind w:firstLine="482" w:firstLineChars="200"/>
        <w:contextualSpacing/>
        <w:rPr>
          <w:rFonts w:ascii="宋体" w:hAnsi="宋体" w:cs="宋体"/>
          <w:b/>
          <w:bCs/>
          <w:color w:val="auto"/>
          <w:sz w:val="24"/>
          <w:highlight w:val="none"/>
        </w:rPr>
      </w:pPr>
      <w:r>
        <w:rPr>
          <w:rFonts w:hint="eastAsia" w:ascii="宋体" w:hAnsi="宋体" w:cs="宋体"/>
          <w:b/>
          <w:bCs/>
          <w:color w:val="auto"/>
          <w:sz w:val="24"/>
          <w:highlight w:val="none"/>
        </w:rPr>
        <w:t>一、我方承诺无下列相互串通</w:t>
      </w:r>
      <w:r>
        <w:rPr>
          <w:rFonts w:hint="eastAsia" w:ascii="宋体" w:hAnsi="宋体" w:cs="宋体"/>
          <w:b/>
          <w:bCs/>
          <w:color w:val="auto"/>
          <w:sz w:val="24"/>
          <w:highlight w:val="none"/>
          <w:lang w:val="en-US" w:eastAsia="zh-CN"/>
        </w:rPr>
        <w:t>响应</w:t>
      </w:r>
      <w:r>
        <w:rPr>
          <w:rFonts w:hint="eastAsia" w:ascii="宋体" w:hAnsi="宋体" w:cs="宋体"/>
          <w:b/>
          <w:bCs/>
          <w:color w:val="auto"/>
          <w:sz w:val="24"/>
          <w:highlight w:val="none"/>
        </w:rPr>
        <w:t>的情形：</w:t>
      </w:r>
    </w:p>
    <w:p w14:paraId="0EA7AAB0">
      <w:pPr>
        <w:shd w:val="clea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1.不同供应商的响应文件由同一单位或者个人编制；或者不同供应商报名的IP地址一致的；</w:t>
      </w:r>
    </w:p>
    <w:p w14:paraId="2AE298B8">
      <w:pPr>
        <w:shd w:val="clea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2.不同供应商委托同一单位或者个人办理</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事宜；</w:t>
      </w:r>
    </w:p>
    <w:p w14:paraId="2DF0829E">
      <w:pPr>
        <w:shd w:val="clea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3.不同的供应商的响应文件载明的项目管理员为同一个人；</w:t>
      </w:r>
    </w:p>
    <w:p w14:paraId="111A977A">
      <w:pPr>
        <w:shd w:val="clea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4.不</w:t>
      </w:r>
      <w:r>
        <w:rPr>
          <w:rFonts w:hint="eastAsia" w:ascii="宋体" w:hAnsi="宋体" w:cs="宋体"/>
          <w:color w:val="auto"/>
          <w:spacing w:val="-6"/>
          <w:sz w:val="24"/>
          <w:highlight w:val="none"/>
        </w:rPr>
        <w:t>同供应商的响应文件异常一致或者</w:t>
      </w:r>
      <w:r>
        <w:rPr>
          <w:rFonts w:hint="eastAsia" w:ascii="宋体" w:hAnsi="宋体" w:cs="宋体"/>
          <w:color w:val="auto"/>
          <w:sz w:val="24"/>
          <w:highlight w:val="none"/>
          <w:lang w:val="en-US" w:eastAsia="zh-CN"/>
        </w:rPr>
        <w:t>响应</w:t>
      </w:r>
      <w:r>
        <w:rPr>
          <w:rFonts w:hint="eastAsia" w:ascii="宋体" w:hAnsi="宋体" w:cs="宋体"/>
          <w:color w:val="auto"/>
          <w:spacing w:val="-6"/>
          <w:sz w:val="24"/>
          <w:highlight w:val="none"/>
        </w:rPr>
        <w:t>报价呈规律性差异；</w:t>
      </w:r>
    </w:p>
    <w:p w14:paraId="4B771241">
      <w:pPr>
        <w:shd w:val="clea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5.不同供应商的响应文件相互混装；</w:t>
      </w:r>
    </w:p>
    <w:p w14:paraId="7CC08CB9">
      <w:pPr>
        <w:shd w:val="clea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6.不同供应商的</w:t>
      </w:r>
      <w:r>
        <w:rPr>
          <w:rFonts w:hint="eastAsia" w:ascii="宋体" w:hAnsi="宋体" w:cs="宋体"/>
          <w:color w:val="auto"/>
          <w:sz w:val="24"/>
          <w:highlight w:val="none"/>
          <w:lang w:val="en-US" w:eastAsia="zh-CN"/>
        </w:rPr>
        <w:t>谈判</w:t>
      </w:r>
      <w:r>
        <w:rPr>
          <w:rFonts w:hint="eastAsia" w:ascii="宋体" w:hAnsi="宋体" w:cs="宋体"/>
          <w:color w:val="auto"/>
          <w:sz w:val="24"/>
          <w:highlight w:val="none"/>
        </w:rPr>
        <w:t>保证金从同一单位或者个人账户转出。</w:t>
      </w:r>
    </w:p>
    <w:p w14:paraId="3F54C538">
      <w:pPr>
        <w:shd w:val="clear"/>
        <w:spacing w:line="360" w:lineRule="auto"/>
        <w:ind w:firstLine="482" w:firstLineChars="200"/>
        <w:contextualSpacing/>
        <w:rPr>
          <w:rFonts w:ascii="宋体" w:hAnsi="宋体" w:cs="宋体"/>
          <w:b/>
          <w:bCs/>
          <w:color w:val="auto"/>
          <w:sz w:val="24"/>
          <w:highlight w:val="none"/>
        </w:rPr>
      </w:pPr>
      <w:r>
        <w:rPr>
          <w:rFonts w:hint="eastAsia" w:ascii="宋体" w:hAnsi="宋体" w:cs="宋体"/>
          <w:b/>
          <w:bCs/>
          <w:color w:val="auto"/>
          <w:sz w:val="24"/>
          <w:highlight w:val="none"/>
        </w:rPr>
        <w:t>二、我方承诺无下列恶意串通的情形：</w:t>
      </w:r>
    </w:p>
    <w:p w14:paraId="4E428181">
      <w:pPr>
        <w:shd w:val="clea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1.供应商直接或者间接从采购人或者采购代理机构处获得其他供应商的相关信息并修改其响应文件；</w:t>
      </w:r>
    </w:p>
    <w:p w14:paraId="7B43699B">
      <w:pPr>
        <w:shd w:val="clea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2.供应商按照采购人或者采购代理机构的授意撤换、修改响应文件；</w:t>
      </w:r>
    </w:p>
    <w:p w14:paraId="314552FD">
      <w:pPr>
        <w:shd w:val="clea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3.供</w:t>
      </w:r>
      <w:r>
        <w:rPr>
          <w:rFonts w:hint="eastAsia" w:ascii="宋体" w:hAnsi="宋体" w:cs="宋体"/>
          <w:color w:val="auto"/>
          <w:spacing w:val="-6"/>
          <w:sz w:val="24"/>
          <w:highlight w:val="none"/>
        </w:rPr>
        <w:t>应商之间协商报价、技术方案等响应文件的实质性内容；</w:t>
      </w:r>
    </w:p>
    <w:p w14:paraId="66DCA2A5">
      <w:pPr>
        <w:shd w:val="clea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4.属于同一集团、协会、商会等组织成员的供应商按照该组织要求协同参加政府采购活动；</w:t>
      </w:r>
    </w:p>
    <w:p w14:paraId="7D7BCBEF">
      <w:pPr>
        <w:shd w:val="clea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5.供应商之间事先约定一致抬高或者压低</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报价，或者在竞争性谈判项目中事先约定轮流以高价位或者低价位成交，或者事先约定由某一特定供应商成交，然后再参加</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w:t>
      </w:r>
    </w:p>
    <w:p w14:paraId="71B18849">
      <w:pPr>
        <w:shd w:val="clea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6.供应商之间商定部分供应商放弃参加政府采购活动或者放弃成交；</w:t>
      </w:r>
    </w:p>
    <w:p w14:paraId="6A5CC64E">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7.供应商与采购人或者采购代理机构之间、供应商相互之间，为</w:t>
      </w:r>
      <w:r>
        <w:rPr>
          <w:rFonts w:hint="eastAsia" w:ascii="宋体" w:hAnsi="宋体" w:cs="宋体"/>
          <w:color w:val="auto"/>
          <w:spacing w:val="-6"/>
          <w:sz w:val="24"/>
          <w:highlight w:val="none"/>
        </w:rPr>
        <w:t>谋求特定供应商成交或者排斥其他供应商的其他串通行为。</w:t>
      </w:r>
    </w:p>
    <w:p w14:paraId="4F4FE38B">
      <w:pPr>
        <w:shd w:val="clear"/>
        <w:spacing w:line="360" w:lineRule="auto"/>
        <w:ind w:firstLine="480" w:firstLineChars="200"/>
        <w:rPr>
          <w:rFonts w:ascii="宋体" w:hAnsi="宋体" w:cs="宋体"/>
          <w:color w:val="auto"/>
          <w:sz w:val="24"/>
          <w:highlight w:val="none"/>
        </w:rPr>
      </w:pPr>
    </w:p>
    <w:p w14:paraId="35E72C45">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以上情形一经核查属实，我方愿意承担一切后果，并不再寻求任何旨在减轻或者免除法律责任的辩解。</w:t>
      </w:r>
    </w:p>
    <w:p w14:paraId="771F23CC">
      <w:pPr>
        <w:shd w:val="clear"/>
        <w:spacing w:line="360" w:lineRule="auto"/>
        <w:rPr>
          <w:rFonts w:ascii="宋体" w:hAnsi="宋体" w:cs="宋体"/>
          <w:color w:val="auto"/>
          <w:sz w:val="24"/>
          <w:highlight w:val="none"/>
        </w:rPr>
      </w:pPr>
    </w:p>
    <w:p w14:paraId="2448237A">
      <w:pPr>
        <w:shd w:val="clear"/>
        <w:spacing w:line="276" w:lineRule="auto"/>
        <w:ind w:firstLine="4320" w:firstLineChars="1800"/>
        <w:rPr>
          <w:rFonts w:ascii="宋体" w:hAnsi="宋体" w:cs="宋体"/>
          <w:color w:val="auto"/>
          <w:sz w:val="24"/>
          <w:highlight w:val="none"/>
        </w:rPr>
      </w:pPr>
      <w:r>
        <w:rPr>
          <w:rFonts w:hint="eastAsia" w:ascii="宋体" w:hAnsi="宋体" w:cs="宋体"/>
          <w:color w:val="auto"/>
          <w:sz w:val="24"/>
          <w:highlight w:val="none"/>
        </w:rPr>
        <w:t>供应商名称（电子签章）：</w:t>
      </w:r>
    </w:p>
    <w:p w14:paraId="2653B117">
      <w:pPr>
        <w:shd w:val="clear"/>
        <w:spacing w:line="276" w:lineRule="auto"/>
        <w:ind w:firstLine="4320" w:firstLineChars="1800"/>
        <w:rPr>
          <w:rFonts w:ascii="宋体" w:hAnsi="宋体" w:cs="宋体"/>
          <w:color w:val="auto"/>
          <w:sz w:val="24"/>
          <w:highlight w:val="none"/>
        </w:rPr>
      </w:pPr>
      <w:r>
        <w:rPr>
          <w:rFonts w:hint="eastAsia" w:ascii="宋体" w:hAnsi="宋体" w:cs="宋体"/>
          <w:color w:val="auto"/>
          <w:sz w:val="24"/>
          <w:highlight w:val="none"/>
        </w:rPr>
        <w:t>日期：  年  月   日</w:t>
      </w:r>
    </w:p>
    <w:p w14:paraId="78E886FE">
      <w:pPr>
        <w:pStyle w:val="19"/>
        <w:shd w:val="clear"/>
        <w:rPr>
          <w:rFonts w:ascii="宋体" w:hAnsi="宋体" w:cs="宋体"/>
          <w:color w:val="auto"/>
          <w:highlight w:val="none"/>
        </w:rPr>
      </w:pPr>
    </w:p>
    <w:p w14:paraId="0F2973B3">
      <w:pPr>
        <w:shd w:val="clear"/>
        <w:spacing w:line="520" w:lineRule="exact"/>
        <w:jc w:val="center"/>
        <w:rPr>
          <w:rFonts w:hint="eastAsia" w:ascii="宋体" w:hAnsi="宋体" w:cs="宋体"/>
          <w:b/>
          <w:bCs/>
          <w:color w:val="auto"/>
          <w:sz w:val="32"/>
          <w:szCs w:val="32"/>
          <w:highlight w:val="none"/>
        </w:rPr>
      </w:pPr>
    </w:p>
    <w:p w14:paraId="269A843D">
      <w:pPr>
        <w:shd w:val="clear"/>
        <w:spacing w:line="520" w:lineRule="exact"/>
        <w:jc w:val="center"/>
        <w:rPr>
          <w:rFonts w:ascii="宋体" w:hAnsi="宋体" w:cs="宋体"/>
          <w:color w:val="auto"/>
          <w:highlight w:val="none"/>
        </w:rPr>
      </w:pPr>
      <w:r>
        <w:rPr>
          <w:rFonts w:hint="eastAsia" w:ascii="宋体" w:hAnsi="宋体" w:cs="宋体"/>
          <w:b/>
          <w:bCs/>
          <w:color w:val="auto"/>
          <w:sz w:val="32"/>
          <w:szCs w:val="32"/>
          <w:highlight w:val="none"/>
        </w:rPr>
        <w:t>二、法定代表人身份证明书及法定代表人有效身份证正反面复印件</w:t>
      </w:r>
    </w:p>
    <w:p w14:paraId="51553BC4">
      <w:pPr>
        <w:pStyle w:val="19"/>
        <w:shd w:val="clear"/>
        <w:rPr>
          <w:rFonts w:ascii="宋体" w:hAnsi="宋体" w:cs="宋体"/>
          <w:color w:val="auto"/>
          <w:highlight w:val="none"/>
        </w:rPr>
      </w:pPr>
    </w:p>
    <w:p w14:paraId="175BA26F">
      <w:pPr>
        <w:pStyle w:val="19"/>
        <w:shd w:val="clear"/>
        <w:rPr>
          <w:rFonts w:ascii="宋体" w:hAnsi="宋体" w:cs="宋体"/>
          <w:color w:val="auto"/>
          <w:highlight w:val="none"/>
        </w:rPr>
      </w:pPr>
    </w:p>
    <w:p w14:paraId="68EE7A6F">
      <w:pPr>
        <w:shd w:val="clear"/>
        <w:spacing w:before="312" w:beforeLines="100" w:after="156" w:afterLines="50" w:line="520" w:lineRule="exact"/>
        <w:ind w:left="540"/>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法定代表人证明书</w:t>
      </w:r>
    </w:p>
    <w:p w14:paraId="2408D286">
      <w:pPr>
        <w:shd w:val="clear"/>
        <w:spacing w:line="520" w:lineRule="exact"/>
        <w:ind w:left="540"/>
        <w:rPr>
          <w:rFonts w:ascii="宋体" w:hAnsi="宋体" w:cs="宋体"/>
          <w:color w:val="auto"/>
          <w:sz w:val="32"/>
          <w:szCs w:val="32"/>
          <w:highlight w:val="none"/>
        </w:rPr>
      </w:pPr>
    </w:p>
    <w:p w14:paraId="36EC5F19">
      <w:pPr>
        <w:shd w:val="clear"/>
        <w:spacing w:line="360" w:lineRule="auto"/>
        <w:ind w:left="540"/>
        <w:rPr>
          <w:rFonts w:ascii="宋体" w:hAnsi="宋体" w:cs="宋体"/>
          <w:color w:val="auto"/>
          <w:sz w:val="24"/>
          <w:highlight w:val="none"/>
        </w:rPr>
      </w:pPr>
      <w:r>
        <w:rPr>
          <w:rFonts w:hint="eastAsia" w:ascii="宋体" w:hAnsi="宋体" w:cs="宋体"/>
          <w:color w:val="auto"/>
          <w:sz w:val="24"/>
          <w:highlight w:val="none"/>
        </w:rPr>
        <w:t>供应商名称：</w:t>
      </w:r>
      <w:r>
        <w:rPr>
          <w:rFonts w:hint="eastAsia" w:ascii="宋体" w:hAnsi="宋体" w:cs="宋体"/>
          <w:color w:val="auto"/>
          <w:sz w:val="24"/>
          <w:highlight w:val="none"/>
          <w:u w:val="single"/>
        </w:rPr>
        <w:t xml:space="preserve">                                                        </w:t>
      </w:r>
    </w:p>
    <w:p w14:paraId="75F9E2AB">
      <w:pPr>
        <w:shd w:val="clear"/>
        <w:spacing w:line="360" w:lineRule="auto"/>
        <w:ind w:left="540"/>
        <w:rPr>
          <w:rFonts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u w:val="single"/>
        </w:rPr>
        <w:t xml:space="preserve">                                                        </w:t>
      </w:r>
    </w:p>
    <w:p w14:paraId="34B704EE">
      <w:pPr>
        <w:shd w:val="clear"/>
        <w:spacing w:line="360" w:lineRule="auto"/>
        <w:ind w:left="540"/>
        <w:rPr>
          <w:rFonts w:ascii="宋体" w:hAnsi="宋体" w:cs="宋体"/>
          <w:color w:val="auto"/>
          <w:sz w:val="24"/>
          <w:highlight w:val="none"/>
        </w:rPr>
      </w:pPr>
      <w:r>
        <w:rPr>
          <w:rFonts w:hint="eastAsia" w:ascii="宋体" w:hAnsi="宋体" w:cs="宋体"/>
          <w:color w:val="auto"/>
          <w:sz w:val="24"/>
          <w:highlight w:val="none"/>
        </w:rPr>
        <w:t>姓    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性     别：</w:t>
      </w:r>
      <w:r>
        <w:rPr>
          <w:rFonts w:hint="eastAsia" w:ascii="宋体" w:hAnsi="宋体" w:cs="宋体"/>
          <w:color w:val="auto"/>
          <w:sz w:val="24"/>
          <w:highlight w:val="none"/>
          <w:u w:val="single"/>
        </w:rPr>
        <w:t xml:space="preserve">                </w:t>
      </w:r>
    </w:p>
    <w:p w14:paraId="7C01B512">
      <w:pPr>
        <w:shd w:val="clear"/>
        <w:spacing w:line="360" w:lineRule="auto"/>
        <w:ind w:left="540"/>
        <w:rPr>
          <w:rFonts w:ascii="宋体" w:hAnsi="宋体" w:cs="宋体"/>
          <w:color w:val="auto"/>
          <w:sz w:val="24"/>
          <w:highlight w:val="none"/>
          <w:u w:val="single"/>
        </w:rPr>
      </w:pPr>
      <w:r>
        <w:rPr>
          <w:rFonts w:hint="eastAsia" w:ascii="宋体" w:hAnsi="宋体" w:cs="宋体"/>
          <w:color w:val="auto"/>
          <w:sz w:val="24"/>
          <w:highlight w:val="none"/>
        </w:rPr>
        <w:t>年    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职     务：</w:t>
      </w:r>
      <w:r>
        <w:rPr>
          <w:rFonts w:hint="eastAsia" w:ascii="宋体" w:hAnsi="宋体" w:cs="宋体"/>
          <w:color w:val="auto"/>
          <w:sz w:val="24"/>
          <w:highlight w:val="none"/>
          <w:u w:val="single"/>
        </w:rPr>
        <w:t xml:space="preserve">                </w:t>
      </w:r>
    </w:p>
    <w:p w14:paraId="082CE9E2">
      <w:pPr>
        <w:shd w:val="clear"/>
        <w:spacing w:line="360" w:lineRule="auto"/>
        <w:ind w:left="540"/>
        <w:rPr>
          <w:rFonts w:ascii="宋体" w:hAnsi="宋体" w:cs="宋体"/>
          <w:color w:val="auto"/>
          <w:sz w:val="24"/>
          <w:highlight w:val="non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14:paraId="4E08FDD1">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系</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（供应商名称）</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的法定代表人。</w:t>
      </w:r>
    </w:p>
    <w:p w14:paraId="59EE1132">
      <w:pPr>
        <w:shd w:val="clear"/>
        <w:spacing w:line="360" w:lineRule="auto"/>
        <w:ind w:left="540"/>
        <w:rPr>
          <w:rFonts w:ascii="宋体" w:hAnsi="宋体" w:cs="宋体"/>
          <w:color w:val="auto"/>
          <w:sz w:val="24"/>
          <w:highlight w:val="none"/>
        </w:rPr>
      </w:pPr>
      <w:r>
        <w:rPr>
          <w:rFonts w:hint="eastAsia" w:ascii="宋体" w:hAnsi="宋体" w:cs="宋体"/>
          <w:color w:val="auto"/>
          <w:sz w:val="24"/>
          <w:highlight w:val="none"/>
        </w:rPr>
        <w:t>特此证明。</w:t>
      </w:r>
    </w:p>
    <w:p w14:paraId="15BB4D9F">
      <w:pPr>
        <w:shd w:val="clear"/>
        <w:spacing w:line="500" w:lineRule="exact"/>
        <w:ind w:left="540"/>
        <w:rPr>
          <w:rFonts w:ascii="宋体" w:hAnsi="宋体" w:cs="宋体"/>
          <w:color w:val="auto"/>
          <w:sz w:val="24"/>
          <w:highlight w:val="none"/>
        </w:rPr>
      </w:pPr>
    </w:p>
    <w:p w14:paraId="432431F0">
      <w:pPr>
        <w:shd w:val="clear"/>
        <w:spacing w:line="500" w:lineRule="exact"/>
        <w:ind w:left="540"/>
        <w:rPr>
          <w:rFonts w:ascii="宋体" w:hAnsi="宋体" w:cs="宋体"/>
          <w:color w:val="auto"/>
          <w:sz w:val="24"/>
          <w:highlight w:val="none"/>
        </w:rPr>
      </w:pPr>
      <w:r>
        <w:rPr>
          <w:rFonts w:hint="eastAsia" w:ascii="宋体" w:hAnsi="宋体" w:cs="宋体"/>
          <w:color w:val="auto"/>
          <w:sz w:val="24"/>
          <w:highlight w:val="none"/>
        </w:rPr>
        <w:t>附件：法定代表人有效身份证正反面复印件</w:t>
      </w:r>
    </w:p>
    <w:p w14:paraId="442DEFCA">
      <w:pPr>
        <w:shd w:val="clear"/>
        <w:spacing w:line="500" w:lineRule="exact"/>
        <w:ind w:left="540"/>
        <w:rPr>
          <w:rFonts w:ascii="宋体" w:hAnsi="宋体" w:cs="宋体"/>
          <w:color w:val="auto"/>
          <w:sz w:val="24"/>
          <w:highlight w:val="none"/>
        </w:rPr>
      </w:pPr>
    </w:p>
    <w:p w14:paraId="65E0075D">
      <w:pPr>
        <w:shd w:val="clear"/>
        <w:snapToGrid w:val="0"/>
        <w:spacing w:line="360" w:lineRule="auto"/>
        <w:ind w:firstLine="5640" w:firstLineChars="2350"/>
        <w:rPr>
          <w:rFonts w:ascii="宋体" w:hAnsi="宋体" w:cs="宋体"/>
          <w:color w:val="auto"/>
          <w:kern w:val="0"/>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供应商名称（电子签章）：</w:t>
      </w:r>
    </w:p>
    <w:p w14:paraId="2CBF1EDA">
      <w:pPr>
        <w:shd w:val="clear"/>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2C4E2DFC">
      <w:pPr>
        <w:shd w:val="clear"/>
        <w:snapToGrid w:val="0"/>
        <w:spacing w:before="156" w:beforeLines="50" w:after="50" w:line="360" w:lineRule="auto"/>
        <w:jc w:val="left"/>
        <w:rPr>
          <w:rFonts w:ascii="宋体" w:hAnsi="宋体" w:cs="宋体"/>
          <w:color w:val="auto"/>
          <w:sz w:val="24"/>
          <w:highlight w:val="none"/>
        </w:rPr>
      </w:pPr>
    </w:p>
    <w:p w14:paraId="2B63DD2F">
      <w:pPr>
        <w:shd w:val="clear"/>
        <w:snapToGrid w:val="0"/>
        <w:spacing w:before="156" w:beforeLines="50" w:after="50" w:line="360" w:lineRule="auto"/>
        <w:jc w:val="left"/>
        <w:rPr>
          <w:rFonts w:ascii="宋体" w:hAnsi="宋体" w:cs="宋体"/>
          <w:color w:val="auto"/>
          <w:sz w:val="24"/>
          <w:highlight w:val="none"/>
        </w:rPr>
      </w:pPr>
      <w:r>
        <w:rPr>
          <w:rFonts w:hint="eastAsia" w:ascii="宋体" w:hAnsi="宋体" w:cs="宋体"/>
          <w:color w:val="auto"/>
          <w:sz w:val="24"/>
          <w:highlight w:val="none"/>
        </w:rPr>
        <w:t>注：1.自然人</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的无需提供，联合体</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的只需牵头人出具。</w:t>
      </w:r>
    </w:p>
    <w:p w14:paraId="39B0AF98">
      <w:pPr>
        <w:shd w:val="clear"/>
        <w:snapToGrid w:val="0"/>
        <w:spacing w:before="156" w:beforeLines="50" w:after="50"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2.供应商为其他组织或者自然人时，本</w:t>
      </w:r>
      <w:r>
        <w:rPr>
          <w:rFonts w:hint="eastAsia" w:ascii="宋体" w:hAnsi="宋体" w:cs="宋体"/>
          <w:color w:val="auto"/>
          <w:sz w:val="24"/>
          <w:highlight w:val="none"/>
          <w:lang w:val="en-US" w:eastAsia="zh-CN"/>
        </w:rPr>
        <w:t>竞争性</w:t>
      </w:r>
      <w:r>
        <w:rPr>
          <w:rFonts w:hint="eastAsia" w:ascii="宋体" w:hAnsi="宋体" w:cs="宋体"/>
          <w:color w:val="auto"/>
          <w:sz w:val="24"/>
          <w:highlight w:val="none"/>
        </w:rPr>
        <w:t>谈判文件规定的法定代表人指负责人或者自然人。本</w:t>
      </w:r>
      <w:r>
        <w:rPr>
          <w:rFonts w:hint="eastAsia" w:ascii="宋体" w:hAnsi="宋体" w:cs="宋体"/>
          <w:color w:val="auto"/>
          <w:sz w:val="24"/>
          <w:highlight w:val="none"/>
          <w:lang w:val="en-US" w:eastAsia="zh-CN"/>
        </w:rPr>
        <w:t>竞争性</w:t>
      </w:r>
      <w:r>
        <w:rPr>
          <w:rFonts w:hint="eastAsia" w:ascii="宋体" w:hAnsi="宋体" w:cs="宋体"/>
          <w:color w:val="auto"/>
          <w:sz w:val="24"/>
          <w:highlight w:val="none"/>
        </w:rPr>
        <w:t>谈判文件所称负责人是指参加</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的其他组织营业执照上的负责人，本</w:t>
      </w:r>
      <w:r>
        <w:rPr>
          <w:rFonts w:hint="eastAsia" w:ascii="宋体" w:hAnsi="宋体" w:cs="宋体"/>
          <w:color w:val="auto"/>
          <w:sz w:val="24"/>
          <w:highlight w:val="none"/>
          <w:lang w:val="en-US" w:eastAsia="zh-CN"/>
        </w:rPr>
        <w:t>竞争性</w:t>
      </w:r>
      <w:r>
        <w:rPr>
          <w:rFonts w:hint="eastAsia" w:ascii="宋体" w:hAnsi="宋体" w:cs="宋体"/>
          <w:color w:val="auto"/>
          <w:sz w:val="24"/>
          <w:highlight w:val="none"/>
        </w:rPr>
        <w:t>谈判文件所称自然人指参与</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的自然人本人。</w:t>
      </w:r>
    </w:p>
    <w:tbl>
      <w:tblPr>
        <w:tblStyle w:val="28"/>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7EF9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Pr>
          <w:p w14:paraId="05333A85">
            <w:pPr>
              <w:shd w:val="clear"/>
              <w:spacing w:line="360" w:lineRule="auto"/>
              <w:rPr>
                <w:rFonts w:ascii="宋体" w:hAnsi="宋体" w:cs="宋体"/>
                <w:b/>
                <w:color w:val="auto"/>
                <w:sz w:val="24"/>
                <w:highlight w:val="none"/>
              </w:rPr>
            </w:pPr>
          </w:p>
          <w:p w14:paraId="22F9B306">
            <w:pPr>
              <w:shd w:val="clear"/>
              <w:spacing w:line="360" w:lineRule="auto"/>
              <w:rPr>
                <w:rFonts w:ascii="宋体" w:hAnsi="宋体" w:cs="宋体"/>
                <w:b/>
                <w:color w:val="auto"/>
                <w:sz w:val="24"/>
                <w:highlight w:val="none"/>
              </w:rPr>
            </w:pPr>
            <w:r>
              <w:rPr>
                <w:rFonts w:hint="eastAsia" w:ascii="宋体" w:hAnsi="宋体" w:cs="宋体"/>
                <w:b/>
                <w:color w:val="auto"/>
                <w:sz w:val="24"/>
                <w:highlight w:val="none"/>
              </w:rPr>
              <w:t>法定代表身份证复印件粘贴处（正、反面）</w:t>
            </w:r>
          </w:p>
        </w:tc>
      </w:tr>
    </w:tbl>
    <w:p w14:paraId="7A1EB907">
      <w:pPr>
        <w:pStyle w:val="19"/>
        <w:shd w:val="clear"/>
        <w:rPr>
          <w:rFonts w:ascii="宋体" w:hAnsi="宋体" w:cs="宋体"/>
          <w:color w:val="auto"/>
          <w:highlight w:val="none"/>
        </w:rPr>
      </w:pPr>
    </w:p>
    <w:p w14:paraId="5FA8EA64">
      <w:pPr>
        <w:shd w:val="clear"/>
        <w:adjustRightInd w:val="0"/>
        <w:snapToGrid w:val="0"/>
        <w:spacing w:line="300" w:lineRule="auto"/>
        <w:jc w:val="left"/>
        <w:rPr>
          <w:rFonts w:ascii="宋体" w:hAnsi="宋体" w:cs="宋体"/>
          <w:b/>
          <w:color w:val="auto"/>
          <w:szCs w:val="21"/>
          <w:highlight w:val="none"/>
        </w:rPr>
      </w:pPr>
    </w:p>
    <w:p w14:paraId="3089ED3B">
      <w:pPr>
        <w:shd w:val="clear"/>
        <w:spacing w:line="500" w:lineRule="exact"/>
        <w:jc w:val="center"/>
        <w:rPr>
          <w:rFonts w:ascii="宋体" w:hAnsi="宋体" w:cs="宋体"/>
          <w:color w:val="auto"/>
          <w:sz w:val="36"/>
          <w:szCs w:val="36"/>
          <w:highlight w:val="none"/>
        </w:rPr>
      </w:pPr>
      <w:r>
        <w:rPr>
          <w:rFonts w:hint="eastAsia" w:ascii="宋体" w:hAnsi="宋体" w:cs="宋体"/>
          <w:color w:val="auto"/>
          <w:sz w:val="44"/>
          <w:szCs w:val="44"/>
          <w:highlight w:val="none"/>
        </w:rPr>
        <w:br w:type="page"/>
      </w:r>
      <w:r>
        <w:rPr>
          <w:rFonts w:hint="eastAsia" w:ascii="宋体" w:hAnsi="宋体" w:cs="宋体"/>
          <w:b/>
          <w:bCs/>
          <w:color w:val="auto"/>
          <w:sz w:val="32"/>
          <w:szCs w:val="32"/>
          <w:highlight w:val="none"/>
        </w:rPr>
        <w:t xml:space="preserve">三、法定代表人授权委托书及委托代理人有效身份证正反面复印件 </w:t>
      </w:r>
    </w:p>
    <w:p w14:paraId="05C0E4DC">
      <w:pPr>
        <w:pStyle w:val="19"/>
        <w:shd w:val="clear"/>
        <w:rPr>
          <w:rFonts w:ascii="宋体" w:hAnsi="宋体" w:cs="宋体"/>
          <w:color w:val="auto"/>
          <w:highlight w:val="none"/>
        </w:rPr>
      </w:pPr>
    </w:p>
    <w:p w14:paraId="37BCC988">
      <w:pPr>
        <w:shd w:val="clear"/>
        <w:spacing w:line="520" w:lineRule="exact"/>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法定代表人授权委托书（如有委托时）</w:t>
      </w:r>
    </w:p>
    <w:p w14:paraId="49D6B8C5">
      <w:pPr>
        <w:shd w:val="clear"/>
        <w:snapToGrid w:val="0"/>
        <w:spacing w:before="156" w:beforeLines="50" w:after="50"/>
        <w:jc w:val="center"/>
        <w:rPr>
          <w:rFonts w:ascii="宋体" w:hAnsi="宋体" w:cs="宋体"/>
          <w:b/>
          <w:color w:val="auto"/>
          <w:sz w:val="24"/>
          <w:highlight w:val="none"/>
        </w:rPr>
      </w:pPr>
    </w:p>
    <w:p w14:paraId="6BAE8D4B">
      <w:pPr>
        <w:pStyle w:val="16"/>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Ansi="宋体" w:cs="宋体"/>
          <w:color w:val="auto"/>
          <w:sz w:val="24"/>
          <w:szCs w:val="24"/>
          <w:highlight w:val="none"/>
        </w:rPr>
      </w:pPr>
      <w:r>
        <w:rPr>
          <w:rFonts w:hint="eastAsia" w:hAnsi="宋体" w:cs="宋体"/>
          <w:color w:val="auto"/>
          <w:sz w:val="24"/>
          <w:szCs w:val="24"/>
          <w:highlight w:val="none"/>
        </w:rPr>
        <w:t>致：</w:t>
      </w:r>
      <w:r>
        <w:rPr>
          <w:rFonts w:hint="eastAsia" w:hAnsi="宋体" w:cs="宋体"/>
          <w:color w:val="auto"/>
          <w:sz w:val="24"/>
          <w:szCs w:val="24"/>
          <w:highlight w:val="none"/>
          <w:u w:val="single"/>
        </w:rPr>
        <w:t>（采购人名称）</w:t>
      </w:r>
    </w:p>
    <w:p w14:paraId="39315258">
      <w:pPr>
        <w:pStyle w:val="11"/>
        <w:keepNext w:val="0"/>
        <w:keepLines w:val="0"/>
        <w:pageBreakBefore w:val="0"/>
        <w:widowControl w:val="0"/>
        <w:shd w:val="clear"/>
        <w:kinsoku/>
        <w:wordWrap/>
        <w:overflowPunct/>
        <w:topLinePunct w:val="0"/>
        <w:autoSpaceDE/>
        <w:autoSpaceDN/>
        <w:bidi w:val="0"/>
        <w:adjustRightInd/>
        <w:snapToGrid/>
        <w:spacing w:line="400" w:lineRule="exact"/>
        <w:ind w:firstLine="480" w:firstLineChars="200"/>
        <w:textAlignment w:val="auto"/>
        <w:rPr>
          <w:rFonts w:hAnsi="宋体" w:cs="宋体"/>
          <w:color w:val="auto"/>
          <w:sz w:val="24"/>
          <w:highlight w:val="none"/>
        </w:rPr>
      </w:pPr>
      <w:r>
        <w:rPr>
          <w:rFonts w:hint="eastAsia" w:hAnsi="宋体" w:cs="宋体"/>
          <w:color w:val="auto"/>
          <w:sz w:val="24"/>
          <w:highlight w:val="none"/>
        </w:rPr>
        <w:t>本人</w:t>
      </w:r>
      <w:r>
        <w:rPr>
          <w:rFonts w:hint="eastAsia" w:hAnsi="宋体" w:cs="宋体"/>
          <w:color w:val="auto"/>
          <w:sz w:val="24"/>
          <w:highlight w:val="none"/>
          <w:u w:val="single"/>
        </w:rPr>
        <w:t xml:space="preserve">        </w:t>
      </w:r>
      <w:r>
        <w:rPr>
          <w:rFonts w:hint="eastAsia" w:hAnsi="宋体" w:cs="宋体"/>
          <w:color w:val="auto"/>
          <w:sz w:val="24"/>
          <w:highlight w:val="none"/>
        </w:rPr>
        <w:t>（姓名）系</w:t>
      </w:r>
      <w:r>
        <w:rPr>
          <w:rFonts w:hint="eastAsia" w:hAnsi="宋体" w:cs="宋体"/>
          <w:color w:val="auto"/>
          <w:sz w:val="24"/>
          <w:highlight w:val="none"/>
          <w:u w:val="single"/>
        </w:rPr>
        <w:t xml:space="preserve">                 </w:t>
      </w:r>
      <w:r>
        <w:rPr>
          <w:rFonts w:hint="eastAsia" w:hAnsi="宋体" w:cs="宋体"/>
          <w:color w:val="auto"/>
          <w:sz w:val="24"/>
          <w:highlight w:val="none"/>
        </w:rPr>
        <w:t>（供应商名称）的</w:t>
      </w:r>
      <w:r>
        <w:rPr>
          <w:rFonts w:hint="eastAsia" w:ascii="宋体" w:hAnsi="宋体" w:cs="仿宋_GB2312"/>
          <w:color w:val="auto"/>
          <w:sz w:val="24"/>
          <w:highlight w:val="none"/>
        </w:rPr>
        <w:t>（</w:t>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w:t>
      </w:r>
      <w:r>
        <w:rPr>
          <w:rFonts w:hint="eastAsia" w:hAnsi="宋体" w:cs="宋体"/>
          <w:color w:val="auto"/>
          <w:sz w:val="24"/>
          <w:highlight w:val="none"/>
        </w:rPr>
        <w:t>，现授权我单位在职正式员工</w:t>
      </w:r>
      <w:r>
        <w:rPr>
          <w:rFonts w:hint="eastAsia" w:hAnsi="宋体" w:cs="宋体"/>
          <w:color w:val="auto"/>
          <w:sz w:val="24"/>
          <w:highlight w:val="none"/>
          <w:u w:val="single"/>
        </w:rPr>
        <w:t xml:space="preserve">        </w:t>
      </w:r>
      <w:r>
        <w:rPr>
          <w:rFonts w:hint="eastAsia" w:hAnsi="宋体" w:cs="宋体"/>
          <w:color w:val="auto"/>
          <w:sz w:val="24"/>
          <w:highlight w:val="none"/>
        </w:rPr>
        <w:t>（姓名和职务）为我方代理人。代理人根据授权，以我方名义签署、澄清、说明、补正、递交、撤回、修改贵方组织的</w:t>
      </w:r>
      <w:r>
        <w:rPr>
          <w:rFonts w:hint="eastAsia" w:hAnsi="宋体" w:cs="宋体"/>
          <w:color w:val="auto"/>
          <w:sz w:val="24"/>
          <w:highlight w:val="none"/>
          <w:u w:val="single"/>
        </w:rPr>
        <w:t xml:space="preserve">   项目名称  </w:t>
      </w:r>
      <w:r>
        <w:rPr>
          <w:rFonts w:hint="eastAsia" w:hAnsi="宋体" w:cs="宋体"/>
          <w:color w:val="auto"/>
          <w:sz w:val="24"/>
          <w:highlight w:val="none"/>
        </w:rPr>
        <w:t>项目（项目编号：</w:t>
      </w:r>
      <w:r>
        <w:rPr>
          <w:rFonts w:hint="eastAsia" w:hAnsi="宋体" w:cs="宋体"/>
          <w:color w:val="auto"/>
          <w:sz w:val="24"/>
          <w:highlight w:val="none"/>
          <w:u w:val="single"/>
        </w:rPr>
        <w:t xml:space="preserve">         </w:t>
      </w:r>
      <w:r>
        <w:rPr>
          <w:rFonts w:hint="eastAsia" w:hAnsi="宋体" w:cs="宋体"/>
          <w:color w:val="auto"/>
          <w:sz w:val="24"/>
          <w:highlight w:val="none"/>
        </w:rPr>
        <w:t>）的响应文件、签订合同和处理一切有关事宜，其法律后果由我方承担。</w:t>
      </w:r>
    </w:p>
    <w:p w14:paraId="38018EAA">
      <w:pPr>
        <w:pStyle w:val="16"/>
        <w:keepNext w:val="0"/>
        <w:keepLines w:val="0"/>
        <w:pageBreakBefore w:val="0"/>
        <w:widowControl w:val="0"/>
        <w:shd w:val="clear"/>
        <w:kinsoku/>
        <w:wordWrap/>
        <w:overflowPunct/>
        <w:topLinePunct w:val="0"/>
        <w:autoSpaceDE/>
        <w:autoSpaceDN/>
        <w:bidi w:val="0"/>
        <w:adjustRightInd/>
        <w:snapToGrid/>
        <w:spacing w:line="400" w:lineRule="exact"/>
        <w:ind w:firstLine="480" w:firstLineChars="200"/>
        <w:textAlignment w:val="auto"/>
        <w:rPr>
          <w:rFonts w:hAnsi="宋体" w:cs="宋体"/>
          <w:color w:val="auto"/>
          <w:sz w:val="24"/>
          <w:szCs w:val="24"/>
          <w:highlight w:val="none"/>
        </w:rPr>
      </w:pPr>
      <w:r>
        <w:rPr>
          <w:rFonts w:hint="eastAsia" w:hAnsi="宋体" w:cs="宋体"/>
          <w:color w:val="auto"/>
          <w:sz w:val="24"/>
          <w:szCs w:val="24"/>
          <w:highlight w:val="none"/>
        </w:rPr>
        <w:t>本授权书于</w:t>
      </w:r>
      <w:r>
        <w:rPr>
          <w:rFonts w:hint="eastAsia" w:hAnsi="宋体" w:cs="宋体"/>
          <w:color w:val="auto"/>
          <w:spacing w:val="10"/>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pacing w:val="10"/>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pacing w:val="10"/>
          <w:sz w:val="24"/>
          <w:szCs w:val="24"/>
          <w:highlight w:val="none"/>
          <w:u w:val="single"/>
        </w:rPr>
        <w:t xml:space="preserve">    </w:t>
      </w:r>
      <w:r>
        <w:rPr>
          <w:rFonts w:hint="eastAsia" w:hAnsi="宋体" w:cs="宋体"/>
          <w:color w:val="auto"/>
          <w:sz w:val="24"/>
          <w:szCs w:val="24"/>
          <w:highlight w:val="none"/>
        </w:rPr>
        <w:t>日签字生效，委托期限：</w:t>
      </w:r>
      <w:r>
        <w:rPr>
          <w:rFonts w:hint="eastAsia" w:hAnsi="宋体" w:cs="宋体"/>
          <w:color w:val="auto"/>
          <w:spacing w:val="10"/>
          <w:sz w:val="24"/>
          <w:szCs w:val="24"/>
          <w:highlight w:val="none"/>
          <w:u w:val="single"/>
        </w:rPr>
        <w:t xml:space="preserve">         </w:t>
      </w:r>
      <w:r>
        <w:rPr>
          <w:rFonts w:hint="eastAsia" w:hAnsi="宋体" w:cs="宋体"/>
          <w:color w:val="auto"/>
          <w:sz w:val="24"/>
          <w:szCs w:val="24"/>
          <w:highlight w:val="none"/>
        </w:rPr>
        <w:t>。</w:t>
      </w:r>
    </w:p>
    <w:p w14:paraId="0861269C">
      <w:pPr>
        <w:pStyle w:val="16"/>
        <w:keepNext w:val="0"/>
        <w:keepLines w:val="0"/>
        <w:pageBreakBefore w:val="0"/>
        <w:widowControl w:val="0"/>
        <w:shd w:val="clear"/>
        <w:kinsoku/>
        <w:wordWrap/>
        <w:overflowPunct/>
        <w:topLinePunct w:val="0"/>
        <w:autoSpaceDE/>
        <w:autoSpaceDN/>
        <w:bidi w:val="0"/>
        <w:adjustRightInd/>
        <w:snapToGrid/>
        <w:spacing w:line="400" w:lineRule="exact"/>
        <w:ind w:firstLine="420"/>
        <w:textAlignment w:val="auto"/>
        <w:rPr>
          <w:rFonts w:hAnsi="宋体" w:cs="宋体"/>
          <w:color w:val="auto"/>
          <w:sz w:val="24"/>
          <w:szCs w:val="24"/>
          <w:highlight w:val="none"/>
        </w:rPr>
      </w:pPr>
      <w:r>
        <w:rPr>
          <w:rFonts w:hint="eastAsia" w:hAnsi="宋体" w:cs="宋体"/>
          <w:color w:val="auto"/>
          <w:sz w:val="24"/>
          <w:szCs w:val="24"/>
          <w:highlight w:val="none"/>
        </w:rPr>
        <w:t>代理人无转委托权。</w:t>
      </w:r>
    </w:p>
    <w:p w14:paraId="357F88B1">
      <w:pPr>
        <w:keepNext w:val="0"/>
        <w:keepLines w:val="0"/>
        <w:pageBreakBefore w:val="0"/>
        <w:widowControl w:val="0"/>
        <w:shd w:val="clear"/>
        <w:kinsoku/>
        <w:wordWrap/>
        <w:overflowPunct/>
        <w:topLinePunct w:val="0"/>
        <w:bidi w:val="0"/>
        <w:spacing w:line="400" w:lineRule="exact"/>
        <w:textAlignment w:val="auto"/>
        <w:rPr>
          <w:rFonts w:ascii="宋体" w:hAnsi="宋体" w:cs="宋体"/>
          <w:color w:val="auto"/>
          <w:sz w:val="24"/>
          <w:highlight w:val="none"/>
        </w:rPr>
      </w:pPr>
    </w:p>
    <w:p w14:paraId="743541FB">
      <w:pPr>
        <w:pStyle w:val="16"/>
        <w:keepNext w:val="0"/>
        <w:keepLines w:val="0"/>
        <w:pageBreakBefore w:val="0"/>
        <w:widowControl w:val="0"/>
        <w:shd w:val="clear"/>
        <w:kinsoku/>
        <w:wordWrap/>
        <w:overflowPunct/>
        <w:topLinePunct w:val="0"/>
        <w:bidi w:val="0"/>
        <w:spacing w:line="400" w:lineRule="exact"/>
        <w:ind w:firstLine="420"/>
        <w:textAlignment w:val="auto"/>
        <w:rPr>
          <w:rFonts w:hAnsi="宋体" w:cs="宋体"/>
          <w:color w:val="auto"/>
          <w:sz w:val="24"/>
          <w:szCs w:val="24"/>
          <w:highlight w:val="none"/>
          <w:u w:val="single"/>
        </w:rPr>
      </w:pPr>
      <w:r>
        <w:rPr>
          <w:rFonts w:hint="eastAsia" w:hAnsi="宋体" w:cs="宋体"/>
          <w:color w:val="auto"/>
          <w:sz w:val="24"/>
          <w:szCs w:val="24"/>
          <w:highlight w:val="none"/>
        </w:rPr>
        <w:t>供应商（或联合体</w:t>
      </w:r>
      <w:r>
        <w:rPr>
          <w:rFonts w:hint="eastAsia" w:hAnsi="宋体" w:cs="宋体"/>
          <w:color w:val="auto"/>
          <w:sz w:val="24"/>
          <w:szCs w:val="24"/>
          <w:highlight w:val="none"/>
          <w:lang w:val="en-US" w:eastAsia="zh-CN"/>
        </w:rPr>
        <w:t>响应</w:t>
      </w:r>
      <w:r>
        <w:rPr>
          <w:rFonts w:hint="eastAsia" w:hAnsi="宋体" w:cs="宋体"/>
          <w:color w:val="auto"/>
          <w:sz w:val="24"/>
          <w:szCs w:val="24"/>
          <w:highlight w:val="none"/>
        </w:rPr>
        <w:t>牵头人名称）（电子签章）：</w:t>
      </w:r>
      <w:r>
        <w:rPr>
          <w:rFonts w:hint="eastAsia" w:hAnsi="宋体" w:cs="宋体"/>
          <w:color w:val="auto"/>
          <w:sz w:val="24"/>
          <w:szCs w:val="24"/>
          <w:highlight w:val="none"/>
          <w:u w:val="single"/>
        </w:rPr>
        <w:t xml:space="preserve">                            </w:t>
      </w:r>
    </w:p>
    <w:p w14:paraId="688A8102">
      <w:pPr>
        <w:pStyle w:val="16"/>
        <w:keepNext w:val="0"/>
        <w:keepLines w:val="0"/>
        <w:pageBreakBefore w:val="0"/>
        <w:widowControl w:val="0"/>
        <w:shd w:val="clear"/>
        <w:kinsoku/>
        <w:wordWrap/>
        <w:overflowPunct/>
        <w:topLinePunct w:val="0"/>
        <w:bidi w:val="0"/>
        <w:spacing w:line="400" w:lineRule="exact"/>
        <w:ind w:firstLine="420"/>
        <w:textAlignment w:val="auto"/>
        <w:rPr>
          <w:rFonts w:hAnsi="宋体" w:cs="宋体"/>
          <w:color w:val="auto"/>
          <w:sz w:val="24"/>
          <w:szCs w:val="24"/>
          <w:highlight w:val="none"/>
          <w:u w:val="single"/>
        </w:rPr>
      </w:pPr>
      <w:r>
        <w:rPr>
          <w:rFonts w:hint="eastAsia" w:hAnsi="宋体" w:cs="宋体"/>
          <w:color w:val="auto"/>
          <w:sz w:val="24"/>
          <w:szCs w:val="24"/>
          <w:highlight w:val="none"/>
        </w:rPr>
        <w:t>法定代表人</w:t>
      </w:r>
      <w:r>
        <w:rPr>
          <w:rFonts w:hint="eastAsia" w:ascii="宋体" w:hAnsi="宋体" w:eastAsia="宋体" w:cs="宋体"/>
          <w:color w:val="auto"/>
          <w:sz w:val="24"/>
          <w:szCs w:val="24"/>
          <w:highlight w:val="none"/>
        </w:rPr>
        <w:t>（签字或盖章）</w:t>
      </w:r>
      <w:r>
        <w:rPr>
          <w:rFonts w:hint="eastAsia" w:hAnsi="宋体" w:cs="宋体"/>
          <w:color w:val="auto"/>
          <w:sz w:val="24"/>
          <w:szCs w:val="24"/>
          <w:highlight w:val="none"/>
        </w:rPr>
        <w:t>：</w:t>
      </w:r>
      <w:r>
        <w:rPr>
          <w:rFonts w:hint="eastAsia" w:hAnsi="宋体" w:cs="宋体"/>
          <w:color w:val="auto"/>
          <w:sz w:val="24"/>
          <w:szCs w:val="24"/>
          <w:highlight w:val="none"/>
          <w:u w:val="single"/>
        </w:rPr>
        <w:t xml:space="preserve">                                </w:t>
      </w:r>
    </w:p>
    <w:p w14:paraId="78B7BE5E">
      <w:pPr>
        <w:pStyle w:val="16"/>
        <w:keepNext w:val="0"/>
        <w:keepLines w:val="0"/>
        <w:pageBreakBefore w:val="0"/>
        <w:widowControl w:val="0"/>
        <w:shd w:val="clear"/>
        <w:kinsoku/>
        <w:wordWrap/>
        <w:overflowPunct/>
        <w:topLinePunct w:val="0"/>
        <w:bidi w:val="0"/>
        <w:spacing w:line="400" w:lineRule="exact"/>
        <w:ind w:firstLine="420"/>
        <w:textAlignment w:val="auto"/>
        <w:rPr>
          <w:rFonts w:hAnsi="宋体" w:cs="宋体"/>
          <w:color w:val="auto"/>
          <w:sz w:val="24"/>
          <w:szCs w:val="24"/>
          <w:highlight w:val="none"/>
          <w:u w:val="single"/>
        </w:rPr>
      </w:pPr>
      <w:r>
        <w:rPr>
          <w:rFonts w:hint="eastAsia" w:hAnsi="宋体" w:cs="宋体"/>
          <w:color w:val="auto"/>
          <w:sz w:val="24"/>
          <w:szCs w:val="24"/>
          <w:highlight w:val="none"/>
        </w:rPr>
        <w:t>法定代表人身份证号码：</w:t>
      </w:r>
      <w:r>
        <w:rPr>
          <w:rFonts w:hint="eastAsia" w:hAnsi="宋体" w:cs="宋体"/>
          <w:color w:val="auto"/>
          <w:sz w:val="24"/>
          <w:szCs w:val="24"/>
          <w:highlight w:val="none"/>
          <w:u w:val="single"/>
        </w:rPr>
        <w:t xml:space="preserve">                                   </w:t>
      </w:r>
    </w:p>
    <w:p w14:paraId="3D2557FF">
      <w:pPr>
        <w:pStyle w:val="16"/>
        <w:keepNext w:val="0"/>
        <w:keepLines w:val="0"/>
        <w:pageBreakBefore w:val="0"/>
        <w:widowControl w:val="0"/>
        <w:shd w:val="clear"/>
        <w:kinsoku/>
        <w:wordWrap/>
        <w:overflowPunct/>
        <w:topLinePunct w:val="0"/>
        <w:bidi w:val="0"/>
        <w:spacing w:line="400" w:lineRule="exact"/>
        <w:ind w:firstLine="480" w:firstLineChars="200"/>
        <w:textAlignment w:val="auto"/>
        <w:rPr>
          <w:rFonts w:hAnsi="宋体" w:cs="宋体"/>
          <w:color w:val="auto"/>
          <w:sz w:val="24"/>
          <w:szCs w:val="24"/>
          <w:highlight w:val="none"/>
        </w:rPr>
      </w:pPr>
      <w:r>
        <w:rPr>
          <w:rFonts w:hint="eastAsia" w:hAnsi="宋体" w:cs="宋体"/>
          <w:color w:val="auto"/>
          <w:sz w:val="24"/>
          <w:szCs w:val="24"/>
          <w:highlight w:val="none"/>
        </w:rPr>
        <w:t>委托代理人（</w:t>
      </w:r>
      <w:r>
        <w:rPr>
          <w:rFonts w:hint="eastAsia" w:ascii="宋体" w:hAnsi="宋体" w:eastAsia="宋体" w:cs="宋体"/>
          <w:color w:val="auto"/>
          <w:sz w:val="24"/>
          <w:szCs w:val="24"/>
          <w:highlight w:val="none"/>
        </w:rPr>
        <w:t>签字或盖章</w:t>
      </w:r>
      <w:r>
        <w:rPr>
          <w:rFonts w:hint="eastAsia" w:hAnsi="宋体" w:cs="宋体"/>
          <w:color w:val="auto"/>
          <w:sz w:val="24"/>
          <w:szCs w:val="24"/>
          <w:highlight w:val="none"/>
        </w:rPr>
        <w:t>）：</w:t>
      </w:r>
      <w:r>
        <w:rPr>
          <w:rFonts w:hint="eastAsia" w:hAnsi="宋体" w:cs="宋体"/>
          <w:color w:val="auto"/>
          <w:sz w:val="24"/>
          <w:szCs w:val="24"/>
          <w:highlight w:val="none"/>
          <w:u w:val="single"/>
        </w:rPr>
        <w:t xml:space="preserve">                                </w:t>
      </w:r>
    </w:p>
    <w:p w14:paraId="01DFD127">
      <w:pPr>
        <w:pStyle w:val="16"/>
        <w:keepNext w:val="0"/>
        <w:keepLines w:val="0"/>
        <w:pageBreakBefore w:val="0"/>
        <w:widowControl w:val="0"/>
        <w:shd w:val="clear"/>
        <w:kinsoku/>
        <w:wordWrap/>
        <w:overflowPunct/>
        <w:topLinePunct w:val="0"/>
        <w:bidi w:val="0"/>
        <w:spacing w:line="400" w:lineRule="exact"/>
        <w:ind w:firstLine="420"/>
        <w:textAlignment w:val="auto"/>
        <w:rPr>
          <w:rFonts w:hAnsi="宋体" w:cs="宋体"/>
          <w:color w:val="auto"/>
          <w:sz w:val="24"/>
          <w:szCs w:val="24"/>
          <w:highlight w:val="none"/>
          <w:u w:val="single"/>
        </w:rPr>
      </w:pPr>
      <w:r>
        <w:rPr>
          <w:rFonts w:hint="eastAsia" w:hAnsi="宋体" w:cs="宋体"/>
          <w:color w:val="auto"/>
          <w:sz w:val="24"/>
          <w:szCs w:val="24"/>
          <w:highlight w:val="none"/>
        </w:rPr>
        <w:t>委托代理人身份证号码：</w:t>
      </w:r>
      <w:r>
        <w:rPr>
          <w:rFonts w:hint="eastAsia" w:hAnsi="宋体" w:cs="宋体"/>
          <w:color w:val="auto"/>
          <w:sz w:val="24"/>
          <w:szCs w:val="24"/>
          <w:highlight w:val="none"/>
          <w:u w:val="single"/>
        </w:rPr>
        <w:t xml:space="preserve">                                   </w:t>
      </w:r>
    </w:p>
    <w:p w14:paraId="28A74AC5">
      <w:pPr>
        <w:keepNext w:val="0"/>
        <w:keepLines w:val="0"/>
        <w:pageBreakBefore w:val="0"/>
        <w:widowControl w:val="0"/>
        <w:shd w:val="clear"/>
        <w:kinsoku/>
        <w:wordWrap/>
        <w:overflowPunct/>
        <w:topLinePunct w:val="0"/>
        <w:bidi w:val="0"/>
        <w:spacing w:line="400" w:lineRule="exact"/>
        <w:textAlignment w:val="auto"/>
        <w:rPr>
          <w:rFonts w:ascii="宋体" w:hAnsi="宋体" w:cs="宋体"/>
          <w:color w:val="auto"/>
          <w:sz w:val="24"/>
          <w:highlight w:val="none"/>
        </w:rPr>
      </w:pPr>
    </w:p>
    <w:p w14:paraId="195890FD">
      <w:pPr>
        <w:pStyle w:val="16"/>
        <w:keepNext w:val="0"/>
        <w:keepLines w:val="0"/>
        <w:pageBreakBefore w:val="0"/>
        <w:widowControl w:val="0"/>
        <w:shd w:val="clear"/>
        <w:kinsoku/>
        <w:wordWrap/>
        <w:overflowPunct/>
        <w:topLinePunct w:val="0"/>
        <w:bidi w:val="0"/>
        <w:spacing w:line="400" w:lineRule="exact"/>
        <w:ind w:firstLine="420"/>
        <w:textAlignment w:val="auto"/>
        <w:rPr>
          <w:rFonts w:hAnsi="宋体" w:cs="宋体"/>
          <w:color w:val="auto"/>
          <w:sz w:val="24"/>
          <w:szCs w:val="24"/>
          <w:highlight w:val="none"/>
          <w:u w:val="single"/>
        </w:rPr>
      </w:pPr>
      <w:r>
        <w:rPr>
          <w:rFonts w:hint="eastAsia" w:hAnsi="宋体" w:cs="宋体"/>
          <w:color w:val="auto"/>
          <w:sz w:val="24"/>
          <w:szCs w:val="24"/>
          <w:highlight w:val="none"/>
        </w:rPr>
        <w:t>成员一名称（电子签章）：</w:t>
      </w:r>
      <w:r>
        <w:rPr>
          <w:rFonts w:hint="eastAsia" w:hAnsi="宋体" w:cs="宋体"/>
          <w:color w:val="auto"/>
          <w:sz w:val="24"/>
          <w:szCs w:val="24"/>
          <w:highlight w:val="none"/>
          <w:u w:val="single"/>
        </w:rPr>
        <w:t xml:space="preserve">                                    </w:t>
      </w:r>
    </w:p>
    <w:p w14:paraId="2FAD267B">
      <w:pPr>
        <w:pStyle w:val="16"/>
        <w:keepNext w:val="0"/>
        <w:keepLines w:val="0"/>
        <w:pageBreakBefore w:val="0"/>
        <w:widowControl w:val="0"/>
        <w:shd w:val="clear"/>
        <w:kinsoku/>
        <w:wordWrap/>
        <w:overflowPunct/>
        <w:topLinePunct w:val="0"/>
        <w:bidi w:val="0"/>
        <w:spacing w:line="400" w:lineRule="exact"/>
        <w:ind w:firstLine="420"/>
        <w:textAlignment w:val="auto"/>
        <w:rPr>
          <w:rFonts w:hAnsi="宋体" w:cs="宋体"/>
          <w:color w:val="auto"/>
          <w:sz w:val="24"/>
          <w:szCs w:val="24"/>
          <w:highlight w:val="none"/>
          <w:u w:val="single"/>
        </w:rPr>
      </w:pPr>
      <w:r>
        <w:rPr>
          <w:rFonts w:hint="eastAsia" w:hAnsi="宋体" w:cs="宋体"/>
          <w:color w:val="auto"/>
          <w:sz w:val="24"/>
          <w:szCs w:val="24"/>
          <w:highlight w:val="none"/>
        </w:rPr>
        <w:t>法定代表人（</w:t>
      </w:r>
      <w:r>
        <w:rPr>
          <w:rFonts w:hint="eastAsia" w:ascii="宋体" w:hAnsi="宋体" w:eastAsia="宋体" w:cs="宋体"/>
          <w:color w:val="auto"/>
          <w:sz w:val="24"/>
          <w:szCs w:val="24"/>
          <w:highlight w:val="none"/>
        </w:rPr>
        <w:t>签字或盖章</w:t>
      </w:r>
      <w:r>
        <w:rPr>
          <w:rFonts w:hint="eastAsia" w:hAnsi="宋体" w:cs="宋体"/>
          <w:color w:val="auto"/>
          <w:sz w:val="24"/>
          <w:szCs w:val="24"/>
          <w:highlight w:val="none"/>
        </w:rPr>
        <w:t>）：</w:t>
      </w:r>
      <w:r>
        <w:rPr>
          <w:rFonts w:hint="eastAsia" w:hAnsi="宋体" w:cs="宋体"/>
          <w:color w:val="auto"/>
          <w:sz w:val="24"/>
          <w:szCs w:val="24"/>
          <w:highlight w:val="none"/>
          <w:u w:val="single"/>
        </w:rPr>
        <w:t xml:space="preserve">                                </w:t>
      </w:r>
    </w:p>
    <w:p w14:paraId="170E96DE">
      <w:pPr>
        <w:keepNext w:val="0"/>
        <w:keepLines w:val="0"/>
        <w:pageBreakBefore w:val="0"/>
        <w:widowControl w:val="0"/>
        <w:shd w:val="clear"/>
        <w:kinsoku/>
        <w:wordWrap/>
        <w:overflowPunct/>
        <w:topLinePunct w:val="0"/>
        <w:bidi w:val="0"/>
        <w:spacing w:line="400" w:lineRule="exact"/>
        <w:textAlignment w:val="auto"/>
        <w:rPr>
          <w:rFonts w:ascii="宋体" w:hAnsi="宋体" w:cs="宋体"/>
          <w:color w:val="auto"/>
          <w:sz w:val="24"/>
          <w:highlight w:val="none"/>
        </w:rPr>
      </w:pPr>
    </w:p>
    <w:p w14:paraId="0FE48FF7">
      <w:pPr>
        <w:keepNext w:val="0"/>
        <w:keepLines w:val="0"/>
        <w:pageBreakBefore w:val="0"/>
        <w:widowControl w:val="0"/>
        <w:shd w:val="clear"/>
        <w:kinsoku/>
        <w:wordWrap/>
        <w:overflowPunct/>
        <w:topLinePunct w:val="0"/>
        <w:autoSpaceDE w:val="0"/>
        <w:autoSpaceDN w:val="0"/>
        <w:bidi w:val="0"/>
        <w:adjustRightInd w:val="0"/>
        <w:spacing w:line="400" w:lineRule="exact"/>
        <w:ind w:firstLine="480" w:firstLineChars="20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成员二名称（电子签章）：</w:t>
      </w:r>
      <w:r>
        <w:rPr>
          <w:rFonts w:hint="eastAsia" w:ascii="宋体" w:hAnsi="宋体" w:cs="宋体"/>
          <w:color w:val="auto"/>
          <w:kern w:val="0"/>
          <w:sz w:val="24"/>
          <w:highlight w:val="none"/>
          <w:u w:val="single"/>
        </w:rPr>
        <w:t xml:space="preserve">                                       </w:t>
      </w:r>
    </w:p>
    <w:p w14:paraId="5947EF4A">
      <w:pPr>
        <w:keepNext w:val="0"/>
        <w:keepLines w:val="0"/>
        <w:pageBreakBefore w:val="0"/>
        <w:widowControl w:val="0"/>
        <w:shd w:val="clear"/>
        <w:kinsoku/>
        <w:wordWrap/>
        <w:overflowPunct/>
        <w:topLinePunct w:val="0"/>
        <w:autoSpaceDE w:val="0"/>
        <w:autoSpaceDN w:val="0"/>
        <w:bidi w:val="0"/>
        <w:adjustRightInd w:val="0"/>
        <w:spacing w:line="400" w:lineRule="exact"/>
        <w:ind w:firstLine="480" w:firstLineChars="20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法定代表人或其委托代理人</w:t>
      </w:r>
      <w:r>
        <w:rPr>
          <w:rFonts w:hint="eastAsia" w:ascii="宋体" w:hAnsi="宋体" w:eastAsia="宋体" w:cs="宋体"/>
          <w:color w:val="auto"/>
          <w:sz w:val="24"/>
          <w:szCs w:val="24"/>
          <w:highlight w:val="none"/>
        </w:rPr>
        <w:t>（签字或盖章）</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p>
    <w:p w14:paraId="6D47D853">
      <w:pPr>
        <w:pStyle w:val="16"/>
        <w:keepNext w:val="0"/>
        <w:keepLines w:val="0"/>
        <w:pageBreakBefore w:val="0"/>
        <w:widowControl w:val="0"/>
        <w:shd w:val="clear"/>
        <w:kinsoku/>
        <w:wordWrap/>
        <w:overflowPunct/>
        <w:topLinePunct w:val="0"/>
        <w:bidi w:val="0"/>
        <w:spacing w:line="400" w:lineRule="exact"/>
        <w:ind w:firstLine="480" w:firstLineChars="200"/>
        <w:textAlignment w:val="auto"/>
        <w:rPr>
          <w:rFonts w:hAnsi="宋体" w:cs="宋体"/>
          <w:color w:val="auto"/>
          <w:sz w:val="24"/>
          <w:szCs w:val="24"/>
          <w:highlight w:val="none"/>
        </w:rPr>
      </w:pPr>
      <w:r>
        <w:rPr>
          <w:rFonts w:hint="eastAsia" w:hAnsi="宋体" w:cs="宋体"/>
          <w:color w:val="auto"/>
          <w:sz w:val="24"/>
          <w:szCs w:val="24"/>
          <w:highlight w:val="none"/>
        </w:rPr>
        <w:t>……</w:t>
      </w:r>
    </w:p>
    <w:p w14:paraId="123D3FF2">
      <w:pPr>
        <w:keepNext w:val="0"/>
        <w:keepLines w:val="0"/>
        <w:pageBreakBefore w:val="0"/>
        <w:widowControl w:val="0"/>
        <w:shd w:val="clear"/>
        <w:kinsoku/>
        <w:wordWrap/>
        <w:overflowPunct/>
        <w:topLinePunct w:val="0"/>
        <w:bidi w:val="0"/>
        <w:spacing w:line="400" w:lineRule="exact"/>
        <w:textAlignment w:val="auto"/>
        <w:rPr>
          <w:rFonts w:ascii="宋体" w:hAnsi="宋体" w:cs="宋体"/>
          <w:color w:val="auto"/>
          <w:sz w:val="24"/>
          <w:highlight w:val="none"/>
        </w:rPr>
      </w:pPr>
      <w:r>
        <w:rPr>
          <w:rFonts w:hint="eastAsia" w:ascii="宋体" w:hAnsi="宋体" w:cs="宋体"/>
          <w:color w:val="auto"/>
          <w:sz w:val="24"/>
          <w:highlight w:val="none"/>
        </w:rPr>
        <w:t>注：1.以联合体形式</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的，本授权委托书应由联合体牵头人的法定代表人按上述规定签署。</w:t>
      </w:r>
    </w:p>
    <w:p w14:paraId="5B28E592">
      <w:pPr>
        <w:keepNext w:val="0"/>
        <w:keepLines w:val="0"/>
        <w:pageBreakBefore w:val="0"/>
        <w:widowControl w:val="0"/>
        <w:shd w:val="clear"/>
        <w:kinsoku/>
        <w:wordWrap/>
        <w:overflowPunct/>
        <w:topLinePunct w:val="0"/>
        <w:bidi w:val="0"/>
        <w:snapToGrid w:val="0"/>
        <w:spacing w:before="50" w:after="156" w:afterLines="50" w:line="400" w:lineRule="exact"/>
        <w:jc w:val="left"/>
        <w:textAlignment w:val="auto"/>
        <w:rPr>
          <w:rFonts w:ascii="宋体" w:hAnsi="宋体" w:cs="宋体"/>
          <w:color w:val="auto"/>
          <w:sz w:val="24"/>
          <w:highlight w:val="none"/>
        </w:rPr>
      </w:pPr>
      <w:r>
        <w:rPr>
          <w:rFonts w:hint="eastAsia" w:ascii="宋体" w:hAnsi="宋体" w:cs="宋体"/>
          <w:color w:val="auto"/>
          <w:sz w:val="24"/>
          <w:highlight w:val="none"/>
        </w:rPr>
        <w:t>2.供应商为其他组织或者自然人时，本</w:t>
      </w:r>
      <w:r>
        <w:rPr>
          <w:rFonts w:hint="eastAsia" w:ascii="宋体" w:hAnsi="宋体" w:cs="宋体"/>
          <w:color w:val="auto"/>
          <w:sz w:val="24"/>
          <w:highlight w:val="none"/>
          <w:lang w:val="en-US" w:eastAsia="zh-CN"/>
        </w:rPr>
        <w:t>竞争性</w:t>
      </w:r>
      <w:r>
        <w:rPr>
          <w:rFonts w:hint="eastAsia" w:ascii="宋体" w:hAnsi="宋体" w:cs="宋体"/>
          <w:color w:val="auto"/>
          <w:sz w:val="24"/>
          <w:highlight w:val="none"/>
        </w:rPr>
        <w:t>谈判文件规定的法定代表人指负责人或者自然人。本</w:t>
      </w:r>
      <w:r>
        <w:rPr>
          <w:rFonts w:hint="eastAsia" w:ascii="宋体" w:hAnsi="宋体" w:cs="宋体"/>
          <w:color w:val="auto"/>
          <w:sz w:val="24"/>
          <w:highlight w:val="none"/>
          <w:lang w:val="en-US" w:eastAsia="zh-CN"/>
        </w:rPr>
        <w:t>竞争性</w:t>
      </w:r>
      <w:r>
        <w:rPr>
          <w:rFonts w:hint="eastAsia" w:ascii="宋体" w:hAnsi="宋体" w:cs="宋体"/>
          <w:color w:val="auto"/>
          <w:sz w:val="24"/>
          <w:highlight w:val="none"/>
        </w:rPr>
        <w:t>谈判文件所称负责人是指参加</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的其他组织营业执照上的负责人，本</w:t>
      </w:r>
      <w:r>
        <w:rPr>
          <w:rFonts w:hint="eastAsia" w:ascii="宋体" w:hAnsi="宋体" w:cs="宋体"/>
          <w:color w:val="auto"/>
          <w:sz w:val="24"/>
          <w:highlight w:val="none"/>
          <w:lang w:val="en-US" w:eastAsia="zh-CN"/>
        </w:rPr>
        <w:t>竞争性</w:t>
      </w:r>
      <w:r>
        <w:rPr>
          <w:rFonts w:hint="eastAsia" w:ascii="宋体" w:hAnsi="宋体" w:cs="宋体"/>
          <w:color w:val="auto"/>
          <w:sz w:val="24"/>
          <w:highlight w:val="none"/>
        </w:rPr>
        <w:t>谈判文件所称自然人指参与响应的自然人本人。</w:t>
      </w:r>
    </w:p>
    <w:p w14:paraId="7A0FE827">
      <w:pPr>
        <w:keepNext w:val="0"/>
        <w:keepLines w:val="0"/>
        <w:pageBreakBefore w:val="0"/>
        <w:widowControl w:val="0"/>
        <w:shd w:val="clear"/>
        <w:kinsoku/>
        <w:wordWrap/>
        <w:overflowPunct/>
        <w:topLinePunct w:val="0"/>
        <w:bidi w:val="0"/>
        <w:snapToGrid w:val="0"/>
        <w:spacing w:before="50" w:after="156" w:afterLines="50" w:line="400" w:lineRule="exact"/>
        <w:jc w:val="left"/>
        <w:textAlignment w:val="auto"/>
        <w:rPr>
          <w:rFonts w:ascii="宋体" w:hAnsi="宋体" w:cs="宋体"/>
          <w:color w:val="auto"/>
          <w:sz w:val="24"/>
          <w:highlight w:val="none"/>
        </w:rPr>
      </w:pPr>
      <w:r>
        <w:rPr>
          <w:rFonts w:hint="eastAsia" w:ascii="宋体" w:hAnsi="宋体" w:cs="宋体"/>
          <w:color w:val="auto"/>
          <w:sz w:val="24"/>
          <w:highlight w:val="none"/>
        </w:rPr>
        <w:t>3. 若为联合体</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须各方签字或盖章。</w:t>
      </w:r>
    </w:p>
    <w:p w14:paraId="46BD3442">
      <w:pPr>
        <w:shd w:val="clear"/>
        <w:spacing w:line="360" w:lineRule="auto"/>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附件：</w:t>
      </w:r>
    </w:p>
    <w:tbl>
      <w:tblPr>
        <w:tblStyle w:val="28"/>
        <w:tblpPr w:leftFromText="180" w:rightFromText="180" w:vertAnchor="text" w:horzAnchor="margin" w:tblpY="263"/>
        <w:tblW w:w="8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14:paraId="2325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8940" w:type="dxa"/>
          </w:tcPr>
          <w:p w14:paraId="679166CD">
            <w:pPr>
              <w:shd w:val="clear"/>
              <w:spacing w:line="360" w:lineRule="auto"/>
              <w:rPr>
                <w:rFonts w:ascii="宋体" w:hAnsi="宋体" w:cs="宋体"/>
                <w:b/>
                <w:color w:val="auto"/>
                <w:sz w:val="24"/>
                <w:highlight w:val="none"/>
              </w:rPr>
            </w:pPr>
          </w:p>
          <w:p w14:paraId="49402B2E">
            <w:pPr>
              <w:shd w:val="clear"/>
              <w:spacing w:line="360" w:lineRule="auto"/>
              <w:rPr>
                <w:rFonts w:ascii="宋体" w:hAnsi="宋体" w:cs="宋体"/>
                <w:b/>
                <w:color w:val="auto"/>
                <w:sz w:val="24"/>
                <w:highlight w:val="none"/>
              </w:rPr>
            </w:pPr>
            <w:r>
              <w:rPr>
                <w:rFonts w:hint="eastAsia" w:ascii="宋体" w:hAnsi="宋体" w:cs="宋体"/>
                <w:b/>
                <w:color w:val="auto"/>
                <w:sz w:val="24"/>
                <w:highlight w:val="none"/>
              </w:rPr>
              <w:t>全权代表身份证复印件粘贴处（正、反面）</w:t>
            </w:r>
          </w:p>
        </w:tc>
      </w:tr>
    </w:tbl>
    <w:p w14:paraId="6D66CBF7">
      <w:pPr>
        <w:shd w:val="clear"/>
        <w:snapToGrid w:val="0"/>
        <w:spacing w:before="50" w:after="156" w:afterLines="50" w:line="360" w:lineRule="auto"/>
        <w:jc w:val="left"/>
        <w:rPr>
          <w:rFonts w:ascii="宋体" w:hAnsi="宋体" w:cs="宋体"/>
          <w:color w:val="auto"/>
          <w:szCs w:val="21"/>
          <w:highlight w:val="none"/>
        </w:rPr>
      </w:pPr>
    </w:p>
    <w:p w14:paraId="63B2273A">
      <w:pPr>
        <w:shd w:val="clea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 </w:t>
      </w:r>
    </w:p>
    <w:p w14:paraId="419FCEEA">
      <w:pPr>
        <w:pStyle w:val="19"/>
        <w:shd w:val="clear"/>
        <w:rPr>
          <w:rFonts w:ascii="宋体" w:hAnsi="宋体" w:cs="宋体"/>
          <w:color w:val="auto"/>
          <w:highlight w:val="none"/>
        </w:rPr>
      </w:pPr>
    </w:p>
    <w:p w14:paraId="734C4832">
      <w:pPr>
        <w:shd w:val="clear"/>
        <w:jc w:val="center"/>
        <w:rPr>
          <w:rFonts w:ascii="宋体" w:hAnsi="宋体" w:cs="宋体"/>
          <w:bCs/>
          <w:color w:val="auto"/>
          <w:sz w:val="44"/>
          <w:szCs w:val="44"/>
          <w:highlight w:val="none"/>
        </w:rPr>
      </w:pPr>
      <w:r>
        <w:rPr>
          <w:rFonts w:hint="eastAsia" w:ascii="宋体" w:hAnsi="宋体" w:cs="宋体"/>
          <w:color w:val="auto"/>
          <w:highlight w:val="none"/>
        </w:rPr>
        <w:br w:type="page"/>
      </w:r>
      <w:r>
        <w:rPr>
          <w:rFonts w:hint="eastAsia" w:ascii="宋体" w:hAnsi="宋体" w:cs="宋体"/>
          <w:b/>
          <w:bCs/>
          <w:color w:val="auto"/>
          <w:sz w:val="32"/>
          <w:szCs w:val="32"/>
          <w:highlight w:val="none"/>
        </w:rPr>
        <w:t>四、商务条款偏离表</w:t>
      </w:r>
    </w:p>
    <w:p w14:paraId="013BE5BF">
      <w:pPr>
        <w:shd w:val="clear"/>
        <w:spacing w:line="500" w:lineRule="exact"/>
        <w:jc w:val="center"/>
        <w:rPr>
          <w:rFonts w:ascii="宋体" w:hAnsi="宋体" w:cs="宋体"/>
          <w:b/>
          <w:color w:val="auto"/>
          <w:sz w:val="32"/>
          <w:szCs w:val="32"/>
          <w:highlight w:val="none"/>
        </w:rPr>
      </w:pPr>
      <w:r>
        <w:rPr>
          <w:rFonts w:hint="eastAsia" w:ascii="宋体" w:hAnsi="宋体" w:cs="宋体"/>
          <w:bCs/>
          <w:color w:val="auto"/>
          <w:sz w:val="32"/>
          <w:szCs w:val="32"/>
          <w:highlight w:val="none"/>
        </w:rPr>
        <w:t>（注：按采购需求具体条款修改）</w:t>
      </w:r>
    </w:p>
    <w:p w14:paraId="705B3CE2">
      <w:pPr>
        <w:shd w:val="clear"/>
        <w:rPr>
          <w:rFonts w:ascii="宋体" w:hAnsi="宋体" w:cs="宋体"/>
          <w:color w:val="auto"/>
          <w:highlight w:val="none"/>
        </w:rPr>
      </w:pPr>
    </w:p>
    <w:p w14:paraId="6DDB2497">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p>
    <w:p w14:paraId="32F29F26">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1E5B757E">
      <w:pPr>
        <w:pStyle w:val="19"/>
        <w:shd w:val="clear"/>
        <w:rPr>
          <w:rFonts w:ascii="宋体" w:hAnsi="宋体" w:cs="宋体"/>
          <w:color w:val="auto"/>
          <w:sz w:val="24"/>
          <w:szCs w:val="24"/>
          <w:highlight w:val="none"/>
        </w:rPr>
      </w:pPr>
      <w:r>
        <w:rPr>
          <w:rFonts w:hint="eastAsia" w:ascii="宋体" w:hAnsi="宋体" w:cs="宋体"/>
          <w:color w:val="auto"/>
          <w:sz w:val="24"/>
          <w:szCs w:val="24"/>
          <w:highlight w:val="none"/>
        </w:rPr>
        <w:t>分标号（此处有分标时填写具体分标号，无分标时填写“无”）：</w:t>
      </w:r>
      <w:r>
        <w:rPr>
          <w:rFonts w:hint="eastAsia" w:ascii="宋体" w:hAnsi="宋体" w:cs="宋体"/>
          <w:color w:val="auto"/>
          <w:sz w:val="24"/>
          <w:szCs w:val="24"/>
          <w:highlight w:val="none"/>
          <w:u w:val="single"/>
        </w:rPr>
        <w:t xml:space="preserve">               </w:t>
      </w:r>
    </w:p>
    <w:p w14:paraId="23963831">
      <w:pPr>
        <w:shd w:val="clear"/>
        <w:snapToGrid w:val="0"/>
        <w:spacing w:before="50" w:line="360" w:lineRule="auto"/>
        <w:jc w:val="left"/>
        <w:rPr>
          <w:rFonts w:ascii="宋体" w:hAnsi="宋体" w:cs="宋体"/>
          <w:color w:val="auto"/>
          <w:sz w:val="24"/>
          <w:highlight w:val="none"/>
          <w:u w:val="single"/>
        </w:rPr>
      </w:pPr>
    </w:p>
    <w:tbl>
      <w:tblPr>
        <w:tblStyle w:val="28"/>
        <w:tblpPr w:leftFromText="180" w:rightFromText="180" w:vertAnchor="text" w:horzAnchor="margin" w:tblpY="-9"/>
        <w:tblOverlap w:val="never"/>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88"/>
        <w:gridCol w:w="2768"/>
        <w:gridCol w:w="2040"/>
        <w:gridCol w:w="2112"/>
      </w:tblGrid>
      <w:tr w14:paraId="338D64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388" w:type="dxa"/>
            <w:tcBorders>
              <w:top w:val="single" w:color="auto" w:sz="4" w:space="0"/>
              <w:left w:val="single" w:color="auto" w:sz="4" w:space="0"/>
              <w:bottom w:val="single" w:color="auto" w:sz="4" w:space="0"/>
              <w:right w:val="single" w:color="auto" w:sz="4" w:space="0"/>
            </w:tcBorders>
            <w:vAlign w:val="center"/>
          </w:tcPr>
          <w:p w14:paraId="487A5758">
            <w:pPr>
              <w:shd w:val="clear"/>
              <w:snapToGrid w:val="0"/>
              <w:spacing w:before="156" w:beforeLines="50" w:line="360" w:lineRule="auto"/>
              <w:jc w:val="center"/>
              <w:rPr>
                <w:rFonts w:ascii="宋体" w:hAnsi="宋体" w:cs="宋体"/>
                <w:color w:val="auto"/>
                <w:sz w:val="24"/>
                <w:highlight w:val="none"/>
              </w:rPr>
            </w:pPr>
            <w:r>
              <w:rPr>
                <w:rFonts w:hint="eastAsia" w:ascii="宋体" w:hAnsi="宋体" w:cs="宋体"/>
                <w:color w:val="auto"/>
                <w:sz w:val="24"/>
                <w:highlight w:val="none"/>
              </w:rPr>
              <w:t>项号</w:t>
            </w:r>
          </w:p>
        </w:tc>
        <w:tc>
          <w:tcPr>
            <w:tcW w:w="2768" w:type="dxa"/>
            <w:tcBorders>
              <w:top w:val="single" w:color="auto" w:sz="4" w:space="0"/>
              <w:left w:val="single" w:color="auto" w:sz="4" w:space="0"/>
              <w:bottom w:val="single" w:color="auto" w:sz="4" w:space="0"/>
              <w:right w:val="single" w:color="auto" w:sz="4" w:space="0"/>
            </w:tcBorders>
            <w:vAlign w:val="center"/>
          </w:tcPr>
          <w:p w14:paraId="430E84E1">
            <w:pPr>
              <w:shd w:val="clear"/>
              <w:snapToGrid w:val="0"/>
              <w:spacing w:before="156" w:beforeLines="50"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竞争性</w:t>
            </w:r>
            <w:r>
              <w:rPr>
                <w:rFonts w:hint="eastAsia" w:ascii="宋体" w:hAnsi="宋体" w:cs="宋体"/>
                <w:color w:val="auto"/>
                <w:sz w:val="24"/>
                <w:highlight w:val="none"/>
              </w:rPr>
              <w:t>谈判文件</w:t>
            </w:r>
            <w:r>
              <w:rPr>
                <w:rFonts w:hint="eastAsia" w:ascii="宋体" w:hAnsi="宋体" w:cs="宋体"/>
                <w:color w:val="auto"/>
                <w:sz w:val="24"/>
                <w:highlight w:val="none"/>
                <w:lang w:eastAsia="zh-CN"/>
              </w:rPr>
              <w:t>的</w:t>
            </w:r>
            <w:r>
              <w:rPr>
                <w:rFonts w:hint="eastAsia" w:ascii="宋体" w:hAnsi="宋体" w:cs="宋体"/>
                <w:color w:val="auto"/>
                <w:sz w:val="24"/>
                <w:highlight w:val="none"/>
              </w:rPr>
              <w:t>商务条款要求</w:t>
            </w:r>
          </w:p>
        </w:tc>
        <w:tc>
          <w:tcPr>
            <w:tcW w:w="2040" w:type="dxa"/>
            <w:tcBorders>
              <w:top w:val="single" w:color="auto" w:sz="4" w:space="0"/>
              <w:left w:val="single" w:color="auto" w:sz="4" w:space="0"/>
              <w:bottom w:val="single" w:color="auto" w:sz="4" w:space="0"/>
              <w:right w:val="single" w:color="auto" w:sz="4" w:space="0"/>
            </w:tcBorders>
            <w:vAlign w:val="center"/>
          </w:tcPr>
          <w:p w14:paraId="0687F146">
            <w:pPr>
              <w:shd w:val="clear"/>
              <w:snapToGrid w:val="0"/>
              <w:spacing w:before="156" w:beforeLines="50" w:line="360" w:lineRule="auto"/>
              <w:jc w:val="center"/>
              <w:rPr>
                <w:rFonts w:ascii="宋体" w:hAnsi="宋体" w:cs="宋体"/>
                <w:color w:val="auto"/>
                <w:sz w:val="24"/>
                <w:highlight w:val="none"/>
              </w:rPr>
            </w:pPr>
            <w:r>
              <w:rPr>
                <w:rFonts w:hint="eastAsia" w:ascii="宋体" w:hAnsi="宋体" w:cs="宋体"/>
                <w:color w:val="auto"/>
                <w:sz w:val="24"/>
                <w:highlight w:val="none"/>
              </w:rPr>
              <w:t>响应文件承诺的商务条款</w:t>
            </w:r>
          </w:p>
        </w:tc>
        <w:tc>
          <w:tcPr>
            <w:tcW w:w="2112" w:type="dxa"/>
            <w:tcBorders>
              <w:top w:val="single" w:color="auto" w:sz="4" w:space="0"/>
              <w:left w:val="single" w:color="auto" w:sz="4" w:space="0"/>
              <w:bottom w:val="single" w:color="auto" w:sz="4" w:space="0"/>
              <w:right w:val="single" w:color="auto" w:sz="4" w:space="0"/>
            </w:tcBorders>
            <w:vAlign w:val="center"/>
          </w:tcPr>
          <w:p w14:paraId="6DC95F67">
            <w:pPr>
              <w:shd w:val="clear"/>
              <w:snapToGrid w:val="0"/>
              <w:spacing w:before="156" w:beforeLines="50" w:line="360" w:lineRule="auto"/>
              <w:jc w:val="center"/>
              <w:rPr>
                <w:rFonts w:ascii="宋体" w:hAnsi="宋体" w:cs="宋体"/>
                <w:color w:val="auto"/>
                <w:sz w:val="24"/>
                <w:highlight w:val="none"/>
              </w:rPr>
            </w:pPr>
            <w:r>
              <w:rPr>
                <w:rFonts w:hint="eastAsia" w:ascii="宋体" w:hAnsi="宋体" w:cs="宋体"/>
                <w:color w:val="auto"/>
                <w:sz w:val="24"/>
                <w:highlight w:val="none"/>
              </w:rPr>
              <w:t>偏离说明</w:t>
            </w:r>
          </w:p>
        </w:tc>
      </w:tr>
      <w:tr w14:paraId="097287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388" w:type="dxa"/>
            <w:tcBorders>
              <w:top w:val="single" w:color="auto" w:sz="4" w:space="0"/>
              <w:left w:val="single" w:color="auto" w:sz="4" w:space="0"/>
              <w:bottom w:val="single" w:color="auto" w:sz="4" w:space="0"/>
              <w:right w:val="single" w:color="auto" w:sz="4" w:space="0"/>
            </w:tcBorders>
            <w:vAlign w:val="center"/>
          </w:tcPr>
          <w:p w14:paraId="73575860">
            <w:pPr>
              <w:shd w:val="clear"/>
              <w:spacing w:line="360" w:lineRule="auto"/>
              <w:jc w:val="center"/>
              <w:rPr>
                <w:rFonts w:ascii="宋体" w:hAnsi="宋体" w:cs="宋体"/>
                <w:color w:val="auto"/>
                <w:sz w:val="24"/>
                <w:highlight w:val="none"/>
              </w:rPr>
            </w:pPr>
          </w:p>
        </w:tc>
        <w:tc>
          <w:tcPr>
            <w:tcW w:w="2768" w:type="dxa"/>
            <w:tcBorders>
              <w:top w:val="single" w:color="auto" w:sz="4" w:space="0"/>
              <w:left w:val="single" w:color="auto" w:sz="4" w:space="0"/>
              <w:bottom w:val="single" w:color="auto" w:sz="4" w:space="0"/>
              <w:right w:val="single" w:color="auto" w:sz="4" w:space="0"/>
            </w:tcBorders>
            <w:vAlign w:val="center"/>
          </w:tcPr>
          <w:p w14:paraId="57AC7A44">
            <w:pPr>
              <w:shd w:val="clear"/>
              <w:snapToGrid w:val="0"/>
              <w:spacing w:before="156" w:beforeLines="50" w:line="360" w:lineRule="auto"/>
              <w:jc w:val="center"/>
              <w:rPr>
                <w:rFonts w:ascii="宋体" w:hAnsi="宋体" w:cs="宋体"/>
                <w:color w:val="auto"/>
                <w:sz w:val="24"/>
                <w:highlight w:val="none"/>
              </w:rPr>
            </w:pPr>
          </w:p>
        </w:tc>
        <w:tc>
          <w:tcPr>
            <w:tcW w:w="2040" w:type="dxa"/>
            <w:tcBorders>
              <w:top w:val="single" w:color="auto" w:sz="4" w:space="0"/>
              <w:left w:val="single" w:color="auto" w:sz="4" w:space="0"/>
              <w:bottom w:val="single" w:color="auto" w:sz="4" w:space="0"/>
              <w:right w:val="single" w:color="auto" w:sz="4" w:space="0"/>
            </w:tcBorders>
            <w:vAlign w:val="center"/>
          </w:tcPr>
          <w:p w14:paraId="121B979E">
            <w:pPr>
              <w:shd w:val="clear"/>
              <w:snapToGrid w:val="0"/>
              <w:spacing w:before="156" w:beforeLines="50" w:line="360" w:lineRule="auto"/>
              <w:jc w:val="center"/>
              <w:rPr>
                <w:rFonts w:ascii="宋体" w:hAnsi="宋体" w:cs="宋体"/>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704CD7BF">
            <w:pPr>
              <w:shd w:val="clear"/>
              <w:snapToGrid w:val="0"/>
              <w:spacing w:before="156" w:beforeLines="50" w:line="360" w:lineRule="auto"/>
              <w:jc w:val="center"/>
              <w:rPr>
                <w:rFonts w:ascii="宋体" w:hAnsi="宋体" w:cs="宋体"/>
                <w:color w:val="auto"/>
                <w:sz w:val="24"/>
                <w:highlight w:val="none"/>
              </w:rPr>
            </w:pPr>
          </w:p>
        </w:tc>
      </w:tr>
      <w:tr w14:paraId="12917E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388" w:type="dxa"/>
            <w:tcBorders>
              <w:top w:val="single" w:color="auto" w:sz="4" w:space="0"/>
              <w:left w:val="single" w:color="auto" w:sz="4" w:space="0"/>
              <w:bottom w:val="single" w:color="auto" w:sz="4" w:space="0"/>
              <w:right w:val="single" w:color="auto" w:sz="4" w:space="0"/>
            </w:tcBorders>
            <w:vAlign w:val="center"/>
          </w:tcPr>
          <w:p w14:paraId="4D7DF452">
            <w:pPr>
              <w:shd w:val="clear"/>
              <w:spacing w:line="360" w:lineRule="auto"/>
              <w:jc w:val="center"/>
              <w:rPr>
                <w:rFonts w:ascii="宋体" w:hAnsi="宋体" w:cs="宋体"/>
                <w:color w:val="auto"/>
                <w:sz w:val="24"/>
                <w:highlight w:val="none"/>
              </w:rPr>
            </w:pPr>
          </w:p>
        </w:tc>
        <w:tc>
          <w:tcPr>
            <w:tcW w:w="2768" w:type="dxa"/>
            <w:tcBorders>
              <w:top w:val="single" w:color="auto" w:sz="4" w:space="0"/>
              <w:left w:val="single" w:color="auto" w:sz="4" w:space="0"/>
              <w:bottom w:val="single" w:color="auto" w:sz="4" w:space="0"/>
              <w:right w:val="single" w:color="auto" w:sz="4" w:space="0"/>
            </w:tcBorders>
            <w:vAlign w:val="center"/>
          </w:tcPr>
          <w:p w14:paraId="38ABB78E">
            <w:pPr>
              <w:shd w:val="clear"/>
              <w:snapToGrid w:val="0"/>
              <w:spacing w:before="156" w:beforeLines="50" w:line="360" w:lineRule="auto"/>
              <w:jc w:val="center"/>
              <w:rPr>
                <w:rFonts w:ascii="宋体" w:hAnsi="宋体" w:cs="宋体"/>
                <w:color w:val="auto"/>
                <w:sz w:val="24"/>
                <w:highlight w:val="none"/>
              </w:rPr>
            </w:pPr>
          </w:p>
        </w:tc>
        <w:tc>
          <w:tcPr>
            <w:tcW w:w="2040" w:type="dxa"/>
            <w:tcBorders>
              <w:top w:val="single" w:color="auto" w:sz="4" w:space="0"/>
              <w:left w:val="single" w:color="auto" w:sz="4" w:space="0"/>
              <w:bottom w:val="single" w:color="auto" w:sz="4" w:space="0"/>
              <w:right w:val="single" w:color="auto" w:sz="4" w:space="0"/>
            </w:tcBorders>
            <w:vAlign w:val="center"/>
          </w:tcPr>
          <w:p w14:paraId="54C0A382">
            <w:pPr>
              <w:shd w:val="clear"/>
              <w:snapToGrid w:val="0"/>
              <w:spacing w:before="156" w:beforeLines="50" w:line="360" w:lineRule="auto"/>
              <w:ind w:left="43"/>
              <w:jc w:val="center"/>
              <w:rPr>
                <w:rFonts w:ascii="宋体" w:hAnsi="宋体" w:cs="宋体"/>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06515C77">
            <w:pPr>
              <w:shd w:val="clear"/>
              <w:snapToGrid w:val="0"/>
              <w:spacing w:before="156" w:beforeLines="50" w:line="360" w:lineRule="auto"/>
              <w:ind w:left="43"/>
              <w:jc w:val="center"/>
              <w:rPr>
                <w:rFonts w:ascii="宋体" w:hAnsi="宋体" w:cs="宋体"/>
                <w:color w:val="auto"/>
                <w:sz w:val="24"/>
                <w:highlight w:val="none"/>
              </w:rPr>
            </w:pPr>
          </w:p>
        </w:tc>
      </w:tr>
      <w:tr w14:paraId="0B4B45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388" w:type="dxa"/>
            <w:tcBorders>
              <w:top w:val="single" w:color="auto" w:sz="4" w:space="0"/>
              <w:left w:val="single" w:color="auto" w:sz="4" w:space="0"/>
              <w:bottom w:val="single" w:color="auto" w:sz="4" w:space="0"/>
              <w:right w:val="single" w:color="auto" w:sz="4" w:space="0"/>
            </w:tcBorders>
            <w:vAlign w:val="center"/>
          </w:tcPr>
          <w:p w14:paraId="68D74050">
            <w:pPr>
              <w:shd w:val="clear"/>
              <w:spacing w:line="360" w:lineRule="auto"/>
              <w:jc w:val="center"/>
              <w:rPr>
                <w:rFonts w:ascii="宋体" w:hAnsi="宋体" w:cs="宋体"/>
                <w:color w:val="auto"/>
                <w:sz w:val="24"/>
                <w:highlight w:val="none"/>
              </w:rPr>
            </w:pPr>
          </w:p>
        </w:tc>
        <w:tc>
          <w:tcPr>
            <w:tcW w:w="2768" w:type="dxa"/>
            <w:tcBorders>
              <w:top w:val="single" w:color="auto" w:sz="4" w:space="0"/>
              <w:left w:val="single" w:color="auto" w:sz="4" w:space="0"/>
              <w:bottom w:val="single" w:color="auto" w:sz="4" w:space="0"/>
              <w:right w:val="single" w:color="auto" w:sz="4" w:space="0"/>
            </w:tcBorders>
            <w:vAlign w:val="center"/>
          </w:tcPr>
          <w:p w14:paraId="3D12F29B">
            <w:pPr>
              <w:shd w:val="clear"/>
              <w:snapToGrid w:val="0"/>
              <w:spacing w:before="156" w:beforeLines="50" w:line="360" w:lineRule="auto"/>
              <w:jc w:val="center"/>
              <w:rPr>
                <w:rFonts w:ascii="宋体" w:hAnsi="宋体" w:cs="宋体"/>
                <w:color w:val="auto"/>
                <w:sz w:val="24"/>
                <w:highlight w:val="none"/>
              </w:rPr>
            </w:pPr>
          </w:p>
        </w:tc>
        <w:tc>
          <w:tcPr>
            <w:tcW w:w="2040" w:type="dxa"/>
            <w:tcBorders>
              <w:top w:val="single" w:color="auto" w:sz="4" w:space="0"/>
              <w:left w:val="single" w:color="auto" w:sz="4" w:space="0"/>
              <w:bottom w:val="single" w:color="auto" w:sz="4" w:space="0"/>
              <w:right w:val="single" w:color="auto" w:sz="4" w:space="0"/>
            </w:tcBorders>
            <w:vAlign w:val="center"/>
          </w:tcPr>
          <w:p w14:paraId="52A17BBA">
            <w:pPr>
              <w:shd w:val="clear"/>
              <w:snapToGrid w:val="0"/>
              <w:spacing w:before="156" w:beforeLines="50" w:line="360" w:lineRule="auto"/>
              <w:jc w:val="center"/>
              <w:rPr>
                <w:rFonts w:ascii="宋体" w:hAnsi="宋体" w:cs="宋体"/>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54997504">
            <w:pPr>
              <w:shd w:val="clear"/>
              <w:snapToGrid w:val="0"/>
              <w:spacing w:before="156" w:beforeLines="50" w:line="360" w:lineRule="auto"/>
              <w:jc w:val="center"/>
              <w:rPr>
                <w:rFonts w:ascii="宋体" w:hAnsi="宋体" w:cs="宋体"/>
                <w:color w:val="auto"/>
                <w:sz w:val="24"/>
                <w:highlight w:val="none"/>
              </w:rPr>
            </w:pPr>
          </w:p>
        </w:tc>
      </w:tr>
      <w:tr w14:paraId="4A0272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388" w:type="dxa"/>
            <w:tcBorders>
              <w:top w:val="single" w:color="auto" w:sz="4" w:space="0"/>
              <w:left w:val="single" w:color="auto" w:sz="4" w:space="0"/>
              <w:bottom w:val="single" w:color="auto" w:sz="4" w:space="0"/>
              <w:right w:val="single" w:color="auto" w:sz="4" w:space="0"/>
            </w:tcBorders>
            <w:vAlign w:val="center"/>
          </w:tcPr>
          <w:p w14:paraId="26930603">
            <w:pPr>
              <w:shd w:val="clear"/>
              <w:snapToGrid w:val="0"/>
              <w:spacing w:before="156" w:beforeLines="50"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2768" w:type="dxa"/>
            <w:tcBorders>
              <w:top w:val="single" w:color="auto" w:sz="4" w:space="0"/>
              <w:left w:val="single" w:color="auto" w:sz="4" w:space="0"/>
              <w:bottom w:val="single" w:color="auto" w:sz="4" w:space="0"/>
              <w:right w:val="single" w:color="auto" w:sz="4" w:space="0"/>
            </w:tcBorders>
            <w:vAlign w:val="center"/>
          </w:tcPr>
          <w:p w14:paraId="5A93C09C">
            <w:pPr>
              <w:shd w:val="clear"/>
              <w:snapToGrid w:val="0"/>
              <w:spacing w:before="156" w:beforeLines="50" w:line="360" w:lineRule="auto"/>
              <w:jc w:val="center"/>
              <w:rPr>
                <w:rFonts w:ascii="宋体" w:hAnsi="宋体" w:cs="宋体"/>
                <w:color w:val="auto"/>
                <w:sz w:val="24"/>
                <w:highlight w:val="none"/>
              </w:rPr>
            </w:pPr>
          </w:p>
        </w:tc>
        <w:tc>
          <w:tcPr>
            <w:tcW w:w="2040" w:type="dxa"/>
            <w:tcBorders>
              <w:top w:val="single" w:color="auto" w:sz="4" w:space="0"/>
              <w:left w:val="single" w:color="auto" w:sz="4" w:space="0"/>
              <w:bottom w:val="single" w:color="auto" w:sz="4" w:space="0"/>
              <w:right w:val="single" w:color="auto" w:sz="4" w:space="0"/>
            </w:tcBorders>
            <w:vAlign w:val="center"/>
          </w:tcPr>
          <w:p w14:paraId="2D3DD66E">
            <w:pPr>
              <w:shd w:val="clear"/>
              <w:snapToGrid w:val="0"/>
              <w:spacing w:before="156" w:beforeLines="50" w:line="360" w:lineRule="auto"/>
              <w:jc w:val="center"/>
              <w:rPr>
                <w:rFonts w:ascii="宋体" w:hAnsi="宋体" w:cs="宋体"/>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5A2100F3">
            <w:pPr>
              <w:shd w:val="clear"/>
              <w:snapToGrid w:val="0"/>
              <w:spacing w:before="156" w:beforeLines="50" w:line="360" w:lineRule="auto"/>
              <w:jc w:val="center"/>
              <w:rPr>
                <w:rFonts w:ascii="宋体" w:hAnsi="宋体" w:cs="宋体"/>
                <w:color w:val="auto"/>
                <w:sz w:val="24"/>
                <w:highlight w:val="none"/>
              </w:rPr>
            </w:pPr>
          </w:p>
        </w:tc>
      </w:tr>
    </w:tbl>
    <w:p w14:paraId="58395FF7">
      <w:pPr>
        <w:pStyle w:val="12"/>
        <w:shd w:val="clear"/>
        <w:rPr>
          <w:rFonts w:ascii="宋体" w:hAnsi="宋体" w:cs="宋体"/>
          <w:color w:val="auto"/>
          <w:kern w:val="0"/>
          <w:sz w:val="24"/>
          <w:szCs w:val="24"/>
          <w:highlight w:val="none"/>
        </w:rPr>
      </w:pPr>
      <w:r>
        <w:rPr>
          <w:rFonts w:hint="eastAsia" w:ascii="宋体" w:hAnsi="宋体" w:cs="宋体"/>
          <w:color w:val="auto"/>
          <w:kern w:val="0"/>
          <w:sz w:val="24"/>
          <w:szCs w:val="24"/>
          <w:highlight w:val="none"/>
        </w:rPr>
        <w:t>注：</w:t>
      </w:r>
    </w:p>
    <w:p w14:paraId="037A4E8F">
      <w:pPr>
        <w:pStyle w:val="12"/>
        <w:shd w:val="clea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 说明：应对照</w:t>
      </w:r>
      <w:r>
        <w:rPr>
          <w:rFonts w:hint="eastAsia" w:ascii="宋体" w:hAnsi="宋体" w:cs="宋体"/>
          <w:color w:val="auto"/>
          <w:kern w:val="0"/>
          <w:sz w:val="24"/>
          <w:szCs w:val="24"/>
          <w:highlight w:val="none"/>
          <w:lang w:val="en-US" w:eastAsia="zh-CN"/>
        </w:rPr>
        <w:t>竞争性</w:t>
      </w:r>
      <w:r>
        <w:rPr>
          <w:rFonts w:hint="eastAsia" w:ascii="宋体" w:hAnsi="宋体" w:cs="宋体"/>
          <w:color w:val="auto"/>
          <w:kern w:val="0"/>
          <w:sz w:val="24"/>
          <w:szCs w:val="24"/>
          <w:highlight w:val="none"/>
        </w:rPr>
        <w:t>谈判文件“第三章 采购需求”中的商务条款</w:t>
      </w:r>
      <w:r>
        <w:rPr>
          <w:rFonts w:hint="eastAsia" w:ascii="宋体" w:hAnsi="宋体" w:cs="宋体"/>
          <w:b/>
          <w:bCs/>
          <w:color w:val="auto"/>
          <w:kern w:val="0"/>
          <w:sz w:val="24"/>
          <w:szCs w:val="24"/>
          <w:highlight w:val="none"/>
          <w:lang w:val="en-US" w:eastAsia="zh-CN"/>
        </w:rPr>
        <w:t>进行</w:t>
      </w:r>
      <w:r>
        <w:rPr>
          <w:rFonts w:hint="eastAsia" w:ascii="宋体" w:hAnsi="宋体" w:cs="宋体"/>
          <w:b/>
          <w:bCs/>
          <w:color w:val="auto"/>
          <w:kern w:val="0"/>
          <w:sz w:val="24"/>
          <w:szCs w:val="24"/>
          <w:highlight w:val="none"/>
        </w:rPr>
        <w:t>逐条</w:t>
      </w:r>
      <w:r>
        <w:rPr>
          <w:rFonts w:hint="eastAsia" w:ascii="宋体" w:hAnsi="宋体" w:cs="宋体"/>
          <w:color w:val="auto"/>
          <w:kern w:val="0"/>
          <w:sz w:val="24"/>
          <w:szCs w:val="24"/>
          <w:highlight w:val="none"/>
        </w:rPr>
        <w:t>实质性响应，并作出偏离说明。如果“响应文件承诺的商务条款”列仅注明“符合”、“满足”等简单性措辞的，将可能导致</w:t>
      </w:r>
      <w:r>
        <w:rPr>
          <w:rFonts w:hint="eastAsia" w:ascii="宋体" w:hAnsi="宋体" w:cs="宋体"/>
          <w:color w:val="auto"/>
          <w:kern w:val="0"/>
          <w:sz w:val="24"/>
          <w:szCs w:val="24"/>
          <w:highlight w:val="none"/>
          <w:lang w:val="en-US" w:eastAsia="zh-CN"/>
        </w:rPr>
        <w:t>响应</w:t>
      </w:r>
      <w:r>
        <w:rPr>
          <w:rFonts w:hint="eastAsia" w:ascii="宋体" w:hAnsi="宋体" w:cs="宋体"/>
          <w:color w:val="auto"/>
          <w:kern w:val="0"/>
          <w:sz w:val="24"/>
          <w:szCs w:val="24"/>
          <w:highlight w:val="none"/>
        </w:rPr>
        <w:t>被拒绝。</w:t>
      </w:r>
    </w:p>
    <w:p w14:paraId="23CF233B">
      <w:pPr>
        <w:shd w:val="clear"/>
        <w:snapToGrid w:val="0"/>
        <w:spacing w:before="50" w:line="360" w:lineRule="auto"/>
        <w:jc w:val="left"/>
        <w:rPr>
          <w:rFonts w:ascii="宋体" w:hAnsi="宋体" w:cs="宋体"/>
          <w:color w:val="auto"/>
          <w:sz w:val="24"/>
          <w:highlight w:val="none"/>
          <w:u w:val="single"/>
        </w:rPr>
      </w:pPr>
      <w:r>
        <w:rPr>
          <w:rFonts w:hint="eastAsia" w:ascii="宋体" w:hAnsi="宋体" w:cs="宋体"/>
          <w:color w:val="auto"/>
          <w:kern w:val="0"/>
          <w:sz w:val="24"/>
          <w:highlight w:val="none"/>
        </w:rPr>
        <w:t>2.供应商应根据自身的承诺，对照</w:t>
      </w:r>
      <w:r>
        <w:rPr>
          <w:rFonts w:hint="eastAsia" w:ascii="宋体" w:hAnsi="宋体" w:cs="宋体"/>
          <w:color w:val="auto"/>
          <w:kern w:val="0"/>
          <w:sz w:val="24"/>
          <w:szCs w:val="24"/>
          <w:highlight w:val="none"/>
          <w:lang w:val="en-US" w:eastAsia="zh-CN"/>
        </w:rPr>
        <w:t>竞争性</w:t>
      </w:r>
      <w:r>
        <w:rPr>
          <w:rFonts w:hint="eastAsia" w:ascii="宋体" w:hAnsi="宋体" w:cs="宋体"/>
          <w:color w:val="auto"/>
          <w:kern w:val="0"/>
          <w:sz w:val="24"/>
          <w:highlight w:val="none"/>
        </w:rPr>
        <w:t>谈判文件要求在“偏离说明”中注明“正偏离”“负偏离”或者“无偏离”。既不属于“正偏离”也不属于“负偏离”即为“无偏离”。</w:t>
      </w:r>
    </w:p>
    <w:p w14:paraId="6746FB21">
      <w:pPr>
        <w:shd w:val="clear"/>
        <w:snapToGrid w:val="0"/>
        <w:spacing w:before="50" w:after="50" w:line="360" w:lineRule="auto"/>
        <w:ind w:right="-817" w:rightChars="-389"/>
        <w:rPr>
          <w:rFonts w:ascii="宋体" w:hAnsi="宋体" w:cs="宋体"/>
          <w:color w:val="auto"/>
          <w:sz w:val="24"/>
          <w:highlight w:val="none"/>
        </w:rPr>
      </w:pPr>
    </w:p>
    <w:p w14:paraId="3F64C795">
      <w:pPr>
        <w:shd w:val="clear"/>
        <w:spacing w:line="360" w:lineRule="auto"/>
        <w:ind w:firstLine="3840" w:firstLineChars="1600"/>
        <w:rPr>
          <w:rFonts w:ascii="宋体" w:hAnsi="宋体" w:cs="宋体"/>
          <w:color w:val="auto"/>
          <w:sz w:val="24"/>
          <w:highlight w:val="none"/>
        </w:rPr>
      </w:pPr>
      <w:r>
        <w:rPr>
          <w:rFonts w:hint="eastAsia" w:ascii="宋体" w:hAnsi="宋体" w:cs="宋体"/>
          <w:color w:val="auto"/>
          <w:kern w:val="0"/>
          <w:sz w:val="24"/>
          <w:highlight w:val="none"/>
        </w:rPr>
        <w:t>供应商名称（电子签章）：</w:t>
      </w:r>
    </w:p>
    <w:p w14:paraId="43980D59">
      <w:pPr>
        <w:shd w:val="clear"/>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日期：  年  月   日</w:t>
      </w:r>
    </w:p>
    <w:p w14:paraId="2C37726F">
      <w:pPr>
        <w:pStyle w:val="19"/>
        <w:shd w:val="clear"/>
        <w:rPr>
          <w:rFonts w:ascii="宋体" w:hAnsi="宋体" w:cs="宋体"/>
          <w:color w:val="auto"/>
          <w:highlight w:val="none"/>
        </w:rPr>
      </w:pPr>
    </w:p>
    <w:p w14:paraId="0606831C">
      <w:pPr>
        <w:pStyle w:val="19"/>
        <w:shd w:val="clear"/>
        <w:rPr>
          <w:rFonts w:ascii="宋体" w:hAnsi="宋体" w:cs="宋体"/>
          <w:color w:val="auto"/>
          <w:highlight w:val="none"/>
        </w:rPr>
      </w:pPr>
    </w:p>
    <w:p w14:paraId="798B2BB4">
      <w:pPr>
        <w:pStyle w:val="19"/>
        <w:shd w:val="clear"/>
        <w:rPr>
          <w:rFonts w:ascii="宋体" w:hAnsi="宋体" w:cs="宋体"/>
          <w:color w:val="auto"/>
          <w:highlight w:val="none"/>
        </w:rPr>
      </w:pPr>
    </w:p>
    <w:p w14:paraId="4E765482">
      <w:pPr>
        <w:shd w:val="clear"/>
        <w:adjustRightInd w:val="0"/>
        <w:snapToGrid w:val="0"/>
        <w:spacing w:line="520" w:lineRule="exact"/>
        <w:ind w:firstLine="7040" w:firstLineChars="1600"/>
        <w:jc w:val="center"/>
        <w:rPr>
          <w:rFonts w:ascii="宋体" w:hAnsi="宋体" w:cs="宋体"/>
          <w:bCs/>
          <w:color w:val="auto"/>
          <w:sz w:val="44"/>
          <w:szCs w:val="44"/>
          <w:highlight w:val="none"/>
        </w:rPr>
      </w:pPr>
    </w:p>
    <w:p w14:paraId="5333131B">
      <w:pPr>
        <w:shd w:val="clear"/>
        <w:adjustRightInd w:val="0"/>
        <w:snapToGrid w:val="0"/>
        <w:spacing w:line="520" w:lineRule="exact"/>
        <w:ind w:firstLine="7040" w:firstLineChars="1600"/>
        <w:jc w:val="center"/>
        <w:rPr>
          <w:rFonts w:ascii="宋体" w:hAnsi="宋体" w:cs="宋体"/>
          <w:bCs/>
          <w:color w:val="auto"/>
          <w:sz w:val="44"/>
          <w:szCs w:val="44"/>
          <w:highlight w:val="none"/>
        </w:rPr>
      </w:pPr>
    </w:p>
    <w:p w14:paraId="346DBE8D">
      <w:pPr>
        <w:shd w:val="clear"/>
        <w:adjustRightInd w:val="0"/>
        <w:snapToGrid w:val="0"/>
        <w:spacing w:line="520" w:lineRule="exact"/>
        <w:ind w:firstLine="7040" w:firstLineChars="1600"/>
        <w:jc w:val="center"/>
        <w:rPr>
          <w:rFonts w:ascii="宋体" w:hAnsi="宋体" w:cs="宋体"/>
          <w:bCs/>
          <w:color w:val="auto"/>
          <w:sz w:val="44"/>
          <w:szCs w:val="44"/>
          <w:highlight w:val="none"/>
        </w:rPr>
      </w:pPr>
    </w:p>
    <w:p w14:paraId="2622E200">
      <w:pPr>
        <w:shd w:val="clea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五、谈判保证金</w:t>
      </w:r>
      <w:r>
        <w:rPr>
          <w:rFonts w:hint="eastAsia" w:ascii="宋体" w:hAnsi="宋体" w:cs="宋体"/>
          <w:b/>
          <w:bCs/>
          <w:color w:val="auto"/>
          <w:sz w:val="32"/>
          <w:szCs w:val="32"/>
          <w:highlight w:val="none"/>
          <w:lang w:val="en-US" w:eastAsia="zh-CN"/>
        </w:rPr>
        <w:t>缴纳</w:t>
      </w:r>
      <w:r>
        <w:rPr>
          <w:rFonts w:hint="eastAsia" w:ascii="宋体" w:hAnsi="宋体" w:cs="宋体"/>
          <w:b/>
          <w:bCs/>
          <w:color w:val="auto"/>
          <w:sz w:val="32"/>
          <w:szCs w:val="32"/>
          <w:highlight w:val="none"/>
        </w:rPr>
        <w:t>凭证</w:t>
      </w:r>
    </w:p>
    <w:p w14:paraId="40B0CBC1">
      <w:pPr>
        <w:pStyle w:val="19"/>
        <w:shd w:val="clear"/>
        <w:rPr>
          <w:rFonts w:ascii="宋体" w:hAnsi="宋体" w:cs="宋体"/>
          <w:color w:val="auto"/>
          <w:highlight w:val="none"/>
        </w:rPr>
      </w:pPr>
    </w:p>
    <w:p w14:paraId="69D5036D">
      <w:pPr>
        <w:pStyle w:val="19"/>
        <w:shd w:val="clear"/>
        <w:rPr>
          <w:rFonts w:ascii="宋体" w:hAnsi="宋体" w:cs="宋体"/>
          <w:color w:val="auto"/>
          <w:highlight w:val="none"/>
        </w:rPr>
      </w:pPr>
    </w:p>
    <w:p w14:paraId="7909DB3B">
      <w:pPr>
        <w:pStyle w:val="19"/>
        <w:shd w:val="clear"/>
        <w:rPr>
          <w:rFonts w:ascii="宋体" w:hAnsi="宋体" w:cs="宋体"/>
          <w:color w:val="auto"/>
          <w:highlight w:val="none"/>
        </w:rPr>
      </w:pPr>
    </w:p>
    <w:p w14:paraId="1ACF46B4">
      <w:pPr>
        <w:shd w:val="clear"/>
        <w:snapToGrid w:val="0"/>
        <w:spacing w:before="50" w:after="50" w:line="360" w:lineRule="auto"/>
        <w:ind w:right="-817" w:rightChars="-389"/>
        <w:rPr>
          <w:rFonts w:ascii="宋体" w:hAnsi="宋体" w:cs="宋体"/>
          <w:color w:val="auto"/>
          <w:sz w:val="24"/>
          <w:highlight w:val="none"/>
        </w:rPr>
      </w:pPr>
    </w:p>
    <w:p w14:paraId="25A23B0E">
      <w:pPr>
        <w:shd w:val="clear"/>
        <w:spacing w:line="360" w:lineRule="auto"/>
        <w:ind w:firstLine="3840" w:firstLineChars="1600"/>
        <w:rPr>
          <w:rFonts w:ascii="宋体" w:hAnsi="宋体" w:cs="宋体"/>
          <w:color w:val="auto"/>
          <w:sz w:val="24"/>
          <w:highlight w:val="none"/>
        </w:rPr>
      </w:pPr>
      <w:r>
        <w:rPr>
          <w:rFonts w:hint="eastAsia" w:ascii="宋体" w:hAnsi="宋体" w:cs="宋体"/>
          <w:color w:val="auto"/>
          <w:kern w:val="0"/>
          <w:sz w:val="24"/>
          <w:highlight w:val="none"/>
        </w:rPr>
        <w:t>供应商名称（电子签章）：</w:t>
      </w:r>
    </w:p>
    <w:p w14:paraId="1371639F">
      <w:pPr>
        <w:shd w:val="clear"/>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日期：  年  月   日</w:t>
      </w:r>
    </w:p>
    <w:p w14:paraId="7B4DB516">
      <w:pPr>
        <w:pStyle w:val="19"/>
        <w:shd w:val="clear"/>
        <w:rPr>
          <w:rFonts w:ascii="宋体" w:hAnsi="宋体" w:cs="宋体"/>
          <w:color w:val="auto"/>
          <w:highlight w:val="none"/>
        </w:rPr>
      </w:pPr>
    </w:p>
    <w:p w14:paraId="457F288D">
      <w:pPr>
        <w:pStyle w:val="19"/>
        <w:shd w:val="clear"/>
        <w:rPr>
          <w:rFonts w:ascii="宋体" w:hAnsi="宋体" w:cs="宋体"/>
          <w:color w:val="auto"/>
          <w:highlight w:val="none"/>
        </w:rPr>
      </w:pPr>
    </w:p>
    <w:p w14:paraId="749AA929">
      <w:pPr>
        <w:pStyle w:val="19"/>
        <w:shd w:val="clear"/>
        <w:rPr>
          <w:rFonts w:ascii="宋体" w:hAnsi="宋体" w:cs="宋体"/>
          <w:color w:val="auto"/>
          <w:highlight w:val="none"/>
        </w:rPr>
      </w:pPr>
    </w:p>
    <w:p w14:paraId="67685130">
      <w:pPr>
        <w:pStyle w:val="19"/>
        <w:shd w:val="clear"/>
        <w:rPr>
          <w:rFonts w:ascii="宋体" w:hAnsi="宋体" w:cs="宋体"/>
          <w:color w:val="auto"/>
          <w:highlight w:val="none"/>
        </w:rPr>
      </w:pPr>
    </w:p>
    <w:p w14:paraId="37DF9F51">
      <w:pPr>
        <w:shd w:val="clear"/>
        <w:snapToGrid w:val="0"/>
        <w:spacing w:before="50" w:after="50" w:line="360" w:lineRule="auto"/>
        <w:ind w:right="-817" w:rightChars="-389"/>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六、供应商认为需要提供的其他有关资料</w:t>
      </w:r>
    </w:p>
    <w:p w14:paraId="05EE4564">
      <w:pPr>
        <w:shd w:val="clear"/>
        <w:spacing w:line="360" w:lineRule="auto"/>
        <w:ind w:firstLine="5760" w:firstLineChars="1600"/>
        <w:rPr>
          <w:rFonts w:ascii="宋体" w:hAnsi="宋体" w:cs="宋体"/>
          <w:color w:val="auto"/>
          <w:sz w:val="36"/>
          <w:szCs w:val="36"/>
          <w:highlight w:val="none"/>
        </w:rPr>
      </w:pPr>
    </w:p>
    <w:p w14:paraId="5B723848">
      <w:pPr>
        <w:shd w:val="clear"/>
        <w:spacing w:line="360" w:lineRule="auto"/>
        <w:ind w:firstLine="5760" w:firstLineChars="1600"/>
        <w:rPr>
          <w:rFonts w:ascii="宋体" w:hAnsi="宋体" w:cs="宋体"/>
          <w:color w:val="auto"/>
          <w:sz w:val="36"/>
          <w:szCs w:val="36"/>
          <w:highlight w:val="none"/>
        </w:rPr>
      </w:pPr>
    </w:p>
    <w:p w14:paraId="4C1FD4A5">
      <w:pPr>
        <w:shd w:val="clear"/>
        <w:spacing w:line="360" w:lineRule="auto"/>
        <w:ind w:firstLine="3840" w:firstLineChars="1600"/>
        <w:rPr>
          <w:rFonts w:ascii="宋体" w:hAnsi="宋体" w:cs="宋体"/>
          <w:color w:val="auto"/>
          <w:sz w:val="24"/>
          <w:highlight w:val="none"/>
        </w:rPr>
      </w:pPr>
      <w:r>
        <w:rPr>
          <w:rFonts w:hint="eastAsia" w:ascii="宋体" w:hAnsi="宋体" w:cs="宋体"/>
          <w:color w:val="auto"/>
          <w:kern w:val="0"/>
          <w:sz w:val="24"/>
          <w:highlight w:val="none"/>
        </w:rPr>
        <w:t>供应商名称（电子签章）：</w:t>
      </w:r>
    </w:p>
    <w:p w14:paraId="574272A1">
      <w:pPr>
        <w:shd w:val="clear"/>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日期：  年  月   日</w:t>
      </w:r>
    </w:p>
    <w:p w14:paraId="1EC3BC9F">
      <w:pPr>
        <w:pStyle w:val="19"/>
        <w:shd w:val="clear"/>
        <w:rPr>
          <w:rFonts w:ascii="宋体" w:hAnsi="宋体" w:cs="宋体"/>
          <w:color w:val="auto"/>
          <w:highlight w:val="none"/>
        </w:rPr>
      </w:pPr>
    </w:p>
    <w:p w14:paraId="2E31FB17">
      <w:pPr>
        <w:pStyle w:val="19"/>
        <w:shd w:val="clear"/>
        <w:rPr>
          <w:rFonts w:ascii="宋体" w:hAnsi="宋体" w:cs="宋体"/>
          <w:color w:val="auto"/>
          <w:highlight w:val="none"/>
        </w:rPr>
      </w:pPr>
    </w:p>
    <w:p w14:paraId="57183CA3">
      <w:pPr>
        <w:pStyle w:val="19"/>
        <w:shd w:val="clear"/>
        <w:rPr>
          <w:rFonts w:ascii="宋体" w:hAnsi="宋体" w:cs="宋体"/>
          <w:color w:val="auto"/>
          <w:highlight w:val="none"/>
        </w:rPr>
      </w:pPr>
    </w:p>
    <w:p w14:paraId="30FC995B">
      <w:pPr>
        <w:pStyle w:val="19"/>
        <w:shd w:val="clear"/>
        <w:rPr>
          <w:rFonts w:ascii="宋体" w:hAnsi="宋体" w:cs="宋体"/>
          <w:color w:val="auto"/>
          <w:highlight w:val="none"/>
        </w:rPr>
      </w:pPr>
    </w:p>
    <w:p w14:paraId="0FC0E41F">
      <w:pPr>
        <w:pStyle w:val="19"/>
        <w:shd w:val="clear"/>
        <w:rPr>
          <w:rFonts w:ascii="宋体" w:hAnsi="宋体" w:cs="宋体"/>
          <w:color w:val="auto"/>
          <w:highlight w:val="none"/>
        </w:rPr>
      </w:pPr>
    </w:p>
    <w:p w14:paraId="4D398B37">
      <w:pPr>
        <w:pStyle w:val="19"/>
        <w:shd w:val="clear"/>
        <w:rPr>
          <w:rFonts w:ascii="宋体" w:hAnsi="宋体" w:cs="宋体"/>
          <w:color w:val="auto"/>
          <w:highlight w:val="none"/>
        </w:rPr>
      </w:pPr>
    </w:p>
    <w:p w14:paraId="68AFA629">
      <w:pPr>
        <w:pStyle w:val="19"/>
        <w:shd w:val="clear"/>
        <w:rPr>
          <w:rFonts w:ascii="宋体" w:hAnsi="宋体" w:cs="宋体"/>
          <w:color w:val="auto"/>
          <w:highlight w:val="none"/>
        </w:rPr>
      </w:pPr>
    </w:p>
    <w:p w14:paraId="1CAFC7EC">
      <w:pPr>
        <w:pStyle w:val="19"/>
        <w:shd w:val="clear"/>
        <w:rPr>
          <w:rFonts w:ascii="宋体" w:hAnsi="宋体" w:cs="宋体"/>
          <w:color w:val="auto"/>
          <w:highlight w:val="none"/>
        </w:rPr>
      </w:pPr>
      <w:r>
        <w:rPr>
          <w:rFonts w:hint="eastAsia" w:ascii="宋体" w:hAnsi="宋体" w:cs="宋体"/>
          <w:color w:val="auto"/>
          <w:highlight w:val="none"/>
        </w:rPr>
        <w:br w:type="page"/>
      </w:r>
      <w:r>
        <w:rPr>
          <w:rFonts w:hint="eastAsia" w:ascii="宋体" w:hAnsi="宋体" w:cs="宋体"/>
          <w:b/>
          <w:color w:val="auto"/>
          <w:sz w:val="28"/>
          <w:szCs w:val="28"/>
          <w:highlight w:val="none"/>
        </w:rPr>
        <w:t>技术文件</w:t>
      </w:r>
    </w:p>
    <w:p w14:paraId="09A64B8B">
      <w:pPr>
        <w:pStyle w:val="19"/>
        <w:shd w:val="clear"/>
        <w:rPr>
          <w:rFonts w:ascii="宋体" w:hAnsi="宋体" w:cs="宋体"/>
          <w:color w:val="auto"/>
          <w:highlight w:val="none"/>
        </w:rPr>
      </w:pPr>
    </w:p>
    <w:p w14:paraId="5883EFC9">
      <w:pPr>
        <w:shd w:val="clea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一、技术需求偏离表</w:t>
      </w:r>
    </w:p>
    <w:p w14:paraId="5F6622ED">
      <w:pPr>
        <w:shd w:val="clear"/>
        <w:spacing w:line="520" w:lineRule="exact"/>
        <w:rPr>
          <w:rFonts w:ascii="宋体" w:hAnsi="宋体" w:cs="宋体"/>
          <w:color w:val="auto"/>
          <w:sz w:val="32"/>
          <w:szCs w:val="32"/>
          <w:highlight w:val="none"/>
        </w:rPr>
      </w:pPr>
    </w:p>
    <w:p w14:paraId="7C620878">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p>
    <w:p w14:paraId="2D3120FD">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5E53CB38">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分标号（此处有分标时填写具体分标号，无分标时填写“无”）：</w:t>
      </w:r>
      <w:r>
        <w:rPr>
          <w:rFonts w:hint="eastAsia" w:ascii="宋体" w:hAnsi="宋体" w:cs="宋体"/>
          <w:color w:val="auto"/>
          <w:sz w:val="24"/>
          <w:highlight w:val="none"/>
          <w:u w:val="single"/>
        </w:rPr>
        <w:t xml:space="preserve">               </w:t>
      </w:r>
    </w:p>
    <w:p w14:paraId="22CA425F">
      <w:pPr>
        <w:pStyle w:val="19"/>
        <w:shd w:val="clear"/>
        <w:rPr>
          <w:rFonts w:ascii="宋体" w:hAnsi="宋体" w:cs="宋体"/>
          <w:color w:val="auto"/>
          <w:sz w:val="24"/>
          <w:szCs w:val="24"/>
          <w:highlight w:val="none"/>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297"/>
        <w:gridCol w:w="2537"/>
        <w:gridCol w:w="2574"/>
        <w:gridCol w:w="1467"/>
      </w:tblGrid>
      <w:tr w14:paraId="5A5D1F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noWrap w:val="0"/>
            <w:vAlign w:val="center"/>
          </w:tcPr>
          <w:p w14:paraId="02A52D49">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序号</w:t>
            </w:r>
          </w:p>
        </w:tc>
        <w:tc>
          <w:tcPr>
            <w:tcW w:w="1297" w:type="dxa"/>
            <w:tcBorders>
              <w:right w:val="single" w:color="auto" w:sz="4" w:space="0"/>
            </w:tcBorders>
            <w:noWrap w:val="0"/>
            <w:vAlign w:val="center"/>
          </w:tcPr>
          <w:p w14:paraId="46565E97">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标的</w:t>
            </w:r>
            <w:r>
              <w:rPr>
                <w:rFonts w:hint="eastAsia" w:ascii="宋体" w:hAnsi="宋体" w:eastAsia="宋体" w:cs="仿宋_GB2312"/>
                <w:color w:val="auto"/>
                <w:kern w:val="2"/>
                <w:sz w:val="24"/>
                <w:szCs w:val="24"/>
                <w:highlight w:val="none"/>
              </w:rPr>
              <w:t>名称</w:t>
            </w:r>
          </w:p>
        </w:tc>
        <w:tc>
          <w:tcPr>
            <w:tcW w:w="2537" w:type="dxa"/>
            <w:tcBorders>
              <w:left w:val="single" w:color="auto" w:sz="4" w:space="0"/>
            </w:tcBorders>
            <w:noWrap w:val="0"/>
            <w:vAlign w:val="center"/>
          </w:tcPr>
          <w:p w14:paraId="796129F6">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竞争性</w:t>
            </w:r>
            <w:r>
              <w:rPr>
                <w:rFonts w:hint="eastAsia" w:ascii="宋体" w:hAnsi="宋体" w:eastAsia="宋体" w:cs="仿宋_GB2312"/>
                <w:color w:val="auto"/>
                <w:kern w:val="2"/>
                <w:sz w:val="24"/>
                <w:szCs w:val="24"/>
                <w:highlight w:val="none"/>
              </w:rPr>
              <w:t>谈判文件</w:t>
            </w:r>
            <w:r>
              <w:rPr>
                <w:rFonts w:hint="eastAsia" w:ascii="宋体" w:hAnsi="宋体" w:eastAsia="宋体" w:cs="仿宋_GB2312"/>
                <w:color w:val="auto"/>
                <w:kern w:val="2"/>
                <w:sz w:val="24"/>
                <w:szCs w:val="24"/>
                <w:highlight w:val="none"/>
                <w:lang w:eastAsia="zh-CN"/>
              </w:rPr>
              <w:t>的技术</w:t>
            </w:r>
            <w:r>
              <w:rPr>
                <w:rFonts w:hint="eastAsia" w:ascii="宋体" w:hAnsi="宋体" w:eastAsia="宋体" w:cs="仿宋_GB2312"/>
                <w:color w:val="auto"/>
                <w:kern w:val="2"/>
                <w:sz w:val="24"/>
                <w:szCs w:val="24"/>
                <w:highlight w:val="none"/>
                <w:lang w:val="en-US" w:eastAsia="zh-CN"/>
              </w:rPr>
              <w:t>需求</w:t>
            </w:r>
          </w:p>
        </w:tc>
        <w:tc>
          <w:tcPr>
            <w:tcW w:w="2574" w:type="dxa"/>
            <w:noWrap w:val="0"/>
            <w:vAlign w:val="center"/>
          </w:tcPr>
          <w:p w14:paraId="3DA3C58D">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响应文件承诺的技术需求</w:t>
            </w:r>
          </w:p>
        </w:tc>
        <w:tc>
          <w:tcPr>
            <w:tcW w:w="1467" w:type="dxa"/>
            <w:noWrap w:val="0"/>
            <w:vAlign w:val="center"/>
          </w:tcPr>
          <w:p w14:paraId="53695948">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偏离说明</w:t>
            </w:r>
          </w:p>
        </w:tc>
      </w:tr>
      <w:tr w14:paraId="5A4F38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noWrap w:val="0"/>
            <w:vAlign w:val="center"/>
          </w:tcPr>
          <w:p w14:paraId="582EDB55">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w:t>
            </w:r>
          </w:p>
        </w:tc>
        <w:tc>
          <w:tcPr>
            <w:tcW w:w="1297" w:type="dxa"/>
            <w:tcBorders>
              <w:right w:val="single" w:color="auto" w:sz="4" w:space="0"/>
            </w:tcBorders>
            <w:noWrap w:val="0"/>
            <w:vAlign w:val="center"/>
          </w:tcPr>
          <w:p w14:paraId="0E421C10">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2537" w:type="dxa"/>
            <w:tcBorders>
              <w:left w:val="single" w:color="auto" w:sz="4" w:space="0"/>
            </w:tcBorders>
            <w:noWrap w:val="0"/>
            <w:vAlign w:val="center"/>
          </w:tcPr>
          <w:p w14:paraId="400787C5">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2574" w:type="dxa"/>
            <w:noWrap w:val="0"/>
            <w:vAlign w:val="center"/>
          </w:tcPr>
          <w:p w14:paraId="1A1CF817">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1467" w:type="dxa"/>
            <w:noWrap w:val="0"/>
            <w:vAlign w:val="center"/>
          </w:tcPr>
          <w:p w14:paraId="1FC18C22">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r>
      <w:tr w14:paraId="51202F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noWrap w:val="0"/>
            <w:vAlign w:val="center"/>
          </w:tcPr>
          <w:p w14:paraId="3CA2DE44">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1297" w:type="dxa"/>
            <w:tcBorders>
              <w:right w:val="single" w:color="auto" w:sz="4" w:space="0"/>
            </w:tcBorders>
            <w:noWrap w:val="0"/>
            <w:vAlign w:val="center"/>
          </w:tcPr>
          <w:p w14:paraId="7D85FC96">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2537" w:type="dxa"/>
            <w:tcBorders>
              <w:left w:val="single" w:color="auto" w:sz="4" w:space="0"/>
            </w:tcBorders>
            <w:noWrap w:val="0"/>
            <w:vAlign w:val="center"/>
          </w:tcPr>
          <w:p w14:paraId="65CA09E9">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2574" w:type="dxa"/>
            <w:noWrap w:val="0"/>
            <w:vAlign w:val="center"/>
          </w:tcPr>
          <w:p w14:paraId="58592131">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1467" w:type="dxa"/>
            <w:noWrap w:val="0"/>
            <w:vAlign w:val="center"/>
          </w:tcPr>
          <w:p w14:paraId="17761BD6">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r>
      <w:tr w14:paraId="61F6EB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noWrap w:val="0"/>
            <w:vAlign w:val="center"/>
          </w:tcPr>
          <w:p w14:paraId="15BC4239">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1297" w:type="dxa"/>
            <w:tcBorders>
              <w:right w:val="single" w:color="auto" w:sz="4" w:space="0"/>
            </w:tcBorders>
            <w:noWrap w:val="0"/>
            <w:vAlign w:val="center"/>
          </w:tcPr>
          <w:p w14:paraId="74F9D376">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2537" w:type="dxa"/>
            <w:tcBorders>
              <w:left w:val="single" w:color="auto" w:sz="4" w:space="0"/>
            </w:tcBorders>
            <w:noWrap w:val="0"/>
            <w:vAlign w:val="center"/>
          </w:tcPr>
          <w:p w14:paraId="61D3A78B">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2574" w:type="dxa"/>
            <w:noWrap w:val="0"/>
            <w:vAlign w:val="center"/>
          </w:tcPr>
          <w:p w14:paraId="773758DC">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1467" w:type="dxa"/>
            <w:noWrap w:val="0"/>
            <w:vAlign w:val="center"/>
          </w:tcPr>
          <w:p w14:paraId="160C56C1">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r>
      <w:tr w14:paraId="151BA3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noWrap w:val="0"/>
            <w:vAlign w:val="center"/>
          </w:tcPr>
          <w:p w14:paraId="14AE3100">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1297" w:type="dxa"/>
            <w:tcBorders>
              <w:right w:val="single" w:color="auto" w:sz="4" w:space="0"/>
            </w:tcBorders>
            <w:noWrap w:val="0"/>
            <w:vAlign w:val="center"/>
          </w:tcPr>
          <w:p w14:paraId="696632E1">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2537" w:type="dxa"/>
            <w:tcBorders>
              <w:left w:val="single" w:color="auto" w:sz="4" w:space="0"/>
            </w:tcBorders>
            <w:noWrap w:val="0"/>
            <w:vAlign w:val="center"/>
          </w:tcPr>
          <w:p w14:paraId="0EC8CED3">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2574" w:type="dxa"/>
            <w:noWrap w:val="0"/>
            <w:vAlign w:val="center"/>
          </w:tcPr>
          <w:p w14:paraId="5F0C53D8">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1467" w:type="dxa"/>
            <w:noWrap w:val="0"/>
            <w:vAlign w:val="center"/>
          </w:tcPr>
          <w:p w14:paraId="50B105F0">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r>
      <w:tr w14:paraId="5B846E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noWrap w:val="0"/>
            <w:vAlign w:val="center"/>
          </w:tcPr>
          <w:p w14:paraId="2D68E113">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1297" w:type="dxa"/>
            <w:tcBorders>
              <w:right w:val="single" w:color="auto" w:sz="4" w:space="0"/>
            </w:tcBorders>
            <w:noWrap w:val="0"/>
            <w:vAlign w:val="center"/>
          </w:tcPr>
          <w:p w14:paraId="147BEBE9">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2537" w:type="dxa"/>
            <w:tcBorders>
              <w:left w:val="single" w:color="auto" w:sz="4" w:space="0"/>
            </w:tcBorders>
            <w:noWrap w:val="0"/>
            <w:vAlign w:val="center"/>
          </w:tcPr>
          <w:p w14:paraId="5F866E5B">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2574" w:type="dxa"/>
            <w:noWrap w:val="0"/>
            <w:vAlign w:val="center"/>
          </w:tcPr>
          <w:p w14:paraId="080D62AD">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1467" w:type="dxa"/>
            <w:noWrap w:val="0"/>
            <w:vAlign w:val="center"/>
          </w:tcPr>
          <w:p w14:paraId="4082D131">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r>
      <w:tr w14:paraId="6A5BB4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00" w:type="dxa"/>
            <w:noWrap w:val="0"/>
            <w:vAlign w:val="center"/>
          </w:tcPr>
          <w:p w14:paraId="374DA466">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w:t>
            </w:r>
          </w:p>
        </w:tc>
        <w:tc>
          <w:tcPr>
            <w:tcW w:w="1297" w:type="dxa"/>
            <w:tcBorders>
              <w:right w:val="single" w:color="auto" w:sz="4" w:space="0"/>
            </w:tcBorders>
            <w:noWrap w:val="0"/>
            <w:vAlign w:val="center"/>
          </w:tcPr>
          <w:p w14:paraId="75D72CB6">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2537" w:type="dxa"/>
            <w:tcBorders>
              <w:left w:val="single" w:color="auto" w:sz="4" w:space="0"/>
            </w:tcBorders>
            <w:noWrap w:val="0"/>
            <w:vAlign w:val="center"/>
          </w:tcPr>
          <w:p w14:paraId="4FA76208">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2574" w:type="dxa"/>
            <w:noWrap w:val="0"/>
            <w:vAlign w:val="center"/>
          </w:tcPr>
          <w:p w14:paraId="47941B89">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c>
          <w:tcPr>
            <w:tcW w:w="1467" w:type="dxa"/>
            <w:tcBorders>
              <w:right w:val="single" w:color="auto" w:sz="4" w:space="0"/>
            </w:tcBorders>
            <w:noWrap w:val="0"/>
            <w:vAlign w:val="center"/>
          </w:tcPr>
          <w:p w14:paraId="2E71117B">
            <w:pPr>
              <w:pStyle w:val="14"/>
              <w:shd w:val="clear"/>
              <w:spacing w:line="360" w:lineRule="auto"/>
              <w:ind w:firstLine="0" w:firstLineChars="0"/>
              <w:jc w:val="center"/>
              <w:rPr>
                <w:rFonts w:hint="eastAsia" w:ascii="宋体" w:hAnsi="宋体" w:eastAsia="宋体" w:cs="仿宋_GB2312"/>
                <w:color w:val="auto"/>
                <w:kern w:val="2"/>
                <w:sz w:val="24"/>
                <w:szCs w:val="24"/>
                <w:highlight w:val="none"/>
              </w:rPr>
            </w:pPr>
          </w:p>
        </w:tc>
      </w:tr>
    </w:tbl>
    <w:p w14:paraId="54EF7E49">
      <w:pPr>
        <w:shd w:val="clear"/>
        <w:adjustRightInd w:val="0"/>
        <w:snapToGrid w:val="0"/>
        <w:spacing w:line="360" w:lineRule="auto"/>
        <w:rPr>
          <w:rFonts w:ascii="宋体" w:hAnsi="宋体" w:cs="宋体"/>
          <w:color w:val="auto"/>
          <w:sz w:val="24"/>
          <w:highlight w:val="none"/>
        </w:rPr>
      </w:pPr>
    </w:p>
    <w:p w14:paraId="40A59C9B">
      <w:pPr>
        <w:pStyle w:val="14"/>
        <w:shd w:val="clear"/>
        <w:spacing w:line="360" w:lineRule="auto"/>
        <w:ind w:firstLine="0" w:firstLineChars="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49327446">
      <w:pPr>
        <w:pStyle w:val="14"/>
        <w:shd w:val="clear"/>
        <w:spacing w:line="360" w:lineRule="auto"/>
        <w:ind w:firstLine="0" w:firstLineChars="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 说明：应对照</w:t>
      </w:r>
      <w:r>
        <w:rPr>
          <w:rFonts w:hint="eastAsia" w:ascii="宋体" w:hAnsi="宋体" w:eastAsia="宋体" w:cs="宋体"/>
          <w:color w:val="auto"/>
          <w:sz w:val="24"/>
          <w:szCs w:val="24"/>
          <w:highlight w:val="none"/>
          <w:lang w:val="en-US" w:eastAsia="zh-CN"/>
        </w:rPr>
        <w:t>竞争性</w:t>
      </w:r>
      <w:r>
        <w:rPr>
          <w:rFonts w:hint="eastAsia" w:ascii="宋体" w:hAnsi="宋体" w:eastAsia="宋体" w:cs="宋体"/>
          <w:color w:val="auto"/>
          <w:sz w:val="24"/>
          <w:szCs w:val="24"/>
          <w:highlight w:val="none"/>
        </w:rPr>
        <w:t>谈判文件“第三章 采购需求”中的技术需求</w:t>
      </w:r>
      <w:r>
        <w:rPr>
          <w:rFonts w:hint="eastAsia" w:ascii="宋体" w:hAnsi="宋体" w:eastAsia="宋体" w:cs="宋体"/>
          <w:b/>
          <w:bCs/>
          <w:color w:val="auto"/>
          <w:sz w:val="24"/>
          <w:szCs w:val="24"/>
          <w:highlight w:val="none"/>
          <w:lang w:val="en-US" w:eastAsia="zh-CN"/>
        </w:rPr>
        <w:t>进行</w:t>
      </w:r>
      <w:r>
        <w:rPr>
          <w:rFonts w:hint="eastAsia" w:ascii="宋体" w:hAnsi="宋体" w:eastAsia="宋体" w:cs="宋体"/>
          <w:b/>
          <w:bCs/>
          <w:color w:val="auto"/>
          <w:sz w:val="24"/>
          <w:szCs w:val="24"/>
          <w:highlight w:val="none"/>
        </w:rPr>
        <w:t>逐条</w:t>
      </w:r>
      <w:r>
        <w:rPr>
          <w:rFonts w:hint="eastAsia" w:ascii="宋体" w:hAnsi="宋体" w:eastAsia="宋体" w:cs="宋体"/>
          <w:color w:val="auto"/>
          <w:sz w:val="24"/>
          <w:szCs w:val="24"/>
          <w:highlight w:val="none"/>
        </w:rPr>
        <w:t>实质性响应，并作出偏离说明。如果“响应文件承诺的</w:t>
      </w:r>
      <w:r>
        <w:rPr>
          <w:rFonts w:hint="eastAsia" w:ascii="宋体" w:hAnsi="宋体" w:eastAsia="宋体" w:cs="宋体"/>
          <w:color w:val="auto"/>
          <w:sz w:val="24"/>
          <w:szCs w:val="24"/>
          <w:highlight w:val="none"/>
          <w:lang w:val="en-US" w:eastAsia="zh-CN"/>
        </w:rPr>
        <w:t>技术需求</w:t>
      </w:r>
      <w:r>
        <w:rPr>
          <w:rFonts w:hint="eastAsia" w:ascii="宋体" w:hAnsi="宋体" w:eastAsia="宋体" w:cs="宋体"/>
          <w:color w:val="auto"/>
          <w:sz w:val="24"/>
          <w:szCs w:val="24"/>
          <w:highlight w:val="none"/>
        </w:rPr>
        <w:t>”列仅注明“符合”、“满足”等简单性措辞的，将可能导致</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被拒绝。</w:t>
      </w:r>
    </w:p>
    <w:p w14:paraId="7F3FDCB7">
      <w:pPr>
        <w:pStyle w:val="14"/>
        <w:shd w:val="clear"/>
        <w:spacing w:line="360" w:lineRule="auto"/>
        <w:ind w:firstLine="0" w:firstLineChars="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2.供应商应根据自身的承诺，对照</w:t>
      </w:r>
      <w:r>
        <w:rPr>
          <w:rFonts w:hint="eastAsia" w:ascii="宋体" w:hAnsi="宋体" w:eastAsia="宋体" w:cs="宋体"/>
          <w:color w:val="auto"/>
          <w:sz w:val="24"/>
          <w:szCs w:val="24"/>
          <w:highlight w:val="none"/>
          <w:lang w:val="en-US" w:eastAsia="zh-CN"/>
        </w:rPr>
        <w:t>竞争性</w:t>
      </w:r>
      <w:r>
        <w:rPr>
          <w:rFonts w:hint="eastAsia" w:ascii="宋体" w:hAnsi="宋体" w:eastAsia="宋体" w:cs="宋体"/>
          <w:color w:val="auto"/>
          <w:sz w:val="24"/>
          <w:szCs w:val="24"/>
          <w:highlight w:val="none"/>
        </w:rPr>
        <w:t>谈判文件要求，在“偏离说明”中注明“正偏离”“负偏离”或者“无偏离”。既不属于“正偏离”也不属于“负偏离”即为“无偏离”。</w:t>
      </w:r>
    </w:p>
    <w:p w14:paraId="1D99D120">
      <w:pPr>
        <w:pStyle w:val="16"/>
        <w:shd w:val="clear"/>
        <w:spacing w:line="360" w:lineRule="auto"/>
        <w:rPr>
          <w:rFonts w:hAnsi="宋体" w:cs="宋体"/>
          <w:color w:val="auto"/>
          <w:sz w:val="24"/>
          <w:szCs w:val="24"/>
          <w:highlight w:val="none"/>
        </w:rPr>
      </w:pPr>
    </w:p>
    <w:p w14:paraId="696FBD01">
      <w:pPr>
        <w:shd w:val="clear"/>
        <w:spacing w:line="360" w:lineRule="auto"/>
        <w:ind w:firstLine="3840" w:firstLineChars="1600"/>
        <w:rPr>
          <w:rFonts w:ascii="宋体" w:hAnsi="宋体" w:cs="宋体"/>
          <w:color w:val="auto"/>
          <w:sz w:val="24"/>
          <w:highlight w:val="none"/>
        </w:rPr>
      </w:pPr>
    </w:p>
    <w:p w14:paraId="4FAB29CA">
      <w:pPr>
        <w:shd w:val="clear"/>
        <w:spacing w:line="360" w:lineRule="auto"/>
        <w:ind w:firstLine="3840" w:firstLineChars="1600"/>
        <w:rPr>
          <w:rFonts w:ascii="宋体" w:hAnsi="宋体" w:cs="宋体"/>
          <w:color w:val="auto"/>
          <w:sz w:val="24"/>
          <w:highlight w:val="none"/>
        </w:rPr>
      </w:pPr>
      <w:r>
        <w:rPr>
          <w:rFonts w:hint="eastAsia" w:ascii="宋体" w:hAnsi="宋体" w:cs="宋体"/>
          <w:color w:val="auto"/>
          <w:kern w:val="0"/>
          <w:sz w:val="24"/>
          <w:highlight w:val="none"/>
        </w:rPr>
        <w:t>供应商名称（电子签章）：</w:t>
      </w:r>
    </w:p>
    <w:p w14:paraId="609F1FE6">
      <w:pPr>
        <w:shd w:val="clear"/>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日期：  年  月   日</w:t>
      </w:r>
    </w:p>
    <w:p w14:paraId="07055C4E">
      <w:pPr>
        <w:shd w:val="clear"/>
        <w:snapToGrid w:val="0"/>
        <w:spacing w:before="156" w:beforeLines="50" w:after="50"/>
        <w:ind w:left="142"/>
        <w:jc w:val="left"/>
        <w:rPr>
          <w:rFonts w:ascii="宋体" w:hAnsi="宋体" w:cs="宋体"/>
          <w:color w:val="auto"/>
          <w:sz w:val="24"/>
          <w:highlight w:val="none"/>
        </w:rPr>
      </w:pPr>
    </w:p>
    <w:p w14:paraId="1F2888EF">
      <w:pPr>
        <w:shd w:val="clear"/>
        <w:snapToGrid w:val="0"/>
        <w:spacing w:before="156" w:beforeLines="50" w:after="50"/>
        <w:ind w:left="142"/>
        <w:jc w:val="left"/>
        <w:rPr>
          <w:rFonts w:ascii="宋体" w:hAnsi="宋体" w:cs="宋体"/>
          <w:color w:val="auto"/>
          <w:sz w:val="24"/>
          <w:highlight w:val="none"/>
        </w:rPr>
      </w:pPr>
    </w:p>
    <w:p w14:paraId="21B137B6">
      <w:pPr>
        <w:shd w:val="clear"/>
        <w:jc w:val="center"/>
        <w:rPr>
          <w:rFonts w:ascii="宋体" w:hAnsi="宋体" w:cs="宋体"/>
          <w:color w:val="auto"/>
          <w:sz w:val="36"/>
          <w:szCs w:val="36"/>
          <w:highlight w:val="none"/>
        </w:rPr>
      </w:pPr>
      <w:r>
        <w:rPr>
          <w:rFonts w:hint="eastAsia" w:ascii="宋体" w:hAnsi="宋体" w:cs="宋体"/>
          <w:b/>
          <w:bCs/>
          <w:color w:val="auto"/>
          <w:sz w:val="32"/>
          <w:szCs w:val="32"/>
          <w:highlight w:val="none"/>
        </w:rPr>
        <w:t>二、配置清单（均不含报价）</w:t>
      </w:r>
    </w:p>
    <w:p w14:paraId="7D9D5619">
      <w:pPr>
        <w:pStyle w:val="19"/>
        <w:shd w:val="clear"/>
        <w:rPr>
          <w:rFonts w:ascii="宋体" w:hAnsi="宋体" w:cs="宋体"/>
          <w:color w:val="auto"/>
          <w:highlight w:val="none"/>
        </w:rPr>
      </w:pPr>
    </w:p>
    <w:tbl>
      <w:tblPr>
        <w:tblStyle w:val="28"/>
        <w:tblW w:w="504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25"/>
        <w:gridCol w:w="1237"/>
        <w:gridCol w:w="1050"/>
        <w:gridCol w:w="887"/>
        <w:gridCol w:w="887"/>
        <w:gridCol w:w="1774"/>
        <w:gridCol w:w="1237"/>
        <w:gridCol w:w="724"/>
        <w:gridCol w:w="1535"/>
      </w:tblGrid>
      <w:tr w14:paraId="7A82C8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790090A1">
            <w:pPr>
              <w:shd w:val="clear"/>
              <w:snapToGrid w:val="0"/>
              <w:spacing w:before="50" w:after="50"/>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615" w:type="pct"/>
            <w:tcBorders>
              <w:top w:val="single" w:color="auto" w:sz="4" w:space="0"/>
              <w:left w:val="single" w:color="auto" w:sz="4" w:space="0"/>
              <w:bottom w:val="single" w:color="auto" w:sz="4" w:space="0"/>
              <w:right w:val="single" w:color="auto" w:sz="4" w:space="0"/>
            </w:tcBorders>
            <w:vAlign w:val="center"/>
          </w:tcPr>
          <w:p w14:paraId="490A2E92">
            <w:pPr>
              <w:shd w:val="clear"/>
              <w:snapToGrid w:val="0"/>
              <w:spacing w:before="50" w:after="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标的名称</w:t>
            </w:r>
          </w:p>
        </w:tc>
        <w:tc>
          <w:tcPr>
            <w:tcW w:w="522" w:type="pct"/>
            <w:tcBorders>
              <w:top w:val="single" w:color="auto" w:sz="4" w:space="0"/>
              <w:left w:val="single" w:color="auto" w:sz="4" w:space="0"/>
              <w:bottom w:val="single" w:color="auto" w:sz="4" w:space="0"/>
              <w:right w:val="single" w:color="auto" w:sz="4" w:space="0"/>
            </w:tcBorders>
            <w:vAlign w:val="center"/>
          </w:tcPr>
          <w:p w14:paraId="4EE3F794">
            <w:pPr>
              <w:shd w:val="clear"/>
              <w:snapToGrid w:val="0"/>
              <w:spacing w:before="50" w:after="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441" w:type="pct"/>
            <w:tcBorders>
              <w:top w:val="single" w:color="auto" w:sz="4" w:space="0"/>
              <w:left w:val="single" w:color="auto" w:sz="4" w:space="0"/>
              <w:bottom w:val="single" w:color="auto" w:sz="4" w:space="0"/>
              <w:right w:val="single" w:color="auto" w:sz="4" w:space="0"/>
            </w:tcBorders>
            <w:vAlign w:val="center"/>
          </w:tcPr>
          <w:p w14:paraId="32AB13FE">
            <w:pPr>
              <w:shd w:val="clear"/>
              <w:snapToGrid w:val="0"/>
              <w:spacing w:before="50" w:after="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441" w:type="pct"/>
            <w:tcBorders>
              <w:top w:val="single" w:color="auto" w:sz="4" w:space="0"/>
              <w:left w:val="single" w:color="auto" w:sz="4" w:space="0"/>
              <w:bottom w:val="single" w:color="auto" w:sz="4" w:space="0"/>
              <w:right w:val="single" w:color="auto" w:sz="4" w:space="0"/>
            </w:tcBorders>
            <w:vAlign w:val="center"/>
          </w:tcPr>
          <w:p w14:paraId="32EBAA06">
            <w:pPr>
              <w:shd w:val="clear"/>
              <w:snapToGrid w:val="0"/>
              <w:spacing w:before="50" w:after="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品牌</w:t>
            </w:r>
          </w:p>
        </w:tc>
        <w:tc>
          <w:tcPr>
            <w:tcW w:w="882" w:type="pct"/>
            <w:tcBorders>
              <w:top w:val="single" w:color="auto" w:sz="4" w:space="0"/>
              <w:left w:val="single" w:color="auto" w:sz="4" w:space="0"/>
              <w:bottom w:val="single" w:color="auto" w:sz="4" w:space="0"/>
              <w:right w:val="single" w:color="auto" w:sz="4" w:space="0"/>
            </w:tcBorders>
            <w:vAlign w:val="center"/>
          </w:tcPr>
          <w:p w14:paraId="31375233">
            <w:pPr>
              <w:shd w:val="clear"/>
              <w:snapToGrid w:val="0"/>
              <w:spacing w:before="50" w:after="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规格型号</w:t>
            </w:r>
          </w:p>
        </w:tc>
        <w:tc>
          <w:tcPr>
            <w:tcW w:w="615" w:type="pct"/>
            <w:tcBorders>
              <w:top w:val="single" w:color="auto" w:sz="4" w:space="0"/>
              <w:left w:val="single" w:color="auto" w:sz="4" w:space="0"/>
              <w:bottom w:val="single" w:color="auto" w:sz="4" w:space="0"/>
              <w:right w:val="single" w:color="auto" w:sz="4" w:space="0"/>
            </w:tcBorders>
            <w:vAlign w:val="center"/>
          </w:tcPr>
          <w:p w14:paraId="0D03A655">
            <w:pPr>
              <w:shd w:val="clear"/>
              <w:snapToGrid w:val="0"/>
              <w:spacing w:before="50" w:after="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制造商</w:t>
            </w:r>
          </w:p>
        </w:tc>
        <w:tc>
          <w:tcPr>
            <w:tcW w:w="360" w:type="pct"/>
            <w:tcBorders>
              <w:top w:val="single" w:color="auto" w:sz="4" w:space="0"/>
              <w:left w:val="single" w:color="auto" w:sz="4" w:space="0"/>
              <w:bottom w:val="single" w:color="auto" w:sz="4" w:space="0"/>
              <w:right w:val="single" w:color="auto" w:sz="4" w:space="0"/>
            </w:tcBorders>
            <w:vAlign w:val="center"/>
          </w:tcPr>
          <w:p w14:paraId="676789D6">
            <w:pPr>
              <w:shd w:val="clear"/>
              <w:snapToGrid w:val="0"/>
              <w:spacing w:before="50" w:after="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原产地</w:t>
            </w:r>
          </w:p>
        </w:tc>
        <w:tc>
          <w:tcPr>
            <w:tcW w:w="760" w:type="pct"/>
            <w:tcBorders>
              <w:top w:val="single" w:color="auto" w:sz="4" w:space="0"/>
              <w:left w:val="single" w:color="auto" w:sz="4" w:space="0"/>
              <w:bottom w:val="single" w:color="auto" w:sz="4" w:space="0"/>
              <w:right w:val="single" w:color="auto" w:sz="4" w:space="0"/>
            </w:tcBorders>
            <w:vAlign w:val="center"/>
          </w:tcPr>
          <w:p w14:paraId="2EAC63D8">
            <w:pPr>
              <w:shd w:val="clear"/>
              <w:snapToGrid w:val="0"/>
              <w:spacing w:before="50" w:after="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参数性能、指标及配置</w:t>
            </w:r>
          </w:p>
        </w:tc>
      </w:tr>
      <w:tr w14:paraId="48BD8E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5000" w:type="pct"/>
            <w:gridSpan w:val="9"/>
            <w:tcBorders>
              <w:top w:val="single" w:color="auto" w:sz="4" w:space="0"/>
              <w:left w:val="single" w:color="auto" w:sz="4" w:space="0"/>
              <w:bottom w:val="single" w:color="auto" w:sz="4" w:space="0"/>
              <w:right w:val="single" w:color="auto" w:sz="4" w:space="0"/>
            </w:tcBorders>
            <w:vAlign w:val="center"/>
          </w:tcPr>
          <w:p w14:paraId="76EC034D">
            <w:pPr>
              <w:shd w:val="clear"/>
              <w:snapToGrid w:val="0"/>
              <w:spacing w:before="50" w:after="5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（一）生产设备工程</w:t>
            </w:r>
          </w:p>
        </w:tc>
      </w:tr>
      <w:tr w14:paraId="1592D8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203DF696">
            <w:pPr>
              <w:shd w:val="clea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615" w:type="pct"/>
            <w:tcBorders>
              <w:top w:val="single" w:color="auto" w:sz="4" w:space="0"/>
              <w:left w:val="single" w:color="auto" w:sz="4" w:space="0"/>
              <w:bottom w:val="single" w:color="auto" w:sz="4" w:space="0"/>
              <w:right w:val="single" w:color="auto" w:sz="4" w:space="0"/>
            </w:tcBorders>
            <w:vAlign w:val="center"/>
          </w:tcPr>
          <w:p w14:paraId="6699EBBB">
            <w:pPr>
              <w:shd w:val="clear"/>
              <w:snapToGrid w:val="0"/>
              <w:spacing w:before="50" w:after="50"/>
              <w:jc w:val="center"/>
              <w:rPr>
                <w:rFonts w:ascii="宋体" w:hAnsi="宋体" w:cs="宋体"/>
                <w:color w:val="auto"/>
                <w:sz w:val="24"/>
                <w:szCs w:val="24"/>
                <w:highlight w:val="none"/>
              </w:rPr>
            </w:pPr>
          </w:p>
        </w:tc>
        <w:tc>
          <w:tcPr>
            <w:tcW w:w="522" w:type="pct"/>
            <w:tcBorders>
              <w:top w:val="single" w:color="auto" w:sz="4" w:space="0"/>
              <w:left w:val="single" w:color="auto" w:sz="4" w:space="0"/>
              <w:bottom w:val="single" w:color="auto" w:sz="4" w:space="0"/>
              <w:right w:val="single" w:color="auto" w:sz="4" w:space="0"/>
            </w:tcBorders>
            <w:vAlign w:val="center"/>
          </w:tcPr>
          <w:p w14:paraId="5CE84A0E">
            <w:pPr>
              <w:shd w:val="clear"/>
              <w:snapToGrid w:val="0"/>
              <w:spacing w:before="50" w:after="50"/>
              <w:jc w:val="center"/>
              <w:rPr>
                <w:rFonts w:ascii="宋体" w:hAnsi="宋体" w:cs="宋体"/>
                <w:color w:val="auto"/>
                <w:sz w:val="24"/>
                <w:szCs w:val="24"/>
                <w:highlight w:val="none"/>
              </w:rPr>
            </w:pPr>
          </w:p>
        </w:tc>
        <w:tc>
          <w:tcPr>
            <w:tcW w:w="441" w:type="pct"/>
            <w:tcBorders>
              <w:top w:val="single" w:color="auto" w:sz="4" w:space="0"/>
              <w:left w:val="single" w:color="auto" w:sz="4" w:space="0"/>
              <w:bottom w:val="single" w:color="auto" w:sz="4" w:space="0"/>
              <w:right w:val="single" w:color="auto" w:sz="4" w:space="0"/>
            </w:tcBorders>
            <w:vAlign w:val="center"/>
          </w:tcPr>
          <w:p w14:paraId="78B646D1">
            <w:pPr>
              <w:shd w:val="clear"/>
              <w:snapToGrid w:val="0"/>
              <w:spacing w:before="50" w:after="50"/>
              <w:jc w:val="center"/>
              <w:rPr>
                <w:rFonts w:ascii="宋体" w:hAnsi="宋体" w:cs="宋体"/>
                <w:color w:val="auto"/>
                <w:sz w:val="24"/>
                <w:szCs w:val="24"/>
                <w:highlight w:val="none"/>
              </w:rPr>
            </w:pPr>
          </w:p>
        </w:tc>
        <w:tc>
          <w:tcPr>
            <w:tcW w:w="441" w:type="pct"/>
            <w:tcBorders>
              <w:top w:val="single" w:color="auto" w:sz="4" w:space="0"/>
              <w:left w:val="single" w:color="auto" w:sz="4" w:space="0"/>
              <w:bottom w:val="single" w:color="auto" w:sz="4" w:space="0"/>
              <w:right w:val="single" w:color="auto" w:sz="4" w:space="0"/>
            </w:tcBorders>
            <w:vAlign w:val="center"/>
          </w:tcPr>
          <w:p w14:paraId="4874178C">
            <w:pPr>
              <w:shd w:val="clear"/>
              <w:snapToGrid w:val="0"/>
              <w:spacing w:before="50" w:after="50"/>
              <w:jc w:val="center"/>
              <w:rPr>
                <w:rFonts w:ascii="宋体" w:hAnsi="宋体" w:cs="宋体"/>
                <w:color w:val="auto"/>
                <w:sz w:val="24"/>
                <w:szCs w:val="24"/>
                <w:highlight w:val="none"/>
              </w:rPr>
            </w:pPr>
          </w:p>
        </w:tc>
        <w:tc>
          <w:tcPr>
            <w:tcW w:w="882" w:type="pct"/>
            <w:tcBorders>
              <w:top w:val="single" w:color="auto" w:sz="4" w:space="0"/>
              <w:left w:val="single" w:color="auto" w:sz="4" w:space="0"/>
              <w:bottom w:val="single" w:color="auto" w:sz="4" w:space="0"/>
              <w:right w:val="single" w:color="auto" w:sz="4" w:space="0"/>
            </w:tcBorders>
          </w:tcPr>
          <w:p w14:paraId="7224ADF6">
            <w:pPr>
              <w:shd w:val="clear"/>
              <w:snapToGrid w:val="0"/>
              <w:spacing w:before="50" w:after="50"/>
              <w:jc w:val="center"/>
              <w:rPr>
                <w:rFonts w:ascii="宋体" w:hAnsi="宋体" w:cs="宋体"/>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cBorders>
            <w:vAlign w:val="center"/>
          </w:tcPr>
          <w:p w14:paraId="16AE5B38">
            <w:pPr>
              <w:shd w:val="clear"/>
              <w:snapToGrid w:val="0"/>
              <w:spacing w:before="50" w:after="50"/>
              <w:jc w:val="center"/>
              <w:rPr>
                <w:rFonts w:ascii="宋体" w:hAnsi="宋体" w:cs="宋体"/>
                <w:color w:val="auto"/>
                <w:sz w:val="24"/>
                <w:szCs w:val="24"/>
                <w:highlight w:val="none"/>
              </w:rPr>
            </w:pPr>
          </w:p>
        </w:tc>
        <w:tc>
          <w:tcPr>
            <w:tcW w:w="360" w:type="pct"/>
            <w:tcBorders>
              <w:top w:val="single" w:color="auto" w:sz="4" w:space="0"/>
              <w:left w:val="single" w:color="auto" w:sz="4" w:space="0"/>
              <w:bottom w:val="single" w:color="auto" w:sz="4" w:space="0"/>
              <w:right w:val="single" w:color="auto" w:sz="4" w:space="0"/>
            </w:tcBorders>
            <w:vAlign w:val="center"/>
          </w:tcPr>
          <w:p w14:paraId="2938459D">
            <w:pPr>
              <w:shd w:val="clear"/>
              <w:snapToGrid w:val="0"/>
              <w:spacing w:before="50" w:after="50"/>
              <w:jc w:val="center"/>
              <w:rPr>
                <w:rFonts w:ascii="宋体" w:hAnsi="宋体" w:cs="宋体"/>
                <w:color w:val="auto"/>
                <w:sz w:val="24"/>
                <w:szCs w:val="24"/>
                <w:highlight w:val="none"/>
              </w:rPr>
            </w:pPr>
          </w:p>
        </w:tc>
        <w:tc>
          <w:tcPr>
            <w:tcW w:w="760" w:type="pct"/>
            <w:tcBorders>
              <w:top w:val="single" w:color="auto" w:sz="4" w:space="0"/>
              <w:left w:val="single" w:color="auto" w:sz="4" w:space="0"/>
              <w:bottom w:val="single" w:color="auto" w:sz="4" w:space="0"/>
              <w:right w:val="single" w:color="auto" w:sz="4" w:space="0"/>
            </w:tcBorders>
            <w:vAlign w:val="center"/>
          </w:tcPr>
          <w:p w14:paraId="6DC0C28A">
            <w:pPr>
              <w:shd w:val="clear"/>
              <w:snapToGrid w:val="0"/>
              <w:spacing w:before="50" w:after="50"/>
              <w:jc w:val="center"/>
              <w:rPr>
                <w:rFonts w:ascii="宋体" w:hAnsi="宋体" w:cs="宋体"/>
                <w:color w:val="auto"/>
                <w:sz w:val="24"/>
                <w:szCs w:val="24"/>
                <w:highlight w:val="none"/>
              </w:rPr>
            </w:pPr>
          </w:p>
        </w:tc>
      </w:tr>
      <w:tr w14:paraId="762E7B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5B35CF5C">
            <w:pPr>
              <w:shd w:val="clear"/>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615" w:type="pct"/>
            <w:tcBorders>
              <w:top w:val="single" w:color="auto" w:sz="4" w:space="0"/>
              <w:left w:val="single" w:color="auto" w:sz="4" w:space="0"/>
              <w:bottom w:val="single" w:color="auto" w:sz="4" w:space="0"/>
              <w:right w:val="single" w:color="auto" w:sz="4" w:space="0"/>
            </w:tcBorders>
            <w:vAlign w:val="center"/>
          </w:tcPr>
          <w:p w14:paraId="28CAAD64">
            <w:pPr>
              <w:shd w:val="clear"/>
              <w:snapToGrid w:val="0"/>
              <w:spacing w:before="50" w:after="50"/>
              <w:jc w:val="center"/>
              <w:rPr>
                <w:rFonts w:ascii="宋体" w:hAnsi="宋体" w:cs="宋体"/>
                <w:color w:val="auto"/>
                <w:sz w:val="24"/>
                <w:szCs w:val="24"/>
                <w:highlight w:val="none"/>
              </w:rPr>
            </w:pPr>
          </w:p>
        </w:tc>
        <w:tc>
          <w:tcPr>
            <w:tcW w:w="522" w:type="pct"/>
            <w:tcBorders>
              <w:top w:val="single" w:color="auto" w:sz="4" w:space="0"/>
              <w:left w:val="single" w:color="auto" w:sz="4" w:space="0"/>
              <w:bottom w:val="single" w:color="auto" w:sz="4" w:space="0"/>
              <w:right w:val="single" w:color="auto" w:sz="4" w:space="0"/>
            </w:tcBorders>
            <w:vAlign w:val="center"/>
          </w:tcPr>
          <w:p w14:paraId="3A2599DD">
            <w:pPr>
              <w:shd w:val="clear"/>
              <w:snapToGrid w:val="0"/>
              <w:spacing w:before="50" w:after="50"/>
              <w:jc w:val="center"/>
              <w:rPr>
                <w:rFonts w:ascii="宋体" w:hAnsi="宋体" w:cs="宋体"/>
                <w:color w:val="auto"/>
                <w:sz w:val="24"/>
                <w:szCs w:val="24"/>
                <w:highlight w:val="none"/>
              </w:rPr>
            </w:pPr>
          </w:p>
        </w:tc>
        <w:tc>
          <w:tcPr>
            <w:tcW w:w="441" w:type="pct"/>
            <w:tcBorders>
              <w:top w:val="single" w:color="auto" w:sz="4" w:space="0"/>
              <w:left w:val="single" w:color="auto" w:sz="4" w:space="0"/>
              <w:bottom w:val="single" w:color="auto" w:sz="4" w:space="0"/>
              <w:right w:val="single" w:color="auto" w:sz="4" w:space="0"/>
            </w:tcBorders>
            <w:vAlign w:val="center"/>
          </w:tcPr>
          <w:p w14:paraId="3162E7DF">
            <w:pPr>
              <w:shd w:val="clear"/>
              <w:snapToGrid w:val="0"/>
              <w:spacing w:before="50" w:after="50"/>
              <w:jc w:val="center"/>
              <w:rPr>
                <w:rFonts w:ascii="宋体" w:hAnsi="宋体" w:cs="宋体"/>
                <w:color w:val="auto"/>
                <w:sz w:val="24"/>
                <w:szCs w:val="24"/>
                <w:highlight w:val="none"/>
              </w:rPr>
            </w:pPr>
          </w:p>
        </w:tc>
        <w:tc>
          <w:tcPr>
            <w:tcW w:w="441" w:type="pct"/>
            <w:tcBorders>
              <w:top w:val="single" w:color="auto" w:sz="4" w:space="0"/>
              <w:left w:val="single" w:color="auto" w:sz="4" w:space="0"/>
              <w:bottom w:val="single" w:color="auto" w:sz="4" w:space="0"/>
              <w:right w:val="single" w:color="auto" w:sz="4" w:space="0"/>
            </w:tcBorders>
            <w:vAlign w:val="center"/>
          </w:tcPr>
          <w:p w14:paraId="118C0D59">
            <w:pPr>
              <w:shd w:val="clear"/>
              <w:snapToGrid w:val="0"/>
              <w:spacing w:before="50" w:after="50"/>
              <w:jc w:val="center"/>
              <w:rPr>
                <w:rFonts w:ascii="宋体" w:hAnsi="宋体" w:cs="宋体"/>
                <w:color w:val="auto"/>
                <w:sz w:val="24"/>
                <w:szCs w:val="24"/>
                <w:highlight w:val="none"/>
              </w:rPr>
            </w:pPr>
          </w:p>
        </w:tc>
        <w:tc>
          <w:tcPr>
            <w:tcW w:w="882" w:type="pct"/>
            <w:tcBorders>
              <w:top w:val="single" w:color="auto" w:sz="4" w:space="0"/>
              <w:left w:val="single" w:color="auto" w:sz="4" w:space="0"/>
              <w:bottom w:val="single" w:color="auto" w:sz="4" w:space="0"/>
              <w:right w:val="single" w:color="auto" w:sz="4" w:space="0"/>
            </w:tcBorders>
          </w:tcPr>
          <w:p w14:paraId="0EE95E27">
            <w:pPr>
              <w:shd w:val="clear"/>
              <w:snapToGrid w:val="0"/>
              <w:spacing w:before="50" w:after="50"/>
              <w:jc w:val="center"/>
              <w:rPr>
                <w:rFonts w:ascii="宋体" w:hAnsi="宋体" w:cs="宋体"/>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cBorders>
            <w:vAlign w:val="center"/>
          </w:tcPr>
          <w:p w14:paraId="213975B4">
            <w:pPr>
              <w:shd w:val="clear"/>
              <w:snapToGrid w:val="0"/>
              <w:spacing w:before="50" w:after="50"/>
              <w:jc w:val="center"/>
              <w:rPr>
                <w:rFonts w:ascii="宋体" w:hAnsi="宋体" w:cs="宋体"/>
                <w:color w:val="auto"/>
                <w:sz w:val="24"/>
                <w:szCs w:val="24"/>
                <w:highlight w:val="none"/>
              </w:rPr>
            </w:pPr>
          </w:p>
        </w:tc>
        <w:tc>
          <w:tcPr>
            <w:tcW w:w="360" w:type="pct"/>
            <w:tcBorders>
              <w:top w:val="single" w:color="auto" w:sz="4" w:space="0"/>
              <w:left w:val="single" w:color="auto" w:sz="4" w:space="0"/>
              <w:bottom w:val="single" w:color="auto" w:sz="4" w:space="0"/>
              <w:right w:val="single" w:color="auto" w:sz="4" w:space="0"/>
            </w:tcBorders>
            <w:vAlign w:val="center"/>
          </w:tcPr>
          <w:p w14:paraId="78CD7668">
            <w:pPr>
              <w:shd w:val="clear"/>
              <w:snapToGrid w:val="0"/>
              <w:spacing w:before="50" w:after="50"/>
              <w:jc w:val="center"/>
              <w:rPr>
                <w:rFonts w:ascii="宋体" w:hAnsi="宋体" w:cs="宋体"/>
                <w:color w:val="auto"/>
                <w:sz w:val="24"/>
                <w:szCs w:val="24"/>
                <w:highlight w:val="none"/>
              </w:rPr>
            </w:pPr>
          </w:p>
        </w:tc>
        <w:tc>
          <w:tcPr>
            <w:tcW w:w="760" w:type="pct"/>
            <w:tcBorders>
              <w:top w:val="single" w:color="auto" w:sz="4" w:space="0"/>
              <w:left w:val="single" w:color="auto" w:sz="4" w:space="0"/>
              <w:bottom w:val="single" w:color="auto" w:sz="4" w:space="0"/>
              <w:right w:val="single" w:color="auto" w:sz="4" w:space="0"/>
            </w:tcBorders>
            <w:vAlign w:val="center"/>
          </w:tcPr>
          <w:p w14:paraId="0E6F0DC5">
            <w:pPr>
              <w:shd w:val="clear"/>
              <w:snapToGrid w:val="0"/>
              <w:spacing w:before="50" w:after="50"/>
              <w:jc w:val="center"/>
              <w:rPr>
                <w:rFonts w:ascii="宋体" w:hAnsi="宋体" w:cs="宋体"/>
                <w:color w:val="auto"/>
                <w:sz w:val="24"/>
                <w:szCs w:val="24"/>
                <w:highlight w:val="none"/>
              </w:rPr>
            </w:pPr>
          </w:p>
        </w:tc>
      </w:tr>
      <w:tr w14:paraId="439D8C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676C4FBD">
            <w:pPr>
              <w:shd w:val="clear"/>
              <w:rPr>
                <w:rFonts w:ascii="宋体" w:hAnsi="宋体" w:cs="宋体"/>
                <w:color w:val="auto"/>
                <w:sz w:val="24"/>
                <w:szCs w:val="24"/>
                <w:highlight w:val="none"/>
              </w:rPr>
            </w:pPr>
            <w:r>
              <w:rPr>
                <w:rFonts w:hint="eastAsia" w:ascii="宋体" w:hAnsi="宋体" w:cs="宋体"/>
                <w:color w:val="auto"/>
                <w:sz w:val="24"/>
                <w:szCs w:val="24"/>
                <w:highlight w:val="none"/>
              </w:rPr>
              <w:t>...</w:t>
            </w:r>
          </w:p>
        </w:tc>
        <w:tc>
          <w:tcPr>
            <w:tcW w:w="615" w:type="pct"/>
            <w:tcBorders>
              <w:top w:val="single" w:color="auto" w:sz="4" w:space="0"/>
              <w:left w:val="single" w:color="auto" w:sz="4" w:space="0"/>
              <w:bottom w:val="single" w:color="auto" w:sz="4" w:space="0"/>
              <w:right w:val="single" w:color="auto" w:sz="4" w:space="0"/>
            </w:tcBorders>
            <w:vAlign w:val="center"/>
          </w:tcPr>
          <w:p w14:paraId="0CCE9322">
            <w:pPr>
              <w:shd w:val="clear"/>
              <w:snapToGrid w:val="0"/>
              <w:spacing w:before="50" w:after="50"/>
              <w:jc w:val="center"/>
              <w:rPr>
                <w:rFonts w:ascii="宋体" w:hAnsi="宋体" w:cs="宋体"/>
                <w:color w:val="auto"/>
                <w:sz w:val="24"/>
                <w:szCs w:val="24"/>
                <w:highlight w:val="none"/>
              </w:rPr>
            </w:pPr>
          </w:p>
        </w:tc>
        <w:tc>
          <w:tcPr>
            <w:tcW w:w="522" w:type="pct"/>
            <w:tcBorders>
              <w:top w:val="single" w:color="auto" w:sz="4" w:space="0"/>
              <w:left w:val="single" w:color="auto" w:sz="4" w:space="0"/>
              <w:bottom w:val="single" w:color="auto" w:sz="4" w:space="0"/>
              <w:right w:val="single" w:color="auto" w:sz="4" w:space="0"/>
            </w:tcBorders>
            <w:vAlign w:val="center"/>
          </w:tcPr>
          <w:p w14:paraId="4804EA71">
            <w:pPr>
              <w:shd w:val="clear"/>
              <w:snapToGrid w:val="0"/>
              <w:spacing w:before="50" w:after="50"/>
              <w:jc w:val="center"/>
              <w:rPr>
                <w:rFonts w:ascii="宋体" w:hAnsi="宋体" w:cs="宋体"/>
                <w:color w:val="auto"/>
                <w:sz w:val="24"/>
                <w:szCs w:val="24"/>
                <w:highlight w:val="none"/>
              </w:rPr>
            </w:pPr>
          </w:p>
        </w:tc>
        <w:tc>
          <w:tcPr>
            <w:tcW w:w="441" w:type="pct"/>
            <w:tcBorders>
              <w:top w:val="single" w:color="auto" w:sz="4" w:space="0"/>
              <w:left w:val="single" w:color="auto" w:sz="4" w:space="0"/>
              <w:bottom w:val="single" w:color="auto" w:sz="4" w:space="0"/>
              <w:right w:val="single" w:color="auto" w:sz="4" w:space="0"/>
            </w:tcBorders>
            <w:vAlign w:val="center"/>
          </w:tcPr>
          <w:p w14:paraId="1C4F7B78">
            <w:pPr>
              <w:shd w:val="clear"/>
              <w:snapToGrid w:val="0"/>
              <w:spacing w:before="50" w:after="50"/>
              <w:jc w:val="center"/>
              <w:rPr>
                <w:rFonts w:ascii="宋体" w:hAnsi="宋体" w:cs="宋体"/>
                <w:color w:val="auto"/>
                <w:sz w:val="24"/>
                <w:szCs w:val="24"/>
                <w:highlight w:val="none"/>
              </w:rPr>
            </w:pPr>
          </w:p>
        </w:tc>
        <w:tc>
          <w:tcPr>
            <w:tcW w:w="441" w:type="pct"/>
            <w:tcBorders>
              <w:top w:val="single" w:color="auto" w:sz="4" w:space="0"/>
              <w:left w:val="single" w:color="auto" w:sz="4" w:space="0"/>
              <w:bottom w:val="single" w:color="auto" w:sz="4" w:space="0"/>
              <w:right w:val="single" w:color="auto" w:sz="4" w:space="0"/>
            </w:tcBorders>
            <w:vAlign w:val="center"/>
          </w:tcPr>
          <w:p w14:paraId="060A4C09">
            <w:pPr>
              <w:shd w:val="clear"/>
              <w:snapToGrid w:val="0"/>
              <w:spacing w:before="50" w:after="50"/>
              <w:jc w:val="center"/>
              <w:rPr>
                <w:rFonts w:ascii="宋体" w:hAnsi="宋体" w:cs="宋体"/>
                <w:color w:val="auto"/>
                <w:sz w:val="24"/>
                <w:szCs w:val="24"/>
                <w:highlight w:val="none"/>
              </w:rPr>
            </w:pPr>
          </w:p>
        </w:tc>
        <w:tc>
          <w:tcPr>
            <w:tcW w:w="882" w:type="pct"/>
            <w:tcBorders>
              <w:top w:val="single" w:color="auto" w:sz="4" w:space="0"/>
              <w:left w:val="single" w:color="auto" w:sz="4" w:space="0"/>
              <w:bottom w:val="single" w:color="auto" w:sz="4" w:space="0"/>
              <w:right w:val="single" w:color="auto" w:sz="4" w:space="0"/>
            </w:tcBorders>
          </w:tcPr>
          <w:p w14:paraId="065F7F50">
            <w:pPr>
              <w:shd w:val="clear"/>
              <w:snapToGrid w:val="0"/>
              <w:spacing w:before="50" w:after="50"/>
              <w:jc w:val="center"/>
              <w:rPr>
                <w:rFonts w:ascii="宋体" w:hAnsi="宋体" w:cs="宋体"/>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cBorders>
            <w:vAlign w:val="center"/>
          </w:tcPr>
          <w:p w14:paraId="191F96D2">
            <w:pPr>
              <w:shd w:val="clear"/>
              <w:snapToGrid w:val="0"/>
              <w:spacing w:before="50" w:after="50"/>
              <w:jc w:val="center"/>
              <w:rPr>
                <w:rFonts w:ascii="宋体" w:hAnsi="宋体" w:cs="宋体"/>
                <w:color w:val="auto"/>
                <w:sz w:val="24"/>
                <w:szCs w:val="24"/>
                <w:highlight w:val="none"/>
              </w:rPr>
            </w:pPr>
          </w:p>
        </w:tc>
        <w:tc>
          <w:tcPr>
            <w:tcW w:w="360" w:type="pct"/>
            <w:tcBorders>
              <w:top w:val="single" w:color="auto" w:sz="4" w:space="0"/>
              <w:left w:val="single" w:color="auto" w:sz="4" w:space="0"/>
              <w:bottom w:val="single" w:color="auto" w:sz="4" w:space="0"/>
              <w:right w:val="single" w:color="auto" w:sz="4" w:space="0"/>
            </w:tcBorders>
            <w:vAlign w:val="center"/>
          </w:tcPr>
          <w:p w14:paraId="6177695B">
            <w:pPr>
              <w:shd w:val="clear"/>
              <w:snapToGrid w:val="0"/>
              <w:spacing w:before="50" w:after="50"/>
              <w:jc w:val="center"/>
              <w:rPr>
                <w:rFonts w:ascii="宋体" w:hAnsi="宋体" w:cs="宋体"/>
                <w:color w:val="auto"/>
                <w:sz w:val="24"/>
                <w:szCs w:val="24"/>
                <w:highlight w:val="none"/>
              </w:rPr>
            </w:pPr>
          </w:p>
        </w:tc>
        <w:tc>
          <w:tcPr>
            <w:tcW w:w="760" w:type="pct"/>
            <w:tcBorders>
              <w:top w:val="single" w:color="auto" w:sz="4" w:space="0"/>
              <w:left w:val="single" w:color="auto" w:sz="4" w:space="0"/>
              <w:bottom w:val="single" w:color="auto" w:sz="4" w:space="0"/>
              <w:right w:val="single" w:color="auto" w:sz="4" w:space="0"/>
            </w:tcBorders>
            <w:vAlign w:val="center"/>
          </w:tcPr>
          <w:p w14:paraId="3CDC81CD">
            <w:pPr>
              <w:shd w:val="clear"/>
              <w:snapToGrid w:val="0"/>
              <w:spacing w:before="50" w:after="50"/>
              <w:jc w:val="center"/>
              <w:rPr>
                <w:rFonts w:ascii="宋体" w:hAnsi="宋体" w:cs="宋体"/>
                <w:color w:val="auto"/>
                <w:sz w:val="24"/>
                <w:szCs w:val="24"/>
                <w:highlight w:val="none"/>
              </w:rPr>
            </w:pPr>
          </w:p>
        </w:tc>
      </w:tr>
      <w:tr w14:paraId="4D8412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7CC47CBD">
            <w:pPr>
              <w:shd w:val="clear"/>
              <w:snapToGrid w:val="0"/>
              <w:spacing w:before="50" w:after="50"/>
              <w:jc w:val="center"/>
              <w:rPr>
                <w:rFonts w:ascii="宋体" w:hAnsi="宋体" w:cs="宋体"/>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cBorders>
            <w:vAlign w:val="center"/>
          </w:tcPr>
          <w:p w14:paraId="2A3E3172">
            <w:pPr>
              <w:shd w:val="clear"/>
              <w:snapToGrid w:val="0"/>
              <w:spacing w:before="50" w:after="50"/>
              <w:jc w:val="center"/>
              <w:rPr>
                <w:rFonts w:ascii="宋体" w:hAnsi="宋体" w:cs="宋体"/>
                <w:color w:val="auto"/>
                <w:sz w:val="24"/>
                <w:szCs w:val="24"/>
                <w:highlight w:val="none"/>
              </w:rPr>
            </w:pPr>
          </w:p>
        </w:tc>
        <w:tc>
          <w:tcPr>
            <w:tcW w:w="522" w:type="pct"/>
            <w:tcBorders>
              <w:top w:val="single" w:color="auto" w:sz="4" w:space="0"/>
              <w:left w:val="single" w:color="auto" w:sz="4" w:space="0"/>
              <w:bottom w:val="single" w:color="auto" w:sz="4" w:space="0"/>
              <w:right w:val="single" w:color="auto" w:sz="4" w:space="0"/>
            </w:tcBorders>
            <w:vAlign w:val="center"/>
          </w:tcPr>
          <w:p w14:paraId="58690C18">
            <w:pPr>
              <w:shd w:val="clear"/>
              <w:snapToGrid w:val="0"/>
              <w:spacing w:before="50" w:after="50"/>
              <w:jc w:val="center"/>
              <w:rPr>
                <w:rFonts w:ascii="宋体" w:hAnsi="宋体" w:cs="宋体"/>
                <w:color w:val="auto"/>
                <w:sz w:val="24"/>
                <w:szCs w:val="24"/>
                <w:highlight w:val="none"/>
              </w:rPr>
            </w:pPr>
          </w:p>
        </w:tc>
        <w:tc>
          <w:tcPr>
            <w:tcW w:w="441" w:type="pct"/>
            <w:tcBorders>
              <w:top w:val="single" w:color="auto" w:sz="4" w:space="0"/>
              <w:left w:val="single" w:color="auto" w:sz="4" w:space="0"/>
              <w:bottom w:val="single" w:color="auto" w:sz="4" w:space="0"/>
              <w:right w:val="single" w:color="auto" w:sz="4" w:space="0"/>
            </w:tcBorders>
            <w:vAlign w:val="center"/>
          </w:tcPr>
          <w:p w14:paraId="542AE0B0">
            <w:pPr>
              <w:shd w:val="clear"/>
              <w:snapToGrid w:val="0"/>
              <w:spacing w:before="50" w:after="50"/>
              <w:jc w:val="center"/>
              <w:rPr>
                <w:rFonts w:ascii="宋体" w:hAnsi="宋体" w:cs="宋体"/>
                <w:color w:val="auto"/>
                <w:sz w:val="24"/>
                <w:szCs w:val="24"/>
                <w:highlight w:val="none"/>
              </w:rPr>
            </w:pPr>
          </w:p>
        </w:tc>
        <w:tc>
          <w:tcPr>
            <w:tcW w:w="441" w:type="pct"/>
            <w:tcBorders>
              <w:top w:val="single" w:color="auto" w:sz="4" w:space="0"/>
              <w:left w:val="single" w:color="auto" w:sz="4" w:space="0"/>
              <w:bottom w:val="single" w:color="auto" w:sz="4" w:space="0"/>
              <w:right w:val="single" w:color="auto" w:sz="4" w:space="0"/>
            </w:tcBorders>
            <w:vAlign w:val="center"/>
          </w:tcPr>
          <w:p w14:paraId="6413B988">
            <w:pPr>
              <w:shd w:val="clear"/>
              <w:snapToGrid w:val="0"/>
              <w:spacing w:before="50" w:after="50"/>
              <w:jc w:val="center"/>
              <w:rPr>
                <w:rFonts w:ascii="宋体" w:hAnsi="宋体" w:cs="宋体"/>
                <w:color w:val="auto"/>
                <w:sz w:val="24"/>
                <w:szCs w:val="24"/>
                <w:highlight w:val="none"/>
              </w:rPr>
            </w:pPr>
          </w:p>
        </w:tc>
        <w:tc>
          <w:tcPr>
            <w:tcW w:w="882" w:type="pct"/>
            <w:tcBorders>
              <w:top w:val="single" w:color="auto" w:sz="4" w:space="0"/>
              <w:left w:val="single" w:color="auto" w:sz="4" w:space="0"/>
              <w:bottom w:val="single" w:color="auto" w:sz="4" w:space="0"/>
              <w:right w:val="single" w:color="auto" w:sz="4" w:space="0"/>
            </w:tcBorders>
          </w:tcPr>
          <w:p w14:paraId="2E03F681">
            <w:pPr>
              <w:shd w:val="clear"/>
              <w:snapToGrid w:val="0"/>
              <w:spacing w:before="50" w:after="50"/>
              <w:jc w:val="center"/>
              <w:rPr>
                <w:rFonts w:ascii="宋体" w:hAnsi="宋体" w:cs="宋体"/>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cBorders>
            <w:vAlign w:val="center"/>
          </w:tcPr>
          <w:p w14:paraId="2D9BBD5A">
            <w:pPr>
              <w:shd w:val="clear"/>
              <w:snapToGrid w:val="0"/>
              <w:spacing w:before="50" w:after="50"/>
              <w:jc w:val="center"/>
              <w:rPr>
                <w:rFonts w:ascii="宋体" w:hAnsi="宋体" w:cs="宋体"/>
                <w:color w:val="auto"/>
                <w:sz w:val="24"/>
                <w:szCs w:val="24"/>
                <w:highlight w:val="none"/>
              </w:rPr>
            </w:pPr>
          </w:p>
        </w:tc>
        <w:tc>
          <w:tcPr>
            <w:tcW w:w="360" w:type="pct"/>
            <w:tcBorders>
              <w:top w:val="single" w:color="auto" w:sz="4" w:space="0"/>
              <w:left w:val="single" w:color="auto" w:sz="4" w:space="0"/>
              <w:bottom w:val="single" w:color="auto" w:sz="4" w:space="0"/>
              <w:right w:val="single" w:color="auto" w:sz="4" w:space="0"/>
            </w:tcBorders>
            <w:vAlign w:val="center"/>
          </w:tcPr>
          <w:p w14:paraId="0A60C0E0">
            <w:pPr>
              <w:shd w:val="clear"/>
              <w:snapToGrid w:val="0"/>
              <w:spacing w:before="50" w:after="50"/>
              <w:jc w:val="center"/>
              <w:rPr>
                <w:rFonts w:ascii="宋体" w:hAnsi="宋体" w:cs="宋体"/>
                <w:color w:val="auto"/>
                <w:sz w:val="24"/>
                <w:szCs w:val="24"/>
                <w:highlight w:val="none"/>
              </w:rPr>
            </w:pPr>
          </w:p>
        </w:tc>
        <w:tc>
          <w:tcPr>
            <w:tcW w:w="760" w:type="pct"/>
            <w:tcBorders>
              <w:top w:val="single" w:color="auto" w:sz="4" w:space="0"/>
              <w:left w:val="single" w:color="auto" w:sz="4" w:space="0"/>
              <w:bottom w:val="single" w:color="auto" w:sz="4" w:space="0"/>
              <w:right w:val="single" w:color="auto" w:sz="4" w:space="0"/>
            </w:tcBorders>
            <w:vAlign w:val="center"/>
          </w:tcPr>
          <w:p w14:paraId="325A3180">
            <w:pPr>
              <w:shd w:val="clear"/>
              <w:snapToGrid w:val="0"/>
              <w:spacing w:before="50" w:after="50"/>
              <w:jc w:val="center"/>
              <w:rPr>
                <w:rFonts w:ascii="宋体" w:hAnsi="宋体" w:cs="宋体"/>
                <w:color w:val="auto"/>
                <w:sz w:val="24"/>
                <w:szCs w:val="24"/>
                <w:highlight w:val="none"/>
              </w:rPr>
            </w:pPr>
          </w:p>
        </w:tc>
      </w:tr>
    </w:tbl>
    <w:p w14:paraId="4F5E91DB">
      <w:pPr>
        <w:shd w:val="clear"/>
        <w:spacing w:line="360" w:lineRule="auto"/>
        <w:contextualSpacing/>
        <w:rPr>
          <w:rFonts w:ascii="宋体" w:hAnsi="宋体" w:cs="宋体"/>
          <w:color w:val="auto"/>
          <w:sz w:val="24"/>
          <w:highlight w:val="none"/>
        </w:rPr>
      </w:pPr>
      <w:r>
        <w:rPr>
          <w:rFonts w:hint="eastAsia" w:ascii="宋体" w:hAnsi="宋体" w:cs="宋体"/>
          <w:color w:val="auto"/>
          <w:sz w:val="24"/>
          <w:highlight w:val="none"/>
        </w:rPr>
        <w:t>备注：</w:t>
      </w:r>
    </w:p>
    <w:p w14:paraId="65A8D7C9">
      <w:pPr>
        <w:pStyle w:val="19"/>
        <w:shd w:val="clear"/>
        <w:rPr>
          <w:rFonts w:ascii="宋体" w:hAnsi="宋体" w:cs="宋体"/>
          <w:color w:val="auto"/>
          <w:highlight w:val="none"/>
        </w:rPr>
      </w:pPr>
      <w:r>
        <w:rPr>
          <w:rFonts w:hint="eastAsia" w:ascii="宋体" w:hAnsi="宋体" w:cs="宋体"/>
          <w:b/>
          <w:bCs/>
          <w:color w:val="auto"/>
          <w:sz w:val="24"/>
          <w:highlight w:val="none"/>
        </w:rPr>
        <w:t>以上配置清单中“标的名称、数量及单位、品牌、规格型号、制造商、原产地、参数性能、指标及配置”必须如实填写完整，品牌、规格型号没有则填无，填写有缺漏的，响应文件作无效处理</w:t>
      </w:r>
      <w:r>
        <w:rPr>
          <w:rFonts w:hint="eastAsia" w:ascii="宋体" w:hAnsi="宋体" w:cs="宋体"/>
          <w:b/>
          <w:color w:val="auto"/>
          <w:sz w:val="24"/>
          <w:highlight w:val="none"/>
        </w:rPr>
        <w:t>。标的名称</w:t>
      </w:r>
      <w:r>
        <w:rPr>
          <w:rFonts w:hint="eastAsia" w:ascii="宋体" w:hAnsi="宋体" w:cs="宋体"/>
          <w:color w:val="auto"/>
          <w:sz w:val="24"/>
          <w:highlight w:val="none"/>
        </w:rPr>
        <w:t>、数量及单位、品牌必须与“采购需求”一致，</w:t>
      </w:r>
      <w:r>
        <w:rPr>
          <w:rFonts w:hint="eastAsia" w:ascii="宋体" w:hAnsi="宋体" w:cs="宋体"/>
          <w:bCs/>
          <w:color w:val="auto"/>
          <w:sz w:val="24"/>
          <w:highlight w:val="none"/>
        </w:rPr>
        <w:t>否则响应文件作无效处理。</w:t>
      </w:r>
    </w:p>
    <w:p w14:paraId="6F686358">
      <w:pPr>
        <w:shd w:val="clear"/>
        <w:snapToGrid w:val="0"/>
        <w:spacing w:before="50" w:after="50" w:line="360" w:lineRule="auto"/>
        <w:ind w:right="-817" w:rightChars="-389"/>
        <w:rPr>
          <w:rFonts w:ascii="宋体" w:hAnsi="宋体" w:cs="宋体"/>
          <w:color w:val="auto"/>
          <w:sz w:val="24"/>
          <w:highlight w:val="none"/>
        </w:rPr>
      </w:pPr>
    </w:p>
    <w:p w14:paraId="59384953">
      <w:pPr>
        <w:shd w:val="clear"/>
        <w:spacing w:line="360" w:lineRule="auto"/>
        <w:ind w:firstLine="3840" w:firstLineChars="1600"/>
        <w:rPr>
          <w:rFonts w:ascii="宋体" w:hAnsi="宋体" w:cs="宋体"/>
          <w:color w:val="auto"/>
          <w:sz w:val="24"/>
          <w:highlight w:val="none"/>
        </w:rPr>
      </w:pPr>
      <w:r>
        <w:rPr>
          <w:rFonts w:hint="eastAsia" w:ascii="宋体" w:hAnsi="宋体" w:cs="宋体"/>
          <w:color w:val="auto"/>
          <w:kern w:val="0"/>
          <w:sz w:val="24"/>
          <w:highlight w:val="none"/>
        </w:rPr>
        <w:t>供应商名称（电子签章）：</w:t>
      </w:r>
    </w:p>
    <w:p w14:paraId="27D6FA40">
      <w:pPr>
        <w:shd w:val="clear"/>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日期：  年  月   日</w:t>
      </w:r>
    </w:p>
    <w:p w14:paraId="0A744793">
      <w:pPr>
        <w:pStyle w:val="19"/>
        <w:shd w:val="clear"/>
        <w:rPr>
          <w:rFonts w:ascii="宋体" w:hAnsi="宋体" w:cs="宋体"/>
          <w:color w:val="auto"/>
          <w:highlight w:val="none"/>
        </w:rPr>
      </w:pPr>
    </w:p>
    <w:p w14:paraId="6E6B4E87">
      <w:pPr>
        <w:pStyle w:val="19"/>
        <w:shd w:val="clear"/>
        <w:rPr>
          <w:rFonts w:ascii="宋体" w:hAnsi="宋体" w:cs="宋体"/>
          <w:color w:val="auto"/>
          <w:highlight w:val="none"/>
        </w:rPr>
      </w:pPr>
    </w:p>
    <w:p w14:paraId="771EA7BF">
      <w:pPr>
        <w:pStyle w:val="19"/>
        <w:shd w:val="clear"/>
        <w:rPr>
          <w:rFonts w:ascii="宋体" w:hAnsi="宋体" w:cs="宋体"/>
          <w:color w:val="auto"/>
          <w:highlight w:val="none"/>
        </w:rPr>
      </w:pPr>
    </w:p>
    <w:p w14:paraId="42B899CC">
      <w:pPr>
        <w:pStyle w:val="19"/>
        <w:shd w:val="clear"/>
        <w:rPr>
          <w:rFonts w:ascii="宋体" w:hAnsi="宋体" w:cs="宋体"/>
          <w:color w:val="auto"/>
          <w:highlight w:val="none"/>
        </w:rPr>
      </w:pPr>
    </w:p>
    <w:p w14:paraId="1892502B">
      <w:pPr>
        <w:pStyle w:val="19"/>
        <w:shd w:val="clear"/>
        <w:rPr>
          <w:rFonts w:ascii="宋体" w:hAnsi="宋体" w:cs="宋体"/>
          <w:color w:val="auto"/>
          <w:highlight w:val="none"/>
        </w:rPr>
      </w:pPr>
    </w:p>
    <w:p w14:paraId="5E48C7E2">
      <w:pPr>
        <w:shd w:val="clea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三、售后服务方案</w:t>
      </w:r>
    </w:p>
    <w:p w14:paraId="28115571">
      <w:pPr>
        <w:pStyle w:val="19"/>
        <w:shd w:val="clear"/>
        <w:rPr>
          <w:rFonts w:ascii="宋体" w:hAnsi="宋体" w:cs="宋体"/>
          <w:b/>
          <w:bCs/>
          <w:color w:val="auto"/>
          <w:sz w:val="24"/>
          <w:highlight w:val="none"/>
        </w:rPr>
      </w:pPr>
    </w:p>
    <w:p w14:paraId="247C6A27">
      <w:pPr>
        <w:pStyle w:val="19"/>
        <w:shd w:val="clear"/>
        <w:rPr>
          <w:rFonts w:ascii="宋体" w:hAnsi="宋体" w:cs="宋体"/>
          <w:b/>
          <w:bCs/>
          <w:color w:val="auto"/>
          <w:sz w:val="24"/>
          <w:highlight w:val="none"/>
        </w:rPr>
      </w:pPr>
      <w:r>
        <w:rPr>
          <w:rFonts w:hint="eastAsia" w:ascii="宋体" w:hAnsi="宋体" w:cs="宋体"/>
          <w:b/>
          <w:bCs/>
          <w:color w:val="auto"/>
          <w:sz w:val="24"/>
          <w:highlight w:val="none"/>
        </w:rPr>
        <w:t>由供应商按本项目竞争性谈判文件第三章“采购需求”中商务条款部分的售后服务要求自行填写，其中要包含售后服务承诺书。</w:t>
      </w:r>
    </w:p>
    <w:p w14:paraId="465A864A">
      <w:pPr>
        <w:pStyle w:val="19"/>
        <w:shd w:val="clear"/>
        <w:rPr>
          <w:rFonts w:ascii="宋体" w:hAnsi="宋体" w:cs="宋体"/>
          <w:color w:val="auto"/>
          <w:highlight w:val="none"/>
        </w:rPr>
      </w:pPr>
    </w:p>
    <w:p w14:paraId="13352607">
      <w:pPr>
        <w:pStyle w:val="19"/>
        <w:shd w:val="clear"/>
        <w:rPr>
          <w:rFonts w:ascii="宋体" w:hAnsi="宋体" w:cs="宋体"/>
          <w:color w:val="auto"/>
          <w:highlight w:val="none"/>
        </w:rPr>
      </w:pPr>
    </w:p>
    <w:p w14:paraId="5391B989">
      <w:pPr>
        <w:pStyle w:val="19"/>
        <w:shd w:val="clear"/>
        <w:rPr>
          <w:rFonts w:ascii="宋体" w:hAnsi="宋体" w:cs="宋体"/>
          <w:color w:val="auto"/>
          <w:highlight w:val="none"/>
        </w:rPr>
      </w:pPr>
    </w:p>
    <w:p w14:paraId="35AE3030">
      <w:pPr>
        <w:shd w:val="clear"/>
        <w:spacing w:line="360" w:lineRule="auto"/>
        <w:ind w:firstLine="3840" w:firstLineChars="1600"/>
        <w:rPr>
          <w:rFonts w:ascii="宋体" w:hAnsi="宋体" w:cs="宋体"/>
          <w:color w:val="auto"/>
          <w:sz w:val="24"/>
          <w:highlight w:val="none"/>
        </w:rPr>
      </w:pPr>
      <w:r>
        <w:rPr>
          <w:rFonts w:hint="eastAsia" w:ascii="宋体" w:hAnsi="宋体" w:cs="宋体"/>
          <w:color w:val="auto"/>
          <w:kern w:val="0"/>
          <w:sz w:val="24"/>
          <w:highlight w:val="none"/>
        </w:rPr>
        <w:t>供应商名称（电子签章）：</w:t>
      </w:r>
    </w:p>
    <w:p w14:paraId="565751EC">
      <w:pPr>
        <w:shd w:val="clear"/>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日期：  年  月   日</w:t>
      </w:r>
    </w:p>
    <w:p w14:paraId="247DBECD">
      <w:pPr>
        <w:pStyle w:val="19"/>
        <w:shd w:val="clear"/>
        <w:rPr>
          <w:rFonts w:ascii="宋体" w:hAnsi="宋体" w:cs="宋体"/>
          <w:color w:val="auto"/>
          <w:highlight w:val="none"/>
        </w:rPr>
      </w:pPr>
    </w:p>
    <w:p w14:paraId="586254A0">
      <w:pPr>
        <w:pStyle w:val="19"/>
        <w:shd w:val="clear"/>
        <w:rPr>
          <w:rFonts w:ascii="宋体" w:hAnsi="宋体" w:cs="宋体"/>
          <w:color w:val="auto"/>
          <w:highlight w:val="none"/>
        </w:rPr>
      </w:pPr>
    </w:p>
    <w:p w14:paraId="5AF1B501">
      <w:pPr>
        <w:pStyle w:val="19"/>
        <w:shd w:val="clear"/>
        <w:rPr>
          <w:rFonts w:ascii="宋体" w:hAnsi="宋体" w:cs="宋体"/>
          <w:color w:val="auto"/>
          <w:highlight w:val="none"/>
        </w:rPr>
      </w:pPr>
    </w:p>
    <w:p w14:paraId="38E4ECCD">
      <w:pPr>
        <w:pStyle w:val="19"/>
        <w:shd w:val="clear"/>
        <w:rPr>
          <w:rFonts w:ascii="宋体" w:hAnsi="宋体" w:cs="宋体"/>
          <w:color w:val="auto"/>
          <w:highlight w:val="none"/>
        </w:rPr>
      </w:pPr>
    </w:p>
    <w:p w14:paraId="1D1C4AB4">
      <w:pPr>
        <w:shd w:val="clear"/>
        <w:rPr>
          <w:rFonts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6BE8CBB1">
      <w:pPr>
        <w:shd w:val="clea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四、项目实施人员一览表</w:t>
      </w:r>
    </w:p>
    <w:p w14:paraId="4887CCA4">
      <w:pPr>
        <w:shd w:val="clear"/>
        <w:rPr>
          <w:rFonts w:ascii="宋体" w:hAnsi="宋体" w:cs="宋体"/>
          <w:color w:val="auto"/>
          <w:highlight w:val="none"/>
        </w:rPr>
      </w:pPr>
    </w:p>
    <w:p w14:paraId="60D8BE66">
      <w:pPr>
        <w:shd w:val="clear"/>
        <w:rPr>
          <w:rFonts w:ascii="宋体" w:hAnsi="宋体" w:cs="宋体"/>
          <w:color w:val="auto"/>
          <w:highlight w:val="none"/>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766"/>
        <w:gridCol w:w="1837"/>
        <w:gridCol w:w="1533"/>
        <w:gridCol w:w="1833"/>
        <w:gridCol w:w="1990"/>
      </w:tblGrid>
      <w:tr w14:paraId="4282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trPr>
        <w:tc>
          <w:tcPr>
            <w:tcW w:w="882" w:type="dxa"/>
            <w:vAlign w:val="center"/>
          </w:tcPr>
          <w:p w14:paraId="487E0021">
            <w:pPr>
              <w:shd w:val="clear"/>
              <w:snapToGrid w:val="0"/>
              <w:spacing w:before="50" w:after="156" w:afterLines="50"/>
              <w:jc w:val="center"/>
              <w:rPr>
                <w:rFonts w:ascii="宋体" w:hAnsi="宋体" w:cs="宋体"/>
                <w:color w:val="auto"/>
                <w:sz w:val="24"/>
                <w:szCs w:val="20"/>
                <w:highlight w:val="none"/>
              </w:rPr>
            </w:pPr>
          </w:p>
          <w:p w14:paraId="3F7F9336">
            <w:pPr>
              <w:shd w:val="clear"/>
              <w:snapToGrid w:val="0"/>
              <w:spacing w:before="50" w:after="156"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姓名</w:t>
            </w:r>
          </w:p>
        </w:tc>
        <w:tc>
          <w:tcPr>
            <w:tcW w:w="766" w:type="dxa"/>
            <w:vAlign w:val="center"/>
          </w:tcPr>
          <w:p w14:paraId="4A3C9ECD">
            <w:pPr>
              <w:shd w:val="clear"/>
              <w:snapToGrid w:val="0"/>
              <w:spacing w:before="50" w:after="156"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职务</w:t>
            </w:r>
          </w:p>
        </w:tc>
        <w:tc>
          <w:tcPr>
            <w:tcW w:w="1837" w:type="dxa"/>
            <w:vAlign w:val="center"/>
          </w:tcPr>
          <w:p w14:paraId="030ECF91">
            <w:pPr>
              <w:shd w:val="clear"/>
              <w:snapToGrid w:val="0"/>
              <w:spacing w:before="50" w:after="156"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专业技术资格（职称）或者职业资格或者执业资格证或者其他证书</w:t>
            </w:r>
          </w:p>
        </w:tc>
        <w:tc>
          <w:tcPr>
            <w:tcW w:w="1533" w:type="dxa"/>
            <w:vAlign w:val="center"/>
          </w:tcPr>
          <w:p w14:paraId="67066E6F">
            <w:pPr>
              <w:shd w:val="clear"/>
              <w:snapToGrid w:val="0"/>
              <w:spacing w:before="50" w:after="156"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证书编号</w:t>
            </w:r>
          </w:p>
        </w:tc>
        <w:tc>
          <w:tcPr>
            <w:tcW w:w="1833" w:type="dxa"/>
            <w:vAlign w:val="center"/>
          </w:tcPr>
          <w:p w14:paraId="39D46BC3">
            <w:pPr>
              <w:shd w:val="clear"/>
              <w:snapToGrid w:val="0"/>
              <w:spacing w:before="50" w:after="156"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参加本单位</w:t>
            </w:r>
          </w:p>
          <w:p w14:paraId="7E830E10">
            <w:pPr>
              <w:shd w:val="clear"/>
              <w:snapToGrid w:val="0"/>
              <w:spacing w:before="50" w:after="156"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工作时间</w:t>
            </w:r>
          </w:p>
        </w:tc>
        <w:tc>
          <w:tcPr>
            <w:tcW w:w="1990" w:type="dxa"/>
            <w:vAlign w:val="center"/>
          </w:tcPr>
          <w:p w14:paraId="4A8042C8">
            <w:pPr>
              <w:shd w:val="clear"/>
              <w:snapToGrid w:val="0"/>
              <w:spacing w:before="50" w:after="156"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劳动合同编号</w:t>
            </w:r>
          </w:p>
        </w:tc>
      </w:tr>
      <w:tr w14:paraId="5CC0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882" w:type="dxa"/>
            <w:vAlign w:val="center"/>
          </w:tcPr>
          <w:p w14:paraId="4D8C54D8">
            <w:pPr>
              <w:shd w:val="clear"/>
              <w:snapToGrid w:val="0"/>
              <w:spacing w:before="50" w:after="156" w:afterLines="50"/>
              <w:jc w:val="center"/>
              <w:rPr>
                <w:rFonts w:ascii="宋体" w:hAnsi="宋体" w:cs="宋体"/>
                <w:color w:val="auto"/>
                <w:sz w:val="24"/>
                <w:szCs w:val="20"/>
                <w:highlight w:val="none"/>
              </w:rPr>
            </w:pPr>
          </w:p>
        </w:tc>
        <w:tc>
          <w:tcPr>
            <w:tcW w:w="766" w:type="dxa"/>
            <w:vAlign w:val="center"/>
          </w:tcPr>
          <w:p w14:paraId="181C09DC">
            <w:pPr>
              <w:shd w:val="clear"/>
              <w:snapToGrid w:val="0"/>
              <w:spacing w:before="50" w:after="156" w:afterLines="50"/>
              <w:jc w:val="center"/>
              <w:rPr>
                <w:rFonts w:ascii="宋体" w:hAnsi="宋体" w:cs="宋体"/>
                <w:color w:val="auto"/>
                <w:sz w:val="24"/>
                <w:szCs w:val="20"/>
                <w:highlight w:val="none"/>
              </w:rPr>
            </w:pPr>
          </w:p>
        </w:tc>
        <w:tc>
          <w:tcPr>
            <w:tcW w:w="1837" w:type="dxa"/>
            <w:vAlign w:val="center"/>
          </w:tcPr>
          <w:p w14:paraId="3C5D364E">
            <w:pPr>
              <w:shd w:val="clear"/>
              <w:snapToGrid w:val="0"/>
              <w:spacing w:before="50" w:after="156" w:afterLines="50"/>
              <w:jc w:val="center"/>
              <w:rPr>
                <w:rFonts w:ascii="宋体" w:hAnsi="宋体" w:cs="宋体"/>
                <w:color w:val="auto"/>
                <w:sz w:val="24"/>
                <w:szCs w:val="20"/>
                <w:highlight w:val="none"/>
              </w:rPr>
            </w:pPr>
          </w:p>
        </w:tc>
        <w:tc>
          <w:tcPr>
            <w:tcW w:w="1533" w:type="dxa"/>
            <w:vAlign w:val="center"/>
          </w:tcPr>
          <w:p w14:paraId="1FD392D4">
            <w:pPr>
              <w:shd w:val="clear"/>
              <w:snapToGrid w:val="0"/>
              <w:spacing w:before="50" w:after="156" w:afterLines="50"/>
              <w:jc w:val="center"/>
              <w:rPr>
                <w:rFonts w:ascii="宋体" w:hAnsi="宋体" w:cs="宋体"/>
                <w:color w:val="auto"/>
                <w:sz w:val="24"/>
                <w:szCs w:val="20"/>
                <w:highlight w:val="none"/>
              </w:rPr>
            </w:pPr>
          </w:p>
        </w:tc>
        <w:tc>
          <w:tcPr>
            <w:tcW w:w="1833" w:type="dxa"/>
            <w:vAlign w:val="center"/>
          </w:tcPr>
          <w:p w14:paraId="5873992C">
            <w:pPr>
              <w:shd w:val="clear"/>
              <w:snapToGrid w:val="0"/>
              <w:spacing w:before="50" w:after="156" w:afterLines="50"/>
              <w:jc w:val="center"/>
              <w:rPr>
                <w:rFonts w:ascii="宋体" w:hAnsi="宋体" w:cs="宋体"/>
                <w:color w:val="auto"/>
                <w:sz w:val="24"/>
                <w:szCs w:val="20"/>
                <w:highlight w:val="none"/>
              </w:rPr>
            </w:pPr>
          </w:p>
        </w:tc>
        <w:tc>
          <w:tcPr>
            <w:tcW w:w="1990" w:type="dxa"/>
            <w:vAlign w:val="center"/>
          </w:tcPr>
          <w:p w14:paraId="1F574BB0">
            <w:pPr>
              <w:shd w:val="clear"/>
              <w:snapToGrid w:val="0"/>
              <w:spacing w:before="50" w:after="156" w:afterLines="50"/>
              <w:jc w:val="center"/>
              <w:rPr>
                <w:rFonts w:ascii="宋体" w:hAnsi="宋体" w:cs="宋体"/>
                <w:color w:val="auto"/>
                <w:sz w:val="24"/>
                <w:szCs w:val="20"/>
                <w:highlight w:val="none"/>
              </w:rPr>
            </w:pPr>
          </w:p>
        </w:tc>
      </w:tr>
      <w:tr w14:paraId="0117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882" w:type="dxa"/>
            <w:vAlign w:val="center"/>
          </w:tcPr>
          <w:p w14:paraId="5276D872">
            <w:pPr>
              <w:shd w:val="clear"/>
              <w:snapToGrid w:val="0"/>
              <w:spacing w:before="50" w:after="156" w:afterLines="50"/>
              <w:jc w:val="center"/>
              <w:rPr>
                <w:rFonts w:ascii="宋体" w:hAnsi="宋体" w:cs="宋体"/>
                <w:color w:val="auto"/>
                <w:sz w:val="24"/>
                <w:szCs w:val="20"/>
                <w:highlight w:val="none"/>
              </w:rPr>
            </w:pPr>
          </w:p>
        </w:tc>
        <w:tc>
          <w:tcPr>
            <w:tcW w:w="766" w:type="dxa"/>
            <w:vAlign w:val="center"/>
          </w:tcPr>
          <w:p w14:paraId="04938621">
            <w:pPr>
              <w:shd w:val="clear"/>
              <w:snapToGrid w:val="0"/>
              <w:spacing w:before="50" w:after="156" w:afterLines="50"/>
              <w:jc w:val="center"/>
              <w:rPr>
                <w:rFonts w:ascii="宋体" w:hAnsi="宋体" w:cs="宋体"/>
                <w:color w:val="auto"/>
                <w:sz w:val="24"/>
                <w:szCs w:val="20"/>
                <w:highlight w:val="none"/>
              </w:rPr>
            </w:pPr>
          </w:p>
        </w:tc>
        <w:tc>
          <w:tcPr>
            <w:tcW w:w="1837" w:type="dxa"/>
            <w:vAlign w:val="center"/>
          </w:tcPr>
          <w:p w14:paraId="72ABDEA8">
            <w:pPr>
              <w:shd w:val="clear"/>
              <w:snapToGrid w:val="0"/>
              <w:spacing w:before="50" w:after="156" w:afterLines="50"/>
              <w:jc w:val="center"/>
              <w:rPr>
                <w:rFonts w:ascii="宋体" w:hAnsi="宋体" w:cs="宋体"/>
                <w:color w:val="auto"/>
                <w:sz w:val="24"/>
                <w:szCs w:val="20"/>
                <w:highlight w:val="none"/>
              </w:rPr>
            </w:pPr>
          </w:p>
        </w:tc>
        <w:tc>
          <w:tcPr>
            <w:tcW w:w="1533" w:type="dxa"/>
            <w:vAlign w:val="center"/>
          </w:tcPr>
          <w:p w14:paraId="6FCFB62E">
            <w:pPr>
              <w:shd w:val="clear"/>
              <w:snapToGrid w:val="0"/>
              <w:spacing w:before="50" w:after="156" w:afterLines="50"/>
              <w:jc w:val="center"/>
              <w:rPr>
                <w:rFonts w:ascii="宋体" w:hAnsi="宋体" w:cs="宋体"/>
                <w:color w:val="auto"/>
                <w:sz w:val="24"/>
                <w:szCs w:val="20"/>
                <w:highlight w:val="none"/>
              </w:rPr>
            </w:pPr>
          </w:p>
        </w:tc>
        <w:tc>
          <w:tcPr>
            <w:tcW w:w="1833" w:type="dxa"/>
            <w:vAlign w:val="center"/>
          </w:tcPr>
          <w:p w14:paraId="48C0CD97">
            <w:pPr>
              <w:shd w:val="clear"/>
              <w:snapToGrid w:val="0"/>
              <w:spacing w:before="50" w:after="156" w:afterLines="50"/>
              <w:jc w:val="center"/>
              <w:rPr>
                <w:rFonts w:ascii="宋体" w:hAnsi="宋体" w:cs="宋体"/>
                <w:color w:val="auto"/>
                <w:sz w:val="24"/>
                <w:szCs w:val="20"/>
                <w:highlight w:val="none"/>
              </w:rPr>
            </w:pPr>
          </w:p>
        </w:tc>
        <w:tc>
          <w:tcPr>
            <w:tcW w:w="1990" w:type="dxa"/>
            <w:vAlign w:val="center"/>
          </w:tcPr>
          <w:p w14:paraId="0237D2AD">
            <w:pPr>
              <w:shd w:val="clear"/>
              <w:snapToGrid w:val="0"/>
              <w:spacing w:before="50" w:after="156" w:afterLines="50"/>
              <w:jc w:val="center"/>
              <w:rPr>
                <w:rFonts w:ascii="宋体" w:hAnsi="宋体" w:cs="宋体"/>
                <w:color w:val="auto"/>
                <w:sz w:val="24"/>
                <w:szCs w:val="20"/>
                <w:highlight w:val="none"/>
              </w:rPr>
            </w:pPr>
          </w:p>
        </w:tc>
      </w:tr>
      <w:tr w14:paraId="56C1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882" w:type="dxa"/>
            <w:vAlign w:val="center"/>
          </w:tcPr>
          <w:p w14:paraId="3834D672">
            <w:pPr>
              <w:shd w:val="clear"/>
              <w:snapToGrid w:val="0"/>
              <w:spacing w:before="50" w:after="156" w:afterLines="50"/>
              <w:jc w:val="center"/>
              <w:rPr>
                <w:rFonts w:ascii="宋体" w:hAnsi="宋体" w:cs="宋体"/>
                <w:color w:val="auto"/>
                <w:sz w:val="24"/>
                <w:szCs w:val="20"/>
                <w:highlight w:val="none"/>
              </w:rPr>
            </w:pPr>
          </w:p>
        </w:tc>
        <w:tc>
          <w:tcPr>
            <w:tcW w:w="766" w:type="dxa"/>
            <w:vAlign w:val="center"/>
          </w:tcPr>
          <w:p w14:paraId="5C285E13">
            <w:pPr>
              <w:shd w:val="clear"/>
              <w:snapToGrid w:val="0"/>
              <w:spacing w:before="50" w:after="156" w:afterLines="50"/>
              <w:jc w:val="center"/>
              <w:rPr>
                <w:rFonts w:ascii="宋体" w:hAnsi="宋体" w:cs="宋体"/>
                <w:color w:val="auto"/>
                <w:sz w:val="24"/>
                <w:szCs w:val="20"/>
                <w:highlight w:val="none"/>
              </w:rPr>
            </w:pPr>
          </w:p>
        </w:tc>
        <w:tc>
          <w:tcPr>
            <w:tcW w:w="1837" w:type="dxa"/>
            <w:vAlign w:val="center"/>
          </w:tcPr>
          <w:p w14:paraId="02BA0048">
            <w:pPr>
              <w:shd w:val="clear"/>
              <w:snapToGrid w:val="0"/>
              <w:spacing w:before="50" w:after="156" w:afterLines="50"/>
              <w:jc w:val="center"/>
              <w:rPr>
                <w:rFonts w:ascii="宋体" w:hAnsi="宋体" w:cs="宋体"/>
                <w:color w:val="auto"/>
                <w:sz w:val="24"/>
                <w:szCs w:val="20"/>
                <w:highlight w:val="none"/>
              </w:rPr>
            </w:pPr>
          </w:p>
        </w:tc>
        <w:tc>
          <w:tcPr>
            <w:tcW w:w="1533" w:type="dxa"/>
            <w:vAlign w:val="center"/>
          </w:tcPr>
          <w:p w14:paraId="0C45DAEE">
            <w:pPr>
              <w:shd w:val="clear"/>
              <w:snapToGrid w:val="0"/>
              <w:spacing w:before="50" w:after="156" w:afterLines="50"/>
              <w:jc w:val="center"/>
              <w:rPr>
                <w:rFonts w:ascii="宋体" w:hAnsi="宋体" w:cs="宋体"/>
                <w:color w:val="auto"/>
                <w:sz w:val="24"/>
                <w:szCs w:val="20"/>
                <w:highlight w:val="none"/>
              </w:rPr>
            </w:pPr>
          </w:p>
        </w:tc>
        <w:tc>
          <w:tcPr>
            <w:tcW w:w="1833" w:type="dxa"/>
            <w:vAlign w:val="center"/>
          </w:tcPr>
          <w:p w14:paraId="4AF232FB">
            <w:pPr>
              <w:shd w:val="clear"/>
              <w:snapToGrid w:val="0"/>
              <w:spacing w:before="50" w:after="156" w:afterLines="50"/>
              <w:jc w:val="center"/>
              <w:rPr>
                <w:rFonts w:ascii="宋体" w:hAnsi="宋体" w:cs="宋体"/>
                <w:color w:val="auto"/>
                <w:sz w:val="24"/>
                <w:szCs w:val="20"/>
                <w:highlight w:val="none"/>
              </w:rPr>
            </w:pPr>
          </w:p>
        </w:tc>
        <w:tc>
          <w:tcPr>
            <w:tcW w:w="1990" w:type="dxa"/>
            <w:vAlign w:val="center"/>
          </w:tcPr>
          <w:p w14:paraId="5E2126D2">
            <w:pPr>
              <w:shd w:val="clear"/>
              <w:snapToGrid w:val="0"/>
              <w:spacing w:before="50" w:after="156" w:afterLines="50"/>
              <w:jc w:val="center"/>
              <w:rPr>
                <w:rFonts w:ascii="宋体" w:hAnsi="宋体" w:cs="宋体"/>
                <w:color w:val="auto"/>
                <w:sz w:val="24"/>
                <w:szCs w:val="20"/>
                <w:highlight w:val="none"/>
              </w:rPr>
            </w:pPr>
          </w:p>
        </w:tc>
      </w:tr>
    </w:tbl>
    <w:p w14:paraId="762007DA">
      <w:pPr>
        <w:shd w:val="clear"/>
        <w:snapToGrid w:val="0"/>
        <w:spacing w:before="50" w:after="156" w:afterLines="50"/>
        <w:jc w:val="left"/>
        <w:rPr>
          <w:rFonts w:ascii="宋体" w:hAnsi="宋体" w:cs="宋体"/>
          <w:color w:val="auto"/>
          <w:sz w:val="24"/>
          <w:szCs w:val="20"/>
          <w:highlight w:val="none"/>
        </w:rPr>
      </w:pPr>
      <w:r>
        <w:rPr>
          <w:rFonts w:hint="eastAsia" w:ascii="宋体" w:hAnsi="宋体" w:cs="宋体"/>
          <w:color w:val="auto"/>
          <w:sz w:val="24"/>
          <w:szCs w:val="20"/>
          <w:highlight w:val="none"/>
        </w:rPr>
        <w:t>注：在填写时，如本表格不适合供应商的实际情况，可根据本表格式自行制表填写。</w:t>
      </w:r>
    </w:p>
    <w:p w14:paraId="5DD4E045">
      <w:pPr>
        <w:shd w:val="clear"/>
        <w:spacing w:line="360" w:lineRule="auto"/>
        <w:ind w:firstLine="3840" w:firstLineChars="1600"/>
        <w:rPr>
          <w:rFonts w:ascii="宋体" w:hAnsi="宋体" w:cs="宋体"/>
          <w:color w:val="auto"/>
          <w:kern w:val="0"/>
          <w:sz w:val="24"/>
          <w:highlight w:val="none"/>
        </w:rPr>
      </w:pPr>
    </w:p>
    <w:p w14:paraId="5817326A">
      <w:pPr>
        <w:shd w:val="clear"/>
        <w:spacing w:line="360" w:lineRule="auto"/>
        <w:ind w:firstLine="3840" w:firstLineChars="1600"/>
        <w:rPr>
          <w:rFonts w:ascii="宋体" w:hAnsi="宋体" w:cs="宋体"/>
          <w:color w:val="auto"/>
          <w:sz w:val="24"/>
          <w:highlight w:val="none"/>
        </w:rPr>
      </w:pPr>
      <w:r>
        <w:rPr>
          <w:rFonts w:hint="eastAsia" w:ascii="宋体" w:hAnsi="宋体" w:cs="宋体"/>
          <w:color w:val="auto"/>
          <w:kern w:val="0"/>
          <w:sz w:val="24"/>
          <w:highlight w:val="none"/>
        </w:rPr>
        <w:t>供应商名称（电子签章）：</w:t>
      </w:r>
    </w:p>
    <w:p w14:paraId="125A08BA">
      <w:pPr>
        <w:shd w:val="clear"/>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日期：  年  月   日</w:t>
      </w:r>
    </w:p>
    <w:p w14:paraId="5C4FD63E">
      <w:pPr>
        <w:pStyle w:val="25"/>
        <w:shd w:val="clear"/>
        <w:ind w:firstLine="210"/>
        <w:rPr>
          <w:rFonts w:ascii="宋体" w:hAnsi="宋体" w:cs="宋体"/>
          <w:color w:val="auto"/>
          <w:highlight w:val="none"/>
        </w:rPr>
      </w:pPr>
    </w:p>
    <w:p w14:paraId="37B81E83">
      <w:pPr>
        <w:pStyle w:val="19"/>
        <w:shd w:val="clear"/>
        <w:rPr>
          <w:rFonts w:ascii="宋体" w:hAnsi="宋体" w:cs="宋体"/>
          <w:color w:val="auto"/>
          <w:highlight w:val="none"/>
        </w:rPr>
      </w:pPr>
    </w:p>
    <w:p w14:paraId="477E15C2">
      <w:pPr>
        <w:pStyle w:val="19"/>
        <w:shd w:val="clear"/>
        <w:rPr>
          <w:rFonts w:ascii="宋体" w:hAnsi="宋体" w:cs="宋体"/>
          <w:color w:val="auto"/>
          <w:highlight w:val="none"/>
        </w:rPr>
      </w:pPr>
    </w:p>
    <w:p w14:paraId="388BD37B">
      <w:pPr>
        <w:shd w:val="clea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五、供应商认为需要提供的其他有关资料</w:t>
      </w:r>
    </w:p>
    <w:p w14:paraId="127C2FF8">
      <w:pPr>
        <w:shd w:val="clear"/>
        <w:spacing w:line="360" w:lineRule="auto"/>
        <w:ind w:firstLine="5760" w:firstLineChars="1600"/>
        <w:rPr>
          <w:rFonts w:ascii="宋体" w:hAnsi="宋体" w:cs="宋体"/>
          <w:color w:val="auto"/>
          <w:sz w:val="36"/>
          <w:szCs w:val="36"/>
          <w:highlight w:val="none"/>
        </w:rPr>
      </w:pPr>
    </w:p>
    <w:p w14:paraId="37BD68F1">
      <w:pPr>
        <w:shd w:val="clear"/>
        <w:spacing w:line="360" w:lineRule="auto"/>
        <w:ind w:firstLine="3840" w:firstLineChars="1600"/>
        <w:rPr>
          <w:rFonts w:ascii="宋体" w:hAnsi="宋体" w:cs="宋体"/>
          <w:color w:val="auto"/>
          <w:sz w:val="24"/>
          <w:highlight w:val="none"/>
        </w:rPr>
      </w:pPr>
      <w:r>
        <w:rPr>
          <w:rFonts w:hint="eastAsia" w:ascii="宋体" w:hAnsi="宋体" w:cs="宋体"/>
          <w:color w:val="auto"/>
          <w:kern w:val="0"/>
          <w:sz w:val="24"/>
          <w:highlight w:val="none"/>
        </w:rPr>
        <w:t>供应商名称（电子签章）：</w:t>
      </w:r>
    </w:p>
    <w:p w14:paraId="2897ABF9">
      <w:pPr>
        <w:shd w:val="clear"/>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日期：  年  月   日</w:t>
      </w:r>
    </w:p>
    <w:p w14:paraId="6AD01BE9">
      <w:pPr>
        <w:pStyle w:val="3"/>
        <w:shd w:val="clear"/>
        <w:rPr>
          <w:rFonts w:ascii="宋体" w:hAnsi="宋体" w:cs="宋体"/>
          <w:color w:val="auto"/>
          <w:highlight w:val="none"/>
        </w:rPr>
      </w:pPr>
      <w:r>
        <w:rPr>
          <w:rFonts w:hint="eastAsia" w:ascii="宋体" w:hAnsi="宋体" w:cs="宋体"/>
          <w:color w:val="auto"/>
          <w:highlight w:val="none"/>
        </w:rPr>
        <w:br w:type="page"/>
      </w:r>
      <w:bookmarkStart w:id="70" w:name="_Toc175"/>
      <w:r>
        <w:rPr>
          <w:rFonts w:hint="eastAsia" w:ascii="宋体" w:hAnsi="宋体" w:cs="宋体"/>
          <w:color w:val="auto"/>
          <w:highlight w:val="none"/>
        </w:rPr>
        <w:t>三、报价文件格式</w:t>
      </w:r>
      <w:bookmarkEnd w:id="70"/>
    </w:p>
    <w:p w14:paraId="739E306B">
      <w:pPr>
        <w:shd w:val="clear"/>
        <w:snapToGrid w:val="0"/>
        <w:spacing w:before="156" w:beforeLines="50" w:after="50" w:line="360" w:lineRule="auto"/>
        <w:jc w:val="left"/>
        <w:rPr>
          <w:rFonts w:ascii="宋体" w:hAnsi="宋体" w:cs="宋体"/>
          <w:b/>
          <w:color w:val="auto"/>
          <w:sz w:val="24"/>
          <w:highlight w:val="none"/>
        </w:rPr>
      </w:pPr>
      <w:r>
        <w:rPr>
          <w:rFonts w:hint="eastAsia" w:ascii="宋体" w:hAnsi="宋体" w:cs="宋体"/>
          <w:b/>
          <w:color w:val="auto"/>
          <w:sz w:val="32"/>
          <w:szCs w:val="32"/>
          <w:highlight w:val="none"/>
        </w:rPr>
        <w:t>1.报价文件封面格式：</w:t>
      </w:r>
      <w:r>
        <w:rPr>
          <w:rFonts w:hint="eastAsia" w:ascii="宋体" w:hAnsi="宋体" w:cs="宋体"/>
          <w:b/>
          <w:color w:val="auto"/>
          <w:sz w:val="24"/>
          <w:highlight w:val="none"/>
        </w:rPr>
        <w:t xml:space="preserve"> </w:t>
      </w:r>
    </w:p>
    <w:p w14:paraId="12221ABB">
      <w:pPr>
        <w:shd w:val="clear"/>
        <w:snapToGrid w:val="0"/>
        <w:spacing w:before="156" w:beforeLines="50" w:after="50"/>
        <w:rPr>
          <w:rFonts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sz w:val="24"/>
          <w:highlight w:val="none"/>
        </w:rPr>
        <w:t>电子响应文件</w:t>
      </w:r>
    </w:p>
    <w:p w14:paraId="4B935BC6">
      <w:pPr>
        <w:shd w:val="clear"/>
        <w:snapToGrid w:val="0"/>
        <w:spacing w:before="156" w:beforeLines="50" w:after="50"/>
        <w:rPr>
          <w:rFonts w:ascii="宋体" w:hAnsi="宋体" w:cs="宋体"/>
          <w:color w:val="auto"/>
          <w:sz w:val="24"/>
          <w:szCs w:val="20"/>
          <w:highlight w:val="none"/>
        </w:rPr>
      </w:pPr>
    </w:p>
    <w:p w14:paraId="7371F07B">
      <w:pPr>
        <w:shd w:val="clear"/>
        <w:snapToGrid w:val="0"/>
        <w:spacing w:before="156" w:beforeLines="50" w:after="50"/>
        <w:rPr>
          <w:rFonts w:ascii="宋体" w:hAnsi="宋体" w:cs="宋体"/>
          <w:color w:val="auto"/>
          <w:sz w:val="24"/>
          <w:szCs w:val="20"/>
          <w:highlight w:val="none"/>
        </w:rPr>
      </w:pPr>
    </w:p>
    <w:p w14:paraId="35B2A838">
      <w:pPr>
        <w:shd w:val="clear"/>
        <w:snapToGrid w:val="0"/>
        <w:spacing w:before="156" w:beforeLines="50" w:after="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报  价  文  件</w:t>
      </w:r>
    </w:p>
    <w:p w14:paraId="48500E9C">
      <w:pPr>
        <w:shd w:val="clear"/>
        <w:snapToGrid w:val="0"/>
        <w:spacing w:before="156" w:beforeLines="50" w:after="50"/>
        <w:rPr>
          <w:rFonts w:ascii="宋体" w:hAnsi="宋体" w:cs="宋体"/>
          <w:bCs/>
          <w:color w:val="auto"/>
          <w:sz w:val="24"/>
          <w:szCs w:val="20"/>
          <w:highlight w:val="none"/>
        </w:rPr>
      </w:pPr>
    </w:p>
    <w:p w14:paraId="5C872E42">
      <w:pPr>
        <w:shd w:val="clear"/>
        <w:snapToGrid w:val="0"/>
        <w:spacing w:before="156" w:beforeLines="50" w:after="50"/>
        <w:rPr>
          <w:rFonts w:ascii="宋体" w:hAnsi="宋体" w:cs="宋体"/>
          <w:bCs/>
          <w:color w:val="auto"/>
          <w:sz w:val="24"/>
          <w:szCs w:val="20"/>
          <w:highlight w:val="none"/>
        </w:rPr>
      </w:pPr>
    </w:p>
    <w:p w14:paraId="61D9AF1A">
      <w:pPr>
        <w:shd w:val="clear"/>
        <w:snapToGrid w:val="0"/>
        <w:spacing w:before="156" w:beforeLines="50" w:after="50"/>
        <w:rPr>
          <w:rFonts w:ascii="宋体" w:hAnsi="宋体" w:cs="宋体"/>
          <w:bCs/>
          <w:color w:val="auto"/>
          <w:sz w:val="24"/>
          <w:szCs w:val="20"/>
          <w:highlight w:val="none"/>
        </w:rPr>
      </w:pPr>
    </w:p>
    <w:p w14:paraId="1607AD27">
      <w:pPr>
        <w:shd w:val="clear"/>
        <w:snapToGrid w:val="0"/>
        <w:spacing w:before="156" w:beforeLines="50" w:after="50"/>
        <w:rPr>
          <w:rFonts w:ascii="宋体" w:hAnsi="宋体" w:cs="宋体"/>
          <w:bCs/>
          <w:color w:val="auto"/>
          <w:sz w:val="24"/>
          <w:szCs w:val="20"/>
          <w:highlight w:val="none"/>
        </w:rPr>
      </w:pPr>
    </w:p>
    <w:p w14:paraId="386B3EAA">
      <w:pPr>
        <w:shd w:val="clear"/>
        <w:snapToGrid w:val="0"/>
        <w:spacing w:before="156"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项目名称：</w:t>
      </w:r>
    </w:p>
    <w:p w14:paraId="6DEC0F7F">
      <w:pPr>
        <w:shd w:val="clear"/>
        <w:snapToGrid w:val="0"/>
        <w:spacing w:before="156" w:beforeLines="50" w:after="50"/>
        <w:ind w:firstLine="720" w:firstLineChars="225"/>
        <w:rPr>
          <w:rFonts w:ascii="宋体" w:hAnsi="宋体" w:cs="宋体"/>
          <w:bCs/>
          <w:color w:val="auto"/>
          <w:sz w:val="32"/>
          <w:szCs w:val="32"/>
          <w:highlight w:val="none"/>
        </w:rPr>
      </w:pPr>
    </w:p>
    <w:p w14:paraId="3EA0BA9F">
      <w:pPr>
        <w:shd w:val="clear"/>
        <w:snapToGrid w:val="0"/>
        <w:spacing w:before="156" w:beforeLines="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项目编号：</w:t>
      </w:r>
    </w:p>
    <w:p w14:paraId="7C8ABB8E">
      <w:pPr>
        <w:shd w:val="clear"/>
        <w:snapToGrid w:val="0"/>
        <w:spacing w:before="156" w:beforeLines="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 xml:space="preserve"> </w:t>
      </w:r>
    </w:p>
    <w:p w14:paraId="25F3E4BF">
      <w:pPr>
        <w:shd w:val="clear"/>
        <w:snapToGrid w:val="0"/>
        <w:spacing w:before="156" w:beforeLines="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所</w:t>
      </w:r>
      <w:r>
        <w:rPr>
          <w:rFonts w:hint="eastAsia" w:ascii="宋体" w:hAnsi="宋体" w:cs="宋体"/>
          <w:bCs/>
          <w:color w:val="auto"/>
          <w:sz w:val="32"/>
          <w:szCs w:val="32"/>
          <w:highlight w:val="none"/>
          <w:lang w:val="en-US" w:eastAsia="zh-CN"/>
        </w:rPr>
        <w:t>响应</w:t>
      </w:r>
      <w:r>
        <w:rPr>
          <w:rFonts w:hint="eastAsia" w:ascii="宋体" w:hAnsi="宋体" w:cs="宋体"/>
          <w:bCs/>
          <w:color w:val="auto"/>
          <w:sz w:val="32"/>
          <w:szCs w:val="32"/>
          <w:highlight w:val="none"/>
        </w:rPr>
        <w:t>分标（如有则填写，无分标时填写“无”或者留空）：</w:t>
      </w:r>
    </w:p>
    <w:p w14:paraId="7A027409">
      <w:pPr>
        <w:shd w:val="clear"/>
        <w:snapToGrid w:val="0"/>
        <w:spacing w:before="156" w:beforeLines="50" w:after="50"/>
        <w:ind w:firstLine="720" w:firstLineChars="225"/>
        <w:rPr>
          <w:rFonts w:ascii="宋体" w:hAnsi="宋体" w:cs="宋体"/>
          <w:bCs/>
          <w:color w:val="auto"/>
          <w:sz w:val="32"/>
          <w:szCs w:val="32"/>
          <w:highlight w:val="none"/>
        </w:rPr>
      </w:pPr>
    </w:p>
    <w:p w14:paraId="4F94656D">
      <w:pPr>
        <w:pStyle w:val="7"/>
        <w:shd w:val="clear"/>
        <w:snapToGrid w:val="0"/>
        <w:spacing w:before="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供应商名称：</w:t>
      </w:r>
    </w:p>
    <w:p w14:paraId="4E13B432">
      <w:pPr>
        <w:pStyle w:val="7"/>
        <w:shd w:val="clear"/>
        <w:snapToGrid w:val="0"/>
        <w:spacing w:before="50" w:after="50"/>
        <w:ind w:firstLine="1280" w:firstLineChars="400"/>
        <w:rPr>
          <w:rFonts w:ascii="宋体" w:hAnsi="宋体" w:cs="宋体"/>
          <w:bCs/>
          <w:color w:val="auto"/>
          <w:sz w:val="32"/>
          <w:szCs w:val="32"/>
          <w:highlight w:val="none"/>
        </w:rPr>
      </w:pPr>
    </w:p>
    <w:p w14:paraId="41407EE0">
      <w:pPr>
        <w:shd w:val="clear"/>
        <w:snapToGrid w:val="0"/>
        <w:spacing w:before="156" w:beforeLines="50" w:after="50"/>
        <w:jc w:val="center"/>
        <w:rPr>
          <w:rFonts w:ascii="宋体" w:hAnsi="宋体" w:cs="宋体"/>
          <w:color w:val="auto"/>
          <w:sz w:val="32"/>
          <w:szCs w:val="32"/>
          <w:highlight w:val="none"/>
        </w:rPr>
      </w:pPr>
      <w:r>
        <w:rPr>
          <w:rFonts w:hint="eastAsia" w:ascii="宋体" w:hAnsi="宋体" w:cs="宋体"/>
          <w:color w:val="auto"/>
          <w:sz w:val="32"/>
          <w:szCs w:val="32"/>
          <w:highlight w:val="none"/>
        </w:rPr>
        <w:t>年    月    日</w:t>
      </w:r>
    </w:p>
    <w:p w14:paraId="1AFBF109">
      <w:pPr>
        <w:shd w:val="clear"/>
        <w:snapToGrid w:val="0"/>
        <w:spacing w:before="156" w:beforeLines="50" w:after="50" w:line="360" w:lineRule="auto"/>
        <w:ind w:left="142"/>
        <w:jc w:val="left"/>
        <w:rPr>
          <w:rFonts w:ascii="宋体" w:hAnsi="宋体" w:cs="宋体"/>
          <w:b/>
          <w:bCs/>
          <w:color w:val="auto"/>
          <w:sz w:val="32"/>
          <w:szCs w:val="32"/>
          <w:highlight w:val="none"/>
        </w:rPr>
      </w:pPr>
      <w:r>
        <w:rPr>
          <w:rFonts w:hint="eastAsia" w:ascii="宋体" w:hAnsi="宋体" w:cs="宋体"/>
          <w:color w:val="auto"/>
          <w:sz w:val="24"/>
          <w:highlight w:val="none"/>
        </w:rPr>
        <w:br w:type="page"/>
      </w:r>
      <w:r>
        <w:rPr>
          <w:rFonts w:hint="eastAsia" w:ascii="宋体" w:hAnsi="宋体" w:cs="宋体"/>
          <w:b/>
          <w:bCs/>
          <w:color w:val="auto"/>
          <w:sz w:val="32"/>
          <w:szCs w:val="32"/>
          <w:highlight w:val="none"/>
        </w:rPr>
        <w:t>2.报价文件目录</w:t>
      </w:r>
    </w:p>
    <w:p w14:paraId="06F43D5E">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一、</w:t>
      </w:r>
      <w:r>
        <w:rPr>
          <w:rFonts w:hint="eastAsia" w:ascii="宋体" w:hAnsi="宋体" w:cs="宋体"/>
          <w:color w:val="auto"/>
          <w:sz w:val="24"/>
          <w:highlight w:val="none"/>
        </w:rPr>
        <w:t>响应函</w:t>
      </w:r>
      <w:r>
        <w:rPr>
          <w:rFonts w:hint="eastAsia" w:ascii="宋体" w:hAnsi="宋体" w:cs="宋体"/>
          <w:color w:val="auto"/>
          <w:kern w:val="0"/>
          <w:sz w:val="24"/>
          <w:highlight w:val="none"/>
        </w:rPr>
        <w:t>………………………………………………………………………（页码）</w:t>
      </w:r>
    </w:p>
    <w:p w14:paraId="7D3206F2">
      <w:pPr>
        <w:shd w:val="clea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二、响应报价表…………………………………………………………………（页码）</w:t>
      </w:r>
    </w:p>
    <w:p w14:paraId="40DF2A9F">
      <w:pPr>
        <w:shd w:val="clear"/>
        <w:snapToGrid w:val="0"/>
        <w:spacing w:line="360" w:lineRule="auto"/>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rPr>
        <w:t>三、中小企业声明函或《残疾人福利性单位声明函》或属于监狱企业的证明文件……（页码）</w:t>
      </w:r>
    </w:p>
    <w:p w14:paraId="40A0C365">
      <w:pPr>
        <w:shd w:val="clea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四、关于符合本国产品标准的声明函</w:t>
      </w:r>
      <w:r>
        <w:rPr>
          <w:rFonts w:hint="eastAsia" w:ascii="宋体" w:hAnsi="宋体" w:cs="宋体"/>
          <w:color w:val="auto"/>
          <w:kern w:val="0"/>
          <w:sz w:val="24"/>
          <w:highlight w:val="none"/>
        </w:rPr>
        <w:t>…………………………………………（页码）</w:t>
      </w:r>
    </w:p>
    <w:p w14:paraId="38D788EE">
      <w:pPr>
        <w:shd w:val="clea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五、</w:t>
      </w:r>
      <w:r>
        <w:rPr>
          <w:rFonts w:hint="eastAsia" w:ascii="宋体" w:hAnsi="宋体" w:cs="宋体"/>
          <w:color w:val="auto"/>
          <w:kern w:val="0"/>
          <w:sz w:val="24"/>
          <w:highlight w:val="none"/>
        </w:rPr>
        <w:t>供应商认为需要提供的其他有关资料………………………………（页码）</w:t>
      </w:r>
    </w:p>
    <w:p w14:paraId="3FFF7A3C">
      <w:pPr>
        <w:shd w:val="clear"/>
        <w:snapToGrid w:val="0"/>
        <w:spacing w:line="360" w:lineRule="auto"/>
        <w:rPr>
          <w:rFonts w:hint="eastAsia" w:ascii="宋体" w:hAnsi="宋体" w:eastAsia="宋体" w:cs="宋体"/>
          <w:color w:val="auto"/>
          <w:kern w:val="0"/>
          <w:sz w:val="24"/>
          <w:highlight w:val="none"/>
          <w:lang w:val="en-US" w:eastAsia="zh-CN"/>
        </w:rPr>
      </w:pPr>
    </w:p>
    <w:p w14:paraId="0403CD90">
      <w:pPr>
        <w:shd w:val="clear"/>
        <w:rPr>
          <w:rFonts w:ascii="宋体" w:hAnsi="宋体" w:cs="宋体"/>
          <w:color w:val="auto"/>
          <w:sz w:val="24"/>
          <w:highlight w:val="none"/>
        </w:rPr>
      </w:pPr>
    </w:p>
    <w:p w14:paraId="3E553B6E">
      <w:pPr>
        <w:shd w:val="clear"/>
        <w:snapToGrid w:val="0"/>
        <w:spacing w:before="156" w:beforeLines="50" w:after="50" w:line="360" w:lineRule="auto"/>
        <w:ind w:firstLine="645"/>
        <w:rPr>
          <w:rFonts w:ascii="宋体" w:hAnsi="宋体" w:cs="宋体"/>
          <w:color w:val="auto"/>
          <w:sz w:val="24"/>
          <w:highlight w:val="none"/>
        </w:rPr>
      </w:pPr>
      <w:r>
        <w:rPr>
          <w:rFonts w:hint="eastAsia" w:ascii="宋体" w:hAnsi="宋体" w:cs="宋体"/>
          <w:b/>
          <w:bCs/>
          <w:color w:val="auto"/>
          <w:sz w:val="24"/>
          <w:highlight w:val="none"/>
        </w:rPr>
        <w:t>注：以上目录是编制供应商响应文件的基本格式要求，各供应商可根据自身情况进一步细化</w:t>
      </w:r>
      <w:r>
        <w:rPr>
          <w:rFonts w:hint="eastAsia" w:ascii="宋体" w:hAnsi="宋体" w:cs="宋体"/>
          <w:color w:val="auto"/>
          <w:sz w:val="24"/>
          <w:highlight w:val="none"/>
        </w:rPr>
        <w:t>。</w:t>
      </w:r>
    </w:p>
    <w:p w14:paraId="43A56E70">
      <w:pPr>
        <w:pStyle w:val="19"/>
        <w:shd w:val="clear"/>
        <w:rPr>
          <w:rFonts w:ascii="宋体" w:hAnsi="宋体" w:cs="宋体"/>
          <w:color w:val="auto"/>
          <w:highlight w:val="none"/>
        </w:rPr>
      </w:pPr>
    </w:p>
    <w:p w14:paraId="4F26C3A3">
      <w:pPr>
        <w:shd w:val="clear"/>
        <w:spacing w:line="520" w:lineRule="exact"/>
        <w:jc w:val="center"/>
        <w:rPr>
          <w:rFonts w:ascii="宋体" w:hAnsi="宋体" w:cs="宋体"/>
          <w:color w:val="auto"/>
          <w:highlight w:val="none"/>
        </w:rPr>
      </w:pPr>
      <w:r>
        <w:rPr>
          <w:rFonts w:hint="eastAsia" w:ascii="宋体" w:hAnsi="宋体" w:cs="宋体"/>
          <w:color w:val="auto"/>
          <w:highlight w:val="none"/>
        </w:rPr>
        <w:br w:type="page"/>
      </w:r>
      <w:r>
        <w:rPr>
          <w:rFonts w:hint="eastAsia" w:ascii="宋体" w:hAnsi="宋体" w:cs="宋体"/>
          <w:b/>
          <w:bCs/>
          <w:color w:val="auto"/>
          <w:sz w:val="32"/>
          <w:szCs w:val="32"/>
          <w:highlight w:val="none"/>
        </w:rPr>
        <w:t>一、响应函</w:t>
      </w:r>
    </w:p>
    <w:p w14:paraId="3333CCD8">
      <w:pPr>
        <w:shd w:val="clear"/>
        <w:rPr>
          <w:rFonts w:ascii="宋体" w:hAnsi="宋体" w:cs="宋体"/>
          <w:color w:val="auto"/>
          <w:highlight w:val="none"/>
        </w:rPr>
      </w:pPr>
    </w:p>
    <w:p w14:paraId="0EDA82CC">
      <w:pPr>
        <w:pStyle w:val="16"/>
        <w:shd w:val="clear"/>
        <w:spacing w:line="440" w:lineRule="exact"/>
        <w:rPr>
          <w:rFonts w:hAnsi="宋体" w:cs="宋体"/>
          <w:color w:val="auto"/>
          <w:sz w:val="24"/>
          <w:szCs w:val="24"/>
          <w:highlight w:val="none"/>
        </w:rPr>
      </w:pPr>
      <w:r>
        <w:rPr>
          <w:rFonts w:hint="eastAsia" w:hAnsi="宋体" w:cs="宋体"/>
          <w:color w:val="auto"/>
          <w:sz w:val="24"/>
          <w:szCs w:val="24"/>
          <w:highlight w:val="none"/>
        </w:rPr>
        <w:t>致：</w:t>
      </w:r>
      <w:r>
        <w:rPr>
          <w:rFonts w:hint="eastAsia" w:hAnsi="宋体" w:cs="宋体"/>
          <w:color w:val="auto"/>
          <w:sz w:val="24"/>
          <w:szCs w:val="24"/>
          <w:highlight w:val="none"/>
          <w:u w:val="single"/>
        </w:rPr>
        <w:t>（采购人名称）</w:t>
      </w:r>
    </w:p>
    <w:p w14:paraId="165F13BC">
      <w:pPr>
        <w:pStyle w:val="16"/>
        <w:shd w:val="clear"/>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我方已仔细阅读了贵方组织的</w:t>
      </w:r>
      <w:r>
        <w:rPr>
          <w:rFonts w:hint="eastAsia" w:hAnsi="宋体" w:cs="宋体"/>
          <w:color w:val="auto"/>
          <w:sz w:val="24"/>
          <w:szCs w:val="24"/>
          <w:highlight w:val="none"/>
          <w:u w:val="single"/>
        </w:rPr>
        <w:t xml:space="preserve">  项目名称  </w:t>
      </w:r>
      <w:r>
        <w:rPr>
          <w:rFonts w:hint="eastAsia" w:hAnsi="宋体" w:cs="宋体"/>
          <w:color w:val="auto"/>
          <w:sz w:val="24"/>
          <w:szCs w:val="24"/>
          <w:highlight w:val="none"/>
        </w:rPr>
        <w:t>项目（项目编号：</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）的</w:t>
      </w:r>
      <w:r>
        <w:rPr>
          <w:rFonts w:hint="eastAsia" w:hAnsi="宋体" w:cs="宋体"/>
          <w:color w:val="auto"/>
          <w:sz w:val="24"/>
          <w:szCs w:val="24"/>
          <w:highlight w:val="none"/>
          <w:lang w:val="en-US" w:eastAsia="zh-CN"/>
        </w:rPr>
        <w:t>竞争性</w:t>
      </w:r>
      <w:r>
        <w:rPr>
          <w:rFonts w:hint="eastAsia" w:hAnsi="宋体" w:cs="宋体"/>
          <w:color w:val="auto"/>
          <w:sz w:val="24"/>
          <w:highlight w:val="none"/>
        </w:rPr>
        <w:t>谈判</w:t>
      </w:r>
      <w:r>
        <w:rPr>
          <w:rFonts w:hint="eastAsia" w:hAnsi="宋体" w:cs="宋体"/>
          <w:color w:val="auto"/>
          <w:sz w:val="24"/>
          <w:szCs w:val="24"/>
          <w:highlight w:val="none"/>
        </w:rPr>
        <w:t>文件的全部内容，授权</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全权代表姓名）</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（职务、职称）为全权代表，现正式递交下述文件参加贵方组织的本次政府采购活动： </w:t>
      </w:r>
    </w:p>
    <w:p w14:paraId="5C8CC977">
      <w:pPr>
        <w:pStyle w:val="16"/>
        <w:shd w:val="clear"/>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一、报价文件电子版一份（包含按供应商须知前附表要求提交的全部文件）；</w:t>
      </w:r>
    </w:p>
    <w:p w14:paraId="3F660DE5">
      <w:pPr>
        <w:pStyle w:val="16"/>
        <w:shd w:val="clear"/>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二、资格文件电子版一份（包含按供应商须知前附表要求提交的全部文件）；</w:t>
      </w:r>
    </w:p>
    <w:p w14:paraId="55E6D7A8">
      <w:pPr>
        <w:pStyle w:val="16"/>
        <w:shd w:val="clear"/>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三、技术文件电子版一份（包含按供应商须知前附表要求提交的全部文件）；</w:t>
      </w:r>
    </w:p>
    <w:p w14:paraId="77A6F53E">
      <w:pPr>
        <w:pStyle w:val="16"/>
        <w:shd w:val="clear"/>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四、商务文件电子版一份（包含按供应商须知前附表要求提交的全部文件）；</w:t>
      </w:r>
    </w:p>
    <w:p w14:paraId="062F6306">
      <w:pPr>
        <w:pStyle w:val="16"/>
        <w:shd w:val="clear"/>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据此函，签字人兹宣布：</w:t>
      </w:r>
    </w:p>
    <w:p w14:paraId="7AFEB5AA">
      <w:pPr>
        <w:pStyle w:val="16"/>
        <w:shd w:val="clear"/>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1</w:t>
      </w:r>
      <w:r>
        <w:rPr>
          <w:rFonts w:hint="eastAsia" w:hAnsi="宋体" w:cs="宋体"/>
          <w:color w:val="auto"/>
          <w:sz w:val="24"/>
          <w:szCs w:val="24"/>
          <w:highlight w:val="none"/>
          <w:lang w:val="en-US" w:eastAsia="zh-CN"/>
        </w:rPr>
        <w:t>.</w:t>
      </w:r>
      <w:r>
        <w:rPr>
          <w:rFonts w:hint="eastAsia" w:hAnsi="宋体" w:cs="宋体"/>
          <w:color w:val="auto"/>
          <w:sz w:val="24"/>
          <w:szCs w:val="24"/>
          <w:highlight w:val="none"/>
        </w:rPr>
        <w:t>我方愿意以（大写）人民币</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元 （</w:t>
      </w:r>
      <w:r>
        <w:rPr>
          <w:rFonts w:hint="eastAsia" w:ascii="Arial" w:hAnsi="Arial" w:cs="Arial"/>
          <w:color w:val="auto"/>
          <w:sz w:val="24"/>
          <w:szCs w:val="24"/>
          <w:highlight w:val="none"/>
          <w:lang w:val="en-US" w:eastAsia="zh-CN"/>
        </w:rPr>
        <w:t>¥</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）的总报价，交货期</w:t>
      </w:r>
      <w:r>
        <w:rPr>
          <w:rFonts w:hint="eastAsia" w:hAnsi="宋体" w:cs="宋体"/>
          <w:color w:val="auto"/>
          <w:sz w:val="24"/>
          <w:szCs w:val="24"/>
          <w:highlight w:val="none"/>
          <w:lang w:eastAsia="zh-CN"/>
        </w:rPr>
        <w:t>：</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，提供本项目</w:t>
      </w:r>
      <w:r>
        <w:rPr>
          <w:rFonts w:hint="eastAsia" w:hAnsi="宋体" w:cs="宋体"/>
          <w:color w:val="auto"/>
          <w:sz w:val="24"/>
          <w:szCs w:val="24"/>
          <w:highlight w:val="none"/>
          <w:lang w:val="en-US" w:eastAsia="zh-CN"/>
        </w:rPr>
        <w:t>竞争性</w:t>
      </w:r>
      <w:r>
        <w:rPr>
          <w:rFonts w:hint="eastAsia" w:hAnsi="宋体" w:cs="宋体"/>
          <w:color w:val="auto"/>
          <w:sz w:val="24"/>
          <w:highlight w:val="none"/>
        </w:rPr>
        <w:t>谈判</w:t>
      </w:r>
      <w:r>
        <w:rPr>
          <w:rFonts w:hint="eastAsia" w:hAnsi="宋体" w:cs="宋体"/>
          <w:color w:val="auto"/>
          <w:sz w:val="24"/>
          <w:szCs w:val="24"/>
          <w:highlight w:val="none"/>
        </w:rPr>
        <w:t>文件第三章“采购需求”中的相应的采购内容。</w:t>
      </w:r>
    </w:p>
    <w:p w14:paraId="71F27609">
      <w:pPr>
        <w:pStyle w:val="16"/>
        <w:shd w:val="clear"/>
        <w:spacing w:line="360" w:lineRule="exact"/>
        <w:ind w:firstLine="480" w:firstLineChars="200"/>
        <w:rPr>
          <w:rFonts w:hAnsi="宋体" w:cs="宋体"/>
          <w:color w:val="auto"/>
          <w:sz w:val="24"/>
          <w:szCs w:val="24"/>
          <w:highlight w:val="none"/>
          <w:u w:val="single"/>
        </w:rPr>
      </w:pPr>
      <w:r>
        <w:rPr>
          <w:rFonts w:hint="eastAsia" w:hAnsi="宋体" w:cs="宋体"/>
          <w:color w:val="auto"/>
          <w:sz w:val="24"/>
          <w:szCs w:val="24"/>
          <w:highlight w:val="none"/>
        </w:rPr>
        <w:t>2</w:t>
      </w:r>
      <w:r>
        <w:rPr>
          <w:rFonts w:hint="eastAsia" w:hAnsi="宋体" w:cs="宋体"/>
          <w:color w:val="auto"/>
          <w:sz w:val="24"/>
          <w:szCs w:val="24"/>
          <w:highlight w:val="none"/>
          <w:lang w:val="en-US" w:eastAsia="zh-CN"/>
        </w:rPr>
        <w:t>.</w:t>
      </w:r>
      <w:r>
        <w:rPr>
          <w:rFonts w:hint="eastAsia" w:hAnsi="宋体" w:cs="宋体"/>
          <w:color w:val="auto"/>
          <w:sz w:val="24"/>
          <w:szCs w:val="24"/>
          <w:highlight w:val="none"/>
        </w:rPr>
        <w:t>我方同意自本项目</w:t>
      </w:r>
      <w:r>
        <w:rPr>
          <w:rFonts w:hint="eastAsia" w:hAnsi="宋体" w:cs="宋体"/>
          <w:color w:val="auto"/>
          <w:sz w:val="24"/>
          <w:szCs w:val="24"/>
          <w:highlight w:val="none"/>
          <w:lang w:val="en-US" w:eastAsia="zh-CN"/>
        </w:rPr>
        <w:t>竞争性</w:t>
      </w:r>
      <w:r>
        <w:rPr>
          <w:rFonts w:hint="eastAsia" w:hAnsi="宋体" w:cs="宋体"/>
          <w:color w:val="auto"/>
          <w:sz w:val="24"/>
          <w:highlight w:val="none"/>
        </w:rPr>
        <w:t>谈判</w:t>
      </w:r>
      <w:r>
        <w:rPr>
          <w:rFonts w:hint="eastAsia" w:hAnsi="宋体" w:cs="宋体"/>
          <w:color w:val="auto"/>
          <w:sz w:val="24"/>
          <w:szCs w:val="24"/>
          <w:highlight w:val="none"/>
        </w:rPr>
        <w:t>文件“第二章 供应商须知”第一节 供应商须知前附表第20.1项规定的截止时间（开标时间）起遵循本响应函，并承诺在“供应商须知前附表”第16.2项规定的响应有效期内不修改、撤销响应文件。</w:t>
      </w:r>
    </w:p>
    <w:p w14:paraId="00FF90D2">
      <w:pPr>
        <w:pStyle w:val="16"/>
        <w:shd w:val="clear"/>
        <w:spacing w:line="360" w:lineRule="exact"/>
        <w:ind w:firstLine="480" w:firstLineChars="200"/>
        <w:rPr>
          <w:rFonts w:hAnsi="宋体" w:cs="宋体"/>
          <w:color w:val="auto"/>
          <w:sz w:val="24"/>
          <w:szCs w:val="24"/>
          <w:highlight w:val="none"/>
          <w:u w:val="single"/>
        </w:rPr>
      </w:pPr>
      <w:r>
        <w:rPr>
          <w:rFonts w:hint="eastAsia" w:hAnsi="宋体" w:cs="宋体"/>
          <w:color w:val="auto"/>
          <w:sz w:val="24"/>
          <w:szCs w:val="24"/>
          <w:highlight w:val="none"/>
        </w:rPr>
        <w:t>3</w:t>
      </w:r>
      <w:r>
        <w:rPr>
          <w:rFonts w:hint="eastAsia" w:hAnsi="宋体" w:cs="宋体"/>
          <w:color w:val="auto"/>
          <w:sz w:val="24"/>
          <w:szCs w:val="24"/>
          <w:highlight w:val="none"/>
          <w:lang w:val="en-US" w:eastAsia="zh-CN"/>
        </w:rPr>
        <w:t>.</w:t>
      </w:r>
      <w:r>
        <w:rPr>
          <w:rFonts w:hint="eastAsia" w:hAnsi="宋体" w:cs="宋体"/>
          <w:color w:val="auto"/>
          <w:sz w:val="24"/>
          <w:szCs w:val="24"/>
          <w:highlight w:val="none"/>
        </w:rPr>
        <w:t>我方所递交的响应文件及有关资料都是内容完整、真实和准确的。</w:t>
      </w:r>
    </w:p>
    <w:p w14:paraId="469FB48F">
      <w:pPr>
        <w:pStyle w:val="16"/>
        <w:shd w:val="clear"/>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4</w:t>
      </w:r>
      <w:r>
        <w:rPr>
          <w:rFonts w:hint="eastAsia" w:hAnsi="宋体" w:cs="宋体"/>
          <w:color w:val="auto"/>
          <w:sz w:val="24"/>
          <w:szCs w:val="24"/>
          <w:highlight w:val="none"/>
          <w:lang w:val="en-US" w:eastAsia="zh-CN"/>
        </w:rPr>
        <w:t>.</w:t>
      </w:r>
      <w:r>
        <w:rPr>
          <w:rFonts w:hint="eastAsia" w:hAnsi="宋体" w:cs="宋体"/>
          <w:color w:val="auto"/>
          <w:sz w:val="24"/>
          <w:szCs w:val="24"/>
          <w:highlight w:val="none"/>
        </w:rPr>
        <w:t>如本项目采购内容涉及须符合国家强制规定的，我方承诺我方本次响应（包括资格条件和所投产品）均符合国家有关强制规定。</w:t>
      </w:r>
    </w:p>
    <w:p w14:paraId="339865D9">
      <w:pPr>
        <w:pStyle w:val="16"/>
        <w:shd w:val="clear"/>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5</w:t>
      </w:r>
      <w:r>
        <w:rPr>
          <w:rFonts w:hint="eastAsia" w:hAnsi="宋体" w:cs="宋体"/>
          <w:color w:val="auto"/>
          <w:sz w:val="24"/>
          <w:szCs w:val="24"/>
          <w:highlight w:val="none"/>
          <w:lang w:val="en-US" w:eastAsia="zh-CN"/>
        </w:rPr>
        <w:t>.</w:t>
      </w:r>
      <w:r>
        <w:rPr>
          <w:rFonts w:hint="eastAsia" w:hAnsi="宋体" w:cs="宋体"/>
          <w:color w:val="auto"/>
          <w:sz w:val="24"/>
          <w:szCs w:val="24"/>
          <w:highlight w:val="none"/>
        </w:rPr>
        <w:t>如我方</w:t>
      </w:r>
      <w:r>
        <w:rPr>
          <w:rFonts w:hint="eastAsia" w:hAnsi="宋体" w:cs="宋体"/>
          <w:color w:val="auto"/>
          <w:sz w:val="24"/>
          <w:szCs w:val="24"/>
          <w:highlight w:val="none"/>
          <w:lang w:val="en-US" w:eastAsia="zh-CN"/>
        </w:rPr>
        <w:t>成交</w:t>
      </w:r>
      <w:r>
        <w:rPr>
          <w:rFonts w:hint="eastAsia" w:hAnsi="宋体" w:cs="宋体"/>
          <w:color w:val="auto"/>
          <w:sz w:val="24"/>
          <w:szCs w:val="24"/>
          <w:highlight w:val="none"/>
        </w:rPr>
        <w:t>，我方承诺在收到成交通知书后，在成交通知书规定的期限内，根据</w:t>
      </w:r>
      <w:r>
        <w:rPr>
          <w:rFonts w:hint="eastAsia" w:hAnsi="宋体" w:cs="宋体"/>
          <w:color w:val="auto"/>
          <w:sz w:val="24"/>
          <w:szCs w:val="24"/>
          <w:highlight w:val="none"/>
          <w:lang w:val="en-US" w:eastAsia="zh-CN"/>
        </w:rPr>
        <w:t>竞争性</w:t>
      </w:r>
      <w:r>
        <w:rPr>
          <w:rFonts w:hint="eastAsia" w:hAnsi="宋体" w:cs="宋体"/>
          <w:color w:val="auto"/>
          <w:sz w:val="24"/>
          <w:highlight w:val="none"/>
        </w:rPr>
        <w:t>谈判</w:t>
      </w:r>
      <w:r>
        <w:rPr>
          <w:rFonts w:hint="eastAsia" w:hAnsi="宋体" w:cs="宋体"/>
          <w:color w:val="auto"/>
          <w:sz w:val="24"/>
          <w:szCs w:val="24"/>
          <w:highlight w:val="none"/>
        </w:rPr>
        <w:t>文件、我方的响应文件及有关澄清承诺书的要求按第六章“合同文本”与采购人订立书面合同，并按照合同约定承担完成合同的责任和义务。</w:t>
      </w:r>
    </w:p>
    <w:p w14:paraId="53970527">
      <w:pPr>
        <w:pStyle w:val="16"/>
        <w:shd w:val="clear"/>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6</w:t>
      </w:r>
      <w:r>
        <w:rPr>
          <w:rFonts w:hint="eastAsia" w:hAnsi="宋体" w:cs="宋体"/>
          <w:color w:val="auto"/>
          <w:sz w:val="24"/>
          <w:szCs w:val="24"/>
          <w:highlight w:val="none"/>
          <w:lang w:val="en-US" w:eastAsia="zh-CN"/>
        </w:rPr>
        <w:t>.</w:t>
      </w:r>
      <w:r>
        <w:rPr>
          <w:rFonts w:hint="eastAsia" w:hAnsi="宋体" w:cs="宋体"/>
          <w:color w:val="auto"/>
          <w:sz w:val="24"/>
          <w:szCs w:val="24"/>
          <w:highlight w:val="none"/>
        </w:rPr>
        <w:t>我方已详细审核</w:t>
      </w:r>
      <w:r>
        <w:rPr>
          <w:rFonts w:hint="eastAsia" w:hAnsi="宋体" w:cs="宋体"/>
          <w:color w:val="auto"/>
          <w:sz w:val="24"/>
          <w:szCs w:val="24"/>
          <w:highlight w:val="none"/>
          <w:lang w:val="en-US" w:eastAsia="zh-CN"/>
        </w:rPr>
        <w:t>竞争性</w:t>
      </w:r>
      <w:r>
        <w:rPr>
          <w:rFonts w:hint="eastAsia" w:hAnsi="宋体" w:cs="宋体"/>
          <w:color w:val="auto"/>
          <w:sz w:val="24"/>
          <w:highlight w:val="none"/>
        </w:rPr>
        <w:t>谈判</w:t>
      </w:r>
      <w:r>
        <w:rPr>
          <w:rFonts w:hint="eastAsia" w:hAnsi="宋体" w:cs="宋体"/>
          <w:color w:val="auto"/>
          <w:sz w:val="24"/>
          <w:szCs w:val="24"/>
          <w:highlight w:val="none"/>
        </w:rPr>
        <w:t>文件，我方知道必须放弃提出含糊不清或误解问题的权利。</w:t>
      </w:r>
    </w:p>
    <w:p w14:paraId="30E66F59">
      <w:pPr>
        <w:pStyle w:val="16"/>
        <w:shd w:val="clear"/>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7</w:t>
      </w:r>
      <w:r>
        <w:rPr>
          <w:rFonts w:hint="eastAsia" w:hAnsi="宋体" w:cs="宋体"/>
          <w:color w:val="auto"/>
          <w:sz w:val="24"/>
          <w:szCs w:val="24"/>
          <w:highlight w:val="none"/>
          <w:lang w:val="en-US" w:eastAsia="zh-CN"/>
        </w:rPr>
        <w:t>.</w:t>
      </w:r>
      <w:r>
        <w:rPr>
          <w:rFonts w:hint="eastAsia" w:hAnsi="宋体" w:cs="宋体"/>
          <w:color w:val="auto"/>
          <w:sz w:val="24"/>
          <w:szCs w:val="24"/>
          <w:highlight w:val="none"/>
        </w:rPr>
        <w:t>我方同意应贵方要求提供与本响应有关的任何数据或资料。若贵方需要，我方愿意提供我方做出的一切承诺的证明材料。</w:t>
      </w:r>
    </w:p>
    <w:p w14:paraId="6C68F0A6">
      <w:pPr>
        <w:pStyle w:val="16"/>
        <w:shd w:val="clear"/>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8</w:t>
      </w:r>
      <w:r>
        <w:rPr>
          <w:rFonts w:hint="eastAsia" w:hAnsi="宋体" w:cs="宋体"/>
          <w:color w:val="auto"/>
          <w:sz w:val="24"/>
          <w:szCs w:val="24"/>
          <w:highlight w:val="none"/>
          <w:lang w:val="en-US" w:eastAsia="zh-CN"/>
        </w:rPr>
        <w:t>.</w:t>
      </w:r>
      <w:r>
        <w:rPr>
          <w:rFonts w:hint="eastAsia" w:hAnsi="宋体" w:cs="宋体"/>
          <w:color w:val="auto"/>
          <w:sz w:val="24"/>
          <w:szCs w:val="24"/>
          <w:highlight w:val="none"/>
        </w:rPr>
        <w:t>我方完全理解贵方不一定接受响应报价最低的供应商为成交供应商的行为。</w:t>
      </w:r>
    </w:p>
    <w:p w14:paraId="00A77B37">
      <w:pPr>
        <w:pStyle w:val="16"/>
        <w:shd w:val="clear"/>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9</w:t>
      </w:r>
      <w:r>
        <w:rPr>
          <w:rFonts w:hint="eastAsia" w:hAnsi="宋体" w:cs="宋体"/>
          <w:color w:val="auto"/>
          <w:sz w:val="24"/>
          <w:szCs w:val="24"/>
          <w:highlight w:val="none"/>
          <w:lang w:val="en-US" w:eastAsia="zh-CN"/>
        </w:rPr>
        <w:t>.</w:t>
      </w:r>
      <w:r>
        <w:rPr>
          <w:rFonts w:hint="eastAsia" w:hAnsi="宋体" w:cs="宋体"/>
          <w:color w:val="auto"/>
          <w:sz w:val="24"/>
          <w:szCs w:val="24"/>
          <w:highlight w:val="none"/>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F2B1482">
      <w:pPr>
        <w:pStyle w:val="16"/>
        <w:shd w:val="clear"/>
        <w:spacing w:line="440" w:lineRule="exact"/>
        <w:ind w:left="420"/>
        <w:rPr>
          <w:rFonts w:hAnsi="宋体" w:cs="宋体"/>
          <w:color w:val="auto"/>
          <w:sz w:val="24"/>
          <w:szCs w:val="24"/>
          <w:highlight w:val="none"/>
        </w:rPr>
      </w:pPr>
      <w:r>
        <w:rPr>
          <w:rFonts w:hint="eastAsia" w:hAnsi="宋体" w:cs="宋体"/>
          <w:color w:val="auto"/>
          <w:sz w:val="24"/>
          <w:szCs w:val="24"/>
          <w:highlight w:val="none"/>
        </w:rPr>
        <w:t>（1）提供虚假材料谋取中标、成交的；</w:t>
      </w:r>
    </w:p>
    <w:p w14:paraId="13190BF5">
      <w:pPr>
        <w:pStyle w:val="16"/>
        <w:shd w:val="clear"/>
        <w:spacing w:line="440" w:lineRule="exact"/>
        <w:ind w:left="420"/>
        <w:rPr>
          <w:rFonts w:hAnsi="宋体" w:cs="宋体"/>
          <w:color w:val="auto"/>
          <w:sz w:val="24"/>
          <w:szCs w:val="24"/>
          <w:highlight w:val="none"/>
        </w:rPr>
      </w:pPr>
      <w:r>
        <w:rPr>
          <w:rFonts w:hint="eastAsia" w:hAnsi="宋体" w:cs="宋体"/>
          <w:color w:val="auto"/>
          <w:sz w:val="24"/>
          <w:szCs w:val="24"/>
          <w:highlight w:val="none"/>
        </w:rPr>
        <w:t>（2）采取不正当手段诋毁、排挤其他供应商的；</w:t>
      </w:r>
    </w:p>
    <w:p w14:paraId="2879CDDD">
      <w:pPr>
        <w:pStyle w:val="16"/>
        <w:shd w:val="clear"/>
        <w:spacing w:line="440" w:lineRule="exact"/>
        <w:ind w:left="420"/>
        <w:rPr>
          <w:rFonts w:hAnsi="宋体" w:cs="宋体"/>
          <w:color w:val="auto"/>
          <w:sz w:val="24"/>
          <w:szCs w:val="24"/>
          <w:highlight w:val="none"/>
        </w:rPr>
      </w:pPr>
      <w:r>
        <w:rPr>
          <w:rFonts w:hint="eastAsia" w:hAnsi="宋体" w:cs="宋体"/>
          <w:color w:val="auto"/>
          <w:sz w:val="24"/>
          <w:szCs w:val="24"/>
          <w:highlight w:val="none"/>
        </w:rPr>
        <w:t>（3）与采购人、其他供应商或者采购代理机构恶意串通的；</w:t>
      </w:r>
    </w:p>
    <w:p w14:paraId="5C8B8851">
      <w:pPr>
        <w:pStyle w:val="16"/>
        <w:shd w:val="clear"/>
        <w:spacing w:line="440" w:lineRule="exact"/>
        <w:ind w:left="420"/>
        <w:rPr>
          <w:rFonts w:hAnsi="宋体" w:cs="宋体"/>
          <w:color w:val="auto"/>
          <w:sz w:val="24"/>
          <w:szCs w:val="24"/>
          <w:highlight w:val="none"/>
        </w:rPr>
      </w:pPr>
      <w:r>
        <w:rPr>
          <w:rFonts w:hint="eastAsia" w:hAnsi="宋体" w:cs="宋体"/>
          <w:color w:val="auto"/>
          <w:sz w:val="24"/>
          <w:szCs w:val="24"/>
          <w:highlight w:val="none"/>
        </w:rPr>
        <w:t>（4）向采购人、采购代理机构行贿或者提供其他不正当利益的；</w:t>
      </w:r>
    </w:p>
    <w:p w14:paraId="3AF9D960">
      <w:pPr>
        <w:pStyle w:val="16"/>
        <w:shd w:val="clear"/>
        <w:spacing w:line="440" w:lineRule="exact"/>
        <w:ind w:left="420"/>
        <w:rPr>
          <w:rFonts w:hAnsi="宋体" w:cs="宋体"/>
          <w:color w:val="auto"/>
          <w:sz w:val="24"/>
          <w:szCs w:val="24"/>
          <w:highlight w:val="none"/>
        </w:rPr>
      </w:pPr>
      <w:r>
        <w:rPr>
          <w:rFonts w:hint="eastAsia" w:hAnsi="宋体" w:cs="宋体"/>
          <w:color w:val="auto"/>
          <w:sz w:val="24"/>
          <w:szCs w:val="24"/>
          <w:highlight w:val="none"/>
        </w:rPr>
        <w:t>（5）在招标采购过程中与采购人进行协商谈判的；</w:t>
      </w:r>
    </w:p>
    <w:p w14:paraId="69923F52">
      <w:pPr>
        <w:pStyle w:val="16"/>
        <w:shd w:val="clear"/>
        <w:spacing w:line="440" w:lineRule="exact"/>
        <w:ind w:left="420"/>
        <w:rPr>
          <w:rFonts w:hAnsi="宋体" w:cs="宋体"/>
          <w:color w:val="auto"/>
          <w:sz w:val="24"/>
          <w:szCs w:val="24"/>
          <w:highlight w:val="none"/>
        </w:rPr>
      </w:pPr>
      <w:r>
        <w:rPr>
          <w:rFonts w:hint="eastAsia" w:hAnsi="宋体" w:cs="宋体"/>
          <w:color w:val="auto"/>
          <w:sz w:val="24"/>
          <w:szCs w:val="24"/>
          <w:highlight w:val="none"/>
        </w:rPr>
        <w:t>（6）拒绝有关部门监督检查或提供虚假情况的。</w:t>
      </w:r>
    </w:p>
    <w:p w14:paraId="65C29C77">
      <w:pPr>
        <w:pStyle w:val="16"/>
        <w:shd w:val="clear"/>
        <w:spacing w:line="440" w:lineRule="exact"/>
        <w:ind w:left="420"/>
        <w:rPr>
          <w:rFonts w:hint="default" w:hAnsi="宋体" w:eastAsia="宋体" w:cs="宋体"/>
          <w:color w:val="auto"/>
          <w:sz w:val="24"/>
          <w:szCs w:val="24"/>
          <w:highlight w:val="none"/>
          <w:lang w:val="en-US" w:eastAsia="zh-CN"/>
        </w:rPr>
      </w:pPr>
      <w:r>
        <w:rPr>
          <w:rFonts w:hint="eastAsia" w:hAnsi="宋体" w:cs="宋体"/>
          <w:color w:val="auto"/>
          <w:sz w:val="24"/>
          <w:szCs w:val="24"/>
          <w:highlight w:val="none"/>
        </w:rPr>
        <w:t>10</w:t>
      </w:r>
      <w:r>
        <w:rPr>
          <w:rFonts w:hint="eastAsia" w:hAnsi="宋体" w:cs="宋体"/>
          <w:color w:val="auto"/>
          <w:sz w:val="24"/>
          <w:szCs w:val="24"/>
          <w:highlight w:val="none"/>
          <w:lang w:val="en-US" w:eastAsia="zh-CN"/>
        </w:rPr>
        <w:t>.</w:t>
      </w:r>
      <w:r>
        <w:rPr>
          <w:rFonts w:hint="eastAsia" w:hAnsi="宋体" w:cs="宋体"/>
          <w:color w:val="auto"/>
          <w:sz w:val="24"/>
          <w:szCs w:val="24"/>
          <w:highlight w:val="none"/>
        </w:rPr>
        <w:t>我方及由本人担任法定代表人的其他机构最近三年内被处罚的违法行为有：</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p>
    <w:p w14:paraId="7FF297A9">
      <w:pPr>
        <w:pStyle w:val="16"/>
        <w:shd w:val="clear"/>
        <w:spacing w:line="360" w:lineRule="auto"/>
        <w:ind w:firstLine="420"/>
        <w:rPr>
          <w:rFonts w:hAnsi="宋体" w:cs="宋体"/>
          <w:color w:val="auto"/>
          <w:sz w:val="24"/>
          <w:szCs w:val="24"/>
          <w:highlight w:val="none"/>
        </w:rPr>
      </w:pPr>
      <w:r>
        <w:rPr>
          <w:rFonts w:hint="eastAsia" w:hAnsi="宋体" w:cs="宋体"/>
          <w:color w:val="auto"/>
          <w:sz w:val="24"/>
          <w:szCs w:val="24"/>
          <w:highlight w:val="none"/>
        </w:rPr>
        <w:t>11</w:t>
      </w:r>
      <w:r>
        <w:rPr>
          <w:rFonts w:hint="eastAsia" w:hAnsi="宋体" w:cs="宋体"/>
          <w:color w:val="auto"/>
          <w:sz w:val="24"/>
          <w:szCs w:val="24"/>
          <w:highlight w:val="none"/>
          <w:lang w:val="en-US" w:eastAsia="zh-CN"/>
        </w:rPr>
        <w:t>.</w:t>
      </w:r>
      <w:r>
        <w:rPr>
          <w:rFonts w:hint="eastAsia" w:hAnsi="宋体" w:cs="宋体"/>
          <w:color w:val="auto"/>
          <w:sz w:val="24"/>
          <w:szCs w:val="24"/>
          <w:highlight w:val="none"/>
        </w:rPr>
        <w:t>以上事项如有虚假或隐瞒，我方愿意承担一切后果，并不再寻求任何旨在减轻或免除法律责任的辩解。</w:t>
      </w:r>
    </w:p>
    <w:p w14:paraId="5A0ABF25">
      <w:pPr>
        <w:pStyle w:val="16"/>
        <w:shd w:val="clear"/>
        <w:spacing w:line="360" w:lineRule="auto"/>
        <w:ind w:firstLine="420"/>
        <w:rPr>
          <w:rFonts w:hAnsi="宋体" w:cs="宋体"/>
          <w:color w:val="auto"/>
          <w:sz w:val="24"/>
          <w:szCs w:val="24"/>
          <w:highlight w:val="none"/>
        </w:rPr>
      </w:pPr>
      <w:r>
        <w:rPr>
          <w:rFonts w:hint="eastAsia" w:hAnsi="宋体" w:cs="宋体"/>
          <w:color w:val="auto"/>
          <w:sz w:val="24"/>
          <w:szCs w:val="24"/>
          <w:highlight w:val="none"/>
        </w:rPr>
        <w:t>12</w:t>
      </w:r>
      <w:r>
        <w:rPr>
          <w:rFonts w:hint="eastAsia" w:hAnsi="宋体" w:cs="宋体"/>
          <w:color w:val="auto"/>
          <w:sz w:val="24"/>
          <w:szCs w:val="24"/>
          <w:highlight w:val="none"/>
          <w:lang w:val="en-US" w:eastAsia="zh-CN"/>
        </w:rPr>
        <w:t>.</w:t>
      </w:r>
      <w:r>
        <w:rPr>
          <w:rFonts w:hint="eastAsia" w:hAnsi="宋体" w:cs="宋体"/>
          <w:color w:val="auto"/>
          <w:sz w:val="24"/>
          <w:szCs w:val="24"/>
          <w:highlight w:val="none"/>
        </w:rPr>
        <w:t>与本响应有关的一切正式往来信函请寄：</w:t>
      </w:r>
    </w:p>
    <w:p w14:paraId="642F9F51">
      <w:pPr>
        <w:pStyle w:val="16"/>
        <w:shd w:val="clear"/>
        <w:spacing w:line="360" w:lineRule="auto"/>
        <w:ind w:firstLine="420"/>
        <w:rPr>
          <w:rFonts w:hAnsi="宋体" w:cs="宋体"/>
          <w:color w:val="auto"/>
          <w:sz w:val="24"/>
          <w:szCs w:val="24"/>
          <w:highlight w:val="none"/>
        </w:rPr>
      </w:pPr>
      <w:r>
        <w:rPr>
          <w:rFonts w:hint="eastAsia" w:hAnsi="宋体" w:cs="宋体"/>
          <w:color w:val="auto"/>
          <w:sz w:val="24"/>
          <w:szCs w:val="24"/>
          <w:highlight w:val="none"/>
        </w:rPr>
        <w:t>地址：</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78EEC708">
      <w:pPr>
        <w:pStyle w:val="16"/>
        <w:shd w:val="clear"/>
        <w:spacing w:line="360" w:lineRule="auto"/>
        <w:ind w:firstLine="420"/>
        <w:rPr>
          <w:rFonts w:hAnsi="宋体" w:cs="宋体"/>
          <w:color w:val="auto"/>
          <w:sz w:val="24"/>
          <w:szCs w:val="24"/>
          <w:highlight w:val="none"/>
          <w:u w:val="single"/>
        </w:rPr>
      </w:pPr>
      <w:r>
        <w:rPr>
          <w:rFonts w:hint="eastAsia" w:hAnsi="宋体" w:cs="宋体"/>
          <w:color w:val="auto"/>
          <w:sz w:val="24"/>
          <w:szCs w:val="24"/>
          <w:highlight w:val="none"/>
        </w:rPr>
        <w:t>电话：</w:t>
      </w:r>
      <w:r>
        <w:rPr>
          <w:rFonts w:hint="eastAsia" w:hAnsi="宋体" w:cs="宋体"/>
          <w:color w:val="auto"/>
          <w:sz w:val="24"/>
          <w:szCs w:val="24"/>
          <w:highlight w:val="none"/>
          <w:u w:val="single"/>
        </w:rPr>
        <w:t xml:space="preserve">                                      　　　　　　　　　</w:t>
      </w:r>
    </w:p>
    <w:p w14:paraId="52CA71FE">
      <w:pPr>
        <w:pStyle w:val="16"/>
        <w:shd w:val="clear"/>
        <w:spacing w:line="360" w:lineRule="auto"/>
        <w:ind w:firstLine="420"/>
        <w:rPr>
          <w:rFonts w:hAnsi="宋体" w:cs="宋体"/>
          <w:color w:val="auto"/>
          <w:sz w:val="24"/>
          <w:szCs w:val="24"/>
          <w:highlight w:val="none"/>
        </w:rPr>
      </w:pPr>
      <w:r>
        <w:rPr>
          <w:rFonts w:hint="eastAsia" w:hAnsi="宋体" w:cs="宋体"/>
          <w:color w:val="auto"/>
          <w:sz w:val="24"/>
          <w:szCs w:val="24"/>
          <w:highlight w:val="none"/>
        </w:rPr>
        <w:t>传真：</w:t>
      </w:r>
      <w:r>
        <w:rPr>
          <w:rFonts w:hint="eastAsia" w:hAnsi="宋体" w:cs="宋体"/>
          <w:color w:val="auto"/>
          <w:sz w:val="24"/>
          <w:szCs w:val="24"/>
          <w:highlight w:val="none"/>
          <w:u w:val="single"/>
        </w:rPr>
        <w:t>　　　　　　　　　　　　　　　　　　　　　　　　　　　　</w:t>
      </w:r>
    </w:p>
    <w:p w14:paraId="0A58D09C">
      <w:pPr>
        <w:pStyle w:val="16"/>
        <w:shd w:val="clear"/>
        <w:spacing w:line="360" w:lineRule="auto"/>
        <w:ind w:firstLine="420"/>
        <w:rPr>
          <w:rFonts w:hAnsi="宋体" w:cs="宋体"/>
          <w:color w:val="auto"/>
          <w:sz w:val="24"/>
          <w:szCs w:val="24"/>
          <w:highlight w:val="none"/>
          <w:u w:val="single"/>
        </w:rPr>
      </w:pPr>
      <w:r>
        <w:rPr>
          <w:rFonts w:hint="eastAsia" w:hAnsi="宋体" w:cs="宋体"/>
          <w:color w:val="auto"/>
          <w:sz w:val="24"/>
          <w:szCs w:val="24"/>
          <w:highlight w:val="none"/>
        </w:rPr>
        <w:t>邮政编码：</w:t>
      </w:r>
      <w:r>
        <w:rPr>
          <w:rFonts w:hint="eastAsia" w:hAnsi="宋体" w:cs="宋体"/>
          <w:color w:val="auto"/>
          <w:sz w:val="24"/>
          <w:szCs w:val="24"/>
          <w:highlight w:val="none"/>
          <w:u w:val="single"/>
        </w:rPr>
        <w:t xml:space="preserve">                                                    </w:t>
      </w:r>
    </w:p>
    <w:p w14:paraId="1D976CB8">
      <w:pPr>
        <w:pStyle w:val="16"/>
        <w:shd w:val="clear"/>
        <w:spacing w:line="360" w:lineRule="auto"/>
        <w:ind w:firstLine="420"/>
        <w:rPr>
          <w:rFonts w:hAnsi="宋体" w:cs="宋体"/>
          <w:color w:val="auto"/>
          <w:sz w:val="24"/>
          <w:szCs w:val="24"/>
          <w:highlight w:val="none"/>
          <w:u w:val="single"/>
        </w:rPr>
      </w:pPr>
      <w:r>
        <w:rPr>
          <w:rFonts w:hint="eastAsia" w:hAnsi="宋体" w:cs="宋体"/>
          <w:color w:val="auto"/>
          <w:sz w:val="24"/>
          <w:szCs w:val="24"/>
          <w:highlight w:val="none"/>
        </w:rPr>
        <w:t>开户名称：</w:t>
      </w:r>
      <w:r>
        <w:rPr>
          <w:rFonts w:hint="eastAsia" w:hAnsi="宋体" w:cs="宋体"/>
          <w:color w:val="auto"/>
          <w:sz w:val="24"/>
          <w:szCs w:val="24"/>
          <w:highlight w:val="none"/>
          <w:u w:val="single"/>
        </w:rPr>
        <w:t xml:space="preserve">                                                    </w:t>
      </w:r>
    </w:p>
    <w:p w14:paraId="1490611C">
      <w:pPr>
        <w:pStyle w:val="16"/>
        <w:shd w:val="clear"/>
        <w:spacing w:line="360" w:lineRule="auto"/>
        <w:ind w:firstLine="420"/>
        <w:rPr>
          <w:rFonts w:hAnsi="宋体" w:cs="宋体"/>
          <w:color w:val="auto"/>
          <w:sz w:val="24"/>
          <w:szCs w:val="24"/>
          <w:highlight w:val="none"/>
          <w:u w:val="single"/>
        </w:rPr>
      </w:pPr>
      <w:r>
        <w:rPr>
          <w:rFonts w:hint="eastAsia" w:hAnsi="宋体" w:cs="宋体"/>
          <w:color w:val="auto"/>
          <w:sz w:val="24"/>
          <w:szCs w:val="24"/>
          <w:highlight w:val="none"/>
        </w:rPr>
        <w:t>开户银行：</w:t>
      </w:r>
      <w:r>
        <w:rPr>
          <w:rFonts w:hint="eastAsia" w:hAnsi="宋体" w:cs="宋体"/>
          <w:color w:val="auto"/>
          <w:sz w:val="24"/>
          <w:szCs w:val="24"/>
          <w:highlight w:val="none"/>
          <w:u w:val="single"/>
        </w:rPr>
        <w:t xml:space="preserve">                                                    </w:t>
      </w:r>
    </w:p>
    <w:p w14:paraId="240C4207">
      <w:pPr>
        <w:pStyle w:val="16"/>
        <w:shd w:val="clear"/>
        <w:spacing w:line="360" w:lineRule="auto"/>
        <w:ind w:firstLine="420"/>
        <w:rPr>
          <w:rFonts w:hAnsi="宋体" w:cs="宋体"/>
          <w:color w:val="auto"/>
          <w:sz w:val="24"/>
          <w:szCs w:val="24"/>
          <w:highlight w:val="none"/>
          <w:u w:val="single"/>
        </w:rPr>
      </w:pPr>
      <w:r>
        <w:rPr>
          <w:rFonts w:hint="eastAsia" w:hAnsi="宋体" w:cs="宋体"/>
          <w:color w:val="auto"/>
          <w:sz w:val="24"/>
          <w:szCs w:val="24"/>
          <w:highlight w:val="none"/>
        </w:rPr>
        <w:t>银行账号：</w:t>
      </w:r>
      <w:r>
        <w:rPr>
          <w:rFonts w:hint="eastAsia" w:hAnsi="宋体" w:cs="宋体"/>
          <w:color w:val="auto"/>
          <w:sz w:val="24"/>
          <w:szCs w:val="24"/>
          <w:highlight w:val="none"/>
          <w:u w:val="single"/>
        </w:rPr>
        <w:t xml:space="preserve">                                                    </w:t>
      </w:r>
    </w:p>
    <w:p w14:paraId="2A3BCF87">
      <w:pPr>
        <w:shd w:val="clear"/>
        <w:snapToGrid w:val="0"/>
        <w:spacing w:line="360" w:lineRule="auto"/>
        <w:ind w:firstLine="5040" w:firstLineChars="2100"/>
        <w:rPr>
          <w:rFonts w:ascii="宋体" w:hAnsi="宋体" w:cs="宋体"/>
          <w:color w:val="auto"/>
          <w:kern w:val="0"/>
          <w:sz w:val="24"/>
          <w:highlight w:val="none"/>
          <w:lang w:val="zh-CN"/>
        </w:rPr>
      </w:pPr>
    </w:p>
    <w:p w14:paraId="0E3FE6EA">
      <w:pPr>
        <w:shd w:val="clear"/>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供应商名称（电子签章）：</w:t>
      </w:r>
    </w:p>
    <w:p w14:paraId="3136B4CB">
      <w:pPr>
        <w:shd w:val="clear"/>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500B56A8">
      <w:pPr>
        <w:shd w:val="clear"/>
        <w:snapToGrid w:val="0"/>
        <w:spacing w:line="360" w:lineRule="auto"/>
        <w:ind w:firstLine="5160" w:firstLineChars="2150"/>
        <w:rPr>
          <w:rFonts w:ascii="宋体" w:hAnsi="宋体" w:cs="宋体"/>
          <w:color w:val="auto"/>
          <w:kern w:val="0"/>
          <w:sz w:val="24"/>
          <w:highlight w:val="none"/>
          <w:lang w:val="zh-CN"/>
        </w:rPr>
      </w:pPr>
    </w:p>
    <w:p w14:paraId="365FA93F">
      <w:pPr>
        <w:shd w:val="clear"/>
        <w:spacing w:line="520" w:lineRule="exact"/>
        <w:jc w:val="center"/>
        <w:rPr>
          <w:rFonts w:ascii="宋体" w:hAnsi="宋体" w:cs="宋体"/>
          <w:bCs/>
          <w:color w:val="auto"/>
          <w:sz w:val="32"/>
          <w:szCs w:val="32"/>
          <w:highlight w:val="none"/>
        </w:rPr>
      </w:pPr>
      <w:r>
        <w:rPr>
          <w:rFonts w:hint="eastAsia" w:ascii="宋体" w:hAnsi="宋体" w:cs="宋体"/>
          <w:color w:val="auto"/>
          <w:highlight w:val="none"/>
        </w:rPr>
        <w:br w:type="page"/>
      </w:r>
      <w:r>
        <w:rPr>
          <w:rFonts w:hint="eastAsia" w:ascii="宋体" w:hAnsi="宋体" w:cs="宋体"/>
          <w:b/>
          <w:bCs/>
          <w:color w:val="auto"/>
          <w:sz w:val="32"/>
          <w:szCs w:val="32"/>
          <w:highlight w:val="none"/>
        </w:rPr>
        <w:t>二、响应报价表</w:t>
      </w:r>
    </w:p>
    <w:p w14:paraId="5AEE1AE1">
      <w:pPr>
        <w:shd w:val="clear"/>
        <w:spacing w:line="440" w:lineRule="exact"/>
        <w:jc w:val="center"/>
        <w:rPr>
          <w:rFonts w:ascii="宋体" w:hAnsi="宋体" w:cs="宋体"/>
          <w:bCs/>
          <w:color w:val="auto"/>
          <w:sz w:val="32"/>
          <w:szCs w:val="32"/>
          <w:highlight w:val="none"/>
        </w:rPr>
      </w:pPr>
    </w:p>
    <w:p w14:paraId="037B8D03">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p>
    <w:p w14:paraId="1412AA33">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4827F0AC">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分标号（此处有分标时填写具体分标号，无分标时填写“无”）：</w:t>
      </w:r>
      <w:r>
        <w:rPr>
          <w:rFonts w:hint="eastAsia" w:ascii="宋体" w:hAnsi="宋体" w:cs="宋体"/>
          <w:color w:val="auto"/>
          <w:sz w:val="24"/>
          <w:highlight w:val="none"/>
          <w:u w:val="single"/>
        </w:rPr>
        <w:t xml:space="preserve">               </w:t>
      </w:r>
    </w:p>
    <w:p w14:paraId="21CB6C0A">
      <w:pPr>
        <w:shd w:val="clear"/>
        <w:snapToGrid w:val="0"/>
        <w:spacing w:before="50" w:after="50"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4BF17E8D">
      <w:pPr>
        <w:shd w:val="clear"/>
        <w:snapToGrid w:val="0"/>
        <w:spacing w:before="50" w:after="50" w:line="360" w:lineRule="auto"/>
        <w:rPr>
          <w:rFonts w:ascii="宋体" w:hAnsi="宋体" w:cs="宋体"/>
          <w:color w:val="auto"/>
          <w:sz w:val="24"/>
          <w:highlight w:val="none"/>
        </w:rPr>
      </w:pPr>
      <w:r>
        <w:rPr>
          <w:rFonts w:hint="eastAsia" w:ascii="宋体" w:hAnsi="宋体" w:cs="宋体"/>
          <w:color w:val="auto"/>
          <w:sz w:val="24"/>
          <w:highlight w:val="none"/>
        </w:rPr>
        <w:t xml:space="preserve">                                                单位：元</w:t>
      </w:r>
    </w:p>
    <w:tbl>
      <w:tblPr>
        <w:tblStyle w:val="28"/>
        <w:tblW w:w="977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91"/>
        <w:gridCol w:w="1378"/>
        <w:gridCol w:w="1918"/>
        <w:gridCol w:w="1211"/>
        <w:gridCol w:w="1075"/>
        <w:gridCol w:w="950"/>
        <w:gridCol w:w="1563"/>
        <w:gridCol w:w="1091"/>
      </w:tblGrid>
      <w:tr w14:paraId="2BA9E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4" w:hRule="atLeast"/>
          <w:jc w:val="center"/>
        </w:trPr>
        <w:tc>
          <w:tcPr>
            <w:tcW w:w="591" w:type="dxa"/>
            <w:tcBorders>
              <w:left w:val="single" w:color="000000" w:sz="4" w:space="0"/>
              <w:right w:val="single" w:color="000000" w:sz="4" w:space="0"/>
            </w:tcBorders>
            <w:vAlign w:val="center"/>
          </w:tcPr>
          <w:p w14:paraId="0C252738">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1378" w:type="dxa"/>
            <w:tcBorders>
              <w:left w:val="single" w:color="000000" w:sz="4" w:space="0"/>
              <w:right w:val="single" w:color="000000" w:sz="4" w:space="0"/>
            </w:tcBorders>
            <w:vAlign w:val="center"/>
          </w:tcPr>
          <w:p w14:paraId="1161064C">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标的名称</w:t>
            </w:r>
          </w:p>
        </w:tc>
        <w:tc>
          <w:tcPr>
            <w:tcW w:w="1918" w:type="dxa"/>
            <w:tcBorders>
              <w:left w:val="single" w:color="000000" w:sz="4" w:space="0"/>
              <w:right w:val="single" w:color="000000" w:sz="4" w:space="0"/>
            </w:tcBorders>
            <w:vAlign w:val="center"/>
          </w:tcPr>
          <w:p w14:paraId="7048D1B6">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规格型号</w:t>
            </w:r>
          </w:p>
        </w:tc>
        <w:tc>
          <w:tcPr>
            <w:tcW w:w="1211" w:type="dxa"/>
            <w:tcBorders>
              <w:left w:val="single" w:color="000000" w:sz="4" w:space="0"/>
              <w:right w:val="single" w:color="000000" w:sz="4" w:space="0"/>
            </w:tcBorders>
            <w:vAlign w:val="center"/>
          </w:tcPr>
          <w:p w14:paraId="7840760A">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品牌（如有）</w:t>
            </w:r>
          </w:p>
        </w:tc>
        <w:tc>
          <w:tcPr>
            <w:tcW w:w="1075" w:type="dxa"/>
            <w:tcBorders>
              <w:left w:val="single" w:color="000000" w:sz="4" w:space="0"/>
              <w:right w:val="single" w:color="000000" w:sz="4" w:space="0"/>
            </w:tcBorders>
            <w:vAlign w:val="center"/>
          </w:tcPr>
          <w:p w14:paraId="413F4C22">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数量①</w:t>
            </w:r>
          </w:p>
        </w:tc>
        <w:tc>
          <w:tcPr>
            <w:tcW w:w="950" w:type="dxa"/>
            <w:tcBorders>
              <w:left w:val="single" w:color="000000" w:sz="4" w:space="0"/>
              <w:right w:val="single" w:color="000000" w:sz="4" w:space="0"/>
            </w:tcBorders>
            <w:vAlign w:val="center"/>
          </w:tcPr>
          <w:p w14:paraId="71B79BEB">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单价（元）②</w:t>
            </w:r>
          </w:p>
        </w:tc>
        <w:tc>
          <w:tcPr>
            <w:tcW w:w="1563" w:type="dxa"/>
            <w:tcBorders>
              <w:left w:val="single" w:color="000000" w:sz="4" w:space="0"/>
              <w:right w:val="single" w:color="000000" w:sz="4" w:space="0"/>
            </w:tcBorders>
            <w:vAlign w:val="center"/>
          </w:tcPr>
          <w:p w14:paraId="7C903FAC">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单项合价</w:t>
            </w:r>
          </w:p>
          <w:p w14:paraId="49BF8700">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（元）③ ＝ ① ×②</w:t>
            </w:r>
          </w:p>
        </w:tc>
        <w:tc>
          <w:tcPr>
            <w:tcW w:w="1091" w:type="dxa"/>
            <w:tcBorders>
              <w:left w:val="single" w:color="000000" w:sz="4" w:space="0"/>
              <w:right w:val="single" w:color="000000" w:sz="4" w:space="0"/>
            </w:tcBorders>
            <w:vAlign w:val="center"/>
          </w:tcPr>
          <w:p w14:paraId="2CCFD543">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14:paraId="42D3D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jc w:val="center"/>
        </w:trPr>
        <w:tc>
          <w:tcPr>
            <w:tcW w:w="9777" w:type="dxa"/>
            <w:gridSpan w:val="8"/>
            <w:tcBorders>
              <w:left w:val="single" w:color="000000" w:sz="4" w:space="0"/>
              <w:right w:val="single" w:color="000000" w:sz="4" w:space="0"/>
            </w:tcBorders>
            <w:vAlign w:val="center"/>
          </w:tcPr>
          <w:p w14:paraId="129DA0BE">
            <w:pPr>
              <w:shd w:val="clear"/>
              <w:jc w:val="left"/>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（一）生产设备工程</w:t>
            </w:r>
          </w:p>
        </w:tc>
      </w:tr>
      <w:tr w14:paraId="58391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jc w:val="center"/>
        </w:trPr>
        <w:tc>
          <w:tcPr>
            <w:tcW w:w="9777" w:type="dxa"/>
            <w:gridSpan w:val="8"/>
            <w:tcBorders>
              <w:left w:val="single" w:color="000000" w:sz="4" w:space="0"/>
              <w:right w:val="single" w:color="000000" w:sz="4" w:space="0"/>
            </w:tcBorders>
            <w:vAlign w:val="center"/>
          </w:tcPr>
          <w:p w14:paraId="299AFD14">
            <w:pPr>
              <w:shd w:val="clear"/>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（1）简便装播生产线</w:t>
            </w:r>
          </w:p>
        </w:tc>
      </w:tr>
      <w:tr w14:paraId="68121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jc w:val="center"/>
        </w:trPr>
        <w:tc>
          <w:tcPr>
            <w:tcW w:w="591" w:type="dxa"/>
            <w:tcBorders>
              <w:left w:val="single" w:color="000000" w:sz="4" w:space="0"/>
              <w:right w:val="single" w:color="000000" w:sz="4" w:space="0"/>
            </w:tcBorders>
            <w:vAlign w:val="center"/>
          </w:tcPr>
          <w:p w14:paraId="7187811F">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1378" w:type="dxa"/>
            <w:tcBorders>
              <w:left w:val="single" w:color="000000" w:sz="4" w:space="0"/>
              <w:right w:val="single" w:color="000000" w:sz="4" w:space="0"/>
            </w:tcBorders>
            <w:vAlign w:val="center"/>
          </w:tcPr>
          <w:p w14:paraId="16957135">
            <w:pPr>
              <w:shd w:val="clear"/>
              <w:jc w:val="center"/>
              <w:rPr>
                <w:rFonts w:ascii="宋体" w:hAnsi="宋体" w:cs="宋体"/>
                <w:color w:val="auto"/>
                <w:sz w:val="24"/>
                <w:szCs w:val="24"/>
                <w:highlight w:val="none"/>
              </w:rPr>
            </w:pPr>
          </w:p>
        </w:tc>
        <w:tc>
          <w:tcPr>
            <w:tcW w:w="1918" w:type="dxa"/>
            <w:tcBorders>
              <w:left w:val="single" w:color="000000" w:sz="4" w:space="0"/>
              <w:right w:val="single" w:color="000000" w:sz="4" w:space="0"/>
            </w:tcBorders>
            <w:vAlign w:val="center"/>
          </w:tcPr>
          <w:p w14:paraId="22C31D71">
            <w:pPr>
              <w:shd w:val="clear"/>
              <w:jc w:val="center"/>
              <w:rPr>
                <w:rFonts w:ascii="宋体" w:hAnsi="宋体" w:cs="宋体"/>
                <w:color w:val="auto"/>
                <w:sz w:val="24"/>
                <w:szCs w:val="24"/>
                <w:highlight w:val="none"/>
              </w:rPr>
            </w:pPr>
          </w:p>
        </w:tc>
        <w:tc>
          <w:tcPr>
            <w:tcW w:w="1211" w:type="dxa"/>
            <w:tcBorders>
              <w:left w:val="single" w:color="000000" w:sz="4" w:space="0"/>
              <w:right w:val="single" w:color="000000" w:sz="4" w:space="0"/>
            </w:tcBorders>
            <w:vAlign w:val="center"/>
          </w:tcPr>
          <w:p w14:paraId="43CFFF61">
            <w:pPr>
              <w:shd w:val="clear"/>
              <w:jc w:val="center"/>
              <w:rPr>
                <w:rFonts w:ascii="宋体" w:hAnsi="宋体" w:cs="宋体"/>
                <w:color w:val="auto"/>
                <w:sz w:val="24"/>
                <w:szCs w:val="24"/>
                <w:highlight w:val="none"/>
              </w:rPr>
            </w:pPr>
          </w:p>
        </w:tc>
        <w:tc>
          <w:tcPr>
            <w:tcW w:w="1075" w:type="dxa"/>
            <w:tcBorders>
              <w:left w:val="single" w:color="000000" w:sz="4" w:space="0"/>
              <w:right w:val="single" w:color="000000" w:sz="4" w:space="0"/>
            </w:tcBorders>
            <w:vAlign w:val="center"/>
          </w:tcPr>
          <w:p w14:paraId="4C44A680">
            <w:pPr>
              <w:shd w:val="clear"/>
              <w:jc w:val="center"/>
              <w:rPr>
                <w:rFonts w:ascii="宋体" w:hAnsi="宋体" w:cs="宋体"/>
                <w:color w:val="auto"/>
                <w:sz w:val="24"/>
                <w:szCs w:val="24"/>
                <w:highlight w:val="none"/>
              </w:rPr>
            </w:pPr>
          </w:p>
        </w:tc>
        <w:tc>
          <w:tcPr>
            <w:tcW w:w="950" w:type="dxa"/>
            <w:tcBorders>
              <w:left w:val="single" w:color="000000" w:sz="4" w:space="0"/>
              <w:right w:val="single" w:color="000000" w:sz="4" w:space="0"/>
            </w:tcBorders>
            <w:vAlign w:val="center"/>
          </w:tcPr>
          <w:p w14:paraId="0675422D">
            <w:pPr>
              <w:shd w:val="clear"/>
              <w:jc w:val="center"/>
              <w:rPr>
                <w:rFonts w:ascii="宋体" w:hAnsi="宋体" w:cs="宋体"/>
                <w:color w:val="auto"/>
                <w:sz w:val="24"/>
                <w:szCs w:val="24"/>
                <w:highlight w:val="none"/>
              </w:rPr>
            </w:pPr>
          </w:p>
        </w:tc>
        <w:tc>
          <w:tcPr>
            <w:tcW w:w="1563" w:type="dxa"/>
            <w:tcBorders>
              <w:left w:val="single" w:color="000000" w:sz="4" w:space="0"/>
              <w:right w:val="single" w:color="000000" w:sz="4" w:space="0"/>
            </w:tcBorders>
            <w:vAlign w:val="center"/>
          </w:tcPr>
          <w:p w14:paraId="481A335B">
            <w:pPr>
              <w:shd w:val="clear"/>
              <w:jc w:val="center"/>
              <w:rPr>
                <w:rFonts w:ascii="宋体" w:hAnsi="宋体" w:cs="宋体"/>
                <w:color w:val="auto"/>
                <w:sz w:val="24"/>
                <w:szCs w:val="24"/>
                <w:highlight w:val="none"/>
              </w:rPr>
            </w:pPr>
          </w:p>
        </w:tc>
        <w:tc>
          <w:tcPr>
            <w:tcW w:w="1091" w:type="dxa"/>
            <w:tcBorders>
              <w:left w:val="single" w:color="000000" w:sz="4" w:space="0"/>
              <w:right w:val="single" w:color="000000" w:sz="4" w:space="0"/>
            </w:tcBorders>
            <w:vAlign w:val="center"/>
          </w:tcPr>
          <w:p w14:paraId="073CD4C1">
            <w:pPr>
              <w:shd w:val="clear"/>
              <w:jc w:val="center"/>
              <w:rPr>
                <w:rFonts w:ascii="宋体" w:hAnsi="宋体" w:cs="宋体"/>
                <w:color w:val="auto"/>
                <w:sz w:val="24"/>
                <w:szCs w:val="24"/>
                <w:highlight w:val="none"/>
              </w:rPr>
            </w:pPr>
          </w:p>
        </w:tc>
      </w:tr>
      <w:tr w14:paraId="629CF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jc w:val="center"/>
        </w:trPr>
        <w:tc>
          <w:tcPr>
            <w:tcW w:w="591" w:type="dxa"/>
            <w:tcBorders>
              <w:left w:val="single" w:color="000000" w:sz="4" w:space="0"/>
              <w:right w:val="single" w:color="000000" w:sz="4" w:space="0"/>
            </w:tcBorders>
            <w:vAlign w:val="center"/>
          </w:tcPr>
          <w:p w14:paraId="0258E8E0">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1378" w:type="dxa"/>
            <w:tcBorders>
              <w:left w:val="single" w:color="000000" w:sz="4" w:space="0"/>
              <w:right w:val="single" w:color="000000" w:sz="4" w:space="0"/>
            </w:tcBorders>
            <w:vAlign w:val="center"/>
          </w:tcPr>
          <w:p w14:paraId="5549E317">
            <w:pPr>
              <w:shd w:val="clear"/>
              <w:jc w:val="center"/>
              <w:rPr>
                <w:rFonts w:ascii="宋体" w:hAnsi="宋体" w:cs="宋体"/>
                <w:color w:val="auto"/>
                <w:sz w:val="24"/>
                <w:szCs w:val="24"/>
                <w:highlight w:val="none"/>
              </w:rPr>
            </w:pPr>
          </w:p>
        </w:tc>
        <w:tc>
          <w:tcPr>
            <w:tcW w:w="1918" w:type="dxa"/>
            <w:tcBorders>
              <w:left w:val="single" w:color="000000" w:sz="4" w:space="0"/>
              <w:right w:val="single" w:color="000000" w:sz="4" w:space="0"/>
            </w:tcBorders>
            <w:vAlign w:val="center"/>
          </w:tcPr>
          <w:p w14:paraId="47A90605">
            <w:pPr>
              <w:shd w:val="clear"/>
              <w:jc w:val="center"/>
              <w:rPr>
                <w:rFonts w:ascii="宋体" w:hAnsi="宋体" w:cs="宋体"/>
                <w:color w:val="auto"/>
                <w:sz w:val="24"/>
                <w:szCs w:val="24"/>
                <w:highlight w:val="none"/>
              </w:rPr>
            </w:pPr>
          </w:p>
        </w:tc>
        <w:tc>
          <w:tcPr>
            <w:tcW w:w="1211" w:type="dxa"/>
            <w:tcBorders>
              <w:left w:val="single" w:color="000000" w:sz="4" w:space="0"/>
              <w:right w:val="single" w:color="000000" w:sz="4" w:space="0"/>
            </w:tcBorders>
            <w:vAlign w:val="center"/>
          </w:tcPr>
          <w:p w14:paraId="1437585D">
            <w:pPr>
              <w:shd w:val="clear"/>
              <w:jc w:val="center"/>
              <w:rPr>
                <w:rFonts w:ascii="宋体" w:hAnsi="宋体" w:cs="宋体"/>
                <w:color w:val="auto"/>
                <w:sz w:val="24"/>
                <w:szCs w:val="24"/>
                <w:highlight w:val="none"/>
              </w:rPr>
            </w:pPr>
          </w:p>
        </w:tc>
        <w:tc>
          <w:tcPr>
            <w:tcW w:w="1075" w:type="dxa"/>
            <w:tcBorders>
              <w:left w:val="single" w:color="000000" w:sz="4" w:space="0"/>
              <w:right w:val="single" w:color="000000" w:sz="4" w:space="0"/>
            </w:tcBorders>
            <w:vAlign w:val="center"/>
          </w:tcPr>
          <w:p w14:paraId="267D156C">
            <w:pPr>
              <w:shd w:val="clear"/>
              <w:jc w:val="center"/>
              <w:rPr>
                <w:rFonts w:ascii="宋体" w:hAnsi="宋体" w:cs="宋体"/>
                <w:color w:val="auto"/>
                <w:sz w:val="24"/>
                <w:szCs w:val="24"/>
                <w:highlight w:val="none"/>
              </w:rPr>
            </w:pPr>
          </w:p>
        </w:tc>
        <w:tc>
          <w:tcPr>
            <w:tcW w:w="950" w:type="dxa"/>
            <w:tcBorders>
              <w:left w:val="single" w:color="000000" w:sz="4" w:space="0"/>
              <w:right w:val="single" w:color="000000" w:sz="4" w:space="0"/>
            </w:tcBorders>
            <w:vAlign w:val="center"/>
          </w:tcPr>
          <w:p w14:paraId="43DE6405">
            <w:pPr>
              <w:shd w:val="clear"/>
              <w:jc w:val="center"/>
              <w:rPr>
                <w:rFonts w:ascii="宋体" w:hAnsi="宋体" w:cs="宋体"/>
                <w:color w:val="auto"/>
                <w:sz w:val="24"/>
                <w:szCs w:val="24"/>
                <w:highlight w:val="none"/>
              </w:rPr>
            </w:pPr>
          </w:p>
        </w:tc>
        <w:tc>
          <w:tcPr>
            <w:tcW w:w="1563" w:type="dxa"/>
            <w:tcBorders>
              <w:left w:val="single" w:color="000000" w:sz="4" w:space="0"/>
              <w:right w:val="single" w:color="000000" w:sz="4" w:space="0"/>
            </w:tcBorders>
            <w:vAlign w:val="center"/>
          </w:tcPr>
          <w:p w14:paraId="566DF1DF">
            <w:pPr>
              <w:shd w:val="clear"/>
              <w:jc w:val="center"/>
              <w:rPr>
                <w:rFonts w:ascii="宋体" w:hAnsi="宋体" w:cs="宋体"/>
                <w:color w:val="auto"/>
                <w:sz w:val="24"/>
                <w:szCs w:val="24"/>
                <w:highlight w:val="none"/>
              </w:rPr>
            </w:pPr>
          </w:p>
        </w:tc>
        <w:tc>
          <w:tcPr>
            <w:tcW w:w="1091" w:type="dxa"/>
            <w:tcBorders>
              <w:left w:val="single" w:color="000000" w:sz="4" w:space="0"/>
              <w:right w:val="single" w:color="000000" w:sz="4" w:space="0"/>
            </w:tcBorders>
            <w:vAlign w:val="center"/>
          </w:tcPr>
          <w:p w14:paraId="79A81E3E">
            <w:pPr>
              <w:shd w:val="clear"/>
              <w:jc w:val="center"/>
              <w:rPr>
                <w:rFonts w:ascii="宋体" w:hAnsi="宋体" w:cs="宋体"/>
                <w:color w:val="auto"/>
                <w:sz w:val="24"/>
                <w:szCs w:val="24"/>
                <w:highlight w:val="none"/>
              </w:rPr>
            </w:pPr>
          </w:p>
        </w:tc>
      </w:tr>
      <w:tr w14:paraId="0113F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0" w:hRule="atLeast"/>
          <w:jc w:val="center"/>
        </w:trPr>
        <w:tc>
          <w:tcPr>
            <w:tcW w:w="591" w:type="dxa"/>
            <w:tcBorders>
              <w:left w:val="single" w:color="000000" w:sz="4" w:space="0"/>
              <w:right w:val="single" w:color="000000" w:sz="4" w:space="0"/>
            </w:tcBorders>
            <w:vAlign w:val="center"/>
          </w:tcPr>
          <w:p w14:paraId="29EA7A30">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w:t>
            </w:r>
          </w:p>
        </w:tc>
        <w:tc>
          <w:tcPr>
            <w:tcW w:w="1378" w:type="dxa"/>
            <w:tcBorders>
              <w:left w:val="single" w:color="000000" w:sz="4" w:space="0"/>
              <w:right w:val="single" w:color="000000" w:sz="4" w:space="0"/>
            </w:tcBorders>
            <w:vAlign w:val="center"/>
          </w:tcPr>
          <w:p w14:paraId="25B82EAD">
            <w:pPr>
              <w:shd w:val="clear"/>
              <w:jc w:val="center"/>
              <w:rPr>
                <w:rFonts w:ascii="宋体" w:hAnsi="宋体" w:cs="宋体"/>
                <w:color w:val="auto"/>
                <w:sz w:val="24"/>
                <w:szCs w:val="24"/>
                <w:highlight w:val="none"/>
              </w:rPr>
            </w:pPr>
          </w:p>
        </w:tc>
        <w:tc>
          <w:tcPr>
            <w:tcW w:w="1918" w:type="dxa"/>
            <w:tcBorders>
              <w:left w:val="single" w:color="000000" w:sz="4" w:space="0"/>
              <w:right w:val="single" w:color="000000" w:sz="4" w:space="0"/>
            </w:tcBorders>
            <w:vAlign w:val="center"/>
          </w:tcPr>
          <w:p w14:paraId="5F0A1881">
            <w:pPr>
              <w:shd w:val="clear"/>
              <w:jc w:val="center"/>
              <w:rPr>
                <w:rFonts w:ascii="宋体" w:hAnsi="宋体" w:cs="宋体"/>
                <w:color w:val="auto"/>
                <w:sz w:val="24"/>
                <w:szCs w:val="24"/>
                <w:highlight w:val="none"/>
              </w:rPr>
            </w:pPr>
          </w:p>
        </w:tc>
        <w:tc>
          <w:tcPr>
            <w:tcW w:w="1211" w:type="dxa"/>
            <w:tcBorders>
              <w:left w:val="single" w:color="000000" w:sz="4" w:space="0"/>
              <w:right w:val="single" w:color="000000" w:sz="4" w:space="0"/>
            </w:tcBorders>
            <w:vAlign w:val="center"/>
          </w:tcPr>
          <w:p w14:paraId="2C3D2487">
            <w:pPr>
              <w:shd w:val="clear"/>
              <w:jc w:val="center"/>
              <w:rPr>
                <w:rFonts w:ascii="宋体" w:hAnsi="宋体" w:cs="宋体"/>
                <w:color w:val="auto"/>
                <w:sz w:val="24"/>
                <w:szCs w:val="24"/>
                <w:highlight w:val="none"/>
              </w:rPr>
            </w:pPr>
          </w:p>
        </w:tc>
        <w:tc>
          <w:tcPr>
            <w:tcW w:w="1075" w:type="dxa"/>
            <w:tcBorders>
              <w:left w:val="single" w:color="000000" w:sz="4" w:space="0"/>
              <w:right w:val="single" w:color="000000" w:sz="4" w:space="0"/>
            </w:tcBorders>
            <w:vAlign w:val="center"/>
          </w:tcPr>
          <w:p w14:paraId="6D10D16F">
            <w:pPr>
              <w:shd w:val="clear"/>
              <w:jc w:val="center"/>
              <w:rPr>
                <w:rFonts w:ascii="宋体" w:hAnsi="宋体" w:cs="宋体"/>
                <w:color w:val="auto"/>
                <w:sz w:val="24"/>
                <w:szCs w:val="24"/>
                <w:highlight w:val="none"/>
              </w:rPr>
            </w:pPr>
          </w:p>
        </w:tc>
        <w:tc>
          <w:tcPr>
            <w:tcW w:w="950" w:type="dxa"/>
            <w:tcBorders>
              <w:left w:val="single" w:color="000000" w:sz="4" w:space="0"/>
              <w:right w:val="single" w:color="000000" w:sz="4" w:space="0"/>
            </w:tcBorders>
            <w:vAlign w:val="center"/>
          </w:tcPr>
          <w:p w14:paraId="5788BD9F">
            <w:pPr>
              <w:shd w:val="clear"/>
              <w:jc w:val="center"/>
              <w:rPr>
                <w:rFonts w:ascii="宋体" w:hAnsi="宋体" w:cs="宋体"/>
                <w:color w:val="auto"/>
                <w:sz w:val="24"/>
                <w:szCs w:val="24"/>
                <w:highlight w:val="none"/>
              </w:rPr>
            </w:pPr>
          </w:p>
        </w:tc>
        <w:tc>
          <w:tcPr>
            <w:tcW w:w="1563" w:type="dxa"/>
            <w:tcBorders>
              <w:left w:val="single" w:color="000000" w:sz="4" w:space="0"/>
              <w:right w:val="single" w:color="000000" w:sz="4" w:space="0"/>
            </w:tcBorders>
            <w:vAlign w:val="center"/>
          </w:tcPr>
          <w:p w14:paraId="4A7E1DD6">
            <w:pPr>
              <w:shd w:val="clear"/>
              <w:jc w:val="center"/>
              <w:rPr>
                <w:rFonts w:ascii="宋体" w:hAnsi="宋体" w:cs="宋体"/>
                <w:color w:val="auto"/>
                <w:sz w:val="24"/>
                <w:szCs w:val="24"/>
                <w:highlight w:val="none"/>
              </w:rPr>
            </w:pPr>
          </w:p>
        </w:tc>
        <w:tc>
          <w:tcPr>
            <w:tcW w:w="1091" w:type="dxa"/>
            <w:tcBorders>
              <w:left w:val="single" w:color="000000" w:sz="4" w:space="0"/>
              <w:right w:val="single" w:color="000000" w:sz="4" w:space="0"/>
            </w:tcBorders>
            <w:vAlign w:val="center"/>
          </w:tcPr>
          <w:p w14:paraId="149835B2">
            <w:pPr>
              <w:shd w:val="clear"/>
              <w:jc w:val="center"/>
              <w:rPr>
                <w:rFonts w:ascii="宋体" w:hAnsi="宋体" w:cs="宋体"/>
                <w:color w:val="auto"/>
                <w:sz w:val="24"/>
                <w:szCs w:val="24"/>
                <w:highlight w:val="none"/>
              </w:rPr>
            </w:pPr>
          </w:p>
        </w:tc>
      </w:tr>
      <w:tr w14:paraId="17C58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0" w:hRule="atLeast"/>
          <w:jc w:val="center"/>
        </w:trPr>
        <w:tc>
          <w:tcPr>
            <w:tcW w:w="9777" w:type="dxa"/>
            <w:gridSpan w:val="8"/>
            <w:tcBorders>
              <w:left w:val="single" w:color="000000" w:sz="4" w:space="0"/>
              <w:right w:val="single" w:color="000000" w:sz="4" w:space="0"/>
            </w:tcBorders>
            <w:vAlign w:val="center"/>
          </w:tcPr>
          <w:p w14:paraId="66EA8830">
            <w:pPr>
              <w:shd w:val="clear"/>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w:t>
            </w:r>
          </w:p>
        </w:tc>
      </w:tr>
      <w:tr w14:paraId="63288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0" w:hRule="atLeast"/>
          <w:jc w:val="center"/>
        </w:trPr>
        <w:tc>
          <w:tcPr>
            <w:tcW w:w="591" w:type="dxa"/>
            <w:tcBorders>
              <w:left w:val="single" w:color="000000" w:sz="4" w:space="0"/>
              <w:right w:val="single" w:color="000000" w:sz="4" w:space="0"/>
            </w:tcBorders>
            <w:vAlign w:val="center"/>
          </w:tcPr>
          <w:p w14:paraId="0CD1A3CE">
            <w:pPr>
              <w:shd w:val="clea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w:t>
            </w:r>
          </w:p>
        </w:tc>
        <w:tc>
          <w:tcPr>
            <w:tcW w:w="1378" w:type="dxa"/>
            <w:tcBorders>
              <w:left w:val="single" w:color="000000" w:sz="4" w:space="0"/>
              <w:right w:val="single" w:color="000000" w:sz="4" w:space="0"/>
            </w:tcBorders>
            <w:vAlign w:val="center"/>
          </w:tcPr>
          <w:p w14:paraId="0DB83182">
            <w:pPr>
              <w:shd w:val="clear"/>
              <w:jc w:val="center"/>
              <w:rPr>
                <w:rFonts w:ascii="宋体" w:hAnsi="宋体" w:cs="宋体"/>
                <w:color w:val="auto"/>
                <w:sz w:val="24"/>
                <w:szCs w:val="24"/>
                <w:highlight w:val="none"/>
              </w:rPr>
            </w:pPr>
          </w:p>
        </w:tc>
        <w:tc>
          <w:tcPr>
            <w:tcW w:w="1918" w:type="dxa"/>
            <w:tcBorders>
              <w:left w:val="single" w:color="000000" w:sz="4" w:space="0"/>
              <w:right w:val="single" w:color="000000" w:sz="4" w:space="0"/>
            </w:tcBorders>
            <w:vAlign w:val="center"/>
          </w:tcPr>
          <w:p w14:paraId="52E23FCA">
            <w:pPr>
              <w:shd w:val="clear"/>
              <w:jc w:val="center"/>
              <w:rPr>
                <w:rFonts w:ascii="宋体" w:hAnsi="宋体" w:cs="宋体"/>
                <w:color w:val="auto"/>
                <w:sz w:val="24"/>
                <w:szCs w:val="24"/>
                <w:highlight w:val="none"/>
              </w:rPr>
            </w:pPr>
          </w:p>
        </w:tc>
        <w:tc>
          <w:tcPr>
            <w:tcW w:w="1211" w:type="dxa"/>
            <w:tcBorders>
              <w:left w:val="single" w:color="000000" w:sz="4" w:space="0"/>
              <w:right w:val="single" w:color="000000" w:sz="4" w:space="0"/>
            </w:tcBorders>
            <w:vAlign w:val="center"/>
          </w:tcPr>
          <w:p w14:paraId="75239F96">
            <w:pPr>
              <w:shd w:val="clear"/>
              <w:jc w:val="center"/>
              <w:rPr>
                <w:rFonts w:ascii="宋体" w:hAnsi="宋体" w:cs="宋体"/>
                <w:color w:val="auto"/>
                <w:sz w:val="24"/>
                <w:szCs w:val="24"/>
                <w:highlight w:val="none"/>
              </w:rPr>
            </w:pPr>
          </w:p>
        </w:tc>
        <w:tc>
          <w:tcPr>
            <w:tcW w:w="1075" w:type="dxa"/>
            <w:tcBorders>
              <w:left w:val="single" w:color="000000" w:sz="4" w:space="0"/>
              <w:right w:val="single" w:color="000000" w:sz="4" w:space="0"/>
            </w:tcBorders>
            <w:vAlign w:val="center"/>
          </w:tcPr>
          <w:p w14:paraId="21FEF93B">
            <w:pPr>
              <w:shd w:val="clear"/>
              <w:jc w:val="center"/>
              <w:rPr>
                <w:rFonts w:ascii="宋体" w:hAnsi="宋体" w:cs="宋体"/>
                <w:color w:val="auto"/>
                <w:sz w:val="24"/>
                <w:szCs w:val="24"/>
                <w:highlight w:val="none"/>
              </w:rPr>
            </w:pPr>
          </w:p>
        </w:tc>
        <w:tc>
          <w:tcPr>
            <w:tcW w:w="950" w:type="dxa"/>
            <w:tcBorders>
              <w:left w:val="single" w:color="000000" w:sz="4" w:space="0"/>
              <w:right w:val="single" w:color="000000" w:sz="4" w:space="0"/>
            </w:tcBorders>
            <w:vAlign w:val="center"/>
          </w:tcPr>
          <w:p w14:paraId="4D916B87">
            <w:pPr>
              <w:shd w:val="clear"/>
              <w:jc w:val="center"/>
              <w:rPr>
                <w:rFonts w:ascii="宋体" w:hAnsi="宋体" w:cs="宋体"/>
                <w:color w:val="auto"/>
                <w:sz w:val="24"/>
                <w:szCs w:val="24"/>
                <w:highlight w:val="none"/>
              </w:rPr>
            </w:pPr>
          </w:p>
        </w:tc>
        <w:tc>
          <w:tcPr>
            <w:tcW w:w="1563" w:type="dxa"/>
            <w:tcBorders>
              <w:left w:val="single" w:color="000000" w:sz="4" w:space="0"/>
              <w:right w:val="single" w:color="000000" w:sz="4" w:space="0"/>
            </w:tcBorders>
            <w:vAlign w:val="center"/>
          </w:tcPr>
          <w:p w14:paraId="59FFB951">
            <w:pPr>
              <w:shd w:val="clear"/>
              <w:jc w:val="center"/>
              <w:rPr>
                <w:rFonts w:ascii="宋体" w:hAnsi="宋体" w:cs="宋体"/>
                <w:color w:val="auto"/>
                <w:sz w:val="24"/>
                <w:szCs w:val="24"/>
                <w:highlight w:val="none"/>
              </w:rPr>
            </w:pPr>
          </w:p>
        </w:tc>
        <w:tc>
          <w:tcPr>
            <w:tcW w:w="1091" w:type="dxa"/>
            <w:tcBorders>
              <w:left w:val="single" w:color="000000" w:sz="4" w:space="0"/>
              <w:right w:val="single" w:color="000000" w:sz="4" w:space="0"/>
            </w:tcBorders>
            <w:vAlign w:val="center"/>
          </w:tcPr>
          <w:p w14:paraId="30176565">
            <w:pPr>
              <w:shd w:val="clear"/>
              <w:jc w:val="center"/>
              <w:rPr>
                <w:rFonts w:ascii="宋体" w:hAnsi="宋体" w:cs="宋体"/>
                <w:color w:val="auto"/>
                <w:sz w:val="24"/>
                <w:szCs w:val="24"/>
                <w:highlight w:val="none"/>
              </w:rPr>
            </w:pPr>
          </w:p>
        </w:tc>
      </w:tr>
      <w:tr w14:paraId="6AC69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9" w:hRule="atLeast"/>
          <w:jc w:val="center"/>
        </w:trPr>
        <w:tc>
          <w:tcPr>
            <w:tcW w:w="9777" w:type="dxa"/>
            <w:gridSpan w:val="8"/>
            <w:tcBorders>
              <w:left w:val="single" w:color="000000" w:sz="4" w:space="0"/>
              <w:right w:val="single" w:color="000000" w:sz="4" w:space="0"/>
            </w:tcBorders>
            <w:vAlign w:val="center"/>
          </w:tcPr>
          <w:p w14:paraId="67378C7A">
            <w:pPr>
              <w:shd w:val="clear"/>
              <w:rPr>
                <w:rFonts w:ascii="宋体" w:hAnsi="宋体" w:cs="宋体"/>
                <w:color w:val="auto"/>
                <w:sz w:val="24"/>
                <w:szCs w:val="24"/>
                <w:highlight w:val="none"/>
              </w:rPr>
            </w:pPr>
            <w:r>
              <w:rPr>
                <w:rFonts w:hint="eastAsia" w:ascii="宋体" w:hAnsi="宋体" w:cs="宋体"/>
                <w:color w:val="auto"/>
                <w:sz w:val="24"/>
                <w:szCs w:val="24"/>
                <w:highlight w:val="none"/>
              </w:rPr>
              <w:t>报价合计（包含税费等所有费用）：（大写）人民币</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tc>
      </w:tr>
      <w:tr w14:paraId="29043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jc w:val="center"/>
        </w:trPr>
        <w:tc>
          <w:tcPr>
            <w:tcW w:w="9777" w:type="dxa"/>
            <w:gridSpan w:val="8"/>
            <w:tcBorders>
              <w:left w:val="single" w:color="000000" w:sz="4" w:space="0"/>
              <w:right w:val="single" w:color="000000" w:sz="4" w:space="0"/>
            </w:tcBorders>
            <w:vAlign w:val="center"/>
          </w:tcPr>
          <w:p w14:paraId="42E056C6">
            <w:pPr>
              <w:shd w:val="clea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交货期</w:t>
            </w:r>
            <w:r>
              <w:rPr>
                <w:rFonts w:hint="eastAsia" w:ascii="宋体" w:hAnsi="宋体" w:cs="宋体"/>
                <w:color w:val="auto"/>
                <w:sz w:val="24"/>
                <w:szCs w:val="24"/>
                <w:highlight w:val="none"/>
              </w:rPr>
              <w:t>：</w:t>
            </w:r>
          </w:p>
        </w:tc>
      </w:tr>
      <w:tr w14:paraId="637C8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0" w:hRule="atLeast"/>
          <w:jc w:val="center"/>
        </w:trPr>
        <w:tc>
          <w:tcPr>
            <w:tcW w:w="9777" w:type="dxa"/>
            <w:gridSpan w:val="8"/>
            <w:tcBorders>
              <w:left w:val="single" w:color="000000" w:sz="4" w:space="0"/>
              <w:right w:val="single" w:color="000000" w:sz="4" w:space="0"/>
            </w:tcBorders>
            <w:vAlign w:val="center"/>
          </w:tcPr>
          <w:p w14:paraId="7AAED0AC">
            <w:pPr>
              <w:shd w:val="clear"/>
              <w:rPr>
                <w:rFonts w:ascii="宋体" w:hAnsi="宋体" w:cs="宋体"/>
                <w:color w:val="auto"/>
                <w:sz w:val="24"/>
                <w:szCs w:val="24"/>
                <w:highlight w:val="none"/>
              </w:rPr>
            </w:pPr>
            <w:r>
              <w:rPr>
                <w:rFonts w:hint="eastAsia" w:ascii="宋体" w:hAnsi="宋体" w:cs="宋体"/>
                <w:color w:val="auto"/>
                <w:sz w:val="24"/>
                <w:szCs w:val="24"/>
                <w:highlight w:val="none"/>
              </w:rPr>
              <w:t>验收标准：</w:t>
            </w:r>
          </w:p>
        </w:tc>
      </w:tr>
    </w:tbl>
    <w:p w14:paraId="27BD38D5">
      <w:pPr>
        <w:shd w:val="clear"/>
        <w:rPr>
          <w:rFonts w:ascii="宋体" w:hAnsi="宋体" w:cs="宋体"/>
          <w:color w:val="auto"/>
          <w:sz w:val="24"/>
          <w:highlight w:val="none"/>
        </w:rPr>
      </w:pPr>
    </w:p>
    <w:p w14:paraId="1A33EC8F">
      <w:pPr>
        <w:shd w:val="clear"/>
        <w:snapToGrid w:val="0"/>
        <w:spacing w:before="50" w:after="50"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注： </w:t>
      </w:r>
    </w:p>
    <w:p w14:paraId="5B822A71">
      <w:pPr>
        <w:shd w:val="clear"/>
        <w:snapToGrid w:val="0"/>
        <w:spacing w:before="50" w:after="50"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1.供应商的</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报价表必须加盖</w:t>
      </w:r>
      <w:r>
        <w:rPr>
          <w:rFonts w:hint="eastAsia" w:ascii="宋体" w:hAnsi="宋体" w:cs="宋体"/>
          <w:color w:val="auto"/>
          <w:sz w:val="24"/>
          <w:highlight w:val="none"/>
          <w:lang w:val="en-US" w:eastAsia="zh-CN"/>
        </w:rPr>
        <w:t>供应商公章（或电子签章）</w:t>
      </w:r>
      <w:r>
        <w:rPr>
          <w:rFonts w:hint="eastAsia" w:ascii="宋体" w:hAnsi="宋体" w:cs="宋体"/>
          <w:color w:val="auto"/>
          <w:sz w:val="24"/>
          <w:highlight w:val="none"/>
        </w:rPr>
        <w:t>，</w:t>
      </w:r>
      <w:r>
        <w:rPr>
          <w:rFonts w:hint="eastAsia" w:ascii="宋体" w:hAnsi="宋体" w:cs="宋体"/>
          <w:b/>
          <w:color w:val="auto"/>
          <w:sz w:val="24"/>
          <w:highlight w:val="none"/>
        </w:rPr>
        <w:t>否则其响应文件按无效响应处理</w:t>
      </w:r>
      <w:r>
        <w:rPr>
          <w:rFonts w:hint="eastAsia" w:ascii="宋体" w:hAnsi="宋体" w:cs="宋体"/>
          <w:color w:val="auto"/>
          <w:sz w:val="24"/>
          <w:highlight w:val="none"/>
        </w:rPr>
        <w:t>。</w:t>
      </w:r>
    </w:p>
    <w:p w14:paraId="5BCE8145">
      <w:pPr>
        <w:shd w:val="clear"/>
        <w:snapToGrid w:val="0"/>
        <w:spacing w:before="50" w:after="50" w:line="360" w:lineRule="auto"/>
        <w:ind w:firstLine="480" w:firstLineChars="200"/>
        <w:jc w:val="left"/>
        <w:rPr>
          <w:rFonts w:ascii="宋体" w:hAnsi="宋体" w:cs="宋体"/>
          <w:color w:val="auto"/>
          <w:sz w:val="24"/>
          <w:highlight w:val="none"/>
        </w:rPr>
      </w:pPr>
      <w:r>
        <w:rPr>
          <w:rFonts w:hint="eastAsia" w:ascii="宋体" w:hAnsi="宋体" w:cs="宋体"/>
          <w:bCs/>
          <w:color w:val="auto"/>
          <w:sz w:val="24"/>
          <w:highlight w:val="none"/>
        </w:rPr>
        <w:t>2.</w:t>
      </w:r>
      <w:r>
        <w:rPr>
          <w:rFonts w:hint="eastAsia" w:ascii="宋体" w:hAnsi="宋体" w:cs="宋体"/>
          <w:color w:val="auto"/>
          <w:sz w:val="24"/>
          <w:highlight w:val="none"/>
        </w:rPr>
        <w:t>如为联合体</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，“供应商名称”处必须列明联合体各方名称，标注联合体牵头人名称，</w:t>
      </w:r>
      <w:r>
        <w:rPr>
          <w:rFonts w:hint="eastAsia" w:ascii="宋体" w:hAnsi="宋体" w:cs="宋体"/>
          <w:b/>
          <w:color w:val="auto"/>
          <w:sz w:val="24"/>
          <w:highlight w:val="none"/>
        </w:rPr>
        <w:t>否则其响应文件按无效响应处理。</w:t>
      </w:r>
    </w:p>
    <w:p w14:paraId="235FF6C4">
      <w:pPr>
        <w:shd w:val="clear"/>
        <w:snapToGrid w:val="0"/>
        <w:spacing w:before="50" w:after="50"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3.如为联合体</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，盖章处须加盖联合体各方电子公章，</w:t>
      </w:r>
      <w:r>
        <w:rPr>
          <w:rFonts w:hint="eastAsia" w:ascii="宋体" w:hAnsi="宋体" w:cs="宋体"/>
          <w:b/>
          <w:color w:val="auto"/>
          <w:sz w:val="24"/>
          <w:highlight w:val="none"/>
        </w:rPr>
        <w:t>否则其响应文件按无效响应处理。</w:t>
      </w:r>
    </w:p>
    <w:p w14:paraId="58788CEF">
      <w:pPr>
        <w:shd w:val="clear"/>
        <w:snapToGrid w:val="0"/>
        <w:spacing w:before="50" w:after="50" w:line="360" w:lineRule="auto"/>
        <w:ind w:firstLine="480" w:firstLineChars="200"/>
        <w:rPr>
          <w:rFonts w:hint="eastAsia" w:ascii="宋体" w:hAnsi="宋体" w:cs="宋体"/>
          <w:b/>
          <w:color w:val="auto"/>
          <w:spacing w:val="-6"/>
          <w:sz w:val="24"/>
          <w:highlight w:val="none"/>
        </w:rPr>
      </w:pPr>
      <w:r>
        <w:rPr>
          <w:rFonts w:hint="eastAsia" w:ascii="宋体" w:hAnsi="宋体" w:cs="宋体"/>
          <w:color w:val="auto"/>
          <w:sz w:val="24"/>
          <w:highlight w:val="none"/>
        </w:rPr>
        <w:t>4.</w:t>
      </w:r>
      <w:r>
        <w:rPr>
          <w:rFonts w:hint="eastAsia" w:ascii="宋体" w:hAnsi="宋体" w:cs="宋体"/>
          <w:color w:val="auto"/>
          <w:spacing w:val="-6"/>
          <w:sz w:val="24"/>
          <w:highlight w:val="none"/>
        </w:rPr>
        <w:t>如有多分标，分别列明各分标的报价表，</w:t>
      </w:r>
      <w:r>
        <w:rPr>
          <w:rFonts w:hint="eastAsia" w:ascii="宋体" w:hAnsi="宋体" w:cs="宋体"/>
          <w:b/>
          <w:color w:val="auto"/>
          <w:spacing w:val="-6"/>
          <w:sz w:val="24"/>
          <w:highlight w:val="none"/>
        </w:rPr>
        <w:t>否则其响应文件按无效响应处理。</w:t>
      </w:r>
    </w:p>
    <w:p w14:paraId="5BF4EF3A">
      <w:pPr>
        <w:shd w:val="clear"/>
        <w:snapToGrid w:val="0"/>
        <w:spacing w:before="50" w:after="50" w:line="360" w:lineRule="auto"/>
        <w:ind w:firstLine="456" w:firstLineChars="200"/>
        <w:rPr>
          <w:rFonts w:hint="eastAsia" w:ascii="宋体" w:hAnsi="宋体" w:eastAsia="宋体" w:cs="宋体"/>
          <w:color w:val="auto"/>
          <w:spacing w:val="-6"/>
          <w:sz w:val="24"/>
          <w:highlight w:val="none"/>
          <w:lang w:val="zh-CN"/>
        </w:rPr>
      </w:pPr>
      <w:r>
        <w:rPr>
          <w:rFonts w:hint="eastAsia" w:ascii="宋体" w:hAnsi="宋体" w:eastAsia="宋体" w:cs="宋体"/>
          <w:color w:val="auto"/>
          <w:spacing w:val="-6"/>
          <w:sz w:val="24"/>
          <w:highlight w:val="none"/>
          <w:lang w:val="zh-CN"/>
        </w:rPr>
        <w:t>5</w:t>
      </w:r>
      <w:r>
        <w:rPr>
          <w:rFonts w:hint="eastAsia" w:ascii="宋体" w:hAnsi="宋体" w:eastAsia="宋体" w:cs="宋体"/>
          <w:color w:val="auto"/>
          <w:spacing w:val="-6"/>
          <w:sz w:val="24"/>
          <w:highlight w:val="none"/>
        </w:rPr>
        <w:t>.</w:t>
      </w:r>
      <w:r>
        <w:rPr>
          <w:rFonts w:hint="eastAsia" w:ascii="宋体" w:hAnsi="宋体" w:eastAsia="宋体" w:cs="宋体"/>
          <w:color w:val="auto"/>
          <w:spacing w:val="-6"/>
          <w:sz w:val="24"/>
          <w:highlight w:val="none"/>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3A361FEC">
      <w:pPr>
        <w:pStyle w:val="66"/>
        <w:shd w:val="clear"/>
        <w:rPr>
          <w:color w:val="auto"/>
          <w:highlight w:val="none"/>
          <w:lang w:val="zh-CN"/>
        </w:rPr>
      </w:pPr>
    </w:p>
    <w:p w14:paraId="527E0D0B">
      <w:pPr>
        <w:shd w:val="clear"/>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供应商名称（电子签章）：</w:t>
      </w:r>
    </w:p>
    <w:p w14:paraId="78A013C5">
      <w:pPr>
        <w:shd w:val="clear"/>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3187D9DF">
      <w:pPr>
        <w:shd w:val="clea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br w:type="page"/>
      </w:r>
    </w:p>
    <w:p w14:paraId="1753D506">
      <w:pPr>
        <w:shd w:val="clear"/>
        <w:spacing w:line="320" w:lineRule="exact"/>
        <w:rPr>
          <w:rFonts w:ascii="宋体" w:hAnsi="宋体" w:cs="宋体"/>
          <w:b/>
          <w:color w:val="auto"/>
          <w:sz w:val="32"/>
          <w:szCs w:val="32"/>
          <w:highlight w:val="none"/>
        </w:rPr>
      </w:pPr>
      <w:r>
        <w:rPr>
          <w:rFonts w:hint="eastAsia" w:ascii="宋体" w:hAnsi="宋体" w:cs="宋体"/>
          <w:b/>
          <w:color w:val="auto"/>
          <w:sz w:val="32"/>
          <w:szCs w:val="32"/>
          <w:highlight w:val="none"/>
          <w:lang w:val="en-US" w:eastAsia="zh-CN"/>
        </w:rPr>
        <w:t>三</w:t>
      </w:r>
      <w:r>
        <w:rPr>
          <w:rFonts w:hint="eastAsia" w:ascii="宋体" w:hAnsi="宋体" w:cs="宋体"/>
          <w:b/>
          <w:color w:val="auto"/>
          <w:sz w:val="32"/>
          <w:szCs w:val="32"/>
          <w:highlight w:val="none"/>
        </w:rPr>
        <w:t>、中小企业声明函或《残疾人福利性单位声明函》或属于监狱企业的证明文件</w:t>
      </w:r>
    </w:p>
    <w:p w14:paraId="0D267177">
      <w:pPr>
        <w:pStyle w:val="19"/>
        <w:shd w:val="clear"/>
        <w:rPr>
          <w:rFonts w:ascii="宋体" w:hAnsi="宋体" w:cs="宋体"/>
          <w:color w:val="auto"/>
          <w:highlight w:val="none"/>
        </w:rPr>
      </w:pPr>
    </w:p>
    <w:p w14:paraId="3BF37640">
      <w:pPr>
        <w:pStyle w:val="19"/>
        <w:shd w:val="clear"/>
        <w:rPr>
          <w:rFonts w:ascii="宋体" w:hAnsi="宋体" w:cs="宋体"/>
          <w:color w:val="auto"/>
          <w:highlight w:val="none"/>
        </w:rPr>
      </w:pPr>
    </w:p>
    <w:p w14:paraId="4F67C253">
      <w:pPr>
        <w:pStyle w:val="19"/>
        <w:shd w:val="clear"/>
        <w:rPr>
          <w:rFonts w:ascii="宋体" w:hAnsi="宋体" w:cs="宋体"/>
          <w:color w:val="auto"/>
          <w:highlight w:val="none"/>
        </w:rPr>
      </w:pPr>
    </w:p>
    <w:p w14:paraId="17550113">
      <w:pPr>
        <w:shd w:val="clear"/>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中小企业声明函</w:t>
      </w:r>
    </w:p>
    <w:p w14:paraId="13CABB1D">
      <w:pPr>
        <w:shd w:val="clear"/>
        <w:spacing w:line="360" w:lineRule="auto"/>
        <w:rPr>
          <w:rFonts w:ascii="宋体" w:hAnsi="宋体" w:cs="宋体"/>
          <w:color w:val="auto"/>
          <w:sz w:val="24"/>
          <w:highlight w:val="none"/>
        </w:rPr>
      </w:pPr>
      <w:r>
        <w:rPr>
          <w:rFonts w:hint="eastAsia" w:ascii="宋体" w:hAnsi="宋体" w:cs="宋体"/>
          <w:b/>
          <w:bCs/>
          <w:color w:val="auto"/>
          <w:sz w:val="28"/>
          <w:szCs w:val="28"/>
          <w:highlight w:val="none"/>
        </w:rPr>
        <w:t xml:space="preserve">    </w:t>
      </w:r>
      <w:r>
        <w:rPr>
          <w:rFonts w:hint="eastAsia" w:ascii="宋体" w:hAnsi="宋体" w:cs="宋体"/>
          <w:b/>
          <w:bCs/>
          <w:color w:val="auto"/>
          <w:sz w:val="24"/>
          <w:highlight w:val="none"/>
        </w:rPr>
        <w:t xml:space="preserve"> </w:t>
      </w:r>
      <w:r>
        <w:rPr>
          <w:rFonts w:hint="eastAsia" w:ascii="宋体" w:hAnsi="宋体" w:cs="宋体"/>
          <w:color w:val="auto"/>
          <w:sz w:val="24"/>
          <w:highlight w:val="none"/>
        </w:rPr>
        <w:t>本公司（联合体）郑重声明，根据“政府采购促进中小企业发展管理办法”（财库〔2020〕46号）的规定，本公司（联合体）参加</w:t>
      </w:r>
      <w:r>
        <w:rPr>
          <w:rFonts w:hint="eastAsia" w:ascii="宋体" w:hAnsi="宋体" w:cs="宋体"/>
          <w:color w:val="auto"/>
          <w:sz w:val="24"/>
          <w:highlight w:val="none"/>
          <w:u w:val="single"/>
        </w:rPr>
        <w:t xml:space="preserve"> （单位名称）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（项目名称）  </w:t>
      </w:r>
      <w:r>
        <w:rPr>
          <w:rFonts w:hint="eastAsia" w:ascii="宋体" w:hAnsi="宋体" w:cs="宋体"/>
          <w:color w:val="auto"/>
          <w:sz w:val="24"/>
          <w:highlight w:val="none"/>
        </w:rPr>
        <w:t>采购活动，提供的货物全部由符合政策要求的中小企业制造。相关企业（含联合体中的中小企业、签订分包意向协议的中小企业）的具体情况如下：</w:t>
      </w:r>
    </w:p>
    <w:p w14:paraId="2C948D5E">
      <w:pPr>
        <w:numPr>
          <w:ilvl w:val="0"/>
          <w:numId w:val="0"/>
        </w:numPr>
        <w:shd w:val="clear"/>
        <w:spacing w:line="360" w:lineRule="auto"/>
        <w:ind w:firstLine="480" w:firstLineChars="200"/>
        <w:rPr>
          <w:rFonts w:ascii="宋体" w:hAnsi="宋体" w:cs="宋体"/>
          <w:color w:val="auto"/>
          <w:sz w:val="24"/>
          <w:highlight w:val="none"/>
          <w:u w:val="single"/>
        </w:rPr>
      </w:pPr>
      <w:r>
        <w:rPr>
          <w:rFonts w:ascii="宋体" w:hAnsi="宋体" w:eastAsia="宋体" w:cs="宋体"/>
          <w:color w:val="auto"/>
          <w:kern w:val="2"/>
          <w:sz w:val="24"/>
          <w:szCs w:val="24"/>
          <w:highlight w:val="none"/>
          <w:lang w:val="en-US" w:eastAsia="zh-CN" w:bidi="ar-SA"/>
        </w:rPr>
        <w:t>1.</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（标的名称）  </w:t>
      </w:r>
      <w:r>
        <w:rPr>
          <w:rFonts w:hint="eastAsia" w:ascii="宋体" w:hAnsi="宋体" w:cs="宋体"/>
          <w:color w:val="auto"/>
          <w:sz w:val="24"/>
          <w:highlight w:val="none"/>
        </w:rPr>
        <w:t>， 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竞争性</w:t>
      </w:r>
      <w:r>
        <w:rPr>
          <w:rFonts w:hint="eastAsia" w:ascii="宋体" w:hAnsi="宋体" w:cs="宋体"/>
          <w:color w:val="auto"/>
          <w:sz w:val="24"/>
          <w:highlight w:val="none"/>
          <w:u w:val="single"/>
        </w:rPr>
        <w:t>谈判文件中明确的所属行业） ；</w:t>
      </w:r>
      <w:r>
        <w:rPr>
          <w:rFonts w:hint="eastAsia" w:ascii="宋体" w:hAnsi="宋体" w:cs="宋体"/>
          <w:color w:val="auto"/>
          <w:sz w:val="24"/>
          <w:highlight w:val="none"/>
        </w:rPr>
        <w:t>承接企业为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 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w:t>
      </w:r>
    </w:p>
    <w:p w14:paraId="14779FF6">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（标的名称）  </w:t>
      </w:r>
      <w:r>
        <w:rPr>
          <w:rFonts w:hint="eastAsia" w:ascii="宋体" w:hAnsi="宋体" w:cs="宋体"/>
          <w:color w:val="auto"/>
          <w:sz w:val="24"/>
          <w:highlight w:val="none"/>
        </w:rPr>
        <w:t>， 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竞争性</w:t>
      </w:r>
      <w:r>
        <w:rPr>
          <w:rFonts w:hint="eastAsia" w:ascii="宋体" w:hAnsi="宋体" w:cs="宋体"/>
          <w:color w:val="auto"/>
          <w:sz w:val="24"/>
          <w:highlight w:val="none"/>
          <w:u w:val="single"/>
        </w:rPr>
        <w:t>谈判文件中明确的所属行业） ；</w:t>
      </w:r>
      <w:r>
        <w:rPr>
          <w:rFonts w:hint="eastAsia" w:ascii="宋体" w:hAnsi="宋体" w:cs="宋体"/>
          <w:color w:val="auto"/>
          <w:sz w:val="24"/>
          <w:highlight w:val="none"/>
        </w:rPr>
        <w:t>承接企业为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 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w:t>
      </w:r>
    </w:p>
    <w:p w14:paraId="3B56B652">
      <w:pPr>
        <w:shd w:val="clear"/>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w:t>
      </w:r>
    </w:p>
    <w:p w14:paraId="2AE24A6A">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7EB9631E">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704A172A">
      <w:pPr>
        <w:shd w:val="clear"/>
        <w:spacing w:line="360" w:lineRule="auto"/>
        <w:ind w:firstLine="4320" w:firstLineChars="1800"/>
        <w:rPr>
          <w:rFonts w:ascii="宋体" w:hAnsi="宋体" w:cs="宋体"/>
          <w:color w:val="auto"/>
          <w:sz w:val="24"/>
          <w:highlight w:val="none"/>
        </w:rPr>
      </w:pPr>
    </w:p>
    <w:p w14:paraId="67B45296">
      <w:pPr>
        <w:shd w:val="clear"/>
        <w:spacing w:line="360" w:lineRule="auto"/>
        <w:ind w:firstLine="4320" w:firstLineChars="1800"/>
        <w:rPr>
          <w:rFonts w:ascii="宋体" w:hAnsi="宋体" w:cs="宋体"/>
          <w:color w:val="auto"/>
          <w:sz w:val="24"/>
          <w:highlight w:val="none"/>
        </w:rPr>
      </w:pPr>
      <w:r>
        <w:rPr>
          <w:rFonts w:hint="eastAsia" w:ascii="宋体" w:hAnsi="宋体" w:cs="宋体"/>
          <w:color w:val="auto"/>
          <w:sz w:val="24"/>
          <w:highlight w:val="none"/>
        </w:rPr>
        <w:t>供应商名称（电子签章）：</w:t>
      </w:r>
    </w:p>
    <w:p w14:paraId="6432F6D3">
      <w:pPr>
        <w:shd w:val="clear"/>
        <w:spacing w:line="360" w:lineRule="auto"/>
        <w:ind w:firstLine="4320" w:firstLineChars="1800"/>
        <w:rPr>
          <w:rFonts w:ascii="宋体" w:hAnsi="宋体" w:cs="宋体"/>
          <w:color w:val="auto"/>
          <w:sz w:val="24"/>
          <w:highlight w:val="none"/>
        </w:rPr>
      </w:pPr>
      <w:r>
        <w:rPr>
          <w:rFonts w:hint="eastAsia" w:ascii="宋体" w:hAnsi="宋体" w:cs="宋体"/>
          <w:color w:val="auto"/>
          <w:sz w:val="24"/>
          <w:highlight w:val="none"/>
        </w:rPr>
        <w:t>日期：  年  月   日</w:t>
      </w:r>
    </w:p>
    <w:p w14:paraId="0DAB809B">
      <w:pPr>
        <w:shd w:val="clear"/>
        <w:spacing w:line="360" w:lineRule="auto"/>
        <w:ind w:firstLine="4320" w:firstLineChars="1800"/>
        <w:rPr>
          <w:rFonts w:ascii="宋体" w:hAnsi="宋体" w:cs="宋体"/>
          <w:color w:val="auto"/>
          <w:sz w:val="24"/>
          <w:highlight w:val="none"/>
        </w:rPr>
      </w:pPr>
    </w:p>
    <w:p w14:paraId="13EC96EA">
      <w:pPr>
        <w:shd w:val="clear"/>
        <w:spacing w:line="360" w:lineRule="auto"/>
        <w:rPr>
          <w:rFonts w:ascii="宋体" w:hAnsi="宋体" w:cs="宋体"/>
          <w:b/>
          <w:bCs/>
          <w:color w:val="auto"/>
          <w:sz w:val="24"/>
          <w:highlight w:val="none"/>
        </w:rPr>
      </w:pPr>
      <w:r>
        <w:rPr>
          <w:rFonts w:hint="eastAsia" w:ascii="宋体" w:hAnsi="宋体" w:cs="宋体"/>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20F3FE36">
      <w:pPr>
        <w:pStyle w:val="19"/>
        <w:shd w:val="clear"/>
        <w:spacing w:line="276" w:lineRule="auto"/>
        <w:rPr>
          <w:rFonts w:ascii="宋体" w:hAnsi="宋体" w:cs="宋体"/>
          <w:color w:val="auto"/>
          <w:sz w:val="24"/>
          <w:szCs w:val="24"/>
          <w:highlight w:val="none"/>
        </w:rPr>
      </w:pPr>
    </w:p>
    <w:p w14:paraId="165045E1">
      <w:pPr>
        <w:pStyle w:val="19"/>
        <w:shd w:val="clear"/>
        <w:spacing w:line="276" w:lineRule="auto"/>
        <w:rPr>
          <w:rFonts w:ascii="宋体" w:hAnsi="宋体" w:cs="宋体"/>
          <w:color w:val="auto"/>
          <w:sz w:val="24"/>
          <w:szCs w:val="24"/>
          <w:highlight w:val="none"/>
        </w:rPr>
      </w:pPr>
    </w:p>
    <w:p w14:paraId="493D7315">
      <w:pPr>
        <w:shd w:val="clear"/>
        <w:spacing w:line="520" w:lineRule="exact"/>
        <w:jc w:val="center"/>
        <w:rPr>
          <w:rFonts w:ascii="宋体" w:hAnsi="宋体" w:cs="宋体"/>
          <w:color w:val="auto"/>
          <w:sz w:val="32"/>
          <w:szCs w:val="32"/>
          <w:highlight w:val="none"/>
        </w:rPr>
      </w:pPr>
      <w:r>
        <w:rPr>
          <w:rFonts w:hint="eastAsia" w:ascii="宋体" w:hAnsi="宋体" w:cs="宋体"/>
          <w:color w:val="auto"/>
          <w:sz w:val="24"/>
          <w:highlight w:val="none"/>
        </w:rPr>
        <w:br w:type="page"/>
      </w:r>
      <w:r>
        <w:rPr>
          <w:rFonts w:hint="eastAsia" w:ascii="宋体" w:hAnsi="宋体" w:cs="宋体"/>
          <w:b/>
          <w:bCs/>
          <w:color w:val="auto"/>
          <w:sz w:val="32"/>
          <w:szCs w:val="32"/>
          <w:highlight w:val="none"/>
        </w:rPr>
        <w:t>残疾人福利性单位声明函</w:t>
      </w:r>
    </w:p>
    <w:p w14:paraId="361DD850">
      <w:pPr>
        <w:shd w:val="clear"/>
        <w:spacing w:line="520" w:lineRule="exact"/>
        <w:rPr>
          <w:rFonts w:ascii="宋体" w:hAnsi="宋体" w:cs="宋体"/>
          <w:color w:val="auto"/>
          <w:sz w:val="32"/>
          <w:szCs w:val="32"/>
          <w:highlight w:val="none"/>
        </w:rPr>
      </w:pPr>
    </w:p>
    <w:p w14:paraId="38442DA2">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单位的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3797FC75">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24285EE0">
      <w:pPr>
        <w:shd w:val="clear"/>
        <w:spacing w:line="360" w:lineRule="auto"/>
        <w:rPr>
          <w:rFonts w:ascii="宋体" w:hAnsi="宋体" w:cs="宋体"/>
          <w:color w:val="auto"/>
          <w:sz w:val="24"/>
          <w:highlight w:val="none"/>
        </w:rPr>
      </w:pPr>
    </w:p>
    <w:p w14:paraId="6F28D92B">
      <w:pPr>
        <w:shd w:val="clear"/>
        <w:spacing w:line="360" w:lineRule="auto"/>
        <w:rPr>
          <w:rFonts w:ascii="宋体" w:hAnsi="宋体" w:cs="宋体"/>
          <w:color w:val="auto"/>
          <w:sz w:val="24"/>
          <w:highlight w:val="none"/>
        </w:rPr>
      </w:pPr>
    </w:p>
    <w:p w14:paraId="1B0BE83E">
      <w:pPr>
        <w:shd w:val="clear"/>
        <w:spacing w:line="276" w:lineRule="auto"/>
        <w:ind w:firstLine="4320" w:firstLineChars="1800"/>
        <w:rPr>
          <w:rFonts w:ascii="宋体" w:hAnsi="宋体" w:cs="宋体"/>
          <w:color w:val="auto"/>
          <w:sz w:val="24"/>
          <w:highlight w:val="none"/>
        </w:rPr>
      </w:pPr>
    </w:p>
    <w:p w14:paraId="01DA6DBA">
      <w:pPr>
        <w:shd w:val="clear"/>
        <w:spacing w:line="276" w:lineRule="auto"/>
        <w:ind w:firstLine="4320" w:firstLineChars="1800"/>
        <w:rPr>
          <w:rFonts w:ascii="宋体" w:hAnsi="宋体" w:cs="宋体"/>
          <w:color w:val="auto"/>
          <w:sz w:val="24"/>
          <w:highlight w:val="none"/>
        </w:rPr>
      </w:pPr>
      <w:r>
        <w:rPr>
          <w:rFonts w:hint="eastAsia" w:ascii="宋体" w:hAnsi="宋体" w:cs="宋体"/>
          <w:color w:val="auto"/>
          <w:sz w:val="24"/>
          <w:highlight w:val="none"/>
        </w:rPr>
        <w:t>供应商名称（电子签章）：</w:t>
      </w:r>
    </w:p>
    <w:p w14:paraId="45C46E58">
      <w:pPr>
        <w:shd w:val="clear"/>
        <w:spacing w:line="276" w:lineRule="auto"/>
        <w:ind w:firstLine="4320" w:firstLineChars="1800"/>
        <w:rPr>
          <w:rFonts w:ascii="宋体" w:hAnsi="宋体" w:cs="宋体"/>
          <w:color w:val="auto"/>
          <w:sz w:val="24"/>
          <w:highlight w:val="none"/>
        </w:rPr>
      </w:pPr>
      <w:r>
        <w:rPr>
          <w:rFonts w:hint="eastAsia" w:ascii="宋体" w:hAnsi="宋体" w:cs="宋体"/>
          <w:color w:val="auto"/>
          <w:sz w:val="24"/>
          <w:highlight w:val="none"/>
        </w:rPr>
        <w:t>日期：  年  月   日</w:t>
      </w:r>
    </w:p>
    <w:p w14:paraId="7F384694">
      <w:pPr>
        <w:shd w:val="clear"/>
        <w:spacing w:line="360" w:lineRule="auto"/>
        <w:rPr>
          <w:rFonts w:ascii="宋体" w:hAnsi="宋体" w:cs="宋体"/>
          <w:color w:val="auto"/>
          <w:sz w:val="24"/>
          <w:highlight w:val="none"/>
        </w:rPr>
      </w:pPr>
    </w:p>
    <w:p w14:paraId="2D8D0DF3">
      <w:pPr>
        <w:shd w:val="clear"/>
        <w:spacing w:line="360" w:lineRule="auto"/>
        <w:rPr>
          <w:rFonts w:ascii="宋体" w:hAnsi="宋体" w:cs="宋体"/>
          <w:color w:val="auto"/>
          <w:sz w:val="24"/>
          <w:highlight w:val="none"/>
        </w:rPr>
      </w:pPr>
    </w:p>
    <w:p w14:paraId="4A9137E9">
      <w:pPr>
        <w:shd w:val="clear"/>
        <w:spacing w:line="360" w:lineRule="auto"/>
        <w:rPr>
          <w:rFonts w:ascii="宋体" w:hAnsi="宋体" w:cs="宋体"/>
          <w:color w:val="auto"/>
          <w:sz w:val="24"/>
          <w:highlight w:val="none"/>
        </w:rPr>
      </w:pPr>
    </w:p>
    <w:p w14:paraId="7059B3B3">
      <w:pPr>
        <w:shd w:val="clear"/>
        <w:spacing w:line="360" w:lineRule="auto"/>
        <w:rPr>
          <w:rFonts w:ascii="宋体" w:hAnsi="宋体" w:cs="宋体"/>
          <w:color w:val="auto"/>
          <w:sz w:val="24"/>
          <w:highlight w:val="none"/>
        </w:rPr>
      </w:pPr>
      <w:r>
        <w:rPr>
          <w:rFonts w:hint="eastAsia" w:ascii="宋体" w:hAnsi="宋体" w:cs="宋体"/>
          <w:color w:val="auto"/>
          <w:sz w:val="24"/>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15B0809C">
      <w:pPr>
        <w:pStyle w:val="19"/>
        <w:shd w:val="clear"/>
        <w:spacing w:line="276" w:lineRule="auto"/>
        <w:rPr>
          <w:rFonts w:ascii="宋体" w:hAnsi="宋体" w:cs="宋体"/>
          <w:color w:val="auto"/>
          <w:sz w:val="24"/>
          <w:szCs w:val="24"/>
          <w:highlight w:val="none"/>
        </w:rPr>
      </w:pPr>
    </w:p>
    <w:p w14:paraId="00DB2054">
      <w:pPr>
        <w:pStyle w:val="19"/>
        <w:shd w:val="clear"/>
        <w:rPr>
          <w:rFonts w:ascii="宋体" w:hAnsi="宋体" w:cs="宋体"/>
          <w:color w:val="auto"/>
          <w:sz w:val="24"/>
          <w:szCs w:val="24"/>
          <w:highlight w:val="none"/>
        </w:rPr>
      </w:pPr>
    </w:p>
    <w:p w14:paraId="68CA5062">
      <w:pPr>
        <w:shd w:val="clear"/>
        <w:snapToGrid w:val="0"/>
        <w:spacing w:line="360" w:lineRule="auto"/>
        <w:ind w:firstLine="5160" w:firstLineChars="2150"/>
        <w:rPr>
          <w:rFonts w:ascii="宋体" w:hAnsi="宋体" w:cs="宋体"/>
          <w:color w:val="auto"/>
          <w:kern w:val="0"/>
          <w:sz w:val="24"/>
          <w:highlight w:val="none"/>
          <w:lang w:val="zh-CN"/>
        </w:rPr>
      </w:pPr>
    </w:p>
    <w:p w14:paraId="631E9605">
      <w:pPr>
        <w:shd w:val="clear"/>
        <w:rPr>
          <w:rFonts w:hint="eastAsia" w:ascii="宋体" w:hAnsi="宋体" w:cs="宋体"/>
          <w:b/>
          <w:color w:val="auto"/>
          <w:sz w:val="32"/>
          <w:szCs w:val="32"/>
          <w:highlight w:val="none"/>
        </w:rPr>
      </w:pPr>
      <w:r>
        <w:rPr>
          <w:rFonts w:hint="eastAsia" w:ascii="宋体" w:hAnsi="宋体" w:cs="宋体"/>
          <w:b/>
          <w:color w:val="auto"/>
          <w:sz w:val="32"/>
          <w:szCs w:val="32"/>
          <w:highlight w:val="none"/>
        </w:rPr>
        <w:br w:type="page"/>
      </w:r>
      <w:r>
        <w:rPr>
          <w:rFonts w:hint="eastAsia" w:ascii="宋体" w:hAnsi="宋体" w:cs="宋体"/>
          <w:b/>
          <w:color w:val="auto"/>
          <w:sz w:val="32"/>
          <w:szCs w:val="32"/>
          <w:highlight w:val="none"/>
          <w:lang w:val="en-US" w:eastAsia="zh-CN"/>
        </w:rPr>
        <w:t>四、</w:t>
      </w:r>
      <w:r>
        <w:rPr>
          <w:rFonts w:hint="eastAsia" w:ascii="宋体" w:hAnsi="宋体" w:cs="宋体"/>
          <w:b/>
          <w:color w:val="auto"/>
          <w:sz w:val="32"/>
          <w:szCs w:val="32"/>
          <w:highlight w:val="none"/>
        </w:rPr>
        <w:t>关于符合本国产品标准的声明函</w:t>
      </w:r>
    </w:p>
    <w:p w14:paraId="132EB39A">
      <w:pPr>
        <w:shd w:val="clear"/>
        <w:jc w:val="center"/>
        <w:rPr>
          <w:rFonts w:hint="eastAsia" w:ascii="宋体" w:hAnsi="宋体" w:cs="宋体"/>
          <w:b/>
          <w:bCs/>
          <w:color w:val="auto"/>
          <w:sz w:val="24"/>
          <w:highlight w:val="none"/>
        </w:rPr>
      </w:pPr>
      <w:r>
        <w:rPr>
          <w:rFonts w:hint="eastAsia" w:ascii="宋体" w:hAnsi="宋体" w:cs="宋体"/>
          <w:b/>
          <w:bCs/>
          <w:color w:val="auto"/>
          <w:sz w:val="24"/>
          <w:highlight w:val="none"/>
        </w:rPr>
        <w:t>关于符合本国产品标准的声明函</w:t>
      </w:r>
    </w:p>
    <w:p w14:paraId="4CFEE1E9">
      <w:pPr>
        <w:widowControl/>
        <w:shd w:val="clear" w:color="auto"/>
        <w:spacing w:line="360" w:lineRule="auto"/>
        <w:ind w:firstLine="480" w:firstLineChars="200"/>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本公司(单位)郑重声明，根据《国务院办公厅关于在政府采购中实施本国产品标准及相关政策的通知》(国办发〔2025〕34号)的规定，本公司(单位)提供的以下产品属于本国产品。具体情况如下：</w:t>
      </w:r>
    </w:p>
    <w:p w14:paraId="2BEC1A8C">
      <w:pPr>
        <w:widowControl/>
        <w:shd w:val="clear" w:color="auto"/>
        <w:spacing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1.(产品名称1)1，生产厂为(厂名)2，厂址为(生产厂址)。(产品名称1)的中国境内生产的组件成本占比≥(规定比例)3。(产品名称1)的(关键组件)4在中国境内生产。(产品名称1)的(关键工序)5在中国境内完成。</w:t>
      </w:r>
    </w:p>
    <w:p w14:paraId="7B3B3D8D">
      <w:pPr>
        <w:widowControl/>
        <w:shd w:val="clear" w:color="auto"/>
        <w:spacing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2.(产品名称2)，生产厂为(厂名)，厂址为(生产厂址)。(产品名称2)的中国境内生产的组件成本占比≥(规定比例)。(产品名称2)的(关键组件)在中国境内生产。(产品名称2)的(关键工序)在中国境内完成。</w:t>
      </w:r>
    </w:p>
    <w:p w14:paraId="17D8070D">
      <w:pPr>
        <w:widowControl/>
        <w:shd w:val="clear" w:color="auto"/>
        <w:spacing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14:paraId="35A3F03D">
      <w:pPr>
        <w:widowControl/>
        <w:shd w:val="clear" w:color="auto"/>
        <w:spacing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本公司(单位)对上述声明内容的真实性负责。如有虚假，愿承担相应法律责任。</w:t>
      </w:r>
    </w:p>
    <w:p w14:paraId="22EE4E44">
      <w:pPr>
        <w:widowControl/>
        <w:shd w:val="clear" w:color="auto"/>
        <w:spacing w:after="375"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14:paraId="0ECD4F81">
      <w:pPr>
        <w:widowControl/>
        <w:shd w:val="clear" w:color="auto"/>
        <w:spacing w:line="360" w:lineRule="auto"/>
        <w:jc w:val="righ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公司(单位)名称(</w:t>
      </w:r>
      <w:r>
        <w:rPr>
          <w:rFonts w:hint="eastAsia" w:ascii="宋体" w:hAnsi="宋体" w:eastAsia="宋体" w:cs="宋体"/>
          <w:color w:val="auto"/>
          <w:spacing w:val="6"/>
          <w:sz w:val="24"/>
          <w:highlight w:val="none"/>
        </w:rPr>
        <w:t>电子签章</w:t>
      </w:r>
      <w:r>
        <w:rPr>
          <w:rFonts w:hint="eastAsia" w:ascii="宋体" w:hAnsi="宋体" w:eastAsia="宋体" w:cs="宋体"/>
          <w:color w:val="auto"/>
          <w:kern w:val="0"/>
          <w:sz w:val="24"/>
          <w:szCs w:val="24"/>
          <w:highlight w:val="none"/>
        </w:rPr>
        <w:t>)：　        </w:t>
      </w:r>
    </w:p>
    <w:p w14:paraId="1FBA3A8C">
      <w:pPr>
        <w:widowControl/>
        <w:shd w:val="clear" w:color="auto"/>
        <w:spacing w:line="360" w:lineRule="auto"/>
        <w:jc w:val="righ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  日         </w:t>
      </w:r>
    </w:p>
    <w:p w14:paraId="610E51C0">
      <w:pPr>
        <w:widowControl/>
        <w:shd w:val="clear" w:color="auto"/>
        <w:spacing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__________________</w:t>
      </w:r>
    </w:p>
    <w:p w14:paraId="5B2F9EBB">
      <w:pPr>
        <w:widowControl/>
        <w:shd w:val="clear" w:color="auto"/>
        <w:spacing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1.产品如有型号，请在“产品名称”栏一并填写。</w:t>
      </w:r>
    </w:p>
    <w:p w14:paraId="4D16F2E5">
      <w:pPr>
        <w:widowControl/>
        <w:shd w:val="clear" w:color="auto"/>
        <w:spacing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2.生产厂名与厂址应与生产厂营业执照载明的相关信息保持一致。</w:t>
      </w:r>
    </w:p>
    <w:p w14:paraId="3FE22A7D">
      <w:pPr>
        <w:widowControl/>
        <w:shd w:val="clear" w:color="auto"/>
        <w:spacing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3.该产品的中国境内生产的组件成本占比相关要求实施前，“规定比例”栏可不填，下同。</w:t>
      </w:r>
    </w:p>
    <w:p w14:paraId="0C495CAE">
      <w:pPr>
        <w:widowControl/>
        <w:shd w:val="clear" w:color="auto"/>
        <w:spacing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4.该产品的关键组件要求实施前，“关键组件”栏可不填，下同。</w:t>
      </w:r>
    </w:p>
    <w:p w14:paraId="346EA0B8">
      <w:pPr>
        <w:widowControl/>
        <w:shd w:val="clear" w:color="auto"/>
        <w:spacing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5.该产品的关键工序要求实施前，“关键工序”栏可不填，下同。</w:t>
      </w:r>
    </w:p>
    <w:p w14:paraId="747D6911">
      <w:pPr>
        <w:shd w:val="clear"/>
        <w:rPr>
          <w:rFonts w:hint="eastAsia" w:ascii="宋体" w:hAnsi="宋体" w:cs="宋体"/>
          <w:b w:val="0"/>
          <w:bCs/>
          <w:color w:val="auto"/>
          <w:sz w:val="32"/>
          <w:szCs w:val="32"/>
          <w:highlight w:val="none"/>
        </w:rPr>
      </w:pPr>
    </w:p>
    <w:p w14:paraId="413CD67B">
      <w:pPr>
        <w:shd w:val="clear"/>
        <w:rPr>
          <w:rFonts w:hint="eastAsia" w:ascii="宋体" w:hAnsi="宋体" w:cs="宋体"/>
          <w:b/>
          <w:bCs/>
          <w:color w:val="auto"/>
          <w:sz w:val="24"/>
          <w:highlight w:val="none"/>
        </w:rPr>
      </w:pPr>
      <w:r>
        <w:rPr>
          <w:rFonts w:hint="eastAsia" w:ascii="宋体" w:hAnsi="宋体" w:cs="宋体"/>
          <w:b/>
          <w:bCs/>
          <w:color w:val="auto"/>
          <w:sz w:val="24"/>
          <w:highlight w:val="none"/>
        </w:rPr>
        <w:br w:type="page"/>
      </w:r>
      <w:bookmarkStart w:id="75" w:name="_GoBack"/>
      <w:bookmarkEnd w:id="75"/>
    </w:p>
    <w:p w14:paraId="396A639E">
      <w:pPr>
        <w:shd w:val="clear"/>
        <w:spacing w:line="300" w:lineRule="auto"/>
        <w:rPr>
          <w:rFonts w:ascii="宋体" w:hAnsi="宋体" w:cs="宋体"/>
          <w:color w:val="auto"/>
          <w:sz w:val="24"/>
          <w:highlight w:val="none"/>
        </w:rPr>
      </w:pPr>
      <w:r>
        <w:rPr>
          <w:rFonts w:hint="eastAsia" w:ascii="宋体" w:hAnsi="宋体" w:cs="宋体"/>
          <w:b/>
          <w:bCs/>
          <w:color w:val="auto"/>
          <w:sz w:val="24"/>
          <w:highlight w:val="none"/>
        </w:rPr>
        <w:t>其他文书、文件格式</w:t>
      </w:r>
    </w:p>
    <w:p w14:paraId="0A3674A7">
      <w:pPr>
        <w:shd w:val="clear"/>
        <w:spacing w:line="360" w:lineRule="auto"/>
        <w:jc w:val="center"/>
        <w:rPr>
          <w:rFonts w:ascii="宋体" w:hAnsi="宋体" w:cs="宋体"/>
          <w:b/>
          <w:bCs/>
          <w:color w:val="auto"/>
          <w:sz w:val="24"/>
          <w:highlight w:val="none"/>
        </w:rPr>
      </w:pPr>
    </w:p>
    <w:p w14:paraId="0D92B155">
      <w:pPr>
        <w:pStyle w:val="19"/>
        <w:shd w:val="clear"/>
        <w:rPr>
          <w:rFonts w:ascii="宋体" w:hAnsi="宋体" w:cs="宋体"/>
          <w:color w:val="auto"/>
          <w:sz w:val="24"/>
          <w:szCs w:val="24"/>
          <w:highlight w:val="none"/>
        </w:rPr>
      </w:pPr>
    </w:p>
    <w:p w14:paraId="1BE570B8">
      <w:pPr>
        <w:shd w:val="clear"/>
        <w:jc w:val="center"/>
        <w:rPr>
          <w:rFonts w:ascii="宋体" w:hAnsi="宋体" w:cs="宋体"/>
          <w:b/>
          <w:bCs/>
          <w:color w:val="auto"/>
          <w:sz w:val="24"/>
          <w:highlight w:val="none"/>
        </w:rPr>
      </w:pPr>
      <w:r>
        <w:rPr>
          <w:rFonts w:hint="eastAsia" w:ascii="宋体" w:hAnsi="宋体" w:cs="宋体"/>
          <w:b/>
          <w:bCs/>
          <w:color w:val="auto"/>
          <w:sz w:val="24"/>
          <w:highlight w:val="none"/>
        </w:rPr>
        <w:t>知识产权合规性声明</w:t>
      </w:r>
    </w:p>
    <w:p w14:paraId="6324DB3B">
      <w:pPr>
        <w:shd w:val="clear"/>
        <w:rPr>
          <w:rFonts w:ascii="宋体" w:hAnsi="宋体" w:cs="宋体"/>
          <w:color w:val="auto"/>
          <w:sz w:val="24"/>
          <w:highlight w:val="none"/>
        </w:rPr>
      </w:pPr>
      <w:r>
        <w:rPr>
          <w:rFonts w:hint="eastAsia" w:ascii="宋体" w:hAnsi="宋体" w:cs="宋体"/>
          <w:color w:val="auto"/>
          <w:sz w:val="24"/>
          <w:highlight w:val="none"/>
        </w:rPr>
        <w:t xml:space="preserve">    </w:t>
      </w:r>
    </w:p>
    <w:p w14:paraId="550EAB37">
      <w:pPr>
        <w:shd w:val="clear"/>
        <w:spacing w:line="500" w:lineRule="exact"/>
        <w:rPr>
          <w:rFonts w:ascii="宋体" w:hAnsi="宋体" w:cs="宋体"/>
          <w:color w:val="auto"/>
          <w:sz w:val="24"/>
          <w:highlight w:val="none"/>
        </w:rPr>
      </w:pPr>
      <w:r>
        <w:rPr>
          <w:rFonts w:hint="eastAsia" w:ascii="宋体" w:hAnsi="宋体" w:cs="宋体"/>
          <w:color w:val="auto"/>
          <w:sz w:val="24"/>
          <w:highlight w:val="none"/>
        </w:rPr>
        <w:t xml:space="preserve">    本企业（单位）自愿参与政府投资政府采购的</w:t>
      </w:r>
      <w:r>
        <w:rPr>
          <w:rFonts w:hint="eastAsia" w:ascii="宋体" w:hAnsi="宋体" w:cs="宋体"/>
          <w:color w:val="auto"/>
          <w:sz w:val="24"/>
          <w:highlight w:val="none"/>
          <w:u w:val="single"/>
          <w:lang w:eastAsia="zh-CN"/>
        </w:rPr>
        <w:t>广西壮族自治区国有维都林场乡土树种保供繁育基地建设项目设备采购</w:t>
      </w:r>
      <w:r>
        <w:rPr>
          <w:rFonts w:hint="eastAsia" w:ascii="宋体" w:hAnsi="宋体" w:cs="宋体"/>
          <w:color w:val="auto"/>
          <w:sz w:val="24"/>
          <w:highlight w:val="none"/>
        </w:rPr>
        <w:t>，</w:t>
      </w:r>
      <w:r>
        <w:rPr>
          <w:rFonts w:hint="eastAsia" w:ascii="宋体" w:hAnsi="宋体" w:cs="宋体"/>
          <w:b/>
          <w:bCs/>
          <w:color w:val="auto"/>
          <w:sz w:val="24"/>
          <w:highlight w:val="none"/>
        </w:rPr>
        <w:t>在此郑重承诺：</w:t>
      </w:r>
      <w:r>
        <w:rPr>
          <w:rFonts w:hint="eastAsia" w:ascii="宋体" w:hAnsi="宋体" w:cs="宋体"/>
          <w:color w:val="auto"/>
          <w:sz w:val="24"/>
          <w:highlight w:val="none"/>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400DAC65">
      <w:pPr>
        <w:shd w:val="clear"/>
        <w:snapToGrid w:val="0"/>
        <w:spacing w:line="500" w:lineRule="exact"/>
        <w:ind w:left="5626" w:leftChars="1736" w:hanging="1980" w:hangingChars="825"/>
        <w:jc w:val="right"/>
        <w:rPr>
          <w:rFonts w:ascii="宋体" w:hAnsi="宋体" w:cs="宋体"/>
          <w:color w:val="auto"/>
          <w:sz w:val="24"/>
          <w:highlight w:val="none"/>
        </w:rPr>
      </w:pPr>
      <w:r>
        <w:rPr>
          <w:rFonts w:hint="eastAsia" w:ascii="宋体" w:hAnsi="宋体" w:cs="宋体"/>
          <w:color w:val="auto"/>
          <w:sz w:val="24"/>
          <w:highlight w:val="none"/>
        </w:rPr>
        <w:t xml:space="preserve">           </w:t>
      </w:r>
    </w:p>
    <w:p w14:paraId="6CEDF894">
      <w:pPr>
        <w:pStyle w:val="19"/>
        <w:shd w:val="clear"/>
        <w:spacing w:line="500" w:lineRule="exact"/>
        <w:jc w:val="right"/>
        <w:rPr>
          <w:rFonts w:ascii="宋体" w:hAnsi="宋体" w:cs="宋体"/>
          <w:color w:val="auto"/>
          <w:sz w:val="24"/>
          <w:szCs w:val="24"/>
          <w:highlight w:val="none"/>
        </w:rPr>
      </w:pPr>
      <w:r>
        <w:rPr>
          <w:rFonts w:hint="eastAsia" w:ascii="宋体" w:hAnsi="宋体" w:cs="宋体"/>
          <w:color w:val="auto"/>
          <w:sz w:val="24"/>
          <w:szCs w:val="24"/>
          <w:highlight w:val="none"/>
        </w:rPr>
        <w:t>供应商名称（电子签章）：</w:t>
      </w:r>
    </w:p>
    <w:p w14:paraId="420A1CA0">
      <w:pPr>
        <w:pStyle w:val="19"/>
        <w:shd w:val="clear"/>
        <w:spacing w:line="5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 xml:space="preserve">                                             日期：  年  月   日</w:t>
      </w:r>
    </w:p>
    <w:p w14:paraId="74595430">
      <w:pPr>
        <w:pStyle w:val="19"/>
        <w:shd w:val="clear"/>
        <w:jc w:val="right"/>
        <w:rPr>
          <w:rFonts w:ascii="宋体" w:hAnsi="宋体" w:cs="宋体"/>
          <w:color w:val="auto"/>
          <w:sz w:val="28"/>
          <w:szCs w:val="28"/>
          <w:highlight w:val="none"/>
        </w:rPr>
      </w:pPr>
    </w:p>
    <w:p w14:paraId="1028B1DD">
      <w:pPr>
        <w:shd w:val="clear"/>
        <w:rPr>
          <w:rFonts w:hint="eastAsia" w:ascii="宋体" w:hAnsi="宋体" w:eastAsia="宋体" w:cs="宋体"/>
          <w:color w:val="auto"/>
          <w:kern w:val="0"/>
          <w:sz w:val="24"/>
          <w:szCs w:val="24"/>
          <w:highlight w:val="none"/>
        </w:rPr>
      </w:pPr>
      <w:r>
        <w:rPr>
          <w:rFonts w:ascii="宋体" w:hAnsi="宋体" w:cs="宋体"/>
          <w:color w:val="auto"/>
          <w:sz w:val="28"/>
          <w:szCs w:val="28"/>
          <w:highlight w:val="none"/>
        </w:rPr>
        <w:br w:type="page"/>
      </w:r>
    </w:p>
    <w:p w14:paraId="400CB341">
      <w:pPr>
        <w:pStyle w:val="19"/>
        <w:shd w:val="clear"/>
        <w:jc w:val="right"/>
        <w:rPr>
          <w:rFonts w:ascii="宋体" w:hAnsi="宋体" w:cs="宋体"/>
          <w:color w:val="auto"/>
          <w:sz w:val="28"/>
          <w:szCs w:val="28"/>
          <w:highlight w:val="none"/>
        </w:rPr>
      </w:pPr>
    </w:p>
    <w:p w14:paraId="6948C949">
      <w:pPr>
        <w:shd w:val="clea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质疑函（格式）</w:t>
      </w:r>
    </w:p>
    <w:p w14:paraId="0029A166">
      <w:pPr>
        <w:pStyle w:val="16"/>
        <w:shd w:val="clear"/>
        <w:spacing w:line="360" w:lineRule="auto"/>
        <w:ind w:firstLine="482" w:firstLineChars="200"/>
        <w:contextualSpacing/>
        <w:rPr>
          <w:rFonts w:hAnsi="宋体" w:cs="宋体"/>
          <w:b/>
          <w:bCs/>
          <w:color w:val="auto"/>
          <w:sz w:val="24"/>
          <w:szCs w:val="24"/>
          <w:highlight w:val="none"/>
        </w:rPr>
      </w:pPr>
      <w:r>
        <w:rPr>
          <w:rFonts w:hint="eastAsia" w:hAnsi="宋体" w:cs="宋体"/>
          <w:b/>
          <w:bCs/>
          <w:color w:val="auto"/>
          <w:sz w:val="24"/>
          <w:szCs w:val="24"/>
          <w:highlight w:val="none"/>
        </w:rPr>
        <w:t>一、质疑供应商基本信息：</w:t>
      </w:r>
    </w:p>
    <w:p w14:paraId="63691B69">
      <w:pPr>
        <w:pStyle w:val="16"/>
        <w:shd w:val="clear"/>
        <w:spacing w:line="360" w:lineRule="auto"/>
        <w:ind w:firstLine="480" w:firstLineChars="200"/>
        <w:contextualSpacing/>
        <w:rPr>
          <w:rFonts w:hAnsi="宋体" w:cs="宋体"/>
          <w:bCs/>
          <w:color w:val="auto"/>
          <w:sz w:val="24"/>
          <w:szCs w:val="24"/>
          <w:highlight w:val="none"/>
          <w:u w:val="single"/>
        </w:rPr>
      </w:pPr>
      <w:r>
        <w:rPr>
          <w:rFonts w:hint="eastAsia" w:hAnsi="宋体" w:cs="宋体"/>
          <w:bCs/>
          <w:color w:val="auto"/>
          <w:sz w:val="24"/>
          <w:szCs w:val="24"/>
          <w:highlight w:val="none"/>
        </w:rPr>
        <w:t>质疑供应商：</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443C0441">
      <w:pPr>
        <w:pStyle w:val="16"/>
        <w:shd w:val="clear"/>
        <w:spacing w:line="360" w:lineRule="auto"/>
        <w:ind w:firstLine="480" w:firstLineChars="200"/>
        <w:contextualSpacing/>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01F6753A">
      <w:pPr>
        <w:pStyle w:val="16"/>
        <w:shd w:val="clear"/>
        <w:spacing w:line="360" w:lineRule="auto"/>
        <w:ind w:firstLine="480" w:firstLineChars="200"/>
        <w:contextualSpacing/>
        <w:rPr>
          <w:rFonts w:hAnsi="宋体" w:cs="宋体"/>
          <w:bCs/>
          <w:color w:val="auto"/>
          <w:sz w:val="24"/>
          <w:szCs w:val="24"/>
          <w:highlight w:val="none"/>
        </w:rPr>
      </w:pPr>
      <w:r>
        <w:rPr>
          <w:rFonts w:hint="eastAsia" w:hAnsi="宋体" w:cs="宋体"/>
          <w:bCs/>
          <w:color w:val="auto"/>
          <w:sz w:val="24"/>
          <w:szCs w:val="24"/>
          <w:highlight w:val="none"/>
        </w:rPr>
        <w:t>联系人：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06881094">
      <w:pPr>
        <w:pStyle w:val="16"/>
        <w:shd w:val="clear"/>
        <w:spacing w:line="360" w:lineRule="auto"/>
        <w:ind w:firstLine="480" w:firstLineChars="200"/>
        <w:contextualSpacing/>
        <w:rPr>
          <w:rFonts w:hAnsi="宋体" w:cs="宋体"/>
          <w:bCs/>
          <w:color w:val="auto"/>
          <w:sz w:val="24"/>
          <w:szCs w:val="24"/>
          <w:highlight w:val="none"/>
        </w:rPr>
      </w:pPr>
      <w:r>
        <w:rPr>
          <w:rFonts w:hint="eastAsia" w:hAnsi="宋体" w:cs="宋体"/>
          <w:bCs/>
          <w:color w:val="auto"/>
          <w:sz w:val="24"/>
          <w:szCs w:val="24"/>
          <w:highlight w:val="none"/>
        </w:rPr>
        <w:t>授权代表：</w:t>
      </w:r>
      <w:r>
        <w:rPr>
          <w:rFonts w:hint="eastAsia" w:hAnsi="宋体" w:cs="宋体"/>
          <w:bCs/>
          <w:color w:val="auto"/>
          <w:sz w:val="24"/>
          <w:szCs w:val="24"/>
          <w:highlight w:val="none"/>
          <w:u w:val="single"/>
        </w:rPr>
        <w:t xml:space="preserve">                      </w:t>
      </w:r>
    </w:p>
    <w:p w14:paraId="1E5A5959">
      <w:pPr>
        <w:pStyle w:val="16"/>
        <w:shd w:val="clear"/>
        <w:spacing w:line="360" w:lineRule="auto"/>
        <w:ind w:firstLine="480" w:firstLineChars="200"/>
        <w:contextualSpacing/>
        <w:rPr>
          <w:rFonts w:hAnsi="宋体" w:cs="宋体"/>
          <w:bCs/>
          <w:color w:val="auto"/>
          <w:sz w:val="24"/>
          <w:szCs w:val="24"/>
          <w:highlight w:val="none"/>
          <w:u w:val="single"/>
        </w:rPr>
      </w:pP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07EDD506">
      <w:pPr>
        <w:pStyle w:val="16"/>
        <w:shd w:val="clear"/>
        <w:spacing w:line="360" w:lineRule="auto"/>
        <w:ind w:firstLine="480" w:firstLineChars="200"/>
        <w:contextualSpacing/>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01396AAB">
      <w:pPr>
        <w:pStyle w:val="16"/>
        <w:shd w:val="clear"/>
        <w:spacing w:line="360" w:lineRule="auto"/>
        <w:ind w:firstLine="482" w:firstLineChars="200"/>
        <w:contextualSpacing/>
        <w:rPr>
          <w:rFonts w:hAnsi="宋体" w:cs="宋体"/>
          <w:b/>
          <w:bCs/>
          <w:color w:val="auto"/>
          <w:sz w:val="24"/>
          <w:szCs w:val="24"/>
          <w:highlight w:val="none"/>
        </w:rPr>
      </w:pPr>
      <w:r>
        <w:rPr>
          <w:rFonts w:hint="eastAsia" w:hAnsi="宋体" w:cs="宋体"/>
          <w:b/>
          <w:bCs/>
          <w:color w:val="auto"/>
          <w:sz w:val="24"/>
          <w:szCs w:val="24"/>
          <w:highlight w:val="none"/>
        </w:rPr>
        <w:t>二、质疑项目基本情况：</w:t>
      </w:r>
    </w:p>
    <w:p w14:paraId="2D9B9E71">
      <w:pPr>
        <w:pStyle w:val="16"/>
        <w:shd w:val="clear"/>
        <w:spacing w:line="360" w:lineRule="auto"/>
        <w:ind w:left="25" w:leftChars="12" w:firstLine="472" w:firstLineChars="197"/>
        <w:contextualSpacing/>
        <w:rPr>
          <w:rFonts w:hAnsi="宋体" w:cs="宋体"/>
          <w:color w:val="auto"/>
          <w:sz w:val="24"/>
          <w:szCs w:val="24"/>
          <w:highlight w:val="none"/>
        </w:rPr>
      </w:pPr>
      <w:r>
        <w:rPr>
          <w:rFonts w:hint="eastAsia" w:hAnsi="宋体" w:cs="宋体"/>
          <w:bCs/>
          <w:color w:val="auto"/>
          <w:sz w:val="24"/>
          <w:szCs w:val="24"/>
          <w:highlight w:val="none"/>
        </w:rPr>
        <w:t>质疑</w:t>
      </w:r>
      <w:r>
        <w:rPr>
          <w:rFonts w:hint="eastAsia" w:hAnsi="宋体" w:cs="宋体"/>
          <w:color w:val="auto"/>
          <w:sz w:val="24"/>
          <w:szCs w:val="24"/>
          <w:highlight w:val="none"/>
        </w:rPr>
        <w:t>项目的名称：</w:t>
      </w:r>
      <w:r>
        <w:rPr>
          <w:rFonts w:hint="eastAsia" w:hAnsi="宋体" w:cs="宋体"/>
          <w:bCs/>
          <w:color w:val="auto"/>
          <w:sz w:val="24"/>
          <w:szCs w:val="24"/>
          <w:highlight w:val="none"/>
          <w:u w:val="single"/>
        </w:rPr>
        <w:t xml:space="preserve">                  </w:t>
      </w:r>
    </w:p>
    <w:p w14:paraId="0C2C03D2">
      <w:pPr>
        <w:pStyle w:val="16"/>
        <w:shd w:val="clear"/>
        <w:spacing w:line="360" w:lineRule="auto"/>
        <w:ind w:left="25" w:leftChars="12" w:firstLine="472" w:firstLineChars="197"/>
        <w:contextualSpacing/>
        <w:rPr>
          <w:rFonts w:hAnsi="宋体" w:cs="宋体"/>
          <w:color w:val="auto"/>
          <w:sz w:val="24"/>
          <w:szCs w:val="24"/>
          <w:highlight w:val="none"/>
        </w:rPr>
      </w:pPr>
      <w:r>
        <w:rPr>
          <w:rFonts w:hint="eastAsia" w:hAnsi="宋体" w:cs="宋体"/>
          <w:bCs/>
          <w:color w:val="auto"/>
          <w:sz w:val="24"/>
          <w:szCs w:val="24"/>
          <w:highlight w:val="none"/>
        </w:rPr>
        <w:t>质疑</w:t>
      </w:r>
      <w:r>
        <w:rPr>
          <w:rFonts w:hint="eastAsia" w:hAnsi="宋体" w:cs="宋体"/>
          <w:color w:val="auto"/>
          <w:sz w:val="24"/>
          <w:szCs w:val="24"/>
          <w:highlight w:val="none"/>
        </w:rPr>
        <w:t>项目的编号：</w:t>
      </w:r>
      <w:r>
        <w:rPr>
          <w:rFonts w:hint="eastAsia" w:hAnsi="宋体" w:cs="宋体"/>
          <w:bCs/>
          <w:color w:val="auto"/>
          <w:sz w:val="24"/>
          <w:szCs w:val="24"/>
          <w:highlight w:val="none"/>
          <w:u w:val="single"/>
        </w:rPr>
        <w:t xml:space="preserve"> </w:t>
      </w:r>
      <w:bookmarkStart w:id="71" w:name="PO_3000001871_PM001_9"/>
      <w:bookmarkEnd w:id="71"/>
      <w:r>
        <w:rPr>
          <w:rFonts w:hint="eastAsia" w:hAnsi="宋体" w:cs="宋体"/>
          <w:bCs/>
          <w:color w:val="auto"/>
          <w:sz w:val="24"/>
          <w:szCs w:val="24"/>
          <w:highlight w:val="none"/>
          <w:u w:val="single"/>
        </w:rPr>
        <w:t xml:space="preserve">                 </w:t>
      </w:r>
    </w:p>
    <w:p w14:paraId="56B58866">
      <w:pPr>
        <w:pStyle w:val="16"/>
        <w:shd w:val="clear"/>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采购人名称：</w:t>
      </w:r>
      <w:r>
        <w:rPr>
          <w:rFonts w:hint="eastAsia" w:hAnsi="宋体" w:cs="宋体"/>
          <w:bCs/>
          <w:color w:val="auto"/>
          <w:sz w:val="24"/>
          <w:szCs w:val="24"/>
          <w:highlight w:val="none"/>
          <w:u w:val="single"/>
        </w:rPr>
        <w:t xml:space="preserve">                      </w:t>
      </w:r>
    </w:p>
    <w:p w14:paraId="73781876">
      <w:pPr>
        <w:pStyle w:val="16"/>
        <w:shd w:val="clear"/>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质疑事项：</w:t>
      </w:r>
    </w:p>
    <w:p w14:paraId="2AA859C1">
      <w:pPr>
        <w:pStyle w:val="16"/>
        <w:shd w:val="clear"/>
        <w:spacing w:line="360" w:lineRule="auto"/>
        <w:ind w:left="25" w:leftChars="12" w:firstLine="352" w:firstLineChars="147"/>
        <w:contextualSpacing/>
        <w:rPr>
          <w:rFonts w:hAnsi="宋体" w:cs="宋体"/>
          <w:color w:val="auto"/>
          <w:sz w:val="24"/>
          <w:szCs w:val="24"/>
          <w:highlight w:val="none"/>
        </w:rPr>
      </w:pPr>
      <w:r>
        <w:rPr>
          <w:rFonts w:hint="eastAsia" w:hAnsi="宋体" w:cs="宋体"/>
          <w:color w:val="auto"/>
          <w:sz w:val="24"/>
          <w:szCs w:val="24"/>
          <w:highlight w:val="none"/>
        </w:rPr>
        <w:t>□谈判文件   谈判文件获取日期：</w:t>
      </w:r>
      <w:r>
        <w:rPr>
          <w:rFonts w:hint="eastAsia" w:hAnsi="宋体" w:cs="宋体"/>
          <w:bCs/>
          <w:color w:val="auto"/>
          <w:sz w:val="24"/>
          <w:szCs w:val="24"/>
          <w:highlight w:val="none"/>
          <w:u w:val="single"/>
        </w:rPr>
        <w:t xml:space="preserve">                                   </w:t>
      </w:r>
    </w:p>
    <w:p w14:paraId="30D0DB68">
      <w:pPr>
        <w:pStyle w:val="16"/>
        <w:shd w:val="clear"/>
        <w:spacing w:line="360" w:lineRule="auto"/>
        <w:ind w:left="25" w:leftChars="12" w:firstLine="352" w:firstLineChars="147"/>
        <w:contextualSpacing/>
        <w:rPr>
          <w:rFonts w:hAnsi="宋体" w:cs="宋体"/>
          <w:color w:val="auto"/>
          <w:sz w:val="24"/>
          <w:szCs w:val="24"/>
          <w:highlight w:val="none"/>
        </w:rPr>
      </w:pPr>
      <w:r>
        <w:rPr>
          <w:rFonts w:hint="eastAsia" w:hAnsi="宋体" w:cs="宋体"/>
          <w:color w:val="auto"/>
          <w:sz w:val="24"/>
          <w:szCs w:val="24"/>
          <w:highlight w:val="none"/>
        </w:rPr>
        <w:t xml:space="preserve">□采购过程   </w:t>
      </w:r>
    </w:p>
    <w:p w14:paraId="3FB29033">
      <w:pPr>
        <w:pStyle w:val="16"/>
        <w:shd w:val="clear"/>
        <w:spacing w:line="360" w:lineRule="auto"/>
        <w:ind w:left="25" w:leftChars="12" w:firstLine="352" w:firstLineChars="147"/>
        <w:contextualSpacing/>
        <w:rPr>
          <w:rFonts w:hAnsi="宋体" w:cs="宋体"/>
          <w:bCs/>
          <w:color w:val="auto"/>
          <w:sz w:val="24"/>
          <w:szCs w:val="24"/>
          <w:highlight w:val="none"/>
          <w:u w:val="single"/>
        </w:rPr>
      </w:pPr>
      <w:r>
        <w:rPr>
          <w:rFonts w:hint="eastAsia" w:hAnsi="宋体" w:cs="宋体"/>
          <w:color w:val="auto"/>
          <w:sz w:val="24"/>
          <w:szCs w:val="24"/>
          <w:highlight w:val="none"/>
        </w:rPr>
        <w:t xml:space="preserve">□成交结果   </w:t>
      </w:r>
    </w:p>
    <w:p w14:paraId="732C36FB">
      <w:pPr>
        <w:pStyle w:val="16"/>
        <w:shd w:val="clear"/>
        <w:spacing w:line="360" w:lineRule="auto"/>
        <w:ind w:left="25" w:leftChars="12" w:firstLine="472" w:firstLineChars="196"/>
        <w:contextualSpacing/>
        <w:rPr>
          <w:rFonts w:hAnsi="宋体" w:cs="宋体"/>
          <w:b/>
          <w:color w:val="auto"/>
          <w:sz w:val="24"/>
          <w:szCs w:val="24"/>
          <w:highlight w:val="none"/>
        </w:rPr>
      </w:pPr>
      <w:r>
        <w:rPr>
          <w:rFonts w:hint="eastAsia" w:hAnsi="宋体" w:cs="宋体"/>
          <w:b/>
          <w:color w:val="auto"/>
          <w:sz w:val="24"/>
          <w:szCs w:val="24"/>
          <w:highlight w:val="none"/>
        </w:rPr>
        <w:t>三、质疑事项具体内容</w:t>
      </w:r>
    </w:p>
    <w:p w14:paraId="4D88F83B">
      <w:pPr>
        <w:pStyle w:val="16"/>
        <w:shd w:val="clear"/>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质疑事项1：</w:t>
      </w:r>
      <w:r>
        <w:rPr>
          <w:rFonts w:hint="eastAsia" w:hAnsi="宋体" w:cs="宋体"/>
          <w:bCs/>
          <w:color w:val="auto"/>
          <w:sz w:val="24"/>
          <w:szCs w:val="24"/>
          <w:highlight w:val="none"/>
          <w:u w:val="single"/>
        </w:rPr>
        <w:t xml:space="preserve">                                                                    </w:t>
      </w:r>
    </w:p>
    <w:p w14:paraId="0276FB14">
      <w:pPr>
        <w:pStyle w:val="16"/>
        <w:shd w:val="clear"/>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事实依据：</w:t>
      </w:r>
      <w:r>
        <w:rPr>
          <w:rFonts w:hint="eastAsia" w:hAnsi="宋体" w:cs="宋体"/>
          <w:bCs/>
          <w:color w:val="auto"/>
          <w:sz w:val="24"/>
          <w:szCs w:val="24"/>
          <w:highlight w:val="none"/>
          <w:u w:val="single"/>
        </w:rPr>
        <w:t xml:space="preserve">                                                                      </w:t>
      </w:r>
    </w:p>
    <w:p w14:paraId="780290CB">
      <w:pPr>
        <w:pStyle w:val="16"/>
        <w:shd w:val="clear"/>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法律依据：</w:t>
      </w:r>
      <w:r>
        <w:rPr>
          <w:rFonts w:hint="eastAsia" w:hAnsi="宋体" w:cs="宋体"/>
          <w:color w:val="auto"/>
          <w:sz w:val="24"/>
          <w:szCs w:val="24"/>
          <w:highlight w:val="none"/>
          <w:u w:val="single"/>
        </w:rPr>
        <w:t xml:space="preserve">                                                        </w:t>
      </w:r>
      <w:r>
        <w:rPr>
          <w:rFonts w:hint="eastAsia" w:hAnsi="宋体" w:cs="宋体"/>
          <w:bCs/>
          <w:color w:val="auto"/>
          <w:sz w:val="24"/>
          <w:szCs w:val="24"/>
          <w:highlight w:val="none"/>
          <w:u w:val="single"/>
        </w:rPr>
        <w:t xml:space="preserve">               </w:t>
      </w:r>
    </w:p>
    <w:p w14:paraId="3A27F6B3">
      <w:pPr>
        <w:pStyle w:val="16"/>
        <w:shd w:val="clear"/>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质疑事项2</w:t>
      </w:r>
    </w:p>
    <w:p w14:paraId="4B1A535E">
      <w:pPr>
        <w:pStyle w:val="16"/>
        <w:shd w:val="clear"/>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w:t>
      </w:r>
    </w:p>
    <w:p w14:paraId="33467050">
      <w:pPr>
        <w:pStyle w:val="16"/>
        <w:shd w:val="clear"/>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四、与质疑事项相关的质疑请求：</w:t>
      </w:r>
    </w:p>
    <w:p w14:paraId="7880BB70">
      <w:pPr>
        <w:pStyle w:val="16"/>
        <w:shd w:val="clear"/>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请求：</w:t>
      </w:r>
      <w:r>
        <w:rPr>
          <w:rFonts w:hint="eastAsia" w:hAnsi="宋体" w:cs="宋体"/>
          <w:bCs/>
          <w:color w:val="auto"/>
          <w:sz w:val="24"/>
          <w:szCs w:val="24"/>
          <w:highlight w:val="none"/>
          <w:u w:val="single"/>
        </w:rPr>
        <w:t xml:space="preserve">                                                                </w:t>
      </w:r>
    </w:p>
    <w:p w14:paraId="0878F0E4">
      <w:pPr>
        <w:shd w:val="clear"/>
        <w:rPr>
          <w:rFonts w:ascii="宋体" w:hAnsi="宋体" w:cs="宋体"/>
          <w:color w:val="auto"/>
          <w:sz w:val="24"/>
          <w:highlight w:val="none"/>
        </w:rPr>
      </w:pPr>
      <w:r>
        <w:rPr>
          <w:rFonts w:hint="eastAsia" w:ascii="宋体" w:hAnsi="宋体" w:cs="宋体"/>
          <w:color w:val="auto"/>
          <w:sz w:val="24"/>
          <w:highlight w:val="none"/>
        </w:rPr>
        <w:t xml:space="preserve"> </w:t>
      </w:r>
    </w:p>
    <w:p w14:paraId="21334C03">
      <w:pPr>
        <w:pStyle w:val="16"/>
        <w:shd w:val="clear"/>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签字（签章）：                                       公章：</w:t>
      </w:r>
    </w:p>
    <w:p w14:paraId="21301750">
      <w:pPr>
        <w:shd w:val="clear"/>
        <w:rPr>
          <w:rFonts w:ascii="宋体" w:hAnsi="宋体" w:cs="宋体"/>
          <w:color w:val="auto"/>
          <w:sz w:val="24"/>
          <w:highlight w:val="none"/>
        </w:rPr>
      </w:pPr>
      <w:r>
        <w:rPr>
          <w:rFonts w:hint="eastAsia" w:ascii="宋体" w:hAnsi="宋体" w:cs="宋体"/>
          <w:color w:val="auto"/>
          <w:sz w:val="24"/>
          <w:highlight w:val="none"/>
        </w:rPr>
        <w:t xml:space="preserve"> </w:t>
      </w:r>
    </w:p>
    <w:p w14:paraId="4C26AE70">
      <w:pPr>
        <w:pStyle w:val="16"/>
        <w:shd w:val="clear"/>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日期：</w:t>
      </w:r>
    </w:p>
    <w:p w14:paraId="1DE298AD">
      <w:pPr>
        <w:pStyle w:val="16"/>
        <w:shd w:val="clear"/>
        <w:spacing w:line="360" w:lineRule="auto"/>
        <w:contextualSpacing/>
        <w:rPr>
          <w:rFonts w:hAnsi="宋体" w:cs="宋体"/>
          <w:b/>
          <w:color w:val="auto"/>
          <w:sz w:val="24"/>
          <w:szCs w:val="24"/>
          <w:highlight w:val="none"/>
        </w:rPr>
      </w:pPr>
      <w:r>
        <w:rPr>
          <w:rFonts w:hint="eastAsia" w:hAnsi="宋体" w:cs="宋体"/>
          <w:b/>
          <w:color w:val="auto"/>
          <w:sz w:val="24"/>
          <w:szCs w:val="24"/>
          <w:highlight w:val="none"/>
        </w:rPr>
        <w:t xml:space="preserve"> </w:t>
      </w:r>
    </w:p>
    <w:p w14:paraId="70B95430">
      <w:pPr>
        <w:pStyle w:val="16"/>
        <w:shd w:val="clear"/>
        <w:spacing w:line="360" w:lineRule="auto"/>
        <w:contextualSpacing/>
        <w:rPr>
          <w:rFonts w:hAnsi="宋体" w:cs="宋体"/>
          <w:b/>
          <w:color w:val="auto"/>
          <w:sz w:val="24"/>
          <w:szCs w:val="24"/>
          <w:highlight w:val="none"/>
        </w:rPr>
      </w:pPr>
      <w:r>
        <w:rPr>
          <w:rFonts w:hint="eastAsia" w:hAnsi="宋体" w:cs="宋体"/>
          <w:b/>
          <w:color w:val="auto"/>
          <w:sz w:val="24"/>
          <w:szCs w:val="24"/>
          <w:highlight w:val="none"/>
        </w:rPr>
        <w:br w:type="page"/>
      </w:r>
      <w:r>
        <w:rPr>
          <w:rFonts w:hint="eastAsia" w:hAnsi="宋体" w:cs="宋体"/>
          <w:b/>
          <w:color w:val="auto"/>
          <w:sz w:val="24"/>
          <w:szCs w:val="24"/>
          <w:highlight w:val="none"/>
        </w:rPr>
        <w:t>说明：</w:t>
      </w:r>
    </w:p>
    <w:p w14:paraId="7A9315AE">
      <w:pPr>
        <w:pStyle w:val="16"/>
        <w:shd w:val="clear"/>
        <w:spacing w:line="360" w:lineRule="auto"/>
        <w:ind w:left="25" w:leftChars="12" w:firstLine="354" w:firstLineChars="147"/>
        <w:contextualSpacing/>
        <w:rPr>
          <w:rFonts w:hAnsi="宋体" w:cs="宋体"/>
          <w:b/>
          <w:bCs/>
          <w:color w:val="auto"/>
          <w:sz w:val="24"/>
          <w:szCs w:val="24"/>
          <w:highlight w:val="none"/>
        </w:rPr>
      </w:pPr>
      <w:r>
        <w:rPr>
          <w:rFonts w:hint="eastAsia" w:hAnsi="宋体" w:cs="宋体"/>
          <w:b/>
          <w:color w:val="auto"/>
          <w:sz w:val="24"/>
          <w:szCs w:val="24"/>
          <w:highlight w:val="none"/>
        </w:rPr>
        <w:t>1.供应商提出质疑时，应提交质疑函和必要的证明材料</w:t>
      </w:r>
      <w:r>
        <w:rPr>
          <w:rFonts w:hint="eastAsia" w:hAnsi="宋体" w:cs="宋体"/>
          <w:b/>
          <w:bCs/>
          <w:color w:val="auto"/>
          <w:sz w:val="24"/>
          <w:szCs w:val="24"/>
          <w:highlight w:val="none"/>
        </w:rPr>
        <w:t>。</w:t>
      </w:r>
    </w:p>
    <w:p w14:paraId="2B8ACDB0">
      <w:pPr>
        <w:pStyle w:val="16"/>
        <w:shd w:val="clear"/>
        <w:spacing w:line="360" w:lineRule="auto"/>
        <w:ind w:left="25" w:leftChars="12" w:firstLine="354" w:firstLineChars="147"/>
        <w:contextualSpacing/>
        <w:rPr>
          <w:rFonts w:hAnsi="宋体" w:cs="宋体"/>
          <w:b/>
          <w:color w:val="auto"/>
          <w:sz w:val="24"/>
          <w:szCs w:val="24"/>
          <w:highlight w:val="none"/>
        </w:rPr>
      </w:pPr>
      <w:r>
        <w:rPr>
          <w:rFonts w:hint="eastAsia" w:hAnsi="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7BE8FF4">
      <w:pPr>
        <w:pStyle w:val="16"/>
        <w:shd w:val="clear"/>
        <w:spacing w:line="360" w:lineRule="auto"/>
        <w:ind w:left="25" w:leftChars="12" w:firstLine="354" w:firstLineChars="147"/>
        <w:contextualSpacing/>
        <w:rPr>
          <w:rFonts w:hAnsi="宋体" w:cs="宋体"/>
          <w:b/>
          <w:color w:val="auto"/>
          <w:sz w:val="24"/>
          <w:szCs w:val="24"/>
          <w:highlight w:val="none"/>
        </w:rPr>
      </w:pPr>
      <w:r>
        <w:rPr>
          <w:rFonts w:hint="eastAsia" w:hAnsi="宋体" w:cs="宋体"/>
          <w:b/>
          <w:color w:val="auto"/>
          <w:sz w:val="24"/>
          <w:szCs w:val="24"/>
          <w:highlight w:val="none"/>
        </w:rPr>
        <w:t>3.质疑函的质疑事项应具体、明确，并有必要的事实依据和法律依据。</w:t>
      </w:r>
    </w:p>
    <w:p w14:paraId="31B07250">
      <w:pPr>
        <w:pStyle w:val="16"/>
        <w:shd w:val="clear"/>
        <w:spacing w:line="360" w:lineRule="auto"/>
        <w:ind w:left="25" w:leftChars="12" w:firstLine="354" w:firstLineChars="147"/>
        <w:contextualSpacing/>
        <w:rPr>
          <w:rFonts w:hAnsi="宋体" w:cs="宋体"/>
          <w:b/>
          <w:color w:val="auto"/>
          <w:sz w:val="24"/>
          <w:szCs w:val="24"/>
          <w:highlight w:val="none"/>
        </w:rPr>
      </w:pPr>
      <w:r>
        <w:rPr>
          <w:rFonts w:hint="eastAsia" w:hAnsi="宋体" w:cs="宋体"/>
          <w:b/>
          <w:color w:val="auto"/>
          <w:sz w:val="24"/>
          <w:szCs w:val="24"/>
          <w:highlight w:val="none"/>
        </w:rPr>
        <w:t>4.质疑函的质疑请求应与质疑事项相关。</w:t>
      </w:r>
    </w:p>
    <w:p w14:paraId="0EEAE138">
      <w:pPr>
        <w:pStyle w:val="16"/>
        <w:shd w:val="clear"/>
        <w:spacing w:line="360" w:lineRule="auto"/>
        <w:ind w:left="25" w:leftChars="12" w:firstLine="354" w:firstLineChars="147"/>
        <w:contextualSpacing/>
        <w:rPr>
          <w:rFonts w:hAnsi="宋体" w:cs="宋体"/>
          <w:b/>
          <w:color w:val="auto"/>
          <w:sz w:val="24"/>
          <w:szCs w:val="24"/>
          <w:highlight w:val="none"/>
        </w:rPr>
      </w:pPr>
      <w:r>
        <w:rPr>
          <w:rFonts w:hint="eastAsia" w:hAnsi="宋体" w:cs="宋体"/>
          <w:b/>
          <w:color w:val="auto"/>
          <w:sz w:val="24"/>
          <w:szCs w:val="24"/>
          <w:highlight w:val="none"/>
        </w:rPr>
        <w:t>5.质疑供应商为法人或者其他组织的，质疑函应由法定代表人、主要负责人，或者其授权代表签字或者盖章，并加盖公章。</w:t>
      </w:r>
    </w:p>
    <w:p w14:paraId="02D4C75E">
      <w:pPr>
        <w:pStyle w:val="16"/>
        <w:shd w:val="clear"/>
        <w:snapToGrid w:val="0"/>
        <w:rPr>
          <w:rFonts w:hAnsi="宋体" w:cs="宋体"/>
          <w:b/>
          <w:color w:val="auto"/>
          <w:sz w:val="24"/>
          <w:szCs w:val="24"/>
          <w:highlight w:val="none"/>
        </w:rPr>
      </w:pPr>
      <w:r>
        <w:rPr>
          <w:rFonts w:hint="eastAsia" w:hAnsi="宋体" w:cs="宋体"/>
          <w:b/>
          <w:color w:val="auto"/>
          <w:sz w:val="24"/>
          <w:szCs w:val="24"/>
          <w:highlight w:val="none"/>
        </w:rPr>
        <w:t xml:space="preserve"> </w:t>
      </w:r>
    </w:p>
    <w:p w14:paraId="44E65700">
      <w:pPr>
        <w:shd w:val="clear"/>
        <w:spacing w:line="460" w:lineRule="exact"/>
        <w:jc w:val="center"/>
        <w:rPr>
          <w:rFonts w:ascii="宋体" w:hAnsi="宋体" w:cs="宋体"/>
          <w:color w:val="auto"/>
          <w:sz w:val="44"/>
          <w:szCs w:val="44"/>
          <w:highlight w:val="none"/>
        </w:rPr>
      </w:pPr>
      <w:r>
        <w:rPr>
          <w:rFonts w:hint="eastAsia" w:ascii="宋体" w:hAnsi="宋体" w:cs="宋体"/>
          <w:color w:val="auto"/>
          <w:sz w:val="44"/>
          <w:szCs w:val="44"/>
          <w:highlight w:val="none"/>
        </w:rPr>
        <w:br w:type="page"/>
      </w:r>
    </w:p>
    <w:p w14:paraId="2EB2C116">
      <w:pPr>
        <w:shd w:val="clear"/>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投诉书（格式）</w:t>
      </w:r>
    </w:p>
    <w:p w14:paraId="33AFECB1">
      <w:pPr>
        <w:pStyle w:val="16"/>
        <w:shd w:val="clear"/>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一、投诉相关主体基本情况：</w:t>
      </w:r>
    </w:p>
    <w:p w14:paraId="51603C66">
      <w:pPr>
        <w:pStyle w:val="16"/>
        <w:shd w:val="clear"/>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供应商：</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28FF2FBB">
      <w:pPr>
        <w:pStyle w:val="16"/>
        <w:shd w:val="clear"/>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5276BC99">
      <w:pPr>
        <w:pStyle w:val="16"/>
        <w:shd w:val="clear"/>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法定代表人/主要负责人：</w:t>
      </w:r>
      <w:r>
        <w:rPr>
          <w:rFonts w:hint="eastAsia" w:hAnsi="宋体" w:cs="宋体"/>
          <w:bCs/>
          <w:color w:val="auto"/>
          <w:sz w:val="24"/>
          <w:szCs w:val="24"/>
          <w:highlight w:val="none"/>
          <w:u w:val="single"/>
        </w:rPr>
        <w:t xml:space="preserve">                                                         </w:t>
      </w:r>
    </w:p>
    <w:p w14:paraId="765210A9">
      <w:pPr>
        <w:pStyle w:val="16"/>
        <w:shd w:val="clear"/>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34ACC594">
      <w:pPr>
        <w:pStyle w:val="16"/>
        <w:shd w:val="clear"/>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授权代表：</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38B5A65D">
      <w:pPr>
        <w:pStyle w:val="16"/>
        <w:shd w:val="clear"/>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p>
    <w:p w14:paraId="534126B2">
      <w:pPr>
        <w:pStyle w:val="16"/>
        <w:shd w:val="clear"/>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56D1BDA5">
      <w:pPr>
        <w:pStyle w:val="16"/>
        <w:shd w:val="clear"/>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被投诉人1：</w:t>
      </w:r>
    </w:p>
    <w:p w14:paraId="77D0ABF7">
      <w:pPr>
        <w:pStyle w:val="16"/>
        <w:shd w:val="clear"/>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p>
    <w:p w14:paraId="079176E3">
      <w:pPr>
        <w:pStyle w:val="16"/>
        <w:shd w:val="clear"/>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65E090D2">
      <w:pPr>
        <w:pStyle w:val="16"/>
        <w:shd w:val="clear"/>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联系人：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43734501">
      <w:pPr>
        <w:pStyle w:val="16"/>
        <w:shd w:val="clear"/>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被投诉人2：</w:t>
      </w:r>
    </w:p>
    <w:p w14:paraId="2298E52F">
      <w:pPr>
        <w:pStyle w:val="16"/>
        <w:shd w:val="clear"/>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w:t>
      </w:r>
    </w:p>
    <w:p w14:paraId="5EBBB317">
      <w:pPr>
        <w:pStyle w:val="16"/>
        <w:shd w:val="clear"/>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相关供应商：</w:t>
      </w:r>
      <w:r>
        <w:rPr>
          <w:rFonts w:hint="eastAsia" w:hAnsi="宋体" w:cs="宋体"/>
          <w:bCs/>
          <w:color w:val="auto"/>
          <w:sz w:val="24"/>
          <w:szCs w:val="24"/>
          <w:highlight w:val="none"/>
          <w:u w:val="single"/>
        </w:rPr>
        <w:t xml:space="preserve">                                                                       </w:t>
      </w:r>
    </w:p>
    <w:p w14:paraId="17174BB7">
      <w:pPr>
        <w:pStyle w:val="16"/>
        <w:shd w:val="clear"/>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p>
    <w:p w14:paraId="4C546EA0">
      <w:pPr>
        <w:pStyle w:val="16"/>
        <w:shd w:val="clear"/>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联系人：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52ACD121">
      <w:pPr>
        <w:pStyle w:val="16"/>
        <w:shd w:val="clear"/>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二、投诉项目基本情况：</w:t>
      </w:r>
    </w:p>
    <w:p w14:paraId="38781C22">
      <w:pPr>
        <w:pStyle w:val="16"/>
        <w:shd w:val="clear"/>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采购</w:t>
      </w:r>
      <w:r>
        <w:rPr>
          <w:rFonts w:hint="eastAsia" w:hAnsi="宋体" w:cs="宋体"/>
          <w:color w:val="auto"/>
          <w:sz w:val="24"/>
          <w:szCs w:val="24"/>
          <w:highlight w:val="none"/>
        </w:rPr>
        <w:t>项目的名称：</w:t>
      </w:r>
      <w:r>
        <w:rPr>
          <w:rFonts w:hint="eastAsia" w:hAnsi="宋体" w:cs="宋体"/>
          <w:bCs/>
          <w:color w:val="auto"/>
          <w:sz w:val="24"/>
          <w:szCs w:val="24"/>
          <w:highlight w:val="none"/>
          <w:u w:val="single"/>
        </w:rPr>
        <w:t xml:space="preserve">                      </w:t>
      </w:r>
    </w:p>
    <w:p w14:paraId="589A26D2">
      <w:pPr>
        <w:pStyle w:val="16"/>
        <w:shd w:val="clear"/>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采购</w:t>
      </w:r>
      <w:r>
        <w:rPr>
          <w:rFonts w:hint="eastAsia" w:hAnsi="宋体" w:cs="宋体"/>
          <w:color w:val="auto"/>
          <w:sz w:val="24"/>
          <w:szCs w:val="24"/>
          <w:highlight w:val="none"/>
        </w:rPr>
        <w:t>项目的编号：</w:t>
      </w:r>
      <w:bookmarkStart w:id="72" w:name="PO_3000001871_PM001_10"/>
      <w:bookmarkEnd w:id="72"/>
      <w:r>
        <w:rPr>
          <w:rFonts w:hint="eastAsia" w:hAnsi="宋体" w:cs="宋体"/>
          <w:bCs/>
          <w:color w:val="auto"/>
          <w:sz w:val="24"/>
          <w:szCs w:val="24"/>
          <w:highlight w:val="none"/>
          <w:u w:val="single"/>
        </w:rPr>
        <w:t xml:space="preserve">                      </w:t>
      </w:r>
    </w:p>
    <w:p w14:paraId="6EF18CC0">
      <w:pPr>
        <w:pStyle w:val="16"/>
        <w:shd w:val="clear"/>
        <w:spacing w:line="360" w:lineRule="auto"/>
        <w:ind w:left="25" w:leftChars="12" w:firstLine="472" w:firstLineChars="197"/>
        <w:rPr>
          <w:rFonts w:hAnsi="宋体" w:cs="宋体"/>
          <w:bCs/>
          <w:color w:val="auto"/>
          <w:sz w:val="24"/>
          <w:szCs w:val="24"/>
          <w:highlight w:val="none"/>
          <w:u w:val="single"/>
        </w:rPr>
      </w:pPr>
      <w:r>
        <w:rPr>
          <w:rFonts w:hint="eastAsia" w:hAnsi="宋体" w:cs="宋体"/>
          <w:color w:val="auto"/>
          <w:sz w:val="24"/>
          <w:szCs w:val="24"/>
          <w:highlight w:val="none"/>
        </w:rPr>
        <w:t>采购人名称：</w:t>
      </w:r>
      <w:r>
        <w:rPr>
          <w:rFonts w:hint="eastAsia" w:hAnsi="宋体" w:cs="宋体"/>
          <w:bCs/>
          <w:color w:val="auto"/>
          <w:sz w:val="24"/>
          <w:szCs w:val="24"/>
          <w:highlight w:val="none"/>
          <w:u w:val="single"/>
        </w:rPr>
        <w:t xml:space="preserve">                          </w:t>
      </w:r>
    </w:p>
    <w:p w14:paraId="0002D852">
      <w:pPr>
        <w:pStyle w:val="16"/>
        <w:shd w:val="clear"/>
        <w:spacing w:line="360" w:lineRule="auto"/>
        <w:ind w:left="25" w:leftChars="12" w:firstLine="472" w:firstLineChars="197"/>
        <w:rPr>
          <w:rFonts w:hAnsi="宋体" w:cs="宋体"/>
          <w:bCs/>
          <w:color w:val="auto"/>
          <w:sz w:val="24"/>
          <w:szCs w:val="24"/>
          <w:highlight w:val="none"/>
          <w:u w:val="single"/>
        </w:rPr>
      </w:pPr>
      <w:r>
        <w:rPr>
          <w:rFonts w:hint="eastAsia" w:hAnsi="宋体" w:cs="宋体"/>
          <w:color w:val="auto"/>
          <w:sz w:val="24"/>
          <w:szCs w:val="24"/>
          <w:highlight w:val="none"/>
        </w:rPr>
        <w:t>代理机构名称：</w:t>
      </w:r>
      <w:bookmarkStart w:id="73" w:name="PO_3000001871_PM031_5"/>
      <w:bookmarkEnd w:id="73"/>
      <w:r>
        <w:rPr>
          <w:rFonts w:hint="eastAsia" w:hAnsi="宋体" w:cs="宋体"/>
          <w:bCs/>
          <w:color w:val="auto"/>
          <w:sz w:val="24"/>
          <w:szCs w:val="24"/>
          <w:highlight w:val="none"/>
          <w:u w:val="single"/>
        </w:rPr>
        <w:t xml:space="preserve">                        </w:t>
      </w:r>
    </w:p>
    <w:p w14:paraId="6B99D62D">
      <w:pPr>
        <w:pStyle w:val="16"/>
        <w:shd w:val="clear"/>
        <w:spacing w:line="360" w:lineRule="auto"/>
        <w:ind w:left="25" w:leftChars="12" w:firstLine="472" w:firstLineChars="197"/>
        <w:rPr>
          <w:rFonts w:hAnsi="宋体" w:cs="宋体"/>
          <w:bCs/>
          <w:color w:val="auto"/>
          <w:sz w:val="24"/>
          <w:szCs w:val="24"/>
          <w:highlight w:val="none"/>
          <w:u w:val="single"/>
        </w:rPr>
      </w:pPr>
      <w:r>
        <w:rPr>
          <w:rFonts w:hint="eastAsia" w:hAnsi="宋体" w:cs="宋体"/>
          <w:color w:val="auto"/>
          <w:sz w:val="24"/>
          <w:highlight w:val="none"/>
        </w:rPr>
        <w:t>谈判</w:t>
      </w:r>
      <w:r>
        <w:rPr>
          <w:rFonts w:hint="eastAsia" w:hAnsi="宋体" w:cs="宋体"/>
          <w:bCs/>
          <w:color w:val="auto"/>
          <w:sz w:val="24"/>
          <w:szCs w:val="24"/>
          <w:highlight w:val="none"/>
        </w:rPr>
        <w:t>文件公告：</w:t>
      </w:r>
      <w:r>
        <w:rPr>
          <w:rFonts w:hint="eastAsia" w:hAnsi="宋体" w:cs="宋体"/>
          <w:bCs/>
          <w:color w:val="auto"/>
          <w:sz w:val="24"/>
          <w:szCs w:val="24"/>
          <w:highlight w:val="none"/>
          <w:u w:val="single"/>
        </w:rPr>
        <w:t>是/否</w:t>
      </w:r>
      <w:r>
        <w:rPr>
          <w:rFonts w:hint="eastAsia" w:hAnsi="宋体" w:cs="宋体"/>
          <w:bCs/>
          <w:color w:val="auto"/>
          <w:sz w:val="24"/>
          <w:szCs w:val="24"/>
          <w:highlight w:val="none"/>
        </w:rPr>
        <w:t>公告期限：</w:t>
      </w:r>
      <w:r>
        <w:rPr>
          <w:rFonts w:hint="eastAsia" w:hAnsi="宋体" w:cs="宋体"/>
          <w:bCs/>
          <w:color w:val="auto"/>
          <w:sz w:val="24"/>
          <w:szCs w:val="24"/>
          <w:highlight w:val="none"/>
          <w:u w:val="single"/>
        </w:rPr>
        <w:t xml:space="preserve">                                                       </w:t>
      </w:r>
    </w:p>
    <w:p w14:paraId="320D579A">
      <w:pPr>
        <w:pStyle w:val="16"/>
        <w:shd w:val="clear"/>
        <w:spacing w:line="360" w:lineRule="auto"/>
        <w:ind w:left="25" w:leftChars="12" w:firstLine="472" w:firstLineChars="197"/>
        <w:rPr>
          <w:rFonts w:hAnsi="宋体" w:cs="宋体"/>
          <w:b/>
          <w:color w:val="auto"/>
          <w:sz w:val="24"/>
          <w:szCs w:val="24"/>
          <w:highlight w:val="none"/>
        </w:rPr>
      </w:pPr>
      <w:r>
        <w:rPr>
          <w:rFonts w:hint="eastAsia" w:hAnsi="宋体" w:cs="宋体"/>
          <w:bCs/>
          <w:color w:val="auto"/>
          <w:sz w:val="24"/>
          <w:szCs w:val="24"/>
          <w:highlight w:val="none"/>
        </w:rPr>
        <w:t>采购结果公告：</w:t>
      </w:r>
      <w:r>
        <w:rPr>
          <w:rFonts w:hint="eastAsia" w:hAnsi="宋体" w:cs="宋体"/>
          <w:bCs/>
          <w:color w:val="auto"/>
          <w:sz w:val="24"/>
          <w:szCs w:val="24"/>
          <w:highlight w:val="none"/>
          <w:u w:val="single"/>
        </w:rPr>
        <w:t>是/否</w:t>
      </w:r>
      <w:r>
        <w:rPr>
          <w:rFonts w:hint="eastAsia" w:hAnsi="宋体" w:cs="宋体"/>
          <w:bCs/>
          <w:color w:val="auto"/>
          <w:sz w:val="24"/>
          <w:szCs w:val="24"/>
          <w:highlight w:val="none"/>
        </w:rPr>
        <w:t>公告期限：</w:t>
      </w:r>
      <w:r>
        <w:rPr>
          <w:rFonts w:hint="eastAsia" w:hAnsi="宋体" w:cs="宋体"/>
          <w:bCs/>
          <w:color w:val="auto"/>
          <w:sz w:val="24"/>
          <w:szCs w:val="24"/>
          <w:highlight w:val="none"/>
          <w:u w:val="single"/>
        </w:rPr>
        <w:t xml:space="preserve">                                                       </w:t>
      </w:r>
    </w:p>
    <w:p w14:paraId="08A9A5DE">
      <w:pPr>
        <w:pStyle w:val="16"/>
        <w:shd w:val="clear"/>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三、质疑基本情况</w:t>
      </w:r>
    </w:p>
    <w:p w14:paraId="69B9BC15">
      <w:pPr>
        <w:pStyle w:val="16"/>
        <w:shd w:val="clear"/>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投诉人于</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日，向</w:t>
      </w:r>
      <w:r>
        <w:rPr>
          <w:rFonts w:hint="eastAsia" w:hAnsi="宋体" w:cs="宋体"/>
          <w:color w:val="auto"/>
          <w:sz w:val="24"/>
          <w:szCs w:val="24"/>
          <w:highlight w:val="none"/>
          <w:u w:val="single"/>
        </w:rPr>
        <w:t xml:space="preserve">                                质疑</w:t>
      </w:r>
      <w:r>
        <w:rPr>
          <w:rFonts w:hint="eastAsia" w:hAnsi="宋体" w:cs="宋体"/>
          <w:color w:val="auto"/>
          <w:sz w:val="24"/>
          <w:szCs w:val="24"/>
          <w:highlight w:val="none"/>
        </w:rPr>
        <w:t>，质疑事项为：</w:t>
      </w:r>
    </w:p>
    <w:p w14:paraId="343AD9F3">
      <w:pPr>
        <w:pStyle w:val="16"/>
        <w:shd w:val="clear"/>
        <w:spacing w:line="360" w:lineRule="auto"/>
        <w:ind w:firstLine="241"/>
        <w:rPr>
          <w:rFonts w:hAnsi="宋体" w:cs="宋体"/>
          <w:bCs/>
          <w:color w:val="auto"/>
          <w:sz w:val="24"/>
          <w:szCs w:val="24"/>
          <w:highlight w:val="none"/>
          <w:u w:val="single"/>
        </w:rPr>
      </w:pPr>
      <w:r>
        <w:rPr>
          <w:rFonts w:hint="eastAsia" w:hAnsi="宋体" w:cs="宋体"/>
          <w:color w:val="auto"/>
          <w:sz w:val="24"/>
          <w:szCs w:val="24"/>
          <w:highlight w:val="none"/>
        </w:rPr>
        <w:t xml:space="preserve">    </w:t>
      </w:r>
      <w:r>
        <w:rPr>
          <w:rFonts w:hint="eastAsia" w:hAnsi="宋体" w:cs="宋体"/>
          <w:bCs/>
          <w:color w:val="auto"/>
          <w:sz w:val="24"/>
          <w:szCs w:val="24"/>
          <w:highlight w:val="none"/>
          <w:u w:val="single"/>
        </w:rPr>
        <w:t xml:space="preserve">                                                                                      </w:t>
      </w:r>
    </w:p>
    <w:p w14:paraId="70FE9AD4">
      <w:pPr>
        <w:pStyle w:val="16"/>
        <w:shd w:val="clear"/>
        <w:spacing w:line="360" w:lineRule="auto"/>
        <w:ind w:firstLine="241"/>
        <w:rPr>
          <w:rFonts w:hAnsi="宋体" w:cs="宋体"/>
          <w:bCs/>
          <w:color w:val="auto"/>
          <w:sz w:val="24"/>
          <w:szCs w:val="24"/>
          <w:highlight w:val="none"/>
          <w:u w:val="single"/>
        </w:rPr>
      </w:pPr>
      <w:r>
        <w:rPr>
          <w:rFonts w:hint="eastAsia" w:hAnsi="宋体" w:cs="宋体"/>
          <w:bCs/>
          <w:color w:val="auto"/>
          <w:sz w:val="24"/>
          <w:szCs w:val="24"/>
          <w:highlight w:val="none"/>
        </w:rPr>
        <w:t xml:space="preserve">    </w:t>
      </w:r>
      <w:r>
        <w:rPr>
          <w:rFonts w:hint="eastAsia" w:hAnsi="宋体" w:cs="宋体"/>
          <w:bCs/>
          <w:color w:val="auto"/>
          <w:sz w:val="24"/>
          <w:szCs w:val="24"/>
          <w:highlight w:val="none"/>
          <w:u w:val="single"/>
        </w:rPr>
        <w:t xml:space="preserve">                                                                                      </w:t>
      </w:r>
    </w:p>
    <w:p w14:paraId="72F2ADEC">
      <w:pPr>
        <w:pStyle w:val="16"/>
        <w:shd w:val="clear"/>
        <w:spacing w:line="360" w:lineRule="auto"/>
        <w:ind w:firstLine="480" w:firstLineChars="200"/>
        <w:rPr>
          <w:rFonts w:hAnsi="宋体" w:cs="宋体"/>
          <w:color w:val="auto"/>
          <w:sz w:val="24"/>
          <w:szCs w:val="24"/>
          <w:highlight w:val="none"/>
        </w:rPr>
      </w:pPr>
      <w:r>
        <w:rPr>
          <w:rFonts w:hint="eastAsia" w:hAnsi="宋体" w:cs="宋体"/>
          <w:bCs/>
          <w:color w:val="auto"/>
          <w:sz w:val="24"/>
          <w:szCs w:val="24"/>
          <w:highlight w:val="none"/>
          <w:u w:val="single"/>
        </w:rPr>
        <w:t>采购人/代理机构</w:t>
      </w:r>
      <w:r>
        <w:rPr>
          <w:rFonts w:hint="eastAsia" w:hAnsi="宋体" w:cs="宋体"/>
          <w:bCs/>
          <w:color w:val="auto"/>
          <w:sz w:val="24"/>
          <w:szCs w:val="24"/>
          <w:highlight w:val="none"/>
        </w:rPr>
        <w:t>于</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w:t>
      </w:r>
      <w:r>
        <w:rPr>
          <w:rFonts w:hint="eastAsia" w:hAnsi="宋体" w:cs="宋体"/>
          <w:bCs/>
          <w:color w:val="auto"/>
          <w:sz w:val="24"/>
          <w:szCs w:val="24"/>
          <w:highlight w:val="none"/>
        </w:rPr>
        <w:t xml:space="preserve">就质疑事项作出了答复/没有在法定期限内作出答复。                                                                                             </w:t>
      </w:r>
    </w:p>
    <w:p w14:paraId="2C73983D">
      <w:pPr>
        <w:pStyle w:val="16"/>
        <w:shd w:val="clear"/>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四、投诉事项具体内容</w:t>
      </w:r>
    </w:p>
    <w:p w14:paraId="200749CA">
      <w:pPr>
        <w:pStyle w:val="16"/>
        <w:shd w:val="clear"/>
        <w:spacing w:line="360" w:lineRule="auto"/>
        <w:ind w:left="25" w:leftChars="12" w:firstLine="472" w:firstLineChars="197"/>
        <w:rPr>
          <w:rFonts w:hAnsi="宋体" w:cs="宋体"/>
          <w:bCs/>
          <w:color w:val="auto"/>
          <w:sz w:val="24"/>
          <w:szCs w:val="24"/>
          <w:highlight w:val="none"/>
          <w:u w:val="single"/>
        </w:rPr>
      </w:pPr>
      <w:r>
        <w:rPr>
          <w:rFonts w:hint="eastAsia" w:hAnsi="宋体" w:cs="宋体"/>
          <w:color w:val="auto"/>
          <w:sz w:val="24"/>
          <w:szCs w:val="24"/>
          <w:highlight w:val="none"/>
        </w:rPr>
        <w:t>投诉事项1：</w:t>
      </w:r>
      <w:r>
        <w:rPr>
          <w:rFonts w:hint="eastAsia" w:hAnsi="宋体" w:cs="宋体"/>
          <w:bCs/>
          <w:color w:val="auto"/>
          <w:sz w:val="24"/>
          <w:szCs w:val="24"/>
          <w:highlight w:val="none"/>
          <w:u w:val="single"/>
        </w:rPr>
        <w:t xml:space="preserve">                                                                           </w:t>
      </w:r>
    </w:p>
    <w:p w14:paraId="3CAD7991">
      <w:pPr>
        <w:pStyle w:val="16"/>
        <w:shd w:val="clear"/>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事实依据：</w:t>
      </w:r>
      <w:r>
        <w:rPr>
          <w:rFonts w:hint="eastAsia" w:hAnsi="宋体" w:cs="宋体"/>
          <w:color w:val="auto"/>
          <w:sz w:val="24"/>
          <w:szCs w:val="24"/>
          <w:highlight w:val="none"/>
        </w:rPr>
        <w:t xml:space="preserve"> </w:t>
      </w:r>
      <w:r>
        <w:rPr>
          <w:rFonts w:hint="eastAsia" w:hAnsi="宋体" w:cs="宋体"/>
          <w:bCs/>
          <w:color w:val="auto"/>
          <w:sz w:val="24"/>
          <w:szCs w:val="24"/>
          <w:highlight w:val="none"/>
          <w:u w:val="single"/>
        </w:rPr>
        <w:t xml:space="preserve">                                                                                      </w:t>
      </w:r>
    </w:p>
    <w:p w14:paraId="7716EBA0">
      <w:pPr>
        <w:pStyle w:val="16"/>
        <w:shd w:val="clear"/>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u w:val="single"/>
        </w:rPr>
        <w:t xml:space="preserve">                                                                                        </w:t>
      </w:r>
    </w:p>
    <w:p w14:paraId="5B5143C1">
      <w:pPr>
        <w:pStyle w:val="16"/>
        <w:shd w:val="clear"/>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法律依据：</w:t>
      </w:r>
      <w:r>
        <w:rPr>
          <w:rFonts w:hint="eastAsia" w:hAnsi="宋体" w:cs="宋体"/>
          <w:color w:val="auto"/>
          <w:sz w:val="24"/>
          <w:szCs w:val="24"/>
          <w:highlight w:val="none"/>
        </w:rPr>
        <w:t xml:space="preserve"> </w:t>
      </w:r>
      <w:r>
        <w:rPr>
          <w:rFonts w:hint="eastAsia" w:hAnsi="宋体" w:cs="宋体"/>
          <w:bCs/>
          <w:color w:val="auto"/>
          <w:sz w:val="24"/>
          <w:szCs w:val="24"/>
          <w:highlight w:val="none"/>
          <w:u w:val="single"/>
        </w:rPr>
        <w:t xml:space="preserve">                                                                                      </w:t>
      </w:r>
    </w:p>
    <w:p w14:paraId="6D6C06CC">
      <w:pPr>
        <w:pStyle w:val="16"/>
        <w:shd w:val="clear"/>
        <w:spacing w:line="360" w:lineRule="auto"/>
        <w:ind w:left="25" w:leftChars="12" w:firstLine="352" w:firstLineChars="147"/>
        <w:rPr>
          <w:rFonts w:hAnsi="宋体" w:cs="宋体"/>
          <w:bCs/>
          <w:color w:val="auto"/>
          <w:sz w:val="24"/>
          <w:szCs w:val="24"/>
          <w:highlight w:val="none"/>
          <w:u w:val="single"/>
        </w:rPr>
      </w:pPr>
      <w:r>
        <w:rPr>
          <w:rFonts w:hint="eastAsia" w:hAnsi="宋体" w:cs="宋体"/>
          <w:bCs/>
          <w:color w:val="auto"/>
          <w:sz w:val="24"/>
          <w:szCs w:val="24"/>
          <w:highlight w:val="none"/>
        </w:rPr>
        <w:t xml:space="preserve"> </w:t>
      </w:r>
      <w:r>
        <w:rPr>
          <w:rFonts w:hint="eastAsia" w:hAnsi="宋体" w:cs="宋体"/>
          <w:bCs/>
          <w:color w:val="auto"/>
          <w:sz w:val="24"/>
          <w:szCs w:val="24"/>
          <w:highlight w:val="none"/>
          <w:u w:val="single"/>
        </w:rPr>
        <w:t xml:space="preserve">                                                                                        </w:t>
      </w:r>
    </w:p>
    <w:p w14:paraId="321671A0">
      <w:pPr>
        <w:pStyle w:val="16"/>
        <w:shd w:val="clear"/>
        <w:spacing w:line="360" w:lineRule="auto"/>
        <w:ind w:left="25" w:leftChars="12" w:firstLine="472" w:firstLineChars="197"/>
        <w:rPr>
          <w:rFonts w:hAnsi="宋体" w:cs="宋体"/>
          <w:bCs/>
          <w:color w:val="auto"/>
          <w:sz w:val="24"/>
          <w:szCs w:val="24"/>
          <w:highlight w:val="none"/>
        </w:rPr>
      </w:pPr>
      <w:r>
        <w:rPr>
          <w:rFonts w:hint="eastAsia" w:hAnsi="宋体" w:cs="宋体"/>
          <w:color w:val="auto"/>
          <w:sz w:val="24"/>
          <w:szCs w:val="24"/>
          <w:highlight w:val="none"/>
        </w:rPr>
        <w:t xml:space="preserve">投诉事项2  </w:t>
      </w:r>
      <w:r>
        <w:rPr>
          <w:rFonts w:hint="eastAsia" w:hAnsi="宋体" w:cs="宋体"/>
          <w:bCs/>
          <w:color w:val="auto"/>
          <w:sz w:val="24"/>
          <w:szCs w:val="24"/>
          <w:highlight w:val="none"/>
        </w:rPr>
        <w:t xml:space="preserve">   </w:t>
      </w:r>
    </w:p>
    <w:p w14:paraId="3953B112">
      <w:pPr>
        <w:pStyle w:val="16"/>
        <w:shd w:val="clear"/>
        <w:spacing w:line="360" w:lineRule="auto"/>
        <w:ind w:left="25" w:leftChars="12" w:firstLine="472" w:firstLineChars="197"/>
        <w:rPr>
          <w:rFonts w:hAnsi="宋体" w:cs="宋体"/>
          <w:bCs/>
          <w:color w:val="auto"/>
          <w:sz w:val="24"/>
          <w:szCs w:val="24"/>
          <w:highlight w:val="none"/>
        </w:rPr>
      </w:pPr>
      <w:r>
        <w:rPr>
          <w:rFonts w:hint="eastAsia" w:hAnsi="宋体" w:cs="宋体"/>
          <w:bCs/>
          <w:color w:val="auto"/>
          <w:sz w:val="24"/>
          <w:szCs w:val="24"/>
          <w:highlight w:val="none"/>
        </w:rPr>
        <w:t>……</w:t>
      </w:r>
    </w:p>
    <w:p w14:paraId="7A3100BD">
      <w:pPr>
        <w:pStyle w:val="16"/>
        <w:shd w:val="clear"/>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五、与投诉事项相关的投诉请求：</w:t>
      </w:r>
    </w:p>
    <w:p w14:paraId="6D3FF126">
      <w:pPr>
        <w:pStyle w:val="16"/>
        <w:shd w:val="clear"/>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请求：</w:t>
      </w:r>
      <w:r>
        <w:rPr>
          <w:rFonts w:hint="eastAsia" w:hAnsi="宋体" w:cs="宋体"/>
          <w:bCs/>
          <w:color w:val="auto"/>
          <w:sz w:val="24"/>
          <w:szCs w:val="24"/>
          <w:highlight w:val="none"/>
          <w:u w:val="single"/>
        </w:rPr>
        <w:t xml:space="preserve">                                                                                 </w:t>
      </w:r>
    </w:p>
    <w:p w14:paraId="33B399F5">
      <w:pPr>
        <w:shd w:val="clear"/>
        <w:rPr>
          <w:rFonts w:ascii="宋体" w:hAnsi="宋体" w:cs="宋体"/>
          <w:color w:val="auto"/>
          <w:highlight w:val="none"/>
        </w:rPr>
      </w:pPr>
      <w:r>
        <w:rPr>
          <w:rFonts w:hint="eastAsia" w:ascii="宋体" w:hAnsi="宋体" w:cs="宋体"/>
          <w:color w:val="auto"/>
          <w:highlight w:val="none"/>
        </w:rPr>
        <w:t xml:space="preserve"> </w:t>
      </w:r>
    </w:p>
    <w:p w14:paraId="37FF178E">
      <w:pPr>
        <w:pStyle w:val="16"/>
        <w:shd w:val="clear"/>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签字（签章）：                                       公章：</w:t>
      </w:r>
    </w:p>
    <w:p w14:paraId="145538CD">
      <w:pPr>
        <w:shd w:val="clear"/>
        <w:rPr>
          <w:rFonts w:ascii="宋体" w:hAnsi="宋体" w:cs="宋体"/>
          <w:color w:val="auto"/>
          <w:highlight w:val="none"/>
        </w:rPr>
      </w:pPr>
      <w:r>
        <w:rPr>
          <w:rFonts w:hint="eastAsia" w:ascii="宋体" w:hAnsi="宋体" w:cs="宋体"/>
          <w:color w:val="auto"/>
          <w:highlight w:val="none"/>
        </w:rPr>
        <w:t xml:space="preserve"> </w:t>
      </w:r>
    </w:p>
    <w:p w14:paraId="1B2BC0C9">
      <w:pPr>
        <w:pStyle w:val="16"/>
        <w:shd w:val="clear"/>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日期：</w:t>
      </w:r>
    </w:p>
    <w:p w14:paraId="69DDCE33">
      <w:pPr>
        <w:shd w:val="clear"/>
        <w:rPr>
          <w:rFonts w:ascii="宋体" w:hAnsi="宋体" w:cs="宋体"/>
          <w:color w:val="auto"/>
          <w:highlight w:val="none"/>
        </w:rPr>
      </w:pPr>
    </w:p>
    <w:p w14:paraId="2C5B5424">
      <w:pPr>
        <w:pStyle w:val="16"/>
        <w:shd w:val="clear"/>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说明：</w:t>
      </w:r>
    </w:p>
    <w:p w14:paraId="2B2C3175">
      <w:pPr>
        <w:pStyle w:val="16"/>
        <w:shd w:val="clear"/>
        <w:spacing w:line="360" w:lineRule="auto"/>
        <w:ind w:left="25" w:leftChars="12" w:firstLine="354" w:firstLineChars="147"/>
        <w:rPr>
          <w:rFonts w:hAnsi="宋体" w:cs="宋体"/>
          <w:b/>
          <w:bCs/>
          <w:color w:val="auto"/>
          <w:sz w:val="24"/>
          <w:szCs w:val="24"/>
          <w:highlight w:val="none"/>
        </w:rPr>
      </w:pPr>
      <w:r>
        <w:rPr>
          <w:rFonts w:hint="eastAsia" w:hAnsi="宋体" w:cs="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cs="宋体"/>
          <w:b/>
          <w:bCs/>
          <w:color w:val="auto"/>
          <w:sz w:val="24"/>
          <w:szCs w:val="24"/>
          <w:highlight w:val="none"/>
        </w:rPr>
        <w:t>。</w:t>
      </w:r>
    </w:p>
    <w:p w14:paraId="032D8A73">
      <w:pPr>
        <w:pStyle w:val="16"/>
        <w:shd w:val="clear"/>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8F136F6">
      <w:pPr>
        <w:pStyle w:val="16"/>
        <w:shd w:val="clear"/>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3.投诉书应简要列明质疑事项，质疑函、质疑答复等作为附件材料提供。</w:t>
      </w:r>
    </w:p>
    <w:p w14:paraId="0B8557DA">
      <w:pPr>
        <w:pStyle w:val="16"/>
        <w:shd w:val="clear"/>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4.投诉书的投诉事项应具体、明确，并有必要的事实依据和法律依据。</w:t>
      </w:r>
    </w:p>
    <w:p w14:paraId="10EBF8D3">
      <w:pPr>
        <w:pStyle w:val="16"/>
        <w:shd w:val="clear"/>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5.投诉书的投诉请求应与投诉事项相关。</w:t>
      </w:r>
    </w:p>
    <w:p w14:paraId="1A495FE9">
      <w:pPr>
        <w:pStyle w:val="16"/>
        <w:shd w:val="clear"/>
        <w:spacing w:line="360" w:lineRule="auto"/>
        <w:ind w:left="25" w:leftChars="12" w:firstLine="354" w:firstLineChars="147"/>
        <w:rPr>
          <w:rFonts w:hAnsi="宋体" w:cs="宋体"/>
          <w:b/>
          <w:color w:val="auto"/>
          <w:szCs w:val="20"/>
          <w:highlight w:val="none"/>
        </w:rPr>
      </w:pPr>
      <w:r>
        <w:rPr>
          <w:rFonts w:hint="eastAsia" w:hAnsi="宋体" w:cs="宋体"/>
          <w:b/>
          <w:color w:val="auto"/>
          <w:sz w:val="24"/>
          <w:szCs w:val="24"/>
          <w:highlight w:val="none"/>
        </w:rPr>
        <w:t>6.投诉人为法人或者其他组织的，投诉书应由法定代表人、主要负责人，或者其授权代表签字或者盖章，并加盖公章。</w:t>
      </w:r>
    </w:p>
    <w:p w14:paraId="426A19D5">
      <w:pPr>
        <w:pStyle w:val="16"/>
        <w:shd w:val="clear"/>
        <w:snapToGrid w:val="0"/>
        <w:rPr>
          <w:rFonts w:hAnsi="宋体" w:cs="宋体"/>
          <w:b/>
          <w:color w:val="auto"/>
          <w:sz w:val="24"/>
          <w:szCs w:val="24"/>
          <w:highlight w:val="none"/>
        </w:rPr>
      </w:pPr>
    </w:p>
    <w:p w14:paraId="52544D23">
      <w:pPr>
        <w:shd w:val="clear"/>
        <w:rPr>
          <w:color w:val="auto"/>
          <w:highlight w:val="none"/>
        </w:rPr>
      </w:pPr>
    </w:p>
    <w:p w14:paraId="5924380B">
      <w:pPr>
        <w:shd w:val="clear"/>
        <w:rPr>
          <w:rFonts w:ascii="宋体" w:hAnsi="宋体" w:cs="宋体"/>
          <w:color w:val="auto"/>
          <w:sz w:val="32"/>
          <w:szCs w:val="32"/>
          <w:highlight w:val="none"/>
        </w:rPr>
      </w:pPr>
      <w:r>
        <w:rPr>
          <w:rFonts w:hint="eastAsia" w:ascii="宋体" w:hAnsi="宋体" w:cs="宋体"/>
          <w:b/>
          <w:bCs/>
          <w:color w:val="auto"/>
          <w:sz w:val="28"/>
          <w:szCs w:val="28"/>
          <w:highlight w:val="none"/>
        </w:rPr>
        <w:br w:type="page"/>
      </w:r>
    </w:p>
    <w:p w14:paraId="647E771F">
      <w:pPr>
        <w:shd w:val="clear"/>
        <w:spacing w:line="520" w:lineRule="exact"/>
        <w:rPr>
          <w:rFonts w:ascii="宋体" w:hAnsi="宋体" w:cs="宋体"/>
          <w:color w:val="auto"/>
          <w:sz w:val="32"/>
          <w:szCs w:val="32"/>
          <w:highlight w:val="none"/>
        </w:rPr>
      </w:pPr>
    </w:p>
    <w:p w14:paraId="755612A6">
      <w:pPr>
        <w:shd w:val="clear"/>
        <w:spacing w:line="520" w:lineRule="exact"/>
        <w:rPr>
          <w:rFonts w:ascii="宋体" w:hAnsi="宋体" w:cs="宋体"/>
          <w:color w:val="auto"/>
          <w:sz w:val="32"/>
          <w:szCs w:val="32"/>
          <w:highlight w:val="none"/>
        </w:rPr>
      </w:pPr>
    </w:p>
    <w:p w14:paraId="3C36E7EB">
      <w:pPr>
        <w:shd w:val="clear"/>
        <w:autoSpaceDE w:val="0"/>
        <w:autoSpaceDN w:val="0"/>
        <w:spacing w:line="300" w:lineRule="auto"/>
        <w:rPr>
          <w:rFonts w:ascii="宋体" w:hAnsi="宋体" w:cs="宋体"/>
          <w:color w:val="auto"/>
          <w:szCs w:val="21"/>
          <w:highlight w:val="none"/>
        </w:rPr>
      </w:pPr>
    </w:p>
    <w:p w14:paraId="3B8F63BD">
      <w:pPr>
        <w:pStyle w:val="2"/>
        <w:numPr>
          <w:ilvl w:val="0"/>
          <w:numId w:val="0"/>
        </w:numPr>
        <w:shd w:val="clear"/>
        <w:spacing w:line="520" w:lineRule="exact"/>
        <w:jc w:val="center"/>
        <w:outlineLvl w:val="0"/>
        <w:rPr>
          <w:rFonts w:ascii="宋体" w:hAnsi="宋体" w:cs="宋体"/>
          <w:color w:val="auto"/>
          <w:highlight w:val="none"/>
        </w:rPr>
      </w:pPr>
      <w:r>
        <w:rPr>
          <w:rFonts w:hint="eastAsia" w:ascii="宋体" w:hAnsi="宋体" w:eastAsia="宋体" w:cs="宋体"/>
          <w:b/>
          <w:color w:val="auto"/>
          <w:kern w:val="44"/>
          <w:sz w:val="44"/>
          <w:szCs w:val="24"/>
          <w:highlight w:val="none"/>
          <w:lang w:val="en-US" w:eastAsia="zh-CN" w:bidi="ar-SA"/>
        </w:rPr>
        <w:t>第六章</w:t>
      </w:r>
      <w:bookmarkStart w:id="74" w:name="_Toc15631"/>
      <w:r>
        <w:rPr>
          <w:rFonts w:hint="eastAsia" w:ascii="宋体" w:hAnsi="宋体" w:cs="宋体"/>
          <w:b/>
          <w:color w:val="auto"/>
          <w:kern w:val="44"/>
          <w:sz w:val="44"/>
          <w:szCs w:val="24"/>
          <w:highlight w:val="none"/>
          <w:lang w:val="en-US" w:eastAsia="zh-CN" w:bidi="ar-SA"/>
        </w:rPr>
        <w:t xml:space="preserve">  </w:t>
      </w:r>
      <w:r>
        <w:rPr>
          <w:rFonts w:hint="eastAsia" w:ascii="宋体" w:hAnsi="宋体" w:cs="宋体"/>
          <w:color w:val="auto"/>
          <w:highlight w:val="none"/>
        </w:rPr>
        <w:t>合同文本</w:t>
      </w:r>
      <w:bookmarkEnd w:id="74"/>
    </w:p>
    <w:p w14:paraId="3F6DD031">
      <w:pPr>
        <w:shd w:val="clear"/>
        <w:rPr>
          <w:rFonts w:ascii="宋体" w:hAnsi="宋体" w:cs="宋体"/>
          <w:color w:val="auto"/>
          <w:highlight w:val="none"/>
        </w:rPr>
      </w:pPr>
    </w:p>
    <w:p w14:paraId="39768E4F">
      <w:pPr>
        <w:pStyle w:val="13"/>
        <w:shd w:val="clear"/>
        <w:rPr>
          <w:rFonts w:ascii="宋体" w:hAnsi="宋体" w:cs="宋体"/>
          <w:color w:val="auto"/>
          <w:highlight w:val="none"/>
        </w:rPr>
      </w:pPr>
    </w:p>
    <w:p w14:paraId="59F4945A">
      <w:pPr>
        <w:pStyle w:val="13"/>
        <w:shd w:val="clear"/>
        <w:rPr>
          <w:rFonts w:ascii="宋体" w:hAnsi="宋体" w:cs="宋体"/>
          <w:color w:val="auto"/>
          <w:highlight w:val="none"/>
        </w:rPr>
      </w:pPr>
    </w:p>
    <w:p w14:paraId="2B01C603">
      <w:pPr>
        <w:pStyle w:val="13"/>
        <w:shd w:val="clear"/>
        <w:rPr>
          <w:rFonts w:ascii="宋体" w:hAnsi="宋体" w:cs="宋体"/>
          <w:color w:val="auto"/>
          <w:highlight w:val="none"/>
        </w:rPr>
      </w:pPr>
    </w:p>
    <w:p w14:paraId="6D31A27D">
      <w:pPr>
        <w:pStyle w:val="16"/>
        <w:shd w:val="clear"/>
        <w:jc w:val="center"/>
        <w:rPr>
          <w:rFonts w:hAnsi="宋体" w:cs="宋体"/>
          <w:bCs/>
          <w:color w:val="auto"/>
          <w:sz w:val="72"/>
          <w:szCs w:val="72"/>
          <w:highlight w:val="none"/>
        </w:rPr>
      </w:pPr>
      <w:r>
        <w:rPr>
          <w:rFonts w:hint="eastAsia" w:hAnsi="宋体" w:cs="宋体"/>
          <w:bCs/>
          <w:color w:val="auto"/>
          <w:sz w:val="72"/>
          <w:szCs w:val="72"/>
          <w:highlight w:val="none"/>
        </w:rPr>
        <w:t>采购合同</w:t>
      </w:r>
    </w:p>
    <w:p w14:paraId="19F1097F">
      <w:pPr>
        <w:pStyle w:val="16"/>
        <w:shd w:val="clear"/>
        <w:rPr>
          <w:rFonts w:hAnsi="宋体" w:cs="宋体"/>
          <w:color w:val="auto"/>
          <w:highlight w:val="none"/>
        </w:rPr>
      </w:pPr>
    </w:p>
    <w:p w14:paraId="60725510">
      <w:pPr>
        <w:pStyle w:val="16"/>
        <w:shd w:val="clear"/>
        <w:rPr>
          <w:rFonts w:hAnsi="宋体" w:cs="宋体"/>
          <w:color w:val="auto"/>
          <w:highlight w:val="none"/>
        </w:rPr>
      </w:pPr>
    </w:p>
    <w:p w14:paraId="7F5A5184">
      <w:pPr>
        <w:pStyle w:val="16"/>
        <w:shd w:val="clear"/>
        <w:rPr>
          <w:rFonts w:hAnsi="宋体" w:cs="宋体"/>
          <w:color w:val="auto"/>
          <w:highlight w:val="none"/>
        </w:rPr>
      </w:pPr>
    </w:p>
    <w:p w14:paraId="3B7F4173">
      <w:pPr>
        <w:pStyle w:val="16"/>
        <w:shd w:val="clear"/>
        <w:rPr>
          <w:rFonts w:hAnsi="宋体" w:cs="宋体"/>
          <w:color w:val="auto"/>
          <w:highlight w:val="none"/>
        </w:rPr>
      </w:pPr>
    </w:p>
    <w:p w14:paraId="0CEBDC5B">
      <w:pPr>
        <w:pStyle w:val="16"/>
        <w:shd w:val="clear"/>
        <w:rPr>
          <w:rFonts w:hAnsi="宋体" w:cs="宋体"/>
          <w:color w:val="auto"/>
          <w:highlight w:val="none"/>
        </w:rPr>
      </w:pPr>
    </w:p>
    <w:p w14:paraId="7D103316">
      <w:pPr>
        <w:pStyle w:val="16"/>
        <w:shd w:val="clear"/>
        <w:rPr>
          <w:rFonts w:hAnsi="宋体" w:cs="宋体"/>
          <w:color w:val="auto"/>
          <w:highlight w:val="none"/>
        </w:rPr>
      </w:pPr>
    </w:p>
    <w:p w14:paraId="3E221592">
      <w:pPr>
        <w:pStyle w:val="16"/>
        <w:shd w:val="clear"/>
        <w:rPr>
          <w:rFonts w:hAnsi="宋体" w:cs="宋体"/>
          <w:color w:val="auto"/>
          <w:highlight w:val="none"/>
        </w:rPr>
      </w:pPr>
    </w:p>
    <w:p w14:paraId="0D1DC595">
      <w:pPr>
        <w:pStyle w:val="16"/>
        <w:shd w:val="clear"/>
        <w:ind w:firstLine="1584" w:firstLineChars="495"/>
        <w:rPr>
          <w:rFonts w:hint="eastAsia" w:hAnsi="宋体" w:eastAsia="宋体" w:cs="宋体"/>
          <w:bCs/>
          <w:color w:val="auto"/>
          <w:sz w:val="32"/>
          <w:szCs w:val="32"/>
          <w:highlight w:val="none"/>
          <w:u w:val="single"/>
          <w:lang w:eastAsia="zh-CN"/>
        </w:rPr>
      </w:pPr>
      <w:r>
        <w:rPr>
          <w:rFonts w:hint="eastAsia" w:hAnsi="宋体" w:cs="宋体"/>
          <w:bCs/>
          <w:color w:val="auto"/>
          <w:sz w:val="32"/>
          <w:szCs w:val="32"/>
          <w:highlight w:val="none"/>
        </w:rPr>
        <w:t>合同名称：</w:t>
      </w:r>
      <w:r>
        <w:rPr>
          <w:rFonts w:hint="eastAsia" w:hAnsi="宋体" w:cs="宋体"/>
          <w:bCs/>
          <w:color w:val="auto"/>
          <w:sz w:val="32"/>
          <w:szCs w:val="32"/>
          <w:highlight w:val="none"/>
          <w:u w:val="single"/>
          <w:lang w:eastAsia="zh-CN"/>
        </w:rPr>
        <w:t>广西壮族自治区国有维都林场乡土树种保供繁育基地建设项目设备采购</w:t>
      </w:r>
    </w:p>
    <w:p w14:paraId="6EE43590">
      <w:pPr>
        <w:pStyle w:val="16"/>
        <w:shd w:val="clear"/>
        <w:ind w:firstLine="1584" w:firstLineChars="495"/>
        <w:rPr>
          <w:rFonts w:hAnsi="宋体" w:cs="宋体"/>
          <w:bCs/>
          <w:color w:val="auto"/>
          <w:sz w:val="32"/>
          <w:szCs w:val="32"/>
          <w:highlight w:val="none"/>
          <w:u w:val="single"/>
        </w:rPr>
      </w:pPr>
    </w:p>
    <w:p w14:paraId="481DE16E">
      <w:pPr>
        <w:pStyle w:val="16"/>
        <w:shd w:val="clear"/>
        <w:ind w:firstLine="1584" w:firstLineChars="495"/>
        <w:rPr>
          <w:rFonts w:hAnsi="宋体" w:cs="宋体"/>
          <w:bCs/>
          <w:color w:val="auto"/>
          <w:sz w:val="32"/>
          <w:szCs w:val="32"/>
          <w:highlight w:val="none"/>
          <w:u w:val="single"/>
        </w:rPr>
      </w:pPr>
      <w:r>
        <w:rPr>
          <w:rFonts w:hint="eastAsia" w:hAnsi="宋体" w:cs="宋体"/>
          <w:bCs/>
          <w:color w:val="auto"/>
          <w:sz w:val="32"/>
          <w:szCs w:val="32"/>
          <w:highlight w:val="none"/>
        </w:rPr>
        <w:t>合同编号：</w:t>
      </w:r>
      <w:r>
        <w:rPr>
          <w:rFonts w:hint="eastAsia" w:hAnsi="宋体" w:cs="宋体"/>
          <w:bCs/>
          <w:color w:val="auto"/>
          <w:sz w:val="32"/>
          <w:szCs w:val="32"/>
          <w:highlight w:val="none"/>
          <w:u w:val="single"/>
        </w:rPr>
        <w:t xml:space="preserve">                    </w:t>
      </w:r>
    </w:p>
    <w:p w14:paraId="4D8382CE">
      <w:pPr>
        <w:pStyle w:val="16"/>
        <w:shd w:val="clear"/>
        <w:jc w:val="center"/>
        <w:rPr>
          <w:rFonts w:hAnsi="宋体" w:cs="宋体"/>
          <w:bCs/>
          <w:color w:val="auto"/>
          <w:highlight w:val="none"/>
        </w:rPr>
      </w:pPr>
    </w:p>
    <w:p w14:paraId="2CFA623E">
      <w:pPr>
        <w:pStyle w:val="16"/>
        <w:shd w:val="clear"/>
        <w:jc w:val="center"/>
        <w:rPr>
          <w:rFonts w:hAnsi="宋体" w:cs="宋体"/>
          <w:bCs/>
          <w:color w:val="auto"/>
          <w:highlight w:val="none"/>
        </w:rPr>
      </w:pPr>
    </w:p>
    <w:p w14:paraId="7DE1F634">
      <w:pPr>
        <w:pStyle w:val="16"/>
        <w:shd w:val="clear"/>
        <w:jc w:val="center"/>
        <w:rPr>
          <w:rFonts w:hAnsi="宋体" w:cs="宋体"/>
          <w:bCs/>
          <w:color w:val="auto"/>
          <w:highlight w:val="none"/>
        </w:rPr>
      </w:pPr>
    </w:p>
    <w:p w14:paraId="2F02A38B">
      <w:pPr>
        <w:pStyle w:val="16"/>
        <w:shd w:val="clear"/>
        <w:jc w:val="center"/>
        <w:rPr>
          <w:rFonts w:hAnsi="宋体" w:cs="宋体"/>
          <w:bCs/>
          <w:color w:val="auto"/>
          <w:highlight w:val="none"/>
        </w:rPr>
      </w:pPr>
    </w:p>
    <w:p w14:paraId="11C29D2A">
      <w:pPr>
        <w:pStyle w:val="16"/>
        <w:shd w:val="clear"/>
        <w:jc w:val="center"/>
        <w:rPr>
          <w:rFonts w:hAnsi="宋体" w:cs="宋体"/>
          <w:bCs/>
          <w:color w:val="auto"/>
          <w:highlight w:val="none"/>
        </w:rPr>
      </w:pPr>
    </w:p>
    <w:p w14:paraId="57D4D7D2">
      <w:pPr>
        <w:pStyle w:val="16"/>
        <w:shd w:val="clear"/>
        <w:spacing w:line="340" w:lineRule="exact"/>
        <w:ind w:firstLine="1584" w:firstLineChars="495"/>
        <w:rPr>
          <w:rFonts w:hAnsi="宋体" w:cs="宋体"/>
          <w:bCs/>
          <w:color w:val="auto"/>
          <w:sz w:val="32"/>
          <w:szCs w:val="32"/>
          <w:highlight w:val="none"/>
        </w:rPr>
      </w:pPr>
      <w:r>
        <w:rPr>
          <w:rFonts w:hint="eastAsia" w:hAnsi="宋体" w:cs="宋体"/>
          <w:bCs/>
          <w:color w:val="auto"/>
          <w:sz w:val="32"/>
          <w:szCs w:val="32"/>
          <w:highlight w:val="none"/>
        </w:rPr>
        <w:t>采</w:t>
      </w:r>
      <w:r>
        <w:rPr>
          <w:rFonts w:hint="eastAsia" w:hAnsi="宋体" w:cs="宋体"/>
          <w:bCs/>
          <w:color w:val="auto"/>
          <w:sz w:val="32"/>
          <w:szCs w:val="32"/>
          <w:highlight w:val="none"/>
          <w:lang w:val="en-US" w:eastAsia="zh-CN"/>
        </w:rPr>
        <w:t xml:space="preserve"> </w:t>
      </w:r>
      <w:r>
        <w:rPr>
          <w:rFonts w:hint="eastAsia" w:hAnsi="宋体" w:cs="宋体"/>
          <w:bCs/>
          <w:color w:val="auto"/>
          <w:sz w:val="32"/>
          <w:szCs w:val="32"/>
          <w:highlight w:val="none"/>
        </w:rPr>
        <w:t>购</w:t>
      </w:r>
      <w:r>
        <w:rPr>
          <w:rFonts w:hint="eastAsia" w:hAnsi="宋体" w:cs="宋体"/>
          <w:bCs/>
          <w:color w:val="auto"/>
          <w:sz w:val="32"/>
          <w:szCs w:val="32"/>
          <w:highlight w:val="none"/>
          <w:lang w:val="en-US" w:eastAsia="zh-CN"/>
        </w:rPr>
        <w:t xml:space="preserve"> 人</w:t>
      </w:r>
      <w:r>
        <w:rPr>
          <w:rFonts w:hint="eastAsia" w:hAnsi="宋体" w:cs="宋体"/>
          <w:bCs/>
          <w:color w:val="auto"/>
          <w:sz w:val="32"/>
          <w:szCs w:val="32"/>
          <w:highlight w:val="none"/>
        </w:rPr>
        <w:t>（甲方）</w:t>
      </w:r>
      <w:r>
        <w:rPr>
          <w:rFonts w:hint="eastAsia" w:hAnsi="宋体" w:cs="宋体"/>
          <w:bCs/>
          <w:color w:val="auto"/>
          <w:sz w:val="32"/>
          <w:szCs w:val="32"/>
          <w:highlight w:val="none"/>
          <w:u w:val="single"/>
        </w:rPr>
        <w:t xml:space="preserve">                    </w:t>
      </w:r>
    </w:p>
    <w:p w14:paraId="0EB66824">
      <w:pPr>
        <w:pStyle w:val="16"/>
        <w:shd w:val="clear"/>
        <w:spacing w:line="340" w:lineRule="exact"/>
        <w:ind w:firstLine="1584" w:firstLineChars="495"/>
        <w:rPr>
          <w:rFonts w:hAnsi="宋体" w:cs="宋体"/>
          <w:bCs/>
          <w:color w:val="auto"/>
          <w:sz w:val="32"/>
          <w:szCs w:val="32"/>
          <w:highlight w:val="none"/>
        </w:rPr>
      </w:pPr>
    </w:p>
    <w:p w14:paraId="73F212B1">
      <w:pPr>
        <w:pStyle w:val="16"/>
        <w:shd w:val="clear"/>
        <w:spacing w:line="340" w:lineRule="exact"/>
        <w:rPr>
          <w:rFonts w:hAnsi="宋体" w:cs="宋体"/>
          <w:bCs/>
          <w:color w:val="auto"/>
          <w:sz w:val="32"/>
          <w:szCs w:val="32"/>
          <w:highlight w:val="none"/>
        </w:rPr>
      </w:pPr>
    </w:p>
    <w:p w14:paraId="4D0A3DCF">
      <w:pPr>
        <w:pStyle w:val="16"/>
        <w:shd w:val="clear"/>
        <w:spacing w:line="340" w:lineRule="exact"/>
        <w:ind w:firstLine="1584" w:firstLineChars="495"/>
        <w:rPr>
          <w:rFonts w:hAnsi="宋体" w:cs="宋体"/>
          <w:bCs/>
          <w:color w:val="auto"/>
          <w:sz w:val="32"/>
          <w:szCs w:val="32"/>
          <w:highlight w:val="none"/>
        </w:rPr>
      </w:pPr>
      <w:r>
        <w:rPr>
          <w:rFonts w:hint="eastAsia" w:hAnsi="宋体" w:cs="宋体"/>
          <w:bCs/>
          <w:color w:val="auto"/>
          <w:sz w:val="32"/>
          <w:szCs w:val="32"/>
          <w:highlight w:val="none"/>
        </w:rPr>
        <w:t>供 应 商（乙方）</w:t>
      </w:r>
      <w:r>
        <w:rPr>
          <w:rFonts w:hint="eastAsia" w:hAnsi="宋体" w:cs="宋体"/>
          <w:bCs/>
          <w:color w:val="auto"/>
          <w:sz w:val="32"/>
          <w:szCs w:val="32"/>
          <w:highlight w:val="none"/>
          <w:u w:val="single"/>
        </w:rPr>
        <w:t xml:space="preserve">                   </w:t>
      </w:r>
    </w:p>
    <w:p w14:paraId="42690401">
      <w:pPr>
        <w:pStyle w:val="16"/>
        <w:shd w:val="clear"/>
        <w:spacing w:line="340" w:lineRule="exact"/>
        <w:ind w:firstLine="990" w:firstLineChars="495"/>
        <w:rPr>
          <w:rFonts w:hAnsi="宋体" w:cs="宋体"/>
          <w:bCs/>
          <w:color w:val="auto"/>
          <w:highlight w:val="none"/>
        </w:rPr>
      </w:pPr>
      <w:r>
        <w:rPr>
          <w:rFonts w:hint="eastAsia" w:hAnsi="宋体" w:cs="宋体"/>
          <w:bCs/>
          <w:color w:val="auto"/>
          <w:highlight w:val="none"/>
        </w:rPr>
        <w:t xml:space="preserve">     </w:t>
      </w:r>
    </w:p>
    <w:p w14:paraId="7BE72C5E">
      <w:pPr>
        <w:shd w:val="clear"/>
        <w:jc w:val="center"/>
        <w:rPr>
          <w:rFonts w:ascii="宋体" w:hAnsi="宋体" w:cs="宋体"/>
          <w:color w:val="auto"/>
          <w:highlight w:val="none"/>
        </w:rPr>
      </w:pPr>
      <w:r>
        <w:rPr>
          <w:rFonts w:hint="eastAsia" w:ascii="宋体" w:hAnsi="宋体" w:cs="宋体"/>
          <w:b/>
          <w:bCs/>
          <w:color w:val="auto"/>
          <w:sz w:val="44"/>
          <w:highlight w:val="none"/>
        </w:rPr>
        <w:br w:type="page"/>
      </w:r>
      <w:r>
        <w:rPr>
          <w:rFonts w:hint="eastAsia" w:ascii="宋体" w:hAnsi="宋体" w:cs="宋体"/>
          <w:b/>
          <w:bCs/>
          <w:color w:val="auto"/>
          <w:sz w:val="32"/>
          <w:szCs w:val="32"/>
          <w:highlight w:val="none"/>
        </w:rPr>
        <w:t>《</w:t>
      </w:r>
      <w:r>
        <w:rPr>
          <w:rFonts w:hint="eastAsia" w:ascii="宋体" w:hAnsi="宋体" w:cs="宋体"/>
          <w:b/>
          <w:bCs/>
          <w:color w:val="auto"/>
          <w:sz w:val="32"/>
          <w:szCs w:val="32"/>
          <w:highlight w:val="none"/>
          <w:lang w:eastAsia="zh-CN"/>
        </w:rPr>
        <w:t>广西壮族自治区国有维都林场乡土树种保供繁育基地建设项目设备采购</w:t>
      </w:r>
      <w:r>
        <w:rPr>
          <w:rFonts w:hint="eastAsia" w:ascii="宋体" w:hAnsi="宋体" w:cs="宋体"/>
          <w:b/>
          <w:bCs/>
          <w:color w:val="auto"/>
          <w:sz w:val="32"/>
          <w:szCs w:val="32"/>
          <w:highlight w:val="none"/>
        </w:rPr>
        <w:t>采购合同》</w:t>
      </w:r>
    </w:p>
    <w:p w14:paraId="627CDBCA">
      <w:pPr>
        <w:shd w:val="clear"/>
        <w:wordWrap w:val="0"/>
        <w:spacing w:line="360" w:lineRule="auto"/>
        <w:ind w:right="800"/>
        <w:jc w:val="right"/>
        <w:rPr>
          <w:rFonts w:ascii="宋体" w:hAnsi="宋体" w:cs="宋体"/>
          <w:bCs/>
          <w:color w:val="auto"/>
          <w:szCs w:val="21"/>
          <w:highlight w:val="none"/>
          <w:u w:val="single"/>
        </w:rPr>
      </w:pPr>
      <w:r>
        <w:rPr>
          <w:rFonts w:hint="eastAsia" w:ascii="宋体" w:hAnsi="宋体" w:cs="宋体"/>
          <w:bCs/>
          <w:color w:val="auto"/>
          <w:szCs w:val="21"/>
          <w:highlight w:val="none"/>
        </w:rPr>
        <w:t xml:space="preserve">            合同编号：</w:t>
      </w:r>
      <w:r>
        <w:rPr>
          <w:rFonts w:hint="eastAsia" w:ascii="宋体" w:hAnsi="宋体" w:cs="宋体"/>
          <w:color w:val="auto"/>
          <w:szCs w:val="21"/>
          <w:highlight w:val="none"/>
          <w:u w:val="single"/>
        </w:rPr>
        <w:t xml:space="preserve">                  </w:t>
      </w:r>
    </w:p>
    <w:p w14:paraId="61AE3AAB">
      <w:pPr>
        <w:shd w:val="clear"/>
        <w:spacing w:line="360" w:lineRule="auto"/>
        <w:rPr>
          <w:rFonts w:ascii="宋体" w:hAnsi="宋体" w:cs="宋体"/>
          <w:color w:val="auto"/>
          <w:szCs w:val="21"/>
          <w:highlight w:val="none"/>
          <w:u w:val="single"/>
        </w:rPr>
      </w:pPr>
      <w:r>
        <w:rPr>
          <w:rFonts w:hint="eastAsia" w:ascii="宋体" w:hAnsi="宋体" w:cs="宋体"/>
          <w:color w:val="auto"/>
          <w:szCs w:val="21"/>
          <w:highlight w:val="none"/>
        </w:rPr>
        <w:t>采购人（甲方）：</w:t>
      </w:r>
      <w:r>
        <w:rPr>
          <w:rFonts w:hint="eastAsia" w:ascii="宋体" w:hAnsi="宋体" w:cs="宋体"/>
          <w:color w:val="auto"/>
          <w:szCs w:val="21"/>
          <w:highlight w:val="none"/>
          <w:u w:val="single"/>
          <w:lang w:eastAsia="zh-CN"/>
        </w:rPr>
        <w:t>广西壮族自治区国有维都林场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供应商（乙方）：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8037D4D">
      <w:pPr>
        <w:shd w:val="clear"/>
        <w:spacing w:line="360" w:lineRule="auto"/>
        <w:rPr>
          <w:rFonts w:hint="eastAsia"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lang w:eastAsia="zh-CN"/>
        </w:rPr>
        <w:t>广西壮族自治区国有维都林场乡土树种保供繁育基地建设项目设备采购</w:t>
      </w:r>
      <w:r>
        <w:rPr>
          <w:rFonts w:hint="eastAsia" w:ascii="宋体" w:hAnsi="宋体" w:cs="宋体"/>
          <w:color w:val="auto"/>
          <w:szCs w:val="21"/>
          <w:highlight w:val="none"/>
        </w:rPr>
        <w:t xml:space="preserve"> </w:t>
      </w:r>
    </w:p>
    <w:p w14:paraId="6BA70F0A">
      <w:pPr>
        <w:shd w:val="clear"/>
        <w:spacing w:line="360" w:lineRule="auto"/>
        <w:rPr>
          <w:rFonts w:ascii="宋体" w:hAnsi="宋体" w:cs="宋体"/>
          <w:color w:val="auto"/>
          <w:szCs w:val="21"/>
          <w:highlight w:val="none"/>
          <w:u w:val="single"/>
        </w:rPr>
      </w:pP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p>
    <w:p w14:paraId="1A3099C5">
      <w:pPr>
        <w:shd w:val="clear"/>
        <w:spacing w:line="360" w:lineRule="auto"/>
        <w:rPr>
          <w:rFonts w:ascii="宋体" w:hAnsi="宋体" w:cs="宋体"/>
          <w:color w:val="auto"/>
          <w:szCs w:val="21"/>
          <w:highlight w:val="none"/>
          <w:u w:val="single"/>
        </w:rPr>
      </w:pPr>
      <w:r>
        <w:rPr>
          <w:rFonts w:hint="eastAsia" w:ascii="宋体" w:hAnsi="宋体" w:cs="宋体"/>
          <w:color w:val="auto"/>
          <w:szCs w:val="21"/>
          <w:highlight w:val="none"/>
        </w:rPr>
        <w:t>签订地点：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签订时间：</w:t>
      </w:r>
      <w:r>
        <w:rPr>
          <w:rFonts w:hint="eastAsia" w:ascii="宋体" w:hAnsi="宋体" w:cs="宋体"/>
          <w:color w:val="auto"/>
          <w:szCs w:val="21"/>
          <w:highlight w:val="none"/>
          <w:u w:val="single"/>
        </w:rPr>
        <w:t xml:space="preserve">                          </w:t>
      </w:r>
    </w:p>
    <w:p w14:paraId="01955B9A">
      <w:pPr>
        <w:shd w:val="clear"/>
        <w:spacing w:line="360" w:lineRule="auto"/>
        <w:ind w:firstLine="420" w:firstLineChars="200"/>
        <w:rPr>
          <w:rFonts w:ascii="宋体" w:hAnsi="宋体" w:cs="宋体"/>
          <w:color w:val="auto"/>
          <w:szCs w:val="21"/>
          <w:highlight w:val="none"/>
        </w:rPr>
      </w:pPr>
    </w:p>
    <w:p w14:paraId="62BCD158">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根据《中华人民共和国民法典》等法律法规规定，按照</w:t>
      </w:r>
      <w:r>
        <w:rPr>
          <w:rFonts w:hint="eastAsia" w:ascii="宋体" w:hAnsi="宋体" w:cs="宋体"/>
          <w:color w:val="auto"/>
          <w:szCs w:val="21"/>
          <w:highlight w:val="none"/>
          <w:lang w:val="en-US" w:eastAsia="zh-CN"/>
        </w:rPr>
        <w:t>竞争性</w:t>
      </w:r>
      <w:r>
        <w:rPr>
          <w:rFonts w:hint="eastAsia" w:ascii="宋体" w:hAnsi="宋体" w:cs="宋体"/>
          <w:color w:val="auto"/>
          <w:szCs w:val="21"/>
          <w:highlight w:val="none"/>
        </w:rPr>
        <w:t>谈判文件规定条款和乙方响应文件及其承诺，甲乙双方签订本合同。</w:t>
      </w:r>
    </w:p>
    <w:p w14:paraId="6E67FFBD">
      <w:pPr>
        <w:shd w:val="clea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第一条　合同标的</w:t>
      </w:r>
    </w:p>
    <w:p w14:paraId="18F35685">
      <w:pPr>
        <w:shd w:val="clea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1.供货一览表</w:t>
      </w:r>
    </w:p>
    <w:tbl>
      <w:tblPr>
        <w:tblStyle w:val="28"/>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33"/>
        <w:gridCol w:w="1059"/>
        <w:gridCol w:w="1233"/>
        <w:gridCol w:w="1210"/>
        <w:gridCol w:w="737"/>
        <w:gridCol w:w="735"/>
        <w:gridCol w:w="1095"/>
        <w:gridCol w:w="1145"/>
      </w:tblGrid>
      <w:tr w14:paraId="2669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09" w:type="dxa"/>
            <w:vAlign w:val="center"/>
          </w:tcPr>
          <w:p w14:paraId="586F0EB4">
            <w:pPr>
              <w:shd w:val="clea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233" w:type="dxa"/>
            <w:vAlign w:val="center"/>
          </w:tcPr>
          <w:p w14:paraId="526A1F5A">
            <w:pPr>
              <w:shd w:val="clea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产品名称</w:t>
            </w:r>
          </w:p>
        </w:tc>
        <w:tc>
          <w:tcPr>
            <w:tcW w:w="1059" w:type="dxa"/>
            <w:vAlign w:val="center"/>
          </w:tcPr>
          <w:p w14:paraId="13519AB2">
            <w:pPr>
              <w:shd w:val="clea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商标品牌</w:t>
            </w:r>
          </w:p>
        </w:tc>
        <w:tc>
          <w:tcPr>
            <w:tcW w:w="1233" w:type="dxa"/>
            <w:vAlign w:val="center"/>
          </w:tcPr>
          <w:p w14:paraId="49DE242E">
            <w:pPr>
              <w:shd w:val="clea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规格型号</w:t>
            </w:r>
          </w:p>
        </w:tc>
        <w:tc>
          <w:tcPr>
            <w:tcW w:w="1210" w:type="dxa"/>
            <w:vAlign w:val="center"/>
          </w:tcPr>
          <w:p w14:paraId="7F6120E7">
            <w:pPr>
              <w:shd w:val="clea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生产厂家</w:t>
            </w:r>
          </w:p>
        </w:tc>
        <w:tc>
          <w:tcPr>
            <w:tcW w:w="737" w:type="dxa"/>
            <w:vAlign w:val="center"/>
          </w:tcPr>
          <w:p w14:paraId="57BB8E61">
            <w:pPr>
              <w:shd w:val="clea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735" w:type="dxa"/>
            <w:vAlign w:val="center"/>
          </w:tcPr>
          <w:p w14:paraId="183CDFD8">
            <w:pPr>
              <w:shd w:val="clea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1095" w:type="dxa"/>
            <w:vAlign w:val="center"/>
          </w:tcPr>
          <w:p w14:paraId="23E66543">
            <w:pPr>
              <w:shd w:val="clea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单价（元）</w:t>
            </w:r>
          </w:p>
        </w:tc>
        <w:tc>
          <w:tcPr>
            <w:tcW w:w="1145" w:type="dxa"/>
            <w:vAlign w:val="center"/>
          </w:tcPr>
          <w:p w14:paraId="2F2C26AA">
            <w:pPr>
              <w:shd w:val="clea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金额（元）</w:t>
            </w:r>
          </w:p>
        </w:tc>
      </w:tr>
      <w:tr w14:paraId="7441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14:paraId="0C8A5E18">
            <w:pPr>
              <w:shd w:val="clea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233" w:type="dxa"/>
            <w:vAlign w:val="center"/>
          </w:tcPr>
          <w:p w14:paraId="208A7896">
            <w:pPr>
              <w:shd w:val="clear"/>
              <w:snapToGrid w:val="0"/>
              <w:spacing w:line="360" w:lineRule="auto"/>
              <w:jc w:val="center"/>
              <w:rPr>
                <w:rFonts w:ascii="宋体" w:hAnsi="宋体" w:cs="宋体"/>
                <w:color w:val="auto"/>
                <w:szCs w:val="21"/>
                <w:highlight w:val="none"/>
              </w:rPr>
            </w:pPr>
          </w:p>
        </w:tc>
        <w:tc>
          <w:tcPr>
            <w:tcW w:w="1059" w:type="dxa"/>
            <w:vAlign w:val="center"/>
          </w:tcPr>
          <w:p w14:paraId="34ED0357">
            <w:pPr>
              <w:shd w:val="clear"/>
              <w:snapToGrid w:val="0"/>
              <w:spacing w:line="360" w:lineRule="auto"/>
              <w:jc w:val="center"/>
              <w:rPr>
                <w:rFonts w:ascii="宋体" w:hAnsi="宋体" w:cs="宋体"/>
                <w:color w:val="auto"/>
                <w:szCs w:val="21"/>
                <w:highlight w:val="none"/>
              </w:rPr>
            </w:pPr>
          </w:p>
        </w:tc>
        <w:tc>
          <w:tcPr>
            <w:tcW w:w="1233" w:type="dxa"/>
            <w:vAlign w:val="center"/>
          </w:tcPr>
          <w:p w14:paraId="7BB94AE9">
            <w:pPr>
              <w:shd w:val="clear"/>
              <w:snapToGrid w:val="0"/>
              <w:spacing w:line="360" w:lineRule="auto"/>
              <w:jc w:val="center"/>
              <w:rPr>
                <w:rFonts w:ascii="宋体" w:hAnsi="宋体" w:cs="宋体"/>
                <w:color w:val="auto"/>
                <w:szCs w:val="21"/>
                <w:highlight w:val="none"/>
              </w:rPr>
            </w:pPr>
          </w:p>
        </w:tc>
        <w:tc>
          <w:tcPr>
            <w:tcW w:w="1210" w:type="dxa"/>
          </w:tcPr>
          <w:p w14:paraId="55D0DDB4">
            <w:pPr>
              <w:shd w:val="clear"/>
              <w:snapToGrid w:val="0"/>
              <w:spacing w:line="360" w:lineRule="auto"/>
              <w:jc w:val="center"/>
              <w:rPr>
                <w:rFonts w:ascii="宋体" w:hAnsi="宋体" w:cs="宋体"/>
                <w:color w:val="auto"/>
                <w:szCs w:val="21"/>
                <w:highlight w:val="none"/>
              </w:rPr>
            </w:pPr>
          </w:p>
        </w:tc>
        <w:tc>
          <w:tcPr>
            <w:tcW w:w="737" w:type="dxa"/>
          </w:tcPr>
          <w:p w14:paraId="3B7AA6D0">
            <w:pPr>
              <w:shd w:val="clear"/>
              <w:snapToGrid w:val="0"/>
              <w:spacing w:line="360" w:lineRule="auto"/>
              <w:jc w:val="center"/>
              <w:rPr>
                <w:rFonts w:ascii="宋体" w:hAnsi="宋体" w:cs="宋体"/>
                <w:color w:val="auto"/>
                <w:szCs w:val="21"/>
                <w:highlight w:val="none"/>
              </w:rPr>
            </w:pPr>
          </w:p>
        </w:tc>
        <w:tc>
          <w:tcPr>
            <w:tcW w:w="735" w:type="dxa"/>
          </w:tcPr>
          <w:p w14:paraId="401CBEAC">
            <w:pPr>
              <w:shd w:val="clear"/>
              <w:snapToGrid w:val="0"/>
              <w:spacing w:line="360" w:lineRule="auto"/>
              <w:jc w:val="center"/>
              <w:rPr>
                <w:rFonts w:ascii="宋体" w:hAnsi="宋体" w:cs="宋体"/>
                <w:color w:val="auto"/>
                <w:szCs w:val="21"/>
                <w:highlight w:val="none"/>
              </w:rPr>
            </w:pPr>
          </w:p>
        </w:tc>
        <w:tc>
          <w:tcPr>
            <w:tcW w:w="1095" w:type="dxa"/>
            <w:vAlign w:val="center"/>
          </w:tcPr>
          <w:p w14:paraId="2BD7F9D8">
            <w:pPr>
              <w:shd w:val="clear"/>
              <w:snapToGrid w:val="0"/>
              <w:spacing w:line="360" w:lineRule="auto"/>
              <w:jc w:val="center"/>
              <w:rPr>
                <w:rFonts w:ascii="宋体" w:hAnsi="宋体" w:cs="宋体"/>
                <w:color w:val="auto"/>
                <w:szCs w:val="21"/>
                <w:highlight w:val="none"/>
              </w:rPr>
            </w:pPr>
          </w:p>
        </w:tc>
        <w:tc>
          <w:tcPr>
            <w:tcW w:w="1145" w:type="dxa"/>
            <w:vAlign w:val="center"/>
          </w:tcPr>
          <w:p w14:paraId="6E1B98A8">
            <w:pPr>
              <w:shd w:val="clear"/>
              <w:snapToGrid w:val="0"/>
              <w:spacing w:line="360" w:lineRule="auto"/>
              <w:jc w:val="center"/>
              <w:rPr>
                <w:rFonts w:ascii="宋体" w:hAnsi="宋体" w:cs="宋体"/>
                <w:color w:val="auto"/>
                <w:szCs w:val="21"/>
                <w:highlight w:val="none"/>
              </w:rPr>
            </w:pPr>
          </w:p>
        </w:tc>
      </w:tr>
      <w:tr w14:paraId="2153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14:paraId="02E8B65D">
            <w:pPr>
              <w:shd w:val="clea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1233" w:type="dxa"/>
            <w:vAlign w:val="center"/>
          </w:tcPr>
          <w:p w14:paraId="04D9A5D8">
            <w:pPr>
              <w:shd w:val="clear"/>
              <w:snapToGrid w:val="0"/>
              <w:spacing w:line="360" w:lineRule="auto"/>
              <w:jc w:val="center"/>
              <w:rPr>
                <w:rFonts w:ascii="宋体" w:hAnsi="宋体" w:cs="宋体"/>
                <w:color w:val="auto"/>
                <w:szCs w:val="21"/>
                <w:highlight w:val="none"/>
              </w:rPr>
            </w:pPr>
          </w:p>
        </w:tc>
        <w:tc>
          <w:tcPr>
            <w:tcW w:w="1059" w:type="dxa"/>
            <w:vAlign w:val="center"/>
          </w:tcPr>
          <w:p w14:paraId="54924395">
            <w:pPr>
              <w:shd w:val="clear"/>
              <w:snapToGrid w:val="0"/>
              <w:spacing w:line="360" w:lineRule="auto"/>
              <w:jc w:val="center"/>
              <w:rPr>
                <w:rFonts w:ascii="宋体" w:hAnsi="宋体" w:cs="宋体"/>
                <w:color w:val="auto"/>
                <w:szCs w:val="21"/>
                <w:highlight w:val="none"/>
              </w:rPr>
            </w:pPr>
          </w:p>
        </w:tc>
        <w:tc>
          <w:tcPr>
            <w:tcW w:w="1233" w:type="dxa"/>
            <w:vAlign w:val="center"/>
          </w:tcPr>
          <w:p w14:paraId="0404EDE7">
            <w:pPr>
              <w:shd w:val="clear"/>
              <w:snapToGrid w:val="0"/>
              <w:spacing w:line="360" w:lineRule="auto"/>
              <w:jc w:val="center"/>
              <w:rPr>
                <w:rFonts w:ascii="宋体" w:hAnsi="宋体" w:cs="宋体"/>
                <w:color w:val="auto"/>
                <w:szCs w:val="21"/>
                <w:highlight w:val="none"/>
              </w:rPr>
            </w:pPr>
          </w:p>
        </w:tc>
        <w:tc>
          <w:tcPr>
            <w:tcW w:w="1210" w:type="dxa"/>
          </w:tcPr>
          <w:p w14:paraId="129AD7DB">
            <w:pPr>
              <w:shd w:val="clear"/>
              <w:snapToGrid w:val="0"/>
              <w:spacing w:line="360" w:lineRule="auto"/>
              <w:jc w:val="center"/>
              <w:rPr>
                <w:rFonts w:ascii="宋体" w:hAnsi="宋体" w:cs="宋体"/>
                <w:color w:val="auto"/>
                <w:szCs w:val="21"/>
                <w:highlight w:val="none"/>
              </w:rPr>
            </w:pPr>
          </w:p>
        </w:tc>
        <w:tc>
          <w:tcPr>
            <w:tcW w:w="737" w:type="dxa"/>
          </w:tcPr>
          <w:p w14:paraId="712C1461">
            <w:pPr>
              <w:shd w:val="clear"/>
              <w:snapToGrid w:val="0"/>
              <w:spacing w:line="360" w:lineRule="auto"/>
              <w:jc w:val="center"/>
              <w:rPr>
                <w:rFonts w:ascii="宋体" w:hAnsi="宋体" w:cs="宋体"/>
                <w:color w:val="auto"/>
                <w:szCs w:val="21"/>
                <w:highlight w:val="none"/>
              </w:rPr>
            </w:pPr>
          </w:p>
        </w:tc>
        <w:tc>
          <w:tcPr>
            <w:tcW w:w="735" w:type="dxa"/>
          </w:tcPr>
          <w:p w14:paraId="2456FD98">
            <w:pPr>
              <w:shd w:val="clear"/>
              <w:snapToGrid w:val="0"/>
              <w:spacing w:line="360" w:lineRule="auto"/>
              <w:jc w:val="center"/>
              <w:rPr>
                <w:rFonts w:ascii="宋体" w:hAnsi="宋体" w:cs="宋体"/>
                <w:color w:val="auto"/>
                <w:szCs w:val="21"/>
                <w:highlight w:val="none"/>
              </w:rPr>
            </w:pPr>
          </w:p>
        </w:tc>
        <w:tc>
          <w:tcPr>
            <w:tcW w:w="1095" w:type="dxa"/>
            <w:vAlign w:val="center"/>
          </w:tcPr>
          <w:p w14:paraId="10D93147">
            <w:pPr>
              <w:shd w:val="clear"/>
              <w:snapToGrid w:val="0"/>
              <w:spacing w:line="360" w:lineRule="auto"/>
              <w:jc w:val="center"/>
              <w:rPr>
                <w:rFonts w:ascii="宋体" w:hAnsi="宋体" w:cs="宋体"/>
                <w:color w:val="auto"/>
                <w:szCs w:val="21"/>
                <w:highlight w:val="none"/>
              </w:rPr>
            </w:pPr>
          </w:p>
        </w:tc>
        <w:tc>
          <w:tcPr>
            <w:tcW w:w="1145" w:type="dxa"/>
            <w:vAlign w:val="center"/>
          </w:tcPr>
          <w:p w14:paraId="74B0AF3A">
            <w:pPr>
              <w:shd w:val="clear"/>
              <w:snapToGrid w:val="0"/>
              <w:spacing w:line="360" w:lineRule="auto"/>
              <w:jc w:val="center"/>
              <w:rPr>
                <w:rFonts w:ascii="宋体" w:hAnsi="宋体" w:cs="宋体"/>
                <w:color w:val="auto"/>
                <w:szCs w:val="21"/>
                <w:highlight w:val="none"/>
              </w:rPr>
            </w:pPr>
          </w:p>
        </w:tc>
      </w:tr>
      <w:tr w14:paraId="754E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14:paraId="1134CA5E">
            <w:pPr>
              <w:shd w:val="clea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1233" w:type="dxa"/>
            <w:vAlign w:val="center"/>
          </w:tcPr>
          <w:p w14:paraId="2B77AF16">
            <w:pPr>
              <w:shd w:val="clear"/>
              <w:snapToGrid w:val="0"/>
              <w:spacing w:line="360" w:lineRule="auto"/>
              <w:jc w:val="center"/>
              <w:rPr>
                <w:rFonts w:ascii="宋体" w:hAnsi="宋体" w:cs="宋体"/>
                <w:color w:val="auto"/>
                <w:szCs w:val="21"/>
                <w:highlight w:val="none"/>
              </w:rPr>
            </w:pPr>
          </w:p>
        </w:tc>
        <w:tc>
          <w:tcPr>
            <w:tcW w:w="1059" w:type="dxa"/>
            <w:vAlign w:val="center"/>
          </w:tcPr>
          <w:p w14:paraId="7B6D93AD">
            <w:pPr>
              <w:shd w:val="clear"/>
              <w:snapToGrid w:val="0"/>
              <w:spacing w:line="360" w:lineRule="auto"/>
              <w:jc w:val="center"/>
              <w:rPr>
                <w:rFonts w:ascii="宋体" w:hAnsi="宋体" w:cs="宋体"/>
                <w:color w:val="auto"/>
                <w:szCs w:val="21"/>
                <w:highlight w:val="none"/>
              </w:rPr>
            </w:pPr>
          </w:p>
        </w:tc>
        <w:tc>
          <w:tcPr>
            <w:tcW w:w="1233" w:type="dxa"/>
            <w:vAlign w:val="center"/>
          </w:tcPr>
          <w:p w14:paraId="581CB863">
            <w:pPr>
              <w:shd w:val="clear"/>
              <w:snapToGrid w:val="0"/>
              <w:spacing w:line="360" w:lineRule="auto"/>
              <w:jc w:val="center"/>
              <w:rPr>
                <w:rFonts w:ascii="宋体" w:hAnsi="宋体" w:cs="宋体"/>
                <w:color w:val="auto"/>
                <w:szCs w:val="21"/>
                <w:highlight w:val="none"/>
              </w:rPr>
            </w:pPr>
          </w:p>
        </w:tc>
        <w:tc>
          <w:tcPr>
            <w:tcW w:w="1210" w:type="dxa"/>
          </w:tcPr>
          <w:p w14:paraId="221CB499">
            <w:pPr>
              <w:shd w:val="clear"/>
              <w:snapToGrid w:val="0"/>
              <w:spacing w:line="360" w:lineRule="auto"/>
              <w:jc w:val="center"/>
              <w:rPr>
                <w:rFonts w:ascii="宋体" w:hAnsi="宋体" w:cs="宋体"/>
                <w:color w:val="auto"/>
                <w:szCs w:val="21"/>
                <w:highlight w:val="none"/>
              </w:rPr>
            </w:pPr>
          </w:p>
        </w:tc>
        <w:tc>
          <w:tcPr>
            <w:tcW w:w="737" w:type="dxa"/>
          </w:tcPr>
          <w:p w14:paraId="24B77041">
            <w:pPr>
              <w:shd w:val="clear"/>
              <w:snapToGrid w:val="0"/>
              <w:spacing w:line="360" w:lineRule="auto"/>
              <w:jc w:val="center"/>
              <w:rPr>
                <w:rFonts w:ascii="宋体" w:hAnsi="宋体" w:cs="宋体"/>
                <w:color w:val="auto"/>
                <w:szCs w:val="21"/>
                <w:highlight w:val="none"/>
              </w:rPr>
            </w:pPr>
          </w:p>
        </w:tc>
        <w:tc>
          <w:tcPr>
            <w:tcW w:w="735" w:type="dxa"/>
          </w:tcPr>
          <w:p w14:paraId="1238E9B5">
            <w:pPr>
              <w:shd w:val="clear"/>
              <w:snapToGrid w:val="0"/>
              <w:spacing w:line="360" w:lineRule="auto"/>
              <w:jc w:val="center"/>
              <w:rPr>
                <w:rFonts w:ascii="宋体" w:hAnsi="宋体" w:cs="宋体"/>
                <w:color w:val="auto"/>
                <w:szCs w:val="21"/>
                <w:highlight w:val="none"/>
              </w:rPr>
            </w:pPr>
          </w:p>
        </w:tc>
        <w:tc>
          <w:tcPr>
            <w:tcW w:w="1095" w:type="dxa"/>
            <w:vAlign w:val="center"/>
          </w:tcPr>
          <w:p w14:paraId="14F44E88">
            <w:pPr>
              <w:shd w:val="clear"/>
              <w:snapToGrid w:val="0"/>
              <w:spacing w:line="360" w:lineRule="auto"/>
              <w:jc w:val="center"/>
              <w:rPr>
                <w:rFonts w:ascii="宋体" w:hAnsi="宋体" w:cs="宋体"/>
                <w:color w:val="auto"/>
                <w:szCs w:val="21"/>
                <w:highlight w:val="none"/>
              </w:rPr>
            </w:pPr>
          </w:p>
        </w:tc>
        <w:tc>
          <w:tcPr>
            <w:tcW w:w="1145" w:type="dxa"/>
            <w:vAlign w:val="center"/>
          </w:tcPr>
          <w:p w14:paraId="561C1E62">
            <w:pPr>
              <w:shd w:val="clear"/>
              <w:snapToGrid w:val="0"/>
              <w:spacing w:line="360" w:lineRule="auto"/>
              <w:jc w:val="center"/>
              <w:rPr>
                <w:rFonts w:ascii="宋体" w:hAnsi="宋体" w:cs="宋体"/>
                <w:color w:val="auto"/>
                <w:szCs w:val="21"/>
                <w:highlight w:val="none"/>
              </w:rPr>
            </w:pPr>
          </w:p>
        </w:tc>
      </w:tr>
      <w:tr w14:paraId="1DD2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156" w:type="dxa"/>
            <w:gridSpan w:val="9"/>
            <w:vAlign w:val="center"/>
          </w:tcPr>
          <w:p w14:paraId="74227B41">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合计金额（大写）：人民币                                （¥             ）</w:t>
            </w:r>
          </w:p>
        </w:tc>
      </w:tr>
    </w:tbl>
    <w:p w14:paraId="385C102D">
      <w:pPr>
        <w:shd w:val="clear"/>
        <w:spacing w:line="420" w:lineRule="exact"/>
        <w:ind w:right="420"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报价的价格构成为：</w:t>
      </w:r>
      <w:r>
        <w:rPr>
          <w:rFonts w:hint="eastAsia" w:ascii="宋体" w:hAnsi="宋体" w:eastAsia="宋体" w:cs="宋体"/>
          <w:color w:val="auto"/>
          <w:highlight w:val="none"/>
          <w:lang w:val="en-US" w:eastAsia="zh-CN"/>
        </w:rPr>
        <w:t>响应报价包含货物、货物标准附件、软件、备品备件、专用工具、设备安装辅材、包装、运输、装卸、保险、货到就位、质保期（保修期）内维护、保养、维修及设备软件更新升级的各种费用以及安装、调试、软件接口费用等本竞争性谈判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w:t>
      </w:r>
      <w:r>
        <w:rPr>
          <w:rFonts w:hint="eastAsia" w:ascii="宋体" w:hAnsi="宋体" w:eastAsia="宋体" w:cs="宋体"/>
          <w:color w:val="auto"/>
          <w:sz w:val="21"/>
          <w:szCs w:val="21"/>
          <w:highlight w:val="none"/>
        </w:rPr>
        <w:t>合同履行过程中，采购人不再支付合同以外的其他费用。</w:t>
      </w:r>
    </w:p>
    <w:p w14:paraId="54216B92">
      <w:pPr>
        <w:shd w:val="clear"/>
        <w:spacing w:line="420" w:lineRule="exact"/>
        <w:ind w:firstLine="422" w:firstLineChars="200"/>
        <w:rPr>
          <w:rFonts w:ascii="宋体" w:hAnsi="宋体" w:cs="宋体"/>
          <w:color w:val="auto"/>
          <w:szCs w:val="21"/>
          <w:highlight w:val="none"/>
        </w:rPr>
      </w:pPr>
      <w:r>
        <w:rPr>
          <w:rFonts w:hint="eastAsia" w:ascii="宋体" w:hAnsi="宋体" w:cs="宋体"/>
          <w:b/>
          <w:color w:val="auto"/>
          <w:szCs w:val="21"/>
          <w:highlight w:val="none"/>
        </w:rPr>
        <w:t>第二条　质量保证</w:t>
      </w:r>
    </w:p>
    <w:p w14:paraId="63F2D51F">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乙方所提供的货物、软件型号、技术规格、技术参数等质量必须与竞争性谈判文件和承诺相一致。乙方提供的节能和环保产品必须是列入政府采购清单的产品。</w:t>
      </w:r>
    </w:p>
    <w:p w14:paraId="32C50563">
      <w:pPr>
        <w:shd w:val="clear"/>
        <w:spacing w:line="42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乙方所提供的货物、软件必须是全新、未使用的原装产品，且在正常安装、使用和保养条件下，其使用寿命期内各项指标均达到质量要求。</w:t>
      </w:r>
    </w:p>
    <w:p w14:paraId="077FD1A2">
      <w:pPr>
        <w:shd w:val="clear"/>
        <w:spacing w:line="420" w:lineRule="exact"/>
        <w:ind w:firstLine="422" w:firstLineChars="200"/>
        <w:rPr>
          <w:rFonts w:ascii="宋体" w:hAnsi="宋体" w:cs="宋体"/>
          <w:color w:val="auto"/>
          <w:szCs w:val="21"/>
          <w:highlight w:val="none"/>
        </w:rPr>
      </w:pPr>
      <w:r>
        <w:rPr>
          <w:rFonts w:hint="eastAsia" w:ascii="宋体" w:hAnsi="宋体" w:cs="宋体"/>
          <w:b/>
          <w:color w:val="auto"/>
          <w:szCs w:val="21"/>
          <w:highlight w:val="none"/>
        </w:rPr>
        <w:t>第三条　权利保证</w:t>
      </w:r>
    </w:p>
    <w:p w14:paraId="01B1B14D">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乙方应保证所提供货物、软件在使用时不会侵犯任何第三方的专利权、商标权、工业设计权或其他权利。</w:t>
      </w:r>
    </w:p>
    <w:p w14:paraId="6ACDEF76">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乙方</w:t>
      </w:r>
      <w:r>
        <w:rPr>
          <w:rFonts w:hint="eastAsia" w:ascii="宋体" w:hAnsi="宋体" w:eastAsia="宋体" w:cs="宋体"/>
          <w:color w:val="auto"/>
          <w:szCs w:val="21"/>
          <w:highlight w:val="none"/>
        </w:rPr>
        <w:t>应按</w:t>
      </w:r>
      <w:r>
        <w:rPr>
          <w:rFonts w:hint="eastAsia" w:ascii="宋体" w:hAnsi="宋体" w:eastAsia="宋体" w:cs="宋体"/>
          <w:color w:val="auto"/>
          <w:szCs w:val="21"/>
          <w:highlight w:val="none"/>
          <w:lang w:val="en-US" w:eastAsia="zh-CN"/>
        </w:rPr>
        <w:t>竞争性</w:t>
      </w:r>
      <w:r>
        <w:rPr>
          <w:rFonts w:hint="eastAsia" w:ascii="宋体" w:hAnsi="宋体" w:eastAsia="宋体" w:cs="宋体"/>
          <w:color w:val="auto"/>
          <w:szCs w:val="21"/>
          <w:highlight w:val="none"/>
        </w:rPr>
        <w:t>谈判文件</w:t>
      </w:r>
      <w:r>
        <w:rPr>
          <w:rFonts w:hint="eastAsia" w:ascii="宋体" w:hAnsi="宋体" w:cs="宋体"/>
          <w:color w:val="auto"/>
          <w:szCs w:val="21"/>
          <w:highlight w:val="none"/>
        </w:rPr>
        <w:t>规定的时间向甲方提供使用货物、软件的有关技术资料。</w:t>
      </w:r>
    </w:p>
    <w:p w14:paraId="61FE56C4">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没有甲方事先书面同意，乙方不得将由甲方提供的有关合同或任何合同条文、规格、计划、图纸、样品或资料提供给予履行本合同无关的任何其他人。即使向履行本合同有关的人员提供，也应注意保密并限于履行合同的必需范围。</w:t>
      </w:r>
    </w:p>
    <w:p w14:paraId="13421736">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乙方保证所交付的货物、软件的所有权完全属于乙方且无任何抵押、质押、查封等产权瑕疵。</w:t>
      </w:r>
    </w:p>
    <w:p w14:paraId="6DC8CC9C">
      <w:pPr>
        <w:shd w:val="clear"/>
        <w:spacing w:line="4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第四条　包装和运输</w:t>
      </w:r>
    </w:p>
    <w:p w14:paraId="5B5E02FF">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乙方提供的货物、软件均应按</w:t>
      </w:r>
      <w:r>
        <w:rPr>
          <w:rFonts w:hint="eastAsia" w:ascii="宋体" w:hAnsi="宋体" w:eastAsia="宋体" w:cs="宋体"/>
          <w:color w:val="auto"/>
          <w:szCs w:val="21"/>
          <w:highlight w:val="none"/>
          <w:lang w:val="en-US" w:eastAsia="zh-CN"/>
        </w:rPr>
        <w:t>竞争性</w:t>
      </w:r>
      <w:r>
        <w:rPr>
          <w:rFonts w:hint="eastAsia" w:ascii="宋体" w:hAnsi="宋体" w:eastAsia="宋体" w:cs="宋体"/>
          <w:color w:val="auto"/>
          <w:szCs w:val="21"/>
          <w:highlight w:val="none"/>
        </w:rPr>
        <w:t>谈判文件要求的</w:t>
      </w:r>
      <w:r>
        <w:rPr>
          <w:rFonts w:hint="eastAsia" w:ascii="宋体" w:hAnsi="宋体" w:cs="宋体"/>
          <w:color w:val="auto"/>
          <w:szCs w:val="21"/>
          <w:highlight w:val="none"/>
        </w:rPr>
        <w:t>包装材料、包装标准、包装方式进行包装，每一包装单元内应附详细的装箱单和质量合格证。</w:t>
      </w:r>
    </w:p>
    <w:p w14:paraId="281A6369">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货物的运输方式：汽车、火车等安全运输方式。</w:t>
      </w:r>
    </w:p>
    <w:p w14:paraId="7BC5AC8D">
      <w:pPr>
        <w:shd w:val="clear"/>
        <w:spacing w:line="42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乙方负责货物运输，货物运输合理损耗及计算方法：所有损耗由乙方负责。</w:t>
      </w:r>
    </w:p>
    <w:p w14:paraId="2D94089E">
      <w:pPr>
        <w:shd w:val="clear"/>
        <w:spacing w:line="420" w:lineRule="exact"/>
        <w:ind w:firstLine="422" w:firstLineChars="200"/>
        <w:rPr>
          <w:rFonts w:ascii="宋体" w:hAnsi="宋体" w:cs="宋体"/>
          <w:color w:val="auto"/>
          <w:szCs w:val="21"/>
          <w:highlight w:val="none"/>
        </w:rPr>
      </w:pPr>
      <w:r>
        <w:rPr>
          <w:rFonts w:hint="eastAsia" w:ascii="宋体" w:hAnsi="宋体" w:cs="宋体"/>
          <w:b/>
          <w:color w:val="auto"/>
          <w:szCs w:val="21"/>
          <w:highlight w:val="none"/>
        </w:rPr>
        <w:t>第五条　交付和验收</w:t>
      </w:r>
    </w:p>
    <w:p w14:paraId="7E5A70AD">
      <w:pPr>
        <w:shd w:val="clear"/>
        <w:spacing w:line="4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.交货期</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79CF9B2D">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地点：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F89B880">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乙方应将所提供货物、软件的装箱清单、用户手册、原厂保修卡、随机资料、工具和备品、备件等交付给甲方，如有缺失应及时补齐，否则视为逾期交货。</w:t>
      </w:r>
    </w:p>
    <w:p w14:paraId="1DF49CBF">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甲方应当在到货及软件开发完成并安装调试后7个工作日内进行验收，逾期不验收的，乙方可视同验收合格。验收合格后由甲乙双方签署货物验收单并加盖</w:t>
      </w:r>
      <w:r>
        <w:rPr>
          <w:rFonts w:hint="eastAsia" w:ascii="宋体" w:hAnsi="宋体" w:cs="宋体"/>
          <w:color w:val="auto"/>
          <w:szCs w:val="21"/>
          <w:highlight w:val="none"/>
          <w:lang w:val="en-US" w:eastAsia="zh-CN"/>
        </w:rPr>
        <w:t>甲方</w:t>
      </w:r>
      <w:r>
        <w:rPr>
          <w:rFonts w:hint="eastAsia" w:ascii="宋体" w:hAnsi="宋体" w:cs="宋体"/>
          <w:color w:val="auto"/>
          <w:szCs w:val="21"/>
          <w:highlight w:val="none"/>
        </w:rPr>
        <w:t>公章。验收不合格的，甲方有权要求乙方整改并达到合格，2次验收不合格的，甲方有权不予以支付合同款，已支付的，甲方有权乙方返还。</w:t>
      </w:r>
    </w:p>
    <w:p w14:paraId="57D94901">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.甲方</w:t>
      </w:r>
      <w:r>
        <w:rPr>
          <w:rFonts w:hint="eastAsia" w:ascii="宋体" w:hAnsi="宋体" w:cs="宋体"/>
          <w:color w:val="auto"/>
          <w:szCs w:val="21"/>
          <w:highlight w:val="none"/>
        </w:rPr>
        <w:t>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4FD297A2">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甲方对验收有异议的，在验收后5个工作日内以书面形式向乙方提出，乙方应自收到甲方书面异议后</w:t>
      </w:r>
      <w:r>
        <w:rPr>
          <w:rFonts w:hint="eastAsia" w:ascii="宋体" w:hAnsi="宋体" w:cs="宋体"/>
          <w:color w:val="auto"/>
          <w:szCs w:val="21"/>
          <w:highlight w:val="none"/>
          <w:u w:val="single"/>
        </w:rPr>
        <w:t>15</w:t>
      </w:r>
      <w:r>
        <w:rPr>
          <w:rFonts w:hint="eastAsia" w:ascii="宋体" w:hAnsi="宋体" w:cs="宋体"/>
          <w:color w:val="auto"/>
          <w:szCs w:val="21"/>
          <w:highlight w:val="none"/>
        </w:rPr>
        <w:t>日内及时予以解决。</w:t>
      </w:r>
    </w:p>
    <w:p w14:paraId="16C27721">
      <w:pPr>
        <w:shd w:val="clear"/>
        <w:spacing w:line="4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第六条　安装和培训</w:t>
      </w:r>
    </w:p>
    <w:p w14:paraId="2243D00E">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甲方应提供必要安装条件（如场地、电源、水源等）。</w:t>
      </w:r>
    </w:p>
    <w:p w14:paraId="0CE8D9D3">
      <w:pPr>
        <w:shd w:val="clear"/>
        <w:spacing w:line="42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乙方负责甲方有关人员的培训。培训时间、地点：</w:t>
      </w:r>
      <w:r>
        <w:rPr>
          <w:rFonts w:hint="eastAsia" w:ascii="宋体" w:hAnsi="宋体" w:cs="宋体"/>
          <w:color w:val="auto"/>
          <w:szCs w:val="21"/>
          <w:highlight w:val="none"/>
          <w:u w:val="single"/>
        </w:rPr>
        <w:t>广西南宁市</w:t>
      </w:r>
      <w:r>
        <w:rPr>
          <w:rFonts w:hint="eastAsia" w:ascii="宋体" w:hAnsi="宋体" w:cs="宋体"/>
          <w:color w:val="auto"/>
          <w:szCs w:val="21"/>
          <w:highlight w:val="none"/>
          <w:u w:val="single"/>
          <w:lang w:val="en-US" w:eastAsia="zh-CN"/>
        </w:rPr>
        <w:t>甲方</w:t>
      </w:r>
      <w:r>
        <w:rPr>
          <w:rFonts w:hint="eastAsia" w:ascii="宋体" w:hAnsi="宋体" w:cs="宋体"/>
          <w:color w:val="auto"/>
          <w:szCs w:val="21"/>
          <w:highlight w:val="none"/>
          <w:u w:val="single"/>
        </w:rPr>
        <w:t>指定时间、地点</w:t>
      </w:r>
      <w:r>
        <w:rPr>
          <w:rFonts w:hint="eastAsia" w:ascii="宋体" w:hAnsi="宋体" w:cs="宋体"/>
          <w:color w:val="auto"/>
          <w:szCs w:val="21"/>
          <w:highlight w:val="none"/>
        </w:rPr>
        <w:t>。</w:t>
      </w:r>
    </w:p>
    <w:p w14:paraId="36896A88">
      <w:pPr>
        <w:shd w:val="clear"/>
        <w:spacing w:line="4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第七条  售后服务、质保期</w:t>
      </w:r>
    </w:p>
    <w:p w14:paraId="5C1707AE">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乙方应按照国家有关法律法规和“三包”规定以及竞争性谈判文件和本合同所附的《服务承诺》，为甲方提供售后服务。</w:t>
      </w:r>
    </w:p>
    <w:p w14:paraId="0B786871">
      <w:pPr>
        <w:shd w:val="clear"/>
        <w:spacing w:line="4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货物质保期：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28A7F604">
      <w:pPr>
        <w:shd w:val="clear"/>
        <w:spacing w:line="420" w:lineRule="exact"/>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3.免费售后服务期：</w:t>
      </w:r>
      <w:r>
        <w:rPr>
          <w:rFonts w:hint="eastAsia" w:ascii="宋体" w:hAnsi="宋体" w:cs="宋体"/>
          <w:color w:val="auto"/>
          <w:szCs w:val="21"/>
          <w:highlight w:val="none"/>
          <w:u w:val="single"/>
          <w:lang w:val="en-US" w:eastAsia="zh-CN"/>
        </w:rPr>
        <w:t xml:space="preserve">                   </w:t>
      </w:r>
    </w:p>
    <w:p w14:paraId="257AF2CA">
      <w:pPr>
        <w:shd w:val="clear"/>
        <w:spacing w:line="42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乙方提供的服务承诺和售后服务及质保期责任等其他具体约定事项。（见合同附件）</w:t>
      </w:r>
    </w:p>
    <w:p w14:paraId="1DFB8BE5">
      <w:pPr>
        <w:shd w:val="clear"/>
        <w:spacing w:line="420" w:lineRule="exact"/>
        <w:ind w:firstLine="422" w:firstLineChars="200"/>
        <w:rPr>
          <w:rFonts w:ascii="宋体" w:hAnsi="宋体" w:cs="宋体"/>
          <w:color w:val="auto"/>
          <w:szCs w:val="21"/>
          <w:highlight w:val="none"/>
        </w:rPr>
      </w:pPr>
      <w:r>
        <w:rPr>
          <w:rFonts w:hint="eastAsia" w:ascii="宋体" w:hAnsi="宋体" w:cs="宋体"/>
          <w:b/>
          <w:color w:val="auto"/>
          <w:szCs w:val="21"/>
          <w:highlight w:val="none"/>
        </w:rPr>
        <w:t>第八条　付款方式</w:t>
      </w:r>
    </w:p>
    <w:p w14:paraId="394DAB63">
      <w:pPr>
        <w:shd w:val="clea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甲乙双方同意本合同金额的支付按以下第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项约定执行：</w:t>
      </w:r>
    </w:p>
    <w:p w14:paraId="772EF471">
      <w:pPr>
        <w:shd w:val="clea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一次性支付</w:t>
      </w:r>
      <w:r>
        <w:rPr>
          <w:rFonts w:hint="eastAsia" w:ascii="宋体" w:hAnsi="宋体" w:eastAsia="宋体" w:cs="宋体"/>
          <w:color w:val="auto"/>
          <w:szCs w:val="21"/>
          <w:highlight w:val="none"/>
          <w:lang w:eastAsia="zh-CN"/>
        </w:rPr>
        <w:t>。</w:t>
      </w:r>
    </w:p>
    <w:p w14:paraId="195934AC">
      <w:pPr>
        <w:shd w:val="clea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分期支付</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甲方</w:t>
      </w:r>
      <w:r>
        <w:rPr>
          <w:rFonts w:hint="eastAsia" w:ascii="宋体" w:hAnsi="宋体" w:eastAsia="宋体" w:cs="宋体"/>
          <w:color w:val="auto"/>
          <w:sz w:val="21"/>
          <w:szCs w:val="21"/>
          <w:highlight w:val="none"/>
        </w:rPr>
        <w:t>与</w:t>
      </w:r>
      <w:r>
        <w:rPr>
          <w:rFonts w:hint="eastAsia" w:ascii="宋体" w:hAnsi="宋体" w:eastAsia="宋体" w:cs="宋体"/>
          <w:color w:val="auto"/>
          <w:szCs w:val="21"/>
          <w:highlight w:val="none"/>
          <w:lang w:val="en-US" w:eastAsia="zh-CN"/>
        </w:rPr>
        <w:t>乙方</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lang w:val="en-US" w:eastAsia="zh-CN"/>
        </w:rPr>
        <w:t>后，</w:t>
      </w:r>
      <w:r>
        <w:rPr>
          <w:rFonts w:hint="eastAsia" w:ascii="宋体" w:hAnsi="宋体" w:eastAsia="宋体" w:cs="宋体"/>
          <w:color w:val="auto"/>
          <w:szCs w:val="21"/>
          <w:highlight w:val="none"/>
          <w:lang w:val="en-US" w:eastAsia="zh-CN"/>
        </w:rPr>
        <w:t>甲方</w:t>
      </w:r>
      <w:r>
        <w:rPr>
          <w:rFonts w:hint="eastAsia" w:ascii="宋体" w:hAnsi="宋体" w:eastAsia="宋体" w:cs="宋体"/>
          <w:color w:val="auto"/>
          <w:sz w:val="21"/>
          <w:szCs w:val="21"/>
          <w:highlight w:val="none"/>
          <w:lang w:val="en-US" w:eastAsia="zh-CN"/>
        </w:rPr>
        <w:t>收到</w:t>
      </w:r>
      <w:r>
        <w:rPr>
          <w:rFonts w:hint="eastAsia" w:ascii="宋体" w:hAnsi="宋体" w:eastAsia="宋体" w:cs="宋体"/>
          <w:color w:val="auto"/>
          <w:szCs w:val="21"/>
          <w:highlight w:val="none"/>
          <w:lang w:val="en-US" w:eastAsia="zh-CN"/>
        </w:rPr>
        <w:t>乙方</w:t>
      </w:r>
      <w:r>
        <w:rPr>
          <w:rFonts w:hint="eastAsia" w:ascii="宋体" w:hAnsi="宋体" w:eastAsia="宋体" w:cs="宋体"/>
          <w:color w:val="auto"/>
          <w:sz w:val="21"/>
          <w:szCs w:val="21"/>
          <w:highlight w:val="none"/>
          <w:lang w:val="en-US" w:eastAsia="zh-CN"/>
        </w:rPr>
        <w:t>请款申请后15</w:t>
      </w:r>
      <w:r>
        <w:rPr>
          <w:rFonts w:hint="eastAsia" w:ascii="宋体" w:hAnsi="宋体" w:eastAsia="宋体" w:cs="宋体"/>
          <w:color w:val="auto"/>
          <w:sz w:val="21"/>
          <w:szCs w:val="21"/>
          <w:highlight w:val="none"/>
        </w:rPr>
        <w:t>个工作日内支付合同款</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0%预付款，货到验收合格后</w:t>
      </w:r>
      <w:r>
        <w:rPr>
          <w:rFonts w:hint="eastAsia" w:ascii="宋体" w:hAnsi="宋体" w:eastAsia="宋体" w:cs="宋体"/>
          <w:color w:val="auto"/>
          <w:szCs w:val="21"/>
          <w:highlight w:val="none"/>
          <w:lang w:val="en-US" w:eastAsia="zh-CN"/>
        </w:rPr>
        <w:t>甲方</w:t>
      </w:r>
      <w:r>
        <w:rPr>
          <w:rFonts w:hint="eastAsia" w:ascii="宋体" w:hAnsi="宋体" w:eastAsia="宋体" w:cs="宋体"/>
          <w:color w:val="auto"/>
          <w:sz w:val="21"/>
          <w:szCs w:val="21"/>
          <w:highlight w:val="none"/>
          <w:lang w:val="en-US" w:eastAsia="zh-CN"/>
        </w:rPr>
        <w:t>支付</w:t>
      </w:r>
      <w:r>
        <w:rPr>
          <w:rFonts w:hint="eastAsia" w:ascii="宋体" w:hAnsi="宋体" w:eastAsia="宋体" w:cs="宋体"/>
          <w:color w:val="auto"/>
          <w:sz w:val="21"/>
          <w:szCs w:val="21"/>
          <w:highlight w:val="none"/>
        </w:rPr>
        <w:t>合同金额</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0%付给</w:t>
      </w:r>
      <w:r>
        <w:rPr>
          <w:rFonts w:hint="eastAsia" w:ascii="宋体" w:hAnsi="宋体" w:eastAsia="宋体" w:cs="宋体"/>
          <w:color w:val="auto"/>
          <w:szCs w:val="21"/>
          <w:highlight w:val="none"/>
          <w:lang w:val="en-US" w:eastAsia="zh-CN"/>
        </w:rPr>
        <w:t>乙方</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Cs w:val="21"/>
          <w:highlight w:val="none"/>
          <w:lang w:val="en-US" w:eastAsia="zh-CN"/>
        </w:rPr>
        <w:t>甲方</w:t>
      </w:r>
      <w:r>
        <w:rPr>
          <w:rFonts w:hint="eastAsia" w:ascii="宋体" w:hAnsi="宋体" w:eastAsia="宋体" w:cs="宋体"/>
          <w:color w:val="auto"/>
          <w:sz w:val="21"/>
          <w:szCs w:val="21"/>
          <w:highlight w:val="none"/>
          <w:lang w:val="en-US" w:eastAsia="zh-CN"/>
        </w:rPr>
        <w:t>要求安装调试完成后支付剩余合同款10%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Cs w:val="21"/>
          <w:highlight w:val="none"/>
          <w:lang w:val="en-US" w:eastAsia="zh-CN"/>
        </w:rPr>
        <w:t>甲方</w:t>
      </w:r>
      <w:r>
        <w:rPr>
          <w:rFonts w:hint="eastAsia" w:ascii="宋体" w:hAnsi="宋体" w:eastAsia="宋体" w:cs="宋体"/>
          <w:color w:val="auto"/>
          <w:sz w:val="21"/>
          <w:szCs w:val="21"/>
          <w:highlight w:val="none"/>
        </w:rPr>
        <w:t>付款前，</w:t>
      </w:r>
      <w:r>
        <w:rPr>
          <w:rFonts w:hint="eastAsia" w:ascii="宋体" w:hAnsi="宋体" w:eastAsia="宋体" w:cs="宋体"/>
          <w:color w:val="auto"/>
          <w:szCs w:val="21"/>
          <w:highlight w:val="none"/>
          <w:lang w:val="en-US" w:eastAsia="zh-CN"/>
        </w:rPr>
        <w:t>乙方</w:t>
      </w:r>
      <w:r>
        <w:rPr>
          <w:rFonts w:hint="eastAsia" w:ascii="宋体" w:hAnsi="宋体" w:eastAsia="宋体" w:cs="宋体"/>
          <w:color w:val="auto"/>
          <w:sz w:val="21"/>
          <w:szCs w:val="21"/>
          <w:highlight w:val="none"/>
        </w:rPr>
        <w:t>未按要求开具符合</w:t>
      </w:r>
      <w:r>
        <w:rPr>
          <w:rFonts w:hint="eastAsia" w:ascii="宋体" w:hAnsi="宋体" w:eastAsia="宋体" w:cs="宋体"/>
          <w:color w:val="auto"/>
          <w:szCs w:val="21"/>
          <w:highlight w:val="none"/>
          <w:lang w:val="en-US" w:eastAsia="zh-CN"/>
        </w:rPr>
        <w:t>甲方</w:t>
      </w:r>
      <w:r>
        <w:rPr>
          <w:rFonts w:hint="eastAsia" w:ascii="宋体" w:hAnsi="宋体" w:eastAsia="宋体" w:cs="宋体"/>
          <w:color w:val="auto"/>
          <w:sz w:val="21"/>
          <w:szCs w:val="21"/>
          <w:highlight w:val="none"/>
        </w:rPr>
        <w:t>要求的正规财务票据的，</w:t>
      </w:r>
      <w:r>
        <w:rPr>
          <w:rFonts w:hint="eastAsia" w:ascii="宋体" w:hAnsi="宋体" w:eastAsia="宋体" w:cs="宋体"/>
          <w:color w:val="auto"/>
          <w:szCs w:val="21"/>
          <w:highlight w:val="none"/>
          <w:lang w:val="en-US" w:eastAsia="zh-CN"/>
        </w:rPr>
        <w:t>甲方</w:t>
      </w:r>
      <w:r>
        <w:rPr>
          <w:rFonts w:hint="eastAsia" w:ascii="宋体" w:hAnsi="宋体" w:eastAsia="宋体" w:cs="宋体"/>
          <w:color w:val="auto"/>
          <w:sz w:val="21"/>
          <w:szCs w:val="21"/>
          <w:highlight w:val="none"/>
        </w:rPr>
        <w:t>有权暂缓或拒付款项且不构成违约。</w:t>
      </w:r>
      <w:r>
        <w:rPr>
          <w:rFonts w:hint="eastAsia" w:ascii="宋体" w:hAnsi="宋体" w:eastAsia="宋体" w:cs="宋体"/>
          <w:color w:val="auto"/>
          <w:sz w:val="21"/>
          <w:szCs w:val="21"/>
          <w:highlight w:val="none"/>
          <w:lang w:eastAsia="zh-CN"/>
        </w:rPr>
        <w:t>）</w:t>
      </w:r>
    </w:p>
    <w:p w14:paraId="172FE38A">
      <w:pPr>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.票据要求</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乙方</w:t>
      </w:r>
      <w:r>
        <w:rPr>
          <w:rFonts w:hint="eastAsia" w:ascii="宋体" w:hAnsi="宋体" w:eastAsia="宋体" w:cs="宋体"/>
          <w:color w:val="auto"/>
          <w:sz w:val="21"/>
          <w:szCs w:val="21"/>
          <w:highlight w:val="none"/>
        </w:rPr>
        <w:t>必须按照</w:t>
      </w:r>
      <w:r>
        <w:rPr>
          <w:rFonts w:hint="eastAsia" w:ascii="宋体" w:hAnsi="宋体" w:eastAsia="宋体" w:cs="宋体"/>
          <w:color w:val="auto"/>
          <w:szCs w:val="21"/>
          <w:highlight w:val="none"/>
          <w:lang w:val="en-US" w:eastAsia="zh-CN"/>
        </w:rPr>
        <w:t>甲方</w:t>
      </w:r>
      <w:r>
        <w:rPr>
          <w:rFonts w:hint="eastAsia" w:ascii="宋体" w:hAnsi="宋体" w:eastAsia="宋体" w:cs="宋体"/>
          <w:color w:val="auto"/>
          <w:sz w:val="21"/>
          <w:szCs w:val="21"/>
          <w:highlight w:val="none"/>
        </w:rPr>
        <w:t>要求提供真实、有效、合法的正式税务发票。一旦发现</w:t>
      </w:r>
      <w:r>
        <w:rPr>
          <w:rFonts w:hint="eastAsia" w:ascii="宋体" w:hAnsi="宋体" w:eastAsia="宋体" w:cs="宋体"/>
          <w:color w:val="auto"/>
          <w:szCs w:val="21"/>
          <w:highlight w:val="none"/>
          <w:lang w:val="en-US" w:eastAsia="zh-CN"/>
        </w:rPr>
        <w:t>乙方</w:t>
      </w:r>
      <w:r>
        <w:rPr>
          <w:rFonts w:hint="eastAsia" w:ascii="宋体" w:hAnsi="宋体" w:eastAsia="宋体" w:cs="宋体"/>
          <w:color w:val="auto"/>
          <w:sz w:val="21"/>
          <w:szCs w:val="21"/>
          <w:highlight w:val="none"/>
        </w:rPr>
        <w:t>提供虚假税务发票，除须向</w:t>
      </w:r>
      <w:r>
        <w:rPr>
          <w:rFonts w:hint="eastAsia" w:ascii="宋体" w:hAnsi="宋体" w:eastAsia="宋体" w:cs="宋体"/>
          <w:color w:val="auto"/>
          <w:szCs w:val="21"/>
          <w:highlight w:val="none"/>
          <w:lang w:val="en-US" w:eastAsia="zh-CN"/>
        </w:rPr>
        <w:t>甲方</w:t>
      </w:r>
      <w:r>
        <w:rPr>
          <w:rFonts w:hint="eastAsia" w:ascii="宋体" w:hAnsi="宋体" w:eastAsia="宋体" w:cs="宋体"/>
          <w:color w:val="auto"/>
          <w:sz w:val="21"/>
          <w:szCs w:val="21"/>
          <w:highlight w:val="none"/>
        </w:rPr>
        <w:t>补开合法的税务发票外，须赔偿</w:t>
      </w:r>
      <w:r>
        <w:rPr>
          <w:rFonts w:hint="eastAsia" w:ascii="宋体" w:hAnsi="宋体" w:eastAsia="宋体" w:cs="宋体"/>
          <w:color w:val="auto"/>
          <w:szCs w:val="21"/>
          <w:highlight w:val="none"/>
          <w:lang w:val="en-US" w:eastAsia="zh-CN"/>
        </w:rPr>
        <w:t>甲方</w:t>
      </w:r>
      <w:r>
        <w:rPr>
          <w:rFonts w:hint="eastAsia" w:ascii="宋体" w:hAnsi="宋体" w:eastAsia="宋体" w:cs="宋体"/>
          <w:color w:val="auto"/>
          <w:sz w:val="21"/>
          <w:szCs w:val="21"/>
          <w:highlight w:val="none"/>
        </w:rPr>
        <w:t>发票票面金额一倍的违约金，且</w:t>
      </w:r>
      <w:r>
        <w:rPr>
          <w:rFonts w:hint="eastAsia" w:ascii="宋体" w:hAnsi="宋体" w:eastAsia="宋体" w:cs="宋体"/>
          <w:color w:val="auto"/>
          <w:szCs w:val="21"/>
          <w:highlight w:val="none"/>
          <w:lang w:val="en-US" w:eastAsia="zh-CN"/>
        </w:rPr>
        <w:t>甲方</w:t>
      </w:r>
      <w:r>
        <w:rPr>
          <w:rFonts w:hint="eastAsia" w:ascii="宋体" w:hAnsi="宋体" w:eastAsia="宋体" w:cs="宋体"/>
          <w:color w:val="auto"/>
          <w:sz w:val="21"/>
          <w:szCs w:val="21"/>
          <w:highlight w:val="none"/>
        </w:rPr>
        <w:t>有权终止合同，</w:t>
      </w:r>
      <w:r>
        <w:rPr>
          <w:rFonts w:hint="eastAsia" w:ascii="宋体" w:hAnsi="宋体" w:eastAsia="宋体" w:cs="宋体"/>
          <w:color w:val="auto"/>
          <w:szCs w:val="21"/>
          <w:highlight w:val="none"/>
          <w:lang w:val="en-US" w:eastAsia="zh-CN"/>
        </w:rPr>
        <w:t>乙方</w:t>
      </w:r>
      <w:r>
        <w:rPr>
          <w:rFonts w:hint="eastAsia" w:ascii="宋体" w:hAnsi="宋体" w:eastAsia="宋体" w:cs="宋体"/>
          <w:color w:val="auto"/>
          <w:sz w:val="21"/>
          <w:szCs w:val="21"/>
          <w:highlight w:val="none"/>
        </w:rPr>
        <w:t>不得提出异议，因终止合同而产生的一切损失均由</w:t>
      </w:r>
      <w:r>
        <w:rPr>
          <w:rFonts w:hint="eastAsia" w:ascii="宋体" w:hAnsi="宋体" w:eastAsia="宋体" w:cs="宋体"/>
          <w:color w:val="auto"/>
          <w:szCs w:val="21"/>
          <w:highlight w:val="none"/>
          <w:lang w:val="en-US" w:eastAsia="zh-CN"/>
        </w:rPr>
        <w:t>乙方</w:t>
      </w:r>
      <w:r>
        <w:rPr>
          <w:rFonts w:hint="eastAsia" w:ascii="宋体" w:hAnsi="宋体" w:eastAsia="宋体" w:cs="宋体"/>
          <w:color w:val="auto"/>
          <w:sz w:val="21"/>
          <w:szCs w:val="21"/>
          <w:highlight w:val="none"/>
        </w:rPr>
        <w:t>承担。</w:t>
      </w:r>
    </w:p>
    <w:p w14:paraId="738E1982">
      <w:pPr>
        <w:keepNext w:val="0"/>
        <w:keepLines w:val="0"/>
        <w:pageBreakBefore w:val="0"/>
        <w:widowControl w:val="0"/>
        <w:shd w:val="clear"/>
        <w:kinsoku/>
        <w:wordWrap/>
        <w:overflowPunct/>
        <w:topLinePunct w:val="0"/>
        <w:autoSpaceDE/>
        <w:autoSpaceDN/>
        <w:bidi w:val="0"/>
        <w:adjustRightInd/>
        <w:spacing w:line="360" w:lineRule="auto"/>
        <w:ind w:left="-61" w:leftChars="-29" w:firstLine="514" w:firstLineChars="245"/>
        <w:textAlignment w:val="auto"/>
        <w:rPr>
          <w:rFonts w:ascii="宋体" w:hAnsi="宋体" w:cs="宋体"/>
          <w:b/>
          <w:color w:val="auto"/>
          <w:szCs w:val="21"/>
          <w:highlight w:val="none"/>
        </w:rPr>
      </w:pPr>
      <w:r>
        <w:rPr>
          <w:rFonts w:hint="eastAsia" w:ascii="宋体" w:hAnsi="宋体" w:cs="宋体"/>
          <w:color w:val="auto"/>
          <w:szCs w:val="21"/>
          <w:highlight w:val="none"/>
        </w:rPr>
        <w:t xml:space="preserve"> </w:t>
      </w:r>
      <w:r>
        <w:rPr>
          <w:rFonts w:hint="eastAsia" w:ascii="宋体" w:hAnsi="宋体" w:cs="宋体"/>
          <w:b/>
          <w:color w:val="auto"/>
          <w:szCs w:val="21"/>
          <w:highlight w:val="none"/>
        </w:rPr>
        <w:t>第九条　履约保证金</w:t>
      </w:r>
    </w:p>
    <w:p w14:paraId="17396F0F">
      <w:pPr>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履约保证金金额：按成交金额的</w:t>
      </w:r>
      <w:r>
        <w:rPr>
          <w:rFonts w:hint="eastAsia" w:ascii="宋体" w:hAnsi="宋体" w:cs="宋体"/>
          <w:color w:val="auto"/>
          <w:szCs w:val="21"/>
          <w:highlight w:val="none"/>
          <w:u w:val="single"/>
        </w:rPr>
        <w:t xml:space="preserve"> 5 </w:t>
      </w:r>
      <w:r>
        <w:rPr>
          <w:rFonts w:hint="eastAsia" w:ascii="宋体" w:hAnsi="宋体" w:cs="宋体"/>
          <w:color w:val="auto"/>
          <w:szCs w:val="21"/>
          <w:highlight w:val="none"/>
        </w:rPr>
        <w:t>%（中小企业缴纳数额为成交金额的2%）。</w:t>
      </w:r>
    </w:p>
    <w:p w14:paraId="35A3ABE4">
      <w:pPr>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履约保证金提交方式：银行转账、支票、汇票、本票、保函等非现金形式缴纳（参照谈判保证金）。</w:t>
      </w:r>
    </w:p>
    <w:p w14:paraId="7C8110FF">
      <w:pPr>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rPr>
          <w:rFonts w:ascii="宋体" w:hAnsi="宋体" w:cs="宋体"/>
          <w:color w:val="auto"/>
          <w:szCs w:val="21"/>
          <w:highlight w:val="none"/>
          <w:u w:val="single"/>
        </w:rPr>
      </w:pPr>
      <w:r>
        <w:rPr>
          <w:rFonts w:hint="eastAsia" w:ascii="宋体" w:hAnsi="宋体" w:cs="宋体"/>
          <w:color w:val="auto"/>
          <w:szCs w:val="21"/>
          <w:highlight w:val="none"/>
        </w:rPr>
        <w:t>履约保证金退付方式、时间及条件：</w:t>
      </w:r>
      <w:r>
        <w:rPr>
          <w:rFonts w:hint="eastAsia" w:ascii="宋体" w:hAnsi="宋体" w:cs="宋体"/>
          <w:color w:val="auto"/>
          <w:szCs w:val="21"/>
          <w:highlight w:val="none"/>
          <w:u w:val="single"/>
        </w:rPr>
        <w:t xml:space="preserve"> 验收合格，</w:t>
      </w:r>
      <w:r>
        <w:rPr>
          <w:rFonts w:hint="eastAsia" w:ascii="宋体" w:hAnsi="宋体" w:cs="宋体"/>
          <w:color w:val="auto"/>
          <w:szCs w:val="21"/>
          <w:highlight w:val="none"/>
          <w:u w:val="single"/>
          <w:lang w:eastAsia="zh-CN"/>
        </w:rPr>
        <w:t>乙方</w:t>
      </w:r>
      <w:r>
        <w:rPr>
          <w:rFonts w:hint="eastAsia" w:ascii="宋体" w:hAnsi="宋体" w:cs="宋体"/>
          <w:color w:val="auto"/>
          <w:szCs w:val="21"/>
          <w:highlight w:val="none"/>
          <w:u w:val="single"/>
        </w:rPr>
        <w:t>按合同约定，履行完毕合同所有义务之日起，且</w:t>
      </w:r>
      <w:r>
        <w:rPr>
          <w:rFonts w:hint="eastAsia" w:ascii="宋体" w:hAnsi="宋体" w:cs="宋体"/>
          <w:color w:val="auto"/>
          <w:szCs w:val="21"/>
          <w:highlight w:val="none"/>
          <w:u w:val="single"/>
          <w:lang w:eastAsia="zh-CN"/>
        </w:rPr>
        <w:t>乙方</w:t>
      </w:r>
      <w:r>
        <w:rPr>
          <w:rFonts w:hint="eastAsia" w:ascii="宋体" w:hAnsi="宋体" w:cs="宋体"/>
          <w:color w:val="auto"/>
          <w:szCs w:val="21"/>
          <w:highlight w:val="none"/>
          <w:u w:val="single"/>
        </w:rPr>
        <w:t>无任何违约责任，由</w:t>
      </w:r>
      <w:r>
        <w:rPr>
          <w:rFonts w:hint="eastAsia" w:ascii="宋体" w:hAnsi="宋体" w:cs="宋体"/>
          <w:color w:val="auto"/>
          <w:szCs w:val="21"/>
          <w:highlight w:val="none"/>
          <w:u w:val="single"/>
          <w:lang w:eastAsia="zh-CN"/>
        </w:rPr>
        <w:t>乙方</w:t>
      </w:r>
      <w:r>
        <w:rPr>
          <w:rFonts w:hint="eastAsia" w:ascii="宋体" w:hAnsi="宋体" w:cs="宋体"/>
          <w:color w:val="auto"/>
          <w:szCs w:val="21"/>
          <w:highlight w:val="none"/>
          <w:u w:val="single"/>
        </w:rPr>
        <w:t>向</w:t>
      </w:r>
      <w:r>
        <w:rPr>
          <w:rFonts w:hint="eastAsia" w:ascii="宋体" w:hAnsi="宋体" w:cs="宋体"/>
          <w:color w:val="auto"/>
          <w:szCs w:val="21"/>
          <w:highlight w:val="none"/>
          <w:u w:val="single"/>
          <w:lang w:val="en-US" w:eastAsia="zh-CN"/>
        </w:rPr>
        <w:t>甲方</w:t>
      </w:r>
      <w:r>
        <w:rPr>
          <w:rFonts w:hint="eastAsia" w:ascii="宋体" w:hAnsi="宋体" w:cs="宋体"/>
          <w:color w:val="auto"/>
          <w:szCs w:val="21"/>
          <w:highlight w:val="none"/>
          <w:u w:val="single"/>
        </w:rPr>
        <w:t>提供《政府采购项目履约保证金退付意见书》，提出书面退款申请，</w:t>
      </w:r>
      <w:r>
        <w:rPr>
          <w:rFonts w:hint="eastAsia" w:ascii="宋体" w:hAnsi="宋体" w:cs="宋体"/>
          <w:color w:val="auto"/>
          <w:szCs w:val="21"/>
          <w:highlight w:val="none"/>
          <w:u w:val="single"/>
          <w:lang w:eastAsia="zh-CN"/>
        </w:rPr>
        <w:t>甲方</w:t>
      </w:r>
      <w:r>
        <w:rPr>
          <w:rFonts w:hint="eastAsia" w:ascii="宋体" w:hAnsi="宋体" w:cs="宋体"/>
          <w:color w:val="auto"/>
          <w:szCs w:val="21"/>
          <w:highlight w:val="none"/>
          <w:u w:val="single"/>
        </w:rPr>
        <w:t>在收到合格材料后5个工作日内办理退还手续（不计利息）。</w:t>
      </w:r>
    </w:p>
    <w:p w14:paraId="6560EECC">
      <w:pPr>
        <w:keepNext w:val="0"/>
        <w:keepLines w:val="0"/>
        <w:pageBreakBefore w:val="0"/>
        <w:widowControl w:val="0"/>
        <w:shd w:val="clear"/>
        <w:kinsoku/>
        <w:wordWrap/>
        <w:overflowPunct/>
        <w:topLinePunct w:val="0"/>
        <w:autoSpaceDE/>
        <w:autoSpaceDN/>
        <w:bidi w:val="0"/>
        <w:adjustRightInd/>
        <w:snapToGrid w:val="0"/>
        <w:spacing w:line="360" w:lineRule="auto"/>
        <w:ind w:firstLine="630" w:firstLineChars="300"/>
        <w:textAlignment w:val="auto"/>
        <w:rPr>
          <w:rFonts w:hint="eastAsia" w:ascii="宋体" w:hAnsi="宋体" w:cs="宋体"/>
          <w:color w:val="auto"/>
          <w:szCs w:val="21"/>
          <w:highlight w:val="none"/>
          <w:u w:val="single"/>
        </w:rPr>
      </w:pPr>
      <w:r>
        <w:rPr>
          <w:rFonts w:hint="eastAsia" w:ascii="宋体" w:hAnsi="宋体" w:cs="宋体"/>
          <w:color w:val="auto"/>
          <w:szCs w:val="21"/>
          <w:highlight w:val="none"/>
          <w:u w:val="single"/>
        </w:rPr>
        <w:t>如乙方没有履行本合同约定的责任和义务所需承担的违约金、赔偿金及其他费用，</w:t>
      </w:r>
      <w:r>
        <w:rPr>
          <w:rFonts w:hint="eastAsia" w:ascii="宋体" w:hAnsi="宋体" w:cs="宋体"/>
          <w:color w:val="auto"/>
          <w:szCs w:val="21"/>
          <w:highlight w:val="none"/>
          <w:u w:val="single"/>
          <w:lang w:eastAsia="zh-CN"/>
        </w:rPr>
        <w:t>甲方</w:t>
      </w:r>
      <w:r>
        <w:rPr>
          <w:rFonts w:hint="eastAsia" w:ascii="宋体" w:hAnsi="宋体" w:cs="宋体"/>
          <w:color w:val="auto"/>
          <w:szCs w:val="21"/>
          <w:highlight w:val="none"/>
          <w:u w:val="single"/>
        </w:rPr>
        <w:t>有权直接从履约保证金中扣除，履约保证金中不足以扣除的，</w:t>
      </w:r>
      <w:r>
        <w:rPr>
          <w:rFonts w:hint="eastAsia" w:ascii="宋体" w:hAnsi="宋体" w:cs="宋体"/>
          <w:color w:val="auto"/>
          <w:szCs w:val="21"/>
          <w:highlight w:val="none"/>
          <w:u w:val="single"/>
          <w:lang w:eastAsia="zh-CN"/>
        </w:rPr>
        <w:t>甲方</w:t>
      </w:r>
      <w:r>
        <w:rPr>
          <w:rFonts w:hint="eastAsia" w:ascii="宋体" w:hAnsi="宋体" w:cs="宋体"/>
          <w:color w:val="auto"/>
          <w:szCs w:val="21"/>
          <w:highlight w:val="none"/>
          <w:u w:val="single"/>
        </w:rPr>
        <w:t>有权从货款中抵扣。履约保证金不足的，</w:t>
      </w:r>
      <w:r>
        <w:rPr>
          <w:rFonts w:hint="eastAsia" w:ascii="宋体" w:hAnsi="宋体" w:cs="宋体"/>
          <w:color w:val="auto"/>
          <w:szCs w:val="21"/>
          <w:highlight w:val="none"/>
          <w:u w:val="single"/>
          <w:lang w:eastAsia="zh-CN"/>
        </w:rPr>
        <w:t>乙方</w:t>
      </w:r>
      <w:r>
        <w:rPr>
          <w:rFonts w:hint="eastAsia" w:ascii="宋体" w:hAnsi="宋体" w:cs="宋体"/>
          <w:color w:val="auto"/>
          <w:szCs w:val="21"/>
          <w:highlight w:val="none"/>
          <w:u w:val="single"/>
        </w:rPr>
        <w:t>应及时补足。</w:t>
      </w:r>
    </w:p>
    <w:p w14:paraId="11F392D5">
      <w:pPr>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履约保证金指定账户：</w:t>
      </w:r>
    </w:p>
    <w:p w14:paraId="597014A2">
      <w:pPr>
        <w:keepNext w:val="0"/>
        <w:keepLines w:val="0"/>
        <w:pageBreakBefore w:val="0"/>
        <w:widowControl w:val="0"/>
        <w:shd w:val="clear"/>
        <w:kinsoku/>
        <w:wordWrap/>
        <w:overflowPunct/>
        <w:topLinePunct w:val="0"/>
        <w:autoSpaceDE/>
        <w:autoSpaceDN/>
        <w:bidi w:val="0"/>
        <w:adjustRightInd/>
        <w:spacing w:line="360" w:lineRule="auto"/>
        <w:ind w:firstLine="420" w:firstLineChars="200"/>
        <w:jc w:val="left"/>
        <w:textAlignment w:val="auto"/>
        <w:rPr>
          <w:rFonts w:hint="eastAsia" w:ascii="宋体" w:hAnsi="宋体" w:eastAsia="宋体" w:cs="宋体"/>
          <w:color w:val="auto"/>
          <w:szCs w:val="21"/>
          <w:highlight w:val="none"/>
          <w:lang w:eastAsia="zh-CN" w:bidi="ar"/>
        </w:rPr>
      </w:pPr>
      <w:r>
        <w:rPr>
          <w:rFonts w:hint="eastAsia" w:ascii="宋体" w:hAnsi="宋体" w:cs="宋体"/>
          <w:color w:val="auto"/>
          <w:szCs w:val="21"/>
          <w:highlight w:val="none"/>
          <w:lang w:bidi="ar"/>
        </w:rPr>
        <w:t>收款人户名：</w:t>
      </w:r>
      <w:r>
        <w:rPr>
          <w:rFonts w:hint="eastAsia" w:ascii="宋体" w:hAnsi="宋体" w:cs="宋体"/>
          <w:color w:val="auto"/>
          <w:szCs w:val="21"/>
          <w:highlight w:val="none"/>
          <w:lang w:eastAsia="zh-CN" w:bidi="ar"/>
        </w:rPr>
        <w:t>广西壮族自治区国有维都林场</w:t>
      </w:r>
    </w:p>
    <w:p w14:paraId="1B27AF92">
      <w:pPr>
        <w:shd w:val="clear"/>
        <w:spacing w:line="360" w:lineRule="auto"/>
        <w:ind w:firstLine="420" w:firstLineChars="200"/>
        <w:jc w:val="left"/>
        <w:rPr>
          <w:rFonts w:hint="eastAsia" w:ascii="宋体" w:hAnsi="宋体" w:cs="宋体"/>
          <w:color w:val="auto"/>
          <w:szCs w:val="21"/>
          <w:highlight w:val="none"/>
          <w:lang w:bidi="ar"/>
        </w:rPr>
      </w:pPr>
      <w:r>
        <w:rPr>
          <w:rFonts w:hint="eastAsia" w:ascii="宋体" w:hAnsi="宋体" w:cs="宋体"/>
          <w:color w:val="auto"/>
          <w:szCs w:val="21"/>
          <w:highlight w:val="none"/>
          <w:lang w:bidi="ar"/>
        </w:rPr>
        <w:t>开户银行：</w:t>
      </w:r>
      <w:r>
        <w:rPr>
          <w:rFonts w:hint="eastAsia" w:ascii="宋体" w:hAnsi="宋体" w:eastAsia="宋体" w:cs="宋体"/>
          <w:color w:val="auto"/>
          <w:sz w:val="21"/>
          <w:szCs w:val="21"/>
          <w:highlight w:val="none"/>
        </w:rPr>
        <w:t>农行广西来宾分行营业室</w:t>
      </w:r>
    </w:p>
    <w:p w14:paraId="0EF7D27B">
      <w:pPr>
        <w:shd w:val="clear"/>
        <w:spacing w:line="360" w:lineRule="auto"/>
        <w:ind w:firstLine="420" w:firstLineChars="200"/>
        <w:jc w:val="left"/>
        <w:rPr>
          <w:rFonts w:hint="eastAsia" w:ascii="宋体" w:hAnsi="宋体" w:cs="宋体"/>
          <w:color w:val="auto"/>
          <w:szCs w:val="21"/>
          <w:highlight w:val="none"/>
          <w:lang w:bidi="ar"/>
        </w:rPr>
      </w:pPr>
      <w:r>
        <w:rPr>
          <w:rFonts w:hint="eastAsia" w:ascii="宋体" w:hAnsi="宋体" w:cs="宋体"/>
          <w:color w:val="auto"/>
          <w:szCs w:val="21"/>
          <w:highlight w:val="none"/>
          <w:lang w:bidi="ar"/>
        </w:rPr>
        <w:t>银行账号：</w:t>
      </w:r>
      <w:r>
        <w:rPr>
          <w:rFonts w:hint="eastAsia" w:ascii="宋体" w:hAnsi="宋体" w:eastAsia="宋体" w:cs="宋体"/>
          <w:color w:val="auto"/>
          <w:sz w:val="21"/>
          <w:szCs w:val="21"/>
          <w:highlight w:val="none"/>
        </w:rPr>
        <w:t>20148101040002643</w:t>
      </w:r>
    </w:p>
    <w:p w14:paraId="743C9C31">
      <w:pPr>
        <w:shd w:val="clear"/>
        <w:spacing w:line="360" w:lineRule="auto"/>
        <w:ind w:firstLine="420" w:firstLineChars="200"/>
        <w:jc w:val="left"/>
        <w:rPr>
          <w:rFonts w:hint="eastAsia" w:ascii="宋体" w:hAnsi="宋体" w:cs="宋体"/>
          <w:color w:val="auto"/>
          <w:szCs w:val="21"/>
          <w:highlight w:val="none"/>
          <w:lang w:bidi="ar"/>
        </w:rPr>
      </w:pPr>
      <w:r>
        <w:rPr>
          <w:rFonts w:hint="eastAsia" w:ascii="宋体" w:hAnsi="宋体" w:cs="宋体"/>
          <w:color w:val="auto"/>
          <w:szCs w:val="21"/>
          <w:highlight w:val="none"/>
          <w:lang w:bidi="ar"/>
        </w:rPr>
        <w:t>纳税人识别号：</w:t>
      </w:r>
      <w:r>
        <w:rPr>
          <w:rFonts w:hint="eastAsia" w:ascii="宋体" w:hAnsi="宋体" w:eastAsia="宋体" w:cs="宋体"/>
          <w:color w:val="auto"/>
          <w:sz w:val="21"/>
          <w:szCs w:val="21"/>
          <w:highlight w:val="none"/>
        </w:rPr>
        <w:t>914513004990680113</w:t>
      </w:r>
    </w:p>
    <w:p w14:paraId="75B6F071">
      <w:pPr>
        <w:shd w:val="clear"/>
        <w:spacing w:line="4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第十条  税费</w:t>
      </w:r>
    </w:p>
    <w:p w14:paraId="7CA4C2FD">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5F0F580A">
      <w:pPr>
        <w:shd w:val="clear"/>
        <w:spacing w:line="4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第十一条  质量保证及售后服务</w:t>
      </w:r>
    </w:p>
    <w:p w14:paraId="242A576A">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乙方应按竞争性谈判文件规定的货物性能、技术要求、质量标准向甲方提供未经使用的全新产品。要求者，根据实际情况，甲方有权要求按以下办法处理：</w:t>
      </w:r>
    </w:p>
    <w:p w14:paraId="39B98847">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⑴更换：由乙方承担所发生的全部费用。</w:t>
      </w:r>
    </w:p>
    <w:p w14:paraId="700A40CD">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⑵贬值处理：由甲乙双方合议定价。</w:t>
      </w:r>
    </w:p>
    <w:p w14:paraId="7F7184C0">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⑶退货处理：乙方应退还甲方支付的合同款，同时应承担该货物的直接费用（运输、保险、检验、货款利息及银行手续费等）。</w:t>
      </w:r>
    </w:p>
    <w:p w14:paraId="58F41D11">
      <w:pPr>
        <w:pStyle w:val="16"/>
        <w:shd w:val="clear"/>
        <w:snapToGrid w:val="0"/>
        <w:spacing w:line="420" w:lineRule="exact"/>
        <w:ind w:firstLine="420" w:firstLineChars="200"/>
        <w:rPr>
          <w:rFonts w:hAnsi="宋体" w:cs="宋体"/>
          <w:color w:val="auto"/>
          <w:sz w:val="21"/>
          <w:highlight w:val="none"/>
        </w:rPr>
      </w:pPr>
      <w:r>
        <w:rPr>
          <w:rFonts w:hint="eastAsia" w:hAnsi="宋体" w:cs="宋体"/>
          <w:color w:val="auto"/>
          <w:sz w:val="21"/>
          <w:highlight w:val="none"/>
        </w:rPr>
        <w:t>2</w:t>
      </w:r>
      <w:r>
        <w:rPr>
          <w:rFonts w:hint="eastAsia" w:ascii="宋体" w:hAnsi="宋体" w:cs="宋体"/>
          <w:color w:val="auto"/>
          <w:szCs w:val="21"/>
          <w:highlight w:val="none"/>
          <w:lang w:val="en-US" w:eastAsia="zh-CN"/>
        </w:rPr>
        <w:t>.</w:t>
      </w:r>
      <w:r>
        <w:rPr>
          <w:rFonts w:hint="eastAsia" w:hAnsi="宋体" w:cs="宋体"/>
          <w:color w:val="auto"/>
          <w:sz w:val="21"/>
          <w:highlight w:val="none"/>
        </w:rPr>
        <w:t>如在使用过程中发生质量问题，乙方在接到甲方通知后在</w:t>
      </w:r>
      <w:r>
        <w:rPr>
          <w:rFonts w:hint="eastAsia" w:hAnsi="宋体" w:cs="宋体"/>
          <w:color w:val="auto"/>
          <w:sz w:val="21"/>
          <w:highlight w:val="none"/>
          <w:u w:val="single"/>
        </w:rPr>
        <w:t xml:space="preserve">    </w:t>
      </w:r>
      <w:r>
        <w:rPr>
          <w:rFonts w:hint="eastAsia" w:hAnsi="宋体" w:cs="宋体"/>
          <w:color w:val="auto"/>
          <w:sz w:val="21"/>
          <w:highlight w:val="none"/>
        </w:rPr>
        <w:t>小时内到达甲方现场。</w:t>
      </w:r>
    </w:p>
    <w:p w14:paraId="6B381CA5">
      <w:pPr>
        <w:pStyle w:val="16"/>
        <w:shd w:val="clear"/>
        <w:snapToGrid w:val="0"/>
        <w:spacing w:line="420" w:lineRule="exact"/>
        <w:ind w:firstLine="420" w:firstLineChars="200"/>
        <w:rPr>
          <w:rFonts w:hAnsi="宋体" w:cs="宋体"/>
          <w:color w:val="auto"/>
          <w:sz w:val="21"/>
          <w:highlight w:val="none"/>
        </w:rPr>
      </w:pPr>
      <w:r>
        <w:rPr>
          <w:rFonts w:hint="eastAsia" w:hAnsi="宋体" w:cs="宋体"/>
          <w:color w:val="auto"/>
          <w:sz w:val="21"/>
          <w:highlight w:val="none"/>
        </w:rPr>
        <w:t>3</w:t>
      </w:r>
      <w:r>
        <w:rPr>
          <w:rFonts w:hint="eastAsia" w:ascii="宋体" w:hAnsi="宋体" w:cs="宋体"/>
          <w:color w:val="auto"/>
          <w:szCs w:val="21"/>
          <w:highlight w:val="none"/>
          <w:lang w:val="en-US" w:eastAsia="zh-CN"/>
        </w:rPr>
        <w:t>.</w:t>
      </w:r>
      <w:r>
        <w:rPr>
          <w:rFonts w:hint="eastAsia" w:hAnsi="宋体" w:cs="宋体"/>
          <w:color w:val="auto"/>
          <w:sz w:val="21"/>
          <w:highlight w:val="none"/>
        </w:rPr>
        <w:t>在质保期内，乙方应对货物出现的质量及安全问题负责处理解决并承担一切费用。</w:t>
      </w:r>
    </w:p>
    <w:p w14:paraId="30F35101">
      <w:pPr>
        <w:pStyle w:val="16"/>
        <w:shd w:val="clear"/>
        <w:snapToGrid w:val="0"/>
        <w:spacing w:line="420" w:lineRule="exact"/>
        <w:ind w:firstLine="420" w:firstLineChars="200"/>
        <w:rPr>
          <w:rFonts w:hAnsi="宋体" w:cs="宋体"/>
          <w:color w:val="auto"/>
          <w:sz w:val="21"/>
          <w:highlight w:val="none"/>
        </w:rPr>
      </w:pPr>
      <w:r>
        <w:rPr>
          <w:rFonts w:hint="eastAsia" w:hAnsi="宋体" w:cs="宋体"/>
          <w:color w:val="auto"/>
          <w:sz w:val="21"/>
          <w:highlight w:val="none"/>
        </w:rPr>
        <w:t>4</w:t>
      </w:r>
      <w:r>
        <w:rPr>
          <w:rFonts w:hint="eastAsia" w:ascii="宋体" w:hAnsi="宋体" w:cs="宋体"/>
          <w:color w:val="auto"/>
          <w:szCs w:val="21"/>
          <w:highlight w:val="none"/>
          <w:lang w:val="en-US" w:eastAsia="zh-CN"/>
        </w:rPr>
        <w:t>.</w:t>
      </w:r>
      <w:r>
        <w:rPr>
          <w:rFonts w:hint="eastAsia" w:hAnsi="宋体" w:cs="宋体"/>
          <w:color w:val="auto"/>
          <w:sz w:val="21"/>
          <w:highlight w:val="none"/>
        </w:rPr>
        <w:t>上述的货物免费质保期为</w:t>
      </w:r>
      <w:r>
        <w:rPr>
          <w:rFonts w:hint="eastAsia" w:hAnsi="宋体" w:cs="宋体"/>
          <w:color w:val="auto"/>
          <w:sz w:val="21"/>
          <w:highlight w:val="none"/>
          <w:u w:val="single"/>
        </w:rPr>
        <w:t xml:space="preserve">   </w:t>
      </w:r>
      <w:r>
        <w:rPr>
          <w:rFonts w:hint="eastAsia" w:hAnsi="宋体" w:cs="宋体"/>
          <w:color w:val="auto"/>
          <w:sz w:val="21"/>
          <w:highlight w:val="none"/>
        </w:rPr>
        <w:t>年，因人为因素出现的故障不在免费保修范围内。超过质保期的机器设备，终身维修，维修时只收部件成本费。</w:t>
      </w:r>
    </w:p>
    <w:p w14:paraId="79E5E427">
      <w:pPr>
        <w:pStyle w:val="16"/>
        <w:shd w:val="clear"/>
        <w:snapToGrid w:val="0"/>
        <w:spacing w:line="420" w:lineRule="exact"/>
        <w:ind w:firstLine="413" w:firstLineChars="196"/>
        <w:rPr>
          <w:rFonts w:hAnsi="宋体" w:cs="宋体"/>
          <w:b/>
          <w:color w:val="auto"/>
          <w:sz w:val="21"/>
          <w:highlight w:val="none"/>
        </w:rPr>
      </w:pPr>
      <w:r>
        <w:rPr>
          <w:rFonts w:hint="eastAsia" w:hAnsi="宋体" w:cs="宋体"/>
          <w:b/>
          <w:color w:val="auto"/>
          <w:sz w:val="21"/>
          <w:highlight w:val="none"/>
        </w:rPr>
        <w:t>第十二条  调试和验收</w:t>
      </w:r>
    </w:p>
    <w:p w14:paraId="1CF466DA">
      <w:pPr>
        <w:pStyle w:val="16"/>
        <w:shd w:val="clear"/>
        <w:snapToGrid w:val="0"/>
        <w:spacing w:line="420" w:lineRule="exact"/>
        <w:ind w:firstLine="420" w:firstLineChars="200"/>
        <w:rPr>
          <w:rFonts w:hAnsi="宋体" w:cs="宋体"/>
          <w:color w:val="auto"/>
          <w:sz w:val="21"/>
          <w:highlight w:val="none"/>
        </w:rPr>
      </w:pPr>
      <w:r>
        <w:rPr>
          <w:rFonts w:hint="eastAsia" w:hAnsi="宋体" w:cs="宋体"/>
          <w:color w:val="auto"/>
          <w:sz w:val="21"/>
          <w:highlight w:val="none"/>
        </w:rPr>
        <w:t>1</w:t>
      </w:r>
      <w:r>
        <w:rPr>
          <w:rFonts w:hint="eastAsia" w:ascii="宋体" w:hAnsi="宋体" w:cs="宋体"/>
          <w:color w:val="auto"/>
          <w:szCs w:val="21"/>
          <w:highlight w:val="none"/>
          <w:lang w:val="en-US" w:eastAsia="zh-CN"/>
        </w:rPr>
        <w:t>.</w:t>
      </w:r>
      <w:r>
        <w:rPr>
          <w:rFonts w:hint="eastAsia" w:hAnsi="宋体" w:cs="宋体"/>
          <w:color w:val="auto"/>
          <w:sz w:val="21"/>
          <w:highlight w:val="none"/>
        </w:rPr>
        <w:t>甲方对乙方提交的货物、软件依据竞争性谈判文件上的技术规格要求和国家有关质量标准进行现场初步验收，外观、说明书符合竞争性谈判文件技术要求的，给予签收，初步验收不合格的不予签收。甲方应当在到货、软件开发完成并安装调试后7个工作日内进行验收。</w:t>
      </w:r>
    </w:p>
    <w:p w14:paraId="683C2427">
      <w:pPr>
        <w:pStyle w:val="16"/>
        <w:shd w:val="clear"/>
        <w:snapToGrid w:val="0"/>
        <w:spacing w:line="420" w:lineRule="exact"/>
        <w:ind w:firstLine="420" w:firstLineChars="200"/>
        <w:rPr>
          <w:rFonts w:hAnsi="宋体" w:cs="宋体"/>
          <w:color w:val="auto"/>
          <w:sz w:val="21"/>
          <w:highlight w:val="none"/>
        </w:rPr>
      </w:pPr>
      <w:r>
        <w:rPr>
          <w:rFonts w:hint="eastAsia" w:hAnsi="宋体" w:cs="宋体"/>
          <w:color w:val="auto"/>
          <w:sz w:val="21"/>
          <w:highlight w:val="none"/>
        </w:rPr>
        <w:t>2</w:t>
      </w:r>
      <w:r>
        <w:rPr>
          <w:rFonts w:hint="eastAsia" w:ascii="宋体" w:hAnsi="宋体" w:cs="宋体"/>
          <w:color w:val="auto"/>
          <w:szCs w:val="21"/>
          <w:highlight w:val="none"/>
          <w:lang w:val="en-US" w:eastAsia="zh-CN"/>
        </w:rPr>
        <w:t>.</w:t>
      </w:r>
      <w:r>
        <w:rPr>
          <w:rFonts w:hint="eastAsia" w:hAnsi="宋体" w:cs="宋体"/>
          <w:color w:val="auto"/>
          <w:sz w:val="21"/>
          <w:highlight w:val="none"/>
        </w:rPr>
        <w:t>乙方交货前应对产品作出全面检查和对验收文件进行整理，并列出清单，作为甲方收货验收和使用的技术条件依据，检验的结果应随货物交甲方。</w:t>
      </w:r>
    </w:p>
    <w:p w14:paraId="2719F35C">
      <w:pPr>
        <w:pStyle w:val="16"/>
        <w:shd w:val="clear"/>
        <w:snapToGrid w:val="0"/>
        <w:spacing w:line="420" w:lineRule="exact"/>
        <w:ind w:firstLine="420" w:firstLineChars="200"/>
        <w:rPr>
          <w:rFonts w:hAnsi="宋体" w:cs="宋体"/>
          <w:color w:val="auto"/>
          <w:sz w:val="21"/>
          <w:highlight w:val="none"/>
        </w:rPr>
      </w:pPr>
      <w:r>
        <w:rPr>
          <w:rFonts w:hint="eastAsia" w:hAnsi="宋体" w:cs="宋体"/>
          <w:color w:val="auto"/>
          <w:sz w:val="21"/>
          <w:highlight w:val="none"/>
        </w:rPr>
        <w:t>3</w:t>
      </w:r>
      <w:r>
        <w:rPr>
          <w:rFonts w:hint="eastAsia" w:ascii="宋体" w:hAnsi="宋体" w:cs="宋体"/>
          <w:color w:val="auto"/>
          <w:szCs w:val="21"/>
          <w:highlight w:val="none"/>
          <w:lang w:val="en-US" w:eastAsia="zh-CN"/>
        </w:rPr>
        <w:t>.</w:t>
      </w:r>
      <w:r>
        <w:rPr>
          <w:rFonts w:hint="eastAsia" w:hAnsi="宋体" w:cs="宋体"/>
          <w:color w:val="auto"/>
          <w:sz w:val="21"/>
          <w:highlight w:val="none"/>
        </w:rPr>
        <w:t>甲方对乙方提供的货物、软件在使用前进行调试时，乙方需负责安装并培训甲方的使用操作人员，并协助甲方一起调试，直到符合技术要求，甲方才做最终验收。</w:t>
      </w:r>
    </w:p>
    <w:p w14:paraId="413F6C95">
      <w:pPr>
        <w:pStyle w:val="16"/>
        <w:shd w:val="clear"/>
        <w:snapToGrid w:val="0"/>
        <w:spacing w:line="420" w:lineRule="exact"/>
        <w:ind w:firstLine="420" w:firstLineChars="200"/>
        <w:rPr>
          <w:rFonts w:hAnsi="宋体" w:cs="宋体"/>
          <w:color w:val="auto"/>
          <w:sz w:val="21"/>
          <w:highlight w:val="none"/>
        </w:rPr>
      </w:pPr>
      <w:r>
        <w:rPr>
          <w:rFonts w:hint="eastAsia" w:hAnsi="宋体" w:cs="宋体"/>
          <w:color w:val="auto"/>
          <w:sz w:val="21"/>
          <w:highlight w:val="none"/>
        </w:rPr>
        <w:t>4</w:t>
      </w:r>
      <w:r>
        <w:rPr>
          <w:rFonts w:hint="eastAsia" w:ascii="宋体" w:hAnsi="宋体" w:cs="宋体"/>
          <w:color w:val="auto"/>
          <w:szCs w:val="21"/>
          <w:highlight w:val="none"/>
          <w:lang w:val="en-US" w:eastAsia="zh-CN"/>
        </w:rPr>
        <w:t>.</w:t>
      </w:r>
      <w:r>
        <w:rPr>
          <w:rFonts w:hint="eastAsia" w:hAnsi="宋体" w:cs="宋体"/>
          <w:color w:val="auto"/>
          <w:sz w:val="21"/>
          <w:highlight w:val="none"/>
        </w:rPr>
        <w:t>对技术复杂的货物，甲方应请国家认可的专业检测机构参与初步验收及最终验收，并由其出具质量检测报告，检测费用由乙方承担。</w:t>
      </w:r>
    </w:p>
    <w:p w14:paraId="4B35A45B">
      <w:pPr>
        <w:pStyle w:val="16"/>
        <w:shd w:val="clear"/>
        <w:snapToGrid w:val="0"/>
        <w:spacing w:line="420" w:lineRule="exact"/>
        <w:ind w:firstLine="420" w:firstLineChars="200"/>
        <w:rPr>
          <w:rFonts w:hAnsi="宋体" w:cs="宋体"/>
          <w:color w:val="auto"/>
          <w:sz w:val="21"/>
          <w:highlight w:val="none"/>
        </w:rPr>
      </w:pPr>
      <w:r>
        <w:rPr>
          <w:rFonts w:hint="eastAsia" w:hAnsi="宋体" w:cs="宋体"/>
          <w:color w:val="auto"/>
          <w:sz w:val="21"/>
          <w:highlight w:val="none"/>
        </w:rPr>
        <w:t>5</w:t>
      </w:r>
      <w:r>
        <w:rPr>
          <w:rFonts w:hint="eastAsia" w:ascii="宋体" w:hAnsi="宋体" w:cs="宋体"/>
          <w:color w:val="auto"/>
          <w:szCs w:val="21"/>
          <w:highlight w:val="none"/>
          <w:lang w:val="en-US" w:eastAsia="zh-CN"/>
        </w:rPr>
        <w:t>.</w:t>
      </w:r>
      <w:r>
        <w:rPr>
          <w:rFonts w:hint="eastAsia" w:hAnsi="宋体" w:cs="宋体"/>
          <w:color w:val="auto"/>
          <w:sz w:val="21"/>
          <w:highlight w:val="none"/>
        </w:rPr>
        <w:t>验收时乙方必须在现场，验收完毕后做出验收结果报告；验收费用由乙方负责。</w:t>
      </w:r>
    </w:p>
    <w:p w14:paraId="5B7054DF">
      <w:pPr>
        <w:pStyle w:val="16"/>
        <w:shd w:val="clear"/>
        <w:snapToGrid w:val="0"/>
        <w:spacing w:line="420" w:lineRule="exact"/>
        <w:ind w:firstLine="413" w:firstLineChars="196"/>
        <w:rPr>
          <w:rFonts w:hAnsi="宋体" w:cs="宋体"/>
          <w:b/>
          <w:color w:val="auto"/>
          <w:sz w:val="21"/>
          <w:highlight w:val="none"/>
        </w:rPr>
      </w:pPr>
      <w:r>
        <w:rPr>
          <w:rFonts w:hint="eastAsia" w:hAnsi="宋体" w:cs="宋体"/>
          <w:b/>
          <w:color w:val="auto"/>
          <w:sz w:val="21"/>
          <w:highlight w:val="none"/>
        </w:rPr>
        <w:t>第十三条  货物包装、发运及运输</w:t>
      </w:r>
    </w:p>
    <w:p w14:paraId="25875F5A">
      <w:pPr>
        <w:pStyle w:val="16"/>
        <w:shd w:val="clear"/>
        <w:snapToGrid w:val="0"/>
        <w:spacing w:line="420" w:lineRule="exact"/>
        <w:ind w:firstLine="420" w:firstLineChars="200"/>
        <w:rPr>
          <w:rFonts w:hAnsi="宋体" w:cs="宋体"/>
          <w:color w:val="auto"/>
          <w:sz w:val="21"/>
          <w:highlight w:val="none"/>
        </w:rPr>
      </w:pPr>
      <w:r>
        <w:rPr>
          <w:rFonts w:hint="eastAsia" w:hAnsi="宋体" w:cs="宋体"/>
          <w:color w:val="auto"/>
          <w:sz w:val="21"/>
          <w:highlight w:val="none"/>
        </w:rPr>
        <w:t>1</w:t>
      </w:r>
      <w:r>
        <w:rPr>
          <w:rFonts w:hint="eastAsia" w:ascii="宋体" w:hAnsi="宋体" w:cs="宋体"/>
          <w:color w:val="auto"/>
          <w:szCs w:val="21"/>
          <w:highlight w:val="none"/>
          <w:lang w:val="en-US" w:eastAsia="zh-CN"/>
        </w:rPr>
        <w:t>.</w:t>
      </w:r>
      <w:r>
        <w:rPr>
          <w:rFonts w:hint="eastAsia" w:hAnsi="宋体" w:cs="宋体"/>
          <w:color w:val="auto"/>
          <w:sz w:val="21"/>
          <w:highlight w:val="none"/>
        </w:rPr>
        <w:t>乙方应在货物发运前对其进行满足运输距离、防潮、防震、防锈和防破损装卸等要求包装，以保证货物安全运达甲方指定地点。</w:t>
      </w:r>
    </w:p>
    <w:p w14:paraId="7CC107F1">
      <w:pPr>
        <w:pStyle w:val="16"/>
        <w:shd w:val="clear"/>
        <w:snapToGrid w:val="0"/>
        <w:spacing w:line="420" w:lineRule="exact"/>
        <w:ind w:firstLine="420" w:firstLineChars="200"/>
        <w:rPr>
          <w:rFonts w:hAnsi="宋体" w:cs="宋体"/>
          <w:color w:val="auto"/>
          <w:sz w:val="21"/>
          <w:highlight w:val="none"/>
        </w:rPr>
      </w:pPr>
      <w:r>
        <w:rPr>
          <w:rFonts w:hint="eastAsia" w:hAnsi="宋体" w:cs="宋体"/>
          <w:color w:val="auto"/>
          <w:sz w:val="21"/>
          <w:highlight w:val="none"/>
        </w:rPr>
        <w:t>2</w:t>
      </w:r>
      <w:r>
        <w:rPr>
          <w:rFonts w:hint="eastAsia" w:ascii="宋体" w:hAnsi="宋体" w:cs="宋体"/>
          <w:color w:val="auto"/>
          <w:szCs w:val="21"/>
          <w:highlight w:val="none"/>
          <w:lang w:val="en-US" w:eastAsia="zh-CN"/>
        </w:rPr>
        <w:t>.</w:t>
      </w:r>
      <w:r>
        <w:rPr>
          <w:rFonts w:hint="eastAsia" w:hAnsi="宋体" w:cs="宋体"/>
          <w:color w:val="auto"/>
          <w:sz w:val="21"/>
          <w:highlight w:val="none"/>
        </w:rPr>
        <w:t>使用说明书、质量检验证明书、随配附件和工具以及清单一并附于货物内。</w:t>
      </w:r>
    </w:p>
    <w:p w14:paraId="4B6C0C9B">
      <w:pPr>
        <w:pStyle w:val="16"/>
        <w:shd w:val="clear"/>
        <w:snapToGrid w:val="0"/>
        <w:spacing w:line="420" w:lineRule="exact"/>
        <w:ind w:firstLine="420" w:firstLineChars="200"/>
        <w:rPr>
          <w:rFonts w:hAnsi="宋体" w:cs="宋体"/>
          <w:color w:val="auto"/>
          <w:sz w:val="21"/>
          <w:highlight w:val="none"/>
        </w:rPr>
      </w:pPr>
      <w:r>
        <w:rPr>
          <w:rFonts w:hint="eastAsia" w:hAnsi="宋体" w:cs="宋体"/>
          <w:color w:val="auto"/>
          <w:sz w:val="21"/>
          <w:highlight w:val="none"/>
        </w:rPr>
        <w:t>3</w:t>
      </w:r>
      <w:r>
        <w:rPr>
          <w:rFonts w:hint="eastAsia" w:ascii="宋体" w:hAnsi="宋体" w:cs="宋体"/>
          <w:color w:val="auto"/>
          <w:szCs w:val="21"/>
          <w:highlight w:val="none"/>
          <w:lang w:val="en-US" w:eastAsia="zh-CN"/>
        </w:rPr>
        <w:t>.</w:t>
      </w:r>
      <w:r>
        <w:rPr>
          <w:rFonts w:hint="eastAsia" w:hAnsi="宋体" w:cs="宋体"/>
          <w:color w:val="auto"/>
          <w:sz w:val="21"/>
          <w:highlight w:val="none"/>
        </w:rPr>
        <w:t>乙方在货物发运手续办理完毕后24小时内或货到甲方48小时前通知甲方，以准备接货。</w:t>
      </w:r>
    </w:p>
    <w:p w14:paraId="0E6E3DB9">
      <w:pPr>
        <w:pStyle w:val="16"/>
        <w:shd w:val="clear"/>
        <w:snapToGrid w:val="0"/>
        <w:spacing w:line="420" w:lineRule="exact"/>
        <w:ind w:firstLine="420" w:firstLineChars="200"/>
        <w:rPr>
          <w:rFonts w:hAnsi="宋体" w:cs="宋体"/>
          <w:color w:val="auto"/>
          <w:sz w:val="21"/>
          <w:highlight w:val="none"/>
        </w:rPr>
      </w:pPr>
      <w:r>
        <w:rPr>
          <w:rFonts w:hint="eastAsia" w:hAnsi="宋体" w:cs="宋体"/>
          <w:color w:val="auto"/>
          <w:sz w:val="21"/>
          <w:highlight w:val="none"/>
        </w:rPr>
        <w:t>4</w:t>
      </w:r>
      <w:r>
        <w:rPr>
          <w:rFonts w:hint="eastAsia" w:ascii="宋体" w:hAnsi="宋体" w:cs="宋体"/>
          <w:color w:val="auto"/>
          <w:szCs w:val="21"/>
          <w:highlight w:val="none"/>
          <w:lang w:val="en-US" w:eastAsia="zh-CN"/>
        </w:rPr>
        <w:t>.</w:t>
      </w:r>
      <w:r>
        <w:rPr>
          <w:rFonts w:hint="eastAsia" w:hAnsi="宋体" w:cs="宋体"/>
          <w:color w:val="auto"/>
          <w:sz w:val="21"/>
          <w:highlight w:val="none"/>
        </w:rPr>
        <w:t>货物、软件在交付甲方前发生的风险均由乙方负责。</w:t>
      </w:r>
    </w:p>
    <w:p w14:paraId="4EA6ABCB">
      <w:pPr>
        <w:pStyle w:val="16"/>
        <w:shd w:val="clear"/>
        <w:snapToGrid w:val="0"/>
        <w:spacing w:line="420" w:lineRule="exact"/>
        <w:ind w:firstLine="420" w:firstLineChars="200"/>
        <w:rPr>
          <w:rFonts w:hAnsi="宋体" w:cs="宋体"/>
          <w:color w:val="auto"/>
          <w:sz w:val="21"/>
          <w:highlight w:val="none"/>
        </w:rPr>
      </w:pPr>
      <w:r>
        <w:rPr>
          <w:rFonts w:hint="eastAsia" w:hAnsi="宋体" w:cs="宋体"/>
          <w:color w:val="auto"/>
          <w:sz w:val="21"/>
          <w:highlight w:val="none"/>
        </w:rPr>
        <w:t>5</w:t>
      </w:r>
      <w:r>
        <w:rPr>
          <w:rFonts w:hint="eastAsia" w:ascii="宋体" w:hAnsi="宋体" w:cs="宋体"/>
          <w:color w:val="auto"/>
          <w:szCs w:val="21"/>
          <w:highlight w:val="none"/>
          <w:lang w:val="en-US" w:eastAsia="zh-CN"/>
        </w:rPr>
        <w:t>.</w:t>
      </w:r>
      <w:r>
        <w:rPr>
          <w:rFonts w:hint="eastAsia" w:hAnsi="宋体" w:cs="宋体"/>
          <w:color w:val="auto"/>
          <w:sz w:val="21"/>
          <w:highlight w:val="none"/>
        </w:rPr>
        <w:t>货物、软件在规定的交付期限内由乙方送达甲方指定的地点视为交付，乙方同时需通知甲方货物已送达。</w:t>
      </w:r>
    </w:p>
    <w:p w14:paraId="53BCA02D">
      <w:pPr>
        <w:shd w:val="clear"/>
        <w:spacing w:line="4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第十四条　违约责任</w:t>
      </w:r>
    </w:p>
    <w:p w14:paraId="40E11BDD">
      <w:pPr>
        <w:pStyle w:val="16"/>
        <w:shd w:val="clear"/>
        <w:snapToGrid w:val="0"/>
        <w:spacing w:line="420" w:lineRule="exact"/>
        <w:ind w:firstLine="420" w:firstLineChars="200"/>
        <w:rPr>
          <w:rFonts w:hAnsi="宋体" w:cs="宋体"/>
          <w:color w:val="auto"/>
          <w:sz w:val="21"/>
          <w:highlight w:val="none"/>
        </w:rPr>
      </w:pPr>
      <w:r>
        <w:rPr>
          <w:rFonts w:hint="eastAsia" w:hAnsi="宋体" w:cs="宋体"/>
          <w:color w:val="auto"/>
          <w:sz w:val="21"/>
          <w:highlight w:val="none"/>
        </w:rPr>
        <w:t>1</w:t>
      </w:r>
      <w:r>
        <w:rPr>
          <w:rFonts w:hint="eastAsia" w:ascii="宋体" w:hAnsi="宋体" w:cs="宋体"/>
          <w:color w:val="auto"/>
          <w:szCs w:val="21"/>
          <w:highlight w:val="none"/>
          <w:lang w:val="en-US" w:eastAsia="zh-CN"/>
        </w:rPr>
        <w:t>.</w:t>
      </w:r>
      <w:r>
        <w:rPr>
          <w:rFonts w:hint="eastAsia" w:hAnsi="宋体" w:cs="宋体"/>
          <w:color w:val="auto"/>
          <w:sz w:val="21"/>
          <w:highlight w:val="none"/>
        </w:rPr>
        <w:t xml:space="preserve">乙方所提供的货物、软件规格、技术标准、材料等质量不合格的，应及时更换，更换不及时的按逾期交货处罚；因质量问题甲方不同意接收的或特殊情况甲方不同意接收的，乙方应向甲方支付合同金额5%的违约金并赔偿甲方经济损失。                                       </w:t>
      </w:r>
    </w:p>
    <w:p w14:paraId="69039590">
      <w:pPr>
        <w:pStyle w:val="16"/>
        <w:shd w:val="clear"/>
        <w:snapToGrid w:val="0"/>
        <w:spacing w:line="420" w:lineRule="exact"/>
        <w:ind w:firstLine="420" w:firstLineChars="200"/>
        <w:rPr>
          <w:rFonts w:hAnsi="宋体" w:cs="宋体"/>
          <w:color w:val="auto"/>
          <w:sz w:val="21"/>
          <w:highlight w:val="none"/>
        </w:rPr>
      </w:pPr>
      <w:r>
        <w:rPr>
          <w:rFonts w:hint="eastAsia" w:hAnsi="宋体" w:cs="宋体"/>
          <w:color w:val="auto"/>
          <w:sz w:val="21"/>
          <w:highlight w:val="none"/>
        </w:rPr>
        <w:t>2</w:t>
      </w:r>
      <w:r>
        <w:rPr>
          <w:rFonts w:hint="eastAsia" w:ascii="宋体" w:hAnsi="宋体" w:cs="宋体"/>
          <w:color w:val="auto"/>
          <w:szCs w:val="21"/>
          <w:highlight w:val="none"/>
          <w:lang w:val="en-US" w:eastAsia="zh-CN"/>
        </w:rPr>
        <w:t>.</w:t>
      </w:r>
      <w:r>
        <w:rPr>
          <w:rFonts w:hint="eastAsia" w:hAnsi="宋体" w:cs="宋体"/>
          <w:color w:val="auto"/>
          <w:sz w:val="21"/>
          <w:highlight w:val="none"/>
        </w:rPr>
        <w:t>乙方提供的货物如侵犯了第三方合法权益而引发的任何纠纷或诉讼，均由乙方负责交涉并承担全部责任。</w:t>
      </w:r>
    </w:p>
    <w:p w14:paraId="76C66E76">
      <w:pPr>
        <w:pStyle w:val="16"/>
        <w:shd w:val="clear"/>
        <w:snapToGrid w:val="0"/>
        <w:spacing w:line="420" w:lineRule="exact"/>
        <w:ind w:firstLine="420" w:firstLineChars="200"/>
        <w:rPr>
          <w:rFonts w:hAnsi="宋体" w:cs="宋体"/>
          <w:color w:val="auto"/>
          <w:sz w:val="21"/>
          <w:highlight w:val="none"/>
        </w:rPr>
      </w:pPr>
      <w:r>
        <w:rPr>
          <w:rFonts w:hint="eastAsia" w:hAnsi="宋体" w:cs="宋体"/>
          <w:color w:val="auto"/>
          <w:sz w:val="21"/>
          <w:highlight w:val="none"/>
        </w:rPr>
        <w:t>3</w:t>
      </w:r>
      <w:r>
        <w:rPr>
          <w:rFonts w:hint="eastAsia" w:ascii="宋体" w:hAnsi="宋体" w:cs="宋体"/>
          <w:color w:val="auto"/>
          <w:szCs w:val="21"/>
          <w:highlight w:val="none"/>
          <w:lang w:val="en-US" w:eastAsia="zh-CN"/>
        </w:rPr>
        <w:t>.</w:t>
      </w:r>
      <w:r>
        <w:rPr>
          <w:rFonts w:hint="eastAsia" w:hAnsi="宋体" w:cs="宋体"/>
          <w:color w:val="auto"/>
          <w:sz w:val="21"/>
          <w:highlight w:val="none"/>
        </w:rPr>
        <w:t>因包装、运输引起的货物损坏，按质量不合格处罚。</w:t>
      </w:r>
    </w:p>
    <w:p w14:paraId="0B1BE5EB">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甲方无故延期接收货物、乙方逾期交货和完成软件开发交付使用的，每天向对方偿付合同金额3‰违约金，但违约金累计不得超过合同金额5%，超过</w:t>
      </w:r>
      <w:r>
        <w:rPr>
          <w:rFonts w:hint="eastAsia" w:ascii="宋体" w:hAnsi="宋体" w:cs="宋体"/>
          <w:color w:val="auto"/>
          <w:szCs w:val="21"/>
          <w:highlight w:val="none"/>
          <w:u w:val="single"/>
        </w:rPr>
        <w:t>10</w:t>
      </w:r>
      <w:r>
        <w:rPr>
          <w:rFonts w:hint="eastAsia" w:ascii="宋体" w:hAnsi="宋体" w:cs="宋体"/>
          <w:color w:val="auto"/>
          <w:szCs w:val="21"/>
          <w:highlight w:val="none"/>
        </w:rPr>
        <w:t>天对方有权单方解除合同，违约方承担因此给对方造成</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经济损失；甲方延期支付货款的，每天向乙方偿付延期货款额3‰违约金，但违约金累计不得超过延期货款额5%。</w:t>
      </w:r>
    </w:p>
    <w:p w14:paraId="22670749">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乙方未按本合同和竞争性谈判响应文件中规定的服务承诺提供售后服务的，乙方应按本合同合计金额5%向甲方支付违约金。</w:t>
      </w:r>
    </w:p>
    <w:p w14:paraId="051E4D76">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乙方提供的货物在质保期内，因设计、工艺或材料的缺陷和其他质量原因造成的问题，由乙方负责，费用从履约保证金中扣除，不足另补。</w:t>
      </w:r>
    </w:p>
    <w:p w14:paraId="67724A33">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其</w:t>
      </w:r>
      <w:r>
        <w:rPr>
          <w:rFonts w:hint="eastAsia" w:ascii="宋体" w:hAnsi="宋体" w:cs="宋体"/>
          <w:color w:val="auto"/>
          <w:szCs w:val="21"/>
          <w:highlight w:val="none"/>
          <w:lang w:val="en-US" w:eastAsia="zh-CN"/>
        </w:rPr>
        <w:t>他</w:t>
      </w:r>
      <w:r>
        <w:rPr>
          <w:rFonts w:hint="eastAsia" w:ascii="宋体" w:hAnsi="宋体" w:cs="宋体"/>
          <w:color w:val="auto"/>
          <w:szCs w:val="21"/>
          <w:highlight w:val="none"/>
        </w:rPr>
        <w:t>违约行为按违约货款额5%收取违约金并赔偿经济损失。</w:t>
      </w:r>
    </w:p>
    <w:p w14:paraId="7C01CFF9">
      <w:pPr>
        <w:shd w:val="clear"/>
        <w:spacing w:line="4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第十五条  不可抗力事件处理</w:t>
      </w:r>
    </w:p>
    <w:p w14:paraId="0B336174">
      <w:pPr>
        <w:pStyle w:val="16"/>
        <w:shd w:val="clear"/>
        <w:snapToGrid w:val="0"/>
        <w:spacing w:line="420" w:lineRule="exact"/>
        <w:ind w:firstLine="420" w:firstLineChars="200"/>
        <w:rPr>
          <w:rFonts w:hAnsi="宋体" w:cs="宋体"/>
          <w:color w:val="auto"/>
          <w:sz w:val="21"/>
          <w:highlight w:val="none"/>
        </w:rPr>
      </w:pPr>
      <w:r>
        <w:rPr>
          <w:rFonts w:hint="eastAsia" w:hAnsi="宋体" w:cs="宋体"/>
          <w:color w:val="auto"/>
          <w:sz w:val="21"/>
          <w:highlight w:val="none"/>
        </w:rPr>
        <w:t>1</w:t>
      </w:r>
      <w:r>
        <w:rPr>
          <w:rFonts w:hint="eastAsia" w:ascii="宋体" w:hAnsi="宋体" w:cs="宋体"/>
          <w:color w:val="auto"/>
          <w:szCs w:val="21"/>
          <w:highlight w:val="none"/>
          <w:lang w:val="en-US" w:eastAsia="zh-CN"/>
        </w:rPr>
        <w:t>.</w:t>
      </w:r>
      <w:r>
        <w:rPr>
          <w:rFonts w:hint="eastAsia" w:hAnsi="宋体" w:cs="宋体"/>
          <w:color w:val="auto"/>
          <w:sz w:val="21"/>
          <w:highlight w:val="none"/>
        </w:rPr>
        <w:t>在合同有效期内，任何一方因不可抗力事件导致不能履行合同，则合同履行期可延长，其延长期与不可抗力影响期相同。</w:t>
      </w:r>
    </w:p>
    <w:p w14:paraId="2BF2051B">
      <w:pPr>
        <w:pStyle w:val="16"/>
        <w:shd w:val="clear"/>
        <w:snapToGrid w:val="0"/>
        <w:spacing w:line="420" w:lineRule="exact"/>
        <w:ind w:firstLine="420" w:firstLineChars="200"/>
        <w:rPr>
          <w:rFonts w:hAnsi="宋体" w:cs="宋体"/>
          <w:color w:val="auto"/>
          <w:sz w:val="21"/>
          <w:highlight w:val="none"/>
        </w:rPr>
      </w:pPr>
      <w:r>
        <w:rPr>
          <w:rFonts w:hint="eastAsia" w:hAnsi="宋体" w:cs="宋体"/>
          <w:color w:val="auto"/>
          <w:sz w:val="21"/>
          <w:highlight w:val="none"/>
        </w:rPr>
        <w:t>2</w:t>
      </w:r>
      <w:r>
        <w:rPr>
          <w:rFonts w:hint="eastAsia" w:ascii="宋体" w:hAnsi="宋体" w:cs="宋体"/>
          <w:color w:val="auto"/>
          <w:szCs w:val="21"/>
          <w:highlight w:val="none"/>
          <w:lang w:val="en-US" w:eastAsia="zh-CN"/>
        </w:rPr>
        <w:t>.</w:t>
      </w:r>
      <w:r>
        <w:rPr>
          <w:rFonts w:hint="eastAsia" w:hAnsi="宋体" w:cs="宋体"/>
          <w:color w:val="auto"/>
          <w:sz w:val="21"/>
          <w:highlight w:val="none"/>
        </w:rPr>
        <w:t>不可抗力事件发生后，应立即通知对方，并寄送有关权威机构出具的证明。</w:t>
      </w:r>
    </w:p>
    <w:p w14:paraId="44633E0D">
      <w:pPr>
        <w:pStyle w:val="16"/>
        <w:shd w:val="clear"/>
        <w:snapToGrid w:val="0"/>
        <w:spacing w:line="420" w:lineRule="exact"/>
        <w:ind w:firstLine="420" w:firstLineChars="200"/>
        <w:rPr>
          <w:rFonts w:hAnsi="宋体" w:cs="宋体"/>
          <w:color w:val="auto"/>
          <w:sz w:val="21"/>
          <w:highlight w:val="none"/>
        </w:rPr>
      </w:pPr>
      <w:r>
        <w:rPr>
          <w:rFonts w:hint="eastAsia" w:hAnsi="宋体" w:cs="宋体"/>
          <w:color w:val="auto"/>
          <w:sz w:val="21"/>
          <w:highlight w:val="none"/>
        </w:rPr>
        <w:t>3</w:t>
      </w:r>
      <w:r>
        <w:rPr>
          <w:rFonts w:hint="eastAsia" w:ascii="宋体" w:hAnsi="宋体" w:cs="宋体"/>
          <w:color w:val="auto"/>
          <w:szCs w:val="21"/>
          <w:highlight w:val="none"/>
          <w:lang w:val="en-US" w:eastAsia="zh-CN"/>
        </w:rPr>
        <w:t>.</w:t>
      </w:r>
      <w:r>
        <w:rPr>
          <w:rFonts w:hint="eastAsia" w:hAnsi="宋体" w:cs="宋体"/>
          <w:color w:val="auto"/>
          <w:sz w:val="21"/>
          <w:highlight w:val="none"/>
        </w:rPr>
        <w:t>不可抗力事件延续120天以上，双方应通过友好协商，确定是否继续履行合同。</w:t>
      </w:r>
    </w:p>
    <w:p w14:paraId="46A8D1DB">
      <w:pPr>
        <w:shd w:val="clear"/>
        <w:spacing w:line="420" w:lineRule="exact"/>
        <w:ind w:firstLine="422" w:firstLineChars="200"/>
        <w:rPr>
          <w:rFonts w:ascii="宋体" w:hAnsi="宋体" w:cs="宋体"/>
          <w:color w:val="auto"/>
          <w:szCs w:val="21"/>
          <w:highlight w:val="none"/>
        </w:rPr>
      </w:pPr>
      <w:r>
        <w:rPr>
          <w:rFonts w:hint="eastAsia" w:ascii="宋体" w:hAnsi="宋体" w:cs="宋体"/>
          <w:b/>
          <w:color w:val="auto"/>
          <w:szCs w:val="21"/>
          <w:highlight w:val="none"/>
        </w:rPr>
        <w:t>第十六条  合同争议解决</w:t>
      </w:r>
    </w:p>
    <w:p w14:paraId="40047ACA">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因货物质量问题发生争议的，应邀请国家认可的质量检测机构对货物质量进行鉴定。货物符合标准的，鉴定费由甲方承担；货物不符合标准的，鉴定费由乙方承担。</w:t>
      </w:r>
    </w:p>
    <w:p w14:paraId="20A7F24F">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因履行本合同引起的或与本合同有关的争议，甲乙双方应首先通过友好协商解决，如果协商不能解决，可向甲方所在地人民法院提起诉讼。</w:t>
      </w:r>
    </w:p>
    <w:p w14:paraId="532E8121">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诉讼期间，本合同继续履行。</w:t>
      </w:r>
    </w:p>
    <w:p w14:paraId="4E204E0A">
      <w:pPr>
        <w:shd w:val="clear"/>
        <w:spacing w:line="4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第十七条  诉讼</w:t>
      </w:r>
    </w:p>
    <w:p w14:paraId="236DD34F">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双方在执行合同中所发生的一切争议，应通过协商解决。如果协商不能解决，可向甲方所在地人民法院提起诉讼。</w:t>
      </w:r>
    </w:p>
    <w:p w14:paraId="70C16451">
      <w:pPr>
        <w:shd w:val="clear"/>
        <w:spacing w:line="4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第十八条  合同生效及其他</w:t>
      </w:r>
    </w:p>
    <w:p w14:paraId="46DA753A">
      <w:pPr>
        <w:pStyle w:val="16"/>
        <w:shd w:val="clear"/>
        <w:snapToGrid w:val="0"/>
        <w:spacing w:line="420" w:lineRule="exact"/>
        <w:ind w:firstLine="411" w:firstLineChars="196"/>
        <w:rPr>
          <w:rFonts w:hAnsi="宋体" w:cs="宋体"/>
          <w:color w:val="auto"/>
          <w:sz w:val="21"/>
          <w:highlight w:val="none"/>
        </w:rPr>
      </w:pPr>
      <w:r>
        <w:rPr>
          <w:rFonts w:hint="eastAsia" w:hAnsi="宋体" w:cs="宋体"/>
          <w:color w:val="auto"/>
          <w:sz w:val="21"/>
          <w:highlight w:val="none"/>
        </w:rPr>
        <w:t>1</w:t>
      </w:r>
      <w:r>
        <w:rPr>
          <w:rFonts w:hint="eastAsia" w:ascii="宋体" w:hAnsi="宋体" w:cs="宋体"/>
          <w:color w:val="auto"/>
          <w:szCs w:val="21"/>
          <w:highlight w:val="none"/>
          <w:lang w:val="en-US" w:eastAsia="zh-CN"/>
        </w:rPr>
        <w:t>.</w:t>
      </w:r>
      <w:r>
        <w:rPr>
          <w:rFonts w:hint="eastAsia" w:hAnsi="宋体" w:cs="宋体"/>
          <w:color w:val="auto"/>
          <w:sz w:val="21"/>
          <w:highlight w:val="none"/>
        </w:rPr>
        <w:t>合同经双方法定代表人或授权代表签字并加盖单位公章后生效。</w:t>
      </w:r>
    </w:p>
    <w:p w14:paraId="6F3B7ACB">
      <w:pPr>
        <w:pStyle w:val="16"/>
        <w:shd w:val="clear"/>
        <w:snapToGrid w:val="0"/>
        <w:spacing w:line="420" w:lineRule="exact"/>
        <w:ind w:firstLine="411" w:firstLineChars="196"/>
        <w:rPr>
          <w:rFonts w:hAnsi="宋体" w:cs="宋体"/>
          <w:color w:val="auto"/>
          <w:sz w:val="21"/>
          <w:highlight w:val="none"/>
        </w:rPr>
      </w:pPr>
      <w:r>
        <w:rPr>
          <w:rFonts w:hint="eastAsia" w:hAnsi="宋体" w:cs="宋体"/>
          <w:color w:val="auto"/>
          <w:sz w:val="21"/>
          <w:highlight w:val="none"/>
        </w:rPr>
        <w:t>2</w:t>
      </w:r>
      <w:r>
        <w:rPr>
          <w:rFonts w:hint="eastAsia" w:ascii="宋体" w:hAnsi="宋体" w:cs="宋体"/>
          <w:color w:val="auto"/>
          <w:szCs w:val="21"/>
          <w:highlight w:val="none"/>
          <w:lang w:val="en-US" w:eastAsia="zh-CN"/>
        </w:rPr>
        <w:t>.</w:t>
      </w:r>
      <w:r>
        <w:rPr>
          <w:rFonts w:hint="eastAsia" w:hAnsi="宋体" w:cs="宋体"/>
          <w:color w:val="auto"/>
          <w:sz w:val="21"/>
          <w:highlight w:val="none"/>
        </w:rPr>
        <w:t>合同执行中涉及采购资金和采购内容修改或补充的，须经财政部门审批，并签订书面补充协议报财政部门备案，方可作为主合同不可分割的一部分。</w:t>
      </w:r>
    </w:p>
    <w:p w14:paraId="285C4C6F">
      <w:pPr>
        <w:pStyle w:val="16"/>
        <w:shd w:val="clear"/>
        <w:snapToGrid w:val="0"/>
        <w:spacing w:line="420" w:lineRule="exact"/>
        <w:ind w:firstLine="411" w:firstLineChars="196"/>
        <w:rPr>
          <w:rFonts w:hAnsi="宋体" w:cs="宋体"/>
          <w:color w:val="auto"/>
          <w:sz w:val="21"/>
          <w:highlight w:val="none"/>
        </w:rPr>
      </w:pPr>
      <w:r>
        <w:rPr>
          <w:rFonts w:hint="eastAsia" w:hAnsi="宋体" w:cs="宋体"/>
          <w:color w:val="auto"/>
          <w:sz w:val="21"/>
          <w:highlight w:val="none"/>
        </w:rPr>
        <w:t>3</w:t>
      </w:r>
      <w:r>
        <w:rPr>
          <w:rFonts w:hint="eastAsia" w:ascii="宋体" w:hAnsi="宋体" w:cs="宋体"/>
          <w:color w:val="auto"/>
          <w:szCs w:val="21"/>
          <w:highlight w:val="none"/>
          <w:lang w:val="en-US" w:eastAsia="zh-CN"/>
        </w:rPr>
        <w:t>.</w:t>
      </w:r>
      <w:r>
        <w:rPr>
          <w:rFonts w:hint="eastAsia" w:hAnsi="宋体" w:cs="宋体"/>
          <w:color w:val="auto"/>
          <w:sz w:val="21"/>
          <w:highlight w:val="none"/>
        </w:rPr>
        <w:t>本合同未尽事宜，双方可以协商并签订补充协议。</w:t>
      </w:r>
    </w:p>
    <w:p w14:paraId="0F5C09AA">
      <w:pPr>
        <w:pStyle w:val="16"/>
        <w:shd w:val="clear"/>
        <w:snapToGrid w:val="0"/>
        <w:spacing w:line="420" w:lineRule="exact"/>
        <w:ind w:firstLine="411" w:firstLineChars="196"/>
        <w:rPr>
          <w:rFonts w:hAnsi="宋体" w:cs="宋体"/>
          <w:color w:val="auto"/>
          <w:sz w:val="21"/>
          <w:highlight w:val="none"/>
        </w:rPr>
      </w:pPr>
      <w:r>
        <w:rPr>
          <w:rFonts w:hint="eastAsia" w:hAnsi="宋体" w:cs="宋体"/>
          <w:color w:val="auto"/>
          <w:sz w:val="21"/>
          <w:highlight w:val="none"/>
        </w:rPr>
        <w:t>4</w:t>
      </w:r>
      <w:r>
        <w:rPr>
          <w:rFonts w:hint="eastAsia" w:ascii="宋体" w:hAnsi="宋体" w:cs="宋体"/>
          <w:color w:val="auto"/>
          <w:szCs w:val="21"/>
          <w:highlight w:val="none"/>
          <w:lang w:val="en-US" w:eastAsia="zh-CN"/>
        </w:rPr>
        <w:t>.</w:t>
      </w:r>
      <w:r>
        <w:rPr>
          <w:rFonts w:hint="eastAsia" w:hAnsi="宋体" w:cs="宋体"/>
          <w:color w:val="auto"/>
          <w:sz w:val="21"/>
          <w:highlight w:val="none"/>
        </w:rPr>
        <w:t>本合同载明的各方地址为各方真实有效通讯地址，一方向对方发出的任何通知、信函和文件，以挂号信函或快递信函方式向对方地址邮寄有关通知、信函和文件的，自发出之日起第三日视为送达对方，挂号信函或快递信函的邮寄凭证即视为成功送达的有效凭证。一方地址（住所）变更的，应在变更后10日内书面通知对方，否则本合同载明的地址仍为真实有效通讯地址。若为提交的，自对方法定代表人、授权代表、委托代理人签收时或单位盖章时视为送达对方。</w:t>
      </w:r>
    </w:p>
    <w:p w14:paraId="55F15B68">
      <w:pPr>
        <w:shd w:val="clear"/>
        <w:spacing w:line="4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第十九条　合同的变更、终止与转让</w:t>
      </w:r>
    </w:p>
    <w:p w14:paraId="194C1825">
      <w:pPr>
        <w:shd w:val="clea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除《中华人民共和国政府采购法》第五十条规定的情形外，本合同一经签订，甲乙双方不得擅自变更、中止或终止。</w:t>
      </w:r>
    </w:p>
    <w:p w14:paraId="009C2560">
      <w:pPr>
        <w:pStyle w:val="16"/>
        <w:shd w:val="clear"/>
        <w:snapToGrid w:val="0"/>
        <w:spacing w:line="420" w:lineRule="exact"/>
        <w:ind w:firstLine="411" w:firstLineChars="196"/>
        <w:rPr>
          <w:rFonts w:hAnsi="宋体" w:cs="宋体"/>
          <w:color w:val="auto"/>
          <w:sz w:val="21"/>
          <w:highlight w:val="none"/>
        </w:rPr>
      </w:pPr>
      <w:r>
        <w:rPr>
          <w:rFonts w:hint="eastAsia" w:hAnsi="宋体" w:cs="宋体"/>
          <w:color w:val="auto"/>
          <w:sz w:val="21"/>
          <w:highlight w:val="none"/>
        </w:rPr>
        <w:t>2</w:t>
      </w:r>
      <w:r>
        <w:rPr>
          <w:rFonts w:hint="eastAsia" w:ascii="宋体" w:hAnsi="宋体" w:cs="宋体"/>
          <w:color w:val="auto"/>
          <w:szCs w:val="21"/>
          <w:highlight w:val="none"/>
          <w:lang w:val="en-US" w:eastAsia="zh-CN"/>
        </w:rPr>
        <w:t>.</w:t>
      </w:r>
      <w:r>
        <w:rPr>
          <w:rFonts w:hint="eastAsia" w:hAnsi="宋体" w:cs="宋体"/>
          <w:color w:val="auto"/>
          <w:sz w:val="21"/>
          <w:highlight w:val="none"/>
        </w:rPr>
        <w:t>乙方不得擅自转让（无进口资格的供应商委托进口货物除外）其应履行的合同义务。</w:t>
      </w:r>
    </w:p>
    <w:p w14:paraId="52FC5988">
      <w:pPr>
        <w:shd w:val="clear"/>
        <w:spacing w:line="4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第二十条　签订本合同依据</w:t>
      </w:r>
    </w:p>
    <w:p w14:paraId="125B143A">
      <w:pPr>
        <w:pStyle w:val="16"/>
        <w:shd w:val="clear"/>
        <w:snapToGrid w:val="0"/>
        <w:spacing w:line="420" w:lineRule="exact"/>
        <w:ind w:firstLine="411" w:firstLineChars="196"/>
        <w:rPr>
          <w:rFonts w:hAnsi="宋体" w:cs="宋体"/>
          <w:color w:val="auto"/>
          <w:sz w:val="21"/>
          <w:highlight w:val="none"/>
        </w:rPr>
      </w:pPr>
      <w:r>
        <w:rPr>
          <w:rFonts w:hint="eastAsia" w:hAnsi="宋体" w:cs="宋体"/>
          <w:color w:val="auto"/>
          <w:sz w:val="21"/>
          <w:highlight w:val="none"/>
        </w:rPr>
        <w:t>1</w:t>
      </w:r>
      <w:r>
        <w:rPr>
          <w:rFonts w:hint="eastAsia" w:ascii="宋体" w:hAnsi="宋体" w:cs="宋体"/>
          <w:color w:val="auto"/>
          <w:szCs w:val="21"/>
          <w:highlight w:val="none"/>
          <w:lang w:val="en-US" w:eastAsia="zh-CN"/>
        </w:rPr>
        <w:t>.</w:t>
      </w:r>
      <w:r>
        <w:rPr>
          <w:rFonts w:hint="eastAsia" w:hAnsi="宋体" w:cs="宋体"/>
          <w:color w:val="auto"/>
          <w:sz w:val="21"/>
          <w:highlight w:val="none"/>
        </w:rPr>
        <w:t>政府采购竞争性谈判文件；</w:t>
      </w:r>
    </w:p>
    <w:p w14:paraId="3C44DBF1">
      <w:pPr>
        <w:pStyle w:val="16"/>
        <w:shd w:val="clear"/>
        <w:snapToGrid w:val="0"/>
        <w:spacing w:line="420" w:lineRule="exact"/>
        <w:ind w:firstLine="411" w:firstLineChars="196"/>
        <w:rPr>
          <w:rFonts w:hAnsi="宋体" w:cs="宋体"/>
          <w:color w:val="auto"/>
          <w:sz w:val="21"/>
          <w:highlight w:val="none"/>
        </w:rPr>
      </w:pPr>
      <w:r>
        <w:rPr>
          <w:rFonts w:hint="eastAsia" w:hAnsi="宋体" w:cs="宋体"/>
          <w:color w:val="auto"/>
          <w:sz w:val="21"/>
          <w:highlight w:val="none"/>
        </w:rPr>
        <w:t>2</w:t>
      </w:r>
      <w:r>
        <w:rPr>
          <w:rFonts w:hint="eastAsia" w:ascii="宋体" w:hAnsi="宋体" w:cs="宋体"/>
          <w:color w:val="auto"/>
          <w:szCs w:val="21"/>
          <w:highlight w:val="none"/>
          <w:lang w:val="en-US" w:eastAsia="zh-CN"/>
        </w:rPr>
        <w:t>.</w:t>
      </w:r>
      <w:r>
        <w:rPr>
          <w:rFonts w:hint="eastAsia" w:hAnsi="宋体" w:cs="宋体"/>
          <w:color w:val="auto"/>
          <w:sz w:val="21"/>
          <w:highlight w:val="none"/>
        </w:rPr>
        <w:t>乙方提供的竞争性谈判响应文件；</w:t>
      </w:r>
    </w:p>
    <w:p w14:paraId="79EA00B2">
      <w:pPr>
        <w:pStyle w:val="16"/>
        <w:shd w:val="clear"/>
        <w:snapToGrid w:val="0"/>
        <w:spacing w:line="420" w:lineRule="exact"/>
        <w:ind w:firstLine="411" w:firstLineChars="196"/>
        <w:rPr>
          <w:rFonts w:hAnsi="宋体" w:cs="宋体"/>
          <w:color w:val="auto"/>
          <w:sz w:val="21"/>
          <w:highlight w:val="none"/>
        </w:rPr>
      </w:pPr>
      <w:r>
        <w:rPr>
          <w:rFonts w:hint="eastAsia" w:hAnsi="宋体" w:cs="宋体"/>
          <w:color w:val="auto"/>
          <w:sz w:val="21"/>
          <w:highlight w:val="none"/>
        </w:rPr>
        <w:t>3</w:t>
      </w:r>
      <w:r>
        <w:rPr>
          <w:rFonts w:hint="eastAsia" w:ascii="宋体" w:hAnsi="宋体" w:cs="宋体"/>
          <w:color w:val="auto"/>
          <w:szCs w:val="21"/>
          <w:highlight w:val="none"/>
          <w:lang w:val="en-US" w:eastAsia="zh-CN"/>
        </w:rPr>
        <w:t>.</w:t>
      </w:r>
      <w:r>
        <w:rPr>
          <w:rFonts w:hint="eastAsia" w:hAnsi="宋体" w:cs="宋体"/>
          <w:color w:val="auto"/>
          <w:sz w:val="21"/>
          <w:highlight w:val="none"/>
        </w:rPr>
        <w:t>成交通知书。</w:t>
      </w:r>
    </w:p>
    <w:p w14:paraId="175A0894">
      <w:pPr>
        <w:shd w:val="clear"/>
        <w:spacing w:line="420" w:lineRule="exact"/>
        <w:ind w:firstLine="422" w:firstLineChars="200"/>
        <w:rPr>
          <w:rFonts w:ascii="宋体" w:hAnsi="宋体" w:cs="宋体"/>
          <w:color w:val="auto"/>
          <w:szCs w:val="21"/>
          <w:highlight w:val="none"/>
        </w:rPr>
      </w:pPr>
      <w:r>
        <w:rPr>
          <w:rFonts w:hint="eastAsia" w:ascii="宋体" w:hAnsi="宋体" w:cs="宋体"/>
          <w:b/>
          <w:color w:val="auto"/>
          <w:szCs w:val="21"/>
          <w:highlight w:val="none"/>
        </w:rPr>
        <w:t>第二十一条　</w:t>
      </w:r>
      <w:r>
        <w:rPr>
          <w:rFonts w:hint="eastAsia" w:ascii="宋体" w:hAnsi="宋体" w:cs="宋体"/>
          <w:color w:val="auto"/>
          <w:szCs w:val="21"/>
          <w:highlight w:val="none"/>
        </w:rPr>
        <w:t>本合同壹式</w:t>
      </w:r>
      <w:r>
        <w:rPr>
          <w:rFonts w:hint="eastAsia" w:ascii="宋体" w:hAnsi="宋体" w:cs="宋体"/>
          <w:color w:val="auto"/>
          <w:szCs w:val="21"/>
          <w:highlight w:val="none"/>
          <w:lang w:val="en-US" w:eastAsia="zh-CN"/>
        </w:rPr>
        <w:t>陆</w:t>
      </w:r>
      <w:r>
        <w:rPr>
          <w:rFonts w:hint="eastAsia" w:ascii="宋体" w:hAnsi="宋体" w:cs="宋体"/>
          <w:color w:val="auto"/>
          <w:szCs w:val="21"/>
          <w:highlight w:val="none"/>
        </w:rPr>
        <w:t>份，具有同等法律效力，甲方</w:t>
      </w:r>
      <w:r>
        <w:rPr>
          <w:rFonts w:hint="eastAsia" w:ascii="宋体" w:hAnsi="宋体" w:cs="宋体"/>
          <w:color w:val="auto"/>
          <w:szCs w:val="21"/>
          <w:highlight w:val="none"/>
          <w:lang w:val="en-US" w:eastAsia="zh-CN"/>
        </w:rPr>
        <w:t>贰</w:t>
      </w:r>
      <w:r>
        <w:rPr>
          <w:rFonts w:hint="eastAsia" w:ascii="宋体" w:hAnsi="宋体" w:cs="宋体"/>
          <w:color w:val="auto"/>
          <w:szCs w:val="21"/>
          <w:highlight w:val="none"/>
        </w:rPr>
        <w:t>份、乙方贰份、采购代理机构</w:t>
      </w:r>
      <w:r>
        <w:rPr>
          <w:rFonts w:hint="eastAsia" w:ascii="宋体" w:hAnsi="宋体" w:cs="宋体"/>
          <w:color w:val="auto"/>
          <w:szCs w:val="21"/>
          <w:highlight w:val="none"/>
          <w:lang w:val="en-US" w:eastAsia="zh-CN"/>
        </w:rPr>
        <w:t>贰</w:t>
      </w:r>
      <w:r>
        <w:rPr>
          <w:rFonts w:hint="eastAsia" w:ascii="宋体" w:hAnsi="宋体" w:cs="宋体"/>
          <w:color w:val="auto"/>
          <w:szCs w:val="21"/>
          <w:highlight w:val="none"/>
        </w:rPr>
        <w:t>份。</w:t>
      </w:r>
    </w:p>
    <w:p w14:paraId="5729F31E">
      <w:pPr>
        <w:shd w:val="clear"/>
        <w:spacing w:line="360" w:lineRule="auto"/>
        <w:ind w:firstLine="420" w:firstLineChars="200"/>
        <w:rPr>
          <w:color w:val="auto"/>
          <w:highlight w:val="none"/>
        </w:rPr>
      </w:pPr>
      <w:r>
        <w:rPr>
          <w:rFonts w:hint="eastAsia" w:ascii="宋体" w:hAnsi="宋体" w:cs="宋体"/>
          <w:color w:val="auto"/>
          <w:kern w:val="0"/>
          <w:szCs w:val="21"/>
          <w:highlight w:val="none"/>
        </w:rPr>
        <w:t>本合同自签订之日起2个工作日内，甲方应当将采购合同在广西壮族自治区财政厅指定的媒体上公告</w:t>
      </w:r>
      <w:r>
        <w:rPr>
          <w:rFonts w:hint="eastAsia" w:ascii="宋体" w:hAnsi="宋体" w:cs="宋体"/>
          <w:color w:val="auto"/>
          <w:szCs w:val="21"/>
          <w:highlight w:val="none"/>
        </w:rPr>
        <w:t>。</w:t>
      </w:r>
    </w:p>
    <w:tbl>
      <w:tblPr>
        <w:tblStyle w:val="28"/>
        <w:tblpPr w:leftFromText="180" w:rightFromText="180" w:vertAnchor="text" w:horzAnchor="margin" w:tblpY="214"/>
        <w:tblW w:w="9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8"/>
        <w:gridCol w:w="4569"/>
      </w:tblGrid>
      <w:tr w14:paraId="6A3E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7" w:hRule="atLeast"/>
        </w:trPr>
        <w:tc>
          <w:tcPr>
            <w:tcW w:w="4568" w:type="dxa"/>
            <w:tcBorders>
              <w:top w:val="single" w:color="auto" w:sz="4" w:space="0"/>
              <w:left w:val="single" w:color="auto" w:sz="4" w:space="0"/>
              <w:bottom w:val="single" w:color="auto" w:sz="4" w:space="0"/>
              <w:right w:val="single" w:color="auto" w:sz="4" w:space="0"/>
            </w:tcBorders>
            <w:vAlign w:val="center"/>
          </w:tcPr>
          <w:p w14:paraId="7243805C">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甲方：（章）</w:t>
            </w:r>
          </w:p>
          <w:p w14:paraId="655B51EA">
            <w:pPr>
              <w:shd w:val="clear"/>
              <w:snapToGrid w:val="0"/>
              <w:spacing w:line="360" w:lineRule="auto"/>
              <w:rPr>
                <w:rFonts w:ascii="宋体" w:hAnsi="宋体" w:cs="宋体"/>
                <w:color w:val="auto"/>
                <w:szCs w:val="21"/>
                <w:highlight w:val="none"/>
              </w:rPr>
            </w:pPr>
          </w:p>
          <w:p w14:paraId="48E40735">
            <w:pPr>
              <w:shd w:val="clear"/>
              <w:snapToGrid w:val="0"/>
              <w:spacing w:line="360" w:lineRule="auto"/>
              <w:rPr>
                <w:rFonts w:ascii="宋体" w:hAnsi="宋体" w:cs="宋体"/>
                <w:color w:val="auto"/>
                <w:szCs w:val="21"/>
                <w:highlight w:val="none"/>
              </w:rPr>
            </w:pPr>
          </w:p>
          <w:p w14:paraId="3BC4401F">
            <w:pPr>
              <w:shd w:val="clear"/>
              <w:snapToGrid w:val="0"/>
              <w:spacing w:line="360" w:lineRule="auto"/>
              <w:ind w:firstLine="945" w:firstLineChars="450"/>
              <w:jc w:val="right"/>
              <w:rPr>
                <w:rFonts w:ascii="宋体" w:hAnsi="宋体" w:cs="宋体"/>
                <w:color w:val="auto"/>
                <w:szCs w:val="21"/>
                <w:highlight w:val="none"/>
              </w:rPr>
            </w:pPr>
          </w:p>
          <w:p w14:paraId="1BC231B0">
            <w:pPr>
              <w:shd w:val="clear"/>
              <w:snapToGrid w:val="0"/>
              <w:spacing w:line="360" w:lineRule="auto"/>
              <w:ind w:firstLine="945" w:firstLineChars="450"/>
              <w:jc w:val="right"/>
              <w:rPr>
                <w:rFonts w:ascii="宋体" w:hAnsi="宋体" w:cs="宋体"/>
                <w:color w:val="auto"/>
                <w:szCs w:val="21"/>
                <w:highlight w:val="none"/>
              </w:rPr>
            </w:pPr>
            <w:r>
              <w:rPr>
                <w:rFonts w:hint="eastAsia" w:ascii="宋体" w:hAnsi="宋体" w:cs="宋体"/>
                <w:color w:val="auto"/>
                <w:szCs w:val="21"/>
                <w:highlight w:val="none"/>
              </w:rPr>
              <w:t>年   月   日</w:t>
            </w:r>
          </w:p>
        </w:tc>
        <w:tc>
          <w:tcPr>
            <w:tcW w:w="4569" w:type="dxa"/>
            <w:tcBorders>
              <w:top w:val="single" w:color="auto" w:sz="4" w:space="0"/>
              <w:left w:val="single" w:color="auto" w:sz="4" w:space="0"/>
              <w:bottom w:val="single" w:color="auto" w:sz="4" w:space="0"/>
              <w:right w:val="single" w:color="auto" w:sz="4" w:space="0"/>
            </w:tcBorders>
            <w:vAlign w:val="center"/>
          </w:tcPr>
          <w:p w14:paraId="33E2A901">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乙方：（章）       </w:t>
            </w:r>
          </w:p>
          <w:p w14:paraId="35E35D33">
            <w:pPr>
              <w:shd w:val="clear"/>
              <w:snapToGrid w:val="0"/>
              <w:spacing w:line="360" w:lineRule="auto"/>
              <w:rPr>
                <w:rFonts w:ascii="宋体" w:hAnsi="宋体" w:cs="宋体"/>
                <w:color w:val="auto"/>
                <w:szCs w:val="21"/>
                <w:highlight w:val="none"/>
              </w:rPr>
            </w:pPr>
          </w:p>
          <w:p w14:paraId="511C7225">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w:t>
            </w:r>
          </w:p>
          <w:p w14:paraId="5D9A1F9F">
            <w:pPr>
              <w:shd w:val="clear"/>
              <w:snapToGrid w:val="0"/>
              <w:spacing w:line="360" w:lineRule="auto"/>
              <w:jc w:val="right"/>
              <w:rPr>
                <w:rFonts w:ascii="宋体" w:hAnsi="宋体" w:cs="宋体"/>
                <w:color w:val="auto"/>
                <w:szCs w:val="21"/>
                <w:highlight w:val="none"/>
              </w:rPr>
            </w:pPr>
          </w:p>
          <w:p w14:paraId="1F499B37">
            <w:pPr>
              <w:shd w:val="clear"/>
              <w:snapToGrid w:val="0"/>
              <w:spacing w:line="360" w:lineRule="auto"/>
              <w:jc w:val="right"/>
              <w:rPr>
                <w:rFonts w:ascii="宋体" w:hAnsi="宋体" w:cs="宋体"/>
                <w:color w:val="auto"/>
                <w:szCs w:val="21"/>
                <w:highlight w:val="none"/>
              </w:rPr>
            </w:pPr>
            <w:r>
              <w:rPr>
                <w:rFonts w:hint="eastAsia" w:ascii="宋体" w:hAnsi="宋体" w:cs="宋体"/>
                <w:color w:val="auto"/>
                <w:szCs w:val="21"/>
                <w:highlight w:val="none"/>
              </w:rPr>
              <w:t xml:space="preserve"> 年   月   日</w:t>
            </w:r>
          </w:p>
        </w:tc>
      </w:tr>
      <w:tr w14:paraId="7AE3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568" w:type="dxa"/>
            <w:tcBorders>
              <w:top w:val="single" w:color="auto" w:sz="4" w:space="0"/>
              <w:left w:val="single" w:color="auto" w:sz="4" w:space="0"/>
              <w:bottom w:val="single" w:color="auto" w:sz="4" w:space="0"/>
              <w:right w:val="single" w:color="auto" w:sz="4" w:space="0"/>
            </w:tcBorders>
            <w:vAlign w:val="center"/>
          </w:tcPr>
          <w:p w14:paraId="731D99BF">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单位地址：</w:t>
            </w:r>
          </w:p>
        </w:tc>
        <w:tc>
          <w:tcPr>
            <w:tcW w:w="4569" w:type="dxa"/>
            <w:tcBorders>
              <w:top w:val="single" w:color="auto" w:sz="4" w:space="0"/>
              <w:left w:val="single" w:color="auto" w:sz="4" w:space="0"/>
              <w:bottom w:val="single" w:color="auto" w:sz="4" w:space="0"/>
              <w:right w:val="single" w:color="auto" w:sz="4" w:space="0"/>
            </w:tcBorders>
            <w:vAlign w:val="center"/>
          </w:tcPr>
          <w:p w14:paraId="41109F4E">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单位地址： </w:t>
            </w:r>
          </w:p>
        </w:tc>
      </w:tr>
      <w:tr w14:paraId="5B5DC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trPr>
        <w:tc>
          <w:tcPr>
            <w:tcW w:w="4568" w:type="dxa"/>
            <w:tcBorders>
              <w:top w:val="single" w:color="auto" w:sz="4" w:space="0"/>
              <w:left w:val="single" w:color="auto" w:sz="4" w:space="0"/>
              <w:right w:val="single" w:color="auto" w:sz="4" w:space="0"/>
            </w:tcBorders>
            <w:vAlign w:val="center"/>
          </w:tcPr>
          <w:p w14:paraId="7D9E8CEB">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法定代表人</w:t>
            </w:r>
          </w:p>
          <w:p w14:paraId="450AC4A0">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或委托代理人：</w:t>
            </w:r>
          </w:p>
        </w:tc>
        <w:tc>
          <w:tcPr>
            <w:tcW w:w="4569" w:type="dxa"/>
            <w:tcBorders>
              <w:top w:val="single" w:color="auto" w:sz="4" w:space="0"/>
              <w:left w:val="single" w:color="auto" w:sz="4" w:space="0"/>
              <w:bottom w:val="single" w:color="auto" w:sz="4" w:space="0"/>
              <w:right w:val="single" w:color="auto" w:sz="4" w:space="0"/>
            </w:tcBorders>
            <w:vAlign w:val="center"/>
          </w:tcPr>
          <w:p w14:paraId="0632732F">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法定代表人</w:t>
            </w:r>
          </w:p>
          <w:p w14:paraId="24AA5C39">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或委托代理人：</w:t>
            </w:r>
          </w:p>
        </w:tc>
      </w:tr>
      <w:tr w14:paraId="5831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568" w:type="dxa"/>
            <w:tcBorders>
              <w:top w:val="single" w:color="auto" w:sz="4" w:space="0"/>
              <w:left w:val="single" w:color="auto" w:sz="4" w:space="0"/>
              <w:bottom w:val="single" w:color="auto" w:sz="4" w:space="0"/>
              <w:right w:val="single" w:color="auto" w:sz="4" w:space="0"/>
            </w:tcBorders>
            <w:vAlign w:val="center"/>
          </w:tcPr>
          <w:p w14:paraId="6EC1D736">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电话：</w:t>
            </w:r>
          </w:p>
        </w:tc>
        <w:tc>
          <w:tcPr>
            <w:tcW w:w="4569" w:type="dxa"/>
            <w:tcBorders>
              <w:top w:val="single" w:color="auto" w:sz="4" w:space="0"/>
              <w:left w:val="single" w:color="auto" w:sz="4" w:space="0"/>
              <w:bottom w:val="single" w:color="auto" w:sz="4" w:space="0"/>
              <w:right w:val="single" w:color="auto" w:sz="4" w:space="0"/>
            </w:tcBorders>
            <w:vAlign w:val="center"/>
          </w:tcPr>
          <w:p w14:paraId="3657E744">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电话：</w:t>
            </w:r>
          </w:p>
        </w:tc>
      </w:tr>
      <w:tr w14:paraId="599F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568" w:type="dxa"/>
            <w:tcBorders>
              <w:top w:val="single" w:color="auto" w:sz="4" w:space="0"/>
              <w:left w:val="single" w:color="auto" w:sz="4" w:space="0"/>
              <w:bottom w:val="single" w:color="auto" w:sz="4" w:space="0"/>
              <w:right w:val="single" w:color="auto" w:sz="4" w:space="0"/>
            </w:tcBorders>
            <w:vAlign w:val="center"/>
          </w:tcPr>
          <w:p w14:paraId="230AD362">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开户银行：</w:t>
            </w:r>
          </w:p>
        </w:tc>
        <w:tc>
          <w:tcPr>
            <w:tcW w:w="4569" w:type="dxa"/>
            <w:tcBorders>
              <w:top w:val="single" w:color="auto" w:sz="4" w:space="0"/>
              <w:left w:val="single" w:color="auto" w:sz="4" w:space="0"/>
              <w:bottom w:val="single" w:color="auto" w:sz="4" w:space="0"/>
              <w:right w:val="single" w:color="auto" w:sz="4" w:space="0"/>
            </w:tcBorders>
            <w:vAlign w:val="center"/>
          </w:tcPr>
          <w:p w14:paraId="5BEB6725">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开户银行： </w:t>
            </w:r>
          </w:p>
        </w:tc>
      </w:tr>
      <w:tr w14:paraId="7F5DA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568" w:type="dxa"/>
            <w:tcBorders>
              <w:top w:val="single" w:color="auto" w:sz="4" w:space="0"/>
              <w:left w:val="single" w:color="auto" w:sz="4" w:space="0"/>
              <w:bottom w:val="single" w:color="auto" w:sz="4" w:space="0"/>
              <w:right w:val="single" w:color="auto" w:sz="4" w:space="0"/>
            </w:tcBorders>
            <w:vAlign w:val="center"/>
          </w:tcPr>
          <w:p w14:paraId="41701ECA">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账号：</w:t>
            </w:r>
          </w:p>
        </w:tc>
        <w:tc>
          <w:tcPr>
            <w:tcW w:w="4569" w:type="dxa"/>
            <w:tcBorders>
              <w:top w:val="single" w:color="auto" w:sz="4" w:space="0"/>
              <w:left w:val="single" w:color="auto" w:sz="4" w:space="0"/>
              <w:bottom w:val="single" w:color="auto" w:sz="4" w:space="0"/>
              <w:right w:val="single" w:color="auto" w:sz="4" w:space="0"/>
            </w:tcBorders>
            <w:vAlign w:val="center"/>
          </w:tcPr>
          <w:p w14:paraId="56910631">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账号：</w:t>
            </w:r>
          </w:p>
        </w:tc>
      </w:tr>
      <w:tr w14:paraId="1515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568" w:type="dxa"/>
            <w:tcBorders>
              <w:top w:val="single" w:color="auto" w:sz="4" w:space="0"/>
              <w:left w:val="single" w:color="auto" w:sz="4" w:space="0"/>
              <w:bottom w:val="single" w:color="auto" w:sz="4" w:space="0"/>
              <w:right w:val="single" w:color="auto" w:sz="4" w:space="0"/>
            </w:tcBorders>
            <w:vAlign w:val="center"/>
          </w:tcPr>
          <w:p w14:paraId="6C4BE786">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邮政编码：</w:t>
            </w:r>
          </w:p>
        </w:tc>
        <w:tc>
          <w:tcPr>
            <w:tcW w:w="4569" w:type="dxa"/>
            <w:tcBorders>
              <w:top w:val="single" w:color="auto" w:sz="4" w:space="0"/>
              <w:left w:val="single" w:color="auto" w:sz="4" w:space="0"/>
              <w:bottom w:val="single" w:color="auto" w:sz="4" w:space="0"/>
              <w:right w:val="single" w:color="auto" w:sz="4" w:space="0"/>
            </w:tcBorders>
            <w:vAlign w:val="center"/>
          </w:tcPr>
          <w:p w14:paraId="5E27C9C3">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邮政编码：</w:t>
            </w:r>
          </w:p>
        </w:tc>
      </w:tr>
    </w:tbl>
    <w:p w14:paraId="708E94F3">
      <w:pPr>
        <w:shd w:val="clear"/>
        <w:snapToGrid w:val="0"/>
        <w:spacing w:line="360" w:lineRule="auto"/>
        <w:rPr>
          <w:rFonts w:ascii="宋体" w:hAnsi="宋体" w:cs="宋体"/>
          <w:b/>
          <w:color w:val="auto"/>
          <w:szCs w:val="21"/>
          <w:highlight w:val="none"/>
        </w:rPr>
      </w:pPr>
    </w:p>
    <w:p w14:paraId="1C5A21F3">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br w:type="page"/>
      </w:r>
      <w:r>
        <w:rPr>
          <w:rFonts w:hint="eastAsia" w:ascii="宋体" w:hAnsi="宋体" w:cs="宋体"/>
          <w:bCs/>
          <w:color w:val="auto"/>
          <w:sz w:val="32"/>
          <w:szCs w:val="32"/>
          <w:highlight w:val="none"/>
        </w:rPr>
        <w:t>附件1：</w:t>
      </w:r>
    </w:p>
    <w:p w14:paraId="1F437956">
      <w:pPr>
        <w:shd w:val="clea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采购项目合同验收书（格式）</w:t>
      </w:r>
    </w:p>
    <w:p w14:paraId="60B09D62">
      <w:pPr>
        <w:shd w:val="clear"/>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根据采购项目（采购合同编号：  </w:t>
      </w:r>
      <w:r>
        <w:rPr>
          <w:rFonts w:hint="eastAsia" w:ascii="宋体" w:hAnsi="宋体" w:cs="宋体"/>
          <w:color w:val="auto"/>
          <w:highlight w:val="none"/>
        </w:rPr>
        <w:softHyphen/>
      </w:r>
      <w:r>
        <w:rPr>
          <w:rFonts w:hint="eastAsia" w:ascii="宋体" w:hAnsi="宋体" w:cs="宋体"/>
          <w:color w:val="auto"/>
          <w:highlight w:val="none"/>
        </w:rPr>
        <w:t xml:space="preserve"> ）的约定，我单位对（项目名称）采购项目成交供应商（公司名称）提供的货物（或者工程、服务）进行了验收，验收情况如下：</w:t>
      </w:r>
    </w:p>
    <w:tbl>
      <w:tblPr>
        <w:tblStyle w:val="28"/>
        <w:tblW w:w="0" w:type="auto"/>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2ECEDF67">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3E8CD2F5">
            <w:pPr>
              <w:widowControl/>
              <w:shd w:val="clear"/>
              <w:snapToGrid w:val="0"/>
              <w:spacing w:before="100" w:beforeAutospacing="1" w:after="100" w:afterAutospacing="1" w:line="320" w:lineRule="atLeast"/>
              <w:ind w:firstLine="5"/>
              <w:jc w:val="center"/>
              <w:rPr>
                <w:rFonts w:ascii="宋体" w:hAnsi="宋体" w:cs="宋体"/>
                <w:color w:val="auto"/>
                <w:kern w:val="0"/>
                <w:szCs w:val="21"/>
                <w:highlight w:val="none"/>
              </w:rPr>
            </w:pPr>
            <w:r>
              <w:rPr>
                <w:rFonts w:hint="eastAsia" w:ascii="宋体" w:hAnsi="宋体"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vAlign w:val="center"/>
          </w:tcPr>
          <w:p w14:paraId="531BAEA0">
            <w:pPr>
              <w:widowControl/>
              <w:shd w:val="clear"/>
              <w:snapToGrid w:val="0"/>
              <w:spacing w:before="100" w:beforeAutospacing="1" w:after="100" w:afterAutospacing="1" w:line="320" w:lineRule="atLeast"/>
              <w:jc w:val="center"/>
              <w:rPr>
                <w:rFonts w:ascii="宋体" w:hAnsi="宋体" w:cs="宋体"/>
                <w:color w:val="auto"/>
                <w:kern w:val="0"/>
                <w:szCs w:val="21"/>
                <w:highlight w:val="none"/>
              </w:rPr>
            </w:pPr>
            <w:r>
              <w:rPr>
                <w:rFonts w:hint="eastAsia" w:ascii="宋体" w:hAnsi="宋体" w:cs="宋体"/>
                <w:color w:val="auto"/>
                <w:kern w:val="0"/>
                <w:szCs w:val="21"/>
                <w:highlight w:val="none"/>
              </w:rPr>
              <w:sym w:font="Wingdings 2" w:char="00A3"/>
            </w:r>
            <w:r>
              <w:rPr>
                <w:rFonts w:hint="eastAsia" w:ascii="宋体" w:hAnsi="宋体" w:cs="宋体"/>
                <w:color w:val="auto"/>
                <w:kern w:val="0"/>
                <w:szCs w:val="21"/>
                <w:highlight w:val="none"/>
              </w:rPr>
              <w:t xml:space="preserve">自行验收 </w:t>
            </w:r>
            <w:r>
              <w:rPr>
                <w:rFonts w:hint="eastAsia" w:ascii="宋体" w:hAnsi="宋体" w:cs="宋体"/>
                <w:color w:val="auto"/>
                <w:kern w:val="0"/>
                <w:szCs w:val="21"/>
                <w:highlight w:val="none"/>
              </w:rPr>
              <w:sym w:font="Wingdings 2" w:char="00A3"/>
            </w:r>
            <w:r>
              <w:rPr>
                <w:rFonts w:hint="eastAsia" w:ascii="宋体" w:hAnsi="宋体" w:cs="宋体"/>
                <w:color w:val="auto"/>
                <w:kern w:val="0"/>
                <w:szCs w:val="21"/>
                <w:highlight w:val="none"/>
              </w:rPr>
              <w:t>委托验收</w:t>
            </w:r>
          </w:p>
        </w:tc>
      </w:tr>
      <w:tr w14:paraId="4922BBE7">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77F48379">
            <w:pPr>
              <w:widowControl/>
              <w:shd w:val="clear"/>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vAlign w:val="center"/>
          </w:tcPr>
          <w:p w14:paraId="1C63902E">
            <w:pPr>
              <w:widowControl/>
              <w:shd w:val="clear"/>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vAlign w:val="center"/>
          </w:tcPr>
          <w:p w14:paraId="31385F80">
            <w:pPr>
              <w:widowControl/>
              <w:shd w:val="clear"/>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4FB907C5">
            <w:pPr>
              <w:widowControl/>
              <w:shd w:val="clear"/>
              <w:snapToGrid w:val="0"/>
              <w:spacing w:before="100" w:beforeAutospacing="1" w:after="100" w:afterAutospacing="1" w:line="320" w:lineRule="atLeast"/>
              <w:jc w:val="center"/>
              <w:rPr>
                <w:rFonts w:ascii="宋体" w:hAnsi="宋体" w:cs="宋体"/>
                <w:color w:val="auto"/>
                <w:kern w:val="0"/>
                <w:szCs w:val="21"/>
                <w:highlight w:val="none"/>
              </w:rPr>
            </w:pPr>
            <w:r>
              <w:rPr>
                <w:rFonts w:hint="eastAsia" w:ascii="宋体" w:hAnsi="宋体" w:cs="宋体"/>
                <w:color w:val="auto"/>
                <w:kern w:val="0"/>
                <w:szCs w:val="21"/>
                <w:highlight w:val="none"/>
              </w:rPr>
              <w:t>数量</w:t>
            </w:r>
          </w:p>
        </w:tc>
        <w:tc>
          <w:tcPr>
            <w:tcW w:w="1428" w:type="dxa"/>
            <w:tcBorders>
              <w:top w:val="nil"/>
              <w:left w:val="nil"/>
              <w:bottom w:val="single" w:color="auto" w:sz="8" w:space="0"/>
              <w:right w:val="single" w:color="auto" w:sz="8" w:space="0"/>
            </w:tcBorders>
            <w:vAlign w:val="center"/>
          </w:tcPr>
          <w:p w14:paraId="7F53626D">
            <w:pPr>
              <w:widowControl/>
              <w:shd w:val="clear"/>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金额</w:t>
            </w:r>
          </w:p>
        </w:tc>
      </w:tr>
      <w:tr w14:paraId="64722EE7">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5063C8E9">
            <w:pPr>
              <w:widowControl/>
              <w:shd w:val="clear"/>
              <w:spacing w:before="100" w:beforeAutospacing="1" w:after="100" w:afterAutospacing="1" w:line="240" w:lineRule="atLeast"/>
              <w:jc w:val="center"/>
              <w:rPr>
                <w:rFonts w:ascii="宋体" w:hAnsi="宋体"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05F69607">
            <w:pPr>
              <w:widowControl/>
              <w:shd w:val="clear"/>
              <w:spacing w:before="100" w:beforeAutospacing="1" w:after="100" w:afterAutospacing="1" w:line="240" w:lineRule="atLeast"/>
              <w:jc w:val="center"/>
              <w:rPr>
                <w:rFonts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3693FB8D">
            <w:pPr>
              <w:widowControl/>
              <w:shd w:val="clear"/>
              <w:spacing w:before="100" w:beforeAutospacing="1" w:after="100" w:afterAutospacing="1" w:line="240" w:lineRule="atLeast"/>
              <w:jc w:val="center"/>
              <w:rPr>
                <w:rFonts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35F5AA5D">
            <w:pPr>
              <w:widowControl/>
              <w:shd w:val="clear"/>
              <w:spacing w:before="100" w:beforeAutospacing="1" w:after="100" w:afterAutospacing="1" w:line="240" w:lineRule="atLeast"/>
              <w:jc w:val="center"/>
              <w:rPr>
                <w:rFonts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0777B66C">
            <w:pPr>
              <w:widowControl/>
              <w:shd w:val="clear"/>
              <w:spacing w:before="100" w:beforeAutospacing="1" w:after="100" w:afterAutospacing="1" w:line="240" w:lineRule="atLeast"/>
              <w:jc w:val="center"/>
              <w:rPr>
                <w:rFonts w:ascii="宋体" w:hAnsi="宋体" w:cs="宋体"/>
                <w:color w:val="auto"/>
                <w:kern w:val="0"/>
                <w:szCs w:val="21"/>
                <w:highlight w:val="none"/>
              </w:rPr>
            </w:pPr>
          </w:p>
        </w:tc>
      </w:tr>
      <w:tr w14:paraId="7931B409">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31CB9B97">
            <w:pPr>
              <w:widowControl/>
              <w:shd w:val="clear"/>
              <w:spacing w:before="100" w:beforeAutospacing="1" w:after="100" w:afterAutospacing="1" w:line="240" w:lineRule="atLeast"/>
              <w:jc w:val="center"/>
              <w:rPr>
                <w:rFonts w:ascii="宋体" w:hAnsi="宋体"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277633E5">
            <w:pPr>
              <w:widowControl/>
              <w:shd w:val="clear"/>
              <w:spacing w:before="100" w:beforeAutospacing="1" w:after="100" w:afterAutospacing="1" w:line="240" w:lineRule="atLeast"/>
              <w:jc w:val="center"/>
              <w:rPr>
                <w:rFonts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3E8C2881">
            <w:pPr>
              <w:widowControl/>
              <w:shd w:val="clear"/>
              <w:spacing w:before="100" w:beforeAutospacing="1" w:after="100" w:afterAutospacing="1" w:line="240" w:lineRule="atLeast"/>
              <w:jc w:val="center"/>
              <w:rPr>
                <w:rFonts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1757225B">
            <w:pPr>
              <w:widowControl/>
              <w:shd w:val="clear"/>
              <w:spacing w:before="100" w:beforeAutospacing="1" w:after="100" w:afterAutospacing="1" w:line="240" w:lineRule="atLeast"/>
              <w:jc w:val="center"/>
              <w:rPr>
                <w:rFonts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64FFA0DB">
            <w:pPr>
              <w:widowControl/>
              <w:shd w:val="clear"/>
              <w:spacing w:before="100" w:beforeAutospacing="1" w:after="100" w:afterAutospacing="1" w:line="240" w:lineRule="atLeast"/>
              <w:jc w:val="center"/>
              <w:rPr>
                <w:rFonts w:ascii="宋体" w:hAnsi="宋体" w:cs="宋体"/>
                <w:color w:val="auto"/>
                <w:kern w:val="0"/>
                <w:szCs w:val="21"/>
                <w:highlight w:val="none"/>
              </w:rPr>
            </w:pPr>
          </w:p>
        </w:tc>
      </w:tr>
      <w:tr w14:paraId="0398C9CD">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5D5A9C16">
            <w:pPr>
              <w:widowControl/>
              <w:shd w:val="clear"/>
              <w:spacing w:before="100" w:beforeAutospacing="1" w:after="100" w:afterAutospacing="1" w:line="240" w:lineRule="atLeast"/>
              <w:jc w:val="center"/>
              <w:rPr>
                <w:rFonts w:ascii="宋体" w:hAnsi="宋体"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6E627C48">
            <w:pPr>
              <w:widowControl/>
              <w:shd w:val="clear"/>
              <w:spacing w:before="100" w:beforeAutospacing="1" w:after="100" w:afterAutospacing="1" w:line="240" w:lineRule="atLeast"/>
              <w:jc w:val="center"/>
              <w:rPr>
                <w:rFonts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0884C0AC">
            <w:pPr>
              <w:widowControl/>
              <w:shd w:val="clear"/>
              <w:spacing w:before="100" w:beforeAutospacing="1" w:after="100" w:afterAutospacing="1" w:line="240" w:lineRule="atLeast"/>
              <w:jc w:val="center"/>
              <w:rPr>
                <w:rFonts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22FE96AC">
            <w:pPr>
              <w:widowControl/>
              <w:shd w:val="clear"/>
              <w:spacing w:before="100" w:beforeAutospacing="1" w:after="100" w:afterAutospacing="1" w:line="240" w:lineRule="atLeast"/>
              <w:jc w:val="center"/>
              <w:rPr>
                <w:rFonts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70AF921B">
            <w:pPr>
              <w:widowControl/>
              <w:shd w:val="clear"/>
              <w:spacing w:before="100" w:beforeAutospacing="1" w:after="100" w:afterAutospacing="1" w:line="240" w:lineRule="atLeast"/>
              <w:jc w:val="center"/>
              <w:rPr>
                <w:rFonts w:ascii="宋体" w:hAnsi="宋体" w:cs="宋体"/>
                <w:color w:val="auto"/>
                <w:kern w:val="0"/>
                <w:szCs w:val="21"/>
                <w:highlight w:val="none"/>
              </w:rPr>
            </w:pPr>
          </w:p>
        </w:tc>
      </w:tr>
      <w:tr w14:paraId="0BB378E4">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684B324B">
            <w:pPr>
              <w:widowControl/>
              <w:shd w:val="clear"/>
              <w:snapToGrid w:val="0"/>
              <w:spacing w:before="100" w:beforeAutospacing="1" w:after="100" w:afterAutospacing="1" w:line="320" w:lineRule="atLeast"/>
              <w:ind w:firstLine="5"/>
              <w:jc w:val="center"/>
              <w:rPr>
                <w:rFonts w:ascii="宋体" w:hAnsi="宋体" w:cs="宋体"/>
                <w:color w:val="auto"/>
                <w:kern w:val="0"/>
                <w:szCs w:val="21"/>
                <w:highlight w:val="none"/>
              </w:rPr>
            </w:pPr>
            <w:r>
              <w:rPr>
                <w:rFonts w:hint="eastAsia" w:ascii="宋体" w:hAnsi="宋体"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vAlign w:val="center"/>
          </w:tcPr>
          <w:p w14:paraId="691534E3">
            <w:pPr>
              <w:widowControl/>
              <w:shd w:val="clear"/>
              <w:spacing w:before="100" w:beforeAutospacing="1" w:after="100" w:afterAutospacing="1" w:line="240" w:lineRule="atLeast"/>
              <w:jc w:val="center"/>
              <w:rPr>
                <w:rFonts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1C17E867">
            <w:pPr>
              <w:widowControl/>
              <w:shd w:val="clear"/>
              <w:spacing w:before="100" w:beforeAutospacing="1" w:after="100" w:afterAutospacing="1" w:line="240" w:lineRule="atLeast"/>
              <w:jc w:val="center"/>
              <w:rPr>
                <w:rFonts w:ascii="宋体" w:hAnsi="宋体" w:cs="宋体"/>
                <w:color w:val="auto"/>
                <w:kern w:val="0"/>
                <w:szCs w:val="21"/>
                <w:highlight w:val="none"/>
              </w:rPr>
            </w:pPr>
          </w:p>
        </w:tc>
      </w:tr>
      <w:tr w14:paraId="4029A913">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7888541C">
            <w:pPr>
              <w:widowControl/>
              <w:shd w:val="clear"/>
              <w:snapToGrid w:val="0"/>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合计大写金额：  仟  佰  拾  万  仟  佰  拾  元</w:t>
            </w:r>
          </w:p>
        </w:tc>
      </w:tr>
      <w:tr w14:paraId="37C826AE">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3079C145">
            <w:pPr>
              <w:widowControl/>
              <w:shd w:val="clear"/>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vAlign w:val="center"/>
          </w:tcPr>
          <w:p w14:paraId="4D9F9F10">
            <w:pPr>
              <w:widowControl/>
              <w:shd w:val="clear"/>
              <w:spacing w:before="100" w:beforeAutospacing="1" w:after="100" w:afterAutospacing="1" w:line="240" w:lineRule="atLeast"/>
              <w:jc w:val="center"/>
              <w:rPr>
                <w:rFonts w:ascii="宋体" w:hAnsi="宋体"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29C75E12">
            <w:pPr>
              <w:widowControl/>
              <w:shd w:val="clear"/>
              <w:snapToGrid w:val="0"/>
              <w:spacing w:before="100" w:beforeAutospacing="1" w:after="100" w:afterAutospacing="1" w:line="320" w:lineRule="atLeast"/>
              <w:ind w:firstLine="46"/>
              <w:jc w:val="center"/>
              <w:rPr>
                <w:rFonts w:ascii="宋体" w:hAnsi="宋体" w:cs="宋体"/>
                <w:color w:val="auto"/>
                <w:kern w:val="0"/>
                <w:szCs w:val="21"/>
                <w:highlight w:val="none"/>
              </w:rPr>
            </w:pPr>
            <w:r>
              <w:rPr>
                <w:rFonts w:hint="eastAsia" w:ascii="宋体" w:hAnsi="宋体"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vAlign w:val="center"/>
          </w:tcPr>
          <w:p w14:paraId="7B1DEFBA">
            <w:pPr>
              <w:widowControl/>
              <w:shd w:val="clear"/>
              <w:spacing w:before="100" w:beforeAutospacing="1" w:after="100" w:afterAutospacing="1" w:line="240" w:lineRule="atLeast"/>
              <w:jc w:val="center"/>
              <w:rPr>
                <w:rFonts w:ascii="宋体" w:hAnsi="宋体" w:cs="宋体"/>
                <w:color w:val="auto"/>
                <w:kern w:val="0"/>
                <w:szCs w:val="21"/>
                <w:highlight w:val="none"/>
              </w:rPr>
            </w:pPr>
          </w:p>
        </w:tc>
      </w:tr>
      <w:tr w14:paraId="75B13170">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53F778">
            <w:pPr>
              <w:widowControl/>
              <w:shd w:val="clear"/>
              <w:snapToGrid w:val="0"/>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7710A987">
            <w:pPr>
              <w:widowControl/>
              <w:shd w:val="clear"/>
              <w:snapToGrid w:val="0"/>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（应按采购合同、</w:t>
            </w:r>
            <w:r>
              <w:rPr>
                <w:rFonts w:hint="eastAsia" w:ascii="宋体" w:hAnsi="宋体" w:cs="宋体"/>
                <w:color w:val="auto"/>
                <w:kern w:val="0"/>
                <w:szCs w:val="21"/>
                <w:highlight w:val="none"/>
                <w:lang w:val="en-US" w:eastAsia="zh-CN"/>
              </w:rPr>
              <w:t>竞争性</w:t>
            </w:r>
            <w:r>
              <w:rPr>
                <w:rFonts w:hint="eastAsia" w:ascii="宋体" w:hAnsi="宋体" w:cs="宋体"/>
                <w:color w:val="auto"/>
                <w:kern w:val="0"/>
                <w:szCs w:val="21"/>
                <w:highlight w:val="none"/>
              </w:rPr>
              <w:t>谈判文件、响应文件及验收方案等进行验收；并核对成交供应商在安装调试等方面是否违反合同约定或者服务规范要求、提供的质量保证证明材料是否齐全、应有的配件及附件是否达到合同约定等。可附）</w:t>
            </w:r>
          </w:p>
        </w:tc>
      </w:tr>
      <w:tr w14:paraId="65029ECA">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76C3BF">
            <w:pPr>
              <w:widowControl/>
              <w:shd w:val="clear"/>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vAlign w:val="center"/>
          </w:tcPr>
          <w:p w14:paraId="7610FF22">
            <w:pPr>
              <w:widowControl/>
              <w:shd w:val="clear"/>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验收结论性意见：</w:t>
            </w:r>
          </w:p>
        </w:tc>
      </w:tr>
      <w:tr w14:paraId="2B5E5467">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0A1D3CB1">
            <w:pPr>
              <w:widowControl/>
              <w:shd w:val="clear"/>
              <w:jc w:val="left"/>
              <w:rPr>
                <w:rFonts w:ascii="宋体" w:hAnsi="宋体" w:cs="宋体"/>
                <w:color w:val="auto"/>
                <w:kern w:val="0"/>
                <w:szCs w:val="21"/>
                <w:highlight w:val="none"/>
              </w:rPr>
            </w:pPr>
          </w:p>
        </w:tc>
        <w:tc>
          <w:tcPr>
            <w:tcW w:w="6816" w:type="dxa"/>
            <w:gridSpan w:val="7"/>
            <w:tcBorders>
              <w:top w:val="nil"/>
              <w:left w:val="nil"/>
              <w:bottom w:val="single" w:color="auto" w:sz="8" w:space="0"/>
              <w:right w:val="single" w:color="auto" w:sz="8" w:space="0"/>
            </w:tcBorders>
            <w:vAlign w:val="center"/>
          </w:tcPr>
          <w:p w14:paraId="7B8AE5FC">
            <w:pPr>
              <w:widowControl/>
              <w:shd w:val="clear"/>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有异议的意见和说明理由：</w:t>
            </w:r>
          </w:p>
          <w:p w14:paraId="09E3116D">
            <w:pPr>
              <w:widowControl/>
              <w:shd w:val="clear"/>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签字：</w:t>
            </w:r>
          </w:p>
        </w:tc>
      </w:tr>
      <w:tr w14:paraId="0ABD2E0E">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2E684C">
            <w:pPr>
              <w:widowControl/>
              <w:shd w:val="clear"/>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验收小组成员签字：</w:t>
            </w:r>
          </w:p>
        </w:tc>
      </w:tr>
      <w:tr w14:paraId="146A4915">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665537">
            <w:pPr>
              <w:widowControl/>
              <w:shd w:val="clear"/>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监督人员或者其他相关人员签字：</w:t>
            </w:r>
          </w:p>
          <w:p w14:paraId="6610F6C0">
            <w:pPr>
              <w:widowControl/>
              <w:shd w:val="clear"/>
              <w:spacing w:before="100" w:beforeAutospacing="1" w:after="100" w:afterAutospacing="1" w:line="320" w:lineRule="atLeast"/>
              <w:ind w:firstLine="74"/>
              <w:jc w:val="left"/>
              <w:rPr>
                <w:rFonts w:ascii="宋体" w:hAnsi="宋体" w:cs="宋体"/>
                <w:color w:val="auto"/>
                <w:kern w:val="0"/>
                <w:szCs w:val="21"/>
                <w:highlight w:val="none"/>
              </w:rPr>
            </w:pPr>
            <w:r>
              <w:rPr>
                <w:rFonts w:hint="eastAsia" w:ascii="宋体" w:hAnsi="宋体" w:cs="宋体"/>
                <w:color w:val="auto"/>
                <w:kern w:val="0"/>
                <w:szCs w:val="21"/>
                <w:highlight w:val="none"/>
              </w:rPr>
              <w:t>或者受邀机构的意见（盖章）：</w:t>
            </w:r>
          </w:p>
        </w:tc>
      </w:tr>
      <w:tr w14:paraId="72C61E93">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540B7133">
            <w:pPr>
              <w:widowControl/>
              <w:shd w:val="clear"/>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成交供应商负责人签字或者盖章：</w:t>
            </w:r>
          </w:p>
          <w:p w14:paraId="03740632">
            <w:pPr>
              <w:widowControl/>
              <w:shd w:val="clear"/>
              <w:spacing w:before="100" w:beforeAutospacing="1" w:after="100" w:afterAutospacing="1" w:line="320" w:lineRule="atLeast"/>
              <w:jc w:val="left"/>
              <w:rPr>
                <w:rFonts w:ascii="宋体" w:hAnsi="宋体" w:cs="宋体"/>
                <w:color w:val="auto"/>
                <w:kern w:val="0"/>
                <w:szCs w:val="21"/>
                <w:highlight w:val="none"/>
              </w:rPr>
            </w:pPr>
          </w:p>
          <w:p w14:paraId="3E65FE5E">
            <w:pPr>
              <w:widowControl/>
              <w:shd w:val="clear"/>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c>
          <w:tcPr>
            <w:tcW w:w="4293" w:type="dxa"/>
            <w:gridSpan w:val="4"/>
            <w:tcBorders>
              <w:top w:val="nil"/>
              <w:left w:val="nil"/>
              <w:bottom w:val="single" w:color="auto" w:sz="8" w:space="0"/>
              <w:right w:val="single" w:color="auto" w:sz="8" w:space="0"/>
            </w:tcBorders>
            <w:vAlign w:val="center"/>
          </w:tcPr>
          <w:p w14:paraId="445E7C58">
            <w:pPr>
              <w:widowControl/>
              <w:shd w:val="clear"/>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采购人或者受托机构的意见（盖章）：</w:t>
            </w:r>
          </w:p>
          <w:p w14:paraId="11CF5352">
            <w:pPr>
              <w:widowControl/>
              <w:shd w:val="clear"/>
              <w:spacing w:before="100" w:beforeAutospacing="1" w:after="100" w:afterAutospacing="1" w:line="320" w:lineRule="atLeast"/>
              <w:ind w:firstLine="210" w:firstLineChars="100"/>
              <w:jc w:val="left"/>
              <w:rPr>
                <w:rFonts w:ascii="宋体" w:hAnsi="宋体" w:cs="宋体"/>
                <w:color w:val="auto"/>
                <w:kern w:val="0"/>
                <w:szCs w:val="21"/>
                <w:highlight w:val="none"/>
              </w:rPr>
            </w:pPr>
          </w:p>
          <w:p w14:paraId="075827E2">
            <w:pPr>
              <w:widowControl/>
              <w:shd w:val="clear"/>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r>
    </w:tbl>
    <w:p w14:paraId="6F37E1EC">
      <w:pPr>
        <w:shd w:val="clear"/>
        <w:rPr>
          <w:rFonts w:ascii="宋体" w:hAnsi="宋体" w:cs="宋体"/>
          <w:color w:val="auto"/>
          <w:highlight w:val="none"/>
        </w:rPr>
      </w:pPr>
    </w:p>
    <w:p w14:paraId="73B2EB5D">
      <w:pPr>
        <w:shd w:val="clear"/>
        <w:rPr>
          <w:color w:val="auto"/>
          <w:highlight w:val="none"/>
        </w:rPr>
      </w:pPr>
    </w:p>
    <w:sectPr>
      <w:headerReference r:id="rId6" w:type="first"/>
      <w:footerReference r:id="rId8" w:type="first"/>
      <w:headerReference r:id="rId5" w:type="default"/>
      <w:footerReference r:id="rId7" w:type="default"/>
      <w:pgSz w:w="11906" w:h="16838"/>
      <w:pgMar w:top="1440" w:right="1080" w:bottom="1440" w:left="1080" w:header="851" w:footer="992"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D9CD9FF-B697-49BD-861B-E71E4E7A794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EC316D06-E702-442B-929B-1962655D18C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3" w:fontKey="{F87B4F14-31E3-411C-82FC-725E37089B75}"/>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方正小标宋_GBK">
    <w:panose1 w:val="02000000000000000000"/>
    <w:charset w:val="86"/>
    <w:family w:val="script"/>
    <w:pitch w:val="default"/>
    <w:sig w:usb0="A00002BF" w:usb1="38CF7CFA" w:usb2="00082016" w:usb3="00000000" w:csb0="00040001" w:csb1="00000000"/>
    <w:embedRegular r:id="rId4" w:fontKey="{F7FC3E6F-0A9E-486D-8438-8CDE68B97A7C}"/>
  </w:font>
  <w:font w:name="Segoe UI Emoji">
    <w:panose1 w:val="020B0502040204020203"/>
    <w:charset w:val="00"/>
    <w:family w:val="swiss"/>
    <w:pitch w:val="default"/>
    <w:sig w:usb0="00000001" w:usb1="02000000" w:usb2="00000000" w:usb3="00000000" w:csb0="00000001" w:csb1="00000000"/>
    <w:embedRegular r:id="rId5" w:fontKey="{D7EF7175-046C-43F1-B143-0D212607A2A8}"/>
  </w:font>
  <w:font w:name="微软雅黑">
    <w:panose1 w:val="020B0503020204020204"/>
    <w:charset w:val="86"/>
    <w:family w:val="auto"/>
    <w:pitch w:val="default"/>
    <w:sig w:usb0="80000287" w:usb1="2ACF3C50" w:usb2="00000016" w:usb3="00000000" w:csb0="0004001F" w:csb1="00000000"/>
    <w:embedRegular r:id="rId6" w:fontKey="{C4136CDB-D6D1-4D98-979A-4D2EEE11FD3E}"/>
  </w:font>
  <w:font w:name="Wingdings 2">
    <w:panose1 w:val="05020102010507070707"/>
    <w:charset w:val="02"/>
    <w:family w:val="roman"/>
    <w:pitch w:val="default"/>
    <w:sig w:usb0="00000000" w:usb1="00000000" w:usb2="00000000" w:usb3="00000000" w:csb0="80000000" w:csb1="00000000"/>
    <w:embedRegular r:id="rId7" w:fontKey="{58DD3FB5-D249-422C-8581-DD22920E1D42}"/>
  </w:font>
  <w:font w:name="WPSEMBED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74F08">
    <w:pPr>
      <w:pStyle w:val="19"/>
      <w:jc w:val="center"/>
    </w:pPr>
    <w:r>
      <mc:AlternateContent>
        <mc:Choice Requires="wps">
          <w:drawing>
            <wp:anchor distT="0" distB="0" distL="114300" distR="114300" simplePos="0" relativeHeight="251659264" behindDoc="0" locked="0" layoutInCell="1" allowOverlap="1">
              <wp:simplePos x="0" y="0"/>
              <wp:positionH relativeFrom="margin">
                <wp:posOffset>2788285</wp:posOffset>
              </wp:positionH>
              <wp:positionV relativeFrom="paragraph">
                <wp:posOffset>2540</wp:posOffset>
              </wp:positionV>
              <wp:extent cx="175260" cy="1828800"/>
              <wp:effectExtent l="0" t="0" r="15240" b="1905"/>
              <wp:wrapNone/>
              <wp:docPr id="4" name="文本框 2"/>
              <wp:cNvGraphicFramePr/>
              <a:graphic xmlns:a="http://schemas.openxmlformats.org/drawingml/2006/main">
                <a:graphicData uri="http://schemas.microsoft.com/office/word/2010/wordprocessingShape">
                  <wps:wsp>
                    <wps:cNvSpPr txBox="1"/>
                    <wps:spPr>
                      <a:xfrm>
                        <a:off x="0" y="0"/>
                        <a:ext cx="175565" cy="1828800"/>
                      </a:xfrm>
                      <a:prstGeom prst="rect">
                        <a:avLst/>
                      </a:prstGeom>
                      <a:noFill/>
                      <a:ln>
                        <a:noFill/>
                      </a:ln>
                    </wps:spPr>
                    <wps:txbx>
                      <w:txbxContent>
                        <w:p w14:paraId="6E0A3A58">
                          <w:pPr>
                            <w:pStyle w:val="19"/>
                            <w:jc w:val="center"/>
                          </w:pPr>
                          <w:r>
                            <w:fldChar w:fldCharType="begin"/>
                          </w:r>
                          <w:r>
                            <w:instrText xml:space="preserve"> PAGE   \* MERGEFORMAT </w:instrText>
                          </w:r>
                          <w:r>
                            <w:fldChar w:fldCharType="separate"/>
                          </w:r>
                          <w:r>
                            <w:rPr>
                              <w:lang w:val="zh-CN"/>
                            </w:rPr>
                            <w:t>39</w:t>
                          </w:r>
                          <w:r>
                            <w:fldChar w:fldCharType="end"/>
                          </w:r>
                        </w:p>
                      </w:txbxContent>
                    </wps:txbx>
                    <wps:bodyPr wrap="square" lIns="0" tIns="0" rIns="0" bIns="0" upright="1">
                      <a:spAutoFit/>
                    </wps:bodyPr>
                  </wps:wsp>
                </a:graphicData>
              </a:graphic>
            </wp:anchor>
          </w:drawing>
        </mc:Choice>
        <mc:Fallback>
          <w:pict>
            <v:shape id="文本框 2" o:spid="_x0000_s1026" o:spt="202" type="#_x0000_t202" style="position:absolute;left:0pt;margin-left:219.55pt;margin-top:0.2pt;height:144pt;width:13.8pt;mso-position-horizontal-relative:margin;z-index:251659264;mso-width-relative:page;mso-height-relative:page;" filled="f" stroked="f" coordsize="21600,21600" o:gfxdata="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o/SZnWAAAACAEAAA8AAAAAAAAAAQAgAAAAIgAA&#10;AGRycy9kb3ducmV2LnhtbFBLAQIUABQAAAAIAIdO4kChQKYk0QEAAJoDAAAOAAAAAAAAAAEAIAAA&#10;ACUBAABkcnMvZTJvRG9jLnhtbFBLBQYAAAAABgAGAFkBAABoBQAAAAA=&#10;">
              <v:fill on="f" focussize="0,0"/>
              <v:stroke on="f"/>
              <v:imagedata o:title=""/>
              <o:lock v:ext="edit" aspectratio="f"/>
              <v:textbox inset="0mm,0mm,0mm,0mm" style="mso-fit-shape-to-text:t;">
                <w:txbxContent>
                  <w:p w14:paraId="6E0A3A58">
                    <w:pPr>
                      <w:pStyle w:val="19"/>
                      <w:jc w:val="center"/>
                    </w:pPr>
                    <w:r>
                      <w:fldChar w:fldCharType="begin"/>
                    </w:r>
                    <w:r>
                      <w:instrText xml:space="preserve"> PAGE   \* MERGEFORMAT </w:instrText>
                    </w:r>
                    <w:r>
                      <w:fldChar w:fldCharType="separate"/>
                    </w:r>
                    <w:r>
                      <w:rPr>
                        <w:lang w:val="zh-CN"/>
                      </w:rPr>
                      <w:t>39</w:t>
                    </w:r>
                    <w:r>
                      <w:fldChar w:fldCharType="end"/>
                    </w:r>
                  </w:p>
                </w:txbxContent>
              </v:textbox>
            </v:shape>
          </w:pict>
        </mc:Fallback>
      </mc:AlternateContent>
    </w:r>
  </w:p>
  <w:p w14:paraId="66CFA21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88C83">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BF24E4">
                          <w:pPr>
                            <w:pStyle w:val="1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HO3TMkBAACZAwAADgAAAGRycy9lMm9Eb2MueG1srVPNjtMwEL4j8Q6W&#10;79RpE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WJ4xYHfvn+7fLj1+XnV/Iy&#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cc7dMyQEAAJkDAAAOAAAAAAAAAAEAIAAAAB4BAABkcnMvZTJvRG9j&#10;LnhtbFBLBQYAAAAABgAGAFkBAABZBQAAAAA=&#10;">
              <v:fill on="f" focussize="0,0"/>
              <v:stroke on="f"/>
              <v:imagedata o:title=""/>
              <o:lock v:ext="edit" aspectratio="f"/>
              <v:textbox inset="0mm,0mm,0mm,0mm" style="mso-fit-shape-to-text:t;">
                <w:txbxContent>
                  <w:p w14:paraId="1ABF24E4">
                    <w:pPr>
                      <w:pStyle w:val="1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84BF3">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F699E">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EEB23">
    <w:pPr>
      <w:pStyle w:val="20"/>
      <w:pBdr>
        <w:bottom w:val="none" w:color="auto" w:sz="0" w:space="1"/>
      </w:pBdr>
      <w:tabs>
        <w:tab w:val="left" w:pos="3807"/>
      </w:tabs>
      <w:jc w:val="left"/>
    </w:pPr>
    <w:r>
      <w:rPr>
        <w:rFonts w:hint="eastAsia"/>
      </w:rPr>
      <w:tab/>
    </w: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75023">
    <w:pPr>
      <w:pStyle w:val="20"/>
      <w:pBdr>
        <w:bottom w:val="none" w:color="auto" w:sz="0" w:space="1"/>
      </w:pBdr>
      <w:tabs>
        <w:tab w:val="left" w:pos="3224"/>
        <w:tab w:val="clear" w:pos="4153"/>
      </w:tabs>
      <w:jc w:val="both"/>
    </w:pPr>
    <w:r>
      <w:rPr>
        <w:rFonts w:hint="eastAsia"/>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dit="readOnly" w:enforcement="1" w:cryptProviderType="rsaFull" w:cryptAlgorithmClass="hash" w:cryptAlgorithmType="typeAny" w:cryptAlgorithmSid="4" w:cryptSpinCount="0" w:hash="EKODz2PXXCekfex6o0dWSAIB57E=" w:salt="C12SbaGVAWhKgA3MTeoq+w=="/>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5Y2IyZjc2YThiOWVmMmNhZGZlNTdmZTdiMjliMjgifQ=="/>
  </w:docVars>
  <w:rsids>
    <w:rsidRoot w:val="00172A27"/>
    <w:rsid w:val="00000550"/>
    <w:rsid w:val="00000672"/>
    <w:rsid w:val="00001799"/>
    <w:rsid w:val="00002D29"/>
    <w:rsid w:val="000040C5"/>
    <w:rsid w:val="00005E55"/>
    <w:rsid w:val="00005FDF"/>
    <w:rsid w:val="00006586"/>
    <w:rsid w:val="000108DA"/>
    <w:rsid w:val="00010D39"/>
    <w:rsid w:val="000112BB"/>
    <w:rsid w:val="0001149B"/>
    <w:rsid w:val="0001172C"/>
    <w:rsid w:val="00012854"/>
    <w:rsid w:val="00012EA6"/>
    <w:rsid w:val="000139DC"/>
    <w:rsid w:val="00013D8C"/>
    <w:rsid w:val="00013DFE"/>
    <w:rsid w:val="000141EA"/>
    <w:rsid w:val="00016960"/>
    <w:rsid w:val="00017396"/>
    <w:rsid w:val="000177DB"/>
    <w:rsid w:val="00020227"/>
    <w:rsid w:val="000203E4"/>
    <w:rsid w:val="00020455"/>
    <w:rsid w:val="00021DDB"/>
    <w:rsid w:val="00022731"/>
    <w:rsid w:val="00022792"/>
    <w:rsid w:val="00025382"/>
    <w:rsid w:val="00025636"/>
    <w:rsid w:val="00025E36"/>
    <w:rsid w:val="00026627"/>
    <w:rsid w:val="00026886"/>
    <w:rsid w:val="00030496"/>
    <w:rsid w:val="000329E0"/>
    <w:rsid w:val="000333A0"/>
    <w:rsid w:val="000352E9"/>
    <w:rsid w:val="00036A07"/>
    <w:rsid w:val="00040571"/>
    <w:rsid w:val="0004156E"/>
    <w:rsid w:val="00041597"/>
    <w:rsid w:val="0004440C"/>
    <w:rsid w:val="00045880"/>
    <w:rsid w:val="00046B5E"/>
    <w:rsid w:val="000509D9"/>
    <w:rsid w:val="0005323C"/>
    <w:rsid w:val="000552A6"/>
    <w:rsid w:val="00055D41"/>
    <w:rsid w:val="00057CEC"/>
    <w:rsid w:val="00060DCE"/>
    <w:rsid w:val="000623B4"/>
    <w:rsid w:val="000634A7"/>
    <w:rsid w:val="00063E85"/>
    <w:rsid w:val="00063F81"/>
    <w:rsid w:val="00064847"/>
    <w:rsid w:val="0006484B"/>
    <w:rsid w:val="000673E2"/>
    <w:rsid w:val="000711E4"/>
    <w:rsid w:val="00072AED"/>
    <w:rsid w:val="00073991"/>
    <w:rsid w:val="00073F47"/>
    <w:rsid w:val="00075B7E"/>
    <w:rsid w:val="00077C70"/>
    <w:rsid w:val="00080B57"/>
    <w:rsid w:val="00081BA3"/>
    <w:rsid w:val="00081D2E"/>
    <w:rsid w:val="00082BF9"/>
    <w:rsid w:val="00082D02"/>
    <w:rsid w:val="00083B91"/>
    <w:rsid w:val="0008520B"/>
    <w:rsid w:val="000871B8"/>
    <w:rsid w:val="00087DB6"/>
    <w:rsid w:val="000913BE"/>
    <w:rsid w:val="00092442"/>
    <w:rsid w:val="00094FB8"/>
    <w:rsid w:val="0009588E"/>
    <w:rsid w:val="000959EE"/>
    <w:rsid w:val="00095B51"/>
    <w:rsid w:val="00097DA0"/>
    <w:rsid w:val="000A0D6B"/>
    <w:rsid w:val="000A166E"/>
    <w:rsid w:val="000A2B0E"/>
    <w:rsid w:val="000A398F"/>
    <w:rsid w:val="000A509C"/>
    <w:rsid w:val="000A6007"/>
    <w:rsid w:val="000A65A6"/>
    <w:rsid w:val="000A6E84"/>
    <w:rsid w:val="000A7275"/>
    <w:rsid w:val="000A7A12"/>
    <w:rsid w:val="000B039A"/>
    <w:rsid w:val="000B1801"/>
    <w:rsid w:val="000B1D0C"/>
    <w:rsid w:val="000B2D03"/>
    <w:rsid w:val="000B3815"/>
    <w:rsid w:val="000B3C7B"/>
    <w:rsid w:val="000B6C95"/>
    <w:rsid w:val="000C1679"/>
    <w:rsid w:val="000C2F89"/>
    <w:rsid w:val="000C4635"/>
    <w:rsid w:val="000C548E"/>
    <w:rsid w:val="000C6DE4"/>
    <w:rsid w:val="000D056E"/>
    <w:rsid w:val="000D0A89"/>
    <w:rsid w:val="000D1389"/>
    <w:rsid w:val="000D1798"/>
    <w:rsid w:val="000D1A2A"/>
    <w:rsid w:val="000D2626"/>
    <w:rsid w:val="000D4A06"/>
    <w:rsid w:val="000D73DD"/>
    <w:rsid w:val="000D7D9B"/>
    <w:rsid w:val="000E28AB"/>
    <w:rsid w:val="000E2E3E"/>
    <w:rsid w:val="000E3583"/>
    <w:rsid w:val="000E3AF0"/>
    <w:rsid w:val="000E3D53"/>
    <w:rsid w:val="000E4E04"/>
    <w:rsid w:val="000E6EC9"/>
    <w:rsid w:val="000E70B4"/>
    <w:rsid w:val="000F3281"/>
    <w:rsid w:val="000F3733"/>
    <w:rsid w:val="000F4D88"/>
    <w:rsid w:val="000F64AA"/>
    <w:rsid w:val="000F7AF4"/>
    <w:rsid w:val="000F7C33"/>
    <w:rsid w:val="000F7F0C"/>
    <w:rsid w:val="00100246"/>
    <w:rsid w:val="001004D6"/>
    <w:rsid w:val="00100D90"/>
    <w:rsid w:val="00101B12"/>
    <w:rsid w:val="00103918"/>
    <w:rsid w:val="00104897"/>
    <w:rsid w:val="00104EDE"/>
    <w:rsid w:val="00106BEE"/>
    <w:rsid w:val="00113134"/>
    <w:rsid w:val="00113AC0"/>
    <w:rsid w:val="00114851"/>
    <w:rsid w:val="00115E11"/>
    <w:rsid w:val="00115F56"/>
    <w:rsid w:val="00116633"/>
    <w:rsid w:val="00117CBD"/>
    <w:rsid w:val="0012006A"/>
    <w:rsid w:val="00120990"/>
    <w:rsid w:val="00121979"/>
    <w:rsid w:val="00122064"/>
    <w:rsid w:val="001263B8"/>
    <w:rsid w:val="00130217"/>
    <w:rsid w:val="00130783"/>
    <w:rsid w:val="001312CB"/>
    <w:rsid w:val="00132B47"/>
    <w:rsid w:val="00132E64"/>
    <w:rsid w:val="001351CB"/>
    <w:rsid w:val="001359A2"/>
    <w:rsid w:val="00135E37"/>
    <w:rsid w:val="00136020"/>
    <w:rsid w:val="00136445"/>
    <w:rsid w:val="00140132"/>
    <w:rsid w:val="00141C9C"/>
    <w:rsid w:val="001434BE"/>
    <w:rsid w:val="0014479F"/>
    <w:rsid w:val="001452B4"/>
    <w:rsid w:val="00146EC6"/>
    <w:rsid w:val="001478D2"/>
    <w:rsid w:val="00152A87"/>
    <w:rsid w:val="00156D0E"/>
    <w:rsid w:val="0016086E"/>
    <w:rsid w:val="00160D0C"/>
    <w:rsid w:val="00161172"/>
    <w:rsid w:val="0016139E"/>
    <w:rsid w:val="00161E65"/>
    <w:rsid w:val="00162597"/>
    <w:rsid w:val="001629AF"/>
    <w:rsid w:val="0016428A"/>
    <w:rsid w:val="001647C9"/>
    <w:rsid w:val="001661A3"/>
    <w:rsid w:val="0016782B"/>
    <w:rsid w:val="00172A27"/>
    <w:rsid w:val="00173256"/>
    <w:rsid w:val="001733E1"/>
    <w:rsid w:val="00173F74"/>
    <w:rsid w:val="00175BA6"/>
    <w:rsid w:val="00176CA7"/>
    <w:rsid w:val="001778C5"/>
    <w:rsid w:val="00177E56"/>
    <w:rsid w:val="00177F0A"/>
    <w:rsid w:val="00182C59"/>
    <w:rsid w:val="00185617"/>
    <w:rsid w:val="0019171E"/>
    <w:rsid w:val="0019220F"/>
    <w:rsid w:val="001928B1"/>
    <w:rsid w:val="00194ED5"/>
    <w:rsid w:val="00195424"/>
    <w:rsid w:val="001955FF"/>
    <w:rsid w:val="00197EDD"/>
    <w:rsid w:val="001A02B3"/>
    <w:rsid w:val="001A04BB"/>
    <w:rsid w:val="001A08D0"/>
    <w:rsid w:val="001A14B1"/>
    <w:rsid w:val="001A1B39"/>
    <w:rsid w:val="001A243E"/>
    <w:rsid w:val="001A2E69"/>
    <w:rsid w:val="001A3C34"/>
    <w:rsid w:val="001A3EDE"/>
    <w:rsid w:val="001A4222"/>
    <w:rsid w:val="001A50EA"/>
    <w:rsid w:val="001A5E24"/>
    <w:rsid w:val="001A6D8B"/>
    <w:rsid w:val="001B079E"/>
    <w:rsid w:val="001B0CDA"/>
    <w:rsid w:val="001B0E26"/>
    <w:rsid w:val="001B125A"/>
    <w:rsid w:val="001B1EBA"/>
    <w:rsid w:val="001B2142"/>
    <w:rsid w:val="001B26CF"/>
    <w:rsid w:val="001B2F2B"/>
    <w:rsid w:val="001B327A"/>
    <w:rsid w:val="001B35DE"/>
    <w:rsid w:val="001B3A13"/>
    <w:rsid w:val="001B59FF"/>
    <w:rsid w:val="001B65D7"/>
    <w:rsid w:val="001B6752"/>
    <w:rsid w:val="001B6768"/>
    <w:rsid w:val="001B6F1F"/>
    <w:rsid w:val="001B7ECC"/>
    <w:rsid w:val="001C25A7"/>
    <w:rsid w:val="001C318C"/>
    <w:rsid w:val="001C4287"/>
    <w:rsid w:val="001C4479"/>
    <w:rsid w:val="001C5969"/>
    <w:rsid w:val="001C76FB"/>
    <w:rsid w:val="001D2764"/>
    <w:rsid w:val="001D3697"/>
    <w:rsid w:val="001D395B"/>
    <w:rsid w:val="001D540E"/>
    <w:rsid w:val="001D58A1"/>
    <w:rsid w:val="001D5A8A"/>
    <w:rsid w:val="001D735E"/>
    <w:rsid w:val="001D73C8"/>
    <w:rsid w:val="001D776D"/>
    <w:rsid w:val="001E0756"/>
    <w:rsid w:val="001E0A8D"/>
    <w:rsid w:val="001E129E"/>
    <w:rsid w:val="001E5A94"/>
    <w:rsid w:val="001E7620"/>
    <w:rsid w:val="001F127B"/>
    <w:rsid w:val="001F2A2E"/>
    <w:rsid w:val="001F3B72"/>
    <w:rsid w:val="001F3C63"/>
    <w:rsid w:val="001F4460"/>
    <w:rsid w:val="001F5DAF"/>
    <w:rsid w:val="001F6B6C"/>
    <w:rsid w:val="001F711A"/>
    <w:rsid w:val="001F75B0"/>
    <w:rsid w:val="001F7686"/>
    <w:rsid w:val="00200CE5"/>
    <w:rsid w:val="002014DB"/>
    <w:rsid w:val="00201E12"/>
    <w:rsid w:val="002031E2"/>
    <w:rsid w:val="002033B5"/>
    <w:rsid w:val="0020382C"/>
    <w:rsid w:val="0020437A"/>
    <w:rsid w:val="0020532C"/>
    <w:rsid w:val="0021064F"/>
    <w:rsid w:val="002114C7"/>
    <w:rsid w:val="00211903"/>
    <w:rsid w:val="00212756"/>
    <w:rsid w:val="0021302C"/>
    <w:rsid w:val="00213B1C"/>
    <w:rsid w:val="00214202"/>
    <w:rsid w:val="002146F3"/>
    <w:rsid w:val="002148E3"/>
    <w:rsid w:val="0021552D"/>
    <w:rsid w:val="002156AE"/>
    <w:rsid w:val="00217861"/>
    <w:rsid w:val="0022054D"/>
    <w:rsid w:val="00224DE1"/>
    <w:rsid w:val="00225664"/>
    <w:rsid w:val="002269DC"/>
    <w:rsid w:val="00227F2D"/>
    <w:rsid w:val="00231851"/>
    <w:rsid w:val="002319FB"/>
    <w:rsid w:val="00231B89"/>
    <w:rsid w:val="002355BE"/>
    <w:rsid w:val="00236DE9"/>
    <w:rsid w:val="00237D5A"/>
    <w:rsid w:val="00241300"/>
    <w:rsid w:val="00241D3C"/>
    <w:rsid w:val="002439AB"/>
    <w:rsid w:val="002450D5"/>
    <w:rsid w:val="00245587"/>
    <w:rsid w:val="00245F2B"/>
    <w:rsid w:val="00246F95"/>
    <w:rsid w:val="00247F3A"/>
    <w:rsid w:val="00250122"/>
    <w:rsid w:val="00250755"/>
    <w:rsid w:val="00251C4A"/>
    <w:rsid w:val="0025271C"/>
    <w:rsid w:val="002533CD"/>
    <w:rsid w:val="00254EAB"/>
    <w:rsid w:val="002557AF"/>
    <w:rsid w:val="002566B1"/>
    <w:rsid w:val="002575E3"/>
    <w:rsid w:val="002603C1"/>
    <w:rsid w:val="002609A1"/>
    <w:rsid w:val="002612B1"/>
    <w:rsid w:val="00266165"/>
    <w:rsid w:val="002702B0"/>
    <w:rsid w:val="0027125E"/>
    <w:rsid w:val="00271767"/>
    <w:rsid w:val="00272293"/>
    <w:rsid w:val="002723C8"/>
    <w:rsid w:val="00273CBE"/>
    <w:rsid w:val="0028232C"/>
    <w:rsid w:val="00282EC3"/>
    <w:rsid w:val="002835B0"/>
    <w:rsid w:val="00283B9D"/>
    <w:rsid w:val="0028407E"/>
    <w:rsid w:val="0028410F"/>
    <w:rsid w:val="00286603"/>
    <w:rsid w:val="00286FB5"/>
    <w:rsid w:val="00287763"/>
    <w:rsid w:val="00290606"/>
    <w:rsid w:val="00290F9D"/>
    <w:rsid w:val="002918A7"/>
    <w:rsid w:val="00291D6D"/>
    <w:rsid w:val="00291FF1"/>
    <w:rsid w:val="002923F6"/>
    <w:rsid w:val="00293361"/>
    <w:rsid w:val="00295287"/>
    <w:rsid w:val="002952B1"/>
    <w:rsid w:val="00295D11"/>
    <w:rsid w:val="00297A7A"/>
    <w:rsid w:val="002A0C3A"/>
    <w:rsid w:val="002A0ECD"/>
    <w:rsid w:val="002A1130"/>
    <w:rsid w:val="002A14D3"/>
    <w:rsid w:val="002A1880"/>
    <w:rsid w:val="002A1D47"/>
    <w:rsid w:val="002A23B7"/>
    <w:rsid w:val="002A3A57"/>
    <w:rsid w:val="002A5DA6"/>
    <w:rsid w:val="002A6DEF"/>
    <w:rsid w:val="002A7411"/>
    <w:rsid w:val="002A7C24"/>
    <w:rsid w:val="002B013E"/>
    <w:rsid w:val="002B058D"/>
    <w:rsid w:val="002B0C16"/>
    <w:rsid w:val="002B169E"/>
    <w:rsid w:val="002B2621"/>
    <w:rsid w:val="002B2AC5"/>
    <w:rsid w:val="002B3528"/>
    <w:rsid w:val="002B3539"/>
    <w:rsid w:val="002B3DCB"/>
    <w:rsid w:val="002C0C1C"/>
    <w:rsid w:val="002C184E"/>
    <w:rsid w:val="002C5239"/>
    <w:rsid w:val="002C54C2"/>
    <w:rsid w:val="002C5D34"/>
    <w:rsid w:val="002C661A"/>
    <w:rsid w:val="002D2231"/>
    <w:rsid w:val="002D25FC"/>
    <w:rsid w:val="002D3380"/>
    <w:rsid w:val="002D4AC6"/>
    <w:rsid w:val="002D5C7B"/>
    <w:rsid w:val="002D7648"/>
    <w:rsid w:val="002D7909"/>
    <w:rsid w:val="002E109C"/>
    <w:rsid w:val="002E115E"/>
    <w:rsid w:val="002E193E"/>
    <w:rsid w:val="002E1D76"/>
    <w:rsid w:val="002E243C"/>
    <w:rsid w:val="002E26C4"/>
    <w:rsid w:val="002E4B37"/>
    <w:rsid w:val="002E4BF9"/>
    <w:rsid w:val="002E6F5B"/>
    <w:rsid w:val="002F16DD"/>
    <w:rsid w:val="002F199D"/>
    <w:rsid w:val="002F23B2"/>
    <w:rsid w:val="002F4084"/>
    <w:rsid w:val="002F4A08"/>
    <w:rsid w:val="002F4ADB"/>
    <w:rsid w:val="002F531E"/>
    <w:rsid w:val="002F5ACC"/>
    <w:rsid w:val="002F6E38"/>
    <w:rsid w:val="002F704B"/>
    <w:rsid w:val="002F72C3"/>
    <w:rsid w:val="002F768C"/>
    <w:rsid w:val="002F7D1E"/>
    <w:rsid w:val="00302F0F"/>
    <w:rsid w:val="003030D8"/>
    <w:rsid w:val="00303243"/>
    <w:rsid w:val="00303BCC"/>
    <w:rsid w:val="00303F2B"/>
    <w:rsid w:val="00303F8D"/>
    <w:rsid w:val="00304580"/>
    <w:rsid w:val="0030586A"/>
    <w:rsid w:val="003074C5"/>
    <w:rsid w:val="00307A3C"/>
    <w:rsid w:val="00307FA4"/>
    <w:rsid w:val="00310CC1"/>
    <w:rsid w:val="00311EFC"/>
    <w:rsid w:val="00313026"/>
    <w:rsid w:val="0031421F"/>
    <w:rsid w:val="00314B31"/>
    <w:rsid w:val="00314B36"/>
    <w:rsid w:val="00315158"/>
    <w:rsid w:val="00315346"/>
    <w:rsid w:val="00315A65"/>
    <w:rsid w:val="00317BA7"/>
    <w:rsid w:val="00320BE2"/>
    <w:rsid w:val="00321886"/>
    <w:rsid w:val="00322932"/>
    <w:rsid w:val="003234F4"/>
    <w:rsid w:val="00323694"/>
    <w:rsid w:val="00324D63"/>
    <w:rsid w:val="003255AF"/>
    <w:rsid w:val="003256EB"/>
    <w:rsid w:val="003259DB"/>
    <w:rsid w:val="0032620C"/>
    <w:rsid w:val="00331A48"/>
    <w:rsid w:val="003330C9"/>
    <w:rsid w:val="0033364C"/>
    <w:rsid w:val="00334415"/>
    <w:rsid w:val="0033691E"/>
    <w:rsid w:val="00336CCB"/>
    <w:rsid w:val="00337F44"/>
    <w:rsid w:val="003411D1"/>
    <w:rsid w:val="003416BA"/>
    <w:rsid w:val="00342A8A"/>
    <w:rsid w:val="00342F99"/>
    <w:rsid w:val="003454A4"/>
    <w:rsid w:val="00346337"/>
    <w:rsid w:val="00350E6C"/>
    <w:rsid w:val="003518A6"/>
    <w:rsid w:val="00351E7F"/>
    <w:rsid w:val="00352953"/>
    <w:rsid w:val="00354062"/>
    <w:rsid w:val="00355C0D"/>
    <w:rsid w:val="003566A9"/>
    <w:rsid w:val="00356988"/>
    <w:rsid w:val="00357128"/>
    <w:rsid w:val="0035755E"/>
    <w:rsid w:val="00357A80"/>
    <w:rsid w:val="00361B8B"/>
    <w:rsid w:val="00363F39"/>
    <w:rsid w:val="00364AB0"/>
    <w:rsid w:val="003667B0"/>
    <w:rsid w:val="003667DD"/>
    <w:rsid w:val="00366B48"/>
    <w:rsid w:val="00367764"/>
    <w:rsid w:val="00370316"/>
    <w:rsid w:val="00370DC7"/>
    <w:rsid w:val="0037156C"/>
    <w:rsid w:val="00371CBD"/>
    <w:rsid w:val="00373CBE"/>
    <w:rsid w:val="003740CC"/>
    <w:rsid w:val="00374E79"/>
    <w:rsid w:val="00375388"/>
    <w:rsid w:val="00375FB9"/>
    <w:rsid w:val="00376851"/>
    <w:rsid w:val="00376FA2"/>
    <w:rsid w:val="00377A3B"/>
    <w:rsid w:val="00377E3C"/>
    <w:rsid w:val="00380BBE"/>
    <w:rsid w:val="00381D70"/>
    <w:rsid w:val="00382128"/>
    <w:rsid w:val="0038235E"/>
    <w:rsid w:val="003829D0"/>
    <w:rsid w:val="00382AC7"/>
    <w:rsid w:val="0038444F"/>
    <w:rsid w:val="00384E83"/>
    <w:rsid w:val="00387051"/>
    <w:rsid w:val="00387ECF"/>
    <w:rsid w:val="0039021B"/>
    <w:rsid w:val="00390429"/>
    <w:rsid w:val="00392615"/>
    <w:rsid w:val="0039327C"/>
    <w:rsid w:val="003933A2"/>
    <w:rsid w:val="0039366C"/>
    <w:rsid w:val="00393EC8"/>
    <w:rsid w:val="00395E42"/>
    <w:rsid w:val="00396A2D"/>
    <w:rsid w:val="00396FC3"/>
    <w:rsid w:val="003A1A94"/>
    <w:rsid w:val="003A204E"/>
    <w:rsid w:val="003A2D25"/>
    <w:rsid w:val="003A353E"/>
    <w:rsid w:val="003A4DDB"/>
    <w:rsid w:val="003A60E7"/>
    <w:rsid w:val="003B0B6A"/>
    <w:rsid w:val="003B29CF"/>
    <w:rsid w:val="003B6659"/>
    <w:rsid w:val="003B7733"/>
    <w:rsid w:val="003C350C"/>
    <w:rsid w:val="003C3903"/>
    <w:rsid w:val="003C3BA0"/>
    <w:rsid w:val="003C4580"/>
    <w:rsid w:val="003C4E6F"/>
    <w:rsid w:val="003C52D8"/>
    <w:rsid w:val="003C5C5E"/>
    <w:rsid w:val="003C6746"/>
    <w:rsid w:val="003C7133"/>
    <w:rsid w:val="003C7555"/>
    <w:rsid w:val="003C7898"/>
    <w:rsid w:val="003D0FF5"/>
    <w:rsid w:val="003D2D1B"/>
    <w:rsid w:val="003D30AB"/>
    <w:rsid w:val="003D48C7"/>
    <w:rsid w:val="003D4C08"/>
    <w:rsid w:val="003D7CE8"/>
    <w:rsid w:val="003E1032"/>
    <w:rsid w:val="003E1904"/>
    <w:rsid w:val="003E285E"/>
    <w:rsid w:val="003E3300"/>
    <w:rsid w:val="003E65AC"/>
    <w:rsid w:val="003E6E24"/>
    <w:rsid w:val="003E72B9"/>
    <w:rsid w:val="003E7ED4"/>
    <w:rsid w:val="003F0E52"/>
    <w:rsid w:val="003F0EF2"/>
    <w:rsid w:val="003F0F6B"/>
    <w:rsid w:val="003F1FE3"/>
    <w:rsid w:val="003F3865"/>
    <w:rsid w:val="003F4632"/>
    <w:rsid w:val="003F47BA"/>
    <w:rsid w:val="003F6617"/>
    <w:rsid w:val="0040023D"/>
    <w:rsid w:val="00402332"/>
    <w:rsid w:val="004025C2"/>
    <w:rsid w:val="00403E55"/>
    <w:rsid w:val="00404681"/>
    <w:rsid w:val="0040496D"/>
    <w:rsid w:val="00405010"/>
    <w:rsid w:val="0040595A"/>
    <w:rsid w:val="00406923"/>
    <w:rsid w:val="0040713A"/>
    <w:rsid w:val="0040763D"/>
    <w:rsid w:val="00407D1B"/>
    <w:rsid w:val="004105B0"/>
    <w:rsid w:val="0041338E"/>
    <w:rsid w:val="004133A8"/>
    <w:rsid w:val="00413821"/>
    <w:rsid w:val="00413D43"/>
    <w:rsid w:val="004141A3"/>
    <w:rsid w:val="00414909"/>
    <w:rsid w:val="00416112"/>
    <w:rsid w:val="00416B7C"/>
    <w:rsid w:val="00416DF0"/>
    <w:rsid w:val="00417AE0"/>
    <w:rsid w:val="00417BAA"/>
    <w:rsid w:val="00420D7A"/>
    <w:rsid w:val="004223DE"/>
    <w:rsid w:val="0042293E"/>
    <w:rsid w:val="00422A10"/>
    <w:rsid w:val="00424D17"/>
    <w:rsid w:val="00425DFD"/>
    <w:rsid w:val="004263A3"/>
    <w:rsid w:val="00427713"/>
    <w:rsid w:val="00427CCC"/>
    <w:rsid w:val="0043013A"/>
    <w:rsid w:val="00430421"/>
    <w:rsid w:val="00430B4F"/>
    <w:rsid w:val="004314B1"/>
    <w:rsid w:val="00431E65"/>
    <w:rsid w:val="00432589"/>
    <w:rsid w:val="00432A94"/>
    <w:rsid w:val="00433827"/>
    <w:rsid w:val="004360C8"/>
    <w:rsid w:val="0044006B"/>
    <w:rsid w:val="0044033F"/>
    <w:rsid w:val="00440630"/>
    <w:rsid w:val="00441123"/>
    <w:rsid w:val="00442095"/>
    <w:rsid w:val="00442965"/>
    <w:rsid w:val="00444157"/>
    <w:rsid w:val="0044417C"/>
    <w:rsid w:val="00444DB3"/>
    <w:rsid w:val="0044516D"/>
    <w:rsid w:val="004452B9"/>
    <w:rsid w:val="00445A2F"/>
    <w:rsid w:val="00446328"/>
    <w:rsid w:val="0044684E"/>
    <w:rsid w:val="004479CA"/>
    <w:rsid w:val="004503A4"/>
    <w:rsid w:val="00450555"/>
    <w:rsid w:val="00450DC6"/>
    <w:rsid w:val="004516A5"/>
    <w:rsid w:val="004535AE"/>
    <w:rsid w:val="00453C42"/>
    <w:rsid w:val="0045463A"/>
    <w:rsid w:val="00454AC9"/>
    <w:rsid w:val="00454FE6"/>
    <w:rsid w:val="004554A3"/>
    <w:rsid w:val="00455A6E"/>
    <w:rsid w:val="004578EB"/>
    <w:rsid w:val="00460303"/>
    <w:rsid w:val="00460697"/>
    <w:rsid w:val="00465EEF"/>
    <w:rsid w:val="00466D03"/>
    <w:rsid w:val="0046711B"/>
    <w:rsid w:val="00471156"/>
    <w:rsid w:val="00472429"/>
    <w:rsid w:val="004725E5"/>
    <w:rsid w:val="00472751"/>
    <w:rsid w:val="00473128"/>
    <w:rsid w:val="00475078"/>
    <w:rsid w:val="00475226"/>
    <w:rsid w:val="004779A0"/>
    <w:rsid w:val="004808E3"/>
    <w:rsid w:val="00481016"/>
    <w:rsid w:val="004814D3"/>
    <w:rsid w:val="0048204C"/>
    <w:rsid w:val="004821BB"/>
    <w:rsid w:val="00482233"/>
    <w:rsid w:val="004826FE"/>
    <w:rsid w:val="004827D5"/>
    <w:rsid w:val="004830C9"/>
    <w:rsid w:val="00483347"/>
    <w:rsid w:val="00483E2E"/>
    <w:rsid w:val="00484B69"/>
    <w:rsid w:val="00485406"/>
    <w:rsid w:val="0048590F"/>
    <w:rsid w:val="00486D60"/>
    <w:rsid w:val="00487C87"/>
    <w:rsid w:val="00492A25"/>
    <w:rsid w:val="00496350"/>
    <w:rsid w:val="00496F91"/>
    <w:rsid w:val="00497274"/>
    <w:rsid w:val="0049797C"/>
    <w:rsid w:val="00497C2C"/>
    <w:rsid w:val="004A1405"/>
    <w:rsid w:val="004A1FC6"/>
    <w:rsid w:val="004A3C03"/>
    <w:rsid w:val="004A3DB7"/>
    <w:rsid w:val="004A3FB3"/>
    <w:rsid w:val="004A5088"/>
    <w:rsid w:val="004A5255"/>
    <w:rsid w:val="004A6097"/>
    <w:rsid w:val="004A6CB0"/>
    <w:rsid w:val="004A70FF"/>
    <w:rsid w:val="004B1B84"/>
    <w:rsid w:val="004B29AC"/>
    <w:rsid w:val="004B35DF"/>
    <w:rsid w:val="004B3627"/>
    <w:rsid w:val="004B4922"/>
    <w:rsid w:val="004B57DF"/>
    <w:rsid w:val="004C2138"/>
    <w:rsid w:val="004C32D4"/>
    <w:rsid w:val="004C3940"/>
    <w:rsid w:val="004C51FD"/>
    <w:rsid w:val="004C56F7"/>
    <w:rsid w:val="004C65A8"/>
    <w:rsid w:val="004C786C"/>
    <w:rsid w:val="004C7963"/>
    <w:rsid w:val="004C7F33"/>
    <w:rsid w:val="004D2F63"/>
    <w:rsid w:val="004D35BA"/>
    <w:rsid w:val="004D4701"/>
    <w:rsid w:val="004D47C7"/>
    <w:rsid w:val="004D618D"/>
    <w:rsid w:val="004D62A9"/>
    <w:rsid w:val="004D6FC3"/>
    <w:rsid w:val="004D7476"/>
    <w:rsid w:val="004E0306"/>
    <w:rsid w:val="004E0572"/>
    <w:rsid w:val="004E2250"/>
    <w:rsid w:val="004E25A8"/>
    <w:rsid w:val="004E3930"/>
    <w:rsid w:val="004E3ED9"/>
    <w:rsid w:val="004E5866"/>
    <w:rsid w:val="004E6097"/>
    <w:rsid w:val="004E61EF"/>
    <w:rsid w:val="004E76A7"/>
    <w:rsid w:val="004E7736"/>
    <w:rsid w:val="004E7B03"/>
    <w:rsid w:val="004F0064"/>
    <w:rsid w:val="004F06AC"/>
    <w:rsid w:val="004F243F"/>
    <w:rsid w:val="004F3E0C"/>
    <w:rsid w:val="004F6F95"/>
    <w:rsid w:val="004F7160"/>
    <w:rsid w:val="00500258"/>
    <w:rsid w:val="0050175E"/>
    <w:rsid w:val="00501A99"/>
    <w:rsid w:val="00503180"/>
    <w:rsid w:val="0050417C"/>
    <w:rsid w:val="00505450"/>
    <w:rsid w:val="005100B7"/>
    <w:rsid w:val="005113C9"/>
    <w:rsid w:val="0051280C"/>
    <w:rsid w:val="00512842"/>
    <w:rsid w:val="005128BE"/>
    <w:rsid w:val="0051356F"/>
    <w:rsid w:val="00513E7C"/>
    <w:rsid w:val="005140BB"/>
    <w:rsid w:val="005143C2"/>
    <w:rsid w:val="00514FD9"/>
    <w:rsid w:val="0051608F"/>
    <w:rsid w:val="005210F7"/>
    <w:rsid w:val="00521753"/>
    <w:rsid w:val="00521A44"/>
    <w:rsid w:val="00521D16"/>
    <w:rsid w:val="005222BE"/>
    <w:rsid w:val="005224EE"/>
    <w:rsid w:val="00523BB1"/>
    <w:rsid w:val="0052451A"/>
    <w:rsid w:val="00524737"/>
    <w:rsid w:val="00526265"/>
    <w:rsid w:val="0052652D"/>
    <w:rsid w:val="0052655D"/>
    <w:rsid w:val="005265E0"/>
    <w:rsid w:val="00526BC3"/>
    <w:rsid w:val="005324C7"/>
    <w:rsid w:val="0053358A"/>
    <w:rsid w:val="00534668"/>
    <w:rsid w:val="00534DDD"/>
    <w:rsid w:val="00535291"/>
    <w:rsid w:val="00535A94"/>
    <w:rsid w:val="00537874"/>
    <w:rsid w:val="00540204"/>
    <w:rsid w:val="00540578"/>
    <w:rsid w:val="005407D2"/>
    <w:rsid w:val="00540808"/>
    <w:rsid w:val="0054080E"/>
    <w:rsid w:val="00540EA1"/>
    <w:rsid w:val="0054358E"/>
    <w:rsid w:val="00543AF4"/>
    <w:rsid w:val="00544191"/>
    <w:rsid w:val="00544F39"/>
    <w:rsid w:val="00547EFB"/>
    <w:rsid w:val="005531DF"/>
    <w:rsid w:val="00553874"/>
    <w:rsid w:val="00553ACC"/>
    <w:rsid w:val="00554AD8"/>
    <w:rsid w:val="00554F78"/>
    <w:rsid w:val="00556BF7"/>
    <w:rsid w:val="00562149"/>
    <w:rsid w:val="00563FFD"/>
    <w:rsid w:val="005677CE"/>
    <w:rsid w:val="00567B5D"/>
    <w:rsid w:val="005706A0"/>
    <w:rsid w:val="00573733"/>
    <w:rsid w:val="00574554"/>
    <w:rsid w:val="00576089"/>
    <w:rsid w:val="005764B1"/>
    <w:rsid w:val="00576A56"/>
    <w:rsid w:val="00576D06"/>
    <w:rsid w:val="005779E4"/>
    <w:rsid w:val="0058144D"/>
    <w:rsid w:val="0058289C"/>
    <w:rsid w:val="00582DC6"/>
    <w:rsid w:val="005836C7"/>
    <w:rsid w:val="0058408E"/>
    <w:rsid w:val="00585374"/>
    <w:rsid w:val="00586FEC"/>
    <w:rsid w:val="00590B77"/>
    <w:rsid w:val="005913A3"/>
    <w:rsid w:val="00594A7B"/>
    <w:rsid w:val="00594AFA"/>
    <w:rsid w:val="0059580E"/>
    <w:rsid w:val="00596A6F"/>
    <w:rsid w:val="005976E1"/>
    <w:rsid w:val="005A1525"/>
    <w:rsid w:val="005A1EC3"/>
    <w:rsid w:val="005A252B"/>
    <w:rsid w:val="005A2A71"/>
    <w:rsid w:val="005A3204"/>
    <w:rsid w:val="005A3341"/>
    <w:rsid w:val="005A46EC"/>
    <w:rsid w:val="005A4847"/>
    <w:rsid w:val="005B0160"/>
    <w:rsid w:val="005B0185"/>
    <w:rsid w:val="005B07EC"/>
    <w:rsid w:val="005B2B11"/>
    <w:rsid w:val="005B2E00"/>
    <w:rsid w:val="005B370E"/>
    <w:rsid w:val="005B4DA3"/>
    <w:rsid w:val="005B5BEE"/>
    <w:rsid w:val="005B77D2"/>
    <w:rsid w:val="005C019B"/>
    <w:rsid w:val="005C144E"/>
    <w:rsid w:val="005C30F5"/>
    <w:rsid w:val="005C357E"/>
    <w:rsid w:val="005C51A5"/>
    <w:rsid w:val="005C557A"/>
    <w:rsid w:val="005C61DD"/>
    <w:rsid w:val="005C6438"/>
    <w:rsid w:val="005C6B8B"/>
    <w:rsid w:val="005D0114"/>
    <w:rsid w:val="005D02E3"/>
    <w:rsid w:val="005D1F34"/>
    <w:rsid w:val="005D2C1F"/>
    <w:rsid w:val="005D34B2"/>
    <w:rsid w:val="005D3B54"/>
    <w:rsid w:val="005D40CD"/>
    <w:rsid w:val="005D6B59"/>
    <w:rsid w:val="005D7037"/>
    <w:rsid w:val="005E03E4"/>
    <w:rsid w:val="005E0454"/>
    <w:rsid w:val="005E171D"/>
    <w:rsid w:val="005E34C2"/>
    <w:rsid w:val="005E35C6"/>
    <w:rsid w:val="005E5B01"/>
    <w:rsid w:val="005E7933"/>
    <w:rsid w:val="005E7B77"/>
    <w:rsid w:val="005F009E"/>
    <w:rsid w:val="005F0A88"/>
    <w:rsid w:val="005F0DF1"/>
    <w:rsid w:val="005F1516"/>
    <w:rsid w:val="005F229E"/>
    <w:rsid w:val="005F2564"/>
    <w:rsid w:val="005F3822"/>
    <w:rsid w:val="005F4D16"/>
    <w:rsid w:val="005F4E52"/>
    <w:rsid w:val="0060058E"/>
    <w:rsid w:val="00602A3C"/>
    <w:rsid w:val="00603EFD"/>
    <w:rsid w:val="0060475B"/>
    <w:rsid w:val="00604FB6"/>
    <w:rsid w:val="00605387"/>
    <w:rsid w:val="00606302"/>
    <w:rsid w:val="006076FD"/>
    <w:rsid w:val="0061143F"/>
    <w:rsid w:val="006114D8"/>
    <w:rsid w:val="00611585"/>
    <w:rsid w:val="00613522"/>
    <w:rsid w:val="00613601"/>
    <w:rsid w:val="00613791"/>
    <w:rsid w:val="00613AAB"/>
    <w:rsid w:val="006148C7"/>
    <w:rsid w:val="006150D6"/>
    <w:rsid w:val="00617EEE"/>
    <w:rsid w:val="006210FE"/>
    <w:rsid w:val="00622811"/>
    <w:rsid w:val="00622BB7"/>
    <w:rsid w:val="00622F3B"/>
    <w:rsid w:val="00623389"/>
    <w:rsid w:val="0062352A"/>
    <w:rsid w:val="0062633A"/>
    <w:rsid w:val="006265C4"/>
    <w:rsid w:val="00627383"/>
    <w:rsid w:val="006301BB"/>
    <w:rsid w:val="00635A4A"/>
    <w:rsid w:val="00635FB9"/>
    <w:rsid w:val="00637774"/>
    <w:rsid w:val="0064024C"/>
    <w:rsid w:val="00640291"/>
    <w:rsid w:val="00641FAC"/>
    <w:rsid w:val="006432A5"/>
    <w:rsid w:val="00643664"/>
    <w:rsid w:val="00643CAA"/>
    <w:rsid w:val="00652680"/>
    <w:rsid w:val="00652A09"/>
    <w:rsid w:val="006530A1"/>
    <w:rsid w:val="00653CDE"/>
    <w:rsid w:val="0065636A"/>
    <w:rsid w:val="00656C3C"/>
    <w:rsid w:val="00657003"/>
    <w:rsid w:val="006572C1"/>
    <w:rsid w:val="00660238"/>
    <w:rsid w:val="006602EF"/>
    <w:rsid w:val="00661277"/>
    <w:rsid w:val="006619D1"/>
    <w:rsid w:val="00663FEA"/>
    <w:rsid w:val="00664803"/>
    <w:rsid w:val="006661A4"/>
    <w:rsid w:val="006670E0"/>
    <w:rsid w:val="00667532"/>
    <w:rsid w:val="006704FD"/>
    <w:rsid w:val="0067294B"/>
    <w:rsid w:val="00673AA4"/>
    <w:rsid w:val="00674187"/>
    <w:rsid w:val="0067508F"/>
    <w:rsid w:val="006752BD"/>
    <w:rsid w:val="00675349"/>
    <w:rsid w:val="00675E7E"/>
    <w:rsid w:val="0068051E"/>
    <w:rsid w:val="00680B9D"/>
    <w:rsid w:val="00681F13"/>
    <w:rsid w:val="0068231C"/>
    <w:rsid w:val="00682344"/>
    <w:rsid w:val="00682F28"/>
    <w:rsid w:val="00684842"/>
    <w:rsid w:val="00685BD6"/>
    <w:rsid w:val="006878A6"/>
    <w:rsid w:val="00687F01"/>
    <w:rsid w:val="00690437"/>
    <w:rsid w:val="00690E65"/>
    <w:rsid w:val="0069188E"/>
    <w:rsid w:val="00691974"/>
    <w:rsid w:val="00692CE6"/>
    <w:rsid w:val="00693B6C"/>
    <w:rsid w:val="006942AE"/>
    <w:rsid w:val="00695421"/>
    <w:rsid w:val="00697BD3"/>
    <w:rsid w:val="00697DFA"/>
    <w:rsid w:val="006A10F3"/>
    <w:rsid w:val="006A16D5"/>
    <w:rsid w:val="006A1772"/>
    <w:rsid w:val="006A1780"/>
    <w:rsid w:val="006A25A5"/>
    <w:rsid w:val="006A3CEC"/>
    <w:rsid w:val="006A3F75"/>
    <w:rsid w:val="006A6CA7"/>
    <w:rsid w:val="006A703E"/>
    <w:rsid w:val="006A7BE3"/>
    <w:rsid w:val="006B01D1"/>
    <w:rsid w:val="006B16EA"/>
    <w:rsid w:val="006B1780"/>
    <w:rsid w:val="006B224E"/>
    <w:rsid w:val="006B376E"/>
    <w:rsid w:val="006B4589"/>
    <w:rsid w:val="006B6805"/>
    <w:rsid w:val="006B6B5E"/>
    <w:rsid w:val="006B6DE0"/>
    <w:rsid w:val="006B7D5F"/>
    <w:rsid w:val="006C235A"/>
    <w:rsid w:val="006C32F4"/>
    <w:rsid w:val="006C3C54"/>
    <w:rsid w:val="006C427B"/>
    <w:rsid w:val="006C4F9F"/>
    <w:rsid w:val="006D0C1D"/>
    <w:rsid w:val="006D0CE1"/>
    <w:rsid w:val="006D2004"/>
    <w:rsid w:val="006D2E9D"/>
    <w:rsid w:val="006D3EF6"/>
    <w:rsid w:val="006D4C42"/>
    <w:rsid w:val="006D5809"/>
    <w:rsid w:val="006D668D"/>
    <w:rsid w:val="006D7363"/>
    <w:rsid w:val="006E04C8"/>
    <w:rsid w:val="006E0712"/>
    <w:rsid w:val="006E0754"/>
    <w:rsid w:val="006E2668"/>
    <w:rsid w:val="006E2D39"/>
    <w:rsid w:val="006E32B0"/>
    <w:rsid w:val="006E36D8"/>
    <w:rsid w:val="006E396A"/>
    <w:rsid w:val="006E3A73"/>
    <w:rsid w:val="006E5DD8"/>
    <w:rsid w:val="006E5EA1"/>
    <w:rsid w:val="006F0760"/>
    <w:rsid w:val="006F0FF1"/>
    <w:rsid w:val="006F11E2"/>
    <w:rsid w:val="006F1B03"/>
    <w:rsid w:val="006F2394"/>
    <w:rsid w:val="006F2574"/>
    <w:rsid w:val="006F3231"/>
    <w:rsid w:val="006F3DE3"/>
    <w:rsid w:val="006F511F"/>
    <w:rsid w:val="006F61D8"/>
    <w:rsid w:val="006F62B7"/>
    <w:rsid w:val="006F70BC"/>
    <w:rsid w:val="006F713A"/>
    <w:rsid w:val="006F76BF"/>
    <w:rsid w:val="00702DCB"/>
    <w:rsid w:val="007036B2"/>
    <w:rsid w:val="007066A4"/>
    <w:rsid w:val="00706F37"/>
    <w:rsid w:val="0071209F"/>
    <w:rsid w:val="007125A2"/>
    <w:rsid w:val="00713F79"/>
    <w:rsid w:val="007148A8"/>
    <w:rsid w:val="007171E0"/>
    <w:rsid w:val="0072033C"/>
    <w:rsid w:val="00720B1B"/>
    <w:rsid w:val="00721062"/>
    <w:rsid w:val="00721E5D"/>
    <w:rsid w:val="007229D4"/>
    <w:rsid w:val="007230F8"/>
    <w:rsid w:val="007233F4"/>
    <w:rsid w:val="007239A2"/>
    <w:rsid w:val="00724044"/>
    <w:rsid w:val="007244E1"/>
    <w:rsid w:val="007248D3"/>
    <w:rsid w:val="00725137"/>
    <w:rsid w:val="00727A43"/>
    <w:rsid w:val="00727FF2"/>
    <w:rsid w:val="007323E0"/>
    <w:rsid w:val="00733DE2"/>
    <w:rsid w:val="007352EA"/>
    <w:rsid w:val="007364E5"/>
    <w:rsid w:val="00736E33"/>
    <w:rsid w:val="0073792F"/>
    <w:rsid w:val="00740DA6"/>
    <w:rsid w:val="00741D1E"/>
    <w:rsid w:val="00741EE2"/>
    <w:rsid w:val="00742367"/>
    <w:rsid w:val="00742EAA"/>
    <w:rsid w:val="00743818"/>
    <w:rsid w:val="007439E2"/>
    <w:rsid w:val="007441FB"/>
    <w:rsid w:val="00744517"/>
    <w:rsid w:val="00745DFC"/>
    <w:rsid w:val="00747DE2"/>
    <w:rsid w:val="007504BF"/>
    <w:rsid w:val="007506CD"/>
    <w:rsid w:val="0075267F"/>
    <w:rsid w:val="007526EC"/>
    <w:rsid w:val="00753347"/>
    <w:rsid w:val="00753C48"/>
    <w:rsid w:val="00754C97"/>
    <w:rsid w:val="00754FE4"/>
    <w:rsid w:val="00756236"/>
    <w:rsid w:val="00756271"/>
    <w:rsid w:val="00756521"/>
    <w:rsid w:val="00756AB7"/>
    <w:rsid w:val="00760477"/>
    <w:rsid w:val="007623FB"/>
    <w:rsid w:val="0076376A"/>
    <w:rsid w:val="0076500F"/>
    <w:rsid w:val="0076504E"/>
    <w:rsid w:val="00767EA0"/>
    <w:rsid w:val="007702AA"/>
    <w:rsid w:val="0077068F"/>
    <w:rsid w:val="0077408D"/>
    <w:rsid w:val="00774270"/>
    <w:rsid w:val="00775679"/>
    <w:rsid w:val="00777B32"/>
    <w:rsid w:val="0078051E"/>
    <w:rsid w:val="00781FDD"/>
    <w:rsid w:val="00782A9F"/>
    <w:rsid w:val="0078508A"/>
    <w:rsid w:val="00786D5C"/>
    <w:rsid w:val="00786E96"/>
    <w:rsid w:val="00787F93"/>
    <w:rsid w:val="007907CA"/>
    <w:rsid w:val="00791E6D"/>
    <w:rsid w:val="007928DC"/>
    <w:rsid w:val="007939CC"/>
    <w:rsid w:val="00796FB8"/>
    <w:rsid w:val="00797CB3"/>
    <w:rsid w:val="007A11C2"/>
    <w:rsid w:val="007A41BF"/>
    <w:rsid w:val="007A490A"/>
    <w:rsid w:val="007A581D"/>
    <w:rsid w:val="007A7B95"/>
    <w:rsid w:val="007B0297"/>
    <w:rsid w:val="007B0F53"/>
    <w:rsid w:val="007B1DD8"/>
    <w:rsid w:val="007B21AE"/>
    <w:rsid w:val="007B2570"/>
    <w:rsid w:val="007B3113"/>
    <w:rsid w:val="007B3304"/>
    <w:rsid w:val="007B332B"/>
    <w:rsid w:val="007B394D"/>
    <w:rsid w:val="007B6847"/>
    <w:rsid w:val="007B7490"/>
    <w:rsid w:val="007C0525"/>
    <w:rsid w:val="007C13F7"/>
    <w:rsid w:val="007C218D"/>
    <w:rsid w:val="007C2D28"/>
    <w:rsid w:val="007C3E22"/>
    <w:rsid w:val="007C67C6"/>
    <w:rsid w:val="007C7E59"/>
    <w:rsid w:val="007D0B91"/>
    <w:rsid w:val="007D1452"/>
    <w:rsid w:val="007D1E29"/>
    <w:rsid w:val="007D460C"/>
    <w:rsid w:val="007D4AD3"/>
    <w:rsid w:val="007D4C8D"/>
    <w:rsid w:val="007D583E"/>
    <w:rsid w:val="007D5D19"/>
    <w:rsid w:val="007D5FDC"/>
    <w:rsid w:val="007D6D68"/>
    <w:rsid w:val="007E1603"/>
    <w:rsid w:val="007E32DA"/>
    <w:rsid w:val="007E4998"/>
    <w:rsid w:val="007E4A9C"/>
    <w:rsid w:val="007E6914"/>
    <w:rsid w:val="007E7F78"/>
    <w:rsid w:val="007F1D44"/>
    <w:rsid w:val="007F2C13"/>
    <w:rsid w:val="007F2CEC"/>
    <w:rsid w:val="007F55DE"/>
    <w:rsid w:val="007F5605"/>
    <w:rsid w:val="007F6147"/>
    <w:rsid w:val="007F78FF"/>
    <w:rsid w:val="00800F6C"/>
    <w:rsid w:val="008025BE"/>
    <w:rsid w:val="008051FC"/>
    <w:rsid w:val="008055A9"/>
    <w:rsid w:val="008070EB"/>
    <w:rsid w:val="00807FDE"/>
    <w:rsid w:val="00810E8E"/>
    <w:rsid w:val="008119A9"/>
    <w:rsid w:val="00812462"/>
    <w:rsid w:val="0081481D"/>
    <w:rsid w:val="00814BE8"/>
    <w:rsid w:val="00814F6E"/>
    <w:rsid w:val="00815B84"/>
    <w:rsid w:val="00821A3D"/>
    <w:rsid w:val="00822037"/>
    <w:rsid w:val="00823FC6"/>
    <w:rsid w:val="00823FFC"/>
    <w:rsid w:val="00824387"/>
    <w:rsid w:val="00824811"/>
    <w:rsid w:val="00825C74"/>
    <w:rsid w:val="00826AB9"/>
    <w:rsid w:val="00826E0E"/>
    <w:rsid w:val="0082731F"/>
    <w:rsid w:val="00827D11"/>
    <w:rsid w:val="00827E0F"/>
    <w:rsid w:val="00827F6E"/>
    <w:rsid w:val="00831758"/>
    <w:rsid w:val="0083279F"/>
    <w:rsid w:val="00833B7F"/>
    <w:rsid w:val="00834906"/>
    <w:rsid w:val="00836075"/>
    <w:rsid w:val="00836417"/>
    <w:rsid w:val="008411F9"/>
    <w:rsid w:val="008413AB"/>
    <w:rsid w:val="0084322B"/>
    <w:rsid w:val="00843B93"/>
    <w:rsid w:val="00843F81"/>
    <w:rsid w:val="00844087"/>
    <w:rsid w:val="0084519E"/>
    <w:rsid w:val="00846370"/>
    <w:rsid w:val="00847C2B"/>
    <w:rsid w:val="0085270D"/>
    <w:rsid w:val="008532BF"/>
    <w:rsid w:val="00853BF4"/>
    <w:rsid w:val="00854294"/>
    <w:rsid w:val="0085788B"/>
    <w:rsid w:val="00857A9E"/>
    <w:rsid w:val="00857DE2"/>
    <w:rsid w:val="0086382A"/>
    <w:rsid w:val="0086407F"/>
    <w:rsid w:val="00864E79"/>
    <w:rsid w:val="0086661F"/>
    <w:rsid w:val="00866A0D"/>
    <w:rsid w:val="00866DB5"/>
    <w:rsid w:val="0086784E"/>
    <w:rsid w:val="00867AF1"/>
    <w:rsid w:val="008717C9"/>
    <w:rsid w:val="00872118"/>
    <w:rsid w:val="00872827"/>
    <w:rsid w:val="00872A32"/>
    <w:rsid w:val="00876EAE"/>
    <w:rsid w:val="00880F95"/>
    <w:rsid w:val="00882B44"/>
    <w:rsid w:val="00882FE5"/>
    <w:rsid w:val="00886138"/>
    <w:rsid w:val="00886E66"/>
    <w:rsid w:val="008871B0"/>
    <w:rsid w:val="0089139E"/>
    <w:rsid w:val="0089217C"/>
    <w:rsid w:val="00893671"/>
    <w:rsid w:val="00895838"/>
    <w:rsid w:val="00895A72"/>
    <w:rsid w:val="00895CDF"/>
    <w:rsid w:val="00897A55"/>
    <w:rsid w:val="008A0FC9"/>
    <w:rsid w:val="008A1956"/>
    <w:rsid w:val="008A40D3"/>
    <w:rsid w:val="008A469C"/>
    <w:rsid w:val="008A484A"/>
    <w:rsid w:val="008A5877"/>
    <w:rsid w:val="008A6539"/>
    <w:rsid w:val="008A682C"/>
    <w:rsid w:val="008B05DD"/>
    <w:rsid w:val="008B17E8"/>
    <w:rsid w:val="008B2D03"/>
    <w:rsid w:val="008B2E7C"/>
    <w:rsid w:val="008B45A7"/>
    <w:rsid w:val="008B4A70"/>
    <w:rsid w:val="008B502F"/>
    <w:rsid w:val="008B7034"/>
    <w:rsid w:val="008B7227"/>
    <w:rsid w:val="008C060D"/>
    <w:rsid w:val="008C191C"/>
    <w:rsid w:val="008C1DA4"/>
    <w:rsid w:val="008C2CD5"/>
    <w:rsid w:val="008C3618"/>
    <w:rsid w:val="008C43AD"/>
    <w:rsid w:val="008C59FB"/>
    <w:rsid w:val="008C6687"/>
    <w:rsid w:val="008C68F0"/>
    <w:rsid w:val="008C731F"/>
    <w:rsid w:val="008C74D9"/>
    <w:rsid w:val="008D124C"/>
    <w:rsid w:val="008D1BB3"/>
    <w:rsid w:val="008D22AE"/>
    <w:rsid w:val="008D234A"/>
    <w:rsid w:val="008D566C"/>
    <w:rsid w:val="008D58D9"/>
    <w:rsid w:val="008D6E59"/>
    <w:rsid w:val="008D7155"/>
    <w:rsid w:val="008E09B3"/>
    <w:rsid w:val="008E141A"/>
    <w:rsid w:val="008E1A44"/>
    <w:rsid w:val="008E28E6"/>
    <w:rsid w:val="008E2B60"/>
    <w:rsid w:val="008E3232"/>
    <w:rsid w:val="008E3674"/>
    <w:rsid w:val="008E3B6C"/>
    <w:rsid w:val="008E68BB"/>
    <w:rsid w:val="008E6C9B"/>
    <w:rsid w:val="008E77D4"/>
    <w:rsid w:val="008F0981"/>
    <w:rsid w:val="008F0AFD"/>
    <w:rsid w:val="008F17B2"/>
    <w:rsid w:val="008F28EE"/>
    <w:rsid w:val="008F357B"/>
    <w:rsid w:val="008F44CA"/>
    <w:rsid w:val="008F49B9"/>
    <w:rsid w:val="008F49D3"/>
    <w:rsid w:val="008F4CEF"/>
    <w:rsid w:val="008F4EE1"/>
    <w:rsid w:val="008F53A0"/>
    <w:rsid w:val="008F6519"/>
    <w:rsid w:val="008F7012"/>
    <w:rsid w:val="008F7B17"/>
    <w:rsid w:val="00900042"/>
    <w:rsid w:val="0090034B"/>
    <w:rsid w:val="00902623"/>
    <w:rsid w:val="00902890"/>
    <w:rsid w:val="00904BE4"/>
    <w:rsid w:val="0090504A"/>
    <w:rsid w:val="00905D7E"/>
    <w:rsid w:val="009063B7"/>
    <w:rsid w:val="00907037"/>
    <w:rsid w:val="0091160A"/>
    <w:rsid w:val="00913258"/>
    <w:rsid w:val="0091564D"/>
    <w:rsid w:val="009156DA"/>
    <w:rsid w:val="00916BC5"/>
    <w:rsid w:val="0091726A"/>
    <w:rsid w:val="00920184"/>
    <w:rsid w:val="00920EA4"/>
    <w:rsid w:val="00921792"/>
    <w:rsid w:val="00921BEA"/>
    <w:rsid w:val="00923998"/>
    <w:rsid w:val="00923DB4"/>
    <w:rsid w:val="0092430E"/>
    <w:rsid w:val="0092625F"/>
    <w:rsid w:val="009268A9"/>
    <w:rsid w:val="00927B37"/>
    <w:rsid w:val="009301B2"/>
    <w:rsid w:val="009321B1"/>
    <w:rsid w:val="00932ED7"/>
    <w:rsid w:val="0093357E"/>
    <w:rsid w:val="0093422D"/>
    <w:rsid w:val="00934DD7"/>
    <w:rsid w:val="009369A9"/>
    <w:rsid w:val="00936CF7"/>
    <w:rsid w:val="00937201"/>
    <w:rsid w:val="0093734A"/>
    <w:rsid w:val="00937783"/>
    <w:rsid w:val="00940FE1"/>
    <w:rsid w:val="00942306"/>
    <w:rsid w:val="009424B8"/>
    <w:rsid w:val="009433A4"/>
    <w:rsid w:val="0094435B"/>
    <w:rsid w:val="00944668"/>
    <w:rsid w:val="00944DC6"/>
    <w:rsid w:val="0094537D"/>
    <w:rsid w:val="0094573F"/>
    <w:rsid w:val="009458B0"/>
    <w:rsid w:val="00945B52"/>
    <w:rsid w:val="00945DC0"/>
    <w:rsid w:val="00945F05"/>
    <w:rsid w:val="00946348"/>
    <w:rsid w:val="009471AD"/>
    <w:rsid w:val="009478A2"/>
    <w:rsid w:val="00955643"/>
    <w:rsid w:val="00955FBB"/>
    <w:rsid w:val="0095694B"/>
    <w:rsid w:val="00956BD5"/>
    <w:rsid w:val="009574BB"/>
    <w:rsid w:val="009577B5"/>
    <w:rsid w:val="009608E6"/>
    <w:rsid w:val="00961779"/>
    <w:rsid w:val="00964B93"/>
    <w:rsid w:val="00966522"/>
    <w:rsid w:val="00967D3F"/>
    <w:rsid w:val="00970D7E"/>
    <w:rsid w:val="00970F18"/>
    <w:rsid w:val="00971CF1"/>
    <w:rsid w:val="009721E9"/>
    <w:rsid w:val="00972A58"/>
    <w:rsid w:val="00973772"/>
    <w:rsid w:val="00975E1E"/>
    <w:rsid w:val="00975E70"/>
    <w:rsid w:val="00977BE7"/>
    <w:rsid w:val="00977CD6"/>
    <w:rsid w:val="00982D26"/>
    <w:rsid w:val="009849E9"/>
    <w:rsid w:val="00987812"/>
    <w:rsid w:val="00990225"/>
    <w:rsid w:val="0099244B"/>
    <w:rsid w:val="009947B6"/>
    <w:rsid w:val="00995150"/>
    <w:rsid w:val="009957F3"/>
    <w:rsid w:val="00995D67"/>
    <w:rsid w:val="00997529"/>
    <w:rsid w:val="009A013B"/>
    <w:rsid w:val="009A02F4"/>
    <w:rsid w:val="009A1F12"/>
    <w:rsid w:val="009A2494"/>
    <w:rsid w:val="009A26CA"/>
    <w:rsid w:val="009A36F2"/>
    <w:rsid w:val="009A5749"/>
    <w:rsid w:val="009A57D0"/>
    <w:rsid w:val="009A6559"/>
    <w:rsid w:val="009A68FC"/>
    <w:rsid w:val="009A7514"/>
    <w:rsid w:val="009A7E7A"/>
    <w:rsid w:val="009B1584"/>
    <w:rsid w:val="009B2469"/>
    <w:rsid w:val="009B314F"/>
    <w:rsid w:val="009B439C"/>
    <w:rsid w:val="009B4A6C"/>
    <w:rsid w:val="009B5779"/>
    <w:rsid w:val="009B6753"/>
    <w:rsid w:val="009B6A26"/>
    <w:rsid w:val="009C079D"/>
    <w:rsid w:val="009C0D70"/>
    <w:rsid w:val="009C13D1"/>
    <w:rsid w:val="009C2913"/>
    <w:rsid w:val="009C5AFE"/>
    <w:rsid w:val="009C6606"/>
    <w:rsid w:val="009C6CE5"/>
    <w:rsid w:val="009C6D50"/>
    <w:rsid w:val="009C7547"/>
    <w:rsid w:val="009D2F60"/>
    <w:rsid w:val="009D338C"/>
    <w:rsid w:val="009D3D0D"/>
    <w:rsid w:val="009D5BAC"/>
    <w:rsid w:val="009D64BD"/>
    <w:rsid w:val="009E0D0A"/>
    <w:rsid w:val="009E0D1A"/>
    <w:rsid w:val="009E153F"/>
    <w:rsid w:val="009E2D6C"/>
    <w:rsid w:val="009E388B"/>
    <w:rsid w:val="009E393E"/>
    <w:rsid w:val="009E444E"/>
    <w:rsid w:val="009E4968"/>
    <w:rsid w:val="009E663C"/>
    <w:rsid w:val="009E6BB1"/>
    <w:rsid w:val="009F0092"/>
    <w:rsid w:val="009F0CD9"/>
    <w:rsid w:val="009F1A79"/>
    <w:rsid w:val="009F1F57"/>
    <w:rsid w:val="009F4FCF"/>
    <w:rsid w:val="009F65F4"/>
    <w:rsid w:val="009F676B"/>
    <w:rsid w:val="00A004DF"/>
    <w:rsid w:val="00A00D29"/>
    <w:rsid w:val="00A00FD5"/>
    <w:rsid w:val="00A019A8"/>
    <w:rsid w:val="00A01B03"/>
    <w:rsid w:val="00A02C66"/>
    <w:rsid w:val="00A03861"/>
    <w:rsid w:val="00A0464C"/>
    <w:rsid w:val="00A054E0"/>
    <w:rsid w:val="00A0663F"/>
    <w:rsid w:val="00A066CE"/>
    <w:rsid w:val="00A0740B"/>
    <w:rsid w:val="00A075A9"/>
    <w:rsid w:val="00A11042"/>
    <w:rsid w:val="00A133D8"/>
    <w:rsid w:val="00A14E97"/>
    <w:rsid w:val="00A20069"/>
    <w:rsid w:val="00A2244D"/>
    <w:rsid w:val="00A2253D"/>
    <w:rsid w:val="00A22AEC"/>
    <w:rsid w:val="00A2418A"/>
    <w:rsid w:val="00A247B8"/>
    <w:rsid w:val="00A24D8F"/>
    <w:rsid w:val="00A25B8B"/>
    <w:rsid w:val="00A25FBA"/>
    <w:rsid w:val="00A269C3"/>
    <w:rsid w:val="00A26ECA"/>
    <w:rsid w:val="00A324C1"/>
    <w:rsid w:val="00A337DB"/>
    <w:rsid w:val="00A3467F"/>
    <w:rsid w:val="00A3551A"/>
    <w:rsid w:val="00A376E8"/>
    <w:rsid w:val="00A37E69"/>
    <w:rsid w:val="00A37F8E"/>
    <w:rsid w:val="00A41737"/>
    <w:rsid w:val="00A42B8F"/>
    <w:rsid w:val="00A43254"/>
    <w:rsid w:val="00A43896"/>
    <w:rsid w:val="00A43A26"/>
    <w:rsid w:val="00A447A0"/>
    <w:rsid w:val="00A459F5"/>
    <w:rsid w:val="00A45FC0"/>
    <w:rsid w:val="00A46B32"/>
    <w:rsid w:val="00A47ECC"/>
    <w:rsid w:val="00A5008C"/>
    <w:rsid w:val="00A50171"/>
    <w:rsid w:val="00A5102E"/>
    <w:rsid w:val="00A51083"/>
    <w:rsid w:val="00A5132E"/>
    <w:rsid w:val="00A51533"/>
    <w:rsid w:val="00A51E68"/>
    <w:rsid w:val="00A52F3B"/>
    <w:rsid w:val="00A531D4"/>
    <w:rsid w:val="00A55CFA"/>
    <w:rsid w:val="00A575B8"/>
    <w:rsid w:val="00A647B1"/>
    <w:rsid w:val="00A64DEF"/>
    <w:rsid w:val="00A65E4E"/>
    <w:rsid w:val="00A665DF"/>
    <w:rsid w:val="00A67F1B"/>
    <w:rsid w:val="00A67FCC"/>
    <w:rsid w:val="00A7217B"/>
    <w:rsid w:val="00A73067"/>
    <w:rsid w:val="00A737C4"/>
    <w:rsid w:val="00A739A6"/>
    <w:rsid w:val="00A75EF9"/>
    <w:rsid w:val="00A76BC9"/>
    <w:rsid w:val="00A8311C"/>
    <w:rsid w:val="00A84C5F"/>
    <w:rsid w:val="00A86973"/>
    <w:rsid w:val="00A8740B"/>
    <w:rsid w:val="00A87519"/>
    <w:rsid w:val="00A9246D"/>
    <w:rsid w:val="00A93644"/>
    <w:rsid w:val="00A93BD0"/>
    <w:rsid w:val="00A975A4"/>
    <w:rsid w:val="00AA2001"/>
    <w:rsid w:val="00AA2B5C"/>
    <w:rsid w:val="00AA5328"/>
    <w:rsid w:val="00AA5393"/>
    <w:rsid w:val="00AA63D4"/>
    <w:rsid w:val="00AB03FD"/>
    <w:rsid w:val="00AB257F"/>
    <w:rsid w:val="00AB34CA"/>
    <w:rsid w:val="00AB38CB"/>
    <w:rsid w:val="00AB3BEC"/>
    <w:rsid w:val="00AB44E4"/>
    <w:rsid w:val="00AB4AEB"/>
    <w:rsid w:val="00AB5352"/>
    <w:rsid w:val="00AB56AE"/>
    <w:rsid w:val="00AB62D5"/>
    <w:rsid w:val="00AB65B5"/>
    <w:rsid w:val="00AB6DCD"/>
    <w:rsid w:val="00AB6EE0"/>
    <w:rsid w:val="00AC2DFD"/>
    <w:rsid w:val="00AC3662"/>
    <w:rsid w:val="00AC40B7"/>
    <w:rsid w:val="00AC531F"/>
    <w:rsid w:val="00AC6121"/>
    <w:rsid w:val="00AC626D"/>
    <w:rsid w:val="00AC6CB1"/>
    <w:rsid w:val="00AD0091"/>
    <w:rsid w:val="00AD23D8"/>
    <w:rsid w:val="00AD23EF"/>
    <w:rsid w:val="00AD307B"/>
    <w:rsid w:val="00AD41B3"/>
    <w:rsid w:val="00AD4C48"/>
    <w:rsid w:val="00AD6267"/>
    <w:rsid w:val="00AD7317"/>
    <w:rsid w:val="00AD7EC5"/>
    <w:rsid w:val="00AE01A8"/>
    <w:rsid w:val="00AE0CBD"/>
    <w:rsid w:val="00AE123A"/>
    <w:rsid w:val="00AE28A7"/>
    <w:rsid w:val="00AE2BB5"/>
    <w:rsid w:val="00AE33A6"/>
    <w:rsid w:val="00AE3715"/>
    <w:rsid w:val="00AE3729"/>
    <w:rsid w:val="00AE55B2"/>
    <w:rsid w:val="00AE5C6A"/>
    <w:rsid w:val="00AE65F7"/>
    <w:rsid w:val="00AE7280"/>
    <w:rsid w:val="00AF033A"/>
    <w:rsid w:val="00AF1699"/>
    <w:rsid w:val="00AF278F"/>
    <w:rsid w:val="00AF3896"/>
    <w:rsid w:val="00AF6C33"/>
    <w:rsid w:val="00B0098A"/>
    <w:rsid w:val="00B00A5F"/>
    <w:rsid w:val="00B0225F"/>
    <w:rsid w:val="00B029B8"/>
    <w:rsid w:val="00B02F60"/>
    <w:rsid w:val="00B032B8"/>
    <w:rsid w:val="00B04B46"/>
    <w:rsid w:val="00B0534D"/>
    <w:rsid w:val="00B06368"/>
    <w:rsid w:val="00B06FC6"/>
    <w:rsid w:val="00B07163"/>
    <w:rsid w:val="00B12FE6"/>
    <w:rsid w:val="00B1303F"/>
    <w:rsid w:val="00B1364A"/>
    <w:rsid w:val="00B13D3C"/>
    <w:rsid w:val="00B16715"/>
    <w:rsid w:val="00B17910"/>
    <w:rsid w:val="00B20A7E"/>
    <w:rsid w:val="00B20F18"/>
    <w:rsid w:val="00B21516"/>
    <w:rsid w:val="00B22CE0"/>
    <w:rsid w:val="00B23738"/>
    <w:rsid w:val="00B23A9D"/>
    <w:rsid w:val="00B23BEF"/>
    <w:rsid w:val="00B247BB"/>
    <w:rsid w:val="00B25C11"/>
    <w:rsid w:val="00B25EDF"/>
    <w:rsid w:val="00B25EE6"/>
    <w:rsid w:val="00B3115A"/>
    <w:rsid w:val="00B31A5C"/>
    <w:rsid w:val="00B33C19"/>
    <w:rsid w:val="00B34861"/>
    <w:rsid w:val="00B369F7"/>
    <w:rsid w:val="00B36A99"/>
    <w:rsid w:val="00B36E33"/>
    <w:rsid w:val="00B42980"/>
    <w:rsid w:val="00B434B2"/>
    <w:rsid w:val="00B434C7"/>
    <w:rsid w:val="00B43D45"/>
    <w:rsid w:val="00B468F2"/>
    <w:rsid w:val="00B46B45"/>
    <w:rsid w:val="00B47286"/>
    <w:rsid w:val="00B47894"/>
    <w:rsid w:val="00B50234"/>
    <w:rsid w:val="00B51A7D"/>
    <w:rsid w:val="00B51BF4"/>
    <w:rsid w:val="00B52C68"/>
    <w:rsid w:val="00B542FE"/>
    <w:rsid w:val="00B55A1B"/>
    <w:rsid w:val="00B561DB"/>
    <w:rsid w:val="00B61DCE"/>
    <w:rsid w:val="00B62188"/>
    <w:rsid w:val="00B62467"/>
    <w:rsid w:val="00B62F79"/>
    <w:rsid w:val="00B62F82"/>
    <w:rsid w:val="00B648FA"/>
    <w:rsid w:val="00B662FF"/>
    <w:rsid w:val="00B730B4"/>
    <w:rsid w:val="00B74340"/>
    <w:rsid w:val="00B74F2F"/>
    <w:rsid w:val="00B756FB"/>
    <w:rsid w:val="00B769BC"/>
    <w:rsid w:val="00B77349"/>
    <w:rsid w:val="00B7761E"/>
    <w:rsid w:val="00B80A3D"/>
    <w:rsid w:val="00B823E0"/>
    <w:rsid w:val="00B82B78"/>
    <w:rsid w:val="00B84662"/>
    <w:rsid w:val="00B864A3"/>
    <w:rsid w:val="00B86C2A"/>
    <w:rsid w:val="00B902A5"/>
    <w:rsid w:val="00B90420"/>
    <w:rsid w:val="00B913E4"/>
    <w:rsid w:val="00B91DB9"/>
    <w:rsid w:val="00B93EFE"/>
    <w:rsid w:val="00B94956"/>
    <w:rsid w:val="00B94C7F"/>
    <w:rsid w:val="00B956B5"/>
    <w:rsid w:val="00B95C3A"/>
    <w:rsid w:val="00BA0D44"/>
    <w:rsid w:val="00BA0E26"/>
    <w:rsid w:val="00BA31BF"/>
    <w:rsid w:val="00BA43FC"/>
    <w:rsid w:val="00BA478B"/>
    <w:rsid w:val="00BA5224"/>
    <w:rsid w:val="00BA5F08"/>
    <w:rsid w:val="00BA7E3B"/>
    <w:rsid w:val="00BB079C"/>
    <w:rsid w:val="00BB39C1"/>
    <w:rsid w:val="00BB590A"/>
    <w:rsid w:val="00BB5D16"/>
    <w:rsid w:val="00BB6180"/>
    <w:rsid w:val="00BB69E6"/>
    <w:rsid w:val="00BC1B7A"/>
    <w:rsid w:val="00BC2B4D"/>
    <w:rsid w:val="00BC2BC7"/>
    <w:rsid w:val="00BC2C17"/>
    <w:rsid w:val="00BC3ACD"/>
    <w:rsid w:val="00BC6E73"/>
    <w:rsid w:val="00BD0014"/>
    <w:rsid w:val="00BD01D8"/>
    <w:rsid w:val="00BD2481"/>
    <w:rsid w:val="00BD2512"/>
    <w:rsid w:val="00BD255F"/>
    <w:rsid w:val="00BD383D"/>
    <w:rsid w:val="00BD4236"/>
    <w:rsid w:val="00BD5CCA"/>
    <w:rsid w:val="00BD5CD4"/>
    <w:rsid w:val="00BD6EF9"/>
    <w:rsid w:val="00BD77DD"/>
    <w:rsid w:val="00BE0ACB"/>
    <w:rsid w:val="00BE3537"/>
    <w:rsid w:val="00BE360F"/>
    <w:rsid w:val="00BE50FD"/>
    <w:rsid w:val="00BE51CA"/>
    <w:rsid w:val="00BE6D47"/>
    <w:rsid w:val="00BE7032"/>
    <w:rsid w:val="00BE7330"/>
    <w:rsid w:val="00BF01C5"/>
    <w:rsid w:val="00BF066A"/>
    <w:rsid w:val="00BF361C"/>
    <w:rsid w:val="00BF4342"/>
    <w:rsid w:val="00BF5050"/>
    <w:rsid w:val="00BF5422"/>
    <w:rsid w:val="00BF54CF"/>
    <w:rsid w:val="00BF59B1"/>
    <w:rsid w:val="00BF6A78"/>
    <w:rsid w:val="00BF6E19"/>
    <w:rsid w:val="00BF79B4"/>
    <w:rsid w:val="00C01427"/>
    <w:rsid w:val="00C016A1"/>
    <w:rsid w:val="00C04DD2"/>
    <w:rsid w:val="00C04E0A"/>
    <w:rsid w:val="00C050DE"/>
    <w:rsid w:val="00C058AF"/>
    <w:rsid w:val="00C10119"/>
    <w:rsid w:val="00C124C1"/>
    <w:rsid w:val="00C128AE"/>
    <w:rsid w:val="00C136D6"/>
    <w:rsid w:val="00C13D5B"/>
    <w:rsid w:val="00C17AE2"/>
    <w:rsid w:val="00C20F27"/>
    <w:rsid w:val="00C215CF"/>
    <w:rsid w:val="00C2244B"/>
    <w:rsid w:val="00C22B0D"/>
    <w:rsid w:val="00C240C1"/>
    <w:rsid w:val="00C250D0"/>
    <w:rsid w:val="00C252AC"/>
    <w:rsid w:val="00C255AB"/>
    <w:rsid w:val="00C27214"/>
    <w:rsid w:val="00C27597"/>
    <w:rsid w:val="00C30382"/>
    <w:rsid w:val="00C30D6F"/>
    <w:rsid w:val="00C31063"/>
    <w:rsid w:val="00C31B7E"/>
    <w:rsid w:val="00C3242A"/>
    <w:rsid w:val="00C32AE2"/>
    <w:rsid w:val="00C33201"/>
    <w:rsid w:val="00C332C4"/>
    <w:rsid w:val="00C360B3"/>
    <w:rsid w:val="00C3679B"/>
    <w:rsid w:val="00C37027"/>
    <w:rsid w:val="00C3778D"/>
    <w:rsid w:val="00C405A3"/>
    <w:rsid w:val="00C42752"/>
    <w:rsid w:val="00C42973"/>
    <w:rsid w:val="00C44F9C"/>
    <w:rsid w:val="00C4730E"/>
    <w:rsid w:val="00C5019C"/>
    <w:rsid w:val="00C5034F"/>
    <w:rsid w:val="00C52479"/>
    <w:rsid w:val="00C52C59"/>
    <w:rsid w:val="00C5349E"/>
    <w:rsid w:val="00C54467"/>
    <w:rsid w:val="00C54D3D"/>
    <w:rsid w:val="00C55A30"/>
    <w:rsid w:val="00C6028F"/>
    <w:rsid w:val="00C608F1"/>
    <w:rsid w:val="00C61253"/>
    <w:rsid w:val="00C631E1"/>
    <w:rsid w:val="00C638D8"/>
    <w:rsid w:val="00C63D26"/>
    <w:rsid w:val="00C641EB"/>
    <w:rsid w:val="00C65053"/>
    <w:rsid w:val="00C66F69"/>
    <w:rsid w:val="00C67223"/>
    <w:rsid w:val="00C67CFF"/>
    <w:rsid w:val="00C707B8"/>
    <w:rsid w:val="00C71C15"/>
    <w:rsid w:val="00C71F3D"/>
    <w:rsid w:val="00C72F53"/>
    <w:rsid w:val="00C74035"/>
    <w:rsid w:val="00C77818"/>
    <w:rsid w:val="00C77AE3"/>
    <w:rsid w:val="00C8063F"/>
    <w:rsid w:val="00C81549"/>
    <w:rsid w:val="00C829A1"/>
    <w:rsid w:val="00C83B36"/>
    <w:rsid w:val="00C84F8A"/>
    <w:rsid w:val="00C85209"/>
    <w:rsid w:val="00C8618F"/>
    <w:rsid w:val="00C90372"/>
    <w:rsid w:val="00C9041F"/>
    <w:rsid w:val="00C91A45"/>
    <w:rsid w:val="00C91ED2"/>
    <w:rsid w:val="00C91FB4"/>
    <w:rsid w:val="00C95745"/>
    <w:rsid w:val="00C962E3"/>
    <w:rsid w:val="00C965BD"/>
    <w:rsid w:val="00C97997"/>
    <w:rsid w:val="00CA0FAC"/>
    <w:rsid w:val="00CA25C0"/>
    <w:rsid w:val="00CA3451"/>
    <w:rsid w:val="00CA4948"/>
    <w:rsid w:val="00CA52F9"/>
    <w:rsid w:val="00CA568B"/>
    <w:rsid w:val="00CA7500"/>
    <w:rsid w:val="00CB19FE"/>
    <w:rsid w:val="00CB304C"/>
    <w:rsid w:val="00CB53E8"/>
    <w:rsid w:val="00CB594A"/>
    <w:rsid w:val="00CB5CB2"/>
    <w:rsid w:val="00CB6979"/>
    <w:rsid w:val="00CC0A3D"/>
    <w:rsid w:val="00CC2373"/>
    <w:rsid w:val="00CC3D24"/>
    <w:rsid w:val="00CC3F91"/>
    <w:rsid w:val="00CC4B0A"/>
    <w:rsid w:val="00CC544A"/>
    <w:rsid w:val="00CC57EA"/>
    <w:rsid w:val="00CC5954"/>
    <w:rsid w:val="00CC6C4E"/>
    <w:rsid w:val="00CD05A2"/>
    <w:rsid w:val="00CD19DA"/>
    <w:rsid w:val="00CD29D4"/>
    <w:rsid w:val="00CD38F5"/>
    <w:rsid w:val="00CD437E"/>
    <w:rsid w:val="00CD5A89"/>
    <w:rsid w:val="00CD5DAD"/>
    <w:rsid w:val="00CD72C5"/>
    <w:rsid w:val="00CD79A7"/>
    <w:rsid w:val="00CE0789"/>
    <w:rsid w:val="00CE1A03"/>
    <w:rsid w:val="00CE2346"/>
    <w:rsid w:val="00CE3529"/>
    <w:rsid w:val="00CE35C8"/>
    <w:rsid w:val="00CE3962"/>
    <w:rsid w:val="00CE5105"/>
    <w:rsid w:val="00CE56BD"/>
    <w:rsid w:val="00CE5EC0"/>
    <w:rsid w:val="00CE6F9F"/>
    <w:rsid w:val="00CE773B"/>
    <w:rsid w:val="00CE781A"/>
    <w:rsid w:val="00CF1D74"/>
    <w:rsid w:val="00CF2BE2"/>
    <w:rsid w:val="00CF55F9"/>
    <w:rsid w:val="00CF71A6"/>
    <w:rsid w:val="00CF7495"/>
    <w:rsid w:val="00D01CF9"/>
    <w:rsid w:val="00D0334D"/>
    <w:rsid w:val="00D0374D"/>
    <w:rsid w:val="00D05A76"/>
    <w:rsid w:val="00D07F1D"/>
    <w:rsid w:val="00D10558"/>
    <w:rsid w:val="00D1203E"/>
    <w:rsid w:val="00D13E70"/>
    <w:rsid w:val="00D16C58"/>
    <w:rsid w:val="00D17019"/>
    <w:rsid w:val="00D17EC6"/>
    <w:rsid w:val="00D21168"/>
    <w:rsid w:val="00D235C8"/>
    <w:rsid w:val="00D2438C"/>
    <w:rsid w:val="00D26C3F"/>
    <w:rsid w:val="00D27185"/>
    <w:rsid w:val="00D337AE"/>
    <w:rsid w:val="00D33AB3"/>
    <w:rsid w:val="00D33F24"/>
    <w:rsid w:val="00D346B7"/>
    <w:rsid w:val="00D346B8"/>
    <w:rsid w:val="00D35AC8"/>
    <w:rsid w:val="00D35D34"/>
    <w:rsid w:val="00D36F87"/>
    <w:rsid w:val="00D37E4E"/>
    <w:rsid w:val="00D42E6C"/>
    <w:rsid w:val="00D43B80"/>
    <w:rsid w:val="00D44236"/>
    <w:rsid w:val="00D45B1E"/>
    <w:rsid w:val="00D45BA4"/>
    <w:rsid w:val="00D46C80"/>
    <w:rsid w:val="00D471AF"/>
    <w:rsid w:val="00D4724F"/>
    <w:rsid w:val="00D50519"/>
    <w:rsid w:val="00D516A5"/>
    <w:rsid w:val="00D5264C"/>
    <w:rsid w:val="00D5289A"/>
    <w:rsid w:val="00D53704"/>
    <w:rsid w:val="00D537FE"/>
    <w:rsid w:val="00D538F0"/>
    <w:rsid w:val="00D54A6A"/>
    <w:rsid w:val="00D54BF8"/>
    <w:rsid w:val="00D54D7C"/>
    <w:rsid w:val="00D55951"/>
    <w:rsid w:val="00D572BE"/>
    <w:rsid w:val="00D57EB6"/>
    <w:rsid w:val="00D60ED7"/>
    <w:rsid w:val="00D63586"/>
    <w:rsid w:val="00D664BF"/>
    <w:rsid w:val="00D66D8B"/>
    <w:rsid w:val="00D72A1C"/>
    <w:rsid w:val="00D73580"/>
    <w:rsid w:val="00D73802"/>
    <w:rsid w:val="00D73868"/>
    <w:rsid w:val="00D73C2C"/>
    <w:rsid w:val="00D73D52"/>
    <w:rsid w:val="00D745E7"/>
    <w:rsid w:val="00D77495"/>
    <w:rsid w:val="00D774ED"/>
    <w:rsid w:val="00D77F88"/>
    <w:rsid w:val="00D818BD"/>
    <w:rsid w:val="00D81EAA"/>
    <w:rsid w:val="00D8259F"/>
    <w:rsid w:val="00D825F2"/>
    <w:rsid w:val="00D828B1"/>
    <w:rsid w:val="00D82D2F"/>
    <w:rsid w:val="00D84F27"/>
    <w:rsid w:val="00D873C6"/>
    <w:rsid w:val="00D94C7D"/>
    <w:rsid w:val="00D94CA4"/>
    <w:rsid w:val="00D95E99"/>
    <w:rsid w:val="00DA098C"/>
    <w:rsid w:val="00DA1A3A"/>
    <w:rsid w:val="00DA2C65"/>
    <w:rsid w:val="00DA2C69"/>
    <w:rsid w:val="00DA395D"/>
    <w:rsid w:val="00DB069E"/>
    <w:rsid w:val="00DB0C4D"/>
    <w:rsid w:val="00DB16B8"/>
    <w:rsid w:val="00DB1D52"/>
    <w:rsid w:val="00DB1F62"/>
    <w:rsid w:val="00DB2E03"/>
    <w:rsid w:val="00DB3742"/>
    <w:rsid w:val="00DB3F4B"/>
    <w:rsid w:val="00DB61A4"/>
    <w:rsid w:val="00DB67C1"/>
    <w:rsid w:val="00DB70CD"/>
    <w:rsid w:val="00DB70F4"/>
    <w:rsid w:val="00DC1056"/>
    <w:rsid w:val="00DC211E"/>
    <w:rsid w:val="00DC21D8"/>
    <w:rsid w:val="00DC282A"/>
    <w:rsid w:val="00DC34DC"/>
    <w:rsid w:val="00DC3CC6"/>
    <w:rsid w:val="00DC514A"/>
    <w:rsid w:val="00DC64EC"/>
    <w:rsid w:val="00DC67B1"/>
    <w:rsid w:val="00DC7833"/>
    <w:rsid w:val="00DD132B"/>
    <w:rsid w:val="00DD1725"/>
    <w:rsid w:val="00DD1CA6"/>
    <w:rsid w:val="00DD2A18"/>
    <w:rsid w:val="00DD5B1A"/>
    <w:rsid w:val="00DD61E8"/>
    <w:rsid w:val="00DD62C0"/>
    <w:rsid w:val="00DD7859"/>
    <w:rsid w:val="00DE03AC"/>
    <w:rsid w:val="00DE0A1D"/>
    <w:rsid w:val="00DE15B2"/>
    <w:rsid w:val="00DE1A9A"/>
    <w:rsid w:val="00DE3D2C"/>
    <w:rsid w:val="00DE5E82"/>
    <w:rsid w:val="00DE5FA6"/>
    <w:rsid w:val="00DE6494"/>
    <w:rsid w:val="00DE6AA1"/>
    <w:rsid w:val="00DE74D7"/>
    <w:rsid w:val="00DE7EF7"/>
    <w:rsid w:val="00DF1185"/>
    <w:rsid w:val="00DF1299"/>
    <w:rsid w:val="00DF1A70"/>
    <w:rsid w:val="00DF23A8"/>
    <w:rsid w:val="00DF2F27"/>
    <w:rsid w:val="00DF6CCC"/>
    <w:rsid w:val="00DF6D0C"/>
    <w:rsid w:val="00DF6F64"/>
    <w:rsid w:val="00DF721E"/>
    <w:rsid w:val="00DF7C87"/>
    <w:rsid w:val="00E009B0"/>
    <w:rsid w:val="00E03D5C"/>
    <w:rsid w:val="00E04C0F"/>
    <w:rsid w:val="00E0570B"/>
    <w:rsid w:val="00E057B2"/>
    <w:rsid w:val="00E05996"/>
    <w:rsid w:val="00E0767F"/>
    <w:rsid w:val="00E10B87"/>
    <w:rsid w:val="00E10EB0"/>
    <w:rsid w:val="00E1478B"/>
    <w:rsid w:val="00E14FAC"/>
    <w:rsid w:val="00E15007"/>
    <w:rsid w:val="00E16EC7"/>
    <w:rsid w:val="00E1714F"/>
    <w:rsid w:val="00E21576"/>
    <w:rsid w:val="00E219CE"/>
    <w:rsid w:val="00E23961"/>
    <w:rsid w:val="00E24071"/>
    <w:rsid w:val="00E24EBC"/>
    <w:rsid w:val="00E2522C"/>
    <w:rsid w:val="00E2599B"/>
    <w:rsid w:val="00E2793D"/>
    <w:rsid w:val="00E31AFA"/>
    <w:rsid w:val="00E324EE"/>
    <w:rsid w:val="00E359FF"/>
    <w:rsid w:val="00E37F1A"/>
    <w:rsid w:val="00E405F1"/>
    <w:rsid w:val="00E43054"/>
    <w:rsid w:val="00E46013"/>
    <w:rsid w:val="00E477C3"/>
    <w:rsid w:val="00E5048D"/>
    <w:rsid w:val="00E50AC4"/>
    <w:rsid w:val="00E51077"/>
    <w:rsid w:val="00E51E16"/>
    <w:rsid w:val="00E52151"/>
    <w:rsid w:val="00E53730"/>
    <w:rsid w:val="00E53C46"/>
    <w:rsid w:val="00E54511"/>
    <w:rsid w:val="00E55DC3"/>
    <w:rsid w:val="00E564AD"/>
    <w:rsid w:val="00E57577"/>
    <w:rsid w:val="00E62043"/>
    <w:rsid w:val="00E626B9"/>
    <w:rsid w:val="00E627C9"/>
    <w:rsid w:val="00E630F3"/>
    <w:rsid w:val="00E648CE"/>
    <w:rsid w:val="00E65198"/>
    <w:rsid w:val="00E664FB"/>
    <w:rsid w:val="00E66F0D"/>
    <w:rsid w:val="00E70615"/>
    <w:rsid w:val="00E7207B"/>
    <w:rsid w:val="00E7347A"/>
    <w:rsid w:val="00E75A47"/>
    <w:rsid w:val="00E75D8C"/>
    <w:rsid w:val="00E77771"/>
    <w:rsid w:val="00E777F2"/>
    <w:rsid w:val="00E802C9"/>
    <w:rsid w:val="00E80F0A"/>
    <w:rsid w:val="00E81A6A"/>
    <w:rsid w:val="00E8291B"/>
    <w:rsid w:val="00E8395F"/>
    <w:rsid w:val="00E85E41"/>
    <w:rsid w:val="00E85EA1"/>
    <w:rsid w:val="00E91044"/>
    <w:rsid w:val="00E910D3"/>
    <w:rsid w:val="00E923CF"/>
    <w:rsid w:val="00E9335F"/>
    <w:rsid w:val="00E95111"/>
    <w:rsid w:val="00EA14C8"/>
    <w:rsid w:val="00EA19D3"/>
    <w:rsid w:val="00EB05D0"/>
    <w:rsid w:val="00EB07C5"/>
    <w:rsid w:val="00EB1D49"/>
    <w:rsid w:val="00EB2834"/>
    <w:rsid w:val="00EB42DD"/>
    <w:rsid w:val="00EB559F"/>
    <w:rsid w:val="00EB5F3D"/>
    <w:rsid w:val="00EB6EC2"/>
    <w:rsid w:val="00EC1CEB"/>
    <w:rsid w:val="00EC268C"/>
    <w:rsid w:val="00EC3753"/>
    <w:rsid w:val="00EC3D46"/>
    <w:rsid w:val="00EC4E71"/>
    <w:rsid w:val="00EC6667"/>
    <w:rsid w:val="00ED0365"/>
    <w:rsid w:val="00ED0865"/>
    <w:rsid w:val="00ED1C60"/>
    <w:rsid w:val="00ED2EB9"/>
    <w:rsid w:val="00ED4469"/>
    <w:rsid w:val="00ED5F23"/>
    <w:rsid w:val="00ED6DC0"/>
    <w:rsid w:val="00ED79CE"/>
    <w:rsid w:val="00ED7A7A"/>
    <w:rsid w:val="00EE038C"/>
    <w:rsid w:val="00EE47C5"/>
    <w:rsid w:val="00EE490C"/>
    <w:rsid w:val="00EE613B"/>
    <w:rsid w:val="00EE7E17"/>
    <w:rsid w:val="00EF2C8E"/>
    <w:rsid w:val="00EF3A0D"/>
    <w:rsid w:val="00EF3CEB"/>
    <w:rsid w:val="00EF41A8"/>
    <w:rsid w:val="00EF44FB"/>
    <w:rsid w:val="00EF4D3C"/>
    <w:rsid w:val="00EF5554"/>
    <w:rsid w:val="00EF5AD8"/>
    <w:rsid w:val="00EF5D2F"/>
    <w:rsid w:val="00EF6758"/>
    <w:rsid w:val="00EF6B90"/>
    <w:rsid w:val="00EF79F7"/>
    <w:rsid w:val="00F00418"/>
    <w:rsid w:val="00F006C0"/>
    <w:rsid w:val="00F019AA"/>
    <w:rsid w:val="00F0267E"/>
    <w:rsid w:val="00F02686"/>
    <w:rsid w:val="00F0459B"/>
    <w:rsid w:val="00F04E15"/>
    <w:rsid w:val="00F05DF3"/>
    <w:rsid w:val="00F069EA"/>
    <w:rsid w:val="00F07B6E"/>
    <w:rsid w:val="00F11461"/>
    <w:rsid w:val="00F11675"/>
    <w:rsid w:val="00F1182D"/>
    <w:rsid w:val="00F12557"/>
    <w:rsid w:val="00F13A8F"/>
    <w:rsid w:val="00F144F8"/>
    <w:rsid w:val="00F14DF8"/>
    <w:rsid w:val="00F164A3"/>
    <w:rsid w:val="00F17AD9"/>
    <w:rsid w:val="00F17F74"/>
    <w:rsid w:val="00F202C2"/>
    <w:rsid w:val="00F22462"/>
    <w:rsid w:val="00F22756"/>
    <w:rsid w:val="00F23890"/>
    <w:rsid w:val="00F24638"/>
    <w:rsid w:val="00F2504D"/>
    <w:rsid w:val="00F2637F"/>
    <w:rsid w:val="00F268F7"/>
    <w:rsid w:val="00F3053D"/>
    <w:rsid w:val="00F30BDB"/>
    <w:rsid w:val="00F30CF8"/>
    <w:rsid w:val="00F31EDF"/>
    <w:rsid w:val="00F32CDE"/>
    <w:rsid w:val="00F32D4C"/>
    <w:rsid w:val="00F34811"/>
    <w:rsid w:val="00F34B14"/>
    <w:rsid w:val="00F36A6A"/>
    <w:rsid w:val="00F40101"/>
    <w:rsid w:val="00F404F7"/>
    <w:rsid w:val="00F40CCA"/>
    <w:rsid w:val="00F41521"/>
    <w:rsid w:val="00F42943"/>
    <w:rsid w:val="00F42D97"/>
    <w:rsid w:val="00F43F09"/>
    <w:rsid w:val="00F45A72"/>
    <w:rsid w:val="00F46723"/>
    <w:rsid w:val="00F50016"/>
    <w:rsid w:val="00F50647"/>
    <w:rsid w:val="00F5118A"/>
    <w:rsid w:val="00F51A21"/>
    <w:rsid w:val="00F5276E"/>
    <w:rsid w:val="00F52E9F"/>
    <w:rsid w:val="00F53304"/>
    <w:rsid w:val="00F53D40"/>
    <w:rsid w:val="00F545ED"/>
    <w:rsid w:val="00F5687F"/>
    <w:rsid w:val="00F575C7"/>
    <w:rsid w:val="00F60305"/>
    <w:rsid w:val="00F61B12"/>
    <w:rsid w:val="00F61D43"/>
    <w:rsid w:val="00F62398"/>
    <w:rsid w:val="00F63223"/>
    <w:rsid w:val="00F63264"/>
    <w:rsid w:val="00F6379E"/>
    <w:rsid w:val="00F67FA8"/>
    <w:rsid w:val="00F70799"/>
    <w:rsid w:val="00F70A8B"/>
    <w:rsid w:val="00F724FB"/>
    <w:rsid w:val="00F72A26"/>
    <w:rsid w:val="00F733C3"/>
    <w:rsid w:val="00F756DD"/>
    <w:rsid w:val="00F80047"/>
    <w:rsid w:val="00F8104D"/>
    <w:rsid w:val="00F81587"/>
    <w:rsid w:val="00F82571"/>
    <w:rsid w:val="00F85B72"/>
    <w:rsid w:val="00F8766F"/>
    <w:rsid w:val="00F91082"/>
    <w:rsid w:val="00F91A9A"/>
    <w:rsid w:val="00F938A3"/>
    <w:rsid w:val="00F93ABB"/>
    <w:rsid w:val="00F94D79"/>
    <w:rsid w:val="00FA118A"/>
    <w:rsid w:val="00FA31C7"/>
    <w:rsid w:val="00FA472D"/>
    <w:rsid w:val="00FA7254"/>
    <w:rsid w:val="00FB18F6"/>
    <w:rsid w:val="00FB2A52"/>
    <w:rsid w:val="00FB2CFF"/>
    <w:rsid w:val="00FB6E19"/>
    <w:rsid w:val="00FB71F6"/>
    <w:rsid w:val="00FC1483"/>
    <w:rsid w:val="00FC1C47"/>
    <w:rsid w:val="00FC39ED"/>
    <w:rsid w:val="00FC4419"/>
    <w:rsid w:val="00FC47E2"/>
    <w:rsid w:val="00FC4AA5"/>
    <w:rsid w:val="00FC5148"/>
    <w:rsid w:val="00FC75AC"/>
    <w:rsid w:val="00FD01BF"/>
    <w:rsid w:val="00FD0525"/>
    <w:rsid w:val="00FD297D"/>
    <w:rsid w:val="00FD2D13"/>
    <w:rsid w:val="00FD3D26"/>
    <w:rsid w:val="00FD4789"/>
    <w:rsid w:val="00FD6071"/>
    <w:rsid w:val="00FE0794"/>
    <w:rsid w:val="00FE1041"/>
    <w:rsid w:val="00FE24CB"/>
    <w:rsid w:val="00FE3166"/>
    <w:rsid w:val="00FE3473"/>
    <w:rsid w:val="00FE353B"/>
    <w:rsid w:val="00FE4049"/>
    <w:rsid w:val="00FE4794"/>
    <w:rsid w:val="00FE55E3"/>
    <w:rsid w:val="00FE5DF7"/>
    <w:rsid w:val="00FE5F72"/>
    <w:rsid w:val="00FF0231"/>
    <w:rsid w:val="00FF1C9B"/>
    <w:rsid w:val="00FF1D49"/>
    <w:rsid w:val="00FF2562"/>
    <w:rsid w:val="00FF3A41"/>
    <w:rsid w:val="00FF3E5B"/>
    <w:rsid w:val="00FF544F"/>
    <w:rsid w:val="00FF57E4"/>
    <w:rsid w:val="00FF7038"/>
    <w:rsid w:val="00FF78E5"/>
    <w:rsid w:val="010A6AC2"/>
    <w:rsid w:val="010E3A48"/>
    <w:rsid w:val="015C2B0C"/>
    <w:rsid w:val="01681CBC"/>
    <w:rsid w:val="017E688C"/>
    <w:rsid w:val="01B31C9D"/>
    <w:rsid w:val="01E21263"/>
    <w:rsid w:val="01F0072A"/>
    <w:rsid w:val="024141DC"/>
    <w:rsid w:val="02511F9D"/>
    <w:rsid w:val="028C0828"/>
    <w:rsid w:val="02BA5D3C"/>
    <w:rsid w:val="030661AE"/>
    <w:rsid w:val="031552A3"/>
    <w:rsid w:val="03454B13"/>
    <w:rsid w:val="03610A19"/>
    <w:rsid w:val="037203C5"/>
    <w:rsid w:val="03A314B8"/>
    <w:rsid w:val="03B9447C"/>
    <w:rsid w:val="03D62253"/>
    <w:rsid w:val="03D82B98"/>
    <w:rsid w:val="03E6079F"/>
    <w:rsid w:val="03F5648C"/>
    <w:rsid w:val="03F83E8B"/>
    <w:rsid w:val="03FE4420"/>
    <w:rsid w:val="041B280B"/>
    <w:rsid w:val="04673CA2"/>
    <w:rsid w:val="04830ABA"/>
    <w:rsid w:val="055573CF"/>
    <w:rsid w:val="056D432C"/>
    <w:rsid w:val="05736DE9"/>
    <w:rsid w:val="0580501B"/>
    <w:rsid w:val="05AA0CAF"/>
    <w:rsid w:val="05C47AC7"/>
    <w:rsid w:val="05E60AF0"/>
    <w:rsid w:val="061130E9"/>
    <w:rsid w:val="063A2BED"/>
    <w:rsid w:val="079C1E7E"/>
    <w:rsid w:val="07B72767"/>
    <w:rsid w:val="07FF77C0"/>
    <w:rsid w:val="08077E72"/>
    <w:rsid w:val="08181C5D"/>
    <w:rsid w:val="08206641"/>
    <w:rsid w:val="0831084F"/>
    <w:rsid w:val="083566D7"/>
    <w:rsid w:val="085D4A47"/>
    <w:rsid w:val="086C1887"/>
    <w:rsid w:val="08D51B22"/>
    <w:rsid w:val="08F10C36"/>
    <w:rsid w:val="08FD1E97"/>
    <w:rsid w:val="095F3DEF"/>
    <w:rsid w:val="096802A0"/>
    <w:rsid w:val="098032F7"/>
    <w:rsid w:val="099C5FE3"/>
    <w:rsid w:val="09CC2AAC"/>
    <w:rsid w:val="0A4D4AAB"/>
    <w:rsid w:val="0A652D3E"/>
    <w:rsid w:val="0A6C1F46"/>
    <w:rsid w:val="0ACA69ED"/>
    <w:rsid w:val="0B512DDC"/>
    <w:rsid w:val="0B56533F"/>
    <w:rsid w:val="0B5A00BC"/>
    <w:rsid w:val="0B7327E9"/>
    <w:rsid w:val="0B845139"/>
    <w:rsid w:val="0BAA7ED4"/>
    <w:rsid w:val="0C324B95"/>
    <w:rsid w:val="0C431C22"/>
    <w:rsid w:val="0C92213C"/>
    <w:rsid w:val="0C9E6D20"/>
    <w:rsid w:val="0D3F3C5E"/>
    <w:rsid w:val="0D7C0282"/>
    <w:rsid w:val="0D84032B"/>
    <w:rsid w:val="0E39045D"/>
    <w:rsid w:val="0E77360F"/>
    <w:rsid w:val="0E943A2C"/>
    <w:rsid w:val="0EA36BA7"/>
    <w:rsid w:val="0ED76940"/>
    <w:rsid w:val="0F0132DD"/>
    <w:rsid w:val="0FB629D0"/>
    <w:rsid w:val="105C384D"/>
    <w:rsid w:val="106856AD"/>
    <w:rsid w:val="10700AF4"/>
    <w:rsid w:val="10A27F31"/>
    <w:rsid w:val="10CB6CDF"/>
    <w:rsid w:val="11217042"/>
    <w:rsid w:val="11665BE8"/>
    <w:rsid w:val="11767E7A"/>
    <w:rsid w:val="11927058"/>
    <w:rsid w:val="11B828FA"/>
    <w:rsid w:val="11E608FC"/>
    <w:rsid w:val="12157EEA"/>
    <w:rsid w:val="122709C8"/>
    <w:rsid w:val="12303CFB"/>
    <w:rsid w:val="12790002"/>
    <w:rsid w:val="12B37438"/>
    <w:rsid w:val="12DC47AC"/>
    <w:rsid w:val="13AF4F03"/>
    <w:rsid w:val="13B608AB"/>
    <w:rsid w:val="13D77F15"/>
    <w:rsid w:val="14213E6D"/>
    <w:rsid w:val="143C7D16"/>
    <w:rsid w:val="14485052"/>
    <w:rsid w:val="14550AF1"/>
    <w:rsid w:val="14736E66"/>
    <w:rsid w:val="14853EF0"/>
    <w:rsid w:val="14CE2396"/>
    <w:rsid w:val="14F91A9D"/>
    <w:rsid w:val="15035321"/>
    <w:rsid w:val="1534169A"/>
    <w:rsid w:val="15670BBB"/>
    <w:rsid w:val="157417DA"/>
    <w:rsid w:val="15C03E03"/>
    <w:rsid w:val="15E84E09"/>
    <w:rsid w:val="162A25EB"/>
    <w:rsid w:val="16556050"/>
    <w:rsid w:val="16593752"/>
    <w:rsid w:val="16C1253D"/>
    <w:rsid w:val="16CA79EE"/>
    <w:rsid w:val="16F5338F"/>
    <w:rsid w:val="16FD2A55"/>
    <w:rsid w:val="16FE3B19"/>
    <w:rsid w:val="17366761"/>
    <w:rsid w:val="177C01F0"/>
    <w:rsid w:val="178911F6"/>
    <w:rsid w:val="17CE6630"/>
    <w:rsid w:val="182A65A8"/>
    <w:rsid w:val="182B183B"/>
    <w:rsid w:val="18622CA6"/>
    <w:rsid w:val="187205F4"/>
    <w:rsid w:val="187B76D8"/>
    <w:rsid w:val="18804D3F"/>
    <w:rsid w:val="18950986"/>
    <w:rsid w:val="18C06BA8"/>
    <w:rsid w:val="18C63235"/>
    <w:rsid w:val="18CD0120"/>
    <w:rsid w:val="194A1770"/>
    <w:rsid w:val="194C70F6"/>
    <w:rsid w:val="19906F21"/>
    <w:rsid w:val="19BE5CBA"/>
    <w:rsid w:val="19CC171C"/>
    <w:rsid w:val="19DA668D"/>
    <w:rsid w:val="19EB2693"/>
    <w:rsid w:val="19F94921"/>
    <w:rsid w:val="1A225332"/>
    <w:rsid w:val="1A49190A"/>
    <w:rsid w:val="1A67159F"/>
    <w:rsid w:val="1A6B57AD"/>
    <w:rsid w:val="1A864A2A"/>
    <w:rsid w:val="1A902549"/>
    <w:rsid w:val="1A95517C"/>
    <w:rsid w:val="1AA03302"/>
    <w:rsid w:val="1ABE7431"/>
    <w:rsid w:val="1AD10BB7"/>
    <w:rsid w:val="1AD115B9"/>
    <w:rsid w:val="1AFA16D5"/>
    <w:rsid w:val="1AFB7EAA"/>
    <w:rsid w:val="1AFC6A9A"/>
    <w:rsid w:val="1B1028A4"/>
    <w:rsid w:val="1B4F19F8"/>
    <w:rsid w:val="1BD731D5"/>
    <w:rsid w:val="1BE55D0B"/>
    <w:rsid w:val="1BF62C01"/>
    <w:rsid w:val="1BF9122C"/>
    <w:rsid w:val="1C033E58"/>
    <w:rsid w:val="1C0A74E2"/>
    <w:rsid w:val="1C15085C"/>
    <w:rsid w:val="1C386F93"/>
    <w:rsid w:val="1C3D05CC"/>
    <w:rsid w:val="1C5170A2"/>
    <w:rsid w:val="1CB3247F"/>
    <w:rsid w:val="1CC1354F"/>
    <w:rsid w:val="1CE84771"/>
    <w:rsid w:val="1D44124E"/>
    <w:rsid w:val="1D975004"/>
    <w:rsid w:val="1E143755"/>
    <w:rsid w:val="1E2E4738"/>
    <w:rsid w:val="1E360515"/>
    <w:rsid w:val="1E505E4A"/>
    <w:rsid w:val="1EBF050A"/>
    <w:rsid w:val="1ECB1F8C"/>
    <w:rsid w:val="1F05646C"/>
    <w:rsid w:val="1F063325"/>
    <w:rsid w:val="1F130856"/>
    <w:rsid w:val="1F291E28"/>
    <w:rsid w:val="1F457193"/>
    <w:rsid w:val="1F4B7FF0"/>
    <w:rsid w:val="1F4D6E49"/>
    <w:rsid w:val="1F587B1B"/>
    <w:rsid w:val="1FBC5DF5"/>
    <w:rsid w:val="1FD33DAA"/>
    <w:rsid w:val="1FDC7402"/>
    <w:rsid w:val="1FF73CD4"/>
    <w:rsid w:val="205C3ECE"/>
    <w:rsid w:val="2080575F"/>
    <w:rsid w:val="21233C07"/>
    <w:rsid w:val="214967B1"/>
    <w:rsid w:val="21813242"/>
    <w:rsid w:val="21B83F86"/>
    <w:rsid w:val="21DF199A"/>
    <w:rsid w:val="22073864"/>
    <w:rsid w:val="221178A8"/>
    <w:rsid w:val="221213CF"/>
    <w:rsid w:val="22327A92"/>
    <w:rsid w:val="223D05B6"/>
    <w:rsid w:val="224376A4"/>
    <w:rsid w:val="22A940C6"/>
    <w:rsid w:val="23007343"/>
    <w:rsid w:val="23052BAC"/>
    <w:rsid w:val="23144B9D"/>
    <w:rsid w:val="23153ACC"/>
    <w:rsid w:val="231555D9"/>
    <w:rsid w:val="231762A1"/>
    <w:rsid w:val="231D53A2"/>
    <w:rsid w:val="23B7504C"/>
    <w:rsid w:val="23D47C42"/>
    <w:rsid w:val="23DC390D"/>
    <w:rsid w:val="23F43D7F"/>
    <w:rsid w:val="241711E8"/>
    <w:rsid w:val="24571307"/>
    <w:rsid w:val="24802302"/>
    <w:rsid w:val="2483647E"/>
    <w:rsid w:val="249261FF"/>
    <w:rsid w:val="24AF4B24"/>
    <w:rsid w:val="24BA3AE7"/>
    <w:rsid w:val="24DB2B05"/>
    <w:rsid w:val="24EE1FC3"/>
    <w:rsid w:val="24F04C89"/>
    <w:rsid w:val="24FF18C5"/>
    <w:rsid w:val="25343050"/>
    <w:rsid w:val="2537304D"/>
    <w:rsid w:val="25951FC5"/>
    <w:rsid w:val="25BD046F"/>
    <w:rsid w:val="25CC717B"/>
    <w:rsid w:val="26446DE3"/>
    <w:rsid w:val="26A853EA"/>
    <w:rsid w:val="26D7699F"/>
    <w:rsid w:val="26DD00C8"/>
    <w:rsid w:val="26DD7622"/>
    <w:rsid w:val="274A3283"/>
    <w:rsid w:val="279C73CC"/>
    <w:rsid w:val="27C571A4"/>
    <w:rsid w:val="27FE1E36"/>
    <w:rsid w:val="283E1E92"/>
    <w:rsid w:val="28447CD2"/>
    <w:rsid w:val="28B04701"/>
    <w:rsid w:val="28DF1432"/>
    <w:rsid w:val="28EA1EBD"/>
    <w:rsid w:val="28F724A1"/>
    <w:rsid w:val="295833A0"/>
    <w:rsid w:val="298975AD"/>
    <w:rsid w:val="29CC556A"/>
    <w:rsid w:val="29D86924"/>
    <w:rsid w:val="29E05285"/>
    <w:rsid w:val="29ED1565"/>
    <w:rsid w:val="2A3D2C2B"/>
    <w:rsid w:val="2A4A62C1"/>
    <w:rsid w:val="2A7A0114"/>
    <w:rsid w:val="2A884656"/>
    <w:rsid w:val="2A973C48"/>
    <w:rsid w:val="2AC371C6"/>
    <w:rsid w:val="2AC91D50"/>
    <w:rsid w:val="2AFA0B1C"/>
    <w:rsid w:val="2AFA4C4F"/>
    <w:rsid w:val="2AFC6824"/>
    <w:rsid w:val="2B774624"/>
    <w:rsid w:val="2BA967CA"/>
    <w:rsid w:val="2BAA0794"/>
    <w:rsid w:val="2BAA40D8"/>
    <w:rsid w:val="2BB233F2"/>
    <w:rsid w:val="2BB7794B"/>
    <w:rsid w:val="2BEC4909"/>
    <w:rsid w:val="2BF37A45"/>
    <w:rsid w:val="2C3047F6"/>
    <w:rsid w:val="2C6B68DB"/>
    <w:rsid w:val="2C7A72BE"/>
    <w:rsid w:val="2C9760AE"/>
    <w:rsid w:val="2C9B3939"/>
    <w:rsid w:val="2C9E3E55"/>
    <w:rsid w:val="2D0B1BDD"/>
    <w:rsid w:val="2D2024F6"/>
    <w:rsid w:val="2DAC09D2"/>
    <w:rsid w:val="2DDB4C35"/>
    <w:rsid w:val="2DFC60C9"/>
    <w:rsid w:val="2E006A4C"/>
    <w:rsid w:val="2EA3432C"/>
    <w:rsid w:val="2EE23DA1"/>
    <w:rsid w:val="2F2E23F4"/>
    <w:rsid w:val="2F401D3C"/>
    <w:rsid w:val="2F4411A1"/>
    <w:rsid w:val="2F4546D7"/>
    <w:rsid w:val="2F7158C0"/>
    <w:rsid w:val="2F863070"/>
    <w:rsid w:val="2F8A6913"/>
    <w:rsid w:val="2FA6241C"/>
    <w:rsid w:val="2FA95C88"/>
    <w:rsid w:val="30087984"/>
    <w:rsid w:val="30365340"/>
    <w:rsid w:val="3041370F"/>
    <w:rsid w:val="304B663F"/>
    <w:rsid w:val="305E56A9"/>
    <w:rsid w:val="30640F12"/>
    <w:rsid w:val="3086719A"/>
    <w:rsid w:val="30BF332D"/>
    <w:rsid w:val="30C714A1"/>
    <w:rsid w:val="30E9621E"/>
    <w:rsid w:val="312745E0"/>
    <w:rsid w:val="31592A40"/>
    <w:rsid w:val="317867ED"/>
    <w:rsid w:val="318F6462"/>
    <w:rsid w:val="31C84EBF"/>
    <w:rsid w:val="31CE6A76"/>
    <w:rsid w:val="31D577FD"/>
    <w:rsid w:val="322223F3"/>
    <w:rsid w:val="32453A27"/>
    <w:rsid w:val="3263064A"/>
    <w:rsid w:val="328624A5"/>
    <w:rsid w:val="32874E49"/>
    <w:rsid w:val="32AC0C06"/>
    <w:rsid w:val="32B24DB7"/>
    <w:rsid w:val="32D3237F"/>
    <w:rsid w:val="333F7A14"/>
    <w:rsid w:val="33462B51"/>
    <w:rsid w:val="335039CF"/>
    <w:rsid w:val="341744ED"/>
    <w:rsid w:val="343717DA"/>
    <w:rsid w:val="347D3D46"/>
    <w:rsid w:val="34B73B82"/>
    <w:rsid w:val="34C77E21"/>
    <w:rsid w:val="34CA155F"/>
    <w:rsid w:val="34DE302A"/>
    <w:rsid w:val="34F238C0"/>
    <w:rsid w:val="35016B9E"/>
    <w:rsid w:val="3521112D"/>
    <w:rsid w:val="3537750C"/>
    <w:rsid w:val="3537798C"/>
    <w:rsid w:val="35682AE7"/>
    <w:rsid w:val="35B5458F"/>
    <w:rsid w:val="35C13FC9"/>
    <w:rsid w:val="363A25DE"/>
    <w:rsid w:val="363B770D"/>
    <w:rsid w:val="364257B6"/>
    <w:rsid w:val="374264D3"/>
    <w:rsid w:val="378A1162"/>
    <w:rsid w:val="378F7A82"/>
    <w:rsid w:val="37AB6741"/>
    <w:rsid w:val="37CA63C7"/>
    <w:rsid w:val="37DB7874"/>
    <w:rsid w:val="37EA5922"/>
    <w:rsid w:val="38276B93"/>
    <w:rsid w:val="385E17EC"/>
    <w:rsid w:val="386760A6"/>
    <w:rsid w:val="388A2DB6"/>
    <w:rsid w:val="3890317C"/>
    <w:rsid w:val="38C34710"/>
    <w:rsid w:val="38DA0A92"/>
    <w:rsid w:val="38FB7DDE"/>
    <w:rsid w:val="395D0BF4"/>
    <w:rsid w:val="395D293D"/>
    <w:rsid w:val="39700FE6"/>
    <w:rsid w:val="39C26CA9"/>
    <w:rsid w:val="39DF5AAD"/>
    <w:rsid w:val="3A0B64A7"/>
    <w:rsid w:val="3A290B99"/>
    <w:rsid w:val="3A2C5026"/>
    <w:rsid w:val="3A956648"/>
    <w:rsid w:val="3ABE0D08"/>
    <w:rsid w:val="3AF74C02"/>
    <w:rsid w:val="3B2B5BDA"/>
    <w:rsid w:val="3B3263D1"/>
    <w:rsid w:val="3B590826"/>
    <w:rsid w:val="3B5B1163"/>
    <w:rsid w:val="3BEE1FD7"/>
    <w:rsid w:val="3C0059A5"/>
    <w:rsid w:val="3C134E78"/>
    <w:rsid w:val="3C153BDD"/>
    <w:rsid w:val="3C425AB9"/>
    <w:rsid w:val="3C4750DC"/>
    <w:rsid w:val="3C666012"/>
    <w:rsid w:val="3C6E4331"/>
    <w:rsid w:val="3C9F28FD"/>
    <w:rsid w:val="3C9F32D2"/>
    <w:rsid w:val="3D755CE2"/>
    <w:rsid w:val="3DE43692"/>
    <w:rsid w:val="3DF6345D"/>
    <w:rsid w:val="3DF77869"/>
    <w:rsid w:val="3E2429A0"/>
    <w:rsid w:val="3E247F32"/>
    <w:rsid w:val="3E4378EC"/>
    <w:rsid w:val="3E595E2E"/>
    <w:rsid w:val="3E635F33"/>
    <w:rsid w:val="3EE13701"/>
    <w:rsid w:val="3F06275E"/>
    <w:rsid w:val="3F1A4BB3"/>
    <w:rsid w:val="3F255D10"/>
    <w:rsid w:val="3F412F4F"/>
    <w:rsid w:val="3F5D3740"/>
    <w:rsid w:val="3F7A4692"/>
    <w:rsid w:val="3F911751"/>
    <w:rsid w:val="3FAF4A2B"/>
    <w:rsid w:val="3FCD7335"/>
    <w:rsid w:val="401364B0"/>
    <w:rsid w:val="40192BA6"/>
    <w:rsid w:val="401A15ED"/>
    <w:rsid w:val="40486D51"/>
    <w:rsid w:val="406B4C56"/>
    <w:rsid w:val="407D78E1"/>
    <w:rsid w:val="40896772"/>
    <w:rsid w:val="4091778D"/>
    <w:rsid w:val="40E62EC3"/>
    <w:rsid w:val="40E75429"/>
    <w:rsid w:val="41003938"/>
    <w:rsid w:val="413C7C8A"/>
    <w:rsid w:val="4141009C"/>
    <w:rsid w:val="41637842"/>
    <w:rsid w:val="416A3AC1"/>
    <w:rsid w:val="41D37CA5"/>
    <w:rsid w:val="42511F4D"/>
    <w:rsid w:val="42550A18"/>
    <w:rsid w:val="4276163D"/>
    <w:rsid w:val="42A11B51"/>
    <w:rsid w:val="42DF5825"/>
    <w:rsid w:val="42F473A1"/>
    <w:rsid w:val="438E6815"/>
    <w:rsid w:val="43AA5CE9"/>
    <w:rsid w:val="44103E37"/>
    <w:rsid w:val="441E62C0"/>
    <w:rsid w:val="4426690F"/>
    <w:rsid w:val="443237DE"/>
    <w:rsid w:val="44942A12"/>
    <w:rsid w:val="44C61D43"/>
    <w:rsid w:val="44CA6741"/>
    <w:rsid w:val="44CF5BAF"/>
    <w:rsid w:val="44E64001"/>
    <w:rsid w:val="451C1963"/>
    <w:rsid w:val="451F5963"/>
    <w:rsid w:val="455E1F7C"/>
    <w:rsid w:val="45811C7C"/>
    <w:rsid w:val="459C531C"/>
    <w:rsid w:val="45A61CED"/>
    <w:rsid w:val="462F56C6"/>
    <w:rsid w:val="465C2A22"/>
    <w:rsid w:val="46731A57"/>
    <w:rsid w:val="468B3EFB"/>
    <w:rsid w:val="469E5ADC"/>
    <w:rsid w:val="46A82CC2"/>
    <w:rsid w:val="46EB7AE7"/>
    <w:rsid w:val="470A6193"/>
    <w:rsid w:val="471072A6"/>
    <w:rsid w:val="472F43EC"/>
    <w:rsid w:val="47632E4D"/>
    <w:rsid w:val="477B49C0"/>
    <w:rsid w:val="47B430FD"/>
    <w:rsid w:val="47BC4133"/>
    <w:rsid w:val="47DC4F5C"/>
    <w:rsid w:val="47F470DF"/>
    <w:rsid w:val="47FD517A"/>
    <w:rsid w:val="4813604D"/>
    <w:rsid w:val="48587275"/>
    <w:rsid w:val="487505EB"/>
    <w:rsid w:val="487E491C"/>
    <w:rsid w:val="48B01114"/>
    <w:rsid w:val="48B40671"/>
    <w:rsid w:val="48C06AA9"/>
    <w:rsid w:val="48D71B69"/>
    <w:rsid w:val="491017DF"/>
    <w:rsid w:val="49285E5D"/>
    <w:rsid w:val="497F04AA"/>
    <w:rsid w:val="498E3401"/>
    <w:rsid w:val="499B5738"/>
    <w:rsid w:val="499E328F"/>
    <w:rsid w:val="499F244D"/>
    <w:rsid w:val="49B22896"/>
    <w:rsid w:val="49EF6C6C"/>
    <w:rsid w:val="4A8F58C2"/>
    <w:rsid w:val="4AA04DE4"/>
    <w:rsid w:val="4AA93C99"/>
    <w:rsid w:val="4AD36CBA"/>
    <w:rsid w:val="4AF1449E"/>
    <w:rsid w:val="4AF96BC7"/>
    <w:rsid w:val="4B3D75FD"/>
    <w:rsid w:val="4B4503C2"/>
    <w:rsid w:val="4B502515"/>
    <w:rsid w:val="4B6A13C6"/>
    <w:rsid w:val="4B700B92"/>
    <w:rsid w:val="4B8E10E1"/>
    <w:rsid w:val="4BA30B99"/>
    <w:rsid w:val="4BC00777"/>
    <w:rsid w:val="4BC30D8B"/>
    <w:rsid w:val="4BF67355"/>
    <w:rsid w:val="4BFC5DBD"/>
    <w:rsid w:val="4C0B44E0"/>
    <w:rsid w:val="4C1D608B"/>
    <w:rsid w:val="4C2A0E0A"/>
    <w:rsid w:val="4C4A0834"/>
    <w:rsid w:val="4C684666"/>
    <w:rsid w:val="4C7B4F91"/>
    <w:rsid w:val="4CAA7324"/>
    <w:rsid w:val="4CEF36E2"/>
    <w:rsid w:val="4D21045F"/>
    <w:rsid w:val="4D333749"/>
    <w:rsid w:val="4D665E71"/>
    <w:rsid w:val="4D68289F"/>
    <w:rsid w:val="4D6B4117"/>
    <w:rsid w:val="4D7E6697"/>
    <w:rsid w:val="4DCD5EF0"/>
    <w:rsid w:val="4DD728CB"/>
    <w:rsid w:val="4DE350EA"/>
    <w:rsid w:val="4DF72F6D"/>
    <w:rsid w:val="4E041B47"/>
    <w:rsid w:val="4E127DA7"/>
    <w:rsid w:val="4E19509F"/>
    <w:rsid w:val="4E1D19BC"/>
    <w:rsid w:val="4E1D378E"/>
    <w:rsid w:val="4E46000C"/>
    <w:rsid w:val="4E462190"/>
    <w:rsid w:val="4E622DAA"/>
    <w:rsid w:val="4E844A44"/>
    <w:rsid w:val="4ECD65B5"/>
    <w:rsid w:val="4EE13E45"/>
    <w:rsid w:val="4F091BBC"/>
    <w:rsid w:val="4F2D4A57"/>
    <w:rsid w:val="4F372FFB"/>
    <w:rsid w:val="4F3B332E"/>
    <w:rsid w:val="4F5044F4"/>
    <w:rsid w:val="4F896C14"/>
    <w:rsid w:val="4FA113E3"/>
    <w:rsid w:val="501D1B53"/>
    <w:rsid w:val="50A93C32"/>
    <w:rsid w:val="50BD049E"/>
    <w:rsid w:val="50CB2AD7"/>
    <w:rsid w:val="51143A3F"/>
    <w:rsid w:val="51270797"/>
    <w:rsid w:val="514E3E6F"/>
    <w:rsid w:val="517B2107"/>
    <w:rsid w:val="519B6306"/>
    <w:rsid w:val="51E37B44"/>
    <w:rsid w:val="51F021AD"/>
    <w:rsid w:val="51F10316"/>
    <w:rsid w:val="522807D5"/>
    <w:rsid w:val="52446209"/>
    <w:rsid w:val="524B2A87"/>
    <w:rsid w:val="52620362"/>
    <w:rsid w:val="52740371"/>
    <w:rsid w:val="52831C8B"/>
    <w:rsid w:val="52BF46A2"/>
    <w:rsid w:val="52C10D75"/>
    <w:rsid w:val="52E76579"/>
    <w:rsid w:val="52EF5D1F"/>
    <w:rsid w:val="52F061DD"/>
    <w:rsid w:val="52F62F82"/>
    <w:rsid w:val="534E7D13"/>
    <w:rsid w:val="53560736"/>
    <w:rsid w:val="53740BBC"/>
    <w:rsid w:val="539C5F36"/>
    <w:rsid w:val="53A944D4"/>
    <w:rsid w:val="53C32326"/>
    <w:rsid w:val="541F4FCC"/>
    <w:rsid w:val="54264468"/>
    <w:rsid w:val="543F21B6"/>
    <w:rsid w:val="544A574F"/>
    <w:rsid w:val="54C53AF2"/>
    <w:rsid w:val="54EE6300"/>
    <w:rsid w:val="550A4D3D"/>
    <w:rsid w:val="550C4BD7"/>
    <w:rsid w:val="55173B85"/>
    <w:rsid w:val="55572986"/>
    <w:rsid w:val="5560764A"/>
    <w:rsid w:val="55A57753"/>
    <w:rsid w:val="55D946C4"/>
    <w:rsid w:val="55E81E7D"/>
    <w:rsid w:val="55ED715E"/>
    <w:rsid w:val="564C575A"/>
    <w:rsid w:val="56625644"/>
    <w:rsid w:val="568F6618"/>
    <w:rsid w:val="56C97471"/>
    <w:rsid w:val="56CD5F45"/>
    <w:rsid w:val="56D54950"/>
    <w:rsid w:val="56DF3480"/>
    <w:rsid w:val="56F37AB8"/>
    <w:rsid w:val="56FD06B0"/>
    <w:rsid w:val="57057150"/>
    <w:rsid w:val="57147C51"/>
    <w:rsid w:val="57407733"/>
    <w:rsid w:val="57635F21"/>
    <w:rsid w:val="57FB0395"/>
    <w:rsid w:val="57FB18AC"/>
    <w:rsid w:val="58192866"/>
    <w:rsid w:val="5841294A"/>
    <w:rsid w:val="588E2720"/>
    <w:rsid w:val="58AB22DA"/>
    <w:rsid w:val="59172716"/>
    <w:rsid w:val="594E7404"/>
    <w:rsid w:val="595C45CC"/>
    <w:rsid w:val="597162CA"/>
    <w:rsid w:val="59E05ECD"/>
    <w:rsid w:val="5A292701"/>
    <w:rsid w:val="5A295DEF"/>
    <w:rsid w:val="5A9A585D"/>
    <w:rsid w:val="5AA343F0"/>
    <w:rsid w:val="5ADB48B4"/>
    <w:rsid w:val="5B264E92"/>
    <w:rsid w:val="5B5C6B06"/>
    <w:rsid w:val="5B6F05E7"/>
    <w:rsid w:val="5B820090"/>
    <w:rsid w:val="5B901380"/>
    <w:rsid w:val="5C4035A0"/>
    <w:rsid w:val="5C5D2B35"/>
    <w:rsid w:val="5C9018ED"/>
    <w:rsid w:val="5CD252D1"/>
    <w:rsid w:val="5CD526CC"/>
    <w:rsid w:val="5D29565C"/>
    <w:rsid w:val="5D3F7C0D"/>
    <w:rsid w:val="5D564930"/>
    <w:rsid w:val="5D7C705D"/>
    <w:rsid w:val="5DB771CD"/>
    <w:rsid w:val="5DC664B8"/>
    <w:rsid w:val="5DFF41D8"/>
    <w:rsid w:val="5E335697"/>
    <w:rsid w:val="5E5C7260"/>
    <w:rsid w:val="5E7E0AC9"/>
    <w:rsid w:val="5F2F0120"/>
    <w:rsid w:val="5F5F3E75"/>
    <w:rsid w:val="5F6F445B"/>
    <w:rsid w:val="5FA02317"/>
    <w:rsid w:val="5FC07CAE"/>
    <w:rsid w:val="5FC829BC"/>
    <w:rsid w:val="5FE5356E"/>
    <w:rsid w:val="600E21B4"/>
    <w:rsid w:val="606007BB"/>
    <w:rsid w:val="606241FC"/>
    <w:rsid w:val="606D5311"/>
    <w:rsid w:val="60A50704"/>
    <w:rsid w:val="60AC7F66"/>
    <w:rsid w:val="60AE1B1B"/>
    <w:rsid w:val="60BB1F7E"/>
    <w:rsid w:val="60D27E15"/>
    <w:rsid w:val="6155374A"/>
    <w:rsid w:val="618835DC"/>
    <w:rsid w:val="618B78F4"/>
    <w:rsid w:val="61A87E60"/>
    <w:rsid w:val="61BF10D9"/>
    <w:rsid w:val="621B0574"/>
    <w:rsid w:val="623373A1"/>
    <w:rsid w:val="62724E61"/>
    <w:rsid w:val="627D14E4"/>
    <w:rsid w:val="63043D0B"/>
    <w:rsid w:val="631B47CF"/>
    <w:rsid w:val="63612F0B"/>
    <w:rsid w:val="637D3ABD"/>
    <w:rsid w:val="63983B89"/>
    <w:rsid w:val="63B05C41"/>
    <w:rsid w:val="63FC2C34"/>
    <w:rsid w:val="641D6482"/>
    <w:rsid w:val="64343624"/>
    <w:rsid w:val="64480DF4"/>
    <w:rsid w:val="6459153B"/>
    <w:rsid w:val="646C4DA5"/>
    <w:rsid w:val="647D1DE9"/>
    <w:rsid w:val="64A372BF"/>
    <w:rsid w:val="64E45EF7"/>
    <w:rsid w:val="6509133A"/>
    <w:rsid w:val="65316EB4"/>
    <w:rsid w:val="653B0166"/>
    <w:rsid w:val="65597932"/>
    <w:rsid w:val="659A1AD2"/>
    <w:rsid w:val="65BB267B"/>
    <w:rsid w:val="65BC08CD"/>
    <w:rsid w:val="65E120E1"/>
    <w:rsid w:val="661B0F08"/>
    <w:rsid w:val="663372D4"/>
    <w:rsid w:val="666D1BC7"/>
    <w:rsid w:val="66846F11"/>
    <w:rsid w:val="668D5A90"/>
    <w:rsid w:val="66AD6233"/>
    <w:rsid w:val="66C67F0A"/>
    <w:rsid w:val="66E2573B"/>
    <w:rsid w:val="67432943"/>
    <w:rsid w:val="677435B2"/>
    <w:rsid w:val="67945BFF"/>
    <w:rsid w:val="67AF6D78"/>
    <w:rsid w:val="67B51A77"/>
    <w:rsid w:val="67BB124F"/>
    <w:rsid w:val="67EF75F1"/>
    <w:rsid w:val="67FB0571"/>
    <w:rsid w:val="682D5EE3"/>
    <w:rsid w:val="683062C3"/>
    <w:rsid w:val="6841392B"/>
    <w:rsid w:val="684B5F38"/>
    <w:rsid w:val="68631177"/>
    <w:rsid w:val="68C12AE0"/>
    <w:rsid w:val="68D777CC"/>
    <w:rsid w:val="68E819D9"/>
    <w:rsid w:val="69124F16"/>
    <w:rsid w:val="6956755C"/>
    <w:rsid w:val="699851AD"/>
    <w:rsid w:val="69B93F76"/>
    <w:rsid w:val="69CD5C14"/>
    <w:rsid w:val="69CF0D33"/>
    <w:rsid w:val="69E91EAC"/>
    <w:rsid w:val="6A027B1D"/>
    <w:rsid w:val="6A114F5F"/>
    <w:rsid w:val="6A222BD7"/>
    <w:rsid w:val="6A370C39"/>
    <w:rsid w:val="6A415844"/>
    <w:rsid w:val="6A46004E"/>
    <w:rsid w:val="6AA02F54"/>
    <w:rsid w:val="6AA87672"/>
    <w:rsid w:val="6AB86804"/>
    <w:rsid w:val="6ABA1153"/>
    <w:rsid w:val="6ABF3227"/>
    <w:rsid w:val="6B564A55"/>
    <w:rsid w:val="6B564E25"/>
    <w:rsid w:val="6B592734"/>
    <w:rsid w:val="6B8E342B"/>
    <w:rsid w:val="6B94467F"/>
    <w:rsid w:val="6B981494"/>
    <w:rsid w:val="6B9946B3"/>
    <w:rsid w:val="6B9A2A76"/>
    <w:rsid w:val="6BA87826"/>
    <w:rsid w:val="6BD3071E"/>
    <w:rsid w:val="6BE23912"/>
    <w:rsid w:val="6BF05ED5"/>
    <w:rsid w:val="6C00528B"/>
    <w:rsid w:val="6C134FBF"/>
    <w:rsid w:val="6C1D5E3D"/>
    <w:rsid w:val="6C547479"/>
    <w:rsid w:val="6C567A5C"/>
    <w:rsid w:val="6D003795"/>
    <w:rsid w:val="6D0F1158"/>
    <w:rsid w:val="6D5D0BE7"/>
    <w:rsid w:val="6D747A86"/>
    <w:rsid w:val="6D7970A3"/>
    <w:rsid w:val="6D7A5AA9"/>
    <w:rsid w:val="6DA851C0"/>
    <w:rsid w:val="6DB12CE1"/>
    <w:rsid w:val="6DE76850"/>
    <w:rsid w:val="6DFD0888"/>
    <w:rsid w:val="6E450F8F"/>
    <w:rsid w:val="6E8817FA"/>
    <w:rsid w:val="6EB90E26"/>
    <w:rsid w:val="6EBF56C5"/>
    <w:rsid w:val="6EDD1EFA"/>
    <w:rsid w:val="6EDE7619"/>
    <w:rsid w:val="6EFA3324"/>
    <w:rsid w:val="6F045092"/>
    <w:rsid w:val="6F05496D"/>
    <w:rsid w:val="6F2A7B17"/>
    <w:rsid w:val="6F3516F0"/>
    <w:rsid w:val="6F8E1280"/>
    <w:rsid w:val="6FA42295"/>
    <w:rsid w:val="6FAD74D8"/>
    <w:rsid w:val="6FB20BD4"/>
    <w:rsid w:val="6FBA59BE"/>
    <w:rsid w:val="6FC44E85"/>
    <w:rsid w:val="6FD07002"/>
    <w:rsid w:val="70296B3E"/>
    <w:rsid w:val="705872BE"/>
    <w:rsid w:val="70611204"/>
    <w:rsid w:val="70626A59"/>
    <w:rsid w:val="707F0E75"/>
    <w:rsid w:val="708653B1"/>
    <w:rsid w:val="70DA42FD"/>
    <w:rsid w:val="70FD7FEB"/>
    <w:rsid w:val="71544165"/>
    <w:rsid w:val="71A524C3"/>
    <w:rsid w:val="724B7271"/>
    <w:rsid w:val="72585D4D"/>
    <w:rsid w:val="726D687E"/>
    <w:rsid w:val="727F515C"/>
    <w:rsid w:val="7290345A"/>
    <w:rsid w:val="72B8066E"/>
    <w:rsid w:val="72BB1F0C"/>
    <w:rsid w:val="72E82FEB"/>
    <w:rsid w:val="72EB4496"/>
    <w:rsid w:val="732775A1"/>
    <w:rsid w:val="73907F4B"/>
    <w:rsid w:val="739418C8"/>
    <w:rsid w:val="73E01C2A"/>
    <w:rsid w:val="746C1710"/>
    <w:rsid w:val="747D56CB"/>
    <w:rsid w:val="749649DF"/>
    <w:rsid w:val="74DC0F51"/>
    <w:rsid w:val="74DC4067"/>
    <w:rsid w:val="74E33C65"/>
    <w:rsid w:val="74F7651B"/>
    <w:rsid w:val="74FA2C30"/>
    <w:rsid w:val="74FE27D6"/>
    <w:rsid w:val="750E0A19"/>
    <w:rsid w:val="75AE6933"/>
    <w:rsid w:val="75C20D75"/>
    <w:rsid w:val="75EC16B5"/>
    <w:rsid w:val="762B67B5"/>
    <w:rsid w:val="763C5112"/>
    <w:rsid w:val="76B26134"/>
    <w:rsid w:val="76C67A42"/>
    <w:rsid w:val="76CE66B2"/>
    <w:rsid w:val="76D5554F"/>
    <w:rsid w:val="76F31C74"/>
    <w:rsid w:val="7707459D"/>
    <w:rsid w:val="774B0E3A"/>
    <w:rsid w:val="77A70DD1"/>
    <w:rsid w:val="77CF345E"/>
    <w:rsid w:val="77D575CC"/>
    <w:rsid w:val="77D67AA8"/>
    <w:rsid w:val="77D772CE"/>
    <w:rsid w:val="77E77636"/>
    <w:rsid w:val="781E69D1"/>
    <w:rsid w:val="78236589"/>
    <w:rsid w:val="783B43DE"/>
    <w:rsid w:val="7852762D"/>
    <w:rsid w:val="78574485"/>
    <w:rsid w:val="789A00BF"/>
    <w:rsid w:val="78B10A72"/>
    <w:rsid w:val="78C0202A"/>
    <w:rsid w:val="78C52913"/>
    <w:rsid w:val="79055BA7"/>
    <w:rsid w:val="790E68AB"/>
    <w:rsid w:val="791B1956"/>
    <w:rsid w:val="79677CD0"/>
    <w:rsid w:val="79690791"/>
    <w:rsid w:val="7986180D"/>
    <w:rsid w:val="79AB67B1"/>
    <w:rsid w:val="79C63670"/>
    <w:rsid w:val="7A316DFD"/>
    <w:rsid w:val="7A8F1B5B"/>
    <w:rsid w:val="7ABC20B1"/>
    <w:rsid w:val="7AD1051F"/>
    <w:rsid w:val="7AEA5A84"/>
    <w:rsid w:val="7AF46346"/>
    <w:rsid w:val="7B041159"/>
    <w:rsid w:val="7B0F5EBF"/>
    <w:rsid w:val="7B130FB9"/>
    <w:rsid w:val="7B1F0F17"/>
    <w:rsid w:val="7B542EFE"/>
    <w:rsid w:val="7B6B5EC3"/>
    <w:rsid w:val="7B8A62FB"/>
    <w:rsid w:val="7B95614B"/>
    <w:rsid w:val="7BA16C26"/>
    <w:rsid w:val="7BD33389"/>
    <w:rsid w:val="7BE33864"/>
    <w:rsid w:val="7BF64EDE"/>
    <w:rsid w:val="7BFD5343"/>
    <w:rsid w:val="7C253FBF"/>
    <w:rsid w:val="7C400C1E"/>
    <w:rsid w:val="7C486DA1"/>
    <w:rsid w:val="7C99506C"/>
    <w:rsid w:val="7D44753D"/>
    <w:rsid w:val="7D692A50"/>
    <w:rsid w:val="7D747887"/>
    <w:rsid w:val="7D771B65"/>
    <w:rsid w:val="7D7A4E9D"/>
    <w:rsid w:val="7DBD2FDC"/>
    <w:rsid w:val="7DD11708"/>
    <w:rsid w:val="7DFF6A25"/>
    <w:rsid w:val="7E010BEF"/>
    <w:rsid w:val="7E074257"/>
    <w:rsid w:val="7E210668"/>
    <w:rsid w:val="7E2766A8"/>
    <w:rsid w:val="7E71556B"/>
    <w:rsid w:val="7E7949C6"/>
    <w:rsid w:val="7E927FC5"/>
    <w:rsid w:val="7EBC46EA"/>
    <w:rsid w:val="7EC167BD"/>
    <w:rsid w:val="7F1361A4"/>
    <w:rsid w:val="7F467964"/>
    <w:rsid w:val="7F4759A4"/>
    <w:rsid w:val="7F945FBF"/>
    <w:rsid w:val="7FD751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38"/>
    <w:autoRedefine/>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qFormat/>
    <w:uiPriority w:val="9"/>
    <w:pPr>
      <w:keepNext/>
      <w:keepLines/>
      <w:spacing w:before="260" w:after="260" w:line="413" w:lineRule="auto"/>
      <w:outlineLvl w:val="2"/>
    </w:pPr>
    <w:rPr>
      <w:b/>
      <w:sz w:val="32"/>
    </w:rPr>
  </w:style>
  <w:style w:type="paragraph" w:styleId="5">
    <w:name w:val="heading 4"/>
    <w:basedOn w:val="1"/>
    <w:next w:val="1"/>
    <w:autoRedefine/>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7"/>
    <w:link w:val="39"/>
    <w:autoRedefine/>
    <w:qFormat/>
    <w:uiPriority w:val="0"/>
    <w:pPr>
      <w:keepNext/>
      <w:keepLines/>
      <w:spacing w:before="280" w:after="290" w:line="376" w:lineRule="auto"/>
      <w:outlineLvl w:val="4"/>
    </w:pPr>
    <w:rPr>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ind w:firstLine="420"/>
    </w:pPr>
    <w:rPr>
      <w:szCs w:val="20"/>
    </w:rPr>
  </w:style>
  <w:style w:type="paragraph" w:styleId="8">
    <w:name w:val="index 8"/>
    <w:basedOn w:val="1"/>
    <w:next w:val="1"/>
    <w:unhideWhenUsed/>
    <w:qFormat/>
    <w:uiPriority w:val="99"/>
    <w:pPr>
      <w:ind w:left="1400" w:leftChars="1400"/>
    </w:pPr>
  </w:style>
  <w:style w:type="paragraph" w:styleId="9">
    <w:name w:val="List Number"/>
    <w:basedOn w:val="1"/>
    <w:autoRedefine/>
    <w:qFormat/>
    <w:uiPriority w:val="0"/>
    <w:pPr>
      <w:widowControl/>
      <w:tabs>
        <w:tab w:val="left" w:pos="454"/>
        <w:tab w:val="left" w:pos="720"/>
        <w:tab w:val="left" w:pos="840"/>
      </w:tabs>
      <w:spacing w:afterLines="50"/>
      <w:ind w:left="454" w:hanging="284"/>
      <w:jc w:val="left"/>
    </w:pPr>
    <w:rPr>
      <w:kern w:val="0"/>
      <w:sz w:val="24"/>
      <w:szCs w:val="20"/>
    </w:rPr>
  </w:style>
  <w:style w:type="paragraph" w:styleId="10">
    <w:name w:val="Document Map"/>
    <w:basedOn w:val="1"/>
    <w:link w:val="40"/>
    <w:autoRedefine/>
    <w:qFormat/>
    <w:uiPriority w:val="0"/>
    <w:rPr>
      <w:rFonts w:ascii="宋体"/>
      <w:sz w:val="18"/>
      <w:szCs w:val="18"/>
    </w:rPr>
  </w:style>
  <w:style w:type="paragraph" w:styleId="11">
    <w:name w:val="annotation text"/>
    <w:basedOn w:val="1"/>
    <w:link w:val="41"/>
    <w:autoRedefine/>
    <w:qFormat/>
    <w:uiPriority w:val="0"/>
    <w:pPr>
      <w:jc w:val="left"/>
    </w:pPr>
  </w:style>
  <w:style w:type="paragraph" w:styleId="12">
    <w:name w:val="Body Text 3"/>
    <w:basedOn w:val="1"/>
    <w:link w:val="42"/>
    <w:autoRedefine/>
    <w:qFormat/>
    <w:uiPriority w:val="0"/>
    <w:pPr>
      <w:spacing w:after="120"/>
    </w:pPr>
    <w:rPr>
      <w:sz w:val="16"/>
      <w:szCs w:val="16"/>
    </w:rPr>
  </w:style>
  <w:style w:type="paragraph" w:styleId="13">
    <w:name w:val="Body Text"/>
    <w:basedOn w:val="1"/>
    <w:next w:val="1"/>
    <w:link w:val="37"/>
    <w:autoRedefine/>
    <w:qFormat/>
    <w:uiPriority w:val="0"/>
    <w:pPr>
      <w:spacing w:after="120"/>
    </w:pPr>
  </w:style>
  <w:style w:type="paragraph" w:styleId="14">
    <w:name w:val="Body Text Indent"/>
    <w:basedOn w:val="1"/>
    <w:link w:val="43"/>
    <w:autoRedefine/>
    <w:qFormat/>
    <w:uiPriority w:val="0"/>
    <w:pPr>
      <w:ind w:firstLine="830" w:firstLineChars="352"/>
    </w:pPr>
    <w:rPr>
      <w:rFonts w:ascii="仿宋_GB2312" w:eastAsia="仿宋_GB2312"/>
      <w:kern w:val="0"/>
      <w:sz w:val="32"/>
      <w:szCs w:val="20"/>
    </w:rPr>
  </w:style>
  <w:style w:type="paragraph" w:styleId="15">
    <w:name w:val="List 2"/>
    <w:basedOn w:val="1"/>
    <w:autoRedefine/>
    <w:qFormat/>
    <w:uiPriority w:val="0"/>
    <w:pPr>
      <w:ind w:left="100" w:leftChars="200" w:hanging="200" w:hangingChars="200"/>
      <w:contextualSpacing/>
    </w:pPr>
  </w:style>
  <w:style w:type="paragraph" w:styleId="16">
    <w:name w:val="Plain Text"/>
    <w:basedOn w:val="1"/>
    <w:next w:val="8"/>
    <w:link w:val="44"/>
    <w:autoRedefine/>
    <w:qFormat/>
    <w:uiPriority w:val="0"/>
    <w:rPr>
      <w:rFonts w:ascii="宋体" w:hAnsi="Courier New"/>
      <w:kern w:val="0"/>
      <w:sz w:val="20"/>
      <w:szCs w:val="21"/>
    </w:rPr>
  </w:style>
  <w:style w:type="paragraph" w:styleId="17">
    <w:name w:val="Date"/>
    <w:basedOn w:val="1"/>
    <w:next w:val="1"/>
    <w:link w:val="45"/>
    <w:autoRedefine/>
    <w:qFormat/>
    <w:uiPriority w:val="0"/>
    <w:pPr>
      <w:ind w:left="100" w:leftChars="2500"/>
    </w:pPr>
  </w:style>
  <w:style w:type="paragraph" w:styleId="18">
    <w:name w:val="Balloon Text"/>
    <w:basedOn w:val="1"/>
    <w:autoRedefine/>
    <w:qFormat/>
    <w:uiPriority w:val="0"/>
    <w:rPr>
      <w:sz w:val="18"/>
      <w:szCs w:val="18"/>
    </w:rPr>
  </w:style>
  <w:style w:type="paragraph" w:styleId="19">
    <w:name w:val="footer"/>
    <w:basedOn w:val="1"/>
    <w:link w:val="46"/>
    <w:autoRedefine/>
    <w:qFormat/>
    <w:uiPriority w:val="0"/>
    <w:pPr>
      <w:tabs>
        <w:tab w:val="center" w:pos="4153"/>
        <w:tab w:val="right" w:pos="8306"/>
      </w:tabs>
      <w:snapToGrid w:val="0"/>
      <w:jc w:val="left"/>
    </w:pPr>
    <w:rPr>
      <w:kern w:val="0"/>
      <w:sz w:val="18"/>
      <w:szCs w:val="18"/>
    </w:rPr>
  </w:style>
  <w:style w:type="paragraph" w:styleId="20">
    <w:name w:val="header"/>
    <w:basedOn w:val="1"/>
    <w:link w:val="47"/>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autoRedefine/>
    <w:qFormat/>
    <w:uiPriority w:val="0"/>
  </w:style>
  <w:style w:type="paragraph" w:styleId="22">
    <w:name w:val="toc 2"/>
    <w:basedOn w:val="1"/>
    <w:next w:val="1"/>
    <w:autoRedefine/>
    <w:qFormat/>
    <w:uiPriority w:val="0"/>
    <w:pPr>
      <w:tabs>
        <w:tab w:val="right" w:leader="dot" w:pos="8296"/>
      </w:tabs>
      <w:ind w:left="420" w:leftChars="200"/>
    </w:pPr>
  </w:style>
  <w:style w:type="paragraph" w:styleId="23">
    <w:name w:val="Normal (Web)"/>
    <w:basedOn w:val="1"/>
    <w:autoRedefine/>
    <w:qFormat/>
    <w:uiPriority w:val="0"/>
    <w:rPr>
      <w:rFonts w:ascii="Calibri" w:hAnsi="Calibri"/>
      <w:kern w:val="0"/>
      <w:sz w:val="24"/>
    </w:rPr>
  </w:style>
  <w:style w:type="paragraph" w:styleId="24">
    <w:name w:val="annotation subject"/>
    <w:basedOn w:val="11"/>
    <w:next w:val="11"/>
    <w:link w:val="48"/>
    <w:autoRedefine/>
    <w:qFormat/>
    <w:uiPriority w:val="0"/>
    <w:rPr>
      <w:b/>
      <w:bCs/>
    </w:rPr>
  </w:style>
  <w:style w:type="paragraph" w:styleId="25">
    <w:name w:val="Body Text First Indent"/>
    <w:basedOn w:val="13"/>
    <w:autoRedefine/>
    <w:qFormat/>
    <w:uiPriority w:val="0"/>
    <w:pPr>
      <w:ind w:firstLine="420" w:firstLineChars="100"/>
    </w:pPr>
  </w:style>
  <w:style w:type="paragraph" w:styleId="26">
    <w:name w:val="Body Text First Indent 2"/>
    <w:basedOn w:val="14"/>
    <w:next w:val="27"/>
    <w:autoRedefine/>
    <w:qFormat/>
    <w:uiPriority w:val="0"/>
  </w:style>
  <w:style w:type="paragraph" w:customStyle="1" w:styleId="27">
    <w:name w:val="**正文"/>
    <w:basedOn w:val="1"/>
    <w:qFormat/>
    <w:uiPriority w:val="0"/>
    <w:pPr>
      <w:ind w:firstLine="482"/>
    </w:pPr>
    <w:rPr>
      <w:rFonts w:ascii="宋体" w:hAnsi="宋体"/>
      <w:sz w:val="24"/>
    </w:rPr>
  </w:style>
  <w:style w:type="table" w:styleId="29">
    <w:name w:val="Table Grid"/>
    <w:basedOn w:val="2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character" w:styleId="32">
    <w:name w:val="Emphasis"/>
    <w:basedOn w:val="30"/>
    <w:qFormat/>
    <w:uiPriority w:val="0"/>
    <w:rPr>
      <w:i/>
    </w:rPr>
  </w:style>
  <w:style w:type="character" w:styleId="33">
    <w:name w:val="Hyperlink"/>
    <w:autoRedefine/>
    <w:qFormat/>
    <w:uiPriority w:val="0"/>
    <w:rPr>
      <w:rFonts w:ascii="Times New Roman" w:hAnsi="Times New Roman" w:eastAsia="宋体" w:cs="Times New Roman"/>
      <w:color w:val="0000FF"/>
      <w:u w:val="single"/>
    </w:rPr>
  </w:style>
  <w:style w:type="character" w:styleId="34">
    <w:name w:val="annotation reference"/>
    <w:autoRedefine/>
    <w:qFormat/>
    <w:uiPriority w:val="0"/>
    <w:rPr>
      <w:rFonts w:ascii="Times New Roman" w:hAnsi="Times New Roman" w:eastAsia="宋体" w:cs="Times New Roman"/>
      <w:sz w:val="21"/>
      <w:szCs w:val="21"/>
    </w:rPr>
  </w:style>
  <w:style w:type="paragraph" w:customStyle="1" w:styleId="35">
    <w:name w:val="NormalIndent"/>
    <w:basedOn w:val="1"/>
    <w:autoRedefine/>
    <w:qFormat/>
    <w:uiPriority w:val="0"/>
    <w:pPr>
      <w:ind w:firstLine="420"/>
    </w:pPr>
    <w:rPr>
      <w:szCs w:val="21"/>
    </w:rPr>
  </w:style>
  <w:style w:type="paragraph" w:customStyle="1" w:styleId="36">
    <w:name w:val="TOC 标题2"/>
    <w:next w:val="1"/>
    <w:autoRedefine/>
    <w:qFormat/>
    <w:uiPriority w:val="99"/>
    <w:pPr>
      <w:wordWrap w:val="0"/>
    </w:pPr>
    <w:rPr>
      <w:rFonts w:ascii="Calibri" w:hAnsi="Calibri" w:eastAsia="宋体" w:cs="Times New Roman"/>
      <w:sz w:val="32"/>
      <w:lang w:val="en-US" w:eastAsia="zh-CN" w:bidi="ar-SA"/>
    </w:rPr>
  </w:style>
  <w:style w:type="character" w:customStyle="1" w:styleId="37">
    <w:name w:val="正文文本 字符"/>
    <w:link w:val="13"/>
    <w:autoRedefine/>
    <w:qFormat/>
    <w:uiPriority w:val="0"/>
    <w:rPr>
      <w:rFonts w:ascii="Times New Roman" w:hAnsi="Times New Roman" w:eastAsia="宋体" w:cs="Times New Roman"/>
      <w:kern w:val="2"/>
      <w:sz w:val="21"/>
      <w:szCs w:val="24"/>
    </w:rPr>
  </w:style>
  <w:style w:type="character" w:customStyle="1" w:styleId="38">
    <w:name w:val="标题 2 字符"/>
    <w:link w:val="3"/>
    <w:autoRedefine/>
    <w:qFormat/>
    <w:uiPriority w:val="0"/>
    <w:rPr>
      <w:rFonts w:ascii="Cambria" w:hAnsi="Cambria" w:eastAsia="宋体" w:cs="Times New Roman"/>
      <w:b/>
      <w:bCs/>
      <w:kern w:val="2"/>
      <w:sz w:val="32"/>
      <w:szCs w:val="32"/>
    </w:rPr>
  </w:style>
  <w:style w:type="character" w:customStyle="1" w:styleId="39">
    <w:name w:val="标题 5 字符"/>
    <w:link w:val="6"/>
    <w:autoRedefine/>
    <w:qFormat/>
    <w:uiPriority w:val="0"/>
    <w:rPr>
      <w:rFonts w:ascii="Times New Roman" w:hAnsi="Times New Roman" w:eastAsia="宋体" w:cs="Times New Roman"/>
      <w:b/>
      <w:bCs/>
      <w:kern w:val="2"/>
      <w:sz w:val="28"/>
      <w:szCs w:val="28"/>
    </w:rPr>
  </w:style>
  <w:style w:type="character" w:customStyle="1" w:styleId="40">
    <w:name w:val="文档结构图 字符"/>
    <w:basedOn w:val="30"/>
    <w:link w:val="10"/>
    <w:autoRedefine/>
    <w:qFormat/>
    <w:uiPriority w:val="0"/>
    <w:rPr>
      <w:rFonts w:ascii="宋体"/>
      <w:kern w:val="2"/>
      <w:sz w:val="18"/>
      <w:szCs w:val="18"/>
    </w:rPr>
  </w:style>
  <w:style w:type="character" w:customStyle="1" w:styleId="41">
    <w:name w:val="批注文字 字符"/>
    <w:link w:val="11"/>
    <w:autoRedefine/>
    <w:qFormat/>
    <w:uiPriority w:val="0"/>
    <w:rPr>
      <w:rFonts w:ascii="Times New Roman" w:hAnsi="Times New Roman" w:eastAsia="宋体" w:cs="Times New Roman"/>
      <w:kern w:val="2"/>
      <w:sz w:val="21"/>
      <w:szCs w:val="24"/>
    </w:rPr>
  </w:style>
  <w:style w:type="character" w:customStyle="1" w:styleId="42">
    <w:name w:val="正文文本 3 字符"/>
    <w:link w:val="12"/>
    <w:autoRedefine/>
    <w:qFormat/>
    <w:uiPriority w:val="0"/>
    <w:rPr>
      <w:rFonts w:ascii="Times New Roman" w:hAnsi="Times New Roman" w:eastAsia="宋体" w:cs="Times New Roman"/>
      <w:kern w:val="2"/>
      <w:sz w:val="16"/>
      <w:szCs w:val="16"/>
    </w:rPr>
  </w:style>
  <w:style w:type="character" w:customStyle="1" w:styleId="43">
    <w:name w:val="正文文本缩进 字符"/>
    <w:link w:val="14"/>
    <w:autoRedefine/>
    <w:qFormat/>
    <w:uiPriority w:val="0"/>
    <w:rPr>
      <w:rFonts w:ascii="仿宋_GB2312" w:hAnsi="Times New Roman" w:eastAsia="仿宋_GB2312" w:cs="Times New Roman"/>
      <w:sz w:val="32"/>
      <w:szCs w:val="20"/>
    </w:rPr>
  </w:style>
  <w:style w:type="character" w:customStyle="1" w:styleId="44">
    <w:name w:val="纯文本 字符"/>
    <w:link w:val="16"/>
    <w:autoRedefine/>
    <w:qFormat/>
    <w:uiPriority w:val="0"/>
    <w:rPr>
      <w:rFonts w:ascii="宋体" w:hAnsi="Courier New" w:eastAsia="宋体" w:cs="Courier New"/>
      <w:szCs w:val="21"/>
    </w:rPr>
  </w:style>
  <w:style w:type="character" w:customStyle="1" w:styleId="45">
    <w:name w:val="日期 字符"/>
    <w:link w:val="17"/>
    <w:autoRedefine/>
    <w:qFormat/>
    <w:uiPriority w:val="0"/>
    <w:rPr>
      <w:rFonts w:ascii="Times New Roman" w:hAnsi="Times New Roman" w:eastAsia="宋体" w:cs="Times New Roman"/>
      <w:kern w:val="2"/>
      <w:sz w:val="21"/>
      <w:szCs w:val="24"/>
    </w:rPr>
  </w:style>
  <w:style w:type="character" w:customStyle="1" w:styleId="46">
    <w:name w:val="页脚 字符"/>
    <w:link w:val="19"/>
    <w:autoRedefine/>
    <w:qFormat/>
    <w:uiPriority w:val="0"/>
    <w:rPr>
      <w:rFonts w:ascii="Times New Roman" w:hAnsi="Times New Roman" w:eastAsia="宋体" w:cs="Times New Roman"/>
      <w:sz w:val="18"/>
      <w:szCs w:val="18"/>
    </w:rPr>
  </w:style>
  <w:style w:type="character" w:customStyle="1" w:styleId="47">
    <w:name w:val="页眉 字符"/>
    <w:link w:val="20"/>
    <w:autoRedefine/>
    <w:qFormat/>
    <w:uiPriority w:val="0"/>
    <w:rPr>
      <w:rFonts w:ascii="Times New Roman" w:hAnsi="Times New Roman" w:eastAsia="宋体" w:cs="Times New Roman"/>
      <w:sz w:val="18"/>
      <w:szCs w:val="18"/>
    </w:rPr>
  </w:style>
  <w:style w:type="character" w:customStyle="1" w:styleId="48">
    <w:name w:val="批注主题 字符"/>
    <w:link w:val="24"/>
    <w:autoRedefine/>
    <w:qFormat/>
    <w:uiPriority w:val="0"/>
    <w:rPr>
      <w:rFonts w:ascii="Times New Roman" w:hAnsi="Times New Roman" w:eastAsia="宋体" w:cs="Times New Roman"/>
      <w:b/>
      <w:bCs/>
      <w:kern w:val="2"/>
      <w:sz w:val="21"/>
      <w:szCs w:val="24"/>
    </w:rPr>
  </w:style>
  <w:style w:type="paragraph" w:customStyle="1" w:styleId="49">
    <w:name w:val="列出段落1"/>
    <w:basedOn w:val="1"/>
    <w:autoRedefine/>
    <w:qFormat/>
    <w:uiPriority w:val="0"/>
    <w:pPr>
      <w:ind w:firstLine="420" w:firstLineChars="200"/>
    </w:pPr>
    <w:rPr>
      <w:rFonts w:ascii="Calibri" w:hAnsi="Calibri" w:cs="Calibri"/>
      <w:szCs w:val="21"/>
    </w:rPr>
  </w:style>
  <w:style w:type="character" w:customStyle="1" w:styleId="50">
    <w:name w:val="textcontents"/>
    <w:basedOn w:val="30"/>
    <w:autoRedefine/>
    <w:qFormat/>
    <w:uiPriority w:val="0"/>
    <w:rPr>
      <w:rFonts w:ascii="Times New Roman" w:hAnsi="Times New Roman" w:eastAsia="宋体" w:cs="Times New Roman"/>
    </w:rPr>
  </w:style>
  <w:style w:type="character" w:customStyle="1" w:styleId="51">
    <w:name w:val="纯文本 字符1"/>
    <w:autoRedefine/>
    <w:qFormat/>
    <w:uiPriority w:val="0"/>
    <w:rPr>
      <w:rFonts w:ascii="宋体" w:hAnsi="Courier New" w:eastAsia="宋体" w:cs="Times New Roman"/>
    </w:rPr>
  </w:style>
  <w:style w:type="character" w:customStyle="1" w:styleId="52">
    <w:name w:val="纯文本 字符2"/>
    <w:autoRedefine/>
    <w:qFormat/>
    <w:uiPriority w:val="0"/>
    <w:rPr>
      <w:rFonts w:ascii="宋体" w:hAnsi="Courier New" w:eastAsia="宋体" w:cs="Courier New"/>
      <w:szCs w:val="21"/>
    </w:rPr>
  </w:style>
  <w:style w:type="character" w:customStyle="1" w:styleId="53">
    <w:name w:val="apple-style-span"/>
    <w:basedOn w:val="30"/>
    <w:autoRedefine/>
    <w:qFormat/>
    <w:uiPriority w:val="0"/>
    <w:rPr>
      <w:rFonts w:ascii="Times New Roman" w:hAnsi="Times New Roman" w:eastAsia="宋体" w:cs="Times New Roman"/>
    </w:rPr>
  </w:style>
  <w:style w:type="character" w:customStyle="1" w:styleId="54">
    <w:name w:val="批注文字 字符1"/>
    <w:autoRedefine/>
    <w:qFormat/>
    <w:uiPriority w:val="0"/>
    <w:rPr>
      <w:rFonts w:ascii="Times New Roman" w:hAnsi="Times New Roman" w:eastAsia="宋体" w:cs="Times New Roman"/>
      <w:kern w:val="2"/>
      <w:sz w:val="21"/>
      <w:szCs w:val="24"/>
    </w:rPr>
  </w:style>
  <w:style w:type="paragraph" w:customStyle="1" w:styleId="55">
    <w:name w:val="表内文字"/>
    <w:basedOn w:val="1"/>
    <w:autoRedefine/>
    <w:qFormat/>
    <w:uiPriority w:val="0"/>
    <w:pPr>
      <w:snapToGrid w:val="0"/>
      <w:spacing w:before="50" w:after="50"/>
      <w:jc w:val="center"/>
    </w:pPr>
    <w:rPr>
      <w:rFonts w:ascii="仿宋_GB2312" w:hAnsi="宋体" w:eastAsia="仿宋_GB2312"/>
      <w:b/>
      <w:color w:val="000000"/>
      <w:sz w:val="32"/>
      <w:szCs w:val="32"/>
    </w:rPr>
  </w:style>
  <w:style w:type="paragraph" w:styleId="56">
    <w:name w:val="List Paragraph"/>
    <w:basedOn w:val="1"/>
    <w:autoRedefine/>
    <w:qFormat/>
    <w:uiPriority w:val="0"/>
    <w:pPr>
      <w:ind w:firstLine="420" w:firstLineChars="200"/>
    </w:pPr>
  </w:style>
  <w:style w:type="paragraph" w:customStyle="1" w:styleId="57">
    <w:name w:val="默认段落字体 Para Char Char Char Char Char Char Char Char Char1 Char Char Char Char"/>
    <w:basedOn w:val="1"/>
    <w:autoRedefine/>
    <w:qFormat/>
    <w:uiPriority w:val="0"/>
    <w:rPr>
      <w:rFonts w:ascii="Tahoma" w:hAnsi="Tahoma"/>
      <w:sz w:val="24"/>
      <w:szCs w:val="20"/>
    </w:rPr>
  </w:style>
  <w:style w:type="character" w:customStyle="1" w:styleId="58">
    <w:name w:val="正文文本 Char1"/>
    <w:autoRedefine/>
    <w:qFormat/>
    <w:uiPriority w:val="0"/>
    <w:rPr>
      <w:rFonts w:ascii="Times New Roman" w:hAnsi="Times New Roman" w:eastAsia="宋体" w:cs="Times New Roman"/>
      <w:kern w:val="2"/>
      <w:sz w:val="21"/>
      <w:szCs w:val="24"/>
    </w:rPr>
  </w:style>
  <w:style w:type="character" w:customStyle="1" w:styleId="59">
    <w:name w:val="纯文本 Char1"/>
    <w:autoRedefine/>
    <w:qFormat/>
    <w:uiPriority w:val="0"/>
    <w:rPr>
      <w:rFonts w:ascii="宋体" w:hAnsi="Courier New" w:eastAsia="宋体" w:cs="Courier New"/>
      <w:szCs w:val="21"/>
    </w:rPr>
  </w:style>
  <w:style w:type="paragraph" w:customStyle="1" w:styleId="60">
    <w:name w:val="表格文字"/>
    <w:basedOn w:val="1"/>
    <w:autoRedefine/>
    <w:qFormat/>
    <w:uiPriority w:val="0"/>
    <w:pPr>
      <w:spacing w:before="25" w:after="25" w:line="300" w:lineRule="auto"/>
      <w:ind w:firstLine="200" w:firstLineChars="200"/>
    </w:pPr>
    <w:rPr>
      <w:spacing w:val="10"/>
      <w:kern w:val="0"/>
      <w:sz w:val="24"/>
    </w:rPr>
  </w:style>
  <w:style w:type="character" w:customStyle="1" w:styleId="61">
    <w:name w:val="15"/>
    <w:autoRedefine/>
    <w:qFormat/>
    <w:uiPriority w:val="0"/>
    <w:rPr>
      <w:rFonts w:hint="default" w:ascii="Times New Roman" w:hAnsi="Times New Roman" w:cs="Times New Roman"/>
      <w:color w:val="0000FF"/>
      <w:u w:val="single"/>
    </w:rPr>
  </w:style>
  <w:style w:type="character" w:customStyle="1" w:styleId="62">
    <w:name w:val="font21"/>
    <w:autoRedefine/>
    <w:qFormat/>
    <w:uiPriority w:val="0"/>
    <w:rPr>
      <w:rFonts w:hint="eastAsia" w:ascii="宋体" w:hAnsi="宋体" w:eastAsia="宋体" w:cs="宋体"/>
      <w:color w:val="000000"/>
      <w:sz w:val="21"/>
      <w:szCs w:val="21"/>
      <w:u w:val="none"/>
    </w:rPr>
  </w:style>
  <w:style w:type="paragraph" w:customStyle="1" w:styleId="63">
    <w:name w:val="Table Paragraph"/>
    <w:basedOn w:val="1"/>
    <w:autoRedefine/>
    <w:qFormat/>
    <w:uiPriority w:val="1"/>
    <w:pPr>
      <w:jc w:val="left"/>
    </w:pPr>
    <w:rPr>
      <w:rFonts w:ascii="Calibri" w:hAnsi="Calibri"/>
      <w:kern w:val="0"/>
      <w:sz w:val="22"/>
      <w:szCs w:val="22"/>
      <w:lang w:eastAsia="en-US"/>
    </w:rPr>
  </w:style>
  <w:style w:type="paragraph" w:customStyle="1" w:styleId="64">
    <w:name w:val="列表段落1"/>
    <w:basedOn w:val="1"/>
    <w:autoRedefine/>
    <w:unhideWhenUsed/>
    <w:qFormat/>
    <w:uiPriority w:val="99"/>
    <w:pPr>
      <w:ind w:firstLine="420" w:firstLineChars="200"/>
    </w:pPr>
    <w:rPr>
      <w:rFonts w:asciiTheme="minorHAnsi" w:hAnsiTheme="minorHAnsi" w:eastAsiaTheme="minorEastAsia" w:cstheme="minorBidi"/>
    </w:rPr>
  </w:style>
  <w:style w:type="paragraph" w:customStyle="1" w:styleId="65">
    <w:name w:val="Table Text"/>
    <w:basedOn w:val="1"/>
    <w:semiHidden/>
    <w:qFormat/>
    <w:uiPriority w:val="0"/>
    <w:rPr>
      <w:rFonts w:ascii="宋体" w:hAnsi="宋体" w:eastAsia="宋体" w:cs="宋体"/>
      <w:sz w:val="20"/>
      <w:szCs w:val="20"/>
      <w:lang w:val="en-US" w:eastAsia="en-US" w:bidi="ar-SA"/>
    </w:rPr>
  </w:style>
  <w:style w:type="paragraph" w:customStyle="1" w:styleId="66">
    <w:name w:val="正文文本1"/>
    <w:basedOn w:val="1"/>
    <w:qFormat/>
    <w:uiPriority w:val="0"/>
    <w:pPr>
      <w:spacing w:after="120"/>
    </w:pPr>
    <w:rPr>
      <w:kern w:val="0"/>
      <w:sz w:val="20"/>
    </w:rPr>
  </w:style>
  <w:style w:type="table" w:customStyle="1" w:styleId="67">
    <w:name w:val="Table Normal"/>
    <w:semiHidden/>
    <w:qFormat/>
    <w:uiPriority w:val="2"/>
    <w:pPr>
      <w:widowControl w:val="0"/>
    </w:pPr>
    <w:rPr>
      <w:rFonts w:ascii="Calibri" w:hAnsi="Calibri" w:eastAsia="Times New Roman"/>
      <w:sz w:val="22"/>
      <w:szCs w:val="22"/>
      <w:lang w:val="en-US" w:eastAsia="en-US"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广西云龙招标有限公司</Company>
  <Pages>117</Pages>
  <Words>27729</Words>
  <Characters>31128</Characters>
  <Lines>595</Lines>
  <Paragraphs>167</Paragraphs>
  <TotalTime>2</TotalTime>
  <ScaleCrop>false</ScaleCrop>
  <LinksUpToDate>false</LinksUpToDate>
  <CharactersWithSpaces>31390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2025-04-14T07:42:00Z</dcterms:created>
  <dc:creator>唐冰</dc:creator>
  <cp:lastModifiedBy>.</cp:lastModifiedBy>
  <cp:lastPrinted>2025-07-14T08:40:00Z</cp:lastPrinted>
  <dcterms:modified xsi:type="dcterms:W3CDTF">2026-05-06T05:39:42Z</dcterms:modified>
  <dc:title>竞争性谈判文件规范</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D0D4B8688B334119BB145BC9B284462F_13</vt:lpwstr>
  </property>
  <property fmtid="{D5CDD505-2E9C-101B-9397-08002B2CF9AE}" pid="4" name="KSOTemplateDocerSaveRecord">
    <vt:lpwstr>eyJoZGlkIjoiNzA3YWVkOWQ3MGQyNmUzMTczNDMxNTBjNDgwMzYxZTUiLCJ1c2VySWQiOiI2MjczNDMyNTkifQ==</vt:lpwstr>
  </property>
</Properties>
</file>