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8A93DA">
      <w:pPr>
        <w:wordWrap w:val="0"/>
        <w:spacing w:line="360" w:lineRule="auto"/>
        <w:jc w:val="center"/>
        <w:rPr>
          <w:rFonts w:hint="eastAsia" w:ascii="宋体" w:hAnsi="宋体" w:eastAsia="宋体" w:cs="宋体"/>
          <w:color w:val="auto"/>
          <w:sz w:val="52"/>
          <w:szCs w:val="52"/>
          <w:highlight w:val="none"/>
          <w:lang w:eastAsia="zh-CN"/>
        </w:rPr>
      </w:pPr>
      <w:r>
        <w:rPr>
          <w:rFonts w:hint="eastAsia" w:ascii="宋体" w:hAnsi="宋体" w:eastAsia="宋体" w:cs="宋体"/>
          <w:color w:val="auto"/>
          <w:sz w:val="52"/>
          <w:szCs w:val="52"/>
          <w:highlight w:val="none"/>
          <w:lang w:eastAsia="zh-CN"/>
        </w:rPr>
        <w:drawing>
          <wp:anchor distT="0" distB="0" distL="114300" distR="114300" simplePos="0" relativeHeight="251661312" behindDoc="0" locked="0" layoutInCell="1" allowOverlap="1">
            <wp:simplePos x="0" y="0"/>
            <wp:positionH relativeFrom="column">
              <wp:posOffset>-668020</wp:posOffset>
            </wp:positionH>
            <wp:positionV relativeFrom="paragraph">
              <wp:posOffset>-924560</wp:posOffset>
            </wp:positionV>
            <wp:extent cx="7565390" cy="10700385"/>
            <wp:effectExtent l="0" t="0" r="16510" b="5715"/>
            <wp:wrapNone/>
            <wp:docPr id="6" name="图片 6" descr="公开招标文件--信息系统日常运行维护服务-南宁市城市管理综合行政执法数字化系统运行维护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公开招标文件--信息系统日常运行维护服务-南宁市城市管理综合行政执法数字化系统运行维护_01"/>
                    <pic:cNvPicPr>
                      <a:picLocks noChangeAspect="1"/>
                    </pic:cNvPicPr>
                  </pic:nvPicPr>
                  <pic:blipFill>
                    <a:blip r:embed="rId12"/>
                    <a:stretch>
                      <a:fillRect/>
                    </a:stretch>
                  </pic:blipFill>
                  <pic:spPr>
                    <a:xfrm>
                      <a:off x="0" y="0"/>
                      <a:ext cx="7565390" cy="10700385"/>
                    </a:xfrm>
                    <a:prstGeom prst="rect">
                      <a:avLst/>
                    </a:prstGeom>
                  </pic:spPr>
                </pic:pic>
              </a:graphicData>
            </a:graphic>
          </wp:anchor>
        </w:drawing>
      </w:r>
    </w:p>
    <w:p w14:paraId="2E52E2AD">
      <w:pPr>
        <w:pStyle w:val="14"/>
        <w:rPr>
          <w:color w:val="auto"/>
          <w:highlight w:val="none"/>
        </w:rPr>
      </w:pPr>
    </w:p>
    <w:p w14:paraId="621959E3">
      <w:pPr>
        <w:wordWrap w:val="0"/>
        <w:spacing w:line="360" w:lineRule="auto"/>
        <w:jc w:val="center"/>
        <w:rPr>
          <w:rFonts w:ascii="宋体" w:hAnsi="宋体" w:cs="宋体"/>
          <w:color w:val="auto"/>
          <w:sz w:val="52"/>
          <w:szCs w:val="52"/>
          <w:highlight w:val="none"/>
        </w:rPr>
      </w:pPr>
      <w:r>
        <w:rPr>
          <w:rFonts w:hint="eastAsia" w:ascii="宋体" w:hAnsi="宋体" w:cs="宋体"/>
          <w:color w:val="auto"/>
          <w:sz w:val="52"/>
          <w:szCs w:val="52"/>
          <w:highlight w:val="none"/>
        </w:rPr>
        <w:t>南宁市政府采购</w:t>
      </w:r>
    </w:p>
    <w:p w14:paraId="1361C674">
      <w:pPr>
        <w:wordWrap w:val="0"/>
        <w:spacing w:line="360" w:lineRule="auto"/>
        <w:jc w:val="center"/>
        <w:rPr>
          <w:rFonts w:ascii="宋体" w:hAnsi="宋体" w:cs="宋体"/>
          <w:color w:val="auto"/>
          <w:sz w:val="52"/>
          <w:szCs w:val="52"/>
          <w:highlight w:val="none"/>
        </w:rPr>
      </w:pPr>
      <w:r>
        <w:rPr>
          <w:rFonts w:hint="eastAsia" w:ascii="宋体" w:hAnsi="宋体" w:cs="宋体"/>
          <w:color w:val="auto"/>
          <w:sz w:val="52"/>
          <w:szCs w:val="52"/>
          <w:highlight w:val="none"/>
        </w:rPr>
        <w:t>公开招标文件（服务类）</w:t>
      </w:r>
    </w:p>
    <w:p w14:paraId="3703A1FC">
      <w:pPr>
        <w:wordWrap w:val="0"/>
        <w:spacing w:line="360" w:lineRule="auto"/>
        <w:jc w:val="center"/>
        <w:rPr>
          <w:rFonts w:ascii="宋体" w:hAnsi="宋体" w:cs="宋体"/>
          <w:b/>
          <w:color w:val="auto"/>
          <w:sz w:val="48"/>
          <w:szCs w:val="48"/>
          <w:highlight w:val="none"/>
        </w:rPr>
      </w:pPr>
    </w:p>
    <w:p w14:paraId="6E1B0F3B">
      <w:pPr>
        <w:wordWrap w:val="0"/>
        <w:spacing w:line="360" w:lineRule="auto"/>
        <w:jc w:val="center"/>
        <w:rPr>
          <w:rFonts w:ascii="宋体" w:hAnsi="宋体" w:cs="宋体"/>
          <w:b/>
          <w:color w:val="auto"/>
          <w:sz w:val="48"/>
          <w:szCs w:val="48"/>
          <w:highlight w:val="none"/>
        </w:rPr>
      </w:pPr>
    </w:p>
    <w:p w14:paraId="2BCB2ACE">
      <w:pPr>
        <w:wordWrap w:val="0"/>
        <w:snapToGrid w:val="0"/>
        <w:spacing w:line="360" w:lineRule="auto"/>
        <w:jc w:val="center"/>
        <w:rPr>
          <w:rFonts w:ascii="宋体" w:hAnsi="宋体" w:cs="宋体"/>
          <w:color w:val="auto"/>
          <w:sz w:val="72"/>
          <w:szCs w:val="72"/>
          <w:highlight w:val="none"/>
        </w:rPr>
      </w:pPr>
      <w:r>
        <w:rPr>
          <w:rFonts w:hint="eastAsia" w:ascii="宋体" w:hAnsi="宋体" w:cs="宋体"/>
          <w:color w:val="auto"/>
          <w:sz w:val="72"/>
          <w:szCs w:val="72"/>
          <w:highlight w:val="none"/>
        </w:rPr>
        <w:t>招 标 文 件</w:t>
      </w:r>
    </w:p>
    <w:p w14:paraId="7B50F7C3">
      <w:pPr>
        <w:wordWrap w:val="0"/>
        <w:snapToGrid w:val="0"/>
        <w:spacing w:line="360" w:lineRule="auto"/>
        <w:jc w:val="center"/>
        <w:rPr>
          <w:rFonts w:ascii="宋体" w:hAnsi="宋体" w:cs="宋体"/>
          <w:color w:val="auto"/>
          <w:sz w:val="30"/>
          <w:szCs w:val="72"/>
          <w:highlight w:val="none"/>
        </w:rPr>
      </w:pPr>
      <w:r>
        <w:rPr>
          <w:rFonts w:hint="eastAsia" w:ascii="宋体" w:hAnsi="宋体" w:cs="宋体"/>
          <w:color w:val="auto"/>
          <w:sz w:val="30"/>
          <w:szCs w:val="72"/>
          <w:highlight w:val="none"/>
        </w:rPr>
        <w:t>（全流程电子化评标）</w:t>
      </w:r>
    </w:p>
    <w:p w14:paraId="26107265">
      <w:pPr>
        <w:spacing w:line="800" w:lineRule="exact"/>
        <w:ind w:firstLine="1506" w:firstLineChars="500"/>
        <w:rPr>
          <w:rFonts w:hint="eastAsia" w:ascii="宋体" w:hAnsi="宋体" w:eastAsia="宋体" w:cs="宋体"/>
          <w:b/>
          <w:bCs/>
          <w:color w:val="auto"/>
          <w:sz w:val="30"/>
          <w:szCs w:val="30"/>
          <w:highlight w:val="none"/>
          <w:lang w:eastAsia="zh-CN"/>
        </w:rPr>
      </w:pPr>
      <w:r>
        <w:rPr>
          <w:rFonts w:hint="eastAsia" w:ascii="宋体" w:hAnsi="宋体" w:cs="宋体"/>
          <w:b/>
          <w:bCs/>
          <w:color w:val="auto"/>
          <w:sz w:val="30"/>
          <w:szCs w:val="30"/>
          <w:highlight w:val="none"/>
        </w:rPr>
        <w:t>项目名称：</w:t>
      </w:r>
      <w:r>
        <w:rPr>
          <w:rFonts w:hint="eastAsia" w:ascii="宋体" w:hAnsi="宋体" w:cs="宋体"/>
          <w:b/>
          <w:bCs/>
          <w:color w:val="auto"/>
          <w:sz w:val="30"/>
          <w:szCs w:val="30"/>
          <w:highlight w:val="none"/>
          <w:lang w:eastAsia="zh-CN"/>
        </w:rPr>
        <w:t>信息系统日常运行维护服务-南宁市城市管理综合行政执法数字化系统运行维护</w:t>
      </w:r>
    </w:p>
    <w:p w14:paraId="410BA237">
      <w:pPr>
        <w:pStyle w:val="12"/>
        <w:snapToGrid w:val="0"/>
        <w:spacing w:line="800" w:lineRule="exact"/>
        <w:ind w:firstLine="1506" w:firstLineChars="500"/>
        <w:rPr>
          <w:rFonts w:hint="eastAsia" w:hAnsi="宋体" w:eastAsia="宋体" w:cs="宋体"/>
          <w:b/>
          <w:bCs/>
          <w:color w:val="auto"/>
          <w:sz w:val="30"/>
          <w:szCs w:val="30"/>
          <w:highlight w:val="none"/>
          <w:lang w:eastAsia="zh-CN"/>
        </w:rPr>
      </w:pPr>
      <w:r>
        <w:rPr>
          <w:rFonts w:hint="eastAsia" w:hAnsi="宋体" w:cs="宋体"/>
          <w:b/>
          <w:bCs/>
          <w:color w:val="auto"/>
          <w:sz w:val="30"/>
          <w:szCs w:val="30"/>
          <w:highlight w:val="none"/>
        </w:rPr>
        <w:t>项目编号：</w:t>
      </w:r>
      <w:r>
        <w:rPr>
          <w:rFonts w:hint="eastAsia" w:hAnsi="宋体" w:cs="宋体"/>
          <w:b/>
          <w:bCs/>
          <w:color w:val="auto"/>
          <w:sz w:val="30"/>
          <w:szCs w:val="30"/>
          <w:highlight w:val="none"/>
          <w:lang w:eastAsia="zh-CN"/>
        </w:rPr>
        <w:t>NNZC2026-G3-990373-GXYZ</w:t>
      </w:r>
      <w:permStart w:id="0" w:edGrp="everyone"/>
      <w:permEnd w:id="0"/>
      <w:bookmarkStart w:id="299" w:name="_GoBack"/>
      <w:bookmarkEnd w:id="299"/>
    </w:p>
    <w:p w14:paraId="04AFEA6A">
      <w:pPr>
        <w:pStyle w:val="12"/>
        <w:snapToGrid w:val="0"/>
        <w:spacing w:line="800" w:lineRule="exact"/>
        <w:ind w:firstLine="1506" w:firstLineChars="500"/>
        <w:rPr>
          <w:rFonts w:hAnsi="宋体" w:cs="宋体"/>
          <w:b/>
          <w:bCs/>
          <w:color w:val="auto"/>
          <w:sz w:val="30"/>
          <w:szCs w:val="30"/>
          <w:highlight w:val="none"/>
        </w:rPr>
      </w:pPr>
      <w:r>
        <w:rPr>
          <w:rFonts w:hint="eastAsia" w:hAnsi="宋体" w:cs="宋体"/>
          <w:b/>
          <w:bCs/>
          <w:color w:val="auto"/>
          <w:sz w:val="30"/>
          <w:szCs w:val="30"/>
          <w:highlight w:val="none"/>
        </w:rPr>
        <w:t>项目所属区划：</w:t>
      </w:r>
      <w:r>
        <w:rPr>
          <w:rFonts w:hint="eastAsia" w:hAnsi="宋体" w:cs="宋体"/>
          <w:b/>
          <w:bCs/>
          <w:color w:val="auto"/>
          <w:sz w:val="30"/>
          <w:szCs w:val="30"/>
          <w:highlight w:val="none"/>
          <w:u w:val="none"/>
        </w:rPr>
        <w:t>南宁市市本级</w:t>
      </w:r>
    </w:p>
    <w:p w14:paraId="3DA18216">
      <w:pPr>
        <w:pStyle w:val="12"/>
        <w:snapToGrid w:val="0"/>
        <w:spacing w:line="800" w:lineRule="exact"/>
        <w:ind w:firstLine="1205" w:firstLineChars="400"/>
        <w:rPr>
          <w:rFonts w:hint="eastAsia" w:hAnsi="宋体" w:eastAsia="宋体" w:cs="宋体"/>
          <w:b/>
          <w:bCs/>
          <w:color w:val="auto"/>
          <w:sz w:val="30"/>
          <w:szCs w:val="30"/>
          <w:highlight w:val="none"/>
          <w:lang w:eastAsia="zh-CN"/>
        </w:rPr>
      </w:pPr>
    </w:p>
    <w:p w14:paraId="2666B488">
      <w:pPr>
        <w:pStyle w:val="12"/>
        <w:snapToGrid w:val="0"/>
        <w:spacing w:line="800" w:lineRule="exact"/>
        <w:ind w:firstLine="1506" w:firstLineChars="500"/>
        <w:rPr>
          <w:rFonts w:hint="eastAsia" w:hAnsi="宋体" w:eastAsia="宋体" w:cs="宋体"/>
          <w:b/>
          <w:bCs/>
          <w:color w:val="auto"/>
          <w:w w:val="95"/>
          <w:sz w:val="30"/>
          <w:szCs w:val="30"/>
          <w:highlight w:val="none"/>
          <w:lang w:eastAsia="zh-CN"/>
        </w:rPr>
      </w:pPr>
      <w:r>
        <w:rPr>
          <w:rFonts w:hint="eastAsia" w:hAnsi="宋体" w:cs="宋体"/>
          <w:b/>
          <w:bCs/>
          <w:color w:val="auto"/>
          <w:sz w:val="30"/>
          <w:szCs w:val="30"/>
          <w:highlight w:val="none"/>
        </w:rPr>
        <w:t>采 购 人：</w:t>
      </w:r>
      <w:r>
        <w:rPr>
          <w:rFonts w:hint="eastAsia" w:hAnsi="宋体" w:cs="宋体"/>
          <w:b/>
          <w:bCs/>
          <w:color w:val="auto"/>
          <w:w w:val="95"/>
          <w:sz w:val="30"/>
          <w:szCs w:val="30"/>
          <w:highlight w:val="none"/>
          <w:lang w:eastAsia="zh-CN"/>
        </w:rPr>
        <w:t>南宁市智慧城管信息中心</w:t>
      </w:r>
    </w:p>
    <w:p w14:paraId="23D5C80C">
      <w:pPr>
        <w:snapToGrid w:val="0"/>
        <w:spacing w:line="800" w:lineRule="exact"/>
        <w:ind w:firstLine="1431" w:firstLineChars="500"/>
        <w:rPr>
          <w:rFonts w:ascii="宋体" w:hAnsi="宋体" w:cs="宋体"/>
          <w:b/>
          <w:bCs/>
          <w:color w:val="auto"/>
          <w:w w:val="95"/>
          <w:sz w:val="30"/>
          <w:szCs w:val="30"/>
          <w:highlight w:val="none"/>
        </w:rPr>
      </w:pPr>
      <w:r>
        <w:rPr>
          <w:rFonts w:hint="eastAsia" w:ascii="宋体" w:hAnsi="宋体" w:cs="宋体"/>
          <w:b/>
          <w:bCs/>
          <w:color w:val="auto"/>
          <w:w w:val="95"/>
          <w:sz w:val="30"/>
          <w:szCs w:val="30"/>
          <w:highlight w:val="none"/>
        </w:rPr>
        <w:t>采购代理机构：广西邕政采购代理有限公司</w:t>
      </w:r>
    </w:p>
    <w:p w14:paraId="3392CAC0">
      <w:pPr>
        <w:wordWrap w:val="0"/>
        <w:snapToGrid w:val="0"/>
        <w:spacing w:line="800" w:lineRule="exact"/>
        <w:jc w:val="center"/>
        <w:rPr>
          <w:rFonts w:ascii="宋体" w:hAnsi="宋体" w:cs="宋体"/>
          <w:color w:val="auto"/>
          <w:sz w:val="30"/>
          <w:szCs w:val="72"/>
          <w:highlight w:val="none"/>
        </w:rPr>
      </w:pPr>
      <w:r>
        <w:rPr>
          <w:rFonts w:hint="eastAsia" w:ascii="宋体" w:hAnsi="宋体" w:cs="宋体"/>
          <w:b/>
          <w:bCs/>
          <w:color w:val="auto"/>
          <w:sz w:val="30"/>
          <w:szCs w:val="30"/>
          <w:highlight w:val="none"/>
        </w:rPr>
        <w:t>2026年</w:t>
      </w:r>
      <w:r>
        <w:rPr>
          <w:rFonts w:hint="eastAsia" w:ascii="宋体" w:hAnsi="宋体" w:cs="宋体"/>
          <w:b/>
          <w:bCs/>
          <w:color w:val="auto"/>
          <w:sz w:val="30"/>
          <w:szCs w:val="30"/>
          <w:highlight w:val="none"/>
          <w:lang w:val="en-US" w:eastAsia="zh-CN"/>
        </w:rPr>
        <w:t>6</w:t>
      </w:r>
      <w:r>
        <w:rPr>
          <w:rFonts w:hint="eastAsia" w:ascii="宋体" w:hAnsi="宋体" w:cs="宋体"/>
          <w:b/>
          <w:bCs/>
          <w:color w:val="auto"/>
          <w:sz w:val="30"/>
          <w:szCs w:val="30"/>
          <w:highlight w:val="none"/>
        </w:rPr>
        <w:t>月</w:t>
      </w:r>
    </w:p>
    <w:p w14:paraId="34155520">
      <w:pPr>
        <w:pStyle w:val="21"/>
        <w:ind w:firstLine="600"/>
        <w:rPr>
          <w:rFonts w:ascii="宋体" w:hAnsi="宋体" w:cs="宋体"/>
          <w:color w:val="auto"/>
          <w:sz w:val="30"/>
          <w:szCs w:val="72"/>
          <w:highlight w:val="none"/>
        </w:rPr>
      </w:pPr>
    </w:p>
    <w:p w14:paraId="468E2522">
      <w:pPr>
        <w:pStyle w:val="12"/>
        <w:wordWrap w:val="0"/>
        <w:spacing w:line="360" w:lineRule="auto"/>
        <w:jc w:val="center"/>
        <w:rPr>
          <w:rFonts w:hAnsi="宋体" w:cs="宋体"/>
          <w:b/>
          <w:color w:val="auto"/>
          <w:sz w:val="48"/>
          <w:szCs w:val="48"/>
          <w:highlight w:val="none"/>
        </w:rPr>
        <w:sectPr>
          <w:headerReference r:id="rId3" w:type="default"/>
          <w:pgSz w:w="11906" w:h="16838"/>
          <w:pgMar w:top="1440" w:right="1080" w:bottom="1440" w:left="1080" w:header="720" w:footer="720" w:gutter="0"/>
          <w:pgNumType w:start="1"/>
          <w:cols w:space="720" w:num="1"/>
          <w:docGrid w:type="lines" w:linePitch="331" w:charSpace="0"/>
        </w:sectPr>
      </w:pPr>
    </w:p>
    <w:p w14:paraId="4D1A0959">
      <w:pPr>
        <w:pStyle w:val="12"/>
        <w:wordWrap w:val="0"/>
        <w:spacing w:line="360" w:lineRule="auto"/>
        <w:jc w:val="center"/>
        <w:rPr>
          <w:rFonts w:hAnsi="宋体" w:cs="宋体"/>
          <w:b/>
          <w:color w:val="auto"/>
          <w:sz w:val="48"/>
          <w:szCs w:val="48"/>
          <w:highlight w:val="none"/>
        </w:rPr>
      </w:pPr>
      <w:r>
        <w:rPr>
          <w:rFonts w:hint="eastAsia" w:hAnsi="宋体" w:cs="宋体"/>
          <w:b/>
          <w:color w:val="auto"/>
          <w:sz w:val="48"/>
          <w:szCs w:val="48"/>
          <w:highlight w:val="none"/>
        </w:rPr>
        <w:t>目     录</w:t>
      </w:r>
    </w:p>
    <w:p w14:paraId="364B60FC">
      <w:pPr>
        <w:pStyle w:val="11"/>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TOC \o "1-3" \h \z \u </w:instrText>
      </w:r>
      <w:r>
        <w:rPr>
          <w:rFonts w:hint="eastAsia" w:ascii="宋体" w:hAnsi="宋体" w:eastAsia="宋体" w:cs="宋体"/>
          <w:color w:val="auto"/>
          <w:sz w:val="28"/>
          <w:szCs w:val="28"/>
          <w:highlight w:val="none"/>
        </w:rPr>
        <w:fldChar w:fldCharType="separate"/>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HYPERLINK \l _Toc5894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第一章  招标公告</w:t>
      </w:r>
      <w:r>
        <w:rPr>
          <w:rFonts w:hint="eastAsia" w:ascii="宋体" w:hAnsi="宋体" w:eastAsia="宋体" w:cs="宋体"/>
          <w:b/>
          <w:bCs/>
          <w:color w:val="auto"/>
          <w:sz w:val="28"/>
          <w:szCs w:val="28"/>
          <w:highlight w:val="none"/>
        </w:rPr>
        <w:tab/>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PAGEREF _Toc5894 \h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3</w:t>
      </w:r>
      <w:r>
        <w:rPr>
          <w:rFonts w:hint="eastAsia" w:ascii="宋体" w:hAnsi="宋体" w:eastAsia="宋体" w:cs="宋体"/>
          <w:b/>
          <w:bCs/>
          <w:color w:val="auto"/>
          <w:sz w:val="28"/>
          <w:szCs w:val="28"/>
          <w:highlight w:val="none"/>
        </w:rPr>
        <w:fldChar w:fldCharType="end"/>
      </w:r>
      <w:r>
        <w:rPr>
          <w:rFonts w:hint="eastAsia" w:ascii="宋体" w:hAnsi="宋体" w:eastAsia="宋体" w:cs="宋体"/>
          <w:b/>
          <w:bCs/>
          <w:color w:val="auto"/>
          <w:sz w:val="28"/>
          <w:szCs w:val="28"/>
          <w:highlight w:val="none"/>
        </w:rPr>
        <w:fldChar w:fldCharType="end"/>
      </w:r>
    </w:p>
    <w:p w14:paraId="70FE6FF1">
      <w:pPr>
        <w:pStyle w:val="11"/>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HYPERLINK \l _Toc22850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第二章  采购需求</w:t>
      </w:r>
      <w:r>
        <w:rPr>
          <w:rFonts w:hint="eastAsia" w:ascii="宋体" w:hAnsi="宋体" w:eastAsia="宋体" w:cs="宋体"/>
          <w:b/>
          <w:bCs/>
          <w:color w:val="auto"/>
          <w:sz w:val="28"/>
          <w:szCs w:val="28"/>
          <w:highlight w:val="none"/>
        </w:rPr>
        <w:tab/>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PAGEREF _Toc22850 \h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8</w:t>
      </w:r>
      <w:r>
        <w:rPr>
          <w:rFonts w:hint="eastAsia" w:ascii="宋体" w:hAnsi="宋体" w:eastAsia="宋体" w:cs="宋体"/>
          <w:b/>
          <w:bCs/>
          <w:color w:val="auto"/>
          <w:sz w:val="28"/>
          <w:szCs w:val="28"/>
          <w:highlight w:val="none"/>
        </w:rPr>
        <w:fldChar w:fldCharType="end"/>
      </w:r>
      <w:r>
        <w:rPr>
          <w:rFonts w:hint="eastAsia" w:ascii="宋体" w:hAnsi="宋体" w:eastAsia="宋体" w:cs="宋体"/>
          <w:b/>
          <w:bCs/>
          <w:color w:val="auto"/>
          <w:sz w:val="28"/>
          <w:szCs w:val="28"/>
          <w:highlight w:val="none"/>
        </w:rPr>
        <w:fldChar w:fldCharType="end"/>
      </w:r>
    </w:p>
    <w:p w14:paraId="7D1466FF">
      <w:pPr>
        <w:pStyle w:val="11"/>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_Toc12065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附件1：</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_Toc12065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16</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7870D83E">
      <w:pPr>
        <w:pStyle w:val="11"/>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_Toc26233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附件2：</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_Toc26233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21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2777A384">
      <w:pPr>
        <w:pStyle w:val="11"/>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HYPERLINK \l _Toc10629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第三章  投标人须知</w:t>
      </w:r>
      <w:r>
        <w:rPr>
          <w:rFonts w:hint="eastAsia" w:ascii="宋体" w:hAnsi="宋体" w:eastAsia="宋体" w:cs="宋体"/>
          <w:b/>
          <w:bCs/>
          <w:color w:val="auto"/>
          <w:sz w:val="28"/>
          <w:szCs w:val="28"/>
          <w:highlight w:val="none"/>
        </w:rPr>
        <w:tab/>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PAGEREF _Toc10629 \h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23</w:t>
      </w:r>
      <w:r>
        <w:rPr>
          <w:rFonts w:hint="eastAsia" w:ascii="宋体" w:hAnsi="宋体" w:eastAsia="宋体" w:cs="宋体"/>
          <w:b/>
          <w:bCs/>
          <w:color w:val="auto"/>
          <w:sz w:val="28"/>
          <w:szCs w:val="28"/>
          <w:highlight w:val="none"/>
        </w:rPr>
        <w:fldChar w:fldCharType="end"/>
      </w:r>
      <w:r>
        <w:rPr>
          <w:rFonts w:hint="eastAsia" w:ascii="宋体" w:hAnsi="宋体" w:eastAsia="宋体" w:cs="宋体"/>
          <w:b/>
          <w:bCs/>
          <w:color w:val="auto"/>
          <w:sz w:val="28"/>
          <w:szCs w:val="28"/>
          <w:highlight w:val="none"/>
        </w:rPr>
        <w:fldChar w:fldCharType="end"/>
      </w:r>
    </w:p>
    <w:p w14:paraId="5AA38B90">
      <w:pPr>
        <w:pStyle w:val="11"/>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_Toc10583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第一节 投标人须知前附表</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_Toc10583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23</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12497CA1">
      <w:pPr>
        <w:pStyle w:val="11"/>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_Toc624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第二节 投标人须知正文</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_Toc624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29</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04BEDCA1">
      <w:pPr>
        <w:pStyle w:val="11"/>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_Toc4908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一、总  则</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_Toc4908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29</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43624332">
      <w:pPr>
        <w:pStyle w:val="11"/>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_Toc23507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二、招标文件</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_Toc23507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32</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1D20A154">
      <w:pPr>
        <w:pStyle w:val="11"/>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_Toc25725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三、投标文件的编制</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_Toc25725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33</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09B43A13">
      <w:pPr>
        <w:pStyle w:val="11"/>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_Toc26899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四、开    标</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_Toc26899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35</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0467553C">
      <w:pPr>
        <w:pStyle w:val="11"/>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_Toc27719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五、资格审查</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_Toc27719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36</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3BD9BED8">
      <w:pPr>
        <w:pStyle w:val="11"/>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_Toc10681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六、评   标</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_Toc10681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37</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0204AEB2">
      <w:pPr>
        <w:pStyle w:val="11"/>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_Toc28260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七、中标和合同</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_Toc28260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38</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0CD0A672">
      <w:pPr>
        <w:pStyle w:val="11"/>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_Toc29384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八、验收</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_Toc29384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43</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3CD305BE">
      <w:pPr>
        <w:pStyle w:val="11"/>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_Toc21021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九、其他事项</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_Toc21021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44</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6DEF9058">
      <w:pPr>
        <w:pStyle w:val="11"/>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HYPERLINK \l _Toc909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第四章  评标方法及评分标准</w:t>
      </w:r>
      <w:r>
        <w:rPr>
          <w:rFonts w:hint="eastAsia" w:ascii="宋体" w:hAnsi="宋体" w:eastAsia="宋体" w:cs="宋体"/>
          <w:b/>
          <w:bCs/>
          <w:color w:val="auto"/>
          <w:sz w:val="28"/>
          <w:szCs w:val="28"/>
          <w:highlight w:val="none"/>
        </w:rPr>
        <w:tab/>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PAGEREF _Toc909 \h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46</w:t>
      </w:r>
      <w:r>
        <w:rPr>
          <w:rFonts w:hint="eastAsia" w:ascii="宋体" w:hAnsi="宋体" w:eastAsia="宋体" w:cs="宋体"/>
          <w:b/>
          <w:bCs/>
          <w:color w:val="auto"/>
          <w:sz w:val="28"/>
          <w:szCs w:val="28"/>
          <w:highlight w:val="none"/>
        </w:rPr>
        <w:fldChar w:fldCharType="end"/>
      </w:r>
      <w:r>
        <w:rPr>
          <w:rFonts w:hint="eastAsia" w:ascii="宋体" w:hAnsi="宋体" w:eastAsia="宋体" w:cs="宋体"/>
          <w:b/>
          <w:bCs/>
          <w:color w:val="auto"/>
          <w:sz w:val="28"/>
          <w:szCs w:val="28"/>
          <w:highlight w:val="none"/>
        </w:rPr>
        <w:fldChar w:fldCharType="end"/>
      </w:r>
    </w:p>
    <w:p w14:paraId="3333C505">
      <w:pPr>
        <w:pStyle w:val="11"/>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_Toc547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第一节 评标方法</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_Toc547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46</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34B1BF4A">
      <w:pPr>
        <w:pStyle w:val="11"/>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_Toc2595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第二节 评标程序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_Toc2595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46</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156E5C76">
      <w:pPr>
        <w:pStyle w:val="11"/>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_Toc29067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第三节 评分标准</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_Toc29067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50</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6AD83EF8">
      <w:pPr>
        <w:pStyle w:val="11"/>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_Toc23822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第四节 中标候选人推荐原则</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_Toc23822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54</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50002F33">
      <w:pPr>
        <w:pStyle w:val="11"/>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_Toc5509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第五节 评标报告</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_Toc5509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54</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09AA632D">
      <w:pPr>
        <w:pStyle w:val="11"/>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HYPERLINK \l _Toc6796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第五章 拟签订的合同文本</w:t>
      </w:r>
      <w:r>
        <w:rPr>
          <w:rFonts w:hint="eastAsia" w:ascii="宋体" w:hAnsi="宋体" w:eastAsia="宋体" w:cs="宋体"/>
          <w:b/>
          <w:bCs/>
          <w:color w:val="auto"/>
          <w:sz w:val="28"/>
          <w:szCs w:val="28"/>
          <w:highlight w:val="none"/>
        </w:rPr>
        <w:tab/>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PAGEREF _Toc6796 \h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55</w:t>
      </w:r>
      <w:r>
        <w:rPr>
          <w:rFonts w:hint="eastAsia" w:ascii="宋体" w:hAnsi="宋体" w:eastAsia="宋体" w:cs="宋体"/>
          <w:b/>
          <w:bCs/>
          <w:color w:val="auto"/>
          <w:sz w:val="28"/>
          <w:szCs w:val="28"/>
          <w:highlight w:val="none"/>
        </w:rPr>
        <w:fldChar w:fldCharType="end"/>
      </w:r>
      <w:r>
        <w:rPr>
          <w:rFonts w:hint="eastAsia" w:ascii="宋体" w:hAnsi="宋体" w:eastAsia="宋体" w:cs="宋体"/>
          <w:b/>
          <w:bCs/>
          <w:color w:val="auto"/>
          <w:sz w:val="28"/>
          <w:szCs w:val="28"/>
          <w:highlight w:val="none"/>
        </w:rPr>
        <w:fldChar w:fldCharType="end"/>
      </w:r>
    </w:p>
    <w:p w14:paraId="35C9E811">
      <w:pPr>
        <w:pStyle w:val="11"/>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HYPERLINK \l _Toc25059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第六章 投标文件格式</w:t>
      </w:r>
      <w:r>
        <w:rPr>
          <w:rFonts w:hint="eastAsia" w:ascii="宋体" w:hAnsi="宋体" w:eastAsia="宋体" w:cs="宋体"/>
          <w:b/>
          <w:bCs/>
          <w:color w:val="auto"/>
          <w:sz w:val="28"/>
          <w:szCs w:val="28"/>
          <w:highlight w:val="none"/>
        </w:rPr>
        <w:tab/>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PAGEREF _Toc25059 \h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69</w:t>
      </w:r>
      <w:r>
        <w:rPr>
          <w:rFonts w:hint="eastAsia" w:ascii="宋体" w:hAnsi="宋体" w:eastAsia="宋体" w:cs="宋体"/>
          <w:b/>
          <w:bCs/>
          <w:color w:val="auto"/>
          <w:sz w:val="28"/>
          <w:szCs w:val="28"/>
          <w:highlight w:val="none"/>
        </w:rPr>
        <w:fldChar w:fldCharType="end"/>
      </w:r>
      <w:r>
        <w:rPr>
          <w:rFonts w:hint="eastAsia" w:ascii="宋体" w:hAnsi="宋体" w:eastAsia="宋体" w:cs="宋体"/>
          <w:b/>
          <w:bCs/>
          <w:color w:val="auto"/>
          <w:sz w:val="28"/>
          <w:szCs w:val="28"/>
          <w:highlight w:val="none"/>
        </w:rPr>
        <w:fldChar w:fldCharType="end"/>
      </w:r>
    </w:p>
    <w:p w14:paraId="0D31155B">
      <w:pPr>
        <w:pStyle w:val="11"/>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_Toc9103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第一节 投标文件外层包装封面</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_Toc9103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70</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117A8DFF">
      <w:pPr>
        <w:pStyle w:val="11"/>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_Toc1700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第二节 资格证明文件格式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_Toc1700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71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7B1A4341">
      <w:pPr>
        <w:pStyle w:val="11"/>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_Toc22407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第三节 商务文件格式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_Toc22407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79</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5340801B">
      <w:pPr>
        <w:pStyle w:val="11"/>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_Toc24361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第四节 技术文件格式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_Toc24361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91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11F359F2">
      <w:pPr>
        <w:pStyle w:val="11"/>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_Toc24408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第五节 报价文件格式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_Toc24408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99</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3F9C535C">
      <w:pPr>
        <w:pStyle w:val="11"/>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_Toc18362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第六节 其他文书、文件格式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_Toc18362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106</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2FCBC840">
      <w:pPr>
        <w:pStyle w:val="11"/>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HYPERLINK \l _Toc2360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第七章 质疑、投诉证明材料格式</w:t>
      </w:r>
      <w:r>
        <w:rPr>
          <w:rFonts w:hint="eastAsia" w:ascii="宋体" w:hAnsi="宋体" w:eastAsia="宋体" w:cs="宋体"/>
          <w:b/>
          <w:bCs/>
          <w:color w:val="auto"/>
          <w:sz w:val="28"/>
          <w:szCs w:val="28"/>
          <w:highlight w:val="none"/>
        </w:rPr>
        <w:tab/>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PAGEREF _Toc2360 \h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107</w:t>
      </w:r>
      <w:r>
        <w:rPr>
          <w:rFonts w:hint="eastAsia" w:ascii="宋体" w:hAnsi="宋体" w:eastAsia="宋体" w:cs="宋体"/>
          <w:b/>
          <w:bCs/>
          <w:color w:val="auto"/>
          <w:sz w:val="28"/>
          <w:szCs w:val="28"/>
          <w:highlight w:val="none"/>
        </w:rPr>
        <w:fldChar w:fldCharType="end"/>
      </w:r>
      <w:r>
        <w:rPr>
          <w:rFonts w:hint="eastAsia" w:ascii="宋体" w:hAnsi="宋体" w:eastAsia="宋体" w:cs="宋体"/>
          <w:b/>
          <w:bCs/>
          <w:color w:val="auto"/>
          <w:sz w:val="28"/>
          <w:szCs w:val="28"/>
          <w:highlight w:val="none"/>
        </w:rPr>
        <w:fldChar w:fldCharType="end"/>
      </w:r>
    </w:p>
    <w:p w14:paraId="21F68680">
      <w:pPr>
        <w:pStyle w:val="11"/>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_Toc29826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第一节 质疑函（格式）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_Toc29826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108</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3DA5A173">
      <w:pPr>
        <w:pStyle w:val="11"/>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_Toc1097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第二节 投诉书（格式）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_Toc1097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110</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2E144637">
      <w:pPr>
        <w:pStyle w:val="11"/>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Ansi="宋体" w:cs="宋体"/>
          <w:color w:val="auto"/>
          <w:highlight w:val="none"/>
        </w:rPr>
        <w:sectPr>
          <w:footerReference r:id="rId4" w:type="default"/>
          <w:pgSz w:w="11906" w:h="16838"/>
          <w:pgMar w:top="1440" w:right="1080" w:bottom="1440" w:left="1080" w:header="720" w:footer="720" w:gutter="0"/>
          <w:pgNumType w:fmt="decimal" w:start="1"/>
          <w:cols w:space="720" w:num="1"/>
          <w:docGrid w:type="lines" w:linePitch="331" w:charSpace="0"/>
        </w:sectPr>
      </w:pPr>
      <w:r>
        <w:rPr>
          <w:rFonts w:hint="eastAsia" w:ascii="宋体" w:hAnsi="宋体" w:eastAsia="宋体" w:cs="宋体"/>
          <w:color w:val="auto"/>
          <w:sz w:val="28"/>
          <w:szCs w:val="28"/>
          <w:highlight w:val="none"/>
        </w:rPr>
        <w:fldChar w:fldCharType="end"/>
      </w:r>
      <w:bookmarkStart w:id="0" w:name="_Toc532545041"/>
    </w:p>
    <w:bookmarkEnd w:id="0"/>
    <w:p w14:paraId="7E0C0CE5">
      <w:pPr>
        <w:pStyle w:val="12"/>
        <w:wordWrap w:val="0"/>
        <w:spacing w:line="360" w:lineRule="auto"/>
        <w:jc w:val="center"/>
        <w:outlineLvl w:val="0"/>
        <w:rPr>
          <w:rFonts w:hAnsi="宋体" w:cs="宋体"/>
          <w:b/>
          <w:color w:val="auto"/>
          <w:sz w:val="36"/>
          <w:szCs w:val="36"/>
          <w:highlight w:val="none"/>
        </w:rPr>
      </w:pPr>
      <w:bookmarkStart w:id="1" w:name="_Toc5894"/>
      <w:bookmarkStart w:id="2" w:name="_Toc532545042"/>
      <w:r>
        <w:rPr>
          <w:rFonts w:hint="eastAsia" w:hAnsi="宋体" w:cs="宋体"/>
          <w:b/>
          <w:color w:val="auto"/>
          <w:sz w:val="36"/>
          <w:highlight w:val="none"/>
        </w:rPr>
        <w:t>第一章  招标公告</w:t>
      </w:r>
      <w:bookmarkEnd w:id="1"/>
    </w:p>
    <w:p w14:paraId="68A67309">
      <w:pPr>
        <w:pStyle w:val="12"/>
        <w:wordWrap w:val="0"/>
        <w:spacing w:line="360" w:lineRule="auto"/>
        <w:jc w:val="center"/>
        <w:rPr>
          <w:rFonts w:hAnsi="宋体" w:cs="宋体"/>
          <w:b/>
          <w:color w:val="auto"/>
          <w:sz w:val="30"/>
          <w:szCs w:val="30"/>
          <w:highlight w:val="none"/>
        </w:rPr>
      </w:pPr>
      <w:r>
        <w:rPr>
          <w:rFonts w:hint="eastAsia" w:hAnsi="宋体" w:cs="宋体"/>
          <w:b/>
          <w:color w:val="auto"/>
          <w:sz w:val="30"/>
          <w:szCs w:val="30"/>
          <w:highlight w:val="none"/>
        </w:rPr>
        <w:t>公开招标公告</w:t>
      </w:r>
    </w:p>
    <w:p w14:paraId="0E7D4769">
      <w:pPr>
        <w:pBdr>
          <w:top w:val="single" w:color="auto" w:sz="4" w:space="1"/>
          <w:left w:val="single" w:color="auto" w:sz="4" w:space="4"/>
          <w:bottom w:val="single" w:color="auto" w:sz="4" w:space="1"/>
          <w:right w:val="single" w:color="auto" w:sz="4" w:space="4"/>
        </w:pBd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项目概况</w:t>
      </w:r>
    </w:p>
    <w:p w14:paraId="587DC420">
      <w:pPr>
        <w:pBdr>
          <w:top w:val="single" w:color="auto" w:sz="4" w:space="1"/>
          <w:left w:val="single" w:color="auto" w:sz="4" w:space="4"/>
          <w:bottom w:val="single" w:color="auto" w:sz="4" w:space="1"/>
          <w:right w:val="single" w:color="auto" w:sz="4" w:space="4"/>
        </w:pBdr>
        <w:wordWrap w:val="0"/>
        <w:spacing w:line="360" w:lineRule="auto"/>
        <w:ind w:firstLine="525" w:firstLineChars="250"/>
        <w:rPr>
          <w:rFonts w:hint="eastAsia" w:ascii="宋体" w:hAnsi="宋体" w:cs="宋体"/>
          <w:color w:val="auto"/>
          <w:szCs w:val="21"/>
          <w:highlight w:val="none"/>
        </w:rPr>
      </w:pPr>
      <w:r>
        <w:rPr>
          <w:rFonts w:hint="eastAsia" w:ascii="宋体" w:hAnsi="宋体" w:cs="宋体"/>
          <w:color w:val="auto"/>
          <w:szCs w:val="21"/>
          <w:highlight w:val="none"/>
          <w:u w:val="single"/>
          <w:lang w:eastAsia="zh-CN"/>
        </w:rPr>
        <w:t>信息系统日常运行维护服务-南宁市城市管理综合行政执法数字化系统运行维护</w:t>
      </w:r>
      <w:r>
        <w:rPr>
          <w:rFonts w:hint="eastAsia" w:ascii="宋体" w:hAnsi="宋体" w:cs="宋体"/>
          <w:color w:val="auto"/>
          <w:szCs w:val="21"/>
          <w:highlight w:val="none"/>
        </w:rPr>
        <w:t>招标项目的潜在投标人应在</w:t>
      </w:r>
      <w:r>
        <w:rPr>
          <w:rFonts w:hint="eastAsia" w:ascii="宋体" w:hAnsi="宋体" w:cs="宋体"/>
          <w:color w:val="auto"/>
          <w:szCs w:val="21"/>
          <w:highlight w:val="none"/>
          <w:u w:val="single"/>
        </w:rPr>
        <w:t>“广西政府采购云”平台（https://www.gcy.zfcg.gxzf.gov.cn/）</w:t>
      </w:r>
      <w:r>
        <w:rPr>
          <w:rFonts w:hint="eastAsia" w:ascii="宋体" w:hAnsi="宋体" w:cs="宋体"/>
          <w:color w:val="auto"/>
          <w:szCs w:val="21"/>
          <w:highlight w:val="none"/>
        </w:rPr>
        <w:t>获取（下载）招标文件，并于</w:t>
      </w:r>
    </w:p>
    <w:p w14:paraId="70F561BB">
      <w:pPr>
        <w:pBdr>
          <w:top w:val="single" w:color="auto" w:sz="4" w:space="1"/>
          <w:left w:val="single" w:color="auto" w:sz="4" w:space="4"/>
          <w:bottom w:val="single" w:color="auto" w:sz="4" w:space="1"/>
          <w:right w:val="single" w:color="auto" w:sz="4" w:space="4"/>
        </w:pBdr>
        <w:wordWrap w:val="0"/>
        <w:spacing w:line="360" w:lineRule="auto"/>
        <w:rPr>
          <w:rFonts w:ascii="宋体" w:hAnsi="宋体" w:cs="宋体"/>
          <w:color w:val="auto"/>
          <w:szCs w:val="21"/>
          <w:highlight w:val="none"/>
          <w:u w:val="single"/>
        </w:rPr>
      </w:pPr>
      <w:r>
        <w:rPr>
          <w:rFonts w:hint="eastAsia" w:ascii="宋体" w:hAnsi="宋体" w:cs="宋体"/>
          <w:color w:val="auto"/>
          <w:szCs w:val="21"/>
          <w:highlight w:val="none"/>
          <w:u w:val="single"/>
        </w:rPr>
        <w:t>2026年</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25</w:t>
      </w:r>
      <w:r>
        <w:rPr>
          <w:rFonts w:hint="eastAsia" w:ascii="宋体" w:hAnsi="宋体" w:cs="宋体"/>
          <w:color w:val="auto"/>
          <w:szCs w:val="21"/>
          <w:highlight w:val="none"/>
          <w:u w:val="single"/>
        </w:rPr>
        <w:t>日</w:t>
      </w:r>
      <w:r>
        <w:rPr>
          <w:rFonts w:hint="eastAsia" w:ascii="宋体" w:hAnsi="宋体" w:cs="宋体"/>
          <w:color w:val="auto"/>
          <w:szCs w:val="21"/>
          <w:highlight w:val="none"/>
          <w:u w:val="single"/>
          <w:lang w:val="en-US" w:eastAsia="zh-CN"/>
        </w:rPr>
        <w:t>9</w:t>
      </w:r>
      <w:r>
        <w:rPr>
          <w:rFonts w:hint="eastAsia" w:ascii="宋体" w:hAnsi="宋体" w:cs="宋体"/>
          <w:color w:val="auto"/>
          <w:szCs w:val="21"/>
          <w:highlight w:val="none"/>
          <w:u w:val="single"/>
        </w:rPr>
        <w:t>时</w:t>
      </w:r>
      <w:r>
        <w:rPr>
          <w:rFonts w:hint="eastAsia" w:ascii="宋体" w:hAnsi="宋体" w:cs="宋体"/>
          <w:color w:val="auto"/>
          <w:szCs w:val="21"/>
          <w:highlight w:val="none"/>
          <w:u w:val="single"/>
          <w:lang w:val="en-US" w:eastAsia="zh-CN"/>
        </w:rPr>
        <w:t>30</w:t>
      </w:r>
      <w:r>
        <w:rPr>
          <w:rFonts w:hint="eastAsia" w:ascii="宋体" w:hAnsi="宋体" w:cs="宋体"/>
          <w:color w:val="auto"/>
          <w:szCs w:val="21"/>
          <w:highlight w:val="none"/>
          <w:u w:val="single"/>
        </w:rPr>
        <w:t>分00秒</w:t>
      </w:r>
      <w:r>
        <w:rPr>
          <w:rFonts w:hint="eastAsia" w:ascii="宋体" w:hAnsi="宋体" w:cs="宋体"/>
          <w:bCs/>
          <w:color w:val="auto"/>
          <w:szCs w:val="21"/>
          <w:highlight w:val="none"/>
        </w:rPr>
        <w:t>（北京时间）前</w:t>
      </w:r>
      <w:r>
        <w:rPr>
          <w:rFonts w:hint="eastAsia" w:ascii="宋体" w:hAnsi="宋体" w:cs="宋体"/>
          <w:color w:val="auto"/>
          <w:szCs w:val="21"/>
          <w:highlight w:val="none"/>
        </w:rPr>
        <w:t>递交（上传）投标文件。</w:t>
      </w:r>
    </w:p>
    <w:p w14:paraId="2FCA2DA6">
      <w:pPr>
        <w:wordWrap w:val="0"/>
        <w:spacing w:line="360" w:lineRule="auto"/>
        <w:rPr>
          <w:rFonts w:ascii="宋体" w:hAnsi="宋体" w:cs="宋体"/>
          <w:b/>
          <w:bCs/>
          <w:color w:val="auto"/>
          <w:szCs w:val="21"/>
          <w:highlight w:val="none"/>
        </w:rPr>
      </w:pPr>
      <w:r>
        <w:rPr>
          <w:rFonts w:hint="eastAsia" w:ascii="宋体" w:hAnsi="宋体" w:cs="宋体"/>
          <w:b/>
          <w:bCs/>
          <w:color w:val="auto"/>
          <w:szCs w:val="21"/>
          <w:highlight w:val="none"/>
        </w:rPr>
        <w:t>一、项目基本情况</w:t>
      </w:r>
    </w:p>
    <w:p w14:paraId="5F4DEDCB">
      <w:pPr>
        <w:wordWrap w:val="0"/>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项目编号：</w:t>
      </w:r>
      <w:r>
        <w:rPr>
          <w:rFonts w:hint="eastAsia" w:ascii="宋体" w:hAnsi="宋体" w:cs="宋体"/>
          <w:color w:val="auto"/>
          <w:szCs w:val="21"/>
          <w:highlight w:val="none"/>
          <w:lang w:eastAsia="zh-CN"/>
        </w:rPr>
        <w:t>NNZC2026-G3-990373-GXYZ</w:t>
      </w:r>
    </w:p>
    <w:p w14:paraId="092AB6CD">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采购计划文号：NNZC[2026]2166号-001</w:t>
      </w:r>
    </w:p>
    <w:p w14:paraId="2989FD59">
      <w:pPr>
        <w:wordWrap w:val="0"/>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项目名称：</w:t>
      </w:r>
      <w:r>
        <w:rPr>
          <w:rFonts w:hint="eastAsia" w:ascii="宋体" w:hAnsi="宋体" w:cs="宋体"/>
          <w:color w:val="auto"/>
          <w:szCs w:val="21"/>
          <w:highlight w:val="none"/>
          <w:lang w:eastAsia="zh-CN"/>
        </w:rPr>
        <w:t>信息系统日常运行维护服务-南宁市城市管理综合行政执法数字化系统运行维护</w:t>
      </w:r>
    </w:p>
    <w:p w14:paraId="0EDBFE5D">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预算金额：人民币</w:t>
      </w:r>
      <w:r>
        <w:rPr>
          <w:rFonts w:hint="eastAsia" w:ascii="宋体" w:hAnsi="宋体" w:cs="宋体"/>
          <w:color w:val="auto"/>
          <w:szCs w:val="21"/>
          <w:highlight w:val="none"/>
          <w:lang w:val="en-US" w:eastAsia="zh-CN"/>
        </w:rPr>
        <w:t>叁拾伍万伍仟贰佰叁拾贰元整</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355232.00</w:t>
      </w:r>
      <w:r>
        <w:rPr>
          <w:rFonts w:hint="eastAsia" w:ascii="宋体" w:hAnsi="宋体" w:cs="宋体"/>
          <w:color w:val="auto"/>
          <w:szCs w:val="21"/>
          <w:highlight w:val="none"/>
        </w:rPr>
        <w:t>）</w:t>
      </w:r>
    </w:p>
    <w:p w14:paraId="30140467">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最高限价：人民币</w:t>
      </w:r>
      <w:r>
        <w:rPr>
          <w:rFonts w:hint="eastAsia" w:ascii="宋体" w:hAnsi="宋体" w:cs="宋体"/>
          <w:color w:val="auto"/>
          <w:szCs w:val="21"/>
          <w:highlight w:val="none"/>
          <w:lang w:val="en-US" w:eastAsia="zh-CN"/>
        </w:rPr>
        <w:t>叁拾伍万伍仟贰佰叁拾贰元整</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355232.00</w:t>
      </w:r>
      <w:r>
        <w:rPr>
          <w:rFonts w:hint="eastAsia" w:ascii="宋体" w:hAnsi="宋体" w:cs="宋体"/>
          <w:color w:val="auto"/>
          <w:szCs w:val="21"/>
          <w:highlight w:val="none"/>
        </w:rPr>
        <w:t>）</w:t>
      </w:r>
    </w:p>
    <w:p w14:paraId="5E3DD926">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采购需求：</w:t>
      </w:r>
    </w:p>
    <w:tbl>
      <w:tblPr>
        <w:tblStyle w:val="22"/>
        <w:tblW w:w="1017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93"/>
        <w:gridCol w:w="1918"/>
        <w:gridCol w:w="889"/>
        <w:gridCol w:w="862"/>
        <w:gridCol w:w="5711"/>
      </w:tblGrid>
      <w:tr w14:paraId="2C8F01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jc w:val="center"/>
        </w:trPr>
        <w:tc>
          <w:tcPr>
            <w:tcW w:w="793" w:type="dxa"/>
            <w:tcBorders>
              <w:top w:val="single" w:color="auto" w:sz="4" w:space="0"/>
              <w:left w:val="single" w:color="auto" w:sz="4" w:space="0"/>
              <w:bottom w:val="single" w:color="auto" w:sz="4" w:space="0"/>
              <w:right w:val="single" w:color="auto" w:sz="4" w:space="0"/>
            </w:tcBorders>
            <w:vAlign w:val="center"/>
          </w:tcPr>
          <w:p w14:paraId="70F17FEB">
            <w:pPr>
              <w:wordWrap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918" w:type="dxa"/>
            <w:tcBorders>
              <w:top w:val="single" w:color="auto" w:sz="4" w:space="0"/>
              <w:left w:val="single" w:color="auto" w:sz="4" w:space="0"/>
              <w:bottom w:val="single" w:color="auto" w:sz="4" w:space="0"/>
              <w:right w:val="single" w:color="auto" w:sz="4" w:space="0"/>
            </w:tcBorders>
            <w:vAlign w:val="center"/>
          </w:tcPr>
          <w:p w14:paraId="645C9B0C">
            <w:pPr>
              <w:wordWrap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标的名称</w:t>
            </w:r>
          </w:p>
        </w:tc>
        <w:tc>
          <w:tcPr>
            <w:tcW w:w="889" w:type="dxa"/>
            <w:tcBorders>
              <w:top w:val="single" w:color="auto" w:sz="4" w:space="0"/>
              <w:left w:val="single" w:color="auto" w:sz="4" w:space="0"/>
              <w:bottom w:val="single" w:color="auto" w:sz="4" w:space="0"/>
              <w:right w:val="single" w:color="auto" w:sz="4" w:space="0"/>
            </w:tcBorders>
            <w:vAlign w:val="center"/>
          </w:tcPr>
          <w:p w14:paraId="3E644455">
            <w:pPr>
              <w:wordWrap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单位</w:t>
            </w:r>
          </w:p>
        </w:tc>
        <w:tc>
          <w:tcPr>
            <w:tcW w:w="862" w:type="dxa"/>
            <w:tcBorders>
              <w:top w:val="single" w:color="auto" w:sz="4" w:space="0"/>
              <w:left w:val="single" w:color="auto" w:sz="4" w:space="0"/>
              <w:bottom w:val="single" w:color="auto" w:sz="4" w:space="0"/>
              <w:right w:val="single" w:color="auto" w:sz="4" w:space="0"/>
            </w:tcBorders>
            <w:vAlign w:val="center"/>
          </w:tcPr>
          <w:p w14:paraId="37C58A2E">
            <w:pPr>
              <w:wordWrap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数量</w:t>
            </w:r>
          </w:p>
        </w:tc>
        <w:tc>
          <w:tcPr>
            <w:tcW w:w="5711" w:type="dxa"/>
            <w:tcBorders>
              <w:top w:val="single" w:color="auto" w:sz="4" w:space="0"/>
              <w:left w:val="single" w:color="auto" w:sz="4" w:space="0"/>
              <w:bottom w:val="single" w:color="auto" w:sz="4" w:space="0"/>
              <w:right w:val="single" w:color="auto" w:sz="4" w:space="0"/>
            </w:tcBorders>
            <w:vAlign w:val="center"/>
          </w:tcPr>
          <w:p w14:paraId="3A84DFED">
            <w:pPr>
              <w:wordWrap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简要服务要求或者技术需求</w:t>
            </w:r>
          </w:p>
        </w:tc>
      </w:tr>
      <w:tr w14:paraId="06FC36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93" w:type="dxa"/>
            <w:tcBorders>
              <w:top w:val="single" w:color="auto" w:sz="4" w:space="0"/>
              <w:left w:val="single" w:color="auto" w:sz="4" w:space="0"/>
              <w:bottom w:val="single" w:color="auto" w:sz="4" w:space="0"/>
              <w:right w:val="single" w:color="auto" w:sz="4" w:space="0"/>
            </w:tcBorders>
            <w:vAlign w:val="center"/>
          </w:tcPr>
          <w:p w14:paraId="0C7E4A4C">
            <w:pPr>
              <w:wordWrap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1918" w:type="dxa"/>
            <w:tcBorders>
              <w:top w:val="single" w:color="auto" w:sz="4" w:space="0"/>
              <w:left w:val="single" w:color="auto" w:sz="4" w:space="0"/>
              <w:bottom w:val="single" w:color="auto" w:sz="4" w:space="0"/>
              <w:right w:val="single" w:color="auto" w:sz="4" w:space="0"/>
            </w:tcBorders>
            <w:vAlign w:val="center"/>
          </w:tcPr>
          <w:p w14:paraId="3BCFF4CF">
            <w:pPr>
              <w:wordWrap w:val="0"/>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信息系统日常运行维护服务-南宁市城市管理综合行政执法数字化系统运行维护</w:t>
            </w:r>
          </w:p>
        </w:tc>
        <w:tc>
          <w:tcPr>
            <w:tcW w:w="889" w:type="dxa"/>
            <w:tcBorders>
              <w:top w:val="single" w:color="auto" w:sz="4" w:space="0"/>
              <w:left w:val="single" w:color="auto" w:sz="4" w:space="0"/>
              <w:bottom w:val="single" w:color="auto" w:sz="4" w:space="0"/>
              <w:right w:val="single" w:color="auto" w:sz="4" w:space="0"/>
            </w:tcBorders>
            <w:vAlign w:val="center"/>
          </w:tcPr>
          <w:p w14:paraId="35784BAB">
            <w:pPr>
              <w:wordWrap w:val="0"/>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项</w:t>
            </w:r>
          </w:p>
        </w:tc>
        <w:tc>
          <w:tcPr>
            <w:tcW w:w="862" w:type="dxa"/>
            <w:tcBorders>
              <w:top w:val="single" w:color="auto" w:sz="4" w:space="0"/>
              <w:left w:val="single" w:color="auto" w:sz="4" w:space="0"/>
              <w:bottom w:val="single" w:color="auto" w:sz="4" w:space="0"/>
              <w:right w:val="single" w:color="auto" w:sz="4" w:space="0"/>
            </w:tcBorders>
            <w:vAlign w:val="center"/>
          </w:tcPr>
          <w:p w14:paraId="315A3BDE">
            <w:pPr>
              <w:wordWrap w:val="0"/>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w:t>
            </w:r>
          </w:p>
        </w:tc>
        <w:tc>
          <w:tcPr>
            <w:tcW w:w="5711" w:type="dxa"/>
            <w:tcBorders>
              <w:top w:val="single" w:color="auto" w:sz="4" w:space="0"/>
              <w:left w:val="single" w:color="auto" w:sz="4" w:space="0"/>
              <w:bottom w:val="single" w:color="auto" w:sz="4" w:space="0"/>
              <w:right w:val="single" w:color="auto" w:sz="4" w:space="0"/>
            </w:tcBorders>
            <w:vAlign w:val="center"/>
          </w:tcPr>
          <w:p w14:paraId="42B67590">
            <w:pPr>
              <w:spacing w:line="42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一、项目概况</w:t>
            </w:r>
          </w:p>
          <w:p w14:paraId="2C18613E">
            <w:pPr>
              <w:spacing w:line="42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对</w:t>
            </w:r>
            <w:r>
              <w:rPr>
                <w:rFonts w:hint="eastAsia" w:ascii="宋体" w:hAnsi="宋体" w:eastAsia="宋体" w:cs="宋体"/>
                <w:bCs/>
                <w:color w:val="auto"/>
                <w:sz w:val="21"/>
                <w:szCs w:val="21"/>
                <w:highlight w:val="none"/>
                <w:lang w:eastAsia="zh-CN"/>
              </w:rPr>
              <w:t>南宁市城市管理综合行政执法数字化系统（以下简称执法系统）</w:t>
            </w:r>
            <w:r>
              <w:rPr>
                <w:rFonts w:hint="eastAsia" w:ascii="宋体" w:hAnsi="宋体" w:eastAsia="宋体" w:cs="宋体"/>
                <w:bCs/>
                <w:color w:val="auto"/>
                <w:sz w:val="21"/>
                <w:szCs w:val="21"/>
                <w:highlight w:val="none"/>
              </w:rPr>
              <w:t>及相关的项目范畴提供运行维护服务，包含但不限于11个应用子系统、</w:t>
            </w:r>
            <w:r>
              <w:rPr>
                <w:rFonts w:hint="eastAsia" w:ascii="宋体" w:hAnsi="宋体" w:cs="宋体"/>
                <w:bCs/>
                <w:color w:val="auto"/>
                <w:sz w:val="21"/>
                <w:szCs w:val="21"/>
                <w:highlight w:val="none"/>
                <w:lang w:eastAsia="zh-CN"/>
              </w:rPr>
              <w:t>执法通</w:t>
            </w:r>
            <w:r>
              <w:rPr>
                <w:rFonts w:hint="eastAsia" w:ascii="宋体" w:hAnsi="宋体" w:eastAsia="宋体" w:cs="宋体"/>
                <w:bCs/>
                <w:color w:val="auto"/>
                <w:sz w:val="21"/>
                <w:szCs w:val="21"/>
                <w:highlight w:val="none"/>
              </w:rPr>
              <w:t>App、系统云平台、执法记录仪、执法数据采集站</w:t>
            </w:r>
            <w:r>
              <w:rPr>
                <w:rFonts w:hint="eastAsia" w:ascii="宋体" w:hAnsi="宋体" w:cs="宋体"/>
                <w:bCs/>
                <w:color w:val="auto"/>
                <w:sz w:val="21"/>
                <w:szCs w:val="21"/>
                <w:highlight w:val="none"/>
                <w:lang w:eastAsia="zh-CN"/>
              </w:rPr>
              <w:t>等</w:t>
            </w:r>
            <w:r>
              <w:rPr>
                <w:rFonts w:hint="eastAsia" w:ascii="宋体" w:hAnsi="宋体" w:eastAsia="宋体" w:cs="宋体"/>
                <w:bCs/>
                <w:color w:val="auto"/>
                <w:sz w:val="21"/>
                <w:szCs w:val="21"/>
                <w:highlight w:val="none"/>
              </w:rPr>
              <w:t>相关平台系统软硬件。对</w:t>
            </w:r>
            <w:r>
              <w:rPr>
                <w:rFonts w:hint="eastAsia" w:ascii="宋体" w:hAnsi="宋体" w:eastAsia="宋体" w:cs="宋体"/>
                <w:bCs/>
                <w:color w:val="auto"/>
                <w:sz w:val="21"/>
                <w:szCs w:val="21"/>
                <w:highlight w:val="none"/>
                <w:lang w:eastAsia="zh-CN"/>
              </w:rPr>
              <w:t>执法</w:t>
            </w:r>
            <w:r>
              <w:rPr>
                <w:rFonts w:hint="eastAsia" w:ascii="宋体" w:hAnsi="宋体" w:eastAsia="宋体" w:cs="宋体"/>
                <w:bCs/>
                <w:color w:val="auto"/>
                <w:sz w:val="21"/>
                <w:szCs w:val="21"/>
                <w:highlight w:val="none"/>
              </w:rPr>
              <w:t>系统功能、流程进行优化，保证系统</w:t>
            </w:r>
            <w:r>
              <w:rPr>
                <w:rFonts w:hint="eastAsia" w:ascii="宋体" w:hAnsi="宋体" w:eastAsia="宋体" w:cs="宋体"/>
                <w:bCs/>
                <w:color w:val="auto"/>
                <w:sz w:val="21"/>
                <w:szCs w:val="21"/>
                <w:highlight w:val="none"/>
                <w:lang w:eastAsia="zh-CN"/>
              </w:rPr>
              <w:t>网络数据安全、以及</w:t>
            </w:r>
            <w:r>
              <w:rPr>
                <w:rFonts w:hint="eastAsia" w:ascii="宋体" w:hAnsi="宋体" w:eastAsia="宋体" w:cs="宋体"/>
                <w:bCs/>
                <w:color w:val="auto"/>
                <w:sz w:val="21"/>
                <w:szCs w:val="21"/>
                <w:highlight w:val="none"/>
              </w:rPr>
              <w:t>数据的完整性</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连续性</w:t>
            </w:r>
            <w:r>
              <w:rPr>
                <w:rFonts w:hint="eastAsia" w:ascii="宋体" w:hAnsi="宋体" w:eastAsia="宋体" w:cs="宋体"/>
                <w:bCs/>
                <w:color w:val="auto"/>
                <w:sz w:val="21"/>
                <w:szCs w:val="21"/>
                <w:highlight w:val="none"/>
                <w:lang w:eastAsia="zh-CN"/>
              </w:rPr>
              <w:t>等</w:t>
            </w:r>
            <w:r>
              <w:rPr>
                <w:rFonts w:hint="eastAsia" w:ascii="宋体" w:hAnsi="宋体" w:eastAsia="宋体" w:cs="宋体"/>
                <w:bCs/>
                <w:color w:val="auto"/>
                <w:sz w:val="21"/>
                <w:szCs w:val="21"/>
                <w:highlight w:val="none"/>
              </w:rPr>
              <w:t>。同时提高流程设计的灵活性、可扩展性，使之</w:t>
            </w:r>
            <w:r>
              <w:rPr>
                <w:rFonts w:hint="eastAsia" w:ascii="宋体" w:hAnsi="宋体" w:cs="宋体"/>
                <w:bCs/>
                <w:color w:val="auto"/>
                <w:sz w:val="21"/>
                <w:szCs w:val="21"/>
                <w:highlight w:val="none"/>
                <w:lang w:eastAsia="zh-CN"/>
              </w:rPr>
              <w:t>更加</w:t>
            </w:r>
            <w:r>
              <w:rPr>
                <w:rFonts w:hint="eastAsia" w:ascii="宋体" w:hAnsi="宋体" w:eastAsia="宋体" w:cs="宋体"/>
                <w:bCs/>
                <w:color w:val="auto"/>
                <w:sz w:val="21"/>
                <w:szCs w:val="21"/>
                <w:highlight w:val="none"/>
              </w:rPr>
              <w:t>符合城市管理综合行政执法要求，有利于提升城市管理综合行政执法效能。</w:t>
            </w:r>
          </w:p>
          <w:p w14:paraId="7170961E">
            <w:pPr>
              <w:wordWrap w:val="0"/>
              <w:snapToGrid w:val="0"/>
              <w:spacing w:line="360" w:lineRule="auto"/>
              <w:jc w:val="left"/>
              <w:rPr>
                <w:rFonts w:ascii="宋体" w:hAnsi="宋体" w:cs="宋体"/>
                <w:color w:val="auto"/>
                <w:szCs w:val="21"/>
                <w:highlight w:val="none"/>
              </w:rPr>
            </w:pPr>
            <w:r>
              <w:rPr>
                <w:rFonts w:hint="eastAsia" w:ascii="宋体" w:hAnsi="宋体" w:cs="宋体"/>
                <w:b/>
                <w:bCs/>
                <w:color w:val="auto"/>
                <w:szCs w:val="21"/>
                <w:highlight w:val="none"/>
              </w:rPr>
              <w:t>……具体详见公开招标文件。</w:t>
            </w:r>
          </w:p>
        </w:tc>
      </w:tr>
    </w:tbl>
    <w:p w14:paraId="0B4BDDFB">
      <w:pPr>
        <w:wordWrap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合同履行期限：详见公开招标文件。</w:t>
      </w:r>
    </w:p>
    <w:p w14:paraId="4908EF97">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是否接受联合体投标：本项目不接受联合体。</w:t>
      </w:r>
    </w:p>
    <w:p w14:paraId="75949FEF">
      <w:pPr>
        <w:wordWrap w:val="0"/>
        <w:spacing w:line="360" w:lineRule="auto"/>
        <w:rPr>
          <w:rFonts w:ascii="宋体" w:hAnsi="宋体" w:cs="宋体"/>
          <w:b/>
          <w:bCs/>
          <w:color w:val="auto"/>
          <w:szCs w:val="21"/>
          <w:highlight w:val="none"/>
        </w:rPr>
      </w:pPr>
      <w:r>
        <w:rPr>
          <w:rFonts w:hint="eastAsia" w:ascii="宋体" w:hAnsi="宋体" w:cs="宋体"/>
          <w:b/>
          <w:bCs/>
          <w:color w:val="auto"/>
          <w:szCs w:val="21"/>
          <w:highlight w:val="none"/>
        </w:rPr>
        <w:t>二、投标人的资格要求：</w:t>
      </w:r>
    </w:p>
    <w:p w14:paraId="695D4138">
      <w:pPr>
        <w:wordWrap w:val="0"/>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1.满足《中华人民共和国政府采购法》第二十二条规定</w:t>
      </w:r>
      <w:r>
        <w:rPr>
          <w:rFonts w:hint="eastAsia" w:ascii="宋体" w:hAnsi="宋体" w:cs="宋体"/>
          <w:color w:val="auto"/>
          <w:szCs w:val="21"/>
          <w:highlight w:val="none"/>
          <w:lang w:eastAsia="zh-CN"/>
        </w:rPr>
        <w:t>。</w:t>
      </w:r>
    </w:p>
    <w:p w14:paraId="0076CE37">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2.落实政府采购政策需满足的资格要求：</w:t>
      </w:r>
    </w:p>
    <w:p w14:paraId="2B03A9AB">
      <w:pPr>
        <w:wordWrap w:val="0"/>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□专门面向中小企业采购的项目（供应商应为中小企业、监狱企业、残疾人福利性单位)</w:t>
      </w:r>
      <w:r>
        <w:rPr>
          <w:rFonts w:hint="eastAsia" w:ascii="宋体" w:hAnsi="宋体" w:cs="宋体"/>
          <w:color w:val="auto"/>
          <w:szCs w:val="21"/>
          <w:highlight w:val="none"/>
          <w:lang w:eastAsia="zh-CN"/>
        </w:rPr>
        <w:t>；</w:t>
      </w:r>
    </w:p>
    <w:p w14:paraId="6B3312E8">
      <w:pPr>
        <w:wordWrap w:val="0"/>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☑非专门面向中小企业采购的项目</w:t>
      </w:r>
      <w:r>
        <w:rPr>
          <w:rFonts w:hint="eastAsia" w:ascii="宋体" w:hAnsi="宋体" w:cs="宋体"/>
          <w:color w:val="auto"/>
          <w:szCs w:val="21"/>
          <w:highlight w:val="none"/>
          <w:lang w:eastAsia="zh-CN"/>
        </w:rPr>
        <w:t>。</w:t>
      </w:r>
    </w:p>
    <w:p w14:paraId="0D34B343">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3.本项目的特定资格要求：</w:t>
      </w:r>
      <w:r>
        <w:rPr>
          <w:rFonts w:hint="eastAsia" w:ascii="宋体" w:hAnsi="宋体" w:cs="宋体"/>
          <w:color w:val="auto"/>
          <w:szCs w:val="21"/>
          <w:highlight w:val="none"/>
          <w:lang w:val="en-US" w:eastAsia="zh-CN"/>
        </w:rPr>
        <w:t>无</w:t>
      </w:r>
      <w:r>
        <w:rPr>
          <w:rFonts w:hint="eastAsia" w:ascii="宋体" w:hAnsi="宋体" w:cs="宋体"/>
          <w:color w:val="auto"/>
          <w:szCs w:val="21"/>
          <w:highlight w:val="none"/>
        </w:rPr>
        <w:t>。</w:t>
      </w:r>
    </w:p>
    <w:p w14:paraId="69C3BDFD">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4.本项目的特定条件：无。</w:t>
      </w:r>
    </w:p>
    <w:p w14:paraId="5C11152B">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4B437E89">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12518163">
      <w:pPr>
        <w:wordWrap w:val="0"/>
        <w:spacing w:line="360" w:lineRule="auto"/>
        <w:rPr>
          <w:rFonts w:ascii="宋体" w:hAnsi="宋体" w:cs="宋体"/>
          <w:b/>
          <w:bCs/>
          <w:color w:val="auto"/>
          <w:szCs w:val="21"/>
          <w:highlight w:val="none"/>
        </w:rPr>
      </w:pPr>
      <w:r>
        <w:rPr>
          <w:rFonts w:hint="eastAsia" w:ascii="宋体" w:hAnsi="宋体" w:cs="宋体"/>
          <w:b/>
          <w:bCs/>
          <w:color w:val="auto"/>
          <w:szCs w:val="21"/>
          <w:highlight w:val="none"/>
        </w:rPr>
        <w:t>三、获取招标文件</w:t>
      </w:r>
    </w:p>
    <w:p w14:paraId="145CF1FA">
      <w:pPr>
        <w:wordWrap w:val="0"/>
        <w:snapToGrid w:val="0"/>
        <w:spacing w:line="360" w:lineRule="auto"/>
        <w:ind w:firstLine="472" w:firstLineChars="225"/>
        <w:rPr>
          <w:rFonts w:ascii="宋体" w:hAnsi="宋体" w:cs="宋体"/>
          <w:color w:val="auto"/>
          <w:szCs w:val="21"/>
          <w:highlight w:val="none"/>
        </w:rPr>
      </w:pPr>
      <w:r>
        <w:rPr>
          <w:rFonts w:hint="eastAsia" w:ascii="宋体" w:hAnsi="宋体" w:cs="宋体"/>
          <w:color w:val="auto"/>
          <w:szCs w:val="21"/>
          <w:highlight w:val="none"/>
        </w:rPr>
        <w:t>时间：自公告发布之日起。</w:t>
      </w:r>
    </w:p>
    <w:p w14:paraId="468C15EF">
      <w:pPr>
        <w:wordWrap w:val="0"/>
        <w:spacing w:line="360" w:lineRule="auto"/>
        <w:ind w:firstLine="420" w:firstLineChars="200"/>
        <w:rPr>
          <w:rFonts w:ascii="宋体" w:hAnsi="宋体" w:cs="宋体"/>
          <w:b/>
          <w:bCs/>
          <w:color w:val="auto"/>
          <w:szCs w:val="21"/>
          <w:highlight w:val="none"/>
        </w:rPr>
      </w:pPr>
      <w:r>
        <w:rPr>
          <w:rFonts w:hint="eastAsia" w:ascii="宋体" w:hAnsi="宋体" w:cs="宋体"/>
          <w:color w:val="auto"/>
          <w:szCs w:val="21"/>
          <w:highlight w:val="none"/>
        </w:rPr>
        <w:t>获取方式：网上下载。本项目不发放纸质文件，供应商可自行在</w:t>
      </w:r>
      <w:r>
        <w:rPr>
          <w:color w:val="auto"/>
          <w:highlight w:val="none"/>
        </w:rPr>
        <w:fldChar w:fldCharType="begin"/>
      </w:r>
      <w:r>
        <w:rPr>
          <w:color w:val="auto"/>
          <w:highlight w:val="none"/>
        </w:rPr>
        <w:instrText xml:space="preserve"> HYPERLINK </w:instrText>
      </w:r>
      <w:r>
        <w:rPr>
          <w:color w:val="auto"/>
          <w:highlight w:val="none"/>
        </w:rPr>
        <w:fldChar w:fldCharType="separate"/>
      </w:r>
      <w:r>
        <w:rPr>
          <w:color w:val="auto"/>
          <w:highlight w:val="none"/>
        </w:rPr>
        <w:fldChar w:fldCharType="end"/>
      </w:r>
      <w:r>
        <w:rPr>
          <w:rFonts w:hint="eastAsia" w:ascii="宋体" w:hAnsi="宋体" w:cs="宋体"/>
          <w:color w:val="auto"/>
          <w:szCs w:val="21"/>
          <w:highlight w:val="none"/>
        </w:rPr>
        <w:t>“广西政府采购云”平台（</w:t>
      </w:r>
      <w:r>
        <w:rPr>
          <w:rFonts w:hint="eastAsia" w:ascii="宋体" w:hAnsi="宋体" w:cs="宋体"/>
          <w:color w:val="auto"/>
          <w:kern w:val="0"/>
          <w:szCs w:val="21"/>
          <w:highlight w:val="none"/>
        </w:rPr>
        <w:t>https://www.gcy.zfcg.gxzf.gov.cn/</w:t>
      </w:r>
      <w:r>
        <w:rPr>
          <w:rFonts w:hint="eastAsia" w:ascii="宋体" w:hAnsi="宋体" w:cs="宋体"/>
          <w:color w:val="auto"/>
          <w:szCs w:val="21"/>
          <w:highlight w:val="none"/>
        </w:rPr>
        <w:t>）下载招标文件（操作路径：登录“广西政府采购云”平台-项目采购-获取采购文件-找到本项目-点击“申请获取采购文件”），电子投标文件制作需要基于“广西政府采购云”平台获取的招标文件编制。</w:t>
      </w:r>
    </w:p>
    <w:p w14:paraId="22175F26">
      <w:pPr>
        <w:wordWrap w:val="0"/>
        <w:snapToGrid w:val="0"/>
        <w:spacing w:line="360" w:lineRule="auto"/>
        <w:ind w:firstLine="472" w:firstLineChars="225"/>
        <w:rPr>
          <w:rFonts w:ascii="宋体" w:hAnsi="宋体" w:cs="宋体"/>
          <w:color w:val="auto"/>
          <w:szCs w:val="21"/>
          <w:highlight w:val="none"/>
        </w:rPr>
      </w:pPr>
      <w:r>
        <w:rPr>
          <w:rFonts w:hint="eastAsia" w:ascii="宋体" w:hAnsi="宋体" w:cs="宋体"/>
          <w:color w:val="auto"/>
          <w:szCs w:val="21"/>
          <w:highlight w:val="none"/>
        </w:rPr>
        <w:t>售价：0元。</w:t>
      </w:r>
    </w:p>
    <w:p w14:paraId="32E65F5F">
      <w:pPr>
        <w:wordWrap w:val="0"/>
        <w:spacing w:line="360" w:lineRule="auto"/>
        <w:rPr>
          <w:rFonts w:ascii="宋体" w:hAnsi="宋体" w:cs="宋体"/>
          <w:b/>
          <w:bCs/>
          <w:color w:val="auto"/>
          <w:szCs w:val="21"/>
          <w:highlight w:val="none"/>
        </w:rPr>
      </w:pPr>
      <w:r>
        <w:rPr>
          <w:rFonts w:hint="eastAsia" w:ascii="宋体" w:hAnsi="宋体" w:cs="宋体"/>
          <w:b/>
          <w:bCs/>
          <w:color w:val="auto"/>
          <w:szCs w:val="21"/>
          <w:highlight w:val="none"/>
        </w:rPr>
        <w:t>四、提交投标文件截止时间、开标时间和地点</w:t>
      </w:r>
    </w:p>
    <w:p w14:paraId="3D83A33A">
      <w:pPr>
        <w:wordWrap w:val="0"/>
        <w:spacing w:line="360" w:lineRule="auto"/>
        <w:ind w:firstLine="420" w:firstLineChars="200"/>
        <w:rPr>
          <w:rFonts w:ascii="宋体" w:hAnsi="宋体" w:cs="宋体"/>
          <w:color w:val="auto"/>
          <w:szCs w:val="21"/>
          <w:highlight w:val="none"/>
          <w:u w:val="single"/>
        </w:rPr>
      </w:pPr>
      <w:r>
        <w:rPr>
          <w:rFonts w:hint="eastAsia" w:ascii="宋体" w:hAnsi="宋体" w:cs="宋体"/>
          <w:bCs/>
          <w:color w:val="auto"/>
          <w:szCs w:val="21"/>
          <w:highlight w:val="none"/>
        </w:rPr>
        <w:t>1.提交投标文件截止时间和开标时间：</w:t>
      </w:r>
      <w:r>
        <w:rPr>
          <w:rFonts w:hint="eastAsia" w:ascii="宋体" w:hAnsi="宋体" w:cs="宋体"/>
          <w:color w:val="auto"/>
          <w:szCs w:val="21"/>
          <w:highlight w:val="none"/>
          <w:u w:val="single"/>
        </w:rPr>
        <w:t>2026年</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25</w:t>
      </w:r>
      <w:r>
        <w:rPr>
          <w:rFonts w:hint="eastAsia" w:ascii="宋体" w:hAnsi="宋体" w:cs="宋体"/>
          <w:color w:val="auto"/>
          <w:szCs w:val="21"/>
          <w:highlight w:val="none"/>
          <w:u w:val="single"/>
        </w:rPr>
        <w:t>日9时30分00秒</w:t>
      </w:r>
      <w:r>
        <w:rPr>
          <w:rFonts w:hint="eastAsia" w:ascii="宋体" w:hAnsi="宋体" w:cs="宋体"/>
          <w:bCs/>
          <w:color w:val="auto"/>
          <w:szCs w:val="21"/>
          <w:highlight w:val="none"/>
        </w:rPr>
        <w:t>（北京时间）</w:t>
      </w:r>
    </w:p>
    <w:p w14:paraId="4F93E4A7">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2.投标和开标地点：</w:t>
      </w:r>
    </w:p>
    <w:p w14:paraId="705D9936">
      <w:pPr>
        <w:widowControl/>
        <w:wordWrap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（1）投标文件提交方式：本项目为南宁市全流程电子化项目，通过“广西政府采购云”平台（</w:t>
      </w:r>
      <w:r>
        <w:rPr>
          <w:rFonts w:hint="eastAsia" w:ascii="宋体" w:hAnsi="宋体" w:cs="宋体"/>
          <w:color w:val="auto"/>
          <w:kern w:val="0"/>
          <w:szCs w:val="21"/>
          <w:highlight w:val="none"/>
        </w:rPr>
        <w:t>https://www.gcy.zfcg.gxzf.gov.cn/</w:t>
      </w:r>
      <w:r>
        <w:rPr>
          <w:rFonts w:hint="eastAsia" w:ascii="宋体" w:hAnsi="宋体" w:cs="宋体"/>
          <w:color w:val="auto"/>
          <w:szCs w:val="21"/>
          <w:highlight w:val="none"/>
        </w:rPr>
        <w:t>）实行在线电子投标，供应商应先安装“广西政府采购云电子交易客户端”（请自行前往“广西政府采购云”平台进行下载），并按照本项目招标文件和“广西政府采购云”平台的要求编制、加密后在投标截止时间前通过网络上传至南宁市“广西政府采购云”平台，</w:t>
      </w:r>
      <w:r>
        <w:rPr>
          <w:rFonts w:hint="eastAsia" w:ascii="宋体" w:hAnsi="宋体" w:cs="宋体"/>
          <w:b/>
          <w:color w:val="auto"/>
          <w:szCs w:val="21"/>
          <w:highlight w:val="none"/>
        </w:rPr>
        <w:t>供应商在“广西政府采购云”平台提交电子版投标文件时，请填写参加远程开标活动经办人联系方式，</w:t>
      </w:r>
      <w:r>
        <w:rPr>
          <w:rFonts w:hint="eastAsia" w:ascii="宋体" w:hAnsi="宋体" w:cs="宋体"/>
          <w:color w:val="auto"/>
          <w:szCs w:val="21"/>
          <w:highlight w:val="none"/>
        </w:rPr>
        <w:t>电子投标具体操作流程详见本公告附件 。</w:t>
      </w:r>
    </w:p>
    <w:p w14:paraId="2DA3A1D8">
      <w:pPr>
        <w:widowControl/>
        <w:wordWrap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未进行网上注册并办理数字证书（CA认证）的供应商将无法参与本项目政府采购活动，潜在供应商应当在投标截止时间前，完成电子交易平台上的CA数字证书办理（申领流程见本公告附件2）及投标文件的提交。完成CA数字证书办理预计7日左右，投标人只需办理其中一家CA数字证书及签章，建议各投标人抓紧时间办理。</w:t>
      </w:r>
    </w:p>
    <w:p w14:paraId="3639D961">
      <w:pPr>
        <w:widowControl/>
        <w:wordWrap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（3）为确保网上操作合法、有效和安全，请投标人确保在电子投标过程中能够对相关数据电文进行加密和使用电子签章，妥善保管CA数字证书并使用有效的CA数字证书参与整个招标活动。</w:t>
      </w:r>
    </w:p>
    <w:p w14:paraId="6625EA83">
      <w:pPr>
        <w:wordWrap w:val="0"/>
        <w:spacing w:line="360" w:lineRule="auto"/>
        <w:ind w:firstLine="420" w:firstLineChars="200"/>
        <w:rPr>
          <w:rFonts w:ascii="宋体" w:hAnsi="宋体" w:cs="宋体"/>
          <w:bCs/>
          <w:color w:val="auto"/>
          <w:szCs w:val="21"/>
          <w:highlight w:val="none"/>
          <w:u w:val="single"/>
        </w:rPr>
      </w:pPr>
      <w:r>
        <w:rPr>
          <w:rFonts w:hint="eastAsia" w:ascii="宋体" w:hAnsi="宋体" w:cs="宋体"/>
          <w:bCs/>
          <w:color w:val="auto"/>
          <w:szCs w:val="21"/>
          <w:highlight w:val="none"/>
          <w:u w:val="single"/>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14:paraId="4E459056">
      <w:pPr>
        <w:widowControl/>
        <w:wordWrap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（4）开标地点：本次招标将于2026年</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25</w:t>
      </w:r>
      <w:r>
        <w:rPr>
          <w:rFonts w:hint="eastAsia" w:ascii="宋体" w:hAnsi="宋体" w:cs="宋体"/>
          <w:color w:val="auto"/>
          <w:szCs w:val="21"/>
          <w:highlight w:val="none"/>
        </w:rPr>
        <w:t>日9时30分00秒在“广西政府采购云”平台电子开标大厅开标。</w:t>
      </w:r>
    </w:p>
    <w:p w14:paraId="1554AF09">
      <w:pPr>
        <w:wordWrap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5）CA证书在线解密：供应商投标时，需携带制作投标文件时用来加密的有效数字证书（CA认证）登录“广西政府采购云”平台电子开标大厅现场按规定时间对加密的投标文件进行解密，未能按要求进行解密的，由此产生的后果由投标人自行承担。</w:t>
      </w:r>
    </w:p>
    <w:p w14:paraId="11CCCC13">
      <w:pPr>
        <w:wordWrap w:val="0"/>
        <w:spacing w:line="360" w:lineRule="auto"/>
        <w:rPr>
          <w:rFonts w:ascii="宋体" w:hAnsi="宋体" w:cs="宋体"/>
          <w:b/>
          <w:bCs/>
          <w:color w:val="auto"/>
          <w:szCs w:val="21"/>
          <w:highlight w:val="none"/>
        </w:rPr>
      </w:pPr>
      <w:r>
        <w:rPr>
          <w:rFonts w:hint="eastAsia" w:ascii="宋体" w:hAnsi="宋体" w:cs="宋体"/>
          <w:b/>
          <w:bCs/>
          <w:color w:val="auto"/>
          <w:szCs w:val="21"/>
          <w:highlight w:val="none"/>
        </w:rPr>
        <w:t>五、公告期限</w:t>
      </w:r>
    </w:p>
    <w:p w14:paraId="6137D92E">
      <w:pPr>
        <w:wordWrap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74EBD4DE">
      <w:pPr>
        <w:wordWrap w:val="0"/>
        <w:spacing w:line="360" w:lineRule="auto"/>
        <w:rPr>
          <w:rFonts w:ascii="宋体" w:hAnsi="宋体" w:cs="宋体"/>
          <w:b/>
          <w:bCs/>
          <w:color w:val="auto"/>
          <w:szCs w:val="21"/>
          <w:highlight w:val="none"/>
        </w:rPr>
      </w:pPr>
      <w:r>
        <w:rPr>
          <w:rFonts w:hint="eastAsia" w:ascii="宋体" w:hAnsi="宋体" w:cs="宋体"/>
          <w:b/>
          <w:bCs/>
          <w:color w:val="auto"/>
          <w:szCs w:val="21"/>
          <w:highlight w:val="none"/>
        </w:rPr>
        <w:t>六、其他补充事宜</w:t>
      </w:r>
    </w:p>
    <w:p w14:paraId="1AC33B4C">
      <w:pPr>
        <w:wordWrap w:val="0"/>
        <w:spacing w:line="360" w:lineRule="auto"/>
        <w:ind w:firstLine="315" w:firstLineChars="150"/>
        <w:rPr>
          <w:rFonts w:ascii="宋体" w:hAnsi="宋体" w:cs="宋体"/>
          <w:color w:val="auto"/>
          <w:kern w:val="0"/>
          <w:szCs w:val="21"/>
          <w:highlight w:val="none"/>
        </w:rPr>
      </w:pPr>
      <w:r>
        <w:rPr>
          <w:rFonts w:hint="eastAsia" w:ascii="宋体" w:hAnsi="宋体" w:cs="宋体"/>
          <w:color w:val="auto"/>
          <w:kern w:val="0"/>
          <w:szCs w:val="21"/>
          <w:highlight w:val="none"/>
        </w:rPr>
        <w:t>1.投标保证金：本项目不收取投标保证金。</w:t>
      </w:r>
    </w:p>
    <w:p w14:paraId="0F6B9955">
      <w:pPr>
        <w:wordWrap w:val="0"/>
        <w:spacing w:line="360" w:lineRule="auto"/>
        <w:ind w:firstLine="315" w:firstLineChars="150"/>
        <w:rPr>
          <w:rFonts w:ascii="宋体" w:hAnsi="宋体" w:cs="宋体"/>
          <w:color w:val="auto"/>
          <w:kern w:val="0"/>
          <w:szCs w:val="21"/>
          <w:highlight w:val="none"/>
        </w:rPr>
      </w:pPr>
      <w:r>
        <w:rPr>
          <w:rFonts w:hint="eastAsia" w:ascii="宋体" w:hAnsi="宋体" w:cs="宋体"/>
          <w:color w:val="auto"/>
          <w:kern w:val="0"/>
          <w:szCs w:val="21"/>
          <w:highlight w:val="none"/>
        </w:rPr>
        <w:t>2.采购意向公开链接：南宁市市政和园林管理局2026年1月至12月政府采购意向https://zfcg.gxzf.gov.cn/luban/detail?parentId=66485&amp;articleId=ann_YMtX6mOA8aB0ltP7twD5XtD5ndTMr3NGt5TILBJnhQo=&amp;utm=web-micro-app-back-front.126ca70.cPlanInfo.3.1c65825059a011f1ae77f56b92ed5b89。</w:t>
      </w:r>
    </w:p>
    <w:p w14:paraId="7BCEDD53">
      <w:pPr>
        <w:wordWrap w:val="0"/>
        <w:spacing w:line="360" w:lineRule="auto"/>
        <w:ind w:firstLine="315" w:firstLineChars="150"/>
        <w:rPr>
          <w:rFonts w:ascii="宋体" w:hAnsi="宋体" w:cs="宋体"/>
          <w:color w:val="auto"/>
          <w:kern w:val="0"/>
          <w:szCs w:val="21"/>
          <w:highlight w:val="none"/>
        </w:rPr>
      </w:pPr>
      <w:r>
        <w:rPr>
          <w:rFonts w:hint="eastAsia" w:ascii="宋体" w:hAnsi="宋体" w:cs="宋体"/>
          <w:color w:val="auto"/>
          <w:kern w:val="0"/>
          <w:szCs w:val="21"/>
          <w:highlight w:val="none"/>
        </w:rPr>
        <w:t>3.网上查询地址：中国政府采购网（www.ccgp.gov.cn）、广西壮族自治区政府采购网（http://zfcg.gxzf.gov.cn/）、全国公共资源交易平台（广西·南宁）（http://ggzy.jgswj.gxzf.gov.cn/nnggzy/）。</w:t>
      </w:r>
    </w:p>
    <w:p w14:paraId="7F3964B2">
      <w:pPr>
        <w:wordWrap w:val="0"/>
        <w:spacing w:line="360" w:lineRule="auto"/>
        <w:ind w:firstLine="315" w:firstLineChars="150"/>
        <w:rPr>
          <w:rFonts w:ascii="宋体" w:hAnsi="宋体" w:cs="宋体"/>
          <w:color w:val="auto"/>
          <w:kern w:val="0"/>
          <w:szCs w:val="21"/>
          <w:highlight w:val="none"/>
        </w:rPr>
      </w:pPr>
      <w:r>
        <w:rPr>
          <w:rFonts w:hint="eastAsia" w:ascii="宋体" w:hAnsi="宋体" w:cs="宋体"/>
          <w:color w:val="auto"/>
          <w:kern w:val="0"/>
          <w:szCs w:val="21"/>
          <w:highlight w:val="none"/>
        </w:rPr>
        <w:t>4.本项目需要落实的政府采购政策：</w:t>
      </w:r>
    </w:p>
    <w:p w14:paraId="531F2A73">
      <w:pPr>
        <w:wordWrap w:val="0"/>
        <w:spacing w:line="360" w:lineRule="auto"/>
        <w:ind w:firstLine="315" w:firstLineChars="150"/>
        <w:rPr>
          <w:rFonts w:ascii="宋体" w:hAnsi="宋体" w:cs="宋体"/>
          <w:color w:val="auto"/>
          <w:kern w:val="0"/>
          <w:szCs w:val="21"/>
          <w:highlight w:val="none"/>
        </w:rPr>
      </w:pPr>
      <w:r>
        <w:rPr>
          <w:rFonts w:hint="eastAsia" w:ascii="宋体" w:hAnsi="宋体" w:cs="宋体"/>
          <w:color w:val="auto"/>
          <w:kern w:val="0"/>
          <w:szCs w:val="21"/>
          <w:highlight w:val="none"/>
        </w:rPr>
        <w:t>（1）政府采购促进中小企业发展。</w:t>
      </w:r>
    </w:p>
    <w:p w14:paraId="6DCE85BC">
      <w:pPr>
        <w:wordWrap w:val="0"/>
        <w:spacing w:line="360" w:lineRule="auto"/>
        <w:ind w:firstLine="315" w:firstLineChars="150"/>
        <w:rPr>
          <w:rFonts w:ascii="宋体" w:hAnsi="宋体" w:cs="宋体"/>
          <w:color w:val="auto"/>
          <w:kern w:val="0"/>
          <w:szCs w:val="21"/>
          <w:highlight w:val="none"/>
        </w:rPr>
      </w:pPr>
      <w:r>
        <w:rPr>
          <w:rFonts w:hint="eastAsia" w:ascii="宋体" w:hAnsi="宋体" w:cs="宋体"/>
          <w:color w:val="auto"/>
          <w:kern w:val="0"/>
          <w:szCs w:val="21"/>
          <w:highlight w:val="none"/>
        </w:rPr>
        <w:t>（2）政府采购支持采用本国产品的政策。</w:t>
      </w:r>
    </w:p>
    <w:p w14:paraId="47720F1C">
      <w:pPr>
        <w:wordWrap w:val="0"/>
        <w:spacing w:line="360" w:lineRule="auto"/>
        <w:ind w:firstLine="315" w:firstLineChars="150"/>
        <w:rPr>
          <w:rFonts w:ascii="宋体" w:hAnsi="宋体" w:cs="宋体"/>
          <w:color w:val="auto"/>
          <w:kern w:val="0"/>
          <w:szCs w:val="21"/>
          <w:highlight w:val="none"/>
        </w:rPr>
      </w:pPr>
      <w:r>
        <w:rPr>
          <w:rFonts w:hint="eastAsia" w:ascii="宋体" w:hAnsi="宋体" w:cs="宋体"/>
          <w:color w:val="auto"/>
          <w:kern w:val="0"/>
          <w:szCs w:val="21"/>
          <w:highlight w:val="none"/>
        </w:rPr>
        <w:t>（3）政府采购促进残疾人就业政策。</w:t>
      </w:r>
    </w:p>
    <w:p w14:paraId="445E5B7A">
      <w:pPr>
        <w:wordWrap w:val="0"/>
        <w:spacing w:line="360" w:lineRule="auto"/>
        <w:ind w:firstLine="315" w:firstLineChars="150"/>
        <w:rPr>
          <w:rFonts w:ascii="宋体" w:hAnsi="宋体" w:cs="宋体"/>
          <w:color w:val="auto"/>
          <w:kern w:val="0"/>
          <w:szCs w:val="21"/>
          <w:highlight w:val="none"/>
        </w:rPr>
      </w:pPr>
      <w:r>
        <w:rPr>
          <w:rFonts w:hint="eastAsia" w:ascii="宋体" w:hAnsi="宋体" w:cs="宋体"/>
          <w:color w:val="auto"/>
          <w:kern w:val="0"/>
          <w:szCs w:val="21"/>
          <w:highlight w:val="none"/>
        </w:rPr>
        <w:t>（4）政府采购支持监狱企业发展。</w:t>
      </w:r>
    </w:p>
    <w:p w14:paraId="4441FE41">
      <w:pPr>
        <w:wordWrap w:val="0"/>
        <w:spacing w:line="360" w:lineRule="auto"/>
        <w:ind w:firstLine="315" w:firstLineChars="150"/>
        <w:rPr>
          <w:rFonts w:ascii="宋体" w:hAnsi="宋体" w:cs="宋体"/>
          <w:color w:val="auto"/>
          <w:kern w:val="0"/>
          <w:szCs w:val="21"/>
          <w:highlight w:val="none"/>
        </w:rPr>
      </w:pPr>
      <w:r>
        <w:rPr>
          <w:rFonts w:hint="eastAsia" w:ascii="宋体" w:hAnsi="宋体" w:cs="宋体"/>
          <w:color w:val="auto"/>
          <w:kern w:val="0"/>
          <w:szCs w:val="21"/>
          <w:highlight w:val="none"/>
        </w:rPr>
        <w:t>（5）扶持不发达地区和少数民族地区政策。</w:t>
      </w:r>
    </w:p>
    <w:p w14:paraId="6B4D3BA1">
      <w:pPr>
        <w:wordWrap w:val="0"/>
        <w:spacing w:line="360" w:lineRule="auto"/>
        <w:ind w:firstLine="315" w:firstLineChars="150"/>
        <w:rPr>
          <w:rFonts w:ascii="宋体" w:hAnsi="宋体" w:cs="宋体"/>
          <w:color w:val="auto"/>
          <w:kern w:val="0"/>
          <w:szCs w:val="21"/>
          <w:highlight w:val="none"/>
        </w:rPr>
      </w:pPr>
      <w:r>
        <w:rPr>
          <w:rFonts w:hint="eastAsia" w:ascii="宋体" w:hAnsi="宋体" w:cs="宋体"/>
          <w:color w:val="auto"/>
          <w:kern w:val="0"/>
          <w:szCs w:val="21"/>
          <w:highlight w:val="none"/>
        </w:rPr>
        <w:t>5.供应商认为采购文件使自己的权益受到损害的，可以在知道或者应知其权益受到损害之日起7个工作日内，以书面形式向采购人、采购代理机构提出质疑。质疑供应商对采购人、采购代理机构的答复不满意或者采购人、采购代理机构未在规定的时间内作出答复的，可以在答复期满后十五个工作日内向同级政府采购监督管理部门投诉。</w:t>
      </w:r>
    </w:p>
    <w:p w14:paraId="2302C7EA">
      <w:pPr>
        <w:wordWrap w:val="0"/>
        <w:spacing w:line="360" w:lineRule="auto"/>
        <w:ind w:firstLine="315" w:firstLineChars="150"/>
        <w:rPr>
          <w:rFonts w:ascii="宋体" w:hAnsi="宋体" w:cs="宋体"/>
          <w:color w:val="auto"/>
          <w:kern w:val="0"/>
          <w:szCs w:val="21"/>
          <w:highlight w:val="none"/>
        </w:rPr>
      </w:pPr>
      <w:r>
        <w:rPr>
          <w:rFonts w:hint="eastAsia" w:ascii="宋体" w:hAnsi="宋体" w:cs="宋体"/>
          <w:color w:val="auto"/>
          <w:kern w:val="0"/>
          <w:szCs w:val="21"/>
          <w:highlight w:val="none"/>
        </w:rPr>
        <w:t>6.若对项目采购电子交易系统操作有疑问，可登录“广西政府采购云”平台（https://www.gcy.zfcg.gxzf.gov.cn/），点击右侧咨询小采，获取采小蜜智能服务管家帮助，或拨打广西政府采购云服务热线95763获取热线服务帮助。</w:t>
      </w:r>
    </w:p>
    <w:p w14:paraId="725B23B6">
      <w:pPr>
        <w:wordWrap w:val="0"/>
        <w:spacing w:line="360" w:lineRule="auto"/>
        <w:rPr>
          <w:rFonts w:ascii="宋体" w:hAnsi="宋体" w:cs="宋体"/>
          <w:b/>
          <w:bCs/>
          <w:color w:val="auto"/>
          <w:szCs w:val="21"/>
          <w:highlight w:val="none"/>
        </w:rPr>
      </w:pPr>
      <w:r>
        <w:rPr>
          <w:rFonts w:hint="eastAsia" w:ascii="宋体" w:hAnsi="宋体" w:cs="宋体"/>
          <w:b/>
          <w:bCs/>
          <w:color w:val="auto"/>
          <w:szCs w:val="21"/>
          <w:highlight w:val="none"/>
        </w:rPr>
        <w:t>七、对本次招标提出询问，请按以下方式联系。</w:t>
      </w:r>
    </w:p>
    <w:p w14:paraId="4121A7FA">
      <w:pPr>
        <w:wordWrap w:val="0"/>
        <w:spacing w:line="360" w:lineRule="auto"/>
        <w:ind w:firstLine="315" w:firstLineChars="150"/>
        <w:rPr>
          <w:rFonts w:ascii="宋体" w:hAnsi="宋体" w:cs="宋体"/>
          <w:color w:val="auto"/>
          <w:kern w:val="0"/>
          <w:szCs w:val="21"/>
          <w:highlight w:val="none"/>
        </w:rPr>
      </w:pPr>
      <w:r>
        <w:rPr>
          <w:rFonts w:hint="eastAsia" w:ascii="宋体" w:hAnsi="宋体" w:cs="宋体"/>
          <w:color w:val="auto"/>
          <w:kern w:val="0"/>
          <w:szCs w:val="21"/>
          <w:highlight w:val="none"/>
        </w:rPr>
        <w:t>1.采购人信息</w:t>
      </w:r>
    </w:p>
    <w:p w14:paraId="0345AA71">
      <w:pPr>
        <w:wordWrap w:val="0"/>
        <w:spacing w:line="360" w:lineRule="auto"/>
        <w:ind w:firstLine="315" w:firstLineChars="15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名 称：</w:t>
      </w:r>
      <w:r>
        <w:rPr>
          <w:rFonts w:hint="eastAsia" w:ascii="宋体" w:hAnsi="宋体" w:cs="宋体"/>
          <w:color w:val="auto"/>
          <w:kern w:val="0"/>
          <w:szCs w:val="21"/>
          <w:highlight w:val="none"/>
          <w:lang w:eastAsia="zh-CN"/>
        </w:rPr>
        <w:t>南宁市智慧城管信息中心</w:t>
      </w:r>
    </w:p>
    <w:p w14:paraId="4A8C28B0">
      <w:pPr>
        <w:wordWrap w:val="0"/>
        <w:spacing w:line="360" w:lineRule="auto"/>
        <w:ind w:firstLine="315" w:firstLineChars="15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地址：</w:t>
      </w:r>
      <w:r>
        <w:rPr>
          <w:rFonts w:hint="eastAsia" w:ascii="宋体" w:hAnsi="宋体" w:cs="宋体"/>
          <w:color w:val="auto"/>
          <w:kern w:val="0"/>
          <w:szCs w:val="21"/>
          <w:highlight w:val="none"/>
          <w:lang w:eastAsia="zh-CN"/>
        </w:rPr>
        <w:t>南宁市汇春路2号希尔顿阳光B座</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lang w:eastAsia="zh-CN"/>
        </w:rPr>
        <w:t>楼</w:t>
      </w:r>
    </w:p>
    <w:p w14:paraId="0FCFE46F">
      <w:pPr>
        <w:wordWrap w:val="0"/>
        <w:spacing w:line="360" w:lineRule="auto"/>
        <w:ind w:firstLine="315" w:firstLineChars="15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项目联系人：</w:t>
      </w:r>
      <w:r>
        <w:rPr>
          <w:rFonts w:hint="eastAsia" w:ascii="宋体" w:hAnsi="宋体" w:cs="宋体"/>
          <w:color w:val="auto"/>
          <w:kern w:val="0"/>
          <w:szCs w:val="21"/>
          <w:highlight w:val="none"/>
          <w:lang w:eastAsia="zh-CN"/>
        </w:rPr>
        <w:t>洪雪婷</w:t>
      </w:r>
    </w:p>
    <w:p w14:paraId="47B4C9BF">
      <w:pPr>
        <w:wordWrap w:val="0"/>
        <w:spacing w:line="360" w:lineRule="auto"/>
        <w:ind w:firstLine="315" w:firstLineChars="15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联系电话：</w:t>
      </w:r>
      <w:r>
        <w:rPr>
          <w:rFonts w:hint="eastAsia" w:ascii="宋体" w:hAnsi="宋体" w:cs="宋体"/>
          <w:color w:val="auto"/>
          <w:kern w:val="0"/>
          <w:szCs w:val="21"/>
          <w:highlight w:val="none"/>
          <w:lang w:eastAsia="zh-CN"/>
        </w:rPr>
        <w:t>0771-5827629</w:t>
      </w:r>
    </w:p>
    <w:p w14:paraId="36568B9A">
      <w:pPr>
        <w:wordWrap w:val="0"/>
        <w:spacing w:line="360" w:lineRule="auto"/>
        <w:ind w:firstLine="315" w:firstLineChars="150"/>
        <w:rPr>
          <w:rFonts w:ascii="宋体" w:hAnsi="宋体" w:cs="宋体"/>
          <w:color w:val="auto"/>
          <w:kern w:val="0"/>
          <w:szCs w:val="21"/>
          <w:highlight w:val="none"/>
        </w:rPr>
      </w:pPr>
      <w:r>
        <w:rPr>
          <w:rFonts w:hint="eastAsia" w:ascii="宋体" w:hAnsi="宋体" w:cs="宋体"/>
          <w:color w:val="auto"/>
          <w:kern w:val="0"/>
          <w:szCs w:val="21"/>
          <w:highlight w:val="none"/>
        </w:rPr>
        <w:t>2.采购代理机构信息</w:t>
      </w:r>
    </w:p>
    <w:p w14:paraId="5C916C0E">
      <w:pPr>
        <w:wordWrap w:val="0"/>
        <w:spacing w:line="360" w:lineRule="auto"/>
        <w:ind w:firstLine="315" w:firstLineChars="150"/>
        <w:rPr>
          <w:rFonts w:ascii="宋体" w:hAnsi="宋体" w:cs="宋体"/>
          <w:color w:val="auto"/>
          <w:kern w:val="0"/>
          <w:szCs w:val="21"/>
          <w:highlight w:val="none"/>
        </w:rPr>
      </w:pPr>
      <w:r>
        <w:rPr>
          <w:rFonts w:hint="eastAsia" w:ascii="宋体" w:hAnsi="宋体" w:cs="宋体"/>
          <w:color w:val="auto"/>
          <w:kern w:val="0"/>
          <w:szCs w:val="21"/>
          <w:highlight w:val="none"/>
        </w:rPr>
        <w:t>名 称：</w:t>
      </w:r>
      <w:bookmarkStart w:id="3" w:name="PO_3000001866_PM031_1"/>
      <w:r>
        <w:rPr>
          <w:rFonts w:hint="eastAsia" w:ascii="宋体" w:hAnsi="宋体" w:cs="宋体"/>
          <w:color w:val="auto"/>
          <w:kern w:val="0"/>
          <w:szCs w:val="21"/>
          <w:highlight w:val="none"/>
        </w:rPr>
        <w:t>广西邕政采购代理有限公司</w:t>
      </w:r>
      <w:bookmarkEnd w:id="3"/>
    </w:p>
    <w:p w14:paraId="44EE9558">
      <w:pPr>
        <w:wordWrap w:val="0"/>
        <w:spacing w:line="360" w:lineRule="auto"/>
        <w:ind w:firstLine="315" w:firstLineChars="150"/>
        <w:rPr>
          <w:rFonts w:ascii="宋体" w:hAnsi="宋体" w:cs="宋体"/>
          <w:color w:val="auto"/>
          <w:kern w:val="0"/>
          <w:szCs w:val="21"/>
          <w:highlight w:val="none"/>
        </w:rPr>
      </w:pPr>
      <w:r>
        <w:rPr>
          <w:rFonts w:hint="eastAsia" w:ascii="宋体" w:hAnsi="宋体" w:cs="宋体"/>
          <w:color w:val="auto"/>
          <w:kern w:val="0"/>
          <w:szCs w:val="21"/>
          <w:highlight w:val="none"/>
        </w:rPr>
        <w:t>地　址：南宁市青秀区民族大道180号（威壮大厦）22层2210～2217室</w:t>
      </w:r>
    </w:p>
    <w:p w14:paraId="030EA9B4">
      <w:pPr>
        <w:wordWrap w:val="0"/>
        <w:spacing w:line="360" w:lineRule="auto"/>
        <w:ind w:firstLine="315" w:firstLineChars="150"/>
        <w:rPr>
          <w:rFonts w:ascii="宋体" w:hAnsi="宋体" w:cs="宋体"/>
          <w:color w:val="auto"/>
          <w:kern w:val="0"/>
          <w:szCs w:val="21"/>
          <w:highlight w:val="none"/>
        </w:rPr>
      </w:pPr>
      <w:r>
        <w:rPr>
          <w:rFonts w:hint="eastAsia" w:ascii="宋体" w:hAnsi="宋体" w:cs="宋体"/>
          <w:color w:val="auto"/>
          <w:kern w:val="0"/>
          <w:szCs w:val="21"/>
          <w:highlight w:val="none"/>
        </w:rPr>
        <w:t>联系电话：</w:t>
      </w:r>
      <w:bookmarkStart w:id="4" w:name="PO_3000001866_PM033"/>
      <w:r>
        <w:rPr>
          <w:rFonts w:hint="eastAsia" w:ascii="宋体" w:hAnsi="宋体" w:cs="宋体"/>
          <w:color w:val="auto"/>
          <w:kern w:val="0"/>
          <w:szCs w:val="21"/>
          <w:highlight w:val="none"/>
        </w:rPr>
        <w:t>0771-</w:t>
      </w:r>
      <w:bookmarkEnd w:id="4"/>
      <w:r>
        <w:rPr>
          <w:rFonts w:hint="eastAsia" w:ascii="宋体" w:hAnsi="宋体" w:cs="宋体"/>
          <w:color w:val="auto"/>
          <w:kern w:val="0"/>
          <w:szCs w:val="21"/>
          <w:highlight w:val="none"/>
        </w:rPr>
        <w:t>2225338</w:t>
      </w:r>
    </w:p>
    <w:p w14:paraId="3ADD4137">
      <w:pPr>
        <w:wordWrap w:val="0"/>
        <w:spacing w:line="360" w:lineRule="auto"/>
        <w:ind w:firstLine="315" w:firstLineChars="150"/>
        <w:rPr>
          <w:rFonts w:ascii="宋体" w:hAnsi="宋体" w:cs="宋体"/>
          <w:color w:val="auto"/>
          <w:kern w:val="0"/>
          <w:szCs w:val="21"/>
          <w:highlight w:val="none"/>
        </w:rPr>
      </w:pPr>
      <w:r>
        <w:rPr>
          <w:rFonts w:hint="eastAsia" w:ascii="宋体" w:hAnsi="宋体" w:cs="宋体"/>
          <w:color w:val="auto"/>
          <w:kern w:val="0"/>
          <w:szCs w:val="21"/>
          <w:highlight w:val="none"/>
        </w:rPr>
        <w:t>3.项目联系方式</w:t>
      </w:r>
    </w:p>
    <w:p w14:paraId="12F9E5B0">
      <w:pPr>
        <w:wordWrap w:val="0"/>
        <w:spacing w:line="360" w:lineRule="auto"/>
        <w:ind w:firstLine="315" w:firstLineChars="150"/>
        <w:rPr>
          <w:rFonts w:ascii="宋体" w:hAnsi="宋体" w:cs="宋体"/>
          <w:color w:val="auto"/>
          <w:kern w:val="0"/>
          <w:szCs w:val="21"/>
          <w:highlight w:val="none"/>
        </w:rPr>
      </w:pPr>
      <w:r>
        <w:rPr>
          <w:rFonts w:hint="eastAsia" w:ascii="宋体" w:hAnsi="宋体" w:cs="宋体"/>
          <w:color w:val="auto"/>
          <w:kern w:val="0"/>
          <w:szCs w:val="21"/>
          <w:highlight w:val="none"/>
        </w:rPr>
        <w:t>项目联系人：黄秋梅、罗霞、丰薇</w:t>
      </w:r>
    </w:p>
    <w:p w14:paraId="5D75D43D">
      <w:pPr>
        <w:wordWrap w:val="0"/>
        <w:spacing w:line="360" w:lineRule="auto"/>
        <w:ind w:firstLine="315" w:firstLineChars="150"/>
        <w:rPr>
          <w:rFonts w:ascii="宋体" w:hAnsi="宋体" w:cs="宋体"/>
          <w:color w:val="auto"/>
          <w:szCs w:val="21"/>
          <w:highlight w:val="none"/>
          <w:u w:val="single"/>
        </w:rPr>
      </w:pPr>
      <w:r>
        <w:rPr>
          <w:rFonts w:hint="eastAsia" w:ascii="宋体" w:hAnsi="宋体" w:cs="宋体"/>
          <w:color w:val="auto"/>
          <w:kern w:val="0"/>
          <w:szCs w:val="21"/>
          <w:highlight w:val="none"/>
        </w:rPr>
        <w:t xml:space="preserve">电    话：0771-2225338 </w:t>
      </w:r>
    </w:p>
    <w:p w14:paraId="1B0AEBDA">
      <w:pPr>
        <w:spacing w:line="360" w:lineRule="auto"/>
        <w:jc w:val="left"/>
        <w:rPr>
          <w:rFonts w:ascii="宋体" w:hAnsi="宋体" w:cs="宋体"/>
          <w:color w:val="auto"/>
          <w:szCs w:val="21"/>
          <w:highlight w:val="none"/>
          <w:u w:val="single"/>
        </w:rPr>
      </w:pPr>
      <w:r>
        <w:rPr>
          <w:rFonts w:hint="eastAsia" w:ascii="宋体" w:hAnsi="宋体" w:cs="宋体"/>
          <w:color w:val="auto"/>
          <w:szCs w:val="21"/>
          <w:highlight w:val="none"/>
          <w:u w:val="single"/>
        </w:rPr>
        <w:t>附件： 1.CA证书申请方式及操作指南下载地址（登陆http://nncz.nanning.gov.cn/（南宁市财政局官网）-业务专题-政府采购监督管理-资料下载-“广西政采云西部CA办理方式”或“南宁市政采云CA证书办理操作指南”）</w:t>
      </w:r>
    </w:p>
    <w:p w14:paraId="79176CC2">
      <w:pPr>
        <w:spacing w:line="360" w:lineRule="auto"/>
        <w:jc w:val="left"/>
        <w:rPr>
          <w:rFonts w:ascii="宋体" w:hAnsi="宋体" w:cs="宋体"/>
          <w:color w:val="auto"/>
          <w:szCs w:val="21"/>
          <w:highlight w:val="none"/>
          <w:u w:val="single"/>
        </w:rPr>
      </w:pPr>
      <w:r>
        <w:rPr>
          <w:rFonts w:hint="eastAsia" w:ascii="宋体" w:hAnsi="宋体" w:cs="宋体"/>
          <w:color w:val="auto"/>
          <w:szCs w:val="21"/>
          <w:highlight w:val="none"/>
          <w:u w:val="single"/>
        </w:rPr>
        <w:t>2.电子投标文件制作与投送教程（在此网址下载：http://nncz.nanning.gov.cn/（南宁市财政局官网）-业务专题-政府采购监督管理-资料下载-南宁市政府采购项目全流程电子化交易操作指南）</w:t>
      </w:r>
    </w:p>
    <w:p w14:paraId="2B506F24">
      <w:pPr>
        <w:wordWrap w:val="0"/>
        <w:spacing w:line="360" w:lineRule="auto"/>
        <w:jc w:val="right"/>
        <w:rPr>
          <w:rFonts w:ascii="宋体" w:hAnsi="宋体" w:cs="宋体"/>
          <w:color w:val="auto"/>
          <w:szCs w:val="21"/>
          <w:highlight w:val="none"/>
        </w:rPr>
      </w:pPr>
      <w:r>
        <w:rPr>
          <w:rFonts w:hint="eastAsia" w:ascii="宋体" w:hAnsi="宋体" w:cs="宋体"/>
          <w:color w:val="auto"/>
          <w:szCs w:val="21"/>
          <w:highlight w:val="none"/>
          <w:u w:val="single"/>
        </w:rPr>
        <w:t>广西邕政采购代理有限公司</w:t>
      </w:r>
    </w:p>
    <w:p w14:paraId="3149ADB4">
      <w:pPr>
        <w:wordWrap w:val="0"/>
        <w:spacing w:line="360" w:lineRule="auto"/>
        <w:ind w:firstLine="210" w:firstLineChars="100"/>
        <w:jc w:val="right"/>
        <w:rPr>
          <w:rFonts w:ascii="宋体" w:hAnsi="宋体" w:cs="宋体"/>
          <w:color w:val="auto"/>
          <w:szCs w:val="21"/>
          <w:highlight w:val="none"/>
        </w:rPr>
      </w:pPr>
      <w:r>
        <w:rPr>
          <w:rFonts w:hint="eastAsia" w:ascii="宋体" w:hAnsi="宋体" w:cs="宋体"/>
          <w:color w:val="auto"/>
          <w:szCs w:val="21"/>
          <w:highlight w:val="none"/>
          <w:u w:val="none"/>
        </w:rPr>
        <w:t>2026</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日</w:t>
      </w:r>
    </w:p>
    <w:p w14:paraId="535B1AFA">
      <w:pPr>
        <w:wordWrap w:val="0"/>
        <w:spacing w:line="360" w:lineRule="auto"/>
        <w:rPr>
          <w:rFonts w:ascii="宋体" w:hAnsi="宋体" w:cs="宋体"/>
          <w:color w:val="auto"/>
          <w:highlight w:val="none"/>
        </w:rPr>
      </w:pPr>
      <w:r>
        <w:rPr>
          <w:rFonts w:hint="eastAsia" w:ascii="宋体" w:hAnsi="宋体" w:cs="宋体"/>
          <w:color w:val="auto"/>
          <w:sz w:val="24"/>
          <w:highlight w:val="none"/>
        </w:rPr>
        <w:br w:type="page"/>
      </w:r>
    </w:p>
    <w:p w14:paraId="4C0AD6BC">
      <w:pPr>
        <w:pStyle w:val="12"/>
        <w:wordWrap w:val="0"/>
        <w:spacing w:line="360" w:lineRule="auto"/>
        <w:jc w:val="center"/>
        <w:outlineLvl w:val="0"/>
        <w:rPr>
          <w:rFonts w:hAnsi="宋体" w:cs="宋体"/>
          <w:b/>
          <w:color w:val="auto"/>
          <w:szCs w:val="21"/>
          <w:highlight w:val="none"/>
        </w:rPr>
      </w:pPr>
      <w:bookmarkStart w:id="5" w:name="_Toc22850"/>
      <w:r>
        <w:rPr>
          <w:rFonts w:hint="eastAsia" w:hAnsi="宋体" w:cs="宋体"/>
          <w:b/>
          <w:color w:val="auto"/>
          <w:sz w:val="36"/>
          <w:highlight w:val="none"/>
        </w:rPr>
        <w:t xml:space="preserve">第二章  </w:t>
      </w:r>
      <w:bookmarkEnd w:id="2"/>
      <w:r>
        <w:rPr>
          <w:rFonts w:hint="eastAsia" w:hAnsi="宋体" w:cs="宋体"/>
          <w:b/>
          <w:color w:val="auto"/>
          <w:sz w:val="36"/>
          <w:highlight w:val="none"/>
        </w:rPr>
        <w:t>采购需求</w:t>
      </w:r>
      <w:bookmarkEnd w:id="5"/>
    </w:p>
    <w:p w14:paraId="797E1FDF">
      <w:pPr>
        <w:wordWrap w:val="0"/>
        <w:adjustRightInd w:val="0"/>
        <w:spacing w:line="360" w:lineRule="auto"/>
        <w:rPr>
          <w:rFonts w:ascii="宋体" w:hAnsi="宋体" w:cs="宋体"/>
          <w:b/>
          <w:color w:val="auto"/>
          <w:szCs w:val="21"/>
          <w:highlight w:val="none"/>
        </w:rPr>
      </w:pPr>
      <w:r>
        <w:rPr>
          <w:rFonts w:hint="eastAsia" w:ascii="宋体" w:hAnsi="宋体" w:cs="宋体"/>
          <w:b/>
          <w:color w:val="auto"/>
          <w:szCs w:val="21"/>
          <w:highlight w:val="none"/>
        </w:rPr>
        <w:t>说明：</w:t>
      </w:r>
    </w:p>
    <w:p w14:paraId="72819601">
      <w:pPr>
        <w:wordWrap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1.为落实政府采购政策需满足的要求：</w:t>
      </w:r>
    </w:p>
    <w:p w14:paraId="3D621E36">
      <w:pPr>
        <w:wordWrap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（1）本招标文件所称中小企业必须符合《政府采购促进中小企业发展管理办法》（财库〔2020〕46号）的规定。</w:t>
      </w:r>
    </w:p>
    <w:p w14:paraId="68F72F26">
      <w:pPr>
        <w:wordWrap w:val="0"/>
        <w:spacing w:line="360" w:lineRule="auto"/>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（2）服务项目中伴随货物的，根据《财政部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附件2），投标人的投标货物必须使用政府强制采购的节能产品，投标人必须在投标文件中提供所投标产品的节能产品认证证书复印件（加盖投标人电子公章），否则投标文件作无效处理。如本项目包含的货物属于品目清单内非标注“★”的产品时，应优先采购，具体详见“第四章 评标方法和评标标准”。</w:t>
      </w:r>
    </w:p>
    <w:p w14:paraId="3A6C7F29">
      <w:pPr>
        <w:wordWrap w:val="0"/>
        <w:spacing w:line="360" w:lineRule="auto"/>
        <w:ind w:firstLine="426" w:firstLineChars="202"/>
        <w:jc w:val="left"/>
        <w:rPr>
          <w:rFonts w:ascii="宋体" w:hAnsi="宋体" w:cs="宋体"/>
          <w:b/>
          <w:bCs/>
          <w:color w:val="auto"/>
          <w:szCs w:val="21"/>
          <w:highlight w:val="none"/>
        </w:rPr>
      </w:pPr>
      <w:r>
        <w:rPr>
          <w:rFonts w:hint="eastAsia" w:ascii="宋体" w:hAnsi="宋体" w:cs="宋体"/>
          <w:b/>
          <w:bCs/>
          <w:color w:val="auto"/>
          <w:szCs w:val="21"/>
          <w:highlight w:val="none"/>
        </w:rPr>
        <w:t>（3）服务项目中伴随的货物包含列入《网络关键设备和网络安全专用产品目录》的网络安全专用产品，应当按照《信息安全技术 网络安全专用产品安全技术要求》等相关国家标准的强制性要求，提供具备资格的机构安全认证合格或者安全检测证明材料（加盖投标人公章），否则投标文件作无效处理。</w:t>
      </w:r>
    </w:p>
    <w:p w14:paraId="20D42BF7">
      <w:pPr>
        <w:wordWrap w:val="0"/>
        <w:spacing w:line="360" w:lineRule="auto"/>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2.“实质性要求”是指招标文件中已经指明不满足则投标无效的条款，或者不能负偏离的条款，或者采购需求中带“▲”的条款。</w:t>
      </w:r>
    </w:p>
    <w:p w14:paraId="17289044">
      <w:pPr>
        <w:pStyle w:val="8"/>
        <w:wordWrap w:val="0"/>
        <w:spacing w:line="336"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w:t>
      </w:r>
      <w:bookmarkStart w:id="6" w:name="_Hlk54774389"/>
      <w:r>
        <w:rPr>
          <w:rFonts w:hint="eastAsia" w:ascii="宋体" w:hAnsi="宋体" w:cs="宋体"/>
          <w:color w:val="auto"/>
          <w:szCs w:val="21"/>
          <w:highlight w:val="none"/>
        </w:rPr>
        <w:t>服务项目中伴随货物的，</w:t>
      </w:r>
      <w:bookmarkEnd w:id="6"/>
      <w:r>
        <w:rPr>
          <w:rFonts w:hint="eastAsia" w:ascii="宋体" w:hAnsi="宋体" w:cs="宋体"/>
          <w:color w:val="auto"/>
          <w:szCs w:val="21"/>
          <w:highlight w:val="none"/>
        </w:rPr>
        <w:t>采购需求中出现的品牌、型号或者生产厂家仅起参考作用，不属于指定品牌、型号或者生产厂家的情形。投标人可参照或者选用其他相当的品牌、型号或者生产厂家替代，但选用的投标产品参数性能必须满足实质性要求。</w:t>
      </w:r>
    </w:p>
    <w:p w14:paraId="759585DA">
      <w:pPr>
        <w:pStyle w:val="8"/>
        <w:wordWrap w:val="0"/>
        <w:spacing w:line="336"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4.如投标人投标产品存在侵犯他人的知识产权或者专利成果行为的，应承担相应法律责任</w:t>
      </w:r>
      <w:bookmarkStart w:id="7" w:name="PO_TDCUS_ITEM_PB_REQ_TITLE_1"/>
      <w:r>
        <w:rPr>
          <w:rFonts w:hint="eastAsia" w:ascii="宋体" w:hAnsi="宋体" w:cs="宋体"/>
          <w:color w:val="auto"/>
          <w:szCs w:val="21"/>
          <w:highlight w:val="none"/>
        </w:rPr>
        <w:t>。</w:t>
      </w:r>
    </w:p>
    <w:p w14:paraId="4C651C55">
      <w:pPr>
        <w:pStyle w:val="8"/>
        <w:wordWrap w:val="0"/>
        <w:spacing w:line="336"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5.本采购需求中内容如与第五章“拟签订的合同文本”相关条款不一致的，以本表为准。</w:t>
      </w:r>
    </w:p>
    <w:p w14:paraId="03F1436A">
      <w:pPr>
        <w:pStyle w:val="8"/>
        <w:wordWrap w:val="0"/>
        <w:spacing w:line="336" w:lineRule="auto"/>
        <w:ind w:firstLine="420" w:firstLineChars="200"/>
        <w:rPr>
          <w:rFonts w:ascii="宋体" w:hAnsi="宋体" w:cs="宋体"/>
          <w:b/>
          <w:bCs/>
          <w:color w:val="auto"/>
          <w:szCs w:val="21"/>
          <w:highlight w:val="none"/>
          <w:u w:val="single"/>
        </w:rPr>
      </w:pPr>
      <w:r>
        <w:rPr>
          <w:rFonts w:hint="eastAsia" w:ascii="宋体" w:hAnsi="宋体" w:cs="宋体"/>
          <w:color w:val="auto"/>
          <w:szCs w:val="21"/>
          <w:highlight w:val="none"/>
        </w:rPr>
        <w:t>6.项目标的所属行业为：</w:t>
      </w:r>
      <w:r>
        <w:rPr>
          <w:rFonts w:hint="eastAsia" w:ascii="宋体" w:hAnsi="宋体" w:cs="宋体"/>
          <w:b/>
          <w:bCs/>
          <w:color w:val="auto"/>
          <w:szCs w:val="21"/>
          <w:highlight w:val="none"/>
          <w:u w:val="single"/>
          <w:lang w:val="en-US" w:eastAsia="zh-CN"/>
        </w:rPr>
        <w:t>软件和信息技术服务业</w:t>
      </w:r>
      <w:r>
        <w:rPr>
          <w:rFonts w:hint="eastAsia" w:ascii="宋体" w:hAnsi="宋体" w:cs="宋体"/>
          <w:b/>
          <w:bCs/>
          <w:color w:val="auto"/>
          <w:szCs w:val="21"/>
          <w:highlight w:val="none"/>
          <w:u w:val="single"/>
        </w:rPr>
        <w:t>。</w:t>
      </w:r>
    </w:p>
    <w:tbl>
      <w:tblPr>
        <w:tblStyle w:val="22"/>
        <w:tblW w:w="10482" w:type="dxa"/>
        <w:tblInd w:w="-23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28"/>
        <w:gridCol w:w="315"/>
        <w:gridCol w:w="957"/>
        <w:gridCol w:w="562"/>
        <w:gridCol w:w="513"/>
        <w:gridCol w:w="5392"/>
        <w:gridCol w:w="1270"/>
        <w:gridCol w:w="1045"/>
      </w:tblGrid>
      <w:tr w14:paraId="197815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10482" w:type="dxa"/>
            <w:gridSpan w:val="8"/>
            <w:tcBorders>
              <w:top w:val="single" w:color="auto" w:sz="4" w:space="0"/>
              <w:left w:val="single" w:color="auto" w:sz="4" w:space="0"/>
              <w:bottom w:val="nil"/>
              <w:right w:val="single" w:color="auto" w:sz="4" w:space="0"/>
            </w:tcBorders>
            <w:vAlign w:val="center"/>
          </w:tcPr>
          <w:p w14:paraId="077D917E">
            <w:pPr>
              <w:spacing w:line="500" w:lineRule="exact"/>
              <w:jc w:val="center"/>
              <w:rPr>
                <w:rFonts w:ascii="宋体" w:hAnsi="宋体" w:cs="宋体"/>
                <w:b/>
                <w:color w:val="auto"/>
                <w:szCs w:val="21"/>
                <w:highlight w:val="none"/>
              </w:rPr>
            </w:pPr>
            <w:r>
              <w:rPr>
                <w:rFonts w:hint="eastAsia" w:ascii="宋体" w:hAnsi="宋体" w:cs="宋体"/>
                <w:b/>
                <w:color w:val="auto"/>
                <w:szCs w:val="21"/>
                <w:highlight w:val="none"/>
              </w:rPr>
              <w:t>服务需求一览表</w:t>
            </w:r>
          </w:p>
        </w:tc>
      </w:tr>
      <w:tr w14:paraId="0085DC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1700" w:type="dxa"/>
            <w:gridSpan w:val="3"/>
            <w:tcBorders>
              <w:top w:val="single" w:color="auto" w:sz="4" w:space="0"/>
              <w:left w:val="single" w:color="auto" w:sz="4" w:space="0"/>
              <w:bottom w:val="nil"/>
              <w:right w:val="single" w:color="auto" w:sz="4" w:space="0"/>
            </w:tcBorders>
            <w:vAlign w:val="center"/>
          </w:tcPr>
          <w:p w14:paraId="6981B31F">
            <w:pPr>
              <w:spacing w:line="500" w:lineRule="exact"/>
              <w:jc w:val="center"/>
              <w:rPr>
                <w:rFonts w:ascii="宋体" w:hAnsi="宋体" w:cs="宋体"/>
                <w:b/>
                <w:color w:val="auto"/>
                <w:szCs w:val="21"/>
                <w:highlight w:val="none"/>
              </w:rPr>
            </w:pPr>
            <w:r>
              <w:rPr>
                <w:rFonts w:hint="eastAsia" w:ascii="宋体" w:hAnsi="宋体" w:cs="宋体"/>
                <w:b/>
                <w:color w:val="auto"/>
                <w:szCs w:val="21"/>
                <w:highlight w:val="none"/>
              </w:rPr>
              <w:t>标段</w:t>
            </w:r>
          </w:p>
        </w:tc>
        <w:tc>
          <w:tcPr>
            <w:tcW w:w="8782" w:type="dxa"/>
            <w:gridSpan w:val="5"/>
            <w:tcBorders>
              <w:top w:val="single" w:color="auto" w:sz="4" w:space="0"/>
              <w:left w:val="single" w:color="auto" w:sz="4" w:space="0"/>
              <w:bottom w:val="nil"/>
              <w:right w:val="single" w:color="auto" w:sz="4" w:space="0"/>
            </w:tcBorders>
            <w:vAlign w:val="center"/>
          </w:tcPr>
          <w:p w14:paraId="11C68389">
            <w:pPr>
              <w:spacing w:line="500" w:lineRule="exact"/>
              <w:jc w:val="left"/>
              <w:rPr>
                <w:rFonts w:ascii="宋体" w:hAnsi="宋体" w:cs="宋体"/>
                <w:b/>
                <w:color w:val="auto"/>
                <w:szCs w:val="21"/>
                <w:highlight w:val="none"/>
              </w:rPr>
            </w:pPr>
            <w:r>
              <w:rPr>
                <w:rFonts w:hint="eastAsia" w:ascii="宋体" w:hAnsi="宋体" w:cs="宋体"/>
                <w:b/>
                <w:color w:val="auto"/>
                <w:szCs w:val="21"/>
                <w:highlight w:val="none"/>
              </w:rPr>
              <w:t>/</w:t>
            </w:r>
          </w:p>
        </w:tc>
      </w:tr>
      <w:tr w14:paraId="5B8D76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07" w:hRule="atLeast"/>
        </w:trPr>
        <w:tc>
          <w:tcPr>
            <w:tcW w:w="428" w:type="dxa"/>
            <w:vMerge w:val="restart"/>
            <w:tcBorders>
              <w:top w:val="single" w:color="auto" w:sz="4" w:space="0"/>
              <w:left w:val="single" w:color="auto" w:sz="4" w:space="0"/>
              <w:bottom w:val="single" w:color="auto" w:sz="4" w:space="0"/>
              <w:right w:val="single" w:color="auto" w:sz="4" w:space="0"/>
            </w:tcBorders>
          </w:tcPr>
          <w:p w14:paraId="62194B4E">
            <w:pP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采购清单及服务参数</w:t>
            </w:r>
          </w:p>
        </w:tc>
        <w:tc>
          <w:tcPr>
            <w:tcW w:w="31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16A50D6B">
            <w:pP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957" w:type="dxa"/>
            <w:tcBorders>
              <w:top w:val="single" w:color="auto" w:sz="4" w:space="0"/>
              <w:left w:val="single" w:color="auto" w:sz="4" w:space="0"/>
              <w:bottom w:val="single" w:color="auto" w:sz="4" w:space="0"/>
              <w:right w:val="single" w:color="auto" w:sz="4" w:space="0"/>
            </w:tcBorders>
            <w:vAlign w:val="center"/>
          </w:tcPr>
          <w:p w14:paraId="760393F5">
            <w:pP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标的名称</w:t>
            </w:r>
          </w:p>
        </w:tc>
        <w:tc>
          <w:tcPr>
            <w:tcW w:w="562" w:type="dxa"/>
            <w:tcBorders>
              <w:top w:val="single" w:color="auto" w:sz="4" w:space="0"/>
              <w:left w:val="single" w:color="auto" w:sz="4" w:space="0"/>
              <w:bottom w:val="single" w:color="auto" w:sz="4" w:space="0"/>
              <w:right w:val="single" w:color="auto" w:sz="4" w:space="0"/>
            </w:tcBorders>
            <w:vAlign w:val="center"/>
          </w:tcPr>
          <w:p w14:paraId="47F32197">
            <w:pP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单位</w:t>
            </w:r>
          </w:p>
        </w:tc>
        <w:tc>
          <w:tcPr>
            <w:tcW w:w="513" w:type="dxa"/>
            <w:tcBorders>
              <w:top w:val="single" w:color="auto" w:sz="4" w:space="0"/>
              <w:left w:val="single" w:color="auto" w:sz="4" w:space="0"/>
              <w:bottom w:val="single" w:color="auto" w:sz="4" w:space="0"/>
              <w:right w:val="single" w:color="auto" w:sz="4" w:space="0"/>
            </w:tcBorders>
            <w:vAlign w:val="center"/>
          </w:tcPr>
          <w:p w14:paraId="03FD91B0">
            <w:pP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数量</w:t>
            </w:r>
          </w:p>
        </w:tc>
        <w:tc>
          <w:tcPr>
            <w:tcW w:w="5392" w:type="dxa"/>
            <w:tcBorders>
              <w:top w:val="single" w:color="auto" w:sz="4" w:space="0"/>
              <w:left w:val="single" w:color="auto" w:sz="4" w:space="0"/>
              <w:bottom w:val="single" w:color="auto" w:sz="4" w:space="0"/>
              <w:right w:val="single" w:color="auto" w:sz="4" w:space="0"/>
            </w:tcBorders>
            <w:vAlign w:val="center"/>
          </w:tcPr>
          <w:p w14:paraId="0AF55A00">
            <w:pP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服务参数</w:t>
            </w:r>
          </w:p>
        </w:tc>
        <w:tc>
          <w:tcPr>
            <w:tcW w:w="1270" w:type="dxa"/>
            <w:tcBorders>
              <w:top w:val="single" w:color="auto" w:sz="4" w:space="0"/>
              <w:left w:val="single" w:color="auto" w:sz="4" w:space="0"/>
              <w:bottom w:val="single" w:color="auto" w:sz="4" w:space="0"/>
              <w:right w:val="single" w:color="auto" w:sz="4" w:space="0"/>
            </w:tcBorders>
            <w:vAlign w:val="center"/>
          </w:tcPr>
          <w:p w14:paraId="3F352402">
            <w:pP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分项预算合计（元）</w:t>
            </w:r>
          </w:p>
        </w:tc>
        <w:tc>
          <w:tcPr>
            <w:tcW w:w="1045" w:type="dxa"/>
            <w:tcBorders>
              <w:top w:val="single" w:color="auto" w:sz="4" w:space="0"/>
              <w:left w:val="single" w:color="auto" w:sz="4" w:space="0"/>
              <w:bottom w:val="single" w:color="auto" w:sz="4" w:space="0"/>
              <w:right w:val="single" w:color="auto" w:sz="4" w:space="0"/>
            </w:tcBorders>
            <w:vAlign w:val="center"/>
          </w:tcPr>
          <w:p w14:paraId="2E6B6B8B">
            <w:pP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中小企业划分标准所属行业名称（行业名称及划分见本章附件2）</w:t>
            </w:r>
          </w:p>
        </w:tc>
      </w:tr>
      <w:tr w14:paraId="4A9484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27" w:hRule="atLeast"/>
        </w:trPr>
        <w:tc>
          <w:tcPr>
            <w:tcW w:w="428" w:type="dxa"/>
            <w:vMerge w:val="continue"/>
            <w:tcBorders>
              <w:top w:val="single" w:color="auto" w:sz="4" w:space="0"/>
              <w:left w:val="single" w:color="auto" w:sz="4" w:space="0"/>
              <w:bottom w:val="single" w:color="auto" w:sz="4" w:space="0"/>
              <w:right w:val="single" w:color="auto" w:sz="4" w:space="0"/>
            </w:tcBorders>
            <w:vAlign w:val="center"/>
          </w:tcPr>
          <w:p w14:paraId="6D34EF1E">
            <w:pPr>
              <w:widowControl/>
              <w:spacing w:line="500" w:lineRule="exact"/>
              <w:jc w:val="left"/>
              <w:rPr>
                <w:rFonts w:ascii="宋体" w:hAnsi="宋体" w:cs="宋体"/>
                <w:color w:val="auto"/>
                <w:szCs w:val="21"/>
                <w:highlight w:val="none"/>
              </w:rPr>
            </w:pPr>
          </w:p>
        </w:tc>
        <w:tc>
          <w:tcPr>
            <w:tcW w:w="315" w:type="dxa"/>
            <w:tcBorders>
              <w:top w:val="single" w:color="auto" w:sz="4" w:space="0"/>
              <w:left w:val="single" w:color="auto" w:sz="4" w:space="0"/>
              <w:bottom w:val="single" w:color="auto" w:sz="4" w:space="0"/>
              <w:right w:val="single" w:color="auto" w:sz="4" w:space="0"/>
            </w:tcBorders>
            <w:vAlign w:val="center"/>
          </w:tcPr>
          <w:p w14:paraId="681FD260">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957" w:type="dxa"/>
            <w:tcBorders>
              <w:top w:val="single" w:color="auto" w:sz="4" w:space="0"/>
              <w:left w:val="single" w:color="auto" w:sz="4" w:space="0"/>
              <w:bottom w:val="single" w:color="auto" w:sz="4" w:space="0"/>
              <w:right w:val="single" w:color="auto" w:sz="4" w:space="0"/>
            </w:tcBorders>
            <w:vAlign w:val="center"/>
          </w:tcPr>
          <w:p w14:paraId="5A09DCD5">
            <w:pPr>
              <w:spacing w:line="50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信息系统日常运行维护服务-南宁市城市管理综合行政执法数字化系统运行维护</w:t>
            </w:r>
          </w:p>
        </w:tc>
        <w:tc>
          <w:tcPr>
            <w:tcW w:w="562" w:type="dxa"/>
            <w:tcBorders>
              <w:top w:val="single" w:color="auto" w:sz="4" w:space="0"/>
              <w:left w:val="single" w:color="auto" w:sz="4" w:space="0"/>
              <w:bottom w:val="single" w:color="auto" w:sz="4" w:space="0"/>
              <w:right w:val="single" w:color="auto" w:sz="4" w:space="0"/>
            </w:tcBorders>
            <w:vAlign w:val="center"/>
          </w:tcPr>
          <w:p w14:paraId="3677E68B">
            <w:pPr>
              <w:pStyle w:val="38"/>
              <w:spacing w:before="0" w:beforeAutospacing="0" w:after="0" w:afterAutospacing="0" w:line="500" w:lineRule="exact"/>
              <w:ind w:firstLine="0" w:firstLineChars="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项</w:t>
            </w:r>
          </w:p>
        </w:tc>
        <w:tc>
          <w:tcPr>
            <w:tcW w:w="513" w:type="dxa"/>
            <w:tcBorders>
              <w:top w:val="single" w:color="auto" w:sz="4" w:space="0"/>
              <w:left w:val="single" w:color="auto" w:sz="4" w:space="0"/>
              <w:bottom w:val="single" w:color="auto" w:sz="4" w:space="0"/>
              <w:right w:val="single" w:color="auto" w:sz="4" w:space="0"/>
            </w:tcBorders>
            <w:vAlign w:val="center"/>
          </w:tcPr>
          <w:p w14:paraId="5DB683DD">
            <w:pPr>
              <w:spacing w:line="50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w:t>
            </w:r>
          </w:p>
        </w:tc>
        <w:tc>
          <w:tcPr>
            <w:tcW w:w="5392" w:type="dxa"/>
            <w:tcBorders>
              <w:top w:val="single" w:color="auto" w:sz="4" w:space="0"/>
              <w:left w:val="single" w:color="auto" w:sz="4" w:space="0"/>
              <w:bottom w:val="single" w:color="auto" w:sz="4" w:space="0"/>
              <w:right w:val="single" w:color="auto" w:sz="4" w:space="0"/>
            </w:tcBorders>
            <w:shd w:val="clear" w:color="auto" w:fill="auto"/>
            <w:vAlign w:val="center"/>
          </w:tcPr>
          <w:p w14:paraId="3A95CD6E">
            <w:pPr>
              <w:spacing w:line="42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一、项目概况</w:t>
            </w:r>
          </w:p>
          <w:p w14:paraId="5669831B">
            <w:pPr>
              <w:spacing w:line="42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对</w:t>
            </w:r>
            <w:r>
              <w:rPr>
                <w:rFonts w:hint="eastAsia" w:ascii="宋体" w:hAnsi="宋体" w:eastAsia="宋体" w:cs="宋体"/>
                <w:bCs/>
                <w:color w:val="auto"/>
                <w:sz w:val="21"/>
                <w:szCs w:val="21"/>
                <w:highlight w:val="none"/>
                <w:lang w:eastAsia="zh-CN"/>
              </w:rPr>
              <w:t>南宁市城市管理综合行政执法数字化系统（以下简称执法系统）</w:t>
            </w:r>
            <w:r>
              <w:rPr>
                <w:rFonts w:hint="eastAsia" w:ascii="宋体" w:hAnsi="宋体" w:eastAsia="宋体" w:cs="宋体"/>
                <w:bCs/>
                <w:color w:val="auto"/>
                <w:sz w:val="21"/>
                <w:szCs w:val="21"/>
                <w:highlight w:val="none"/>
              </w:rPr>
              <w:t>及相关的项目范畴提供运行维护服务，包含但不限于11个应用子系统、</w:t>
            </w:r>
            <w:r>
              <w:rPr>
                <w:rFonts w:hint="eastAsia" w:ascii="宋体" w:hAnsi="宋体" w:cs="宋体"/>
                <w:bCs/>
                <w:color w:val="auto"/>
                <w:sz w:val="21"/>
                <w:szCs w:val="21"/>
                <w:highlight w:val="none"/>
                <w:lang w:eastAsia="zh-CN"/>
              </w:rPr>
              <w:t>执法通</w:t>
            </w:r>
            <w:r>
              <w:rPr>
                <w:rFonts w:hint="eastAsia" w:ascii="宋体" w:hAnsi="宋体" w:eastAsia="宋体" w:cs="宋体"/>
                <w:bCs/>
                <w:color w:val="auto"/>
                <w:sz w:val="21"/>
                <w:szCs w:val="21"/>
                <w:highlight w:val="none"/>
              </w:rPr>
              <w:t>App、系统云平台、执法记录仪、执法数据采集站</w:t>
            </w:r>
            <w:r>
              <w:rPr>
                <w:rFonts w:hint="eastAsia" w:ascii="宋体" w:hAnsi="宋体" w:cs="宋体"/>
                <w:bCs/>
                <w:color w:val="auto"/>
                <w:sz w:val="21"/>
                <w:szCs w:val="21"/>
                <w:highlight w:val="none"/>
                <w:lang w:eastAsia="zh-CN"/>
              </w:rPr>
              <w:t>等</w:t>
            </w:r>
            <w:r>
              <w:rPr>
                <w:rFonts w:hint="eastAsia" w:ascii="宋体" w:hAnsi="宋体" w:eastAsia="宋体" w:cs="宋体"/>
                <w:bCs/>
                <w:color w:val="auto"/>
                <w:sz w:val="21"/>
                <w:szCs w:val="21"/>
                <w:highlight w:val="none"/>
              </w:rPr>
              <w:t>相关平台系统软硬件。对</w:t>
            </w:r>
            <w:r>
              <w:rPr>
                <w:rFonts w:hint="eastAsia" w:ascii="宋体" w:hAnsi="宋体" w:eastAsia="宋体" w:cs="宋体"/>
                <w:bCs/>
                <w:color w:val="auto"/>
                <w:sz w:val="21"/>
                <w:szCs w:val="21"/>
                <w:highlight w:val="none"/>
                <w:lang w:eastAsia="zh-CN"/>
              </w:rPr>
              <w:t>执法</w:t>
            </w:r>
            <w:r>
              <w:rPr>
                <w:rFonts w:hint="eastAsia" w:ascii="宋体" w:hAnsi="宋体" w:eastAsia="宋体" w:cs="宋体"/>
                <w:bCs/>
                <w:color w:val="auto"/>
                <w:sz w:val="21"/>
                <w:szCs w:val="21"/>
                <w:highlight w:val="none"/>
              </w:rPr>
              <w:t>系统功能、流程进行优化，保证系统</w:t>
            </w:r>
            <w:r>
              <w:rPr>
                <w:rFonts w:hint="eastAsia" w:ascii="宋体" w:hAnsi="宋体" w:eastAsia="宋体" w:cs="宋体"/>
                <w:bCs/>
                <w:color w:val="auto"/>
                <w:sz w:val="21"/>
                <w:szCs w:val="21"/>
                <w:highlight w:val="none"/>
                <w:lang w:eastAsia="zh-CN"/>
              </w:rPr>
              <w:t>网络数据安全、以及</w:t>
            </w:r>
            <w:r>
              <w:rPr>
                <w:rFonts w:hint="eastAsia" w:ascii="宋体" w:hAnsi="宋体" w:eastAsia="宋体" w:cs="宋体"/>
                <w:bCs/>
                <w:color w:val="auto"/>
                <w:sz w:val="21"/>
                <w:szCs w:val="21"/>
                <w:highlight w:val="none"/>
              </w:rPr>
              <w:t>数据的完整性</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连续性</w:t>
            </w:r>
            <w:r>
              <w:rPr>
                <w:rFonts w:hint="eastAsia" w:ascii="宋体" w:hAnsi="宋体" w:eastAsia="宋体" w:cs="宋体"/>
                <w:bCs/>
                <w:color w:val="auto"/>
                <w:sz w:val="21"/>
                <w:szCs w:val="21"/>
                <w:highlight w:val="none"/>
                <w:lang w:eastAsia="zh-CN"/>
              </w:rPr>
              <w:t>等</w:t>
            </w:r>
            <w:r>
              <w:rPr>
                <w:rFonts w:hint="eastAsia" w:ascii="宋体" w:hAnsi="宋体" w:eastAsia="宋体" w:cs="宋体"/>
                <w:bCs/>
                <w:color w:val="auto"/>
                <w:sz w:val="21"/>
                <w:szCs w:val="21"/>
                <w:highlight w:val="none"/>
              </w:rPr>
              <w:t>。同时提高流程设计的灵活性、可扩展性，使之</w:t>
            </w:r>
            <w:r>
              <w:rPr>
                <w:rFonts w:hint="eastAsia" w:ascii="宋体" w:hAnsi="宋体" w:cs="宋体"/>
                <w:bCs/>
                <w:color w:val="auto"/>
                <w:sz w:val="21"/>
                <w:szCs w:val="21"/>
                <w:highlight w:val="none"/>
                <w:lang w:eastAsia="zh-CN"/>
              </w:rPr>
              <w:t>更加</w:t>
            </w:r>
            <w:r>
              <w:rPr>
                <w:rFonts w:hint="eastAsia" w:ascii="宋体" w:hAnsi="宋体" w:eastAsia="宋体" w:cs="宋体"/>
                <w:bCs/>
                <w:color w:val="auto"/>
                <w:sz w:val="21"/>
                <w:szCs w:val="21"/>
                <w:highlight w:val="none"/>
              </w:rPr>
              <w:t>符合城市管理综合行政执法要求，有利于提升城市管理综合行政执法效能。</w:t>
            </w:r>
          </w:p>
          <w:p w14:paraId="7595C2F5">
            <w:pPr>
              <w:spacing w:line="420" w:lineRule="exact"/>
              <w:ind w:firstLine="420" w:firstLineChars="2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二、具体服务内容</w:t>
            </w:r>
          </w:p>
          <w:p w14:paraId="29F49D03">
            <w:pPr>
              <w:spacing w:line="420" w:lineRule="exact"/>
              <w:ind w:left="239" w:leftChars="114" w:firstLine="211" w:firstLineChars="1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（一）系统运行维护及优化</w:t>
            </w:r>
          </w:p>
          <w:p w14:paraId="08C82EFC">
            <w:pPr>
              <w:spacing w:line="42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cs="宋体"/>
                <w:bCs/>
                <w:color w:val="auto"/>
                <w:sz w:val="21"/>
                <w:szCs w:val="21"/>
                <w:highlight w:val="none"/>
                <w:lang w:val="en-US" w:eastAsia="zh-CN"/>
              </w:rPr>
              <w:t>.</w:t>
            </w:r>
            <w:r>
              <w:rPr>
                <w:rFonts w:hint="eastAsia" w:ascii="宋体" w:hAnsi="宋体" w:eastAsia="宋体" w:cs="宋体"/>
                <w:bCs/>
                <w:color w:val="auto"/>
                <w:sz w:val="21"/>
                <w:szCs w:val="21"/>
                <w:highlight w:val="none"/>
              </w:rPr>
              <w:t>配合采购人对系统模块进行运维。分析系统中存在的业务问题（如：流程设置存在缺陷、数据生成结果缺失、预警提示、重要环节业务缺少等问题），对应用子系统提供缺陷修复和功能提升服务，</w:t>
            </w:r>
            <w:r>
              <w:rPr>
                <w:rFonts w:hint="eastAsia" w:ascii="宋体" w:hAnsi="宋体" w:eastAsia="宋体" w:cs="宋体"/>
                <w:bCs/>
                <w:color w:val="auto"/>
                <w:sz w:val="21"/>
                <w:szCs w:val="21"/>
                <w:highlight w:val="none"/>
                <w:lang w:eastAsia="zh-CN"/>
              </w:rPr>
              <w:t>对系统软硬件进行巡检维护，</w:t>
            </w:r>
            <w:r>
              <w:rPr>
                <w:rFonts w:hint="eastAsia" w:ascii="宋体" w:hAnsi="宋体" w:eastAsia="宋体" w:cs="宋体"/>
                <w:bCs/>
                <w:color w:val="auto"/>
                <w:sz w:val="21"/>
                <w:szCs w:val="21"/>
                <w:highlight w:val="none"/>
              </w:rPr>
              <w:t>保障系统日常业务</w:t>
            </w:r>
            <w:r>
              <w:rPr>
                <w:rFonts w:hint="eastAsia" w:ascii="宋体" w:hAnsi="宋体" w:eastAsia="宋体" w:cs="宋体"/>
                <w:bCs/>
                <w:color w:val="auto"/>
                <w:sz w:val="21"/>
                <w:szCs w:val="21"/>
                <w:highlight w:val="none"/>
                <w:lang w:eastAsia="zh-CN"/>
              </w:rPr>
              <w:t>正常稳定运行</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rPr>
              <w:br w:type="textWrapping"/>
            </w:r>
            <w:r>
              <w:rPr>
                <w:rFonts w:hint="eastAsia" w:ascii="宋体" w:hAnsi="宋体" w:eastAsia="宋体" w:cs="宋体"/>
                <w:bCs/>
                <w:color w:val="auto"/>
                <w:sz w:val="21"/>
                <w:szCs w:val="21"/>
                <w:highlight w:val="none"/>
              </w:rPr>
              <w:t xml:space="preserve">    2</w:t>
            </w:r>
            <w:r>
              <w:rPr>
                <w:rFonts w:hint="eastAsia" w:ascii="宋体" w:hAnsi="宋体" w:cs="宋体"/>
                <w:bCs/>
                <w:color w:val="auto"/>
                <w:sz w:val="21"/>
                <w:szCs w:val="21"/>
                <w:highlight w:val="none"/>
                <w:lang w:val="en-US" w:eastAsia="zh-CN"/>
              </w:rPr>
              <w:t>.</w:t>
            </w:r>
            <w:r>
              <w:rPr>
                <w:rFonts w:hint="eastAsia" w:ascii="宋体" w:hAnsi="宋体" w:eastAsia="宋体" w:cs="宋体"/>
                <w:bCs/>
                <w:color w:val="auto"/>
                <w:sz w:val="21"/>
                <w:szCs w:val="21"/>
                <w:highlight w:val="none"/>
                <w:lang w:eastAsia="zh-CN"/>
              </w:rPr>
              <w:t>根据需要对</w:t>
            </w:r>
            <w:r>
              <w:rPr>
                <w:rFonts w:hint="eastAsia" w:ascii="宋体" w:hAnsi="宋体" w:eastAsia="宋体" w:cs="宋体"/>
                <w:bCs/>
                <w:color w:val="auto"/>
                <w:sz w:val="21"/>
                <w:szCs w:val="21"/>
                <w:highlight w:val="none"/>
              </w:rPr>
              <w:t>系统性能调优。根据系统运行情况和具体要求对相关的业务进行系统运行性能诊断，根据结果调整系统参数，使系统始终在最佳状态下运行，并对可能出现的问题提供科学预测，并采取必要的预防和补救措施，防患于未然。</w:t>
            </w:r>
            <w:r>
              <w:rPr>
                <w:rFonts w:hint="eastAsia" w:ascii="宋体" w:hAnsi="宋体" w:eastAsia="宋体" w:cs="宋体"/>
                <w:bCs/>
                <w:color w:val="auto"/>
                <w:sz w:val="21"/>
                <w:szCs w:val="21"/>
                <w:highlight w:val="none"/>
              </w:rPr>
              <w:br w:type="textWrapping"/>
            </w:r>
            <w:r>
              <w:rPr>
                <w:rFonts w:hint="eastAsia" w:ascii="宋体" w:hAnsi="宋体" w:eastAsia="宋体" w:cs="宋体"/>
                <w:bCs/>
                <w:color w:val="auto"/>
                <w:sz w:val="21"/>
                <w:szCs w:val="21"/>
                <w:highlight w:val="none"/>
              </w:rPr>
              <w:t xml:space="preserve">    3</w:t>
            </w:r>
            <w:r>
              <w:rPr>
                <w:rFonts w:hint="eastAsia" w:ascii="宋体" w:hAnsi="宋体" w:cs="宋体"/>
                <w:bCs/>
                <w:color w:val="auto"/>
                <w:sz w:val="21"/>
                <w:szCs w:val="21"/>
                <w:highlight w:val="none"/>
                <w:lang w:val="en-US" w:eastAsia="zh-CN"/>
              </w:rPr>
              <w:t>.</w:t>
            </w:r>
            <w:r>
              <w:rPr>
                <w:rFonts w:hint="eastAsia" w:ascii="宋体" w:hAnsi="宋体" w:eastAsia="宋体" w:cs="宋体"/>
                <w:bCs/>
                <w:color w:val="auto"/>
                <w:sz w:val="21"/>
                <w:szCs w:val="21"/>
                <w:highlight w:val="none"/>
              </w:rPr>
              <w:t>提供系统用户调整、审批流程配置、操作优化</w:t>
            </w:r>
            <w:r>
              <w:rPr>
                <w:rFonts w:hint="eastAsia" w:ascii="宋体" w:hAnsi="宋体" w:eastAsia="宋体" w:cs="宋体"/>
                <w:bCs/>
                <w:color w:val="auto"/>
                <w:sz w:val="21"/>
                <w:szCs w:val="21"/>
                <w:highlight w:val="none"/>
                <w:lang w:eastAsia="zh-CN"/>
              </w:rPr>
              <w:t>等</w:t>
            </w:r>
            <w:r>
              <w:rPr>
                <w:rFonts w:hint="eastAsia" w:ascii="宋体" w:hAnsi="宋体" w:eastAsia="宋体" w:cs="宋体"/>
                <w:bCs/>
                <w:color w:val="auto"/>
                <w:sz w:val="21"/>
                <w:szCs w:val="21"/>
                <w:highlight w:val="none"/>
              </w:rPr>
              <w:t>服务，根据</w:t>
            </w:r>
            <w:r>
              <w:rPr>
                <w:rFonts w:hint="eastAsia" w:ascii="宋体" w:hAnsi="宋体" w:eastAsia="宋体" w:cs="宋体"/>
                <w:bCs/>
                <w:color w:val="auto"/>
                <w:sz w:val="21"/>
                <w:szCs w:val="21"/>
                <w:highlight w:val="none"/>
                <w:lang w:eastAsia="zh-CN"/>
              </w:rPr>
              <w:t>系统各使用</w:t>
            </w:r>
            <w:r>
              <w:rPr>
                <w:rFonts w:hint="eastAsia" w:ascii="宋体" w:hAnsi="宋体" w:eastAsia="宋体" w:cs="宋体"/>
                <w:bCs/>
                <w:color w:val="auto"/>
                <w:sz w:val="21"/>
                <w:szCs w:val="21"/>
                <w:highlight w:val="none"/>
              </w:rPr>
              <w:t>部门需求，对系统用户、角色、权限、表单、审批流程、组织机构</w:t>
            </w:r>
            <w:r>
              <w:rPr>
                <w:rFonts w:hint="eastAsia" w:ascii="宋体" w:hAnsi="宋体" w:eastAsia="宋体" w:cs="宋体"/>
                <w:bCs/>
                <w:color w:val="auto"/>
                <w:sz w:val="21"/>
                <w:szCs w:val="21"/>
                <w:highlight w:val="none"/>
                <w:lang w:eastAsia="zh-CN"/>
              </w:rPr>
              <w:t>等</w:t>
            </w:r>
            <w:r>
              <w:rPr>
                <w:rFonts w:hint="eastAsia" w:ascii="宋体" w:hAnsi="宋体" w:eastAsia="宋体" w:cs="宋体"/>
                <w:bCs/>
                <w:color w:val="auto"/>
                <w:sz w:val="21"/>
                <w:szCs w:val="21"/>
                <w:highlight w:val="none"/>
              </w:rPr>
              <w:t>进行维护修改操作。</w:t>
            </w:r>
            <w:r>
              <w:rPr>
                <w:rFonts w:hint="eastAsia" w:ascii="宋体" w:hAnsi="宋体" w:eastAsia="宋体" w:cs="宋体"/>
                <w:bCs/>
                <w:color w:val="auto"/>
                <w:sz w:val="21"/>
                <w:szCs w:val="21"/>
                <w:highlight w:val="none"/>
              </w:rPr>
              <w:br w:type="textWrapping"/>
            </w:r>
            <w:r>
              <w:rPr>
                <w:rFonts w:hint="eastAsia" w:ascii="宋体" w:hAnsi="宋体" w:eastAsia="宋体" w:cs="宋体"/>
                <w:bCs/>
                <w:color w:val="auto"/>
                <w:sz w:val="21"/>
                <w:szCs w:val="21"/>
                <w:highlight w:val="none"/>
              </w:rPr>
              <w:t xml:space="preserve">    4</w:t>
            </w:r>
            <w:r>
              <w:rPr>
                <w:rFonts w:hint="eastAsia" w:ascii="宋体" w:hAnsi="宋体" w:cs="宋体"/>
                <w:bCs/>
                <w:color w:val="auto"/>
                <w:sz w:val="21"/>
                <w:szCs w:val="21"/>
                <w:highlight w:val="none"/>
                <w:lang w:val="en-US" w:eastAsia="zh-CN"/>
              </w:rPr>
              <w:t>.</w:t>
            </w:r>
            <w:r>
              <w:rPr>
                <w:rFonts w:hint="eastAsia" w:ascii="宋体" w:hAnsi="宋体" w:eastAsia="宋体" w:cs="宋体"/>
                <w:bCs/>
                <w:color w:val="auto"/>
                <w:sz w:val="21"/>
                <w:szCs w:val="21"/>
                <w:highlight w:val="none"/>
              </w:rPr>
              <w:t>对因系统用户误操作引起的数据问题或是客户端环境问题等其他系统相关问题，及时进行分析、诊断和修正，保障业务</w:t>
            </w:r>
            <w:r>
              <w:rPr>
                <w:rFonts w:hint="eastAsia" w:ascii="宋体" w:hAnsi="宋体" w:eastAsia="宋体" w:cs="宋体"/>
                <w:bCs/>
                <w:color w:val="auto"/>
                <w:sz w:val="21"/>
                <w:szCs w:val="21"/>
                <w:highlight w:val="none"/>
                <w:lang w:eastAsia="zh-CN"/>
              </w:rPr>
              <w:t>使用</w:t>
            </w:r>
            <w:r>
              <w:rPr>
                <w:rFonts w:hint="eastAsia" w:ascii="宋体" w:hAnsi="宋体" w:eastAsia="宋体" w:cs="宋体"/>
                <w:bCs/>
                <w:color w:val="auto"/>
                <w:sz w:val="21"/>
                <w:szCs w:val="21"/>
                <w:highlight w:val="none"/>
              </w:rPr>
              <w:t>部门日常</w:t>
            </w:r>
            <w:r>
              <w:rPr>
                <w:rFonts w:hint="eastAsia" w:ascii="宋体" w:hAnsi="宋体" w:eastAsia="宋体" w:cs="宋体"/>
                <w:bCs/>
                <w:color w:val="auto"/>
                <w:sz w:val="21"/>
                <w:szCs w:val="21"/>
                <w:highlight w:val="none"/>
                <w:lang w:eastAsia="zh-CN"/>
              </w:rPr>
              <w:t>工作</w:t>
            </w:r>
            <w:r>
              <w:rPr>
                <w:rFonts w:hint="eastAsia" w:ascii="宋体" w:hAnsi="宋体" w:eastAsia="宋体" w:cs="宋体"/>
                <w:bCs/>
                <w:color w:val="auto"/>
                <w:sz w:val="21"/>
                <w:szCs w:val="21"/>
                <w:highlight w:val="none"/>
              </w:rPr>
              <w:t>的顺利进行。</w:t>
            </w:r>
            <w:r>
              <w:rPr>
                <w:rFonts w:hint="eastAsia" w:ascii="宋体" w:hAnsi="宋体" w:eastAsia="宋体" w:cs="宋体"/>
                <w:bCs/>
                <w:color w:val="auto"/>
                <w:sz w:val="21"/>
                <w:szCs w:val="21"/>
                <w:highlight w:val="none"/>
              </w:rPr>
              <w:br w:type="textWrapping"/>
            </w:r>
            <w:r>
              <w:rPr>
                <w:rFonts w:hint="eastAsia" w:ascii="宋体" w:hAnsi="宋体" w:eastAsia="宋体" w:cs="宋体"/>
                <w:bCs/>
                <w:color w:val="auto"/>
                <w:sz w:val="21"/>
                <w:szCs w:val="21"/>
                <w:highlight w:val="none"/>
              </w:rPr>
              <w:t xml:space="preserve">    5</w:t>
            </w:r>
            <w:r>
              <w:rPr>
                <w:rFonts w:hint="eastAsia" w:ascii="宋体" w:hAnsi="宋体" w:cs="宋体"/>
                <w:bCs/>
                <w:color w:val="auto"/>
                <w:sz w:val="21"/>
                <w:szCs w:val="21"/>
                <w:highlight w:val="none"/>
                <w:lang w:val="en-US" w:eastAsia="zh-CN"/>
              </w:rPr>
              <w:t>.</w:t>
            </w:r>
            <w:r>
              <w:rPr>
                <w:rFonts w:hint="eastAsia" w:ascii="宋体" w:hAnsi="宋体" w:eastAsia="宋体" w:cs="宋体"/>
                <w:bCs/>
                <w:color w:val="auto"/>
                <w:sz w:val="21"/>
                <w:szCs w:val="21"/>
                <w:highlight w:val="none"/>
              </w:rPr>
              <w:t>因采购人的业务需要，若有其它的业务系统需与执法数字化系统进行对接，实现数据共享或其它业务功能，中标供应商需提供接口部分的技术支持和相关部分的接口开发等实施配合。</w:t>
            </w:r>
            <w:r>
              <w:rPr>
                <w:rFonts w:hint="eastAsia" w:ascii="宋体" w:hAnsi="宋体" w:eastAsia="宋体" w:cs="宋体"/>
                <w:bCs/>
                <w:color w:val="auto"/>
                <w:sz w:val="21"/>
                <w:szCs w:val="21"/>
                <w:highlight w:val="none"/>
              </w:rPr>
              <w:br w:type="textWrapping"/>
            </w:r>
            <w:r>
              <w:rPr>
                <w:rFonts w:hint="eastAsia" w:ascii="宋体" w:hAnsi="宋体" w:eastAsia="宋体" w:cs="宋体"/>
                <w:bCs/>
                <w:color w:val="auto"/>
                <w:sz w:val="21"/>
                <w:szCs w:val="21"/>
                <w:highlight w:val="none"/>
              </w:rPr>
              <w:t xml:space="preserve">    6</w:t>
            </w:r>
            <w:r>
              <w:rPr>
                <w:rFonts w:hint="eastAsia" w:ascii="宋体" w:hAnsi="宋体" w:cs="宋体"/>
                <w:bCs/>
                <w:color w:val="auto"/>
                <w:sz w:val="21"/>
                <w:szCs w:val="21"/>
                <w:highlight w:val="none"/>
                <w:lang w:val="en-US" w:eastAsia="zh-CN"/>
              </w:rPr>
              <w:t>.</w:t>
            </w:r>
            <w:r>
              <w:rPr>
                <w:rFonts w:hint="eastAsia" w:ascii="宋体" w:hAnsi="宋体" w:eastAsia="宋体" w:cs="宋体"/>
                <w:bCs/>
                <w:color w:val="auto"/>
                <w:sz w:val="21"/>
                <w:szCs w:val="21"/>
                <w:highlight w:val="none"/>
                <w:lang w:eastAsia="zh-CN"/>
              </w:rPr>
              <w:t>中标供应商</w:t>
            </w:r>
            <w:r>
              <w:rPr>
                <w:rFonts w:hint="eastAsia" w:ascii="宋体" w:hAnsi="宋体" w:eastAsia="宋体" w:cs="宋体"/>
                <w:bCs/>
                <w:color w:val="auto"/>
                <w:sz w:val="21"/>
                <w:szCs w:val="21"/>
                <w:highlight w:val="none"/>
              </w:rPr>
              <w:t>需做好执法记录仪、移动执法终端等硬件设备与执法数字化系统的适配工作，保障设备的正常使用，</w:t>
            </w:r>
            <w:r>
              <w:rPr>
                <w:rFonts w:hint="eastAsia" w:ascii="宋体" w:hAnsi="宋体" w:eastAsia="宋体" w:cs="宋体"/>
                <w:bCs/>
                <w:color w:val="auto"/>
                <w:sz w:val="21"/>
                <w:szCs w:val="21"/>
                <w:highlight w:val="none"/>
                <w:lang w:eastAsia="zh-CN"/>
              </w:rPr>
              <w:t>实现</w:t>
            </w:r>
            <w:r>
              <w:rPr>
                <w:rFonts w:hint="eastAsia" w:ascii="宋体" w:hAnsi="宋体" w:eastAsia="宋体" w:cs="宋体"/>
                <w:bCs/>
                <w:color w:val="auto"/>
                <w:sz w:val="21"/>
                <w:szCs w:val="21"/>
                <w:highlight w:val="none"/>
              </w:rPr>
              <w:t>数据实时互通。</w:t>
            </w:r>
          </w:p>
          <w:p w14:paraId="2C57B857">
            <w:pPr>
              <w:spacing w:line="42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 7</w:t>
            </w:r>
            <w:r>
              <w:rPr>
                <w:rFonts w:hint="eastAsia" w:ascii="宋体" w:hAnsi="宋体" w:cs="宋体"/>
                <w:bCs/>
                <w:color w:val="auto"/>
                <w:sz w:val="21"/>
                <w:szCs w:val="21"/>
                <w:highlight w:val="none"/>
                <w:lang w:val="en-US" w:eastAsia="zh-CN"/>
              </w:rPr>
              <w:t>.</w:t>
            </w:r>
            <w:r>
              <w:rPr>
                <w:rFonts w:hint="eastAsia" w:ascii="宋体" w:hAnsi="宋体" w:eastAsia="宋体" w:cs="宋体"/>
                <w:bCs/>
                <w:color w:val="auto"/>
                <w:sz w:val="21"/>
                <w:szCs w:val="21"/>
                <w:highlight w:val="none"/>
              </w:rPr>
              <w:t>做好全南宁市城管综合执法系统的使用服务工作，开展相关培训和指导，根据各城区（开发区）的执法工作需要和城区业务系统特点给予必要的技术支持和系统对接服务。对</w:t>
            </w:r>
            <w:r>
              <w:rPr>
                <w:rFonts w:hint="eastAsia" w:ascii="宋体" w:hAnsi="宋体" w:eastAsia="宋体" w:cs="宋体"/>
                <w:bCs/>
                <w:color w:val="auto"/>
                <w:sz w:val="21"/>
                <w:szCs w:val="21"/>
                <w:highlight w:val="none"/>
                <w:lang w:eastAsia="zh-CN"/>
              </w:rPr>
              <w:t>各使用部门</w:t>
            </w:r>
            <w:r>
              <w:rPr>
                <w:rFonts w:hint="eastAsia" w:ascii="宋体" w:hAnsi="宋体" w:eastAsia="宋体" w:cs="宋体"/>
                <w:bCs/>
                <w:color w:val="auto"/>
                <w:sz w:val="21"/>
                <w:szCs w:val="21"/>
                <w:highlight w:val="none"/>
              </w:rPr>
              <w:t>正常业务开展过程中碰到的涉及系统的其它问题，需及时处理，不能处理的需提出相应的解决方案供采购人参考解决。</w:t>
            </w:r>
            <w:r>
              <w:rPr>
                <w:rFonts w:hint="eastAsia" w:ascii="宋体" w:hAnsi="宋体" w:eastAsia="宋体" w:cs="宋体"/>
                <w:bCs/>
                <w:color w:val="auto"/>
                <w:sz w:val="21"/>
                <w:szCs w:val="21"/>
                <w:highlight w:val="none"/>
              </w:rPr>
              <w:br w:type="textWrapping"/>
            </w:r>
            <w:r>
              <w:rPr>
                <w:rFonts w:hint="eastAsia" w:ascii="宋体" w:hAnsi="宋体" w:eastAsia="宋体" w:cs="宋体"/>
                <w:bCs/>
                <w:color w:val="auto"/>
                <w:sz w:val="21"/>
                <w:szCs w:val="21"/>
                <w:highlight w:val="none"/>
              </w:rPr>
              <w:t xml:space="preserve">    </w:t>
            </w:r>
            <w:r>
              <w:rPr>
                <w:rFonts w:hint="eastAsia" w:ascii="宋体" w:hAnsi="宋体" w:eastAsia="宋体" w:cs="宋体"/>
                <w:bCs/>
                <w:color w:val="auto"/>
                <w:sz w:val="21"/>
                <w:szCs w:val="21"/>
                <w:highlight w:val="none"/>
                <w:lang w:val="en-US" w:eastAsia="zh-CN"/>
              </w:rPr>
              <w:t>8</w:t>
            </w:r>
            <w:r>
              <w:rPr>
                <w:rFonts w:hint="eastAsia" w:ascii="宋体" w:hAnsi="宋体" w:cs="宋体"/>
                <w:bCs/>
                <w:color w:val="auto"/>
                <w:sz w:val="21"/>
                <w:szCs w:val="21"/>
                <w:highlight w:val="none"/>
                <w:lang w:val="en-US" w:eastAsia="zh-CN"/>
              </w:rPr>
              <w:t>.</w:t>
            </w:r>
            <w:r>
              <w:rPr>
                <w:rFonts w:hint="eastAsia" w:ascii="宋体" w:hAnsi="宋体" w:eastAsia="宋体" w:cs="宋体"/>
                <w:bCs/>
                <w:color w:val="auto"/>
                <w:sz w:val="21"/>
                <w:szCs w:val="21"/>
                <w:highlight w:val="none"/>
                <w:lang w:eastAsia="zh-CN"/>
              </w:rPr>
              <w:t>根据采购人需求，做好</w:t>
            </w:r>
            <w:r>
              <w:rPr>
                <w:rFonts w:hint="eastAsia" w:ascii="宋体" w:hAnsi="宋体" w:eastAsia="宋体" w:cs="宋体"/>
                <w:bCs/>
                <w:color w:val="auto"/>
                <w:sz w:val="21"/>
                <w:szCs w:val="21"/>
                <w:highlight w:val="none"/>
              </w:rPr>
              <w:t>系统功能优化提升。</w:t>
            </w:r>
          </w:p>
          <w:p w14:paraId="1B01CF46">
            <w:pPr>
              <w:spacing w:line="420" w:lineRule="exact"/>
              <w:ind w:firstLine="420" w:firstLineChars="200"/>
              <w:rPr>
                <w:rFonts w:hint="eastAsia" w:ascii="宋体" w:hAnsi="宋体" w:eastAsia="宋体" w:cs="宋体"/>
                <w:bCs/>
                <w:color w:val="auto"/>
                <w:sz w:val="21"/>
                <w:szCs w:val="21"/>
                <w:highlight w:val="none"/>
              </w:rPr>
            </w:pPr>
            <w:r>
              <w:rPr>
                <w:rFonts w:hint="eastAsia" w:ascii="宋体" w:hAnsi="宋体" w:cs="宋体"/>
                <w:bCs/>
                <w:color w:val="auto"/>
                <w:sz w:val="21"/>
                <w:szCs w:val="21"/>
                <w:highlight w:val="none"/>
                <w:lang w:eastAsia="zh-CN"/>
              </w:rPr>
              <w:t>（</w:t>
            </w:r>
            <w:r>
              <w:rPr>
                <w:rFonts w:hint="eastAsia" w:ascii="宋体" w:hAnsi="宋体" w:cs="宋体"/>
                <w:bCs/>
                <w:color w:val="auto"/>
                <w:sz w:val="21"/>
                <w:szCs w:val="21"/>
                <w:highlight w:val="none"/>
                <w:lang w:val="en-US" w:eastAsia="zh-CN"/>
              </w:rPr>
              <w:t>1</w:t>
            </w:r>
            <w:r>
              <w:rPr>
                <w:rFonts w:hint="eastAsia" w:ascii="宋体" w:hAnsi="宋体" w:cs="宋体"/>
                <w:bCs/>
                <w:color w:val="auto"/>
                <w:sz w:val="21"/>
                <w:szCs w:val="21"/>
                <w:highlight w:val="none"/>
                <w:lang w:eastAsia="zh-CN"/>
              </w:rPr>
              <w:t>）</w:t>
            </w:r>
            <w:r>
              <w:rPr>
                <w:rFonts w:hint="eastAsia" w:ascii="宋体" w:hAnsi="宋体" w:eastAsia="宋体" w:cs="宋体"/>
                <w:bCs/>
                <w:color w:val="auto"/>
                <w:sz w:val="21"/>
                <w:szCs w:val="21"/>
                <w:highlight w:val="none"/>
              </w:rPr>
              <w:t>根据工作要求，做好执法系统与全区财政票据系统、支付系统、电子印章平台及银行业务系统等信息化平台的接口开发和相关技术对接工作，推进系统执法全流程一体化提升，保障网上办案功能的全市一体化应用。</w:t>
            </w:r>
          </w:p>
          <w:p w14:paraId="660FE307">
            <w:pPr>
              <w:spacing w:line="420" w:lineRule="exact"/>
              <w:ind w:firstLine="420" w:firstLineChars="200"/>
              <w:rPr>
                <w:rFonts w:hint="eastAsia" w:ascii="宋体" w:hAnsi="宋体" w:eastAsia="宋体" w:cs="宋体"/>
                <w:bCs/>
                <w:color w:val="auto"/>
                <w:sz w:val="21"/>
                <w:szCs w:val="21"/>
                <w:highlight w:val="none"/>
                <w:lang w:eastAsia="zh-CN"/>
              </w:rPr>
            </w:pPr>
            <w:r>
              <w:rPr>
                <w:rFonts w:hint="eastAsia" w:ascii="宋体" w:hAnsi="宋体" w:cs="宋体"/>
                <w:bCs/>
                <w:color w:val="auto"/>
                <w:sz w:val="21"/>
                <w:szCs w:val="21"/>
                <w:highlight w:val="none"/>
                <w:lang w:eastAsia="zh-CN"/>
              </w:rPr>
              <w:t>（</w:t>
            </w:r>
            <w:r>
              <w:rPr>
                <w:rFonts w:hint="eastAsia" w:ascii="宋体" w:hAnsi="宋体" w:cs="宋体"/>
                <w:bCs/>
                <w:color w:val="auto"/>
                <w:sz w:val="21"/>
                <w:szCs w:val="21"/>
                <w:highlight w:val="none"/>
                <w:lang w:val="en-US" w:eastAsia="zh-CN"/>
              </w:rPr>
              <w:t>2</w:t>
            </w:r>
            <w:r>
              <w:rPr>
                <w:rFonts w:hint="eastAsia" w:ascii="宋体" w:hAnsi="宋体" w:cs="宋体"/>
                <w:bCs/>
                <w:color w:val="auto"/>
                <w:sz w:val="21"/>
                <w:szCs w:val="21"/>
                <w:highlight w:val="none"/>
                <w:lang w:eastAsia="zh-CN"/>
              </w:rPr>
              <w:t>）</w:t>
            </w:r>
            <w:r>
              <w:rPr>
                <w:rFonts w:hint="eastAsia" w:ascii="宋体" w:hAnsi="宋体" w:eastAsia="宋体" w:cs="宋体"/>
                <w:bCs/>
                <w:color w:val="auto"/>
                <w:sz w:val="21"/>
                <w:szCs w:val="21"/>
                <w:highlight w:val="none"/>
                <w:lang w:eastAsia="zh-CN"/>
              </w:rPr>
              <w:t>配合做好执法系统在执法监督方面转型升级，根据采购人的需求配合做好各城区（开发区）在“非现场”执法检查过程中产生的相关数据信息接入工作，推进执法案件线上流转，对执法监督过程留痕，强化监督数据分析应用，提升行政执法与监督数字化能力。</w:t>
            </w:r>
          </w:p>
          <w:p w14:paraId="330F0EA1">
            <w:pPr>
              <w:spacing w:line="420" w:lineRule="exact"/>
              <w:ind w:firstLine="420" w:firstLineChars="200"/>
              <w:rPr>
                <w:rFonts w:hint="eastAsia" w:ascii="宋体" w:hAnsi="宋体" w:eastAsia="宋体" w:cs="宋体"/>
                <w:bCs/>
                <w:color w:val="auto"/>
                <w:sz w:val="21"/>
                <w:szCs w:val="21"/>
                <w:highlight w:val="none"/>
                <w:lang w:eastAsia="zh-CN"/>
              </w:rPr>
            </w:pPr>
            <w:r>
              <w:rPr>
                <w:rFonts w:hint="eastAsia" w:ascii="宋体" w:hAnsi="宋体" w:cs="宋体"/>
                <w:bCs/>
                <w:color w:val="auto"/>
                <w:sz w:val="21"/>
                <w:szCs w:val="21"/>
                <w:highlight w:val="none"/>
                <w:lang w:eastAsia="zh-CN"/>
              </w:rPr>
              <w:t>（</w:t>
            </w:r>
            <w:r>
              <w:rPr>
                <w:rFonts w:hint="eastAsia" w:ascii="宋体" w:hAnsi="宋体" w:cs="宋体"/>
                <w:bCs/>
                <w:color w:val="auto"/>
                <w:sz w:val="21"/>
                <w:szCs w:val="21"/>
                <w:highlight w:val="none"/>
                <w:lang w:val="en-US" w:eastAsia="zh-CN"/>
              </w:rPr>
              <w:t>3</w:t>
            </w:r>
            <w:r>
              <w:rPr>
                <w:rFonts w:hint="eastAsia" w:ascii="宋体" w:hAnsi="宋体" w:cs="宋体"/>
                <w:bCs/>
                <w:color w:val="auto"/>
                <w:sz w:val="21"/>
                <w:szCs w:val="21"/>
                <w:highlight w:val="none"/>
                <w:lang w:eastAsia="zh-CN"/>
              </w:rPr>
              <w:t>）</w:t>
            </w:r>
            <w:r>
              <w:rPr>
                <w:rFonts w:hint="eastAsia" w:ascii="宋体" w:hAnsi="宋体" w:eastAsia="宋体" w:cs="宋体"/>
                <w:bCs/>
                <w:color w:val="auto"/>
                <w:sz w:val="21"/>
                <w:szCs w:val="21"/>
                <w:highlight w:val="none"/>
                <w:lang w:eastAsia="zh-CN"/>
              </w:rPr>
              <w:t>配合对各城区（开发区）系统应用情况跟踪分析，根据实际及时调整优化功能。</w:t>
            </w:r>
          </w:p>
          <w:p w14:paraId="303DE8EB">
            <w:pPr>
              <w:spacing w:line="420" w:lineRule="exact"/>
              <w:ind w:firstLine="420" w:firstLineChars="200"/>
              <w:rPr>
                <w:rFonts w:hint="eastAsia" w:ascii="宋体" w:hAnsi="宋体" w:eastAsia="宋体" w:cs="宋体"/>
                <w:bCs/>
                <w:color w:val="auto"/>
                <w:sz w:val="21"/>
                <w:szCs w:val="21"/>
                <w:highlight w:val="none"/>
                <w:lang w:eastAsia="zh-CN"/>
              </w:rPr>
            </w:pPr>
            <w:r>
              <w:rPr>
                <w:rFonts w:hint="eastAsia" w:ascii="宋体" w:hAnsi="宋体" w:cs="宋体"/>
                <w:bCs/>
                <w:color w:val="auto"/>
                <w:sz w:val="21"/>
                <w:szCs w:val="21"/>
                <w:highlight w:val="none"/>
                <w:lang w:eastAsia="zh-CN"/>
              </w:rPr>
              <w:t>（</w:t>
            </w:r>
            <w:r>
              <w:rPr>
                <w:rFonts w:hint="eastAsia" w:ascii="宋体" w:hAnsi="宋体" w:cs="宋体"/>
                <w:bCs/>
                <w:color w:val="auto"/>
                <w:sz w:val="21"/>
                <w:szCs w:val="21"/>
                <w:highlight w:val="none"/>
                <w:lang w:val="en-US" w:eastAsia="zh-CN"/>
              </w:rPr>
              <w:t>4</w:t>
            </w:r>
            <w:r>
              <w:rPr>
                <w:rFonts w:hint="eastAsia" w:ascii="宋体" w:hAnsi="宋体" w:cs="宋体"/>
                <w:bCs/>
                <w:color w:val="auto"/>
                <w:sz w:val="21"/>
                <w:szCs w:val="21"/>
                <w:highlight w:val="none"/>
                <w:lang w:eastAsia="zh-CN"/>
              </w:rPr>
              <w:t>）</w:t>
            </w:r>
            <w:r>
              <w:rPr>
                <w:rFonts w:hint="eastAsia" w:ascii="宋体" w:hAnsi="宋体" w:eastAsia="宋体" w:cs="宋体"/>
                <w:bCs/>
                <w:color w:val="auto"/>
                <w:sz w:val="21"/>
                <w:szCs w:val="21"/>
                <w:highlight w:val="none"/>
                <w:lang w:eastAsia="zh-CN"/>
              </w:rPr>
              <w:t>配合建立业务系统数据对接与业务对接的接口维护机制，定期对接口检测维护及时处理接口出现的问题。</w:t>
            </w:r>
          </w:p>
          <w:p w14:paraId="3A4E4111">
            <w:pPr>
              <w:spacing w:line="420" w:lineRule="exact"/>
              <w:ind w:firstLine="420" w:firstLineChars="200"/>
              <w:rPr>
                <w:rFonts w:hint="eastAsia" w:ascii="宋体" w:hAnsi="宋体" w:eastAsia="宋体" w:cs="宋体"/>
                <w:bCs/>
                <w:color w:val="auto"/>
                <w:sz w:val="21"/>
                <w:szCs w:val="21"/>
                <w:highlight w:val="none"/>
                <w:lang w:eastAsia="zh-CN"/>
              </w:rPr>
            </w:pPr>
            <w:r>
              <w:rPr>
                <w:rFonts w:hint="eastAsia" w:ascii="宋体" w:hAnsi="宋体" w:cs="宋体"/>
                <w:bCs/>
                <w:color w:val="auto"/>
                <w:sz w:val="21"/>
                <w:szCs w:val="21"/>
                <w:highlight w:val="none"/>
                <w:lang w:eastAsia="zh-CN"/>
              </w:rPr>
              <w:t>（</w:t>
            </w:r>
            <w:r>
              <w:rPr>
                <w:rFonts w:hint="eastAsia" w:ascii="宋体" w:hAnsi="宋体" w:cs="宋体"/>
                <w:bCs/>
                <w:color w:val="auto"/>
                <w:sz w:val="21"/>
                <w:szCs w:val="21"/>
                <w:highlight w:val="none"/>
                <w:lang w:val="en-US" w:eastAsia="zh-CN"/>
              </w:rPr>
              <w:t>5</w:t>
            </w:r>
            <w:r>
              <w:rPr>
                <w:rFonts w:hint="eastAsia" w:ascii="宋体" w:hAnsi="宋体" w:cs="宋体"/>
                <w:bCs/>
                <w:color w:val="auto"/>
                <w:sz w:val="21"/>
                <w:szCs w:val="21"/>
                <w:highlight w:val="none"/>
                <w:lang w:eastAsia="zh-CN"/>
              </w:rPr>
              <w:t>）根据采购人需求</w:t>
            </w:r>
            <w:r>
              <w:rPr>
                <w:rFonts w:hint="eastAsia" w:ascii="宋体" w:hAnsi="宋体" w:eastAsia="宋体" w:cs="宋体"/>
                <w:bCs/>
                <w:color w:val="auto"/>
                <w:sz w:val="21"/>
                <w:szCs w:val="21"/>
                <w:highlight w:val="none"/>
                <w:lang w:eastAsia="zh-CN"/>
              </w:rPr>
              <w:t>做好</w:t>
            </w:r>
            <w:r>
              <w:rPr>
                <w:rFonts w:hint="eastAsia" w:ascii="宋体" w:hAnsi="宋体" w:cs="宋体"/>
                <w:bCs/>
                <w:color w:val="auto"/>
                <w:sz w:val="21"/>
                <w:szCs w:val="21"/>
                <w:highlight w:val="none"/>
                <w:lang w:eastAsia="zh-CN"/>
              </w:rPr>
              <w:t>人行道非机动车信息推送功能模块优化提升工作</w:t>
            </w:r>
            <w:r>
              <w:rPr>
                <w:rFonts w:hint="eastAsia" w:ascii="宋体" w:hAnsi="宋体" w:eastAsia="宋体" w:cs="宋体"/>
                <w:bCs/>
                <w:color w:val="auto"/>
                <w:sz w:val="21"/>
                <w:szCs w:val="21"/>
                <w:highlight w:val="none"/>
                <w:lang w:eastAsia="zh-CN"/>
              </w:rPr>
              <w:t>。</w:t>
            </w:r>
          </w:p>
          <w:p w14:paraId="268711E9">
            <w:pPr>
              <w:spacing w:line="420" w:lineRule="exact"/>
              <w:ind w:firstLine="420" w:firstLineChars="200"/>
              <w:rPr>
                <w:rFonts w:hint="eastAsia"/>
                <w:color w:val="auto"/>
                <w:sz w:val="21"/>
                <w:szCs w:val="21"/>
                <w:highlight w:val="none"/>
                <w:lang w:eastAsia="zh-CN"/>
              </w:rPr>
            </w:pPr>
            <w:r>
              <w:rPr>
                <w:rFonts w:hint="eastAsia" w:ascii="宋体" w:hAnsi="宋体" w:cs="宋体"/>
                <w:bCs/>
                <w:color w:val="auto"/>
                <w:sz w:val="21"/>
                <w:szCs w:val="21"/>
                <w:highlight w:val="none"/>
                <w:lang w:eastAsia="zh-CN"/>
              </w:rPr>
              <w:t>（</w:t>
            </w:r>
            <w:r>
              <w:rPr>
                <w:rFonts w:hint="eastAsia" w:ascii="宋体" w:hAnsi="宋体" w:cs="宋体"/>
                <w:bCs/>
                <w:color w:val="auto"/>
                <w:sz w:val="21"/>
                <w:szCs w:val="21"/>
                <w:highlight w:val="none"/>
                <w:lang w:val="en-US" w:eastAsia="zh-CN"/>
              </w:rPr>
              <w:t>6</w:t>
            </w:r>
            <w:r>
              <w:rPr>
                <w:rFonts w:hint="eastAsia" w:ascii="宋体" w:hAnsi="宋体" w:cs="宋体"/>
                <w:bCs/>
                <w:color w:val="auto"/>
                <w:sz w:val="21"/>
                <w:szCs w:val="21"/>
                <w:highlight w:val="none"/>
                <w:lang w:eastAsia="zh-CN"/>
              </w:rPr>
              <w:t>）</w:t>
            </w:r>
            <w:r>
              <w:rPr>
                <w:rFonts w:hint="eastAsia" w:ascii="宋体" w:hAnsi="宋体" w:eastAsia="宋体" w:cs="宋体"/>
                <w:bCs/>
                <w:color w:val="auto"/>
                <w:sz w:val="21"/>
                <w:szCs w:val="21"/>
                <w:highlight w:val="none"/>
                <w:lang w:eastAsia="zh-CN"/>
              </w:rPr>
              <w:t>做好其他用户服务方面的工作。</w:t>
            </w:r>
          </w:p>
          <w:p w14:paraId="213D71FE">
            <w:pPr>
              <w:spacing w:line="420" w:lineRule="exact"/>
              <w:ind w:firstLine="420" w:firstLineChars="20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9</w:t>
            </w:r>
            <w:r>
              <w:rPr>
                <w:rFonts w:hint="eastAsia" w:ascii="宋体" w:hAnsi="宋体" w:cs="宋体"/>
                <w:bCs/>
                <w:color w:val="auto"/>
                <w:sz w:val="21"/>
                <w:szCs w:val="21"/>
                <w:highlight w:val="none"/>
                <w:lang w:val="en-US" w:eastAsia="zh-CN"/>
              </w:rPr>
              <w:t>.</w:t>
            </w:r>
            <w:r>
              <w:rPr>
                <w:rFonts w:hint="eastAsia" w:ascii="宋体" w:hAnsi="宋体" w:eastAsia="宋体" w:cs="宋体"/>
                <w:bCs/>
                <w:color w:val="auto"/>
                <w:sz w:val="21"/>
                <w:szCs w:val="21"/>
                <w:highlight w:val="none"/>
                <w:lang w:eastAsia="zh-CN"/>
              </w:rPr>
              <w:t>根据需要以及南宁市统一要求，配合采购人及执法系统信创迁移承办单位做好系统迁移适配等相关工作，如系统数据备份、迁移、恢复等系统运维范畴内的工作，</w:t>
            </w:r>
            <w:r>
              <w:rPr>
                <w:rFonts w:hint="eastAsia" w:ascii="宋体" w:hAnsi="宋体" w:cs="宋体"/>
                <w:bCs/>
                <w:color w:val="auto"/>
                <w:sz w:val="21"/>
                <w:szCs w:val="21"/>
                <w:highlight w:val="none"/>
                <w:lang w:eastAsia="zh-CN"/>
              </w:rPr>
              <w:t>保证系统正常运行，平滑过渡。同时做好信创迁移后执法系统的各项运维工作。</w:t>
            </w:r>
          </w:p>
          <w:p w14:paraId="728D3400">
            <w:pPr>
              <w:shd w:val="clear"/>
              <w:spacing w:line="42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10</w:t>
            </w:r>
            <w:r>
              <w:rPr>
                <w:rFonts w:hint="eastAsia" w:ascii="宋体" w:hAnsi="宋体" w:cs="宋体"/>
                <w:bCs/>
                <w:color w:val="auto"/>
                <w:sz w:val="21"/>
                <w:szCs w:val="21"/>
                <w:highlight w:val="none"/>
                <w:lang w:val="en-US" w:eastAsia="zh-CN"/>
              </w:rPr>
              <w:t>.</w:t>
            </w:r>
            <w:r>
              <w:rPr>
                <w:rFonts w:hint="eastAsia" w:ascii="宋体" w:hAnsi="宋体" w:eastAsia="宋体" w:cs="宋体"/>
                <w:bCs/>
                <w:color w:val="auto"/>
                <w:sz w:val="21"/>
                <w:szCs w:val="21"/>
                <w:highlight w:val="none"/>
                <w:lang w:eastAsia="zh-CN"/>
              </w:rPr>
              <w:t>在合同服务期内</w:t>
            </w:r>
            <w:r>
              <w:rPr>
                <w:rFonts w:hint="eastAsia" w:ascii="宋体" w:hAnsi="宋体" w:eastAsia="宋体" w:cs="宋体"/>
                <w:bCs/>
                <w:color w:val="auto"/>
                <w:sz w:val="21"/>
                <w:szCs w:val="21"/>
                <w:highlight w:val="none"/>
              </w:rPr>
              <w:t>提供</w:t>
            </w:r>
            <w:r>
              <w:rPr>
                <w:rFonts w:hint="eastAsia" w:ascii="宋体" w:hAnsi="宋体" w:eastAsia="宋体" w:cs="宋体"/>
                <w:bCs/>
                <w:color w:val="auto"/>
                <w:sz w:val="21"/>
                <w:szCs w:val="21"/>
                <w:highlight w:val="none"/>
                <w:lang w:val="en-US" w:eastAsia="zh-CN"/>
              </w:rPr>
              <w:t>12台</w:t>
            </w:r>
            <w:r>
              <w:rPr>
                <w:rFonts w:hint="eastAsia" w:ascii="宋体" w:hAnsi="宋体" w:eastAsia="宋体" w:cs="宋体"/>
                <w:bCs/>
                <w:color w:val="auto"/>
                <w:sz w:val="21"/>
                <w:szCs w:val="21"/>
                <w:highlight w:val="none"/>
                <w:lang w:eastAsia="zh-CN"/>
              </w:rPr>
              <w:t>符合并满足公安部《单警执法视音频记录仪》（</w:t>
            </w:r>
            <w:r>
              <w:rPr>
                <w:rFonts w:hint="eastAsia" w:ascii="宋体" w:hAnsi="宋体" w:eastAsia="宋体" w:cs="宋体"/>
                <w:bCs/>
                <w:color w:val="auto"/>
                <w:sz w:val="21"/>
                <w:szCs w:val="21"/>
                <w:highlight w:val="none"/>
                <w:lang w:val="en-US" w:eastAsia="zh-CN"/>
              </w:rPr>
              <w:t>GA/T947</w:t>
            </w:r>
            <w:r>
              <w:rPr>
                <w:rFonts w:hint="eastAsia" w:ascii="宋体" w:hAnsi="宋体" w:eastAsia="宋体" w:cs="宋体"/>
                <w:bCs/>
                <w:color w:val="auto"/>
                <w:sz w:val="21"/>
                <w:szCs w:val="21"/>
                <w:highlight w:val="none"/>
                <w:lang w:eastAsia="zh-CN"/>
              </w:rPr>
              <w:t>）标准要求的</w:t>
            </w:r>
            <w:r>
              <w:rPr>
                <w:rFonts w:hint="eastAsia" w:ascii="宋体" w:hAnsi="宋体" w:eastAsia="宋体" w:cs="宋体"/>
                <w:bCs/>
                <w:color w:val="auto"/>
                <w:sz w:val="21"/>
                <w:szCs w:val="21"/>
                <w:highlight w:val="none"/>
              </w:rPr>
              <w:t>无线执法记录仪设备</w:t>
            </w:r>
            <w:r>
              <w:rPr>
                <w:rFonts w:hint="eastAsia" w:ascii="宋体" w:hAnsi="宋体" w:cs="宋体"/>
                <w:bCs/>
                <w:color w:val="auto"/>
                <w:sz w:val="21"/>
                <w:szCs w:val="21"/>
                <w:highlight w:val="none"/>
                <w:lang w:eastAsia="zh-CN"/>
              </w:rPr>
              <w:t>以及其中</w:t>
            </w:r>
            <w:r>
              <w:rPr>
                <w:rFonts w:hint="eastAsia" w:ascii="宋体" w:hAnsi="宋体" w:cs="宋体"/>
                <w:bCs/>
                <w:color w:val="auto"/>
                <w:sz w:val="21"/>
                <w:szCs w:val="21"/>
                <w:highlight w:val="none"/>
                <w:lang w:val="en-US" w:eastAsia="zh-CN"/>
              </w:rPr>
              <w:t>6台设备30G/月的网络接入服务</w:t>
            </w:r>
            <w:r>
              <w:rPr>
                <w:rFonts w:hint="eastAsia" w:ascii="宋体" w:hAnsi="宋体" w:eastAsia="宋体" w:cs="宋体"/>
                <w:bCs/>
                <w:color w:val="auto"/>
                <w:sz w:val="21"/>
                <w:szCs w:val="21"/>
                <w:highlight w:val="none"/>
                <w:lang w:eastAsia="zh-CN"/>
              </w:rPr>
              <w:t>，并做好设备运行维护工作</w:t>
            </w:r>
            <w:r>
              <w:rPr>
                <w:rFonts w:hint="eastAsia" w:ascii="宋体" w:hAnsi="宋体" w:eastAsia="宋体" w:cs="宋体"/>
                <w:bCs/>
                <w:color w:val="auto"/>
                <w:sz w:val="21"/>
                <w:szCs w:val="21"/>
                <w:highlight w:val="none"/>
              </w:rPr>
              <w:t>。</w:t>
            </w:r>
          </w:p>
          <w:p w14:paraId="5C5205B1">
            <w:pPr>
              <w:spacing w:line="42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（二）政务数据资源梳理和整合共享服务</w:t>
            </w:r>
          </w:p>
          <w:p w14:paraId="7BE7B9A4">
            <w:pPr>
              <w:spacing w:line="42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根据政务数据资源管理与应用改革工作要求以及采购人工作需求，梳理执法数字化系统软硬件、政务数据、公共数据等政务数据资源，配合采购人编制政务数据资源清单。负责执法数字化系统与</w:t>
            </w:r>
            <w:r>
              <w:rPr>
                <w:rFonts w:hint="eastAsia" w:ascii="宋体" w:hAnsi="宋体" w:eastAsia="宋体" w:cs="宋体"/>
                <w:bCs/>
                <w:color w:val="auto"/>
                <w:sz w:val="21"/>
                <w:szCs w:val="21"/>
                <w:highlight w:val="none"/>
                <w:lang w:eastAsia="zh-CN"/>
              </w:rPr>
              <w:t>南宁市数据中台</w:t>
            </w:r>
            <w:r>
              <w:rPr>
                <w:rFonts w:hint="eastAsia" w:ascii="宋体" w:hAnsi="宋体" w:eastAsia="宋体" w:cs="宋体"/>
                <w:bCs/>
                <w:color w:val="auto"/>
                <w:sz w:val="21"/>
                <w:szCs w:val="21"/>
                <w:highlight w:val="none"/>
              </w:rPr>
              <w:t>及城市运行管理服务平台等相关业务系统的数据资源共享，完成配置系统数据资源目录、数据挂载、数据申请</w:t>
            </w:r>
            <w:r>
              <w:rPr>
                <w:rFonts w:hint="eastAsia" w:ascii="宋体" w:hAnsi="宋体" w:eastAsia="宋体" w:cs="宋体"/>
                <w:bCs/>
                <w:color w:val="auto"/>
                <w:sz w:val="21"/>
                <w:szCs w:val="21"/>
                <w:highlight w:val="none"/>
                <w:lang w:eastAsia="zh-CN"/>
              </w:rPr>
              <w:t>、数据推进</w:t>
            </w:r>
            <w:r>
              <w:rPr>
                <w:rFonts w:hint="eastAsia" w:ascii="宋体" w:hAnsi="宋体" w:eastAsia="宋体" w:cs="宋体"/>
                <w:bCs/>
                <w:color w:val="auto"/>
                <w:sz w:val="21"/>
                <w:szCs w:val="21"/>
                <w:highlight w:val="none"/>
              </w:rPr>
              <w:t>及应用等工作，实现数据共享和对接交互。同时根据要求做好政务数据安全保障工作，切实做好系统数据备份工作并做好记录，保证数据备份的完整性、及时性。</w:t>
            </w:r>
          </w:p>
          <w:p w14:paraId="4679FD1A">
            <w:pPr>
              <w:spacing w:line="42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（三）执法数字化系统网络安全运维保障</w:t>
            </w:r>
          </w:p>
          <w:p w14:paraId="4D8BC63F">
            <w:pPr>
              <w:spacing w:line="420" w:lineRule="exact"/>
              <w:ind w:firstLine="420" w:firstLineChars="200"/>
              <w:rPr>
                <w:rFonts w:hint="eastAsia" w:cs="宋体" w:asciiTheme="minorEastAsia" w:hAnsiTheme="minorEastAsia"/>
                <w:color w:val="auto"/>
                <w:kern w:val="0"/>
                <w:sz w:val="21"/>
                <w:szCs w:val="21"/>
                <w:highlight w:val="none"/>
              </w:rPr>
            </w:pPr>
            <w:r>
              <w:rPr>
                <w:rFonts w:hint="eastAsia" w:cs="宋体" w:asciiTheme="minorEastAsia" w:hAnsiTheme="minorEastAsia"/>
                <w:color w:val="auto"/>
                <w:kern w:val="0"/>
                <w:sz w:val="21"/>
                <w:szCs w:val="21"/>
                <w:highlight w:val="none"/>
              </w:rPr>
              <w:t>1</w:t>
            </w:r>
            <w:r>
              <w:rPr>
                <w:rFonts w:hint="eastAsia" w:cs="宋体" w:asciiTheme="minorEastAsia" w:hAnsiTheme="minorEastAsia"/>
                <w:color w:val="auto"/>
                <w:kern w:val="0"/>
                <w:sz w:val="21"/>
                <w:szCs w:val="21"/>
                <w:highlight w:val="none"/>
                <w:lang w:val="en-US" w:eastAsia="zh-CN"/>
              </w:rPr>
              <w:t>.</w:t>
            </w:r>
            <w:r>
              <w:rPr>
                <w:rFonts w:hint="eastAsia" w:cs="宋体" w:asciiTheme="minorEastAsia" w:hAnsiTheme="minorEastAsia"/>
                <w:color w:val="auto"/>
                <w:kern w:val="0"/>
                <w:sz w:val="21"/>
                <w:szCs w:val="21"/>
                <w:highlight w:val="none"/>
              </w:rPr>
              <w:t>对系统进行日常的巡检，对错误日志、告警日志进行分析、排查隐患，保障南宁市城市管理综合行政执法数字化系统的平稳运行。</w:t>
            </w:r>
            <w:r>
              <w:rPr>
                <w:rFonts w:hint="eastAsia" w:cs="宋体" w:asciiTheme="minorEastAsia" w:hAnsiTheme="minorEastAsia"/>
                <w:color w:val="auto"/>
                <w:kern w:val="0"/>
                <w:sz w:val="21"/>
                <w:szCs w:val="21"/>
                <w:highlight w:val="none"/>
              </w:rPr>
              <w:br w:type="textWrapping"/>
            </w:r>
            <w:r>
              <w:rPr>
                <w:rFonts w:hint="eastAsia" w:cs="宋体" w:asciiTheme="minorEastAsia" w:hAnsiTheme="minorEastAsia"/>
                <w:color w:val="auto"/>
                <w:kern w:val="0"/>
                <w:sz w:val="21"/>
                <w:szCs w:val="21"/>
                <w:highlight w:val="none"/>
              </w:rPr>
              <w:t xml:space="preserve">    2</w:t>
            </w:r>
            <w:r>
              <w:rPr>
                <w:rFonts w:hint="eastAsia" w:cs="宋体" w:asciiTheme="minorEastAsia" w:hAnsiTheme="minorEastAsia"/>
                <w:color w:val="auto"/>
                <w:kern w:val="0"/>
                <w:sz w:val="21"/>
                <w:szCs w:val="21"/>
                <w:highlight w:val="none"/>
                <w:lang w:val="en-US" w:eastAsia="zh-CN"/>
              </w:rPr>
              <w:t>.</w:t>
            </w:r>
            <w:r>
              <w:rPr>
                <w:rFonts w:hint="eastAsia" w:cs="宋体" w:asciiTheme="minorEastAsia" w:hAnsiTheme="minorEastAsia"/>
                <w:color w:val="auto"/>
                <w:kern w:val="0"/>
                <w:sz w:val="21"/>
                <w:szCs w:val="21"/>
                <w:highlight w:val="none"/>
              </w:rPr>
              <w:t>建立数据备份及恢复机制，每月定期做好数据存储及备份，若发生系统崩溃或其</w:t>
            </w:r>
            <w:r>
              <w:rPr>
                <w:rFonts w:hint="eastAsia" w:cs="宋体" w:asciiTheme="minorEastAsia" w:hAnsiTheme="minorEastAsia"/>
                <w:color w:val="auto"/>
                <w:kern w:val="0"/>
                <w:sz w:val="21"/>
                <w:szCs w:val="21"/>
                <w:highlight w:val="none"/>
                <w:lang w:eastAsia="zh-CN"/>
              </w:rPr>
              <w:t>他重</w:t>
            </w:r>
            <w:r>
              <w:rPr>
                <w:rFonts w:hint="eastAsia" w:cs="宋体" w:asciiTheme="minorEastAsia" w:hAnsiTheme="minorEastAsia"/>
                <w:color w:val="auto"/>
                <w:kern w:val="0"/>
                <w:sz w:val="21"/>
                <w:szCs w:val="21"/>
                <w:highlight w:val="none"/>
              </w:rPr>
              <w:t>大故障，提供数据恢复服务，确保系统正常使用。</w:t>
            </w:r>
            <w:r>
              <w:rPr>
                <w:rFonts w:hint="eastAsia" w:cs="宋体" w:asciiTheme="minorEastAsia" w:hAnsiTheme="minorEastAsia"/>
                <w:color w:val="auto"/>
                <w:kern w:val="0"/>
                <w:sz w:val="21"/>
                <w:szCs w:val="21"/>
                <w:highlight w:val="none"/>
              </w:rPr>
              <w:br w:type="textWrapping"/>
            </w:r>
            <w:r>
              <w:rPr>
                <w:rFonts w:hint="eastAsia" w:cs="宋体" w:asciiTheme="minorEastAsia" w:hAnsiTheme="minorEastAsia"/>
                <w:color w:val="auto"/>
                <w:kern w:val="0"/>
                <w:sz w:val="21"/>
                <w:szCs w:val="21"/>
                <w:highlight w:val="none"/>
              </w:rPr>
              <w:t xml:space="preserve">    3</w:t>
            </w:r>
            <w:r>
              <w:rPr>
                <w:rFonts w:hint="eastAsia" w:cs="宋体" w:asciiTheme="minorEastAsia" w:hAnsiTheme="minorEastAsia"/>
                <w:color w:val="auto"/>
                <w:kern w:val="0"/>
                <w:sz w:val="21"/>
                <w:szCs w:val="21"/>
                <w:highlight w:val="none"/>
                <w:lang w:val="en-US" w:eastAsia="zh-CN"/>
              </w:rPr>
              <w:t>.</w:t>
            </w:r>
            <w:r>
              <w:rPr>
                <w:rFonts w:hint="eastAsia" w:cs="宋体" w:asciiTheme="minorEastAsia" w:hAnsiTheme="minorEastAsia"/>
                <w:color w:val="auto"/>
                <w:kern w:val="0"/>
                <w:sz w:val="21"/>
                <w:szCs w:val="21"/>
                <w:highlight w:val="none"/>
              </w:rPr>
              <w:t>协助采购人制定应急处置预案，提供系统异常响应等在内的应急响应服务，并提供工作时间之外的上门紧急处置服务。</w:t>
            </w:r>
            <w:r>
              <w:rPr>
                <w:rFonts w:hint="eastAsia" w:cs="宋体" w:asciiTheme="minorEastAsia" w:hAnsiTheme="minorEastAsia"/>
                <w:color w:val="auto"/>
                <w:kern w:val="0"/>
                <w:sz w:val="21"/>
                <w:szCs w:val="21"/>
                <w:highlight w:val="none"/>
              </w:rPr>
              <w:br w:type="textWrapping"/>
            </w:r>
            <w:r>
              <w:rPr>
                <w:rFonts w:hint="eastAsia" w:cs="宋体" w:asciiTheme="minorEastAsia" w:hAnsiTheme="minorEastAsia"/>
                <w:color w:val="auto"/>
                <w:kern w:val="0"/>
                <w:sz w:val="21"/>
                <w:szCs w:val="21"/>
                <w:highlight w:val="none"/>
              </w:rPr>
              <w:t xml:space="preserve">    4</w:t>
            </w:r>
            <w:r>
              <w:rPr>
                <w:rFonts w:hint="eastAsia" w:cs="宋体" w:asciiTheme="minorEastAsia" w:hAnsiTheme="minorEastAsia"/>
                <w:color w:val="auto"/>
                <w:kern w:val="0"/>
                <w:sz w:val="21"/>
                <w:szCs w:val="21"/>
                <w:highlight w:val="none"/>
                <w:lang w:val="en-US" w:eastAsia="zh-CN"/>
              </w:rPr>
              <w:t>.</w:t>
            </w:r>
            <w:r>
              <w:rPr>
                <w:rFonts w:hint="eastAsia" w:cs="宋体" w:asciiTheme="minorEastAsia" w:hAnsiTheme="minorEastAsia"/>
                <w:color w:val="auto"/>
                <w:kern w:val="0"/>
                <w:sz w:val="21"/>
                <w:szCs w:val="21"/>
                <w:highlight w:val="none"/>
              </w:rPr>
              <w:t>配合完成系统的信息安全、信息系统检查等各方面业务，做好各项技术支持。</w:t>
            </w:r>
            <w:r>
              <w:rPr>
                <w:rFonts w:hint="eastAsia" w:cs="宋体" w:asciiTheme="minorEastAsia" w:hAnsiTheme="minorEastAsia"/>
                <w:color w:val="auto"/>
                <w:kern w:val="0"/>
                <w:sz w:val="21"/>
                <w:szCs w:val="21"/>
                <w:highlight w:val="none"/>
              </w:rPr>
              <w:br w:type="textWrapping"/>
            </w:r>
            <w:r>
              <w:rPr>
                <w:rFonts w:hint="eastAsia" w:cs="宋体" w:asciiTheme="minorEastAsia" w:hAnsiTheme="minorEastAsia"/>
                <w:color w:val="auto"/>
                <w:kern w:val="0"/>
                <w:sz w:val="21"/>
                <w:szCs w:val="21"/>
                <w:highlight w:val="none"/>
              </w:rPr>
              <w:t xml:space="preserve">    5</w:t>
            </w:r>
            <w:r>
              <w:rPr>
                <w:rFonts w:hint="eastAsia" w:cs="宋体" w:asciiTheme="minorEastAsia" w:hAnsiTheme="minorEastAsia"/>
                <w:color w:val="auto"/>
                <w:kern w:val="0"/>
                <w:sz w:val="21"/>
                <w:szCs w:val="21"/>
                <w:highlight w:val="none"/>
                <w:lang w:val="en-US" w:eastAsia="zh-CN"/>
              </w:rPr>
              <w:t>.</w:t>
            </w:r>
            <w:r>
              <w:rPr>
                <w:rFonts w:hint="eastAsia" w:cs="宋体" w:asciiTheme="minorEastAsia" w:hAnsiTheme="minorEastAsia"/>
                <w:color w:val="auto"/>
                <w:kern w:val="0"/>
                <w:sz w:val="21"/>
                <w:szCs w:val="21"/>
                <w:highlight w:val="none"/>
              </w:rPr>
              <w:t>做好相关系统安全防护，根据采购人信息安全等级保护要求及网安等主管部门要求，对检查出来的系统安全问题进行整改，解决系统中存在的安全隐患，以保障系统的安全运行，并形成整改报告提交相关部门。</w:t>
            </w:r>
            <w:r>
              <w:rPr>
                <w:rFonts w:hint="eastAsia" w:cs="宋体" w:asciiTheme="minorEastAsia" w:hAnsiTheme="minorEastAsia"/>
                <w:color w:val="auto"/>
                <w:kern w:val="0"/>
                <w:sz w:val="21"/>
                <w:szCs w:val="21"/>
                <w:highlight w:val="none"/>
              </w:rPr>
              <w:br w:type="textWrapping"/>
            </w:r>
            <w:r>
              <w:rPr>
                <w:rFonts w:hint="eastAsia" w:cs="宋体" w:asciiTheme="minorEastAsia" w:hAnsiTheme="minorEastAsia"/>
                <w:color w:val="auto"/>
                <w:kern w:val="0"/>
                <w:sz w:val="21"/>
                <w:szCs w:val="21"/>
                <w:highlight w:val="none"/>
              </w:rPr>
              <w:t xml:space="preserve">    6</w:t>
            </w:r>
            <w:r>
              <w:rPr>
                <w:rFonts w:hint="eastAsia" w:cs="宋体" w:asciiTheme="minorEastAsia" w:hAnsiTheme="minorEastAsia"/>
                <w:color w:val="auto"/>
                <w:kern w:val="0"/>
                <w:sz w:val="21"/>
                <w:szCs w:val="21"/>
                <w:highlight w:val="none"/>
                <w:lang w:val="en-US" w:eastAsia="zh-CN"/>
              </w:rPr>
              <w:t>.</w:t>
            </w:r>
            <w:r>
              <w:rPr>
                <w:rFonts w:hint="eastAsia" w:cs="宋体" w:asciiTheme="minorEastAsia" w:hAnsiTheme="minorEastAsia"/>
                <w:color w:val="auto"/>
                <w:kern w:val="0"/>
                <w:sz w:val="21"/>
                <w:szCs w:val="21"/>
                <w:highlight w:val="none"/>
              </w:rPr>
              <w:t>完成政务云平台网络设备、服务器及应用系统安全事件监控；病毒监测、查杀及网络防病毒维护；协助做好安全事件审计、漏洞扫描、安全加固、补丁安装。</w:t>
            </w:r>
          </w:p>
          <w:p w14:paraId="0AE3E43D">
            <w:pPr>
              <w:spacing w:line="420" w:lineRule="exact"/>
              <w:ind w:firstLine="420" w:firstLineChars="200"/>
              <w:rPr>
                <w:rFonts w:hint="eastAsia" w:ascii="宋体" w:hAnsi="宋体" w:eastAsia="宋体" w:cs="宋体"/>
                <w:color w:val="auto"/>
                <w:sz w:val="21"/>
                <w:szCs w:val="21"/>
                <w:highlight w:val="none"/>
                <w:lang w:val="en-US" w:eastAsia="zh-CN"/>
              </w:rPr>
            </w:pPr>
            <w:r>
              <w:rPr>
                <w:rFonts w:hint="eastAsia" w:cs="宋体" w:asciiTheme="minorEastAsia" w:hAnsiTheme="minorEastAsia"/>
                <w:color w:val="auto"/>
                <w:kern w:val="0"/>
                <w:sz w:val="21"/>
                <w:szCs w:val="21"/>
                <w:highlight w:val="none"/>
                <w:lang w:val="en-US" w:eastAsia="zh-CN"/>
              </w:rPr>
              <w:t>7.</w:t>
            </w:r>
            <w:r>
              <w:rPr>
                <w:rFonts w:hint="eastAsia" w:ascii="宋体" w:hAnsi="宋体" w:eastAsia="宋体" w:cs="宋体"/>
                <w:color w:val="auto"/>
                <w:sz w:val="21"/>
                <w:szCs w:val="21"/>
                <w:highlight w:val="none"/>
              </w:rPr>
              <w:t>根据采购人的</w:t>
            </w:r>
            <w:r>
              <w:rPr>
                <w:rFonts w:hint="eastAsia" w:ascii="宋体" w:hAnsi="宋体" w:eastAsia="宋体" w:cs="宋体"/>
                <w:color w:val="auto"/>
                <w:sz w:val="21"/>
                <w:szCs w:val="21"/>
                <w:highlight w:val="none"/>
                <w:lang w:eastAsia="zh-CN"/>
              </w:rPr>
              <w:t>需</w:t>
            </w:r>
            <w:r>
              <w:rPr>
                <w:rFonts w:hint="eastAsia" w:ascii="宋体" w:hAnsi="宋体" w:eastAsia="宋体" w:cs="宋体"/>
                <w:color w:val="auto"/>
                <w:sz w:val="21"/>
                <w:szCs w:val="21"/>
                <w:highlight w:val="none"/>
              </w:rPr>
              <w:t>求，完成</w:t>
            </w:r>
            <w:r>
              <w:rPr>
                <w:rFonts w:hint="eastAsia" w:ascii="宋体" w:hAnsi="宋体" w:eastAsia="宋体" w:cs="宋体"/>
                <w:color w:val="auto"/>
                <w:sz w:val="21"/>
                <w:szCs w:val="21"/>
                <w:highlight w:val="none"/>
                <w:lang w:eastAsia="zh-CN"/>
              </w:rPr>
              <w:t>有关部门</w:t>
            </w:r>
            <w:r>
              <w:rPr>
                <w:rFonts w:hint="eastAsia" w:ascii="宋体" w:hAnsi="宋体" w:eastAsia="宋体" w:cs="宋体"/>
                <w:color w:val="auto"/>
                <w:sz w:val="21"/>
                <w:szCs w:val="21"/>
                <w:highlight w:val="none"/>
                <w:lang w:val="en-US" w:eastAsia="zh-CN"/>
              </w:rPr>
              <w:t>对系统排查问题的整改，分析系统网络安全问题出现的原因，排除防护措施不到位导致的网络及信息安全风险，修复系统安全漏洞。</w:t>
            </w:r>
          </w:p>
          <w:p w14:paraId="684D3BAC">
            <w:pPr>
              <w:spacing w:line="42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（四）驻场服务</w:t>
            </w:r>
          </w:p>
          <w:p w14:paraId="11B56598">
            <w:pPr>
              <w:spacing w:line="42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派驻1名具备有一定计算机应用能力、计算机网络能力和数据库维护管理能力，熟悉软件运维工作的专业运维人员。（合同签订之日前，需提供驻场人员计算机能力相关资质证明，服务期中途不得随意更换人员，如更换需提前1个月向采购人提交书面申请,并做好相关培训和交接工作）：</w:t>
            </w:r>
          </w:p>
          <w:p w14:paraId="2ED656F7">
            <w:pPr>
              <w:spacing w:line="42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包括驻场、值班、现场、远程和专家技术支持等方式的服务工作。</w:t>
            </w:r>
            <w:r>
              <w:rPr>
                <w:rFonts w:hint="eastAsia" w:ascii="宋体" w:hAnsi="宋体" w:eastAsia="宋体" w:cs="宋体"/>
                <w:bCs/>
                <w:color w:val="auto"/>
                <w:sz w:val="21"/>
                <w:szCs w:val="21"/>
                <w:highlight w:val="none"/>
              </w:rPr>
              <w:br w:type="textWrapping"/>
            </w:r>
            <w:r>
              <w:rPr>
                <w:rFonts w:hint="eastAsia" w:ascii="宋体" w:hAnsi="宋体" w:eastAsia="宋体" w:cs="宋体"/>
                <w:bCs/>
                <w:color w:val="auto"/>
                <w:sz w:val="21"/>
                <w:szCs w:val="21"/>
                <w:highlight w:val="none"/>
              </w:rPr>
              <w:t xml:space="preserve">    驻场服务：提供全年每周5×8小时驻场服务（驻场人员具体上下班时间由采购人根据实际需要作出安排），非工作时间或节假日</w:t>
            </w:r>
            <w:r>
              <w:rPr>
                <w:rFonts w:hint="eastAsia" w:ascii="宋体" w:hAnsi="宋体" w:eastAsia="宋体" w:cs="宋体"/>
                <w:bCs/>
                <w:color w:val="auto"/>
                <w:sz w:val="21"/>
                <w:szCs w:val="21"/>
                <w:highlight w:val="none"/>
                <w:lang w:eastAsia="zh-CN"/>
              </w:rPr>
              <w:t>中标供应商</w:t>
            </w:r>
            <w:r>
              <w:rPr>
                <w:rFonts w:hint="eastAsia" w:ascii="宋体" w:hAnsi="宋体" w:eastAsia="宋体" w:cs="宋体"/>
                <w:bCs/>
                <w:color w:val="auto"/>
                <w:sz w:val="21"/>
                <w:szCs w:val="21"/>
                <w:highlight w:val="none"/>
              </w:rPr>
              <w:t>须提供热线或电话支持服务，如有需要，须到现场解决。</w:t>
            </w:r>
            <w:r>
              <w:rPr>
                <w:rFonts w:hint="eastAsia" w:ascii="宋体" w:hAnsi="宋体" w:eastAsia="宋体" w:cs="宋体"/>
                <w:bCs/>
                <w:color w:val="auto"/>
                <w:sz w:val="21"/>
                <w:szCs w:val="21"/>
                <w:highlight w:val="none"/>
              </w:rPr>
              <w:br w:type="textWrapping"/>
            </w:r>
            <w:r>
              <w:rPr>
                <w:rFonts w:hint="eastAsia" w:ascii="宋体" w:hAnsi="宋体" w:eastAsia="宋体" w:cs="宋体"/>
                <w:bCs/>
                <w:color w:val="auto"/>
                <w:sz w:val="21"/>
                <w:szCs w:val="21"/>
                <w:highlight w:val="none"/>
              </w:rPr>
              <w:t xml:space="preserve">    现场服务：在非工作时间出现异常时，</w:t>
            </w:r>
            <w:r>
              <w:rPr>
                <w:rFonts w:hint="eastAsia" w:ascii="宋体" w:hAnsi="宋体" w:eastAsia="宋体" w:cs="宋体"/>
                <w:bCs/>
                <w:color w:val="auto"/>
                <w:sz w:val="21"/>
                <w:szCs w:val="21"/>
                <w:highlight w:val="none"/>
                <w:lang w:eastAsia="zh-CN"/>
              </w:rPr>
              <w:t>根据</w:t>
            </w:r>
            <w:r>
              <w:rPr>
                <w:rFonts w:hint="eastAsia" w:ascii="宋体" w:hAnsi="宋体" w:eastAsia="宋体" w:cs="宋体"/>
                <w:bCs/>
                <w:color w:val="auto"/>
                <w:sz w:val="21"/>
                <w:szCs w:val="21"/>
                <w:highlight w:val="none"/>
              </w:rPr>
              <w:t>采购人要求，</w:t>
            </w:r>
            <w:r>
              <w:rPr>
                <w:rFonts w:hint="eastAsia" w:ascii="宋体" w:hAnsi="宋体" w:eastAsia="宋体" w:cs="宋体"/>
                <w:bCs/>
                <w:color w:val="auto"/>
                <w:sz w:val="21"/>
                <w:szCs w:val="21"/>
                <w:highlight w:val="none"/>
                <w:lang w:eastAsia="zh-CN"/>
              </w:rPr>
              <w:t>中标供应商</w:t>
            </w:r>
            <w:r>
              <w:rPr>
                <w:rFonts w:hint="eastAsia" w:ascii="宋体" w:hAnsi="宋体" w:eastAsia="宋体" w:cs="宋体"/>
                <w:bCs/>
                <w:color w:val="auto"/>
                <w:sz w:val="21"/>
                <w:szCs w:val="21"/>
                <w:highlight w:val="none"/>
              </w:rPr>
              <w:t>维护团队人员需在1小时内提供现场服务。当遇到重大活动需要提供临时保障服务时，</w:t>
            </w:r>
            <w:r>
              <w:rPr>
                <w:rFonts w:hint="eastAsia" w:ascii="宋体" w:hAnsi="宋体" w:eastAsia="宋体" w:cs="宋体"/>
                <w:bCs/>
                <w:color w:val="auto"/>
                <w:sz w:val="21"/>
                <w:szCs w:val="21"/>
                <w:highlight w:val="none"/>
                <w:lang w:eastAsia="zh-CN"/>
              </w:rPr>
              <w:t>中标供应商</w:t>
            </w:r>
            <w:r>
              <w:rPr>
                <w:rFonts w:hint="eastAsia" w:ascii="宋体" w:hAnsi="宋体" w:eastAsia="宋体" w:cs="宋体"/>
                <w:bCs/>
                <w:color w:val="auto"/>
                <w:sz w:val="21"/>
                <w:szCs w:val="21"/>
                <w:highlight w:val="none"/>
              </w:rPr>
              <w:t>维护团队须根据采购人要求提前安排维护人员进驻现场，并对所有设备进行临时性状态检查，排除运行安全隐患。该维护人员未经申请并</w:t>
            </w:r>
            <w:r>
              <w:rPr>
                <w:rFonts w:hint="eastAsia" w:ascii="宋体" w:hAnsi="宋体" w:cs="宋体"/>
                <w:bCs/>
                <w:color w:val="auto"/>
                <w:sz w:val="21"/>
                <w:szCs w:val="21"/>
                <w:highlight w:val="none"/>
                <w:lang w:eastAsia="zh-CN"/>
              </w:rPr>
              <w:t>获得</w:t>
            </w:r>
            <w:r>
              <w:rPr>
                <w:rFonts w:hint="eastAsia" w:ascii="宋体" w:hAnsi="宋体" w:eastAsia="宋体" w:cs="宋体"/>
                <w:bCs/>
                <w:color w:val="auto"/>
                <w:sz w:val="21"/>
                <w:szCs w:val="21"/>
                <w:highlight w:val="none"/>
              </w:rPr>
              <w:t>审批同意，不能擅离职守，确需要离开工作岗位的，报采购人审批，采购人收到申请后在两个工作日内</w:t>
            </w:r>
            <w:r>
              <w:rPr>
                <w:rFonts w:hint="eastAsia" w:ascii="宋体" w:hAnsi="宋体" w:cs="宋体"/>
                <w:bCs/>
                <w:color w:val="auto"/>
                <w:sz w:val="21"/>
                <w:szCs w:val="21"/>
                <w:highlight w:val="none"/>
                <w:lang w:eastAsia="zh-CN"/>
              </w:rPr>
              <w:t>作出</w:t>
            </w:r>
            <w:r>
              <w:rPr>
                <w:rFonts w:hint="eastAsia" w:ascii="宋体" w:hAnsi="宋体" w:eastAsia="宋体" w:cs="宋体"/>
                <w:bCs/>
                <w:color w:val="auto"/>
                <w:sz w:val="21"/>
                <w:szCs w:val="21"/>
                <w:highlight w:val="none"/>
              </w:rPr>
              <w:t>书面答复。采购人同意后，方能办理请假手续，并在规定的时间内返回工作岗位。</w:t>
            </w:r>
            <w:r>
              <w:rPr>
                <w:rFonts w:hint="eastAsia" w:ascii="宋体" w:hAnsi="宋体" w:eastAsia="宋体" w:cs="宋体"/>
                <w:bCs/>
                <w:color w:val="auto"/>
                <w:sz w:val="21"/>
                <w:szCs w:val="21"/>
                <w:highlight w:val="none"/>
              </w:rPr>
              <w:br w:type="textWrapping"/>
            </w:r>
            <w:r>
              <w:rPr>
                <w:rFonts w:hint="eastAsia" w:ascii="宋体" w:hAnsi="宋体" w:eastAsia="宋体" w:cs="宋体"/>
                <w:bCs/>
                <w:color w:val="auto"/>
                <w:sz w:val="21"/>
                <w:szCs w:val="21"/>
                <w:highlight w:val="none"/>
              </w:rPr>
              <w:t xml:space="preserve">    远程服务：对于值班人员或现场运维服务人员不能解决的问题，项目经理组织远程运维专家通过远程接入手段，登录到相关系统进行维护，查找问题原因，并指导现场运维人员进行处理。</w:t>
            </w:r>
          </w:p>
          <w:p w14:paraId="738E6BB5">
            <w:pPr>
              <w:spacing w:line="42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cs="宋体"/>
                <w:bCs/>
                <w:color w:val="auto"/>
                <w:sz w:val="21"/>
                <w:szCs w:val="21"/>
                <w:highlight w:val="none"/>
                <w:lang w:val="en-US" w:eastAsia="zh-CN"/>
              </w:rPr>
              <w:t>.</w:t>
            </w:r>
            <w:r>
              <w:rPr>
                <w:rFonts w:hint="eastAsia" w:ascii="宋体" w:hAnsi="宋体" w:eastAsia="宋体" w:cs="宋体"/>
                <w:bCs/>
                <w:color w:val="auto"/>
                <w:sz w:val="21"/>
                <w:szCs w:val="21"/>
                <w:highlight w:val="none"/>
              </w:rPr>
              <w:t>提供保障系统稳定、问题解决、系统应用指导等现场服务，分析系统问题、故障报告处理解决并培训服务，编制问题、故障处置手册。</w:t>
            </w:r>
            <w:r>
              <w:rPr>
                <w:rFonts w:hint="eastAsia" w:ascii="宋体" w:hAnsi="宋体" w:eastAsia="宋体" w:cs="宋体"/>
                <w:bCs/>
                <w:color w:val="auto"/>
                <w:sz w:val="21"/>
                <w:szCs w:val="21"/>
                <w:highlight w:val="none"/>
              </w:rPr>
              <w:br w:type="textWrapping"/>
            </w:r>
            <w:r>
              <w:rPr>
                <w:rFonts w:hint="eastAsia" w:ascii="宋体" w:hAnsi="宋体" w:eastAsia="宋体" w:cs="宋体"/>
                <w:bCs/>
                <w:color w:val="auto"/>
                <w:sz w:val="21"/>
                <w:szCs w:val="21"/>
                <w:highlight w:val="none"/>
              </w:rPr>
              <w:t xml:space="preserve">    2</w:t>
            </w:r>
            <w:r>
              <w:rPr>
                <w:rFonts w:hint="eastAsia" w:ascii="宋体" w:hAnsi="宋体" w:cs="宋体"/>
                <w:bCs/>
                <w:color w:val="auto"/>
                <w:sz w:val="21"/>
                <w:szCs w:val="21"/>
                <w:highlight w:val="none"/>
                <w:lang w:val="en-US" w:eastAsia="zh-CN"/>
              </w:rPr>
              <w:t>.</w:t>
            </w:r>
            <w:r>
              <w:rPr>
                <w:rFonts w:hint="eastAsia" w:ascii="宋体" w:hAnsi="宋体" w:eastAsia="宋体" w:cs="宋体"/>
                <w:bCs/>
                <w:color w:val="auto"/>
                <w:sz w:val="21"/>
                <w:szCs w:val="21"/>
                <w:highlight w:val="none"/>
              </w:rPr>
              <w:t>处理系统配套硬件的故障诊断服务、巡检服务，如执法记录仪、执法数据采集站以及配合电子政务云平台巡检和处理相关平台系统硬件检查工作。</w:t>
            </w:r>
            <w:r>
              <w:rPr>
                <w:rFonts w:hint="eastAsia" w:ascii="宋体" w:hAnsi="宋体" w:eastAsia="宋体" w:cs="宋体"/>
                <w:bCs/>
                <w:color w:val="auto"/>
                <w:sz w:val="21"/>
                <w:szCs w:val="21"/>
                <w:highlight w:val="none"/>
              </w:rPr>
              <w:br w:type="textWrapping"/>
            </w:r>
            <w:r>
              <w:rPr>
                <w:rFonts w:hint="eastAsia" w:ascii="宋体" w:hAnsi="宋体" w:eastAsia="宋体" w:cs="宋体"/>
                <w:bCs/>
                <w:color w:val="auto"/>
                <w:sz w:val="21"/>
                <w:szCs w:val="21"/>
                <w:highlight w:val="none"/>
              </w:rPr>
              <w:t xml:space="preserve">    3</w:t>
            </w:r>
            <w:r>
              <w:rPr>
                <w:rFonts w:hint="eastAsia" w:ascii="宋体" w:hAnsi="宋体" w:cs="宋体"/>
                <w:bCs/>
                <w:color w:val="auto"/>
                <w:sz w:val="21"/>
                <w:szCs w:val="21"/>
                <w:highlight w:val="none"/>
                <w:lang w:val="en-US" w:eastAsia="zh-CN"/>
              </w:rPr>
              <w:t>.</w:t>
            </w:r>
            <w:r>
              <w:rPr>
                <w:rFonts w:hint="eastAsia" w:ascii="宋体" w:hAnsi="宋体" w:eastAsia="宋体" w:cs="宋体"/>
                <w:bCs/>
                <w:color w:val="auto"/>
                <w:sz w:val="21"/>
                <w:szCs w:val="21"/>
                <w:highlight w:val="none"/>
              </w:rPr>
              <w:t>协助采购人处理系统产生的报表的统计整理、数据导出等服务。</w:t>
            </w:r>
            <w:r>
              <w:rPr>
                <w:rFonts w:hint="eastAsia" w:ascii="宋体" w:hAnsi="宋体" w:eastAsia="宋体" w:cs="宋体"/>
                <w:bCs/>
                <w:color w:val="auto"/>
                <w:sz w:val="21"/>
                <w:szCs w:val="21"/>
                <w:highlight w:val="none"/>
              </w:rPr>
              <w:br w:type="textWrapping"/>
            </w:r>
            <w:r>
              <w:rPr>
                <w:rFonts w:hint="eastAsia" w:ascii="宋体" w:hAnsi="宋体" w:eastAsia="宋体" w:cs="宋体"/>
                <w:bCs/>
                <w:color w:val="auto"/>
                <w:sz w:val="21"/>
                <w:szCs w:val="21"/>
                <w:highlight w:val="none"/>
              </w:rPr>
              <w:t xml:space="preserve">    4</w:t>
            </w:r>
            <w:r>
              <w:rPr>
                <w:rFonts w:hint="eastAsia" w:ascii="宋体" w:hAnsi="宋体" w:cs="宋体"/>
                <w:bCs/>
                <w:color w:val="auto"/>
                <w:sz w:val="21"/>
                <w:szCs w:val="21"/>
                <w:highlight w:val="none"/>
                <w:lang w:val="en-US" w:eastAsia="zh-CN"/>
              </w:rPr>
              <w:t>.</w:t>
            </w:r>
            <w:r>
              <w:rPr>
                <w:rFonts w:hint="eastAsia" w:ascii="宋体" w:hAnsi="宋体" w:eastAsia="宋体" w:cs="宋体"/>
                <w:bCs/>
                <w:color w:val="auto"/>
                <w:sz w:val="21"/>
                <w:szCs w:val="21"/>
                <w:highlight w:val="none"/>
              </w:rPr>
              <w:t>协助用户相关参观活动以及展示和现场保障服务。</w:t>
            </w:r>
            <w:r>
              <w:rPr>
                <w:rFonts w:hint="eastAsia" w:ascii="宋体" w:hAnsi="宋体" w:eastAsia="宋体" w:cs="宋体"/>
                <w:bCs/>
                <w:color w:val="auto"/>
                <w:sz w:val="21"/>
                <w:szCs w:val="21"/>
                <w:highlight w:val="none"/>
              </w:rPr>
              <w:br w:type="textWrapping"/>
            </w:r>
            <w:r>
              <w:rPr>
                <w:rFonts w:hint="eastAsia" w:ascii="宋体" w:hAnsi="宋体" w:eastAsia="宋体" w:cs="宋体"/>
                <w:bCs/>
                <w:color w:val="auto"/>
                <w:sz w:val="21"/>
                <w:szCs w:val="21"/>
                <w:highlight w:val="none"/>
              </w:rPr>
              <w:t xml:space="preserve">    5</w:t>
            </w:r>
            <w:r>
              <w:rPr>
                <w:rFonts w:hint="eastAsia" w:ascii="宋体" w:hAnsi="宋体" w:cs="宋体"/>
                <w:bCs/>
                <w:color w:val="auto"/>
                <w:sz w:val="21"/>
                <w:szCs w:val="21"/>
                <w:highlight w:val="none"/>
                <w:lang w:val="en-US" w:eastAsia="zh-CN"/>
              </w:rPr>
              <w:t>.</w:t>
            </w:r>
            <w:r>
              <w:rPr>
                <w:rFonts w:hint="eastAsia" w:ascii="宋体" w:hAnsi="宋体" w:eastAsia="宋体" w:cs="宋体"/>
                <w:bCs/>
                <w:color w:val="auto"/>
                <w:sz w:val="21"/>
                <w:szCs w:val="21"/>
                <w:highlight w:val="none"/>
              </w:rPr>
              <w:t>协助建立完善执法系统相关应急预案和配合完善处置管理机制制度等。</w:t>
            </w:r>
          </w:p>
          <w:p w14:paraId="50A87AC7">
            <w:pPr>
              <w:spacing w:line="420" w:lineRule="exact"/>
              <w:ind w:firstLine="422" w:firstLineChars="200"/>
              <w:rPr>
                <w:rFonts w:hint="eastAsia" w:cs="宋体" w:asciiTheme="minorEastAsia" w:hAnsiTheme="minorEastAsia"/>
                <w:color w:val="auto"/>
                <w:kern w:val="0"/>
                <w:sz w:val="21"/>
                <w:szCs w:val="21"/>
                <w:highlight w:val="none"/>
              </w:rPr>
            </w:pPr>
            <w:r>
              <w:rPr>
                <w:rFonts w:hint="eastAsia" w:cs="宋体" w:asciiTheme="minorEastAsia" w:hAnsiTheme="minorEastAsia"/>
                <w:b/>
                <w:bCs/>
                <w:color w:val="auto"/>
                <w:kern w:val="0"/>
                <w:sz w:val="21"/>
                <w:szCs w:val="21"/>
                <w:highlight w:val="none"/>
              </w:rPr>
              <w:t>（五）突发事件应急响应及远程电话技术支持服务</w:t>
            </w:r>
          </w:p>
          <w:p w14:paraId="44B6DAC0">
            <w:pPr>
              <w:spacing w:line="420" w:lineRule="exact"/>
              <w:ind w:firstLine="420" w:firstLineChars="200"/>
              <w:rPr>
                <w:rFonts w:hint="eastAsia" w:cs="宋体" w:asciiTheme="minorEastAsia" w:hAnsiTheme="minorEastAsia"/>
                <w:color w:val="auto"/>
                <w:kern w:val="0"/>
                <w:sz w:val="21"/>
                <w:szCs w:val="21"/>
                <w:highlight w:val="none"/>
              </w:rPr>
            </w:pPr>
            <w:r>
              <w:rPr>
                <w:rFonts w:hint="eastAsia" w:cs="宋体" w:asciiTheme="minorEastAsia" w:hAnsiTheme="minorEastAsia"/>
                <w:color w:val="auto"/>
                <w:kern w:val="0"/>
                <w:sz w:val="21"/>
                <w:szCs w:val="21"/>
                <w:highlight w:val="none"/>
              </w:rPr>
              <w:t>1</w:t>
            </w:r>
            <w:r>
              <w:rPr>
                <w:rFonts w:hint="eastAsia" w:cs="宋体" w:asciiTheme="minorEastAsia" w:hAnsiTheme="minorEastAsia"/>
                <w:color w:val="auto"/>
                <w:kern w:val="0"/>
                <w:sz w:val="21"/>
                <w:szCs w:val="21"/>
                <w:highlight w:val="none"/>
                <w:lang w:val="en-US" w:eastAsia="zh-CN"/>
              </w:rPr>
              <w:t>.</w:t>
            </w:r>
            <w:r>
              <w:rPr>
                <w:rFonts w:hint="eastAsia" w:cs="宋体" w:asciiTheme="minorEastAsia" w:hAnsiTheme="minorEastAsia"/>
                <w:color w:val="auto"/>
                <w:kern w:val="0"/>
                <w:sz w:val="21"/>
                <w:szCs w:val="21"/>
                <w:highlight w:val="none"/>
              </w:rPr>
              <w:t>突发事件应急响应及响应时间</w:t>
            </w:r>
          </w:p>
          <w:p w14:paraId="2C0F95CF">
            <w:pPr>
              <w:spacing w:line="420" w:lineRule="exact"/>
              <w:ind w:firstLine="420" w:firstLineChars="200"/>
              <w:rPr>
                <w:rFonts w:hint="eastAsia" w:cs="宋体" w:asciiTheme="minorEastAsia" w:hAnsiTheme="minorEastAsia"/>
                <w:color w:val="auto"/>
                <w:kern w:val="0"/>
                <w:sz w:val="21"/>
                <w:szCs w:val="21"/>
                <w:highlight w:val="none"/>
              </w:rPr>
            </w:pPr>
            <w:r>
              <w:rPr>
                <w:rFonts w:hint="eastAsia" w:cs="宋体" w:asciiTheme="minorEastAsia" w:hAnsiTheme="minorEastAsia"/>
                <w:color w:val="auto"/>
                <w:kern w:val="0"/>
                <w:sz w:val="21"/>
                <w:szCs w:val="21"/>
                <w:highlight w:val="none"/>
              </w:rPr>
              <w:t>中标供应商会同采购人共同制定突发事件紧急保障应急措施，并制定相关应急保障预案，当系统发生突发故障或网络安全事件时按该预案实行，以保障业务在采购人规定时间内恢复正常。</w:t>
            </w:r>
          </w:p>
          <w:p w14:paraId="79B7BA76">
            <w:pPr>
              <w:spacing w:line="420" w:lineRule="exact"/>
              <w:ind w:firstLine="420" w:firstLineChars="200"/>
              <w:rPr>
                <w:rFonts w:hint="eastAsia" w:cs="宋体" w:asciiTheme="minorEastAsia" w:hAnsiTheme="minorEastAsia"/>
                <w:color w:val="auto"/>
                <w:kern w:val="0"/>
                <w:sz w:val="21"/>
                <w:szCs w:val="21"/>
                <w:highlight w:val="none"/>
              </w:rPr>
            </w:pPr>
            <w:r>
              <w:rPr>
                <w:rFonts w:hint="eastAsia" w:cs="宋体" w:asciiTheme="minorEastAsia" w:hAnsiTheme="minorEastAsia"/>
                <w:color w:val="auto"/>
                <w:kern w:val="0"/>
                <w:sz w:val="21"/>
                <w:szCs w:val="21"/>
                <w:highlight w:val="none"/>
              </w:rPr>
              <w:t>要求必须提供7×24小时的响应服务，发生突发事件时，应在30分钟内响应并开始处理，6小时内解除故障,如规定时间内无法解除，需提供相关处置方案。</w:t>
            </w:r>
          </w:p>
          <w:p w14:paraId="611680F5">
            <w:pPr>
              <w:pStyle w:val="29"/>
              <w:ind w:firstLine="460" w:firstLineChars="200"/>
              <w:rPr>
                <w:color w:val="auto"/>
                <w:sz w:val="21"/>
                <w:szCs w:val="21"/>
                <w:highlight w:val="none"/>
              </w:rPr>
            </w:pPr>
            <w:r>
              <w:rPr>
                <w:rFonts w:hint="eastAsia" w:cs="宋体" w:asciiTheme="minorEastAsia" w:hAnsiTheme="minorEastAsia"/>
                <w:color w:val="auto"/>
                <w:sz w:val="21"/>
                <w:szCs w:val="21"/>
                <w:highlight w:val="none"/>
              </w:rPr>
              <w:t>2</w:t>
            </w:r>
            <w:r>
              <w:rPr>
                <w:rFonts w:hint="eastAsia" w:cs="宋体" w:asciiTheme="minorEastAsia" w:hAnsiTheme="minorEastAsia"/>
                <w:color w:val="auto"/>
                <w:sz w:val="21"/>
                <w:szCs w:val="21"/>
                <w:highlight w:val="none"/>
                <w:lang w:val="en-US" w:eastAsia="zh-CN"/>
              </w:rPr>
              <w:t>.</w:t>
            </w:r>
            <w:r>
              <w:rPr>
                <w:rFonts w:hint="eastAsia" w:cs="宋体" w:asciiTheme="minorEastAsia" w:hAnsiTheme="minorEastAsia"/>
                <w:color w:val="auto"/>
                <w:sz w:val="21"/>
                <w:szCs w:val="21"/>
                <w:highlight w:val="none"/>
              </w:rPr>
              <w:t>提供7</w:t>
            </w:r>
            <w:r>
              <w:rPr>
                <w:rFonts w:hint="eastAsia" w:cs="宋体" w:asciiTheme="minorEastAsia" w:hAnsiTheme="minorEastAsia"/>
                <w:color w:val="auto"/>
                <w:sz w:val="21"/>
                <w:szCs w:val="21"/>
                <w:highlight w:val="none"/>
                <w:lang w:val="en-US" w:eastAsia="zh-CN"/>
              </w:rPr>
              <w:t>×</w:t>
            </w:r>
            <w:r>
              <w:rPr>
                <w:rFonts w:hint="eastAsia" w:cs="宋体" w:asciiTheme="minorEastAsia" w:hAnsiTheme="minorEastAsia"/>
                <w:color w:val="auto"/>
                <w:sz w:val="21"/>
                <w:szCs w:val="21"/>
                <w:highlight w:val="none"/>
              </w:rPr>
              <w:t>24小时的电话及远程支持服务能力，能够提供每周7天，每天24小时响应用户的服务请求。</w:t>
            </w:r>
          </w:p>
          <w:p w14:paraId="654CD12E">
            <w:pPr>
              <w:spacing w:line="420" w:lineRule="exact"/>
              <w:ind w:firstLine="422" w:firstLineChars="200"/>
              <w:rPr>
                <w:rFonts w:hint="eastAsia" w:cs="宋体" w:asciiTheme="minorEastAsia" w:hAnsiTheme="minorEastAsia"/>
                <w:b/>
                <w:bCs/>
                <w:color w:val="auto"/>
                <w:kern w:val="0"/>
                <w:sz w:val="21"/>
                <w:szCs w:val="21"/>
                <w:highlight w:val="none"/>
              </w:rPr>
            </w:pPr>
            <w:r>
              <w:rPr>
                <w:rFonts w:hint="eastAsia" w:cs="宋体" w:asciiTheme="minorEastAsia" w:hAnsiTheme="minorEastAsia"/>
                <w:b/>
                <w:bCs/>
                <w:color w:val="auto"/>
                <w:kern w:val="0"/>
                <w:sz w:val="21"/>
                <w:szCs w:val="21"/>
                <w:highlight w:val="none"/>
              </w:rPr>
              <w:t>(六）提供项目报告</w:t>
            </w:r>
          </w:p>
          <w:p w14:paraId="4113934F">
            <w:pPr>
              <w:spacing w:line="420" w:lineRule="exact"/>
              <w:ind w:firstLine="420" w:firstLineChars="200"/>
              <w:rPr>
                <w:rFonts w:hint="eastAsia" w:cs="宋体" w:asciiTheme="minorEastAsia" w:hAnsiTheme="minorEastAsia" w:eastAsiaTheme="minorEastAsia"/>
                <w:color w:val="auto"/>
                <w:sz w:val="21"/>
                <w:szCs w:val="21"/>
                <w:highlight w:val="none"/>
                <w:lang w:val="en-US" w:eastAsia="zh-CN"/>
              </w:rPr>
            </w:pPr>
            <w:r>
              <w:rPr>
                <w:rFonts w:hint="eastAsia" w:cs="宋体" w:asciiTheme="minorEastAsia" w:hAnsiTheme="minorEastAsia"/>
                <w:color w:val="auto"/>
                <w:sz w:val="21"/>
                <w:szCs w:val="21"/>
                <w:highlight w:val="none"/>
                <w:lang w:val="en-US" w:eastAsia="zh-CN"/>
              </w:rPr>
              <w:t>1.提供一份执法系统运维服务方案，</w:t>
            </w:r>
            <w:r>
              <w:rPr>
                <w:rFonts w:hint="eastAsia" w:ascii="宋体" w:hAnsi="宋体"/>
                <w:bCs/>
                <w:color w:val="auto"/>
                <w:kern w:val="0"/>
                <w:sz w:val="21"/>
                <w:szCs w:val="21"/>
                <w:highlight w:val="none"/>
              </w:rPr>
              <w:t>详细阐述</w:t>
            </w:r>
            <w:r>
              <w:rPr>
                <w:rFonts w:hint="eastAsia" w:ascii="宋体" w:hAnsi="宋体"/>
                <w:bCs/>
                <w:color w:val="auto"/>
                <w:kern w:val="0"/>
                <w:sz w:val="21"/>
                <w:szCs w:val="21"/>
                <w:highlight w:val="none"/>
                <w:lang w:eastAsia="zh-CN"/>
              </w:rPr>
              <w:t>系统</w:t>
            </w:r>
            <w:r>
              <w:rPr>
                <w:rFonts w:hint="eastAsia" w:ascii="宋体" w:hAnsi="宋体"/>
                <w:bCs/>
                <w:color w:val="auto"/>
                <w:kern w:val="0"/>
                <w:sz w:val="21"/>
                <w:szCs w:val="21"/>
                <w:highlight w:val="none"/>
              </w:rPr>
              <w:t>运维方法及保障措施</w:t>
            </w:r>
            <w:r>
              <w:rPr>
                <w:rFonts w:hint="eastAsia" w:cs="宋体" w:asciiTheme="minorEastAsia" w:hAnsiTheme="minorEastAsia"/>
                <w:color w:val="auto"/>
                <w:sz w:val="21"/>
                <w:szCs w:val="21"/>
                <w:highlight w:val="none"/>
                <w:lang w:val="en-US" w:eastAsia="zh-CN"/>
              </w:rPr>
              <w:t>。</w:t>
            </w:r>
          </w:p>
          <w:p w14:paraId="529137C5">
            <w:pPr>
              <w:spacing w:line="420" w:lineRule="exact"/>
              <w:ind w:firstLine="420" w:firstLineChars="200"/>
              <w:rPr>
                <w:rFonts w:hint="eastAsia" w:cs="宋体" w:asciiTheme="minorEastAsia" w:hAnsiTheme="minorEastAsia"/>
                <w:color w:val="auto"/>
                <w:sz w:val="21"/>
                <w:szCs w:val="21"/>
                <w:highlight w:val="none"/>
              </w:rPr>
            </w:pPr>
            <w:r>
              <w:rPr>
                <w:rFonts w:hint="eastAsia" w:cs="宋体" w:asciiTheme="minorEastAsia" w:hAnsiTheme="minorEastAsia"/>
                <w:color w:val="auto"/>
                <w:sz w:val="21"/>
                <w:szCs w:val="21"/>
                <w:highlight w:val="none"/>
                <w:lang w:val="en-US" w:eastAsia="zh-CN"/>
              </w:rPr>
              <w:t>2.</w:t>
            </w:r>
            <w:r>
              <w:rPr>
                <w:rFonts w:hint="eastAsia" w:cs="宋体" w:asciiTheme="minorEastAsia" w:hAnsiTheme="minorEastAsia"/>
                <w:color w:val="auto"/>
                <w:sz w:val="21"/>
                <w:szCs w:val="21"/>
                <w:highlight w:val="none"/>
              </w:rPr>
              <w:t>次月1</w:t>
            </w:r>
            <w:r>
              <w:rPr>
                <w:rFonts w:hint="eastAsia" w:cs="宋体" w:asciiTheme="minorEastAsia" w:hAnsiTheme="minorEastAsia"/>
                <w:color w:val="auto"/>
                <w:sz w:val="21"/>
                <w:szCs w:val="21"/>
                <w:highlight w:val="none"/>
                <w:lang w:val="en-US" w:eastAsia="zh-CN"/>
              </w:rPr>
              <w:t>0</w:t>
            </w:r>
            <w:r>
              <w:rPr>
                <w:rFonts w:hint="eastAsia" w:cs="宋体" w:asciiTheme="minorEastAsia" w:hAnsiTheme="minorEastAsia"/>
                <w:color w:val="auto"/>
                <w:sz w:val="21"/>
                <w:szCs w:val="21"/>
                <w:highlight w:val="none"/>
                <w:lang w:eastAsia="zh-CN"/>
              </w:rPr>
              <w:t>日前</w:t>
            </w:r>
            <w:r>
              <w:rPr>
                <w:rFonts w:hint="eastAsia" w:cs="宋体" w:asciiTheme="minorEastAsia" w:hAnsiTheme="minorEastAsia"/>
                <w:color w:val="auto"/>
                <w:sz w:val="21"/>
                <w:szCs w:val="21"/>
                <w:highlight w:val="none"/>
              </w:rPr>
              <w:t>出具上一月</w:t>
            </w:r>
            <w:r>
              <w:rPr>
                <w:rFonts w:hint="eastAsia" w:ascii="宋体" w:hAnsi="宋体" w:cs="宋体"/>
                <w:bCs/>
                <w:color w:val="auto"/>
                <w:sz w:val="21"/>
                <w:szCs w:val="21"/>
                <w:highlight w:val="none"/>
                <w:lang w:eastAsia="zh-CN"/>
              </w:rPr>
              <w:t>南宁市城市管理综合行政执法数字化系统运行维护</w:t>
            </w:r>
            <w:r>
              <w:rPr>
                <w:rFonts w:hint="eastAsia" w:ascii="宋体" w:hAnsi="宋体" w:eastAsia="宋体" w:cs="宋体"/>
                <w:color w:val="auto"/>
                <w:sz w:val="21"/>
                <w:szCs w:val="21"/>
                <w:highlight w:val="none"/>
              </w:rPr>
              <w:t>月报；项目服务到期前两周内出具一份整个服务期间系统运维服务工作总结报告</w:t>
            </w:r>
            <w:r>
              <w:rPr>
                <w:rFonts w:hint="eastAsia" w:cs="宋体" w:asciiTheme="minorEastAsia" w:hAnsiTheme="minorEastAsia"/>
                <w:color w:val="auto"/>
                <w:sz w:val="21"/>
                <w:szCs w:val="21"/>
                <w:highlight w:val="none"/>
              </w:rPr>
              <w:t>。</w:t>
            </w:r>
          </w:p>
          <w:p w14:paraId="19B47123">
            <w:pPr>
              <w:spacing w:line="420" w:lineRule="exact"/>
              <w:ind w:firstLine="420" w:firstLineChars="200"/>
              <w:rPr>
                <w:rFonts w:hint="default" w:ascii="宋体" w:hAnsi="宋体" w:eastAsia="宋体" w:cs="宋体"/>
                <w:color w:val="auto"/>
                <w:kern w:val="0"/>
                <w:sz w:val="21"/>
                <w:szCs w:val="21"/>
                <w:highlight w:val="none"/>
                <w:lang w:val="en-US" w:eastAsia="zh-CN" w:bidi="ar-SA"/>
              </w:rPr>
            </w:pPr>
            <w:r>
              <w:rPr>
                <w:rFonts w:hint="eastAsia" w:cs="宋体" w:asciiTheme="minorEastAsia" w:hAnsiTheme="minorEastAsia"/>
                <w:color w:val="auto"/>
                <w:sz w:val="21"/>
                <w:szCs w:val="21"/>
                <w:highlight w:val="none"/>
                <w:lang w:val="en-US" w:eastAsia="zh-CN"/>
              </w:rPr>
              <w:t>3.</w:t>
            </w:r>
            <w:r>
              <w:rPr>
                <w:rFonts w:hint="eastAsia" w:cs="宋体" w:asciiTheme="minorEastAsia" w:hAnsiTheme="minorEastAsia"/>
                <w:color w:val="auto"/>
                <w:sz w:val="21"/>
                <w:szCs w:val="21"/>
                <w:highlight w:val="none"/>
                <w:lang w:eastAsia="zh-CN"/>
              </w:rPr>
              <w:t>次月</w:t>
            </w:r>
            <w:r>
              <w:rPr>
                <w:rFonts w:hint="eastAsia" w:ascii="宋体" w:hAnsi="宋体" w:eastAsia="宋体" w:cs="宋体"/>
                <w:bCs/>
                <w:color w:val="auto"/>
                <w:sz w:val="21"/>
                <w:szCs w:val="21"/>
                <w:highlight w:val="none"/>
              </w:rPr>
              <w:t>出具上一月系统运行数据分析报告，主要内容包括但不限于各单位案件数据及处罚金额，各单位主要登录用户及系统各功能模块使用情况等</w:t>
            </w:r>
            <w:r>
              <w:rPr>
                <w:rFonts w:hint="eastAsia" w:ascii="宋体" w:hAnsi="宋体" w:eastAsia="宋体" w:cs="宋体"/>
                <w:bCs/>
                <w:color w:val="auto"/>
                <w:sz w:val="21"/>
                <w:szCs w:val="21"/>
                <w:highlight w:val="none"/>
                <w:lang w:eastAsia="zh-CN"/>
              </w:rPr>
              <w:t>。</w:t>
            </w:r>
          </w:p>
        </w:tc>
        <w:tc>
          <w:tcPr>
            <w:tcW w:w="1270" w:type="dxa"/>
            <w:tcBorders>
              <w:top w:val="single" w:color="auto" w:sz="4" w:space="0"/>
              <w:left w:val="single" w:color="auto" w:sz="4" w:space="0"/>
              <w:bottom w:val="single" w:color="auto" w:sz="4" w:space="0"/>
              <w:right w:val="single" w:color="auto" w:sz="4" w:space="0"/>
            </w:tcBorders>
            <w:vAlign w:val="center"/>
          </w:tcPr>
          <w:p w14:paraId="4909B8BF">
            <w:pPr>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bCs/>
                <w:color w:val="auto"/>
                <w:szCs w:val="21"/>
                <w:highlight w:val="none"/>
                <w:lang w:val="en-US" w:eastAsia="zh-CN"/>
              </w:rPr>
              <w:t>355232.00</w:t>
            </w:r>
          </w:p>
        </w:tc>
        <w:tc>
          <w:tcPr>
            <w:tcW w:w="1045" w:type="dxa"/>
            <w:tcBorders>
              <w:top w:val="single" w:color="auto" w:sz="4" w:space="0"/>
              <w:left w:val="single" w:color="auto" w:sz="4" w:space="0"/>
              <w:bottom w:val="single" w:color="auto" w:sz="4" w:space="0"/>
              <w:right w:val="single" w:color="auto" w:sz="4" w:space="0"/>
            </w:tcBorders>
            <w:vAlign w:val="center"/>
          </w:tcPr>
          <w:p w14:paraId="1F0463A5">
            <w:pPr>
              <w:spacing w:line="500" w:lineRule="exact"/>
              <w:jc w:val="center"/>
              <w:rPr>
                <w:rFonts w:ascii="宋体" w:hAnsi="宋体" w:cs="宋体"/>
                <w:color w:val="auto"/>
                <w:szCs w:val="21"/>
                <w:highlight w:val="none"/>
              </w:rPr>
            </w:pPr>
            <w:r>
              <w:rPr>
                <w:rFonts w:hint="eastAsia" w:ascii="宋体" w:hAnsi="宋体" w:cs="宋体"/>
                <w:color w:val="auto"/>
                <w:szCs w:val="21"/>
                <w:highlight w:val="none"/>
                <w:lang w:val="en-US" w:eastAsia="zh-CN"/>
              </w:rPr>
              <w:t>软件和信息技术服务业</w:t>
            </w:r>
          </w:p>
        </w:tc>
      </w:tr>
      <w:tr w14:paraId="689060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3" w:hRule="atLeast"/>
        </w:trPr>
        <w:tc>
          <w:tcPr>
            <w:tcW w:w="428" w:type="dxa"/>
            <w:tcBorders>
              <w:top w:val="single" w:color="auto" w:sz="4" w:space="0"/>
              <w:left w:val="single" w:color="auto" w:sz="4" w:space="0"/>
              <w:bottom w:val="single" w:color="auto" w:sz="4" w:space="0"/>
              <w:right w:val="single" w:color="auto" w:sz="4" w:space="0"/>
            </w:tcBorders>
          </w:tcPr>
          <w:p w14:paraId="64CE8EB6">
            <w:pPr>
              <w:spacing w:line="500" w:lineRule="exact"/>
              <w:jc w:val="center"/>
              <w:rPr>
                <w:rFonts w:ascii="宋体" w:hAnsi="宋体" w:cs="宋体"/>
                <w:color w:val="auto"/>
                <w:szCs w:val="21"/>
                <w:highlight w:val="none"/>
              </w:rPr>
            </w:pPr>
          </w:p>
          <w:p w14:paraId="32A48EB1">
            <w:pPr>
              <w:spacing w:line="500" w:lineRule="exact"/>
              <w:jc w:val="center"/>
              <w:rPr>
                <w:rFonts w:ascii="宋体" w:hAnsi="宋体" w:cs="宋体"/>
                <w:color w:val="auto"/>
                <w:szCs w:val="21"/>
                <w:highlight w:val="none"/>
              </w:rPr>
            </w:pPr>
          </w:p>
          <w:p w14:paraId="60C705E5">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商务条款</w:t>
            </w:r>
          </w:p>
        </w:tc>
        <w:tc>
          <w:tcPr>
            <w:tcW w:w="10054" w:type="dxa"/>
            <w:gridSpan w:val="7"/>
            <w:tcBorders>
              <w:top w:val="single" w:color="auto" w:sz="4" w:space="0"/>
              <w:left w:val="single" w:color="auto" w:sz="4" w:space="0"/>
              <w:bottom w:val="single" w:color="auto" w:sz="4" w:space="0"/>
              <w:right w:val="single" w:color="auto" w:sz="4" w:space="0"/>
            </w:tcBorders>
            <w:shd w:val="clear" w:color="auto" w:fill="auto"/>
            <w:vAlign w:val="top"/>
          </w:tcPr>
          <w:p w14:paraId="692ED7D7">
            <w:pPr>
              <w:keepNext w:val="0"/>
              <w:keepLines w:val="0"/>
              <w:pageBreakBefore w:val="0"/>
              <w:widowControl/>
              <w:tabs>
                <w:tab w:val="left" w:pos="2101"/>
              </w:tabs>
              <w:kinsoku/>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一、合同签订期：自中标通知书发出之日起25日内。</w:t>
            </w:r>
          </w:p>
          <w:p w14:paraId="3083C22F">
            <w:pPr>
              <w:keepNext w:val="0"/>
              <w:keepLines w:val="0"/>
              <w:pageBreakBefore w:val="0"/>
              <w:widowControl/>
              <w:tabs>
                <w:tab w:val="left" w:pos="2101"/>
              </w:tabs>
              <w:kinsoku/>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▲二、服务时间：1年（202</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年7月14日至202</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年7月13日）。</w:t>
            </w:r>
          </w:p>
          <w:p w14:paraId="2BED4734">
            <w:pPr>
              <w:keepNext w:val="0"/>
              <w:keepLines w:val="0"/>
              <w:pageBreakBefore w:val="0"/>
              <w:widowControl/>
              <w:tabs>
                <w:tab w:val="left" w:pos="2101"/>
              </w:tabs>
              <w:kinsoku/>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三、服务地点：采购人指定地点。</w:t>
            </w:r>
          </w:p>
          <w:p w14:paraId="00763DB6">
            <w:pPr>
              <w:keepNext w:val="0"/>
              <w:keepLines w:val="0"/>
              <w:pageBreakBefore w:val="0"/>
              <w:widowControl/>
              <w:tabs>
                <w:tab w:val="left" w:pos="2101"/>
              </w:tabs>
              <w:kinsoku/>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四、验收标准、规范：按投标文件、国家及行业标准等有关内容进行验收。标准若有不一致时，以较高标准为准。</w:t>
            </w:r>
          </w:p>
          <w:p w14:paraId="6572E321">
            <w:pPr>
              <w:keepNext w:val="0"/>
              <w:keepLines w:val="0"/>
              <w:pageBreakBefore w:val="0"/>
              <w:widowControl/>
              <w:tabs>
                <w:tab w:val="left" w:pos="2101"/>
              </w:tabs>
              <w:kinsoku/>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▲五、售后服务要求：</w:t>
            </w:r>
          </w:p>
          <w:p w14:paraId="276D4FB2">
            <w:pPr>
              <w:keepNext w:val="0"/>
              <w:keepLines w:val="0"/>
              <w:pageBreakBefore w:val="0"/>
              <w:kinsoku/>
              <w:wordWrap w:val="0"/>
              <w:overflowPunct/>
              <w:topLinePunct w:val="0"/>
              <w:autoSpaceDE/>
              <w:autoSpaceDN/>
              <w:bidi w:val="0"/>
              <w:adjustRightInd/>
              <w:snapToGrid/>
              <w:spacing w:line="400" w:lineRule="exact"/>
              <w:textAlignment w:val="auto"/>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1</w:t>
            </w:r>
            <w:r>
              <w:rPr>
                <w:rFonts w:hint="eastAsia" w:asciiTheme="minorEastAsia" w:hAnsiTheme="minorEastAsia" w:cstheme="minorEastAsia"/>
                <w:color w:val="auto"/>
                <w:sz w:val="21"/>
                <w:szCs w:val="21"/>
                <w:highlight w:val="none"/>
                <w:lang w:val="en-US" w:eastAsia="zh-CN"/>
              </w:rPr>
              <w:t>.</w:t>
            </w:r>
            <w:r>
              <w:rPr>
                <w:rFonts w:hint="eastAsia" w:asciiTheme="minorEastAsia" w:hAnsiTheme="minorEastAsia" w:cstheme="minorEastAsia"/>
                <w:color w:val="auto"/>
                <w:sz w:val="21"/>
                <w:szCs w:val="21"/>
                <w:highlight w:val="none"/>
              </w:rPr>
              <w:t>售后服务期：</w:t>
            </w:r>
            <w:r>
              <w:rPr>
                <w:rFonts w:hint="eastAsia" w:asciiTheme="minorEastAsia" w:hAnsiTheme="minorEastAsia" w:cstheme="minorEastAsia"/>
                <w:color w:val="auto"/>
                <w:sz w:val="21"/>
                <w:szCs w:val="21"/>
                <w:highlight w:val="none"/>
                <w:lang w:val="en-US" w:eastAsia="zh-CN"/>
              </w:rPr>
              <w:t>12</w:t>
            </w:r>
            <w:r>
              <w:rPr>
                <w:rFonts w:hint="eastAsia" w:asciiTheme="minorEastAsia" w:hAnsiTheme="minorEastAsia" w:cstheme="minorEastAsia"/>
                <w:color w:val="auto"/>
                <w:sz w:val="21"/>
                <w:szCs w:val="21"/>
                <w:highlight w:val="none"/>
              </w:rPr>
              <w:t>个月（自最终验收合格之日起计）。</w:t>
            </w:r>
          </w:p>
          <w:p w14:paraId="49FACDDD">
            <w:pPr>
              <w:keepNext w:val="0"/>
              <w:keepLines w:val="0"/>
              <w:pageBreakBefore w:val="0"/>
              <w:kinsoku/>
              <w:wordWrap w:val="0"/>
              <w:overflowPunct/>
              <w:topLinePunct w:val="0"/>
              <w:autoSpaceDE/>
              <w:autoSpaceDN/>
              <w:bidi w:val="0"/>
              <w:adjustRightInd/>
              <w:snapToGrid/>
              <w:spacing w:line="400" w:lineRule="exact"/>
              <w:textAlignment w:val="auto"/>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2</w:t>
            </w:r>
            <w:r>
              <w:rPr>
                <w:rFonts w:hint="eastAsia" w:asciiTheme="minorEastAsia" w:hAnsiTheme="minorEastAsia" w:cstheme="minorEastAsia"/>
                <w:color w:val="auto"/>
                <w:sz w:val="21"/>
                <w:szCs w:val="21"/>
                <w:highlight w:val="none"/>
                <w:lang w:val="en-US" w:eastAsia="zh-CN"/>
              </w:rPr>
              <w:t>.</w:t>
            </w:r>
            <w:r>
              <w:rPr>
                <w:rFonts w:hint="eastAsia" w:asciiTheme="minorEastAsia" w:hAnsiTheme="minorEastAsia" w:cstheme="minorEastAsia"/>
                <w:color w:val="auto"/>
                <w:sz w:val="21"/>
                <w:szCs w:val="21"/>
                <w:highlight w:val="none"/>
              </w:rPr>
              <w:t>售后服务期内：能全面配合采购人，提供技术支持，如遇交接等情况，帮助采购人及时解决相关技术问题，配合做好相关工作交接，保证系统正常运行。</w:t>
            </w:r>
          </w:p>
          <w:p w14:paraId="7FE1DB0F">
            <w:pPr>
              <w:keepNext w:val="0"/>
              <w:keepLines w:val="0"/>
              <w:pageBreakBefore w:val="0"/>
              <w:widowControl/>
              <w:tabs>
                <w:tab w:val="left" w:pos="2101"/>
              </w:tabs>
              <w:kinsoku/>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▲六、其他要求：</w:t>
            </w:r>
          </w:p>
          <w:p w14:paraId="336F30FC">
            <w:pPr>
              <w:keepNext w:val="0"/>
              <w:keepLines w:val="0"/>
              <w:pageBreakBefore w:val="0"/>
              <w:widowControl/>
              <w:tabs>
                <w:tab w:val="left" w:pos="2101"/>
              </w:tabs>
              <w:kinsoku/>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报价必须含以下部分，包括：</w:t>
            </w:r>
          </w:p>
          <w:p w14:paraId="5D5D838D">
            <w:pPr>
              <w:keepNext w:val="0"/>
              <w:keepLines w:val="0"/>
              <w:pageBreakBefore w:val="0"/>
              <w:widowControl/>
              <w:tabs>
                <w:tab w:val="left" w:pos="2101"/>
              </w:tabs>
              <w:kinsoku/>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（1）服务的价格；</w:t>
            </w:r>
          </w:p>
          <w:p w14:paraId="1F9962FF">
            <w:pPr>
              <w:keepNext w:val="0"/>
              <w:keepLines w:val="0"/>
              <w:pageBreakBefore w:val="0"/>
              <w:widowControl/>
              <w:tabs>
                <w:tab w:val="left" w:pos="2101"/>
              </w:tabs>
              <w:kinsoku/>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（2）必要的保险费用和各项税金；</w:t>
            </w:r>
          </w:p>
          <w:p w14:paraId="0F746CDF">
            <w:pPr>
              <w:keepNext w:val="0"/>
              <w:keepLines w:val="0"/>
              <w:pageBreakBefore w:val="0"/>
              <w:widowControl/>
              <w:tabs>
                <w:tab w:val="left" w:pos="2101"/>
              </w:tabs>
              <w:kinsoku/>
              <w:overflowPunct/>
              <w:topLinePunct w:val="0"/>
              <w:autoSpaceDE/>
              <w:autoSpaceDN/>
              <w:bidi w:val="0"/>
              <w:adjustRightInd/>
              <w:snapToGrid/>
              <w:spacing w:line="400" w:lineRule="exact"/>
              <w:textAlignment w:val="auto"/>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rPr>
              <w:t>（3）安装、调试、培训、技术支持、售后服务、更新升级</w:t>
            </w:r>
            <w:r>
              <w:rPr>
                <w:rFonts w:hint="eastAsia" w:ascii="宋体" w:hAnsi="宋体" w:cs="宋体"/>
                <w:color w:val="auto"/>
                <w:sz w:val="21"/>
                <w:szCs w:val="21"/>
                <w:highlight w:val="none"/>
                <w:lang w:eastAsia="zh-CN"/>
              </w:rPr>
              <w:t>、</w:t>
            </w:r>
            <w:r>
              <w:rPr>
                <w:rFonts w:hint="default" w:ascii="宋体" w:hAnsi="宋体" w:eastAsia="宋体" w:cs="宋体"/>
                <w:strike w:val="0"/>
                <w:dstrike w:val="0"/>
                <w:color w:val="auto"/>
                <w:sz w:val="21"/>
                <w:szCs w:val="21"/>
                <w:highlight w:val="none"/>
                <w:lang w:val="en-US" w:eastAsia="zh-CN"/>
              </w:rPr>
              <w:t>劳务费、</w:t>
            </w:r>
            <w:r>
              <w:rPr>
                <w:rFonts w:hint="eastAsia" w:ascii="宋体" w:hAnsi="宋体" w:cs="宋体"/>
                <w:color w:val="auto"/>
                <w:sz w:val="21"/>
                <w:szCs w:val="21"/>
                <w:highlight w:val="none"/>
                <w:lang w:val="en-US" w:eastAsia="zh-CN"/>
              </w:rPr>
              <w:t>备品备件</w:t>
            </w:r>
            <w:r>
              <w:rPr>
                <w:rFonts w:hint="eastAsia" w:ascii="宋体" w:hAnsi="宋体" w:eastAsia="宋体" w:cs="宋体"/>
                <w:color w:val="auto"/>
                <w:sz w:val="21"/>
                <w:szCs w:val="21"/>
                <w:highlight w:val="none"/>
              </w:rPr>
              <w:t>等费用；</w:t>
            </w:r>
          </w:p>
          <w:p w14:paraId="0A8F5763">
            <w:pPr>
              <w:keepNext w:val="0"/>
              <w:keepLines w:val="0"/>
              <w:pageBreakBefore w:val="0"/>
              <w:widowControl/>
              <w:tabs>
                <w:tab w:val="left" w:pos="2101"/>
              </w:tabs>
              <w:kinsoku/>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文件所要求的相关服务，以及合同明示或暗示的所有责任、义务和一般风险等费用。合同履行过程中，采购人不再支付合同以外的其他费用。</w:t>
            </w:r>
          </w:p>
          <w:p w14:paraId="587AEA37">
            <w:pPr>
              <w:keepNext w:val="0"/>
              <w:keepLines w:val="0"/>
              <w:pageBreakBefore w:val="0"/>
              <w:widowControl/>
              <w:tabs>
                <w:tab w:val="left" w:pos="2101"/>
              </w:tabs>
              <w:kinsoku/>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hr-HR"/>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保密要求：中标供应商应当遵守采购人关于网络信息安全的各项规章制度，并对采购人非公开的、保密的、专业的信息或数据或文件等一切涉及采购人利益及安全机密信息的相关资料、信息负有保密义务。</w:t>
            </w:r>
            <w:r>
              <w:rPr>
                <w:rFonts w:hint="eastAsia" w:ascii="宋体" w:hAnsi="宋体" w:eastAsia="宋体" w:cs="宋体"/>
                <w:color w:val="auto"/>
                <w:sz w:val="21"/>
                <w:szCs w:val="21"/>
                <w:highlight w:val="none"/>
                <w:lang w:val="hr-HR"/>
              </w:rPr>
              <w:t>中标供应商驻场工程师须与采购人签订保密协议，合同期内未经采购人允许前不得变更人员，否则采购人有权上报</w:t>
            </w:r>
            <w:r>
              <w:rPr>
                <w:rFonts w:hint="eastAsia" w:ascii="宋体" w:hAnsi="宋体" w:eastAsia="宋体" w:cs="宋体"/>
                <w:color w:val="auto"/>
                <w:sz w:val="21"/>
                <w:szCs w:val="21"/>
                <w:highlight w:val="none"/>
                <w:lang w:val="hr-HR" w:eastAsia="zh-CN"/>
              </w:rPr>
              <w:t>政府采购</w:t>
            </w:r>
            <w:r>
              <w:rPr>
                <w:rFonts w:hint="eastAsia" w:ascii="宋体" w:hAnsi="宋体" w:eastAsia="宋体" w:cs="宋体"/>
                <w:color w:val="auto"/>
                <w:sz w:val="21"/>
                <w:szCs w:val="21"/>
                <w:highlight w:val="none"/>
                <w:lang w:val="hr-HR"/>
              </w:rPr>
              <w:t>监督部门</w:t>
            </w:r>
            <w:r>
              <w:rPr>
                <w:rFonts w:hint="eastAsia" w:ascii="宋体" w:hAnsi="宋体" w:eastAsia="宋体" w:cs="宋体"/>
                <w:color w:val="auto"/>
                <w:sz w:val="21"/>
                <w:szCs w:val="21"/>
                <w:highlight w:val="none"/>
                <w:lang w:val="hr-HR" w:eastAsia="zh-CN"/>
              </w:rPr>
              <w:t>申请终止合同</w:t>
            </w:r>
            <w:r>
              <w:rPr>
                <w:rFonts w:hint="eastAsia" w:ascii="宋体" w:hAnsi="宋体" w:eastAsia="宋体" w:cs="宋体"/>
                <w:color w:val="auto"/>
                <w:sz w:val="21"/>
                <w:szCs w:val="21"/>
                <w:highlight w:val="none"/>
                <w:lang w:val="hr-HR"/>
              </w:rPr>
              <w:t>，所有后果均由中标供应商承担。</w:t>
            </w:r>
          </w:p>
          <w:p w14:paraId="11BA3AC3">
            <w:pPr>
              <w:keepNext w:val="0"/>
              <w:keepLines w:val="0"/>
              <w:pageBreakBefore w:val="0"/>
              <w:widowControl/>
              <w:tabs>
                <w:tab w:val="left" w:pos="2101"/>
              </w:tabs>
              <w:kinsoku/>
              <w:overflowPunct/>
              <w:topLinePunct w:val="0"/>
              <w:autoSpaceDE/>
              <w:autoSpaceDN/>
              <w:bidi w:val="0"/>
              <w:adjustRightInd/>
              <w:snapToGrid/>
              <w:spacing w:line="400" w:lineRule="exac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3.驻场要求：</w:t>
            </w:r>
          </w:p>
          <w:p w14:paraId="1D802E2C">
            <w:pPr>
              <w:keepNext w:val="0"/>
              <w:keepLines w:val="0"/>
              <w:pageBreakBefore w:val="0"/>
              <w:widowControl/>
              <w:tabs>
                <w:tab w:val="left" w:pos="2101"/>
              </w:tabs>
              <w:kinsoku/>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驻场工程师按照5天×8小时在采购人指定地点上班，下班或节假日时间若有工作计划的，须服从采购人相关安排。必须严格按照采购人日常工作考勤制度进行考勤备案，在服务期内，若出现迟到、早退、缺勤情况累计达5次的，</w:t>
            </w:r>
            <w:r>
              <w:rPr>
                <w:rFonts w:hint="eastAsia" w:ascii="宋体" w:hAnsi="宋体" w:eastAsia="宋体" w:cs="宋体"/>
                <w:color w:val="auto"/>
                <w:sz w:val="21"/>
                <w:szCs w:val="21"/>
                <w:highlight w:val="none"/>
                <w:lang w:val="en-US" w:eastAsia="zh-CN"/>
              </w:rPr>
              <w:t>采购人有权上报政府采购监督部门申请终止合同，所有后果均由中标供应商承担</w:t>
            </w:r>
            <w:r>
              <w:rPr>
                <w:rFonts w:hint="eastAsia" w:ascii="宋体" w:hAnsi="宋体" w:eastAsia="宋体" w:cs="宋体"/>
                <w:color w:val="auto"/>
                <w:sz w:val="21"/>
                <w:szCs w:val="21"/>
                <w:highlight w:val="none"/>
              </w:rPr>
              <w:t>。</w:t>
            </w:r>
          </w:p>
          <w:p w14:paraId="06DA4D27">
            <w:pPr>
              <w:keepNext w:val="0"/>
              <w:keepLines w:val="0"/>
              <w:pageBreakBefore w:val="0"/>
              <w:widowControl/>
              <w:tabs>
                <w:tab w:val="left" w:pos="2101"/>
              </w:tabs>
              <w:kinsoku/>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）采购人提供签订合同的供应商驻场工程师的办公场所，其住宿、就餐及差旅费等费用均由中标供应商自行承担。</w:t>
            </w:r>
          </w:p>
          <w:p w14:paraId="79DF86CB">
            <w:pPr>
              <w:keepNext w:val="0"/>
              <w:keepLines w:val="0"/>
              <w:pageBreakBefore w:val="0"/>
              <w:widowControl/>
              <w:tabs>
                <w:tab w:val="left" w:pos="2101"/>
              </w:tabs>
              <w:kinsoku/>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合同维护期到期前两周内提交整个服务期内的维护工作总结，全面总结维护期间的各项工作情况；将整个服务期内维护等各种资料按要求规范装订整理成册；以上作为服务合同验收的重要依据；提交验收申请报告及有关资料。</w:t>
            </w:r>
          </w:p>
          <w:p w14:paraId="48A9097E">
            <w:pPr>
              <w:keepNext w:val="0"/>
              <w:keepLines w:val="0"/>
              <w:pageBreakBefore w:val="0"/>
              <w:widowControl/>
              <w:tabs>
                <w:tab w:val="left" w:pos="2101"/>
              </w:tabs>
              <w:kinsoku/>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对合同条款的调整：中标供应商必须在承诺的时限内提交服务成果并通过采购人的验收，若由于中标供应商原因，未能按合同规定的内容、时间及相关要求向采购人提交服务成果的，中标供应商承担违约责任，按合同总金额的百分之五支付违约金，</w:t>
            </w:r>
            <w:r>
              <w:rPr>
                <w:rFonts w:hint="eastAsia" w:ascii="宋体" w:hAnsi="宋体" w:eastAsia="宋体" w:cs="宋体"/>
                <w:color w:val="auto"/>
                <w:sz w:val="21"/>
                <w:szCs w:val="21"/>
                <w:highlight w:val="none"/>
                <w:lang w:val="en-US" w:eastAsia="zh-CN"/>
              </w:rPr>
              <w:t>采购人有权上报政府采购监督部门申请终止合同，所有后果均由中标供应商承担</w:t>
            </w:r>
            <w:r>
              <w:rPr>
                <w:rFonts w:hint="eastAsia" w:ascii="宋体" w:hAnsi="宋体" w:eastAsia="宋体" w:cs="宋体"/>
                <w:color w:val="auto"/>
                <w:sz w:val="21"/>
                <w:szCs w:val="21"/>
                <w:highlight w:val="none"/>
              </w:rPr>
              <w:t>。</w:t>
            </w:r>
          </w:p>
          <w:p w14:paraId="241060D2">
            <w:pPr>
              <w:keepNext w:val="0"/>
              <w:keepLines w:val="0"/>
              <w:pageBreakBefore w:val="0"/>
              <w:widowControl/>
              <w:tabs>
                <w:tab w:val="left" w:pos="2101"/>
              </w:tabs>
              <w:kinsoku/>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付款方式：合同款项分两笔支付，每笔均为合同总额的50%，中标供应商须提供对应金额的合法有效发票：</w:t>
            </w:r>
          </w:p>
          <w:p w14:paraId="57D1E4A2">
            <w:pPr>
              <w:keepNext w:val="0"/>
              <w:keepLines w:val="0"/>
              <w:pageBreakBefore w:val="0"/>
              <w:widowControl/>
              <w:tabs>
                <w:tab w:val="left" w:pos="2101"/>
              </w:tabs>
              <w:kinsoku/>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（1）合同签订后，中标供应商提供2个月服务后，服务成果经采购人验收合格，采购人支付合同款的50%；</w:t>
            </w:r>
          </w:p>
          <w:p w14:paraId="5C45F069">
            <w:pPr>
              <w:keepNext w:val="0"/>
              <w:keepLines w:val="0"/>
              <w:pageBreakBefore w:val="0"/>
              <w:widowControl/>
              <w:tabs>
                <w:tab w:val="left" w:pos="2101"/>
              </w:tabs>
              <w:kinsoku/>
              <w:overflowPunct/>
              <w:topLinePunct w:val="0"/>
              <w:autoSpaceDE/>
              <w:autoSpaceDN/>
              <w:bidi w:val="0"/>
              <w:adjustRightInd/>
              <w:snapToGrid/>
              <w:spacing w:line="400" w:lineRule="exact"/>
              <w:textAlignment w:val="auto"/>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sz w:val="21"/>
                <w:szCs w:val="21"/>
                <w:highlight w:val="none"/>
              </w:rPr>
              <w:t>（2）服务期满，中标供应商完成服务并提供维护服务期内各种资料、报告等材料，经采购人验收合格后支付剩余合同款。</w:t>
            </w:r>
          </w:p>
        </w:tc>
      </w:tr>
      <w:tr w14:paraId="715B98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14" w:hRule="atLeast"/>
        </w:trPr>
        <w:tc>
          <w:tcPr>
            <w:tcW w:w="428" w:type="dxa"/>
            <w:tcBorders>
              <w:top w:val="single" w:color="auto" w:sz="4" w:space="0"/>
              <w:left w:val="single" w:color="auto" w:sz="4" w:space="0"/>
              <w:bottom w:val="single" w:color="auto" w:sz="4" w:space="0"/>
              <w:right w:val="single" w:color="auto" w:sz="4" w:space="0"/>
            </w:tcBorders>
            <w:vAlign w:val="center"/>
          </w:tcPr>
          <w:p w14:paraId="5DBF3816">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其他说明</w:t>
            </w:r>
          </w:p>
        </w:tc>
        <w:tc>
          <w:tcPr>
            <w:tcW w:w="10054" w:type="dxa"/>
            <w:gridSpan w:val="7"/>
            <w:tcBorders>
              <w:top w:val="single" w:color="auto" w:sz="4" w:space="0"/>
              <w:left w:val="single" w:color="auto" w:sz="4" w:space="0"/>
              <w:bottom w:val="single" w:color="auto" w:sz="4" w:space="0"/>
              <w:right w:val="single" w:color="auto" w:sz="4" w:space="0"/>
            </w:tcBorders>
            <w:vAlign w:val="center"/>
          </w:tcPr>
          <w:p w14:paraId="468FAB01">
            <w:pPr>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本项目采购标的的需执行的国家相关标准、行业标准、地方标准或其他强制性标准、规范等要求：</w:t>
            </w:r>
            <w:r>
              <w:rPr>
                <w:rFonts w:hint="eastAsia" w:ascii="宋体" w:hAnsi="宋体" w:eastAsia="宋体" w:cs="宋体"/>
                <w:color w:val="auto"/>
                <w:sz w:val="21"/>
                <w:szCs w:val="21"/>
                <w:highlight w:val="none"/>
                <w:u w:val="single"/>
              </w:rPr>
              <w:t>按国家相关标准、中标供应商承诺进行验收。</w:t>
            </w:r>
          </w:p>
          <w:p w14:paraId="52DAD6D7">
            <w:pPr>
              <w:keepNext w:val="0"/>
              <w:keepLines w:val="0"/>
              <w:pageBreakBefore w:val="0"/>
              <w:widowControl/>
              <w:kinsoku/>
              <w:overflowPunct/>
              <w:topLinePunct w:val="0"/>
              <w:autoSpaceDE/>
              <w:autoSpaceDN/>
              <w:bidi w:val="0"/>
              <w:adjustRightInd/>
              <w:snapToGrid/>
              <w:spacing w:line="400" w:lineRule="exact"/>
              <w:textAlignment w:val="auto"/>
              <w:rPr>
                <w:rFonts w:ascii="宋体" w:hAnsi="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合同延续年限、条件和方式：</w:t>
            </w:r>
            <w:r>
              <w:rPr>
                <w:rFonts w:hint="eastAsia" w:ascii="宋体" w:hAnsi="宋体" w:eastAsia="宋体" w:cs="宋体"/>
                <w:color w:val="auto"/>
                <w:sz w:val="21"/>
                <w:szCs w:val="21"/>
                <w:highlight w:val="none"/>
                <w:u w:val="single"/>
                <w:lang w:eastAsia="zh-CN"/>
              </w:rPr>
              <w:t>在年度预算有保障的前提下，采购人可以根据中标（成交）供应商合同期内的服务质量情况，决定是否续签一年的服务合同（最多续签两次），供应商可以自由选择接受或拒绝</w:t>
            </w:r>
            <w:r>
              <w:rPr>
                <w:rFonts w:hint="eastAsia" w:ascii="宋体" w:hAnsi="宋体" w:eastAsia="宋体" w:cs="宋体"/>
                <w:color w:val="auto"/>
                <w:sz w:val="21"/>
                <w:szCs w:val="21"/>
                <w:highlight w:val="none"/>
                <w:u w:val="single"/>
              </w:rPr>
              <w:t xml:space="preserve">。 </w:t>
            </w:r>
          </w:p>
        </w:tc>
        <w:bookmarkStart w:id="8" w:name="PO_TDCUS_ITEM_PB_REQ_TABLE_1_1"/>
      </w:tr>
      <w:bookmarkEnd w:id="7"/>
      <w:bookmarkEnd w:id="8"/>
    </w:tbl>
    <w:p w14:paraId="2561AF91">
      <w:pPr>
        <w:rPr>
          <w:rFonts w:ascii="宋体" w:hAnsi="宋体" w:cs="宋体"/>
          <w:color w:val="auto"/>
          <w:sz w:val="32"/>
          <w:szCs w:val="32"/>
          <w:highlight w:val="none"/>
        </w:rPr>
      </w:pPr>
      <w:r>
        <w:rPr>
          <w:rFonts w:hint="eastAsia" w:ascii="宋体" w:hAnsi="宋体" w:cs="宋体"/>
          <w:color w:val="auto"/>
          <w:sz w:val="32"/>
          <w:szCs w:val="32"/>
          <w:highlight w:val="none"/>
        </w:rPr>
        <w:br w:type="page"/>
      </w:r>
    </w:p>
    <w:p w14:paraId="48FDD9C3">
      <w:pPr>
        <w:wordWrap w:val="0"/>
        <w:spacing w:line="360" w:lineRule="auto"/>
        <w:outlineLvl w:val="1"/>
        <w:rPr>
          <w:rFonts w:ascii="宋体" w:hAnsi="宋体" w:cs="宋体"/>
          <w:color w:val="auto"/>
          <w:sz w:val="32"/>
          <w:szCs w:val="32"/>
          <w:highlight w:val="none"/>
        </w:rPr>
      </w:pPr>
      <w:bookmarkStart w:id="9" w:name="_Toc12065"/>
      <w:r>
        <w:rPr>
          <w:rFonts w:hint="eastAsia" w:ascii="宋体" w:hAnsi="宋体" w:cs="宋体"/>
          <w:color w:val="auto"/>
          <w:sz w:val="32"/>
          <w:szCs w:val="32"/>
          <w:highlight w:val="none"/>
        </w:rPr>
        <w:t>附件1：</w:t>
      </w:r>
      <w:bookmarkEnd w:id="9"/>
    </w:p>
    <w:p w14:paraId="5A7E401F">
      <w:pPr>
        <w:wordWrap w:val="0"/>
        <w:spacing w:line="360" w:lineRule="auto"/>
        <w:rPr>
          <w:rFonts w:ascii="宋体" w:hAnsi="宋体" w:cs="宋体"/>
          <w:color w:val="auto"/>
          <w:sz w:val="17"/>
          <w:szCs w:val="17"/>
          <w:highlight w:val="none"/>
        </w:rPr>
      </w:pPr>
    </w:p>
    <w:p w14:paraId="59585032">
      <w:pPr>
        <w:wordWrap w:val="0"/>
        <w:spacing w:line="360" w:lineRule="auto"/>
        <w:ind w:left="1871"/>
        <w:rPr>
          <w:rFonts w:ascii="宋体" w:hAnsi="宋体" w:cs="宋体"/>
          <w:color w:val="auto"/>
          <w:sz w:val="40"/>
          <w:szCs w:val="40"/>
          <w:highlight w:val="none"/>
        </w:rPr>
      </w:pPr>
      <w:r>
        <w:rPr>
          <w:rFonts w:hint="eastAsia" w:ascii="宋体" w:hAnsi="宋体" w:cs="宋体"/>
          <w:color w:val="auto"/>
          <w:sz w:val="40"/>
          <w:szCs w:val="40"/>
          <w:highlight w:val="none"/>
        </w:rPr>
        <w:t>节能产品政府采购品目清单</w:t>
      </w:r>
    </w:p>
    <w:tbl>
      <w:tblPr>
        <w:tblStyle w:val="22"/>
        <w:tblW w:w="922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1080"/>
        <w:gridCol w:w="1320"/>
        <w:gridCol w:w="1620"/>
        <w:gridCol w:w="4540"/>
      </w:tblGrid>
      <w:tr w14:paraId="0B436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60" w:type="dxa"/>
          </w:tcPr>
          <w:p w14:paraId="3258080E">
            <w:pPr>
              <w:widowControl/>
              <w:wordWrap w:val="0"/>
              <w:spacing w:line="360" w:lineRule="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品目序号</w:t>
            </w:r>
          </w:p>
        </w:tc>
        <w:tc>
          <w:tcPr>
            <w:tcW w:w="4020" w:type="dxa"/>
            <w:gridSpan w:val="3"/>
            <w:vAlign w:val="center"/>
          </w:tcPr>
          <w:p w14:paraId="7A6D87F1">
            <w:pPr>
              <w:widowControl/>
              <w:wordWrap w:val="0"/>
              <w:spacing w:line="360" w:lineRule="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名称</w:t>
            </w:r>
          </w:p>
        </w:tc>
        <w:tc>
          <w:tcPr>
            <w:tcW w:w="4540" w:type="dxa"/>
            <w:vAlign w:val="center"/>
          </w:tcPr>
          <w:p w14:paraId="73B6EF54">
            <w:pPr>
              <w:widowControl/>
              <w:wordWrap w:val="0"/>
              <w:spacing w:line="360" w:lineRule="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依据的标准</w:t>
            </w:r>
          </w:p>
        </w:tc>
      </w:tr>
      <w:tr w14:paraId="5EDB5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Merge w:val="restart"/>
            <w:vAlign w:val="center"/>
          </w:tcPr>
          <w:p w14:paraId="6EEFF6F8">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1080" w:type="dxa"/>
            <w:vMerge w:val="restart"/>
            <w:vAlign w:val="center"/>
          </w:tcPr>
          <w:p w14:paraId="1829E049">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A020101计算机设备</w:t>
            </w:r>
          </w:p>
        </w:tc>
        <w:tc>
          <w:tcPr>
            <w:tcW w:w="1320" w:type="dxa"/>
            <w:vAlign w:val="center"/>
          </w:tcPr>
          <w:p w14:paraId="2A6094B8">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★A02010104台式计算机</w:t>
            </w:r>
          </w:p>
        </w:tc>
        <w:tc>
          <w:tcPr>
            <w:tcW w:w="1620" w:type="dxa"/>
            <w:vAlign w:val="center"/>
          </w:tcPr>
          <w:p w14:paraId="0E9B3356">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vAlign w:val="center"/>
          </w:tcPr>
          <w:p w14:paraId="79DBB498">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《微型计算机能效限定值及能效等级》（GB28380）</w:t>
            </w:r>
          </w:p>
        </w:tc>
      </w:tr>
      <w:tr w14:paraId="3699D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Merge w:val="continue"/>
            <w:vAlign w:val="center"/>
          </w:tcPr>
          <w:p w14:paraId="5A6E187E">
            <w:pPr>
              <w:widowControl/>
              <w:wordWrap w:val="0"/>
              <w:spacing w:line="360" w:lineRule="auto"/>
              <w:jc w:val="left"/>
              <w:rPr>
                <w:rFonts w:ascii="宋体" w:hAnsi="宋体" w:cs="宋体"/>
                <w:color w:val="auto"/>
                <w:kern w:val="0"/>
                <w:szCs w:val="21"/>
                <w:highlight w:val="none"/>
              </w:rPr>
            </w:pPr>
          </w:p>
        </w:tc>
        <w:tc>
          <w:tcPr>
            <w:tcW w:w="1080" w:type="dxa"/>
            <w:vMerge w:val="continue"/>
            <w:vAlign w:val="center"/>
          </w:tcPr>
          <w:p w14:paraId="7D79CCC4">
            <w:pPr>
              <w:widowControl/>
              <w:wordWrap w:val="0"/>
              <w:spacing w:line="360" w:lineRule="auto"/>
              <w:jc w:val="left"/>
              <w:rPr>
                <w:rFonts w:ascii="宋体" w:hAnsi="宋体" w:cs="宋体"/>
                <w:color w:val="auto"/>
                <w:kern w:val="0"/>
                <w:szCs w:val="21"/>
                <w:highlight w:val="none"/>
              </w:rPr>
            </w:pPr>
          </w:p>
        </w:tc>
        <w:tc>
          <w:tcPr>
            <w:tcW w:w="1320" w:type="dxa"/>
            <w:vAlign w:val="center"/>
          </w:tcPr>
          <w:p w14:paraId="0120C826">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★A02010105便携式计算机</w:t>
            </w:r>
          </w:p>
        </w:tc>
        <w:tc>
          <w:tcPr>
            <w:tcW w:w="1620" w:type="dxa"/>
            <w:vAlign w:val="center"/>
          </w:tcPr>
          <w:p w14:paraId="544E6668">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vAlign w:val="center"/>
          </w:tcPr>
          <w:p w14:paraId="0C9E7D8C">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《微型计算机能效限定值及能效等级》（GB28380）</w:t>
            </w:r>
          </w:p>
        </w:tc>
      </w:tr>
      <w:tr w14:paraId="3A816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60" w:type="dxa"/>
            <w:vMerge w:val="continue"/>
            <w:vAlign w:val="center"/>
          </w:tcPr>
          <w:p w14:paraId="0BA3F1F4">
            <w:pPr>
              <w:widowControl/>
              <w:wordWrap w:val="0"/>
              <w:spacing w:line="360" w:lineRule="auto"/>
              <w:jc w:val="left"/>
              <w:rPr>
                <w:rFonts w:ascii="宋体" w:hAnsi="宋体" w:cs="宋体"/>
                <w:color w:val="auto"/>
                <w:kern w:val="0"/>
                <w:szCs w:val="21"/>
                <w:highlight w:val="none"/>
              </w:rPr>
            </w:pPr>
          </w:p>
        </w:tc>
        <w:tc>
          <w:tcPr>
            <w:tcW w:w="1080" w:type="dxa"/>
            <w:vMerge w:val="continue"/>
            <w:vAlign w:val="center"/>
          </w:tcPr>
          <w:p w14:paraId="53EFB13B">
            <w:pPr>
              <w:widowControl/>
              <w:wordWrap w:val="0"/>
              <w:spacing w:line="360" w:lineRule="auto"/>
              <w:jc w:val="left"/>
              <w:rPr>
                <w:rFonts w:ascii="宋体" w:hAnsi="宋体" w:cs="宋体"/>
                <w:color w:val="auto"/>
                <w:kern w:val="0"/>
                <w:szCs w:val="21"/>
                <w:highlight w:val="none"/>
              </w:rPr>
            </w:pPr>
          </w:p>
        </w:tc>
        <w:tc>
          <w:tcPr>
            <w:tcW w:w="1320" w:type="dxa"/>
            <w:vAlign w:val="center"/>
          </w:tcPr>
          <w:p w14:paraId="09401333">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★A02010107平板式微型计算机</w:t>
            </w:r>
          </w:p>
        </w:tc>
        <w:tc>
          <w:tcPr>
            <w:tcW w:w="1620" w:type="dxa"/>
            <w:vAlign w:val="center"/>
          </w:tcPr>
          <w:p w14:paraId="3DAFE72C">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vAlign w:val="center"/>
          </w:tcPr>
          <w:p w14:paraId="28B7244B">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《微型计算机能效限定值及能效等级》（GB28380）</w:t>
            </w:r>
          </w:p>
        </w:tc>
      </w:tr>
      <w:tr w14:paraId="5C29D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Merge w:val="restart"/>
            <w:vAlign w:val="center"/>
          </w:tcPr>
          <w:p w14:paraId="55C3EB94">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1080" w:type="dxa"/>
            <w:vMerge w:val="restart"/>
            <w:vAlign w:val="center"/>
          </w:tcPr>
          <w:p w14:paraId="761D858C">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A020106输入输出设备</w:t>
            </w:r>
          </w:p>
        </w:tc>
        <w:tc>
          <w:tcPr>
            <w:tcW w:w="1320" w:type="dxa"/>
            <w:vMerge w:val="restart"/>
            <w:vAlign w:val="center"/>
          </w:tcPr>
          <w:p w14:paraId="1CB17C84">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A02010601打印设备</w:t>
            </w:r>
          </w:p>
        </w:tc>
        <w:tc>
          <w:tcPr>
            <w:tcW w:w="1620" w:type="dxa"/>
            <w:vAlign w:val="center"/>
          </w:tcPr>
          <w:p w14:paraId="6A2452EA">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A0201060101喷墨打印机</w:t>
            </w:r>
          </w:p>
        </w:tc>
        <w:tc>
          <w:tcPr>
            <w:tcW w:w="4540" w:type="dxa"/>
            <w:vAlign w:val="center"/>
          </w:tcPr>
          <w:p w14:paraId="283729F6">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《复印机、打印机和传真机能效限定值及能效等级》（GB21521）</w:t>
            </w:r>
          </w:p>
        </w:tc>
      </w:tr>
      <w:tr w14:paraId="0BE36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Merge w:val="continue"/>
            <w:vAlign w:val="center"/>
          </w:tcPr>
          <w:p w14:paraId="706DE133">
            <w:pPr>
              <w:widowControl/>
              <w:wordWrap w:val="0"/>
              <w:spacing w:line="360" w:lineRule="auto"/>
              <w:jc w:val="left"/>
              <w:rPr>
                <w:rFonts w:ascii="宋体" w:hAnsi="宋体" w:cs="宋体"/>
                <w:color w:val="auto"/>
                <w:kern w:val="0"/>
                <w:szCs w:val="21"/>
                <w:highlight w:val="none"/>
              </w:rPr>
            </w:pPr>
          </w:p>
        </w:tc>
        <w:tc>
          <w:tcPr>
            <w:tcW w:w="1080" w:type="dxa"/>
            <w:vMerge w:val="continue"/>
            <w:vAlign w:val="center"/>
          </w:tcPr>
          <w:p w14:paraId="4CF1EADE">
            <w:pPr>
              <w:widowControl/>
              <w:wordWrap w:val="0"/>
              <w:spacing w:line="360" w:lineRule="auto"/>
              <w:jc w:val="left"/>
              <w:rPr>
                <w:rFonts w:ascii="宋体" w:hAnsi="宋体" w:cs="宋体"/>
                <w:color w:val="auto"/>
                <w:kern w:val="0"/>
                <w:szCs w:val="21"/>
                <w:highlight w:val="none"/>
              </w:rPr>
            </w:pPr>
          </w:p>
        </w:tc>
        <w:tc>
          <w:tcPr>
            <w:tcW w:w="1320" w:type="dxa"/>
            <w:vMerge w:val="continue"/>
            <w:vAlign w:val="center"/>
          </w:tcPr>
          <w:p w14:paraId="2EDC784A">
            <w:pPr>
              <w:widowControl/>
              <w:wordWrap w:val="0"/>
              <w:spacing w:line="360" w:lineRule="auto"/>
              <w:jc w:val="left"/>
              <w:rPr>
                <w:rFonts w:ascii="宋体" w:hAnsi="宋体" w:cs="宋体"/>
                <w:color w:val="auto"/>
                <w:kern w:val="0"/>
                <w:szCs w:val="21"/>
                <w:highlight w:val="none"/>
              </w:rPr>
            </w:pPr>
          </w:p>
        </w:tc>
        <w:tc>
          <w:tcPr>
            <w:tcW w:w="1620" w:type="dxa"/>
            <w:vAlign w:val="center"/>
          </w:tcPr>
          <w:p w14:paraId="7FBBE3D0">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★A0201060102激光打印机</w:t>
            </w:r>
          </w:p>
        </w:tc>
        <w:tc>
          <w:tcPr>
            <w:tcW w:w="4540" w:type="dxa"/>
            <w:vAlign w:val="center"/>
          </w:tcPr>
          <w:p w14:paraId="6654757F">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《复印机、打印机和传真机能效限定值及能效等级》（GB21521）</w:t>
            </w:r>
          </w:p>
        </w:tc>
      </w:tr>
      <w:tr w14:paraId="07A33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Merge w:val="continue"/>
            <w:vAlign w:val="center"/>
          </w:tcPr>
          <w:p w14:paraId="58FA6C49">
            <w:pPr>
              <w:widowControl/>
              <w:wordWrap w:val="0"/>
              <w:spacing w:line="360" w:lineRule="auto"/>
              <w:jc w:val="left"/>
              <w:rPr>
                <w:rFonts w:ascii="宋体" w:hAnsi="宋体" w:cs="宋体"/>
                <w:color w:val="auto"/>
                <w:kern w:val="0"/>
                <w:szCs w:val="21"/>
                <w:highlight w:val="none"/>
              </w:rPr>
            </w:pPr>
          </w:p>
        </w:tc>
        <w:tc>
          <w:tcPr>
            <w:tcW w:w="1080" w:type="dxa"/>
            <w:vMerge w:val="continue"/>
            <w:vAlign w:val="center"/>
          </w:tcPr>
          <w:p w14:paraId="02940ABF">
            <w:pPr>
              <w:widowControl/>
              <w:wordWrap w:val="0"/>
              <w:spacing w:line="360" w:lineRule="auto"/>
              <w:jc w:val="left"/>
              <w:rPr>
                <w:rFonts w:ascii="宋体" w:hAnsi="宋体" w:cs="宋体"/>
                <w:color w:val="auto"/>
                <w:kern w:val="0"/>
                <w:szCs w:val="21"/>
                <w:highlight w:val="none"/>
              </w:rPr>
            </w:pPr>
          </w:p>
        </w:tc>
        <w:tc>
          <w:tcPr>
            <w:tcW w:w="1320" w:type="dxa"/>
            <w:vMerge w:val="continue"/>
            <w:vAlign w:val="center"/>
          </w:tcPr>
          <w:p w14:paraId="0410923A">
            <w:pPr>
              <w:widowControl/>
              <w:wordWrap w:val="0"/>
              <w:spacing w:line="360" w:lineRule="auto"/>
              <w:jc w:val="left"/>
              <w:rPr>
                <w:rFonts w:ascii="宋体" w:hAnsi="宋体" w:cs="宋体"/>
                <w:color w:val="auto"/>
                <w:kern w:val="0"/>
                <w:szCs w:val="21"/>
                <w:highlight w:val="none"/>
              </w:rPr>
            </w:pPr>
          </w:p>
        </w:tc>
        <w:tc>
          <w:tcPr>
            <w:tcW w:w="1620" w:type="dxa"/>
            <w:vAlign w:val="center"/>
          </w:tcPr>
          <w:p w14:paraId="0B5D1AAD">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★A0201060104针式打印机</w:t>
            </w:r>
          </w:p>
        </w:tc>
        <w:tc>
          <w:tcPr>
            <w:tcW w:w="4540" w:type="dxa"/>
            <w:vAlign w:val="center"/>
          </w:tcPr>
          <w:p w14:paraId="3F0CE27D">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《复印机、打印机和传真机能效限定值及能效等级》（GB21521）</w:t>
            </w:r>
          </w:p>
        </w:tc>
      </w:tr>
      <w:tr w14:paraId="7DA1A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Merge w:val="continue"/>
            <w:vAlign w:val="center"/>
          </w:tcPr>
          <w:p w14:paraId="4BFE3A88">
            <w:pPr>
              <w:widowControl/>
              <w:wordWrap w:val="0"/>
              <w:spacing w:line="360" w:lineRule="auto"/>
              <w:jc w:val="left"/>
              <w:rPr>
                <w:rFonts w:ascii="宋体" w:hAnsi="宋体" w:cs="宋体"/>
                <w:color w:val="auto"/>
                <w:kern w:val="0"/>
                <w:szCs w:val="21"/>
                <w:highlight w:val="none"/>
              </w:rPr>
            </w:pPr>
          </w:p>
        </w:tc>
        <w:tc>
          <w:tcPr>
            <w:tcW w:w="1080" w:type="dxa"/>
            <w:vMerge w:val="continue"/>
            <w:vAlign w:val="center"/>
          </w:tcPr>
          <w:p w14:paraId="47090433">
            <w:pPr>
              <w:widowControl/>
              <w:wordWrap w:val="0"/>
              <w:spacing w:line="360" w:lineRule="auto"/>
              <w:jc w:val="left"/>
              <w:rPr>
                <w:rFonts w:ascii="宋体" w:hAnsi="宋体" w:cs="宋体"/>
                <w:color w:val="auto"/>
                <w:kern w:val="0"/>
                <w:szCs w:val="21"/>
                <w:highlight w:val="none"/>
              </w:rPr>
            </w:pPr>
          </w:p>
        </w:tc>
        <w:tc>
          <w:tcPr>
            <w:tcW w:w="1320" w:type="dxa"/>
            <w:vAlign w:val="center"/>
          </w:tcPr>
          <w:p w14:paraId="5D98E73D">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A02010604显示设备</w:t>
            </w:r>
          </w:p>
        </w:tc>
        <w:tc>
          <w:tcPr>
            <w:tcW w:w="1620" w:type="dxa"/>
            <w:vAlign w:val="center"/>
          </w:tcPr>
          <w:p w14:paraId="31C4DD2B">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★A0201060401液晶显示器</w:t>
            </w:r>
          </w:p>
        </w:tc>
        <w:tc>
          <w:tcPr>
            <w:tcW w:w="4540" w:type="dxa"/>
            <w:vAlign w:val="center"/>
          </w:tcPr>
          <w:p w14:paraId="77B188B7">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《计算机显示器能效限定值及能效等级》（GB21520）</w:t>
            </w:r>
          </w:p>
        </w:tc>
      </w:tr>
      <w:tr w14:paraId="59C10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660" w:type="dxa"/>
            <w:vMerge w:val="continue"/>
            <w:vAlign w:val="center"/>
          </w:tcPr>
          <w:p w14:paraId="2E9EB517">
            <w:pPr>
              <w:widowControl/>
              <w:wordWrap w:val="0"/>
              <w:spacing w:line="360" w:lineRule="auto"/>
              <w:jc w:val="left"/>
              <w:rPr>
                <w:rFonts w:ascii="宋体" w:hAnsi="宋体" w:cs="宋体"/>
                <w:color w:val="auto"/>
                <w:kern w:val="0"/>
                <w:szCs w:val="21"/>
                <w:highlight w:val="none"/>
              </w:rPr>
            </w:pPr>
          </w:p>
        </w:tc>
        <w:tc>
          <w:tcPr>
            <w:tcW w:w="1080" w:type="dxa"/>
            <w:vMerge w:val="continue"/>
            <w:vAlign w:val="center"/>
          </w:tcPr>
          <w:p w14:paraId="05D2183D">
            <w:pPr>
              <w:widowControl/>
              <w:wordWrap w:val="0"/>
              <w:spacing w:line="360" w:lineRule="auto"/>
              <w:jc w:val="left"/>
              <w:rPr>
                <w:rFonts w:ascii="宋体" w:hAnsi="宋体" w:cs="宋体"/>
                <w:color w:val="auto"/>
                <w:kern w:val="0"/>
                <w:szCs w:val="21"/>
                <w:highlight w:val="none"/>
              </w:rPr>
            </w:pPr>
          </w:p>
        </w:tc>
        <w:tc>
          <w:tcPr>
            <w:tcW w:w="1320" w:type="dxa"/>
            <w:vAlign w:val="center"/>
          </w:tcPr>
          <w:p w14:paraId="09BD3412">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A02010609图形图像输入设备</w:t>
            </w:r>
          </w:p>
        </w:tc>
        <w:tc>
          <w:tcPr>
            <w:tcW w:w="1620" w:type="dxa"/>
            <w:vAlign w:val="center"/>
          </w:tcPr>
          <w:p w14:paraId="03AEDEBB">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A0201060901扫描仪</w:t>
            </w:r>
          </w:p>
        </w:tc>
        <w:tc>
          <w:tcPr>
            <w:tcW w:w="4540" w:type="dxa"/>
            <w:vAlign w:val="center"/>
          </w:tcPr>
          <w:p w14:paraId="0B333E73">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参照《复印机、打印机和传真机能效限定值及能效等级》（GB21521中打印速度为15页/分的针式打印机相关要求中打印速度为15页/分的针式打印机相关要求</w:t>
            </w:r>
          </w:p>
        </w:tc>
      </w:tr>
      <w:tr w14:paraId="14AEB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Align w:val="center"/>
          </w:tcPr>
          <w:p w14:paraId="7A408233">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1080" w:type="dxa"/>
            <w:vAlign w:val="center"/>
          </w:tcPr>
          <w:p w14:paraId="66BD7115">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A020202投影仪</w:t>
            </w:r>
          </w:p>
        </w:tc>
        <w:tc>
          <w:tcPr>
            <w:tcW w:w="1320" w:type="dxa"/>
            <w:vAlign w:val="center"/>
          </w:tcPr>
          <w:p w14:paraId="61EE9D85">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620" w:type="dxa"/>
            <w:vAlign w:val="center"/>
          </w:tcPr>
          <w:p w14:paraId="0E266B86">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vAlign w:val="center"/>
          </w:tcPr>
          <w:p w14:paraId="2CFF67C9">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《投影机能效限定值及能效等级》（GB32028）</w:t>
            </w:r>
          </w:p>
        </w:tc>
      </w:tr>
      <w:tr w14:paraId="3338E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Align w:val="center"/>
          </w:tcPr>
          <w:p w14:paraId="4C59D8D6">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1080" w:type="dxa"/>
            <w:vAlign w:val="center"/>
          </w:tcPr>
          <w:p w14:paraId="57E426E6">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A020204多功能一体机</w:t>
            </w:r>
          </w:p>
        </w:tc>
        <w:tc>
          <w:tcPr>
            <w:tcW w:w="1320" w:type="dxa"/>
            <w:vAlign w:val="center"/>
          </w:tcPr>
          <w:p w14:paraId="13DF7D3D">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620" w:type="dxa"/>
            <w:vAlign w:val="center"/>
          </w:tcPr>
          <w:p w14:paraId="546166A4">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vAlign w:val="center"/>
          </w:tcPr>
          <w:p w14:paraId="7A599CB8">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《复印机、打印机和传真机能效限定值及能效等级》（GB21521）</w:t>
            </w:r>
          </w:p>
        </w:tc>
      </w:tr>
      <w:tr w14:paraId="41427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Align w:val="center"/>
          </w:tcPr>
          <w:p w14:paraId="4D94E13E">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1080" w:type="dxa"/>
            <w:vAlign w:val="center"/>
          </w:tcPr>
          <w:p w14:paraId="60E61C73">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A020519泵</w:t>
            </w:r>
          </w:p>
        </w:tc>
        <w:tc>
          <w:tcPr>
            <w:tcW w:w="1320" w:type="dxa"/>
            <w:vAlign w:val="center"/>
          </w:tcPr>
          <w:p w14:paraId="3B825BFE">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A02051901离心泵</w:t>
            </w:r>
          </w:p>
        </w:tc>
        <w:tc>
          <w:tcPr>
            <w:tcW w:w="1620" w:type="dxa"/>
            <w:vAlign w:val="center"/>
          </w:tcPr>
          <w:p w14:paraId="02805418">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vAlign w:val="center"/>
          </w:tcPr>
          <w:p w14:paraId="7D031238">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《清水离心泵能效限定值及节能评价值》（GB19762）</w:t>
            </w:r>
          </w:p>
        </w:tc>
      </w:tr>
      <w:tr w14:paraId="1E121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60" w:type="dxa"/>
            <w:vMerge w:val="restart"/>
            <w:vAlign w:val="center"/>
          </w:tcPr>
          <w:p w14:paraId="66FF0E7C">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1080" w:type="dxa"/>
            <w:vMerge w:val="restart"/>
            <w:vAlign w:val="center"/>
          </w:tcPr>
          <w:p w14:paraId="1681A038">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A020523制冷空调设备</w:t>
            </w:r>
          </w:p>
        </w:tc>
        <w:tc>
          <w:tcPr>
            <w:tcW w:w="1320" w:type="dxa"/>
            <w:vMerge w:val="restart"/>
            <w:vAlign w:val="center"/>
          </w:tcPr>
          <w:p w14:paraId="57391B6B">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★A02052301制冷压缩机</w:t>
            </w:r>
          </w:p>
        </w:tc>
        <w:tc>
          <w:tcPr>
            <w:tcW w:w="1620" w:type="dxa"/>
            <w:vAlign w:val="center"/>
          </w:tcPr>
          <w:p w14:paraId="6CC0C071">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冷水机组</w:t>
            </w:r>
          </w:p>
        </w:tc>
        <w:tc>
          <w:tcPr>
            <w:tcW w:w="4540" w:type="dxa"/>
            <w:vAlign w:val="center"/>
          </w:tcPr>
          <w:p w14:paraId="099C2248">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《冷水机组能效限定值及能效等级》（GB19577），《低环境温度空气源热泵（冷水）机组能效限定值及能效等级》（GB37480）</w:t>
            </w:r>
          </w:p>
        </w:tc>
      </w:tr>
      <w:tr w14:paraId="11653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Merge w:val="continue"/>
            <w:vAlign w:val="center"/>
          </w:tcPr>
          <w:p w14:paraId="1F180238">
            <w:pPr>
              <w:widowControl/>
              <w:wordWrap w:val="0"/>
              <w:spacing w:line="360" w:lineRule="auto"/>
              <w:jc w:val="left"/>
              <w:rPr>
                <w:rFonts w:ascii="宋体" w:hAnsi="宋体" w:cs="宋体"/>
                <w:color w:val="auto"/>
                <w:kern w:val="0"/>
                <w:szCs w:val="21"/>
                <w:highlight w:val="none"/>
              </w:rPr>
            </w:pPr>
          </w:p>
        </w:tc>
        <w:tc>
          <w:tcPr>
            <w:tcW w:w="1080" w:type="dxa"/>
            <w:vMerge w:val="continue"/>
            <w:vAlign w:val="center"/>
          </w:tcPr>
          <w:p w14:paraId="4E0B4D56">
            <w:pPr>
              <w:widowControl/>
              <w:wordWrap w:val="0"/>
              <w:spacing w:line="360" w:lineRule="auto"/>
              <w:jc w:val="left"/>
              <w:rPr>
                <w:rFonts w:ascii="宋体" w:hAnsi="宋体" w:cs="宋体"/>
                <w:color w:val="auto"/>
                <w:kern w:val="0"/>
                <w:szCs w:val="21"/>
                <w:highlight w:val="none"/>
              </w:rPr>
            </w:pPr>
          </w:p>
        </w:tc>
        <w:tc>
          <w:tcPr>
            <w:tcW w:w="1320" w:type="dxa"/>
            <w:vMerge w:val="continue"/>
            <w:vAlign w:val="center"/>
          </w:tcPr>
          <w:p w14:paraId="3D2F3CDD">
            <w:pPr>
              <w:widowControl/>
              <w:wordWrap w:val="0"/>
              <w:spacing w:line="360" w:lineRule="auto"/>
              <w:jc w:val="left"/>
              <w:rPr>
                <w:rFonts w:ascii="宋体" w:hAnsi="宋体" w:cs="宋体"/>
                <w:color w:val="auto"/>
                <w:kern w:val="0"/>
                <w:szCs w:val="21"/>
                <w:highlight w:val="none"/>
              </w:rPr>
            </w:pPr>
          </w:p>
        </w:tc>
        <w:tc>
          <w:tcPr>
            <w:tcW w:w="1620" w:type="dxa"/>
            <w:vAlign w:val="center"/>
          </w:tcPr>
          <w:p w14:paraId="4CAF0440">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水源热泵机组</w:t>
            </w:r>
          </w:p>
        </w:tc>
        <w:tc>
          <w:tcPr>
            <w:tcW w:w="4540" w:type="dxa"/>
            <w:vAlign w:val="center"/>
          </w:tcPr>
          <w:p w14:paraId="4220D140">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《水（地）源热泵机组能效限定值及能效等级》（GB30721）</w:t>
            </w:r>
          </w:p>
        </w:tc>
      </w:tr>
      <w:tr w14:paraId="5F010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Merge w:val="continue"/>
            <w:vAlign w:val="center"/>
          </w:tcPr>
          <w:p w14:paraId="5C4A2017">
            <w:pPr>
              <w:widowControl/>
              <w:wordWrap w:val="0"/>
              <w:spacing w:line="360" w:lineRule="auto"/>
              <w:jc w:val="left"/>
              <w:rPr>
                <w:rFonts w:ascii="宋体" w:hAnsi="宋体" w:cs="宋体"/>
                <w:color w:val="auto"/>
                <w:kern w:val="0"/>
                <w:szCs w:val="21"/>
                <w:highlight w:val="none"/>
              </w:rPr>
            </w:pPr>
          </w:p>
        </w:tc>
        <w:tc>
          <w:tcPr>
            <w:tcW w:w="1080" w:type="dxa"/>
            <w:vMerge w:val="continue"/>
            <w:vAlign w:val="center"/>
          </w:tcPr>
          <w:p w14:paraId="7BCABAD4">
            <w:pPr>
              <w:widowControl/>
              <w:wordWrap w:val="0"/>
              <w:spacing w:line="360" w:lineRule="auto"/>
              <w:jc w:val="left"/>
              <w:rPr>
                <w:rFonts w:ascii="宋体" w:hAnsi="宋体" w:cs="宋体"/>
                <w:color w:val="auto"/>
                <w:kern w:val="0"/>
                <w:szCs w:val="21"/>
                <w:highlight w:val="none"/>
              </w:rPr>
            </w:pPr>
          </w:p>
        </w:tc>
        <w:tc>
          <w:tcPr>
            <w:tcW w:w="1320" w:type="dxa"/>
            <w:vMerge w:val="continue"/>
            <w:vAlign w:val="center"/>
          </w:tcPr>
          <w:p w14:paraId="2C45C289">
            <w:pPr>
              <w:widowControl/>
              <w:wordWrap w:val="0"/>
              <w:spacing w:line="360" w:lineRule="auto"/>
              <w:jc w:val="left"/>
              <w:rPr>
                <w:rFonts w:ascii="宋体" w:hAnsi="宋体" w:cs="宋体"/>
                <w:color w:val="auto"/>
                <w:kern w:val="0"/>
                <w:szCs w:val="21"/>
                <w:highlight w:val="none"/>
              </w:rPr>
            </w:pPr>
          </w:p>
        </w:tc>
        <w:tc>
          <w:tcPr>
            <w:tcW w:w="1620" w:type="dxa"/>
            <w:vAlign w:val="center"/>
          </w:tcPr>
          <w:p w14:paraId="4E470FBF">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溴化锂吸收式冷水机组</w:t>
            </w:r>
          </w:p>
        </w:tc>
        <w:tc>
          <w:tcPr>
            <w:tcW w:w="4540" w:type="dxa"/>
            <w:vAlign w:val="center"/>
          </w:tcPr>
          <w:p w14:paraId="07490424">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《溴化锂吸收式冷水机组能效限定值及能效等级》（GB29540）</w:t>
            </w:r>
          </w:p>
        </w:tc>
      </w:tr>
      <w:tr w14:paraId="0A118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60" w:type="dxa"/>
            <w:vMerge w:val="continue"/>
            <w:vAlign w:val="center"/>
          </w:tcPr>
          <w:p w14:paraId="28C4017D">
            <w:pPr>
              <w:widowControl/>
              <w:wordWrap w:val="0"/>
              <w:spacing w:line="360" w:lineRule="auto"/>
              <w:jc w:val="left"/>
              <w:rPr>
                <w:rFonts w:ascii="宋体" w:hAnsi="宋体" w:cs="宋体"/>
                <w:color w:val="auto"/>
                <w:kern w:val="0"/>
                <w:szCs w:val="21"/>
                <w:highlight w:val="none"/>
              </w:rPr>
            </w:pPr>
          </w:p>
        </w:tc>
        <w:tc>
          <w:tcPr>
            <w:tcW w:w="1080" w:type="dxa"/>
            <w:vMerge w:val="continue"/>
            <w:vAlign w:val="center"/>
          </w:tcPr>
          <w:p w14:paraId="5B7E6247">
            <w:pPr>
              <w:widowControl/>
              <w:wordWrap w:val="0"/>
              <w:spacing w:line="360" w:lineRule="auto"/>
              <w:jc w:val="left"/>
              <w:rPr>
                <w:rFonts w:ascii="宋体" w:hAnsi="宋体" w:cs="宋体"/>
                <w:color w:val="auto"/>
                <w:kern w:val="0"/>
                <w:szCs w:val="21"/>
                <w:highlight w:val="none"/>
              </w:rPr>
            </w:pPr>
          </w:p>
        </w:tc>
        <w:tc>
          <w:tcPr>
            <w:tcW w:w="1320" w:type="dxa"/>
            <w:vMerge w:val="restart"/>
            <w:vAlign w:val="center"/>
          </w:tcPr>
          <w:p w14:paraId="31DD9716">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★A02052305空调机组</w:t>
            </w:r>
          </w:p>
        </w:tc>
        <w:tc>
          <w:tcPr>
            <w:tcW w:w="1620" w:type="dxa"/>
            <w:vAlign w:val="center"/>
          </w:tcPr>
          <w:p w14:paraId="066F4401">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多联式空调（热泵）机组(制冷量&gt;14000W)</w:t>
            </w:r>
          </w:p>
        </w:tc>
        <w:tc>
          <w:tcPr>
            <w:tcW w:w="4540" w:type="dxa"/>
            <w:vAlign w:val="center"/>
          </w:tcPr>
          <w:p w14:paraId="0BECD14E">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《多联式空调（热泵）机组能效限定值及能源效率等级》（GB21454）</w:t>
            </w:r>
          </w:p>
        </w:tc>
      </w:tr>
      <w:tr w14:paraId="31C92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60" w:type="dxa"/>
            <w:vMerge w:val="continue"/>
            <w:vAlign w:val="center"/>
          </w:tcPr>
          <w:p w14:paraId="2549F80D">
            <w:pPr>
              <w:widowControl/>
              <w:wordWrap w:val="0"/>
              <w:spacing w:line="360" w:lineRule="auto"/>
              <w:jc w:val="left"/>
              <w:rPr>
                <w:rFonts w:ascii="宋体" w:hAnsi="宋体" w:cs="宋体"/>
                <w:color w:val="auto"/>
                <w:kern w:val="0"/>
                <w:szCs w:val="21"/>
                <w:highlight w:val="none"/>
              </w:rPr>
            </w:pPr>
          </w:p>
        </w:tc>
        <w:tc>
          <w:tcPr>
            <w:tcW w:w="1080" w:type="dxa"/>
            <w:vMerge w:val="continue"/>
            <w:vAlign w:val="center"/>
          </w:tcPr>
          <w:p w14:paraId="57593503">
            <w:pPr>
              <w:widowControl/>
              <w:wordWrap w:val="0"/>
              <w:spacing w:line="360" w:lineRule="auto"/>
              <w:jc w:val="left"/>
              <w:rPr>
                <w:rFonts w:ascii="宋体" w:hAnsi="宋体" w:cs="宋体"/>
                <w:color w:val="auto"/>
                <w:kern w:val="0"/>
                <w:szCs w:val="21"/>
                <w:highlight w:val="none"/>
              </w:rPr>
            </w:pPr>
          </w:p>
        </w:tc>
        <w:tc>
          <w:tcPr>
            <w:tcW w:w="1320" w:type="dxa"/>
            <w:vMerge w:val="continue"/>
            <w:vAlign w:val="center"/>
          </w:tcPr>
          <w:p w14:paraId="53E24834">
            <w:pPr>
              <w:widowControl/>
              <w:wordWrap w:val="0"/>
              <w:spacing w:line="360" w:lineRule="auto"/>
              <w:jc w:val="left"/>
              <w:rPr>
                <w:rFonts w:ascii="宋体" w:hAnsi="宋体" w:cs="宋体"/>
                <w:color w:val="auto"/>
                <w:kern w:val="0"/>
                <w:szCs w:val="21"/>
                <w:highlight w:val="none"/>
              </w:rPr>
            </w:pPr>
          </w:p>
        </w:tc>
        <w:tc>
          <w:tcPr>
            <w:tcW w:w="1620" w:type="dxa"/>
            <w:vAlign w:val="center"/>
          </w:tcPr>
          <w:p w14:paraId="13BB83D7">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单元式空气调节机(制冷量&gt;14000W</w:t>
            </w:r>
          </w:p>
        </w:tc>
        <w:tc>
          <w:tcPr>
            <w:tcW w:w="4540" w:type="dxa"/>
            <w:vAlign w:val="center"/>
          </w:tcPr>
          <w:p w14:paraId="5FCE5580">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《单元式空气调节机能效限定值及能效等级》（GB19576）《风管送风式空调机组能效限定值及能效等级》（GB37479）</w:t>
            </w:r>
          </w:p>
        </w:tc>
      </w:tr>
      <w:tr w14:paraId="4731D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60" w:type="dxa"/>
            <w:vMerge w:val="continue"/>
            <w:vAlign w:val="center"/>
          </w:tcPr>
          <w:p w14:paraId="7D17D1E9">
            <w:pPr>
              <w:widowControl/>
              <w:wordWrap w:val="0"/>
              <w:spacing w:line="360" w:lineRule="auto"/>
              <w:jc w:val="left"/>
              <w:rPr>
                <w:rFonts w:ascii="宋体" w:hAnsi="宋体" w:cs="宋体"/>
                <w:color w:val="auto"/>
                <w:kern w:val="0"/>
                <w:szCs w:val="21"/>
                <w:highlight w:val="none"/>
              </w:rPr>
            </w:pPr>
          </w:p>
        </w:tc>
        <w:tc>
          <w:tcPr>
            <w:tcW w:w="1080" w:type="dxa"/>
            <w:vMerge w:val="continue"/>
            <w:vAlign w:val="center"/>
          </w:tcPr>
          <w:p w14:paraId="48921B7A">
            <w:pPr>
              <w:widowControl/>
              <w:wordWrap w:val="0"/>
              <w:spacing w:line="360" w:lineRule="auto"/>
              <w:jc w:val="left"/>
              <w:rPr>
                <w:rFonts w:ascii="宋体" w:hAnsi="宋体" w:cs="宋体"/>
                <w:color w:val="auto"/>
                <w:kern w:val="0"/>
                <w:szCs w:val="21"/>
                <w:highlight w:val="none"/>
              </w:rPr>
            </w:pPr>
          </w:p>
        </w:tc>
        <w:tc>
          <w:tcPr>
            <w:tcW w:w="1320" w:type="dxa"/>
            <w:vAlign w:val="center"/>
          </w:tcPr>
          <w:p w14:paraId="383484D1">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★A02052309专用制冷、空调设备</w:t>
            </w:r>
          </w:p>
        </w:tc>
        <w:tc>
          <w:tcPr>
            <w:tcW w:w="1620" w:type="dxa"/>
            <w:vAlign w:val="center"/>
          </w:tcPr>
          <w:p w14:paraId="28092E23">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机房空调</w:t>
            </w:r>
          </w:p>
        </w:tc>
        <w:tc>
          <w:tcPr>
            <w:tcW w:w="4540" w:type="dxa"/>
            <w:vAlign w:val="center"/>
          </w:tcPr>
          <w:p w14:paraId="444DC601">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《单元式空气调节机能效限定值及能效等级》（GB19576）</w:t>
            </w:r>
          </w:p>
        </w:tc>
      </w:tr>
      <w:tr w14:paraId="41C95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60" w:type="dxa"/>
            <w:vMerge w:val="continue"/>
            <w:vAlign w:val="center"/>
          </w:tcPr>
          <w:p w14:paraId="3F92BB4E">
            <w:pPr>
              <w:widowControl/>
              <w:wordWrap w:val="0"/>
              <w:spacing w:line="360" w:lineRule="auto"/>
              <w:jc w:val="left"/>
              <w:rPr>
                <w:rFonts w:ascii="宋体" w:hAnsi="宋体" w:cs="宋体"/>
                <w:color w:val="auto"/>
                <w:kern w:val="0"/>
                <w:szCs w:val="21"/>
                <w:highlight w:val="none"/>
              </w:rPr>
            </w:pPr>
          </w:p>
        </w:tc>
        <w:tc>
          <w:tcPr>
            <w:tcW w:w="1080" w:type="dxa"/>
            <w:vMerge w:val="continue"/>
            <w:vAlign w:val="center"/>
          </w:tcPr>
          <w:p w14:paraId="1081BEE8">
            <w:pPr>
              <w:widowControl/>
              <w:wordWrap w:val="0"/>
              <w:spacing w:line="360" w:lineRule="auto"/>
              <w:jc w:val="left"/>
              <w:rPr>
                <w:rFonts w:ascii="宋体" w:hAnsi="宋体" w:cs="宋体"/>
                <w:color w:val="auto"/>
                <w:kern w:val="0"/>
                <w:szCs w:val="21"/>
                <w:highlight w:val="none"/>
              </w:rPr>
            </w:pPr>
          </w:p>
        </w:tc>
        <w:tc>
          <w:tcPr>
            <w:tcW w:w="1320" w:type="dxa"/>
            <w:vAlign w:val="center"/>
          </w:tcPr>
          <w:p w14:paraId="0CB1D523">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A02052399其他制冷空调设备</w:t>
            </w:r>
          </w:p>
        </w:tc>
        <w:tc>
          <w:tcPr>
            <w:tcW w:w="1620" w:type="dxa"/>
            <w:vAlign w:val="center"/>
          </w:tcPr>
          <w:p w14:paraId="3CF6BB74">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冷却塔</w:t>
            </w:r>
          </w:p>
        </w:tc>
        <w:tc>
          <w:tcPr>
            <w:tcW w:w="4540" w:type="dxa"/>
            <w:vAlign w:val="center"/>
          </w:tcPr>
          <w:p w14:paraId="4FA57852">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《机械通风冷却塔第1部分：中小型开式冷却塔》（GB/T7190.1）；《机械通风冷却塔第2部分：大型开式冷却塔》（GB/T7190.2）</w:t>
            </w:r>
          </w:p>
        </w:tc>
      </w:tr>
      <w:tr w14:paraId="5D7EB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Align w:val="center"/>
          </w:tcPr>
          <w:p w14:paraId="0B0DCDD1">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1080" w:type="dxa"/>
            <w:vAlign w:val="center"/>
          </w:tcPr>
          <w:p w14:paraId="441E67A7">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A020601电机</w:t>
            </w:r>
          </w:p>
        </w:tc>
        <w:tc>
          <w:tcPr>
            <w:tcW w:w="1320" w:type="dxa"/>
            <w:vAlign w:val="center"/>
          </w:tcPr>
          <w:p w14:paraId="1E37851E">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620" w:type="dxa"/>
            <w:vAlign w:val="center"/>
          </w:tcPr>
          <w:p w14:paraId="65B86950">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vAlign w:val="center"/>
          </w:tcPr>
          <w:p w14:paraId="0E930830">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《中小型三相异步电动机能效限定值及能效等级》（GB18613）</w:t>
            </w:r>
          </w:p>
        </w:tc>
      </w:tr>
      <w:tr w14:paraId="77BF6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Align w:val="center"/>
          </w:tcPr>
          <w:p w14:paraId="1D11968F">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8</w:t>
            </w:r>
          </w:p>
        </w:tc>
        <w:tc>
          <w:tcPr>
            <w:tcW w:w="1080" w:type="dxa"/>
            <w:vAlign w:val="center"/>
          </w:tcPr>
          <w:p w14:paraId="6C35B76A">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A020602变压器</w:t>
            </w:r>
          </w:p>
        </w:tc>
        <w:tc>
          <w:tcPr>
            <w:tcW w:w="1320" w:type="dxa"/>
            <w:vAlign w:val="center"/>
          </w:tcPr>
          <w:p w14:paraId="4D966D94">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配电变压器</w:t>
            </w:r>
          </w:p>
        </w:tc>
        <w:tc>
          <w:tcPr>
            <w:tcW w:w="1620" w:type="dxa"/>
            <w:vAlign w:val="center"/>
          </w:tcPr>
          <w:p w14:paraId="7769863C">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vAlign w:val="center"/>
          </w:tcPr>
          <w:p w14:paraId="45CA7B18">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《三相配电变压器能效限定值及能效等级》（GB20052）</w:t>
            </w:r>
          </w:p>
        </w:tc>
      </w:tr>
      <w:tr w14:paraId="469DD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Align w:val="center"/>
          </w:tcPr>
          <w:p w14:paraId="3BBE964B">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1080" w:type="dxa"/>
            <w:vAlign w:val="center"/>
          </w:tcPr>
          <w:p w14:paraId="5C7F514C">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★A020609镇流器</w:t>
            </w:r>
          </w:p>
        </w:tc>
        <w:tc>
          <w:tcPr>
            <w:tcW w:w="1320" w:type="dxa"/>
            <w:vAlign w:val="center"/>
          </w:tcPr>
          <w:p w14:paraId="2F7EDA90">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管型荧光灯镇流器</w:t>
            </w:r>
          </w:p>
        </w:tc>
        <w:tc>
          <w:tcPr>
            <w:tcW w:w="1620" w:type="dxa"/>
            <w:vAlign w:val="center"/>
          </w:tcPr>
          <w:p w14:paraId="18B5FE0A">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vAlign w:val="center"/>
          </w:tcPr>
          <w:p w14:paraId="67BC8D6B">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《管形荧光灯镇流器能效限定值及能效等级》（GB17896）</w:t>
            </w:r>
          </w:p>
        </w:tc>
      </w:tr>
      <w:tr w14:paraId="7CB34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Merge w:val="restart"/>
            <w:vAlign w:val="center"/>
          </w:tcPr>
          <w:p w14:paraId="6D9D1DC1">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1080" w:type="dxa"/>
            <w:vMerge w:val="restart"/>
            <w:vAlign w:val="center"/>
          </w:tcPr>
          <w:p w14:paraId="3B6AEED8">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A020618生活用电器</w:t>
            </w:r>
          </w:p>
        </w:tc>
        <w:tc>
          <w:tcPr>
            <w:tcW w:w="1320" w:type="dxa"/>
            <w:vAlign w:val="center"/>
          </w:tcPr>
          <w:p w14:paraId="73E1A2C8">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A0206180101电冰箱</w:t>
            </w:r>
          </w:p>
        </w:tc>
        <w:tc>
          <w:tcPr>
            <w:tcW w:w="1620" w:type="dxa"/>
            <w:vAlign w:val="center"/>
          </w:tcPr>
          <w:p w14:paraId="483189F4">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vAlign w:val="center"/>
          </w:tcPr>
          <w:p w14:paraId="0D20A993">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《家用电冰箱耗电量限定值及能效等级》（GB 12021.2）</w:t>
            </w:r>
          </w:p>
        </w:tc>
      </w:tr>
      <w:tr w14:paraId="28DAA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660" w:type="dxa"/>
            <w:vMerge w:val="continue"/>
            <w:vAlign w:val="center"/>
          </w:tcPr>
          <w:p w14:paraId="7C5FEE73">
            <w:pPr>
              <w:widowControl/>
              <w:wordWrap w:val="0"/>
              <w:spacing w:line="360" w:lineRule="auto"/>
              <w:jc w:val="left"/>
              <w:rPr>
                <w:rFonts w:ascii="宋体" w:hAnsi="宋体" w:cs="宋体"/>
                <w:color w:val="auto"/>
                <w:kern w:val="0"/>
                <w:szCs w:val="21"/>
                <w:highlight w:val="none"/>
              </w:rPr>
            </w:pPr>
          </w:p>
        </w:tc>
        <w:tc>
          <w:tcPr>
            <w:tcW w:w="1080" w:type="dxa"/>
            <w:vMerge w:val="continue"/>
            <w:vAlign w:val="center"/>
          </w:tcPr>
          <w:p w14:paraId="493B21BE">
            <w:pPr>
              <w:widowControl/>
              <w:wordWrap w:val="0"/>
              <w:spacing w:line="360" w:lineRule="auto"/>
              <w:jc w:val="left"/>
              <w:rPr>
                <w:rFonts w:ascii="宋体" w:hAnsi="宋体" w:cs="宋体"/>
                <w:color w:val="auto"/>
                <w:kern w:val="0"/>
                <w:szCs w:val="21"/>
                <w:highlight w:val="none"/>
              </w:rPr>
            </w:pPr>
          </w:p>
        </w:tc>
        <w:tc>
          <w:tcPr>
            <w:tcW w:w="1320" w:type="dxa"/>
            <w:vMerge w:val="restart"/>
            <w:vAlign w:val="center"/>
          </w:tcPr>
          <w:p w14:paraId="48BB66E8">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★A0206180203空调机</w:t>
            </w:r>
          </w:p>
        </w:tc>
        <w:tc>
          <w:tcPr>
            <w:tcW w:w="1620" w:type="dxa"/>
            <w:vAlign w:val="center"/>
          </w:tcPr>
          <w:p w14:paraId="7A900BBE">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房间空气调节器</w:t>
            </w:r>
          </w:p>
        </w:tc>
        <w:tc>
          <w:tcPr>
            <w:tcW w:w="4540" w:type="dxa"/>
            <w:vAlign w:val="center"/>
          </w:tcPr>
          <w:p w14:paraId="2410959C">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《转速可控型房间空气调节器能效限定值及能效等级》（GB21455-2013），待2019年修订发布后，按《房间空气调节器能效限定值及能效等级》（GB21455-2019实施。</w:t>
            </w:r>
          </w:p>
        </w:tc>
      </w:tr>
      <w:tr w14:paraId="6A3E7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60" w:type="dxa"/>
            <w:vMerge w:val="continue"/>
            <w:vAlign w:val="center"/>
          </w:tcPr>
          <w:p w14:paraId="4A427EBD">
            <w:pPr>
              <w:widowControl/>
              <w:wordWrap w:val="0"/>
              <w:spacing w:line="360" w:lineRule="auto"/>
              <w:jc w:val="left"/>
              <w:rPr>
                <w:rFonts w:ascii="宋体" w:hAnsi="宋体" w:cs="宋体"/>
                <w:color w:val="auto"/>
                <w:kern w:val="0"/>
                <w:szCs w:val="21"/>
                <w:highlight w:val="none"/>
              </w:rPr>
            </w:pPr>
          </w:p>
        </w:tc>
        <w:tc>
          <w:tcPr>
            <w:tcW w:w="1080" w:type="dxa"/>
            <w:vMerge w:val="continue"/>
            <w:vAlign w:val="center"/>
          </w:tcPr>
          <w:p w14:paraId="21C25788">
            <w:pPr>
              <w:widowControl/>
              <w:wordWrap w:val="0"/>
              <w:spacing w:line="360" w:lineRule="auto"/>
              <w:jc w:val="left"/>
              <w:rPr>
                <w:rFonts w:ascii="宋体" w:hAnsi="宋体" w:cs="宋体"/>
                <w:color w:val="auto"/>
                <w:kern w:val="0"/>
                <w:szCs w:val="21"/>
                <w:highlight w:val="none"/>
              </w:rPr>
            </w:pPr>
          </w:p>
        </w:tc>
        <w:tc>
          <w:tcPr>
            <w:tcW w:w="1320" w:type="dxa"/>
            <w:vMerge w:val="continue"/>
            <w:vAlign w:val="center"/>
          </w:tcPr>
          <w:p w14:paraId="696C0C96">
            <w:pPr>
              <w:widowControl/>
              <w:wordWrap w:val="0"/>
              <w:spacing w:line="360" w:lineRule="auto"/>
              <w:jc w:val="left"/>
              <w:rPr>
                <w:rFonts w:ascii="宋体" w:hAnsi="宋体" w:cs="宋体"/>
                <w:color w:val="auto"/>
                <w:kern w:val="0"/>
                <w:szCs w:val="21"/>
                <w:highlight w:val="none"/>
              </w:rPr>
            </w:pPr>
          </w:p>
        </w:tc>
        <w:tc>
          <w:tcPr>
            <w:tcW w:w="1620" w:type="dxa"/>
            <w:vAlign w:val="center"/>
          </w:tcPr>
          <w:p w14:paraId="6FCE9885">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多联式空调（热泵）机组（制冷量≤ 14000W）</w:t>
            </w:r>
          </w:p>
        </w:tc>
        <w:tc>
          <w:tcPr>
            <w:tcW w:w="4540" w:type="dxa"/>
            <w:vAlign w:val="center"/>
          </w:tcPr>
          <w:p w14:paraId="2D97DF6B">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《多联式空调（热泵）机组能效限定值及能源效率等级》（GB21454）</w:t>
            </w:r>
          </w:p>
        </w:tc>
      </w:tr>
      <w:tr w14:paraId="3F0F4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60" w:type="dxa"/>
            <w:vMerge w:val="continue"/>
            <w:vAlign w:val="center"/>
          </w:tcPr>
          <w:p w14:paraId="1FA875F6">
            <w:pPr>
              <w:widowControl/>
              <w:wordWrap w:val="0"/>
              <w:spacing w:line="360" w:lineRule="auto"/>
              <w:jc w:val="left"/>
              <w:rPr>
                <w:rFonts w:ascii="宋体" w:hAnsi="宋体" w:cs="宋体"/>
                <w:color w:val="auto"/>
                <w:kern w:val="0"/>
                <w:szCs w:val="21"/>
                <w:highlight w:val="none"/>
              </w:rPr>
            </w:pPr>
          </w:p>
        </w:tc>
        <w:tc>
          <w:tcPr>
            <w:tcW w:w="1080" w:type="dxa"/>
            <w:vMerge w:val="continue"/>
            <w:vAlign w:val="center"/>
          </w:tcPr>
          <w:p w14:paraId="440F80D6">
            <w:pPr>
              <w:widowControl/>
              <w:wordWrap w:val="0"/>
              <w:spacing w:line="360" w:lineRule="auto"/>
              <w:jc w:val="left"/>
              <w:rPr>
                <w:rFonts w:ascii="宋体" w:hAnsi="宋体" w:cs="宋体"/>
                <w:color w:val="auto"/>
                <w:kern w:val="0"/>
                <w:szCs w:val="21"/>
                <w:highlight w:val="none"/>
              </w:rPr>
            </w:pPr>
          </w:p>
        </w:tc>
        <w:tc>
          <w:tcPr>
            <w:tcW w:w="1320" w:type="dxa"/>
            <w:vMerge w:val="continue"/>
            <w:vAlign w:val="center"/>
          </w:tcPr>
          <w:p w14:paraId="0940258B">
            <w:pPr>
              <w:widowControl/>
              <w:wordWrap w:val="0"/>
              <w:spacing w:line="360" w:lineRule="auto"/>
              <w:jc w:val="left"/>
              <w:rPr>
                <w:rFonts w:ascii="宋体" w:hAnsi="宋体" w:cs="宋体"/>
                <w:color w:val="auto"/>
                <w:kern w:val="0"/>
                <w:szCs w:val="21"/>
                <w:highlight w:val="none"/>
              </w:rPr>
            </w:pPr>
          </w:p>
        </w:tc>
        <w:tc>
          <w:tcPr>
            <w:tcW w:w="1620" w:type="dxa"/>
            <w:vAlign w:val="center"/>
          </w:tcPr>
          <w:p w14:paraId="077CC0AE">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单元式空气调节机(制冷量≤14000W)</w:t>
            </w:r>
          </w:p>
        </w:tc>
        <w:tc>
          <w:tcPr>
            <w:tcW w:w="4540" w:type="dxa"/>
            <w:vAlign w:val="center"/>
          </w:tcPr>
          <w:p w14:paraId="7C8A8670">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《单元式空气调节机能效限定值及能源效率等级》（GB19576）《风管送风式空调机组能效限定值及能效等级》（GB37479）</w:t>
            </w:r>
          </w:p>
        </w:tc>
      </w:tr>
      <w:tr w14:paraId="452DC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Merge w:val="continue"/>
            <w:vAlign w:val="center"/>
          </w:tcPr>
          <w:p w14:paraId="159F806A">
            <w:pPr>
              <w:widowControl/>
              <w:wordWrap w:val="0"/>
              <w:spacing w:line="360" w:lineRule="auto"/>
              <w:jc w:val="left"/>
              <w:rPr>
                <w:rFonts w:ascii="宋体" w:hAnsi="宋体" w:cs="宋体"/>
                <w:color w:val="auto"/>
                <w:kern w:val="0"/>
                <w:szCs w:val="21"/>
                <w:highlight w:val="none"/>
              </w:rPr>
            </w:pPr>
          </w:p>
        </w:tc>
        <w:tc>
          <w:tcPr>
            <w:tcW w:w="1080" w:type="dxa"/>
            <w:vMerge w:val="continue"/>
            <w:vAlign w:val="center"/>
          </w:tcPr>
          <w:p w14:paraId="677B8491">
            <w:pPr>
              <w:widowControl/>
              <w:wordWrap w:val="0"/>
              <w:spacing w:line="360" w:lineRule="auto"/>
              <w:jc w:val="left"/>
              <w:rPr>
                <w:rFonts w:ascii="宋体" w:hAnsi="宋体" w:cs="宋体"/>
                <w:color w:val="auto"/>
                <w:kern w:val="0"/>
                <w:szCs w:val="21"/>
                <w:highlight w:val="none"/>
              </w:rPr>
            </w:pPr>
          </w:p>
        </w:tc>
        <w:tc>
          <w:tcPr>
            <w:tcW w:w="1320" w:type="dxa"/>
            <w:vAlign w:val="center"/>
          </w:tcPr>
          <w:p w14:paraId="3470E6E4">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A0206180301洗衣机</w:t>
            </w:r>
          </w:p>
        </w:tc>
        <w:tc>
          <w:tcPr>
            <w:tcW w:w="1620" w:type="dxa"/>
            <w:vAlign w:val="center"/>
          </w:tcPr>
          <w:p w14:paraId="2AE43620">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vAlign w:val="center"/>
          </w:tcPr>
          <w:p w14:paraId="332FBCDA">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《电动洗衣机能效水效限定值及等级》（GB12021.4）</w:t>
            </w:r>
          </w:p>
        </w:tc>
      </w:tr>
      <w:tr w14:paraId="7CB0A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Merge w:val="continue"/>
            <w:vAlign w:val="center"/>
          </w:tcPr>
          <w:p w14:paraId="5EFA0B0B">
            <w:pPr>
              <w:widowControl/>
              <w:wordWrap w:val="0"/>
              <w:spacing w:line="360" w:lineRule="auto"/>
              <w:jc w:val="left"/>
              <w:rPr>
                <w:rFonts w:ascii="宋体" w:hAnsi="宋体" w:cs="宋体"/>
                <w:color w:val="auto"/>
                <w:kern w:val="0"/>
                <w:szCs w:val="21"/>
                <w:highlight w:val="none"/>
              </w:rPr>
            </w:pPr>
          </w:p>
        </w:tc>
        <w:tc>
          <w:tcPr>
            <w:tcW w:w="1080" w:type="dxa"/>
            <w:vMerge w:val="continue"/>
            <w:vAlign w:val="center"/>
          </w:tcPr>
          <w:p w14:paraId="4459EFA1">
            <w:pPr>
              <w:widowControl/>
              <w:wordWrap w:val="0"/>
              <w:spacing w:line="360" w:lineRule="auto"/>
              <w:jc w:val="left"/>
              <w:rPr>
                <w:rFonts w:ascii="宋体" w:hAnsi="宋体" w:cs="宋体"/>
                <w:color w:val="auto"/>
                <w:kern w:val="0"/>
                <w:szCs w:val="21"/>
                <w:highlight w:val="none"/>
              </w:rPr>
            </w:pPr>
          </w:p>
        </w:tc>
        <w:tc>
          <w:tcPr>
            <w:tcW w:w="1320" w:type="dxa"/>
            <w:vMerge w:val="restart"/>
            <w:vAlign w:val="center"/>
          </w:tcPr>
          <w:p w14:paraId="44F8F024">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A02061808热水器</w:t>
            </w:r>
          </w:p>
        </w:tc>
        <w:tc>
          <w:tcPr>
            <w:tcW w:w="1620" w:type="dxa"/>
            <w:vAlign w:val="center"/>
          </w:tcPr>
          <w:p w14:paraId="1E3F4C75">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★电热水器</w:t>
            </w:r>
          </w:p>
        </w:tc>
        <w:tc>
          <w:tcPr>
            <w:tcW w:w="4540" w:type="dxa"/>
            <w:vAlign w:val="center"/>
          </w:tcPr>
          <w:p w14:paraId="48EC3A2B">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《储水式电热水器能效限定值及能效等级》（GB21519）</w:t>
            </w:r>
          </w:p>
        </w:tc>
      </w:tr>
      <w:tr w14:paraId="1DF0E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Merge w:val="continue"/>
            <w:vAlign w:val="center"/>
          </w:tcPr>
          <w:p w14:paraId="2404D0A5">
            <w:pPr>
              <w:widowControl/>
              <w:wordWrap w:val="0"/>
              <w:spacing w:line="360" w:lineRule="auto"/>
              <w:jc w:val="left"/>
              <w:rPr>
                <w:rFonts w:ascii="宋体" w:hAnsi="宋体" w:cs="宋体"/>
                <w:color w:val="auto"/>
                <w:kern w:val="0"/>
                <w:szCs w:val="21"/>
                <w:highlight w:val="none"/>
              </w:rPr>
            </w:pPr>
          </w:p>
        </w:tc>
        <w:tc>
          <w:tcPr>
            <w:tcW w:w="1080" w:type="dxa"/>
            <w:vMerge w:val="continue"/>
            <w:vAlign w:val="center"/>
          </w:tcPr>
          <w:p w14:paraId="537C6564">
            <w:pPr>
              <w:widowControl/>
              <w:wordWrap w:val="0"/>
              <w:spacing w:line="360" w:lineRule="auto"/>
              <w:jc w:val="left"/>
              <w:rPr>
                <w:rFonts w:ascii="宋体" w:hAnsi="宋体" w:cs="宋体"/>
                <w:color w:val="auto"/>
                <w:kern w:val="0"/>
                <w:szCs w:val="21"/>
                <w:highlight w:val="none"/>
              </w:rPr>
            </w:pPr>
          </w:p>
        </w:tc>
        <w:tc>
          <w:tcPr>
            <w:tcW w:w="1320" w:type="dxa"/>
            <w:vMerge w:val="continue"/>
            <w:vAlign w:val="center"/>
          </w:tcPr>
          <w:p w14:paraId="6BA4DF05">
            <w:pPr>
              <w:widowControl/>
              <w:wordWrap w:val="0"/>
              <w:spacing w:line="360" w:lineRule="auto"/>
              <w:jc w:val="left"/>
              <w:rPr>
                <w:rFonts w:ascii="宋体" w:hAnsi="宋体" w:cs="宋体"/>
                <w:color w:val="auto"/>
                <w:kern w:val="0"/>
                <w:szCs w:val="21"/>
                <w:highlight w:val="none"/>
              </w:rPr>
            </w:pPr>
          </w:p>
        </w:tc>
        <w:tc>
          <w:tcPr>
            <w:tcW w:w="1620" w:type="dxa"/>
            <w:vAlign w:val="center"/>
          </w:tcPr>
          <w:p w14:paraId="7C7A1E3A">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燃气热水器</w:t>
            </w:r>
          </w:p>
        </w:tc>
        <w:tc>
          <w:tcPr>
            <w:tcW w:w="4540" w:type="dxa"/>
            <w:vAlign w:val="center"/>
          </w:tcPr>
          <w:p w14:paraId="7E95A85C">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《家用燃气快速热水器和燃气采暖热水炉能效限定值及能效等级》（GB20665）</w:t>
            </w:r>
          </w:p>
        </w:tc>
      </w:tr>
      <w:tr w14:paraId="5A33E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Merge w:val="continue"/>
            <w:vAlign w:val="center"/>
          </w:tcPr>
          <w:p w14:paraId="64F6F1E4">
            <w:pPr>
              <w:widowControl/>
              <w:wordWrap w:val="0"/>
              <w:spacing w:line="360" w:lineRule="auto"/>
              <w:jc w:val="left"/>
              <w:rPr>
                <w:rFonts w:ascii="宋体" w:hAnsi="宋体" w:cs="宋体"/>
                <w:color w:val="auto"/>
                <w:kern w:val="0"/>
                <w:szCs w:val="21"/>
                <w:highlight w:val="none"/>
              </w:rPr>
            </w:pPr>
          </w:p>
        </w:tc>
        <w:tc>
          <w:tcPr>
            <w:tcW w:w="1080" w:type="dxa"/>
            <w:vMerge w:val="continue"/>
            <w:vAlign w:val="center"/>
          </w:tcPr>
          <w:p w14:paraId="578A4DC7">
            <w:pPr>
              <w:widowControl/>
              <w:wordWrap w:val="0"/>
              <w:spacing w:line="360" w:lineRule="auto"/>
              <w:jc w:val="left"/>
              <w:rPr>
                <w:rFonts w:ascii="宋体" w:hAnsi="宋体" w:cs="宋体"/>
                <w:color w:val="auto"/>
                <w:kern w:val="0"/>
                <w:szCs w:val="21"/>
                <w:highlight w:val="none"/>
              </w:rPr>
            </w:pPr>
          </w:p>
        </w:tc>
        <w:tc>
          <w:tcPr>
            <w:tcW w:w="1320" w:type="dxa"/>
            <w:vMerge w:val="continue"/>
            <w:vAlign w:val="center"/>
          </w:tcPr>
          <w:p w14:paraId="3AE0BE82">
            <w:pPr>
              <w:widowControl/>
              <w:wordWrap w:val="0"/>
              <w:spacing w:line="360" w:lineRule="auto"/>
              <w:jc w:val="left"/>
              <w:rPr>
                <w:rFonts w:ascii="宋体" w:hAnsi="宋体" w:cs="宋体"/>
                <w:color w:val="auto"/>
                <w:kern w:val="0"/>
                <w:szCs w:val="21"/>
                <w:highlight w:val="none"/>
              </w:rPr>
            </w:pPr>
          </w:p>
        </w:tc>
        <w:tc>
          <w:tcPr>
            <w:tcW w:w="1620" w:type="dxa"/>
            <w:vAlign w:val="center"/>
          </w:tcPr>
          <w:p w14:paraId="2EACD471">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热泵热水器</w:t>
            </w:r>
          </w:p>
        </w:tc>
        <w:tc>
          <w:tcPr>
            <w:tcW w:w="4540" w:type="dxa"/>
            <w:vAlign w:val="center"/>
          </w:tcPr>
          <w:p w14:paraId="4D71F337">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《热泵热水机（器）能效限定值及能效等级》（GB29541）</w:t>
            </w:r>
          </w:p>
        </w:tc>
      </w:tr>
      <w:tr w14:paraId="007B4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Merge w:val="continue"/>
            <w:vAlign w:val="center"/>
          </w:tcPr>
          <w:p w14:paraId="4AD3B670">
            <w:pPr>
              <w:widowControl/>
              <w:wordWrap w:val="0"/>
              <w:spacing w:line="360" w:lineRule="auto"/>
              <w:jc w:val="left"/>
              <w:rPr>
                <w:rFonts w:ascii="宋体" w:hAnsi="宋体" w:cs="宋体"/>
                <w:color w:val="auto"/>
                <w:kern w:val="0"/>
                <w:szCs w:val="21"/>
                <w:highlight w:val="none"/>
              </w:rPr>
            </w:pPr>
          </w:p>
        </w:tc>
        <w:tc>
          <w:tcPr>
            <w:tcW w:w="1080" w:type="dxa"/>
            <w:vMerge w:val="continue"/>
            <w:vAlign w:val="center"/>
          </w:tcPr>
          <w:p w14:paraId="5A526428">
            <w:pPr>
              <w:widowControl/>
              <w:wordWrap w:val="0"/>
              <w:spacing w:line="360" w:lineRule="auto"/>
              <w:jc w:val="left"/>
              <w:rPr>
                <w:rFonts w:ascii="宋体" w:hAnsi="宋体" w:cs="宋体"/>
                <w:color w:val="auto"/>
                <w:kern w:val="0"/>
                <w:szCs w:val="21"/>
                <w:highlight w:val="none"/>
              </w:rPr>
            </w:pPr>
          </w:p>
        </w:tc>
        <w:tc>
          <w:tcPr>
            <w:tcW w:w="1320" w:type="dxa"/>
            <w:vMerge w:val="continue"/>
            <w:vAlign w:val="center"/>
          </w:tcPr>
          <w:p w14:paraId="45F3878D">
            <w:pPr>
              <w:widowControl/>
              <w:wordWrap w:val="0"/>
              <w:spacing w:line="360" w:lineRule="auto"/>
              <w:jc w:val="left"/>
              <w:rPr>
                <w:rFonts w:ascii="宋体" w:hAnsi="宋体" w:cs="宋体"/>
                <w:color w:val="auto"/>
                <w:kern w:val="0"/>
                <w:szCs w:val="21"/>
                <w:highlight w:val="none"/>
              </w:rPr>
            </w:pPr>
          </w:p>
        </w:tc>
        <w:tc>
          <w:tcPr>
            <w:tcW w:w="1620" w:type="dxa"/>
            <w:vAlign w:val="center"/>
          </w:tcPr>
          <w:p w14:paraId="4B76E942">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太阳能热水系统</w:t>
            </w:r>
          </w:p>
        </w:tc>
        <w:tc>
          <w:tcPr>
            <w:tcW w:w="4540" w:type="dxa"/>
            <w:vAlign w:val="center"/>
          </w:tcPr>
          <w:p w14:paraId="5A975F04">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《家用太阳能热水系统能效限定值及能效等级》（GB26969）</w:t>
            </w:r>
          </w:p>
        </w:tc>
      </w:tr>
      <w:tr w14:paraId="486E5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Merge w:val="restart"/>
            <w:vAlign w:val="center"/>
          </w:tcPr>
          <w:p w14:paraId="7F0D1D80">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11</w:t>
            </w:r>
          </w:p>
        </w:tc>
        <w:tc>
          <w:tcPr>
            <w:tcW w:w="1080" w:type="dxa"/>
            <w:vMerge w:val="restart"/>
            <w:vAlign w:val="center"/>
          </w:tcPr>
          <w:p w14:paraId="63D9A1FC">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A020619照明设备</w:t>
            </w:r>
          </w:p>
        </w:tc>
        <w:tc>
          <w:tcPr>
            <w:tcW w:w="1320" w:type="dxa"/>
            <w:vAlign w:val="center"/>
          </w:tcPr>
          <w:p w14:paraId="165B9B0A">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★普通照明用双端荧光灯</w:t>
            </w:r>
          </w:p>
        </w:tc>
        <w:tc>
          <w:tcPr>
            <w:tcW w:w="1620" w:type="dxa"/>
            <w:vAlign w:val="center"/>
          </w:tcPr>
          <w:p w14:paraId="7F6A5F57">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vAlign w:val="center"/>
          </w:tcPr>
          <w:p w14:paraId="52B5302A">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《普通照明用双端荧光灯能效限定值及能效等级》（GB19043）</w:t>
            </w:r>
          </w:p>
        </w:tc>
      </w:tr>
      <w:tr w14:paraId="31427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Merge w:val="continue"/>
            <w:vAlign w:val="center"/>
          </w:tcPr>
          <w:p w14:paraId="0408C4DA">
            <w:pPr>
              <w:widowControl/>
              <w:wordWrap w:val="0"/>
              <w:spacing w:line="360" w:lineRule="auto"/>
              <w:jc w:val="left"/>
              <w:rPr>
                <w:rFonts w:ascii="宋体" w:hAnsi="宋体" w:cs="宋体"/>
                <w:color w:val="auto"/>
                <w:kern w:val="0"/>
                <w:szCs w:val="21"/>
                <w:highlight w:val="none"/>
              </w:rPr>
            </w:pPr>
          </w:p>
        </w:tc>
        <w:tc>
          <w:tcPr>
            <w:tcW w:w="1080" w:type="dxa"/>
            <w:vMerge w:val="continue"/>
            <w:vAlign w:val="center"/>
          </w:tcPr>
          <w:p w14:paraId="466DDCC5">
            <w:pPr>
              <w:widowControl/>
              <w:wordWrap w:val="0"/>
              <w:spacing w:line="360" w:lineRule="auto"/>
              <w:jc w:val="left"/>
              <w:rPr>
                <w:rFonts w:ascii="宋体" w:hAnsi="宋体" w:cs="宋体"/>
                <w:color w:val="auto"/>
                <w:kern w:val="0"/>
                <w:szCs w:val="21"/>
                <w:highlight w:val="none"/>
              </w:rPr>
            </w:pPr>
          </w:p>
        </w:tc>
        <w:tc>
          <w:tcPr>
            <w:tcW w:w="1320" w:type="dxa"/>
            <w:vAlign w:val="center"/>
          </w:tcPr>
          <w:p w14:paraId="6F8B90A5">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LED道路/隧道照明产品</w:t>
            </w:r>
          </w:p>
        </w:tc>
        <w:tc>
          <w:tcPr>
            <w:tcW w:w="1620" w:type="dxa"/>
            <w:vAlign w:val="center"/>
          </w:tcPr>
          <w:p w14:paraId="3EA13CB3">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vAlign w:val="center"/>
          </w:tcPr>
          <w:p w14:paraId="36700A2B">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《道路和隧道照明用LED灯具能效限定值及能效等级》（GB37478）</w:t>
            </w:r>
          </w:p>
        </w:tc>
      </w:tr>
      <w:tr w14:paraId="25864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Merge w:val="continue"/>
            <w:vAlign w:val="center"/>
          </w:tcPr>
          <w:p w14:paraId="3ACA1FCF">
            <w:pPr>
              <w:widowControl/>
              <w:wordWrap w:val="0"/>
              <w:spacing w:line="360" w:lineRule="auto"/>
              <w:jc w:val="left"/>
              <w:rPr>
                <w:rFonts w:ascii="宋体" w:hAnsi="宋体" w:cs="宋体"/>
                <w:color w:val="auto"/>
                <w:kern w:val="0"/>
                <w:szCs w:val="21"/>
                <w:highlight w:val="none"/>
              </w:rPr>
            </w:pPr>
          </w:p>
        </w:tc>
        <w:tc>
          <w:tcPr>
            <w:tcW w:w="1080" w:type="dxa"/>
            <w:vMerge w:val="continue"/>
            <w:vAlign w:val="center"/>
          </w:tcPr>
          <w:p w14:paraId="326A41FF">
            <w:pPr>
              <w:widowControl/>
              <w:wordWrap w:val="0"/>
              <w:spacing w:line="360" w:lineRule="auto"/>
              <w:jc w:val="left"/>
              <w:rPr>
                <w:rFonts w:ascii="宋体" w:hAnsi="宋体" w:cs="宋体"/>
                <w:color w:val="auto"/>
                <w:kern w:val="0"/>
                <w:szCs w:val="21"/>
                <w:highlight w:val="none"/>
              </w:rPr>
            </w:pPr>
          </w:p>
        </w:tc>
        <w:tc>
          <w:tcPr>
            <w:tcW w:w="1320" w:type="dxa"/>
            <w:vAlign w:val="center"/>
          </w:tcPr>
          <w:p w14:paraId="51B3D685">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LED筒灯</w:t>
            </w:r>
          </w:p>
        </w:tc>
        <w:tc>
          <w:tcPr>
            <w:tcW w:w="1620" w:type="dxa"/>
            <w:vAlign w:val="center"/>
          </w:tcPr>
          <w:p w14:paraId="1189D8F0">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vAlign w:val="center"/>
          </w:tcPr>
          <w:p w14:paraId="4049466A">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《室内照明用LED产品能效限定值及能效等级》（GB30255）</w:t>
            </w:r>
          </w:p>
        </w:tc>
      </w:tr>
      <w:tr w14:paraId="4D6AA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60" w:type="dxa"/>
            <w:vMerge w:val="continue"/>
            <w:vAlign w:val="center"/>
          </w:tcPr>
          <w:p w14:paraId="5EFB36EA">
            <w:pPr>
              <w:widowControl/>
              <w:wordWrap w:val="0"/>
              <w:spacing w:line="360" w:lineRule="auto"/>
              <w:jc w:val="left"/>
              <w:rPr>
                <w:rFonts w:ascii="宋体" w:hAnsi="宋体" w:cs="宋体"/>
                <w:color w:val="auto"/>
                <w:kern w:val="0"/>
                <w:szCs w:val="21"/>
                <w:highlight w:val="none"/>
              </w:rPr>
            </w:pPr>
          </w:p>
        </w:tc>
        <w:tc>
          <w:tcPr>
            <w:tcW w:w="1080" w:type="dxa"/>
            <w:vMerge w:val="continue"/>
            <w:vAlign w:val="center"/>
          </w:tcPr>
          <w:p w14:paraId="7D500BF4">
            <w:pPr>
              <w:widowControl/>
              <w:wordWrap w:val="0"/>
              <w:spacing w:line="360" w:lineRule="auto"/>
              <w:jc w:val="left"/>
              <w:rPr>
                <w:rFonts w:ascii="宋体" w:hAnsi="宋体" w:cs="宋体"/>
                <w:color w:val="auto"/>
                <w:kern w:val="0"/>
                <w:szCs w:val="21"/>
                <w:highlight w:val="none"/>
              </w:rPr>
            </w:pPr>
          </w:p>
        </w:tc>
        <w:tc>
          <w:tcPr>
            <w:tcW w:w="1320" w:type="dxa"/>
            <w:vAlign w:val="center"/>
          </w:tcPr>
          <w:p w14:paraId="0F9E25DB">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普通照明用非定向自镇流LED灯</w:t>
            </w:r>
          </w:p>
        </w:tc>
        <w:tc>
          <w:tcPr>
            <w:tcW w:w="1620" w:type="dxa"/>
            <w:vAlign w:val="center"/>
          </w:tcPr>
          <w:p w14:paraId="20DAC503">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vAlign w:val="center"/>
          </w:tcPr>
          <w:p w14:paraId="5FA7DC98">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《室内照明用LED产品能效限定值及能效等级》（GB30255）</w:t>
            </w:r>
          </w:p>
        </w:tc>
      </w:tr>
      <w:tr w14:paraId="4BF27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60" w:type="dxa"/>
            <w:vAlign w:val="center"/>
          </w:tcPr>
          <w:p w14:paraId="534BD476">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1080" w:type="dxa"/>
            <w:vAlign w:val="center"/>
          </w:tcPr>
          <w:p w14:paraId="305DA4AD">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★A020910电视设备</w:t>
            </w:r>
          </w:p>
        </w:tc>
        <w:tc>
          <w:tcPr>
            <w:tcW w:w="1320" w:type="dxa"/>
            <w:vAlign w:val="center"/>
          </w:tcPr>
          <w:p w14:paraId="616651A4">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A02091001普通电视设备（电视机）</w:t>
            </w:r>
          </w:p>
        </w:tc>
        <w:tc>
          <w:tcPr>
            <w:tcW w:w="1620" w:type="dxa"/>
            <w:vAlign w:val="center"/>
          </w:tcPr>
          <w:p w14:paraId="2713F4BE">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vAlign w:val="center"/>
          </w:tcPr>
          <w:p w14:paraId="5579B6C4">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《平板电视能效限定值及能效等级》（GB24850）</w:t>
            </w:r>
          </w:p>
        </w:tc>
      </w:tr>
      <w:tr w14:paraId="53879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660" w:type="dxa"/>
            <w:vAlign w:val="center"/>
          </w:tcPr>
          <w:p w14:paraId="20B252A2">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1080" w:type="dxa"/>
            <w:vAlign w:val="center"/>
          </w:tcPr>
          <w:p w14:paraId="5F5F4435">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★A020911视频设备</w:t>
            </w:r>
          </w:p>
        </w:tc>
        <w:tc>
          <w:tcPr>
            <w:tcW w:w="1320" w:type="dxa"/>
            <w:vAlign w:val="center"/>
          </w:tcPr>
          <w:p w14:paraId="39BB2106">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A02091107视频监控设备</w:t>
            </w:r>
          </w:p>
        </w:tc>
        <w:tc>
          <w:tcPr>
            <w:tcW w:w="1620" w:type="dxa"/>
            <w:vAlign w:val="center"/>
          </w:tcPr>
          <w:p w14:paraId="67B2625F">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监视器</w:t>
            </w:r>
          </w:p>
        </w:tc>
        <w:tc>
          <w:tcPr>
            <w:tcW w:w="4540" w:type="dxa"/>
            <w:vAlign w:val="center"/>
          </w:tcPr>
          <w:p w14:paraId="5E5EAB60">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以射频信号为主要信号输入的监视器应符合《平板电视能效限定值及能效等级》（GB24850），以数字信号为主要信号输入的监视器应符合《计算机显示器能效限定值及能效等级》（GB21520）</w:t>
            </w:r>
          </w:p>
        </w:tc>
      </w:tr>
      <w:tr w14:paraId="31445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Align w:val="center"/>
          </w:tcPr>
          <w:p w14:paraId="3FD6E77D">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1080" w:type="dxa"/>
            <w:vAlign w:val="center"/>
          </w:tcPr>
          <w:p w14:paraId="2D4740D0">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A031210饮食炊事机械</w:t>
            </w:r>
          </w:p>
        </w:tc>
        <w:tc>
          <w:tcPr>
            <w:tcW w:w="1320" w:type="dxa"/>
            <w:vAlign w:val="center"/>
          </w:tcPr>
          <w:p w14:paraId="3CC155A1">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商用燃气灶具</w:t>
            </w:r>
          </w:p>
        </w:tc>
        <w:tc>
          <w:tcPr>
            <w:tcW w:w="1620" w:type="dxa"/>
            <w:vAlign w:val="center"/>
          </w:tcPr>
          <w:p w14:paraId="7C1ACA67">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vAlign w:val="center"/>
          </w:tcPr>
          <w:p w14:paraId="11020FD3">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《商用燃气灶具能效限定值及能效等级》（GB30531）</w:t>
            </w:r>
          </w:p>
        </w:tc>
      </w:tr>
      <w:tr w14:paraId="2E3FD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60" w:type="dxa"/>
            <w:vMerge w:val="restart"/>
            <w:vAlign w:val="center"/>
          </w:tcPr>
          <w:p w14:paraId="061D2C23">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15</w:t>
            </w:r>
          </w:p>
        </w:tc>
        <w:tc>
          <w:tcPr>
            <w:tcW w:w="1080" w:type="dxa"/>
            <w:vMerge w:val="restart"/>
            <w:vAlign w:val="center"/>
          </w:tcPr>
          <w:p w14:paraId="6BF52B77">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★A060805便器</w:t>
            </w:r>
          </w:p>
        </w:tc>
        <w:tc>
          <w:tcPr>
            <w:tcW w:w="1320" w:type="dxa"/>
            <w:vAlign w:val="center"/>
          </w:tcPr>
          <w:p w14:paraId="5CE8C4EA">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坐便器</w:t>
            </w:r>
          </w:p>
        </w:tc>
        <w:tc>
          <w:tcPr>
            <w:tcW w:w="1620" w:type="dxa"/>
            <w:vAlign w:val="center"/>
          </w:tcPr>
          <w:p w14:paraId="32617677">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vAlign w:val="center"/>
          </w:tcPr>
          <w:p w14:paraId="4DD9779F">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《坐便器水效限定值及水效等级》（GB25502）</w:t>
            </w:r>
          </w:p>
        </w:tc>
      </w:tr>
      <w:tr w14:paraId="7D00F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Merge w:val="continue"/>
            <w:vAlign w:val="center"/>
          </w:tcPr>
          <w:p w14:paraId="666731CD">
            <w:pPr>
              <w:widowControl/>
              <w:wordWrap w:val="0"/>
              <w:spacing w:line="360" w:lineRule="auto"/>
              <w:jc w:val="left"/>
              <w:rPr>
                <w:rFonts w:ascii="宋体" w:hAnsi="宋体" w:cs="宋体"/>
                <w:color w:val="auto"/>
                <w:kern w:val="0"/>
                <w:szCs w:val="21"/>
                <w:highlight w:val="none"/>
              </w:rPr>
            </w:pPr>
          </w:p>
        </w:tc>
        <w:tc>
          <w:tcPr>
            <w:tcW w:w="1080" w:type="dxa"/>
            <w:vMerge w:val="continue"/>
            <w:vAlign w:val="center"/>
          </w:tcPr>
          <w:p w14:paraId="03837B6A">
            <w:pPr>
              <w:widowControl/>
              <w:wordWrap w:val="0"/>
              <w:spacing w:line="360" w:lineRule="auto"/>
              <w:jc w:val="left"/>
              <w:rPr>
                <w:rFonts w:ascii="宋体" w:hAnsi="宋体" w:cs="宋体"/>
                <w:color w:val="auto"/>
                <w:kern w:val="0"/>
                <w:szCs w:val="21"/>
                <w:highlight w:val="none"/>
              </w:rPr>
            </w:pPr>
          </w:p>
        </w:tc>
        <w:tc>
          <w:tcPr>
            <w:tcW w:w="1320" w:type="dxa"/>
            <w:vAlign w:val="center"/>
          </w:tcPr>
          <w:p w14:paraId="13924081">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蹲便器</w:t>
            </w:r>
          </w:p>
        </w:tc>
        <w:tc>
          <w:tcPr>
            <w:tcW w:w="1620" w:type="dxa"/>
            <w:vAlign w:val="center"/>
          </w:tcPr>
          <w:p w14:paraId="41563392">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vAlign w:val="center"/>
          </w:tcPr>
          <w:p w14:paraId="69690876">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《蹲便器用水效率限定值及用水效率等级》（GB30717）</w:t>
            </w:r>
          </w:p>
        </w:tc>
      </w:tr>
      <w:tr w14:paraId="31090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Merge w:val="continue"/>
            <w:vAlign w:val="center"/>
          </w:tcPr>
          <w:p w14:paraId="2579C822">
            <w:pPr>
              <w:widowControl/>
              <w:wordWrap w:val="0"/>
              <w:spacing w:line="360" w:lineRule="auto"/>
              <w:jc w:val="left"/>
              <w:rPr>
                <w:rFonts w:ascii="宋体" w:hAnsi="宋体" w:cs="宋体"/>
                <w:color w:val="auto"/>
                <w:kern w:val="0"/>
                <w:szCs w:val="21"/>
                <w:highlight w:val="none"/>
              </w:rPr>
            </w:pPr>
          </w:p>
        </w:tc>
        <w:tc>
          <w:tcPr>
            <w:tcW w:w="1080" w:type="dxa"/>
            <w:vMerge w:val="continue"/>
            <w:vAlign w:val="center"/>
          </w:tcPr>
          <w:p w14:paraId="7966DD40">
            <w:pPr>
              <w:widowControl/>
              <w:wordWrap w:val="0"/>
              <w:spacing w:line="360" w:lineRule="auto"/>
              <w:jc w:val="left"/>
              <w:rPr>
                <w:rFonts w:ascii="宋体" w:hAnsi="宋体" w:cs="宋体"/>
                <w:color w:val="auto"/>
                <w:kern w:val="0"/>
                <w:szCs w:val="21"/>
                <w:highlight w:val="none"/>
              </w:rPr>
            </w:pPr>
          </w:p>
        </w:tc>
        <w:tc>
          <w:tcPr>
            <w:tcW w:w="1320" w:type="dxa"/>
            <w:vAlign w:val="center"/>
          </w:tcPr>
          <w:p w14:paraId="3873E693">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小便器</w:t>
            </w:r>
          </w:p>
        </w:tc>
        <w:tc>
          <w:tcPr>
            <w:tcW w:w="1620" w:type="dxa"/>
            <w:vAlign w:val="center"/>
          </w:tcPr>
          <w:p w14:paraId="3741930D">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vAlign w:val="center"/>
          </w:tcPr>
          <w:p w14:paraId="7202DFC7">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《小便器用水效率限定值及用水效率等级》（GB28377）</w:t>
            </w:r>
          </w:p>
        </w:tc>
      </w:tr>
      <w:tr w14:paraId="6C312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Align w:val="center"/>
          </w:tcPr>
          <w:p w14:paraId="1D173095">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1080" w:type="dxa"/>
            <w:vAlign w:val="center"/>
          </w:tcPr>
          <w:p w14:paraId="0670A813">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★A060806水嘴</w:t>
            </w:r>
          </w:p>
        </w:tc>
        <w:tc>
          <w:tcPr>
            <w:tcW w:w="1320" w:type="dxa"/>
            <w:vAlign w:val="center"/>
          </w:tcPr>
          <w:p w14:paraId="769B0952">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620" w:type="dxa"/>
            <w:vAlign w:val="center"/>
          </w:tcPr>
          <w:p w14:paraId="5CFBAA45">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vAlign w:val="center"/>
          </w:tcPr>
          <w:p w14:paraId="28A50B30">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《水嘴用水效率限定值及用水效率等级》（GB 25501）</w:t>
            </w:r>
          </w:p>
        </w:tc>
      </w:tr>
      <w:tr w14:paraId="2420A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Align w:val="center"/>
          </w:tcPr>
          <w:p w14:paraId="402346A0">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1080" w:type="dxa"/>
            <w:vAlign w:val="center"/>
          </w:tcPr>
          <w:p w14:paraId="18E108DC">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A060807便器冲洗阀</w:t>
            </w:r>
          </w:p>
        </w:tc>
        <w:tc>
          <w:tcPr>
            <w:tcW w:w="1320" w:type="dxa"/>
            <w:vAlign w:val="center"/>
          </w:tcPr>
          <w:p w14:paraId="254F689C">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620" w:type="dxa"/>
            <w:vAlign w:val="center"/>
          </w:tcPr>
          <w:p w14:paraId="2210B74A">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vAlign w:val="center"/>
          </w:tcPr>
          <w:p w14:paraId="26A861D4">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《便器冲洗阀用水效率限定值及用水效率等级》（GB28379）</w:t>
            </w:r>
          </w:p>
        </w:tc>
      </w:tr>
      <w:tr w14:paraId="171E6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Align w:val="center"/>
          </w:tcPr>
          <w:p w14:paraId="5A2A09C7">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18</w:t>
            </w:r>
          </w:p>
        </w:tc>
        <w:tc>
          <w:tcPr>
            <w:tcW w:w="1080" w:type="dxa"/>
            <w:vAlign w:val="center"/>
          </w:tcPr>
          <w:p w14:paraId="4BCCBF34">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A060810淋浴器</w:t>
            </w:r>
          </w:p>
        </w:tc>
        <w:tc>
          <w:tcPr>
            <w:tcW w:w="1320" w:type="dxa"/>
            <w:vAlign w:val="center"/>
          </w:tcPr>
          <w:p w14:paraId="3C6529B6">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620" w:type="dxa"/>
            <w:vAlign w:val="center"/>
          </w:tcPr>
          <w:p w14:paraId="4610FB44">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vAlign w:val="center"/>
          </w:tcPr>
          <w:p w14:paraId="32C333FB">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《淋浴器用水效率限定值及用水效率等级》（GB28378）</w:t>
            </w:r>
          </w:p>
        </w:tc>
      </w:tr>
    </w:tbl>
    <w:p w14:paraId="4843CFE9">
      <w:pPr>
        <w:pStyle w:val="9"/>
        <w:wordWrap w:val="0"/>
        <w:spacing w:after="0" w:line="360" w:lineRule="auto"/>
        <w:rPr>
          <w:rFonts w:ascii="宋体" w:hAnsi="宋体" w:cs="宋体"/>
          <w:color w:val="auto"/>
          <w:spacing w:val="-3"/>
          <w:szCs w:val="21"/>
          <w:highlight w:val="none"/>
        </w:rPr>
      </w:pPr>
    </w:p>
    <w:p w14:paraId="5702C08E">
      <w:pPr>
        <w:pStyle w:val="9"/>
        <w:wordWrap w:val="0"/>
        <w:spacing w:after="0" w:line="360" w:lineRule="auto"/>
        <w:rPr>
          <w:rFonts w:ascii="宋体" w:hAnsi="宋体" w:cs="宋体"/>
          <w:color w:val="auto"/>
          <w:szCs w:val="21"/>
          <w:highlight w:val="none"/>
        </w:rPr>
      </w:pPr>
      <w:r>
        <w:rPr>
          <w:rFonts w:hint="eastAsia" w:ascii="宋体" w:hAnsi="宋体" w:cs="宋体"/>
          <w:color w:val="auto"/>
          <w:spacing w:val="-3"/>
          <w:szCs w:val="21"/>
          <w:highlight w:val="none"/>
        </w:rPr>
        <w:t>注：1.节能产品认证应依据相关国家标准的最新版本，依据国家标准中二级能效（水效）</w:t>
      </w:r>
      <w:r>
        <w:rPr>
          <w:rFonts w:hint="eastAsia" w:ascii="宋体" w:hAnsi="宋体" w:cs="宋体"/>
          <w:color w:val="auto"/>
          <w:szCs w:val="21"/>
          <w:highlight w:val="none"/>
        </w:rPr>
        <w:t>指标。</w:t>
      </w:r>
    </w:p>
    <w:p w14:paraId="690E2B6E">
      <w:pPr>
        <w:pStyle w:val="9"/>
        <w:wordWrap w:val="0"/>
        <w:spacing w:after="0" w:line="360" w:lineRule="auto"/>
        <w:rPr>
          <w:rFonts w:ascii="宋体" w:hAnsi="宋体" w:cs="宋体"/>
          <w:b/>
          <w:bCs/>
          <w:color w:val="auto"/>
          <w:szCs w:val="21"/>
          <w:highlight w:val="none"/>
        </w:rPr>
      </w:pPr>
      <w:r>
        <w:rPr>
          <w:rFonts w:hint="eastAsia" w:ascii="宋体" w:hAnsi="宋体" w:cs="宋体"/>
          <w:color w:val="auto"/>
          <w:szCs w:val="21"/>
          <w:highlight w:val="none"/>
        </w:rPr>
        <w:t xml:space="preserve">    2</w:t>
      </w:r>
      <w:r>
        <w:rPr>
          <w:rFonts w:hint="eastAsia" w:ascii="宋体" w:hAnsi="宋体" w:cs="宋体"/>
          <w:b/>
          <w:bCs/>
          <w:color w:val="auto"/>
          <w:szCs w:val="21"/>
          <w:highlight w:val="none"/>
        </w:rPr>
        <w:t>.以“★”标注的为政府强制采购产品。</w:t>
      </w:r>
    </w:p>
    <w:p w14:paraId="7FA6DA8B">
      <w:pPr>
        <w:pStyle w:val="12"/>
        <w:wordWrap w:val="0"/>
        <w:spacing w:line="360" w:lineRule="auto"/>
        <w:jc w:val="left"/>
        <w:outlineLvl w:val="1"/>
        <w:rPr>
          <w:rFonts w:hAnsi="宋体" w:cs="宋体"/>
          <w:color w:val="auto"/>
          <w:sz w:val="32"/>
          <w:szCs w:val="32"/>
          <w:highlight w:val="none"/>
        </w:rPr>
      </w:pPr>
      <w:r>
        <w:rPr>
          <w:rFonts w:hint="eastAsia" w:hAnsi="宋体" w:cs="宋体"/>
          <w:color w:val="auto"/>
          <w:highlight w:val="none"/>
        </w:rPr>
        <w:br w:type="page"/>
      </w:r>
      <w:bookmarkStart w:id="10" w:name="_Toc26233"/>
      <w:r>
        <w:rPr>
          <w:rFonts w:hint="eastAsia" w:hAnsi="宋体" w:cs="宋体"/>
          <w:color w:val="auto"/>
          <w:sz w:val="32"/>
          <w:szCs w:val="32"/>
          <w:highlight w:val="none"/>
        </w:rPr>
        <w:t>附件2：</w:t>
      </w:r>
      <w:bookmarkEnd w:id="10"/>
    </w:p>
    <w:p w14:paraId="16EAE270">
      <w:pPr>
        <w:wordWrap w:val="0"/>
        <w:spacing w:line="360" w:lineRule="auto"/>
        <w:ind w:left="1871"/>
        <w:rPr>
          <w:rFonts w:ascii="宋体" w:hAnsi="宋体" w:cs="宋体"/>
          <w:color w:val="auto"/>
          <w:sz w:val="40"/>
          <w:szCs w:val="40"/>
          <w:highlight w:val="none"/>
        </w:rPr>
      </w:pPr>
      <w:r>
        <w:rPr>
          <w:rFonts w:hint="eastAsia" w:ascii="宋体" w:hAnsi="宋体" w:cs="宋体"/>
          <w:color w:val="auto"/>
          <w:sz w:val="40"/>
          <w:szCs w:val="40"/>
          <w:highlight w:val="none"/>
        </w:rPr>
        <w:t>中小微企业划型标准</w:t>
      </w:r>
    </w:p>
    <w:tbl>
      <w:tblPr>
        <w:tblStyle w:val="22"/>
        <w:tblW w:w="953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3"/>
        <w:gridCol w:w="1653"/>
        <w:gridCol w:w="1091"/>
        <w:gridCol w:w="1935"/>
        <w:gridCol w:w="1720"/>
        <w:gridCol w:w="1105"/>
      </w:tblGrid>
      <w:tr w14:paraId="1ED77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33" w:type="dxa"/>
            <w:vAlign w:val="center"/>
          </w:tcPr>
          <w:p w14:paraId="01C5BCC6">
            <w:pPr>
              <w:widowControl/>
              <w:wordWrap w:val="0"/>
              <w:spacing w:line="360" w:lineRule="auto"/>
              <w:jc w:val="left"/>
              <w:rPr>
                <w:rFonts w:ascii="宋体" w:hAnsi="宋体" w:cs="宋体"/>
                <w:b/>
                <w:color w:val="auto"/>
                <w:kern w:val="0"/>
                <w:szCs w:val="21"/>
                <w:highlight w:val="none"/>
              </w:rPr>
            </w:pPr>
            <w:r>
              <w:rPr>
                <w:rFonts w:hint="eastAsia" w:ascii="宋体" w:hAnsi="宋体" w:cs="宋体"/>
                <w:b/>
                <w:color w:val="auto"/>
                <w:kern w:val="0"/>
                <w:szCs w:val="21"/>
                <w:highlight w:val="none"/>
              </w:rPr>
              <w:t>行业名称</w:t>
            </w:r>
          </w:p>
        </w:tc>
        <w:tc>
          <w:tcPr>
            <w:tcW w:w="1653" w:type="dxa"/>
            <w:vAlign w:val="center"/>
          </w:tcPr>
          <w:p w14:paraId="3EF5C011">
            <w:pPr>
              <w:widowControl/>
              <w:wordWrap w:val="0"/>
              <w:spacing w:line="360" w:lineRule="auto"/>
              <w:jc w:val="left"/>
              <w:rPr>
                <w:rFonts w:ascii="宋体" w:hAnsi="宋体" w:cs="宋体"/>
                <w:b/>
                <w:color w:val="auto"/>
                <w:kern w:val="0"/>
                <w:szCs w:val="21"/>
                <w:highlight w:val="none"/>
              </w:rPr>
            </w:pPr>
            <w:r>
              <w:rPr>
                <w:rFonts w:hint="eastAsia" w:ascii="宋体" w:hAnsi="宋体" w:cs="宋体"/>
                <w:b/>
                <w:color w:val="auto"/>
                <w:kern w:val="0"/>
                <w:szCs w:val="21"/>
                <w:highlight w:val="none"/>
              </w:rPr>
              <w:t>指标名称</w:t>
            </w:r>
          </w:p>
        </w:tc>
        <w:tc>
          <w:tcPr>
            <w:tcW w:w="1091" w:type="dxa"/>
            <w:vAlign w:val="center"/>
          </w:tcPr>
          <w:p w14:paraId="71C6B184">
            <w:pPr>
              <w:widowControl/>
              <w:wordWrap w:val="0"/>
              <w:spacing w:line="360" w:lineRule="auto"/>
              <w:jc w:val="left"/>
              <w:rPr>
                <w:rFonts w:ascii="宋体" w:hAnsi="宋体" w:cs="宋体"/>
                <w:b/>
                <w:color w:val="auto"/>
                <w:kern w:val="0"/>
                <w:szCs w:val="21"/>
                <w:highlight w:val="none"/>
              </w:rPr>
            </w:pPr>
            <w:r>
              <w:rPr>
                <w:rFonts w:hint="eastAsia" w:ascii="宋体" w:hAnsi="宋体" w:cs="宋体"/>
                <w:b/>
                <w:color w:val="auto"/>
                <w:kern w:val="0"/>
                <w:szCs w:val="21"/>
                <w:highlight w:val="none"/>
              </w:rPr>
              <w:t>计量单位</w:t>
            </w:r>
          </w:p>
        </w:tc>
        <w:tc>
          <w:tcPr>
            <w:tcW w:w="1935" w:type="dxa"/>
            <w:vAlign w:val="center"/>
          </w:tcPr>
          <w:p w14:paraId="464010C0">
            <w:pPr>
              <w:widowControl/>
              <w:wordWrap w:val="0"/>
              <w:spacing w:line="360" w:lineRule="auto"/>
              <w:jc w:val="left"/>
              <w:rPr>
                <w:rFonts w:ascii="宋体" w:hAnsi="宋体" w:cs="宋体"/>
                <w:b/>
                <w:color w:val="auto"/>
                <w:kern w:val="0"/>
                <w:szCs w:val="21"/>
                <w:highlight w:val="none"/>
              </w:rPr>
            </w:pPr>
            <w:r>
              <w:rPr>
                <w:rFonts w:hint="eastAsia" w:ascii="宋体" w:hAnsi="宋体" w:cs="宋体"/>
                <w:b/>
                <w:color w:val="auto"/>
                <w:kern w:val="0"/>
                <w:szCs w:val="21"/>
                <w:highlight w:val="none"/>
              </w:rPr>
              <w:t>中型</w:t>
            </w:r>
          </w:p>
        </w:tc>
        <w:tc>
          <w:tcPr>
            <w:tcW w:w="1720" w:type="dxa"/>
            <w:vAlign w:val="center"/>
          </w:tcPr>
          <w:p w14:paraId="758ACD39">
            <w:pPr>
              <w:widowControl/>
              <w:wordWrap w:val="0"/>
              <w:spacing w:line="360" w:lineRule="auto"/>
              <w:jc w:val="left"/>
              <w:rPr>
                <w:rFonts w:ascii="宋体" w:hAnsi="宋体" w:cs="宋体"/>
                <w:b/>
                <w:color w:val="auto"/>
                <w:kern w:val="0"/>
                <w:szCs w:val="21"/>
                <w:highlight w:val="none"/>
              </w:rPr>
            </w:pPr>
            <w:r>
              <w:rPr>
                <w:rFonts w:hint="eastAsia" w:ascii="宋体" w:hAnsi="宋体" w:cs="宋体"/>
                <w:b/>
                <w:color w:val="auto"/>
                <w:kern w:val="0"/>
                <w:szCs w:val="21"/>
                <w:highlight w:val="none"/>
              </w:rPr>
              <w:t>小型</w:t>
            </w:r>
          </w:p>
        </w:tc>
        <w:tc>
          <w:tcPr>
            <w:tcW w:w="1105" w:type="dxa"/>
            <w:vAlign w:val="center"/>
          </w:tcPr>
          <w:p w14:paraId="164F5084">
            <w:pPr>
              <w:widowControl/>
              <w:wordWrap w:val="0"/>
              <w:spacing w:line="360" w:lineRule="auto"/>
              <w:jc w:val="left"/>
              <w:rPr>
                <w:rFonts w:ascii="宋体" w:hAnsi="宋体" w:cs="宋体"/>
                <w:b/>
                <w:color w:val="auto"/>
                <w:kern w:val="0"/>
                <w:szCs w:val="21"/>
                <w:highlight w:val="none"/>
              </w:rPr>
            </w:pPr>
            <w:r>
              <w:rPr>
                <w:rFonts w:hint="eastAsia" w:ascii="宋体" w:hAnsi="宋体" w:cs="宋体"/>
                <w:b/>
                <w:color w:val="auto"/>
                <w:kern w:val="0"/>
                <w:szCs w:val="21"/>
                <w:highlight w:val="none"/>
              </w:rPr>
              <w:t>微型</w:t>
            </w:r>
          </w:p>
        </w:tc>
      </w:tr>
      <w:tr w14:paraId="57DC8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2033" w:type="dxa"/>
            <w:vAlign w:val="bottom"/>
          </w:tcPr>
          <w:p w14:paraId="3B03AF6E">
            <w:pPr>
              <w:widowControl/>
              <w:wordWrap w:val="0"/>
              <w:spacing w:line="360" w:lineRule="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农、林、牧、渔</w:t>
            </w:r>
          </w:p>
        </w:tc>
        <w:tc>
          <w:tcPr>
            <w:tcW w:w="1653" w:type="dxa"/>
            <w:vAlign w:val="center"/>
          </w:tcPr>
          <w:p w14:paraId="59ACA573">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91" w:type="dxa"/>
            <w:vAlign w:val="center"/>
          </w:tcPr>
          <w:p w14:paraId="5B367970">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35" w:type="dxa"/>
            <w:vAlign w:val="center"/>
          </w:tcPr>
          <w:p w14:paraId="7A28CD4B">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500≤Y＜20000</w:t>
            </w:r>
          </w:p>
        </w:tc>
        <w:tc>
          <w:tcPr>
            <w:tcW w:w="1720" w:type="dxa"/>
            <w:vAlign w:val="center"/>
          </w:tcPr>
          <w:p w14:paraId="600CB3BB">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50≤Y＜500</w:t>
            </w:r>
          </w:p>
        </w:tc>
        <w:tc>
          <w:tcPr>
            <w:tcW w:w="1105" w:type="dxa"/>
            <w:vAlign w:val="center"/>
          </w:tcPr>
          <w:p w14:paraId="050554F7">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Y＜50</w:t>
            </w:r>
          </w:p>
        </w:tc>
      </w:tr>
      <w:tr w14:paraId="2CFCA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2033" w:type="dxa"/>
            <w:vMerge w:val="restart"/>
            <w:vAlign w:val="bottom"/>
          </w:tcPr>
          <w:p w14:paraId="315A4F9A">
            <w:pPr>
              <w:widowControl/>
              <w:wordWrap w:val="0"/>
              <w:spacing w:line="360" w:lineRule="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工业</w:t>
            </w:r>
          </w:p>
        </w:tc>
        <w:tc>
          <w:tcPr>
            <w:tcW w:w="1653" w:type="dxa"/>
            <w:vAlign w:val="center"/>
          </w:tcPr>
          <w:p w14:paraId="4A5305E1">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91" w:type="dxa"/>
            <w:vAlign w:val="center"/>
          </w:tcPr>
          <w:p w14:paraId="5C856DFB">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935" w:type="dxa"/>
            <w:vAlign w:val="center"/>
          </w:tcPr>
          <w:p w14:paraId="5C239401">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300≤X＜1000</w:t>
            </w:r>
          </w:p>
        </w:tc>
        <w:tc>
          <w:tcPr>
            <w:tcW w:w="1720" w:type="dxa"/>
            <w:vAlign w:val="center"/>
          </w:tcPr>
          <w:p w14:paraId="3CC7ADF2">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20≤X＜300</w:t>
            </w:r>
          </w:p>
        </w:tc>
        <w:tc>
          <w:tcPr>
            <w:tcW w:w="1105" w:type="dxa"/>
            <w:vAlign w:val="center"/>
          </w:tcPr>
          <w:p w14:paraId="21DA5F36">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X＜20</w:t>
            </w:r>
          </w:p>
        </w:tc>
      </w:tr>
      <w:tr w14:paraId="33ADE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2033" w:type="dxa"/>
            <w:vMerge w:val="continue"/>
            <w:vAlign w:val="center"/>
          </w:tcPr>
          <w:p w14:paraId="2CAF3966">
            <w:pPr>
              <w:widowControl/>
              <w:wordWrap w:val="0"/>
              <w:spacing w:line="360" w:lineRule="auto"/>
              <w:jc w:val="left"/>
              <w:rPr>
                <w:rFonts w:ascii="宋体" w:hAnsi="宋体" w:cs="宋体"/>
                <w:b/>
                <w:bCs/>
                <w:color w:val="auto"/>
                <w:kern w:val="0"/>
                <w:szCs w:val="21"/>
                <w:highlight w:val="none"/>
              </w:rPr>
            </w:pPr>
          </w:p>
        </w:tc>
        <w:tc>
          <w:tcPr>
            <w:tcW w:w="1653" w:type="dxa"/>
            <w:vAlign w:val="center"/>
          </w:tcPr>
          <w:p w14:paraId="034FA42E">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91" w:type="dxa"/>
            <w:vAlign w:val="center"/>
          </w:tcPr>
          <w:p w14:paraId="172698AD">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35" w:type="dxa"/>
            <w:vAlign w:val="center"/>
          </w:tcPr>
          <w:p w14:paraId="23475436">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2000≤Y＜40000</w:t>
            </w:r>
          </w:p>
        </w:tc>
        <w:tc>
          <w:tcPr>
            <w:tcW w:w="1720" w:type="dxa"/>
            <w:vAlign w:val="center"/>
          </w:tcPr>
          <w:p w14:paraId="3C488B0A">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300≤Y＜2000</w:t>
            </w:r>
          </w:p>
        </w:tc>
        <w:tc>
          <w:tcPr>
            <w:tcW w:w="1105" w:type="dxa"/>
            <w:vAlign w:val="center"/>
          </w:tcPr>
          <w:p w14:paraId="4DC8A7EF">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Y＜300</w:t>
            </w:r>
          </w:p>
        </w:tc>
      </w:tr>
      <w:tr w14:paraId="4BB55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2033" w:type="dxa"/>
            <w:vMerge w:val="restart"/>
            <w:vAlign w:val="bottom"/>
          </w:tcPr>
          <w:p w14:paraId="284BAC49">
            <w:pPr>
              <w:widowControl/>
              <w:wordWrap w:val="0"/>
              <w:spacing w:line="360" w:lineRule="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建筑业</w:t>
            </w:r>
          </w:p>
        </w:tc>
        <w:tc>
          <w:tcPr>
            <w:tcW w:w="1653" w:type="dxa"/>
            <w:vAlign w:val="center"/>
          </w:tcPr>
          <w:p w14:paraId="771F5E10">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91" w:type="dxa"/>
            <w:vAlign w:val="center"/>
          </w:tcPr>
          <w:p w14:paraId="32ED62A5">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35" w:type="dxa"/>
            <w:vAlign w:val="center"/>
          </w:tcPr>
          <w:p w14:paraId="75994795">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6000≤Y＜80000</w:t>
            </w:r>
          </w:p>
        </w:tc>
        <w:tc>
          <w:tcPr>
            <w:tcW w:w="1720" w:type="dxa"/>
            <w:vAlign w:val="center"/>
          </w:tcPr>
          <w:p w14:paraId="3F69E7B1">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300≤Y＜6000</w:t>
            </w:r>
          </w:p>
        </w:tc>
        <w:tc>
          <w:tcPr>
            <w:tcW w:w="1105" w:type="dxa"/>
            <w:vAlign w:val="center"/>
          </w:tcPr>
          <w:p w14:paraId="392EEC9B">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Y＜300</w:t>
            </w:r>
          </w:p>
        </w:tc>
      </w:tr>
      <w:tr w14:paraId="5BFDC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2033" w:type="dxa"/>
            <w:vMerge w:val="continue"/>
            <w:vAlign w:val="center"/>
          </w:tcPr>
          <w:p w14:paraId="32598ABC">
            <w:pPr>
              <w:widowControl/>
              <w:wordWrap w:val="0"/>
              <w:spacing w:line="360" w:lineRule="auto"/>
              <w:jc w:val="left"/>
              <w:rPr>
                <w:rFonts w:ascii="宋体" w:hAnsi="宋体" w:cs="宋体"/>
                <w:b/>
                <w:bCs/>
                <w:color w:val="auto"/>
                <w:kern w:val="0"/>
                <w:szCs w:val="21"/>
                <w:highlight w:val="none"/>
              </w:rPr>
            </w:pPr>
          </w:p>
        </w:tc>
        <w:tc>
          <w:tcPr>
            <w:tcW w:w="1653" w:type="dxa"/>
            <w:vAlign w:val="center"/>
          </w:tcPr>
          <w:p w14:paraId="6745B056">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资产总额（Z）</w:t>
            </w:r>
          </w:p>
        </w:tc>
        <w:tc>
          <w:tcPr>
            <w:tcW w:w="1091" w:type="dxa"/>
            <w:vAlign w:val="center"/>
          </w:tcPr>
          <w:p w14:paraId="2800AF53">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35" w:type="dxa"/>
            <w:vAlign w:val="center"/>
          </w:tcPr>
          <w:p w14:paraId="1F730150">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5000≤Z＜80000</w:t>
            </w:r>
          </w:p>
        </w:tc>
        <w:tc>
          <w:tcPr>
            <w:tcW w:w="1720" w:type="dxa"/>
            <w:vAlign w:val="center"/>
          </w:tcPr>
          <w:p w14:paraId="249C5202">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300≤Z＜5000</w:t>
            </w:r>
          </w:p>
        </w:tc>
        <w:tc>
          <w:tcPr>
            <w:tcW w:w="1105" w:type="dxa"/>
            <w:vAlign w:val="center"/>
          </w:tcPr>
          <w:p w14:paraId="386ACC76">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Z＜300</w:t>
            </w:r>
          </w:p>
        </w:tc>
      </w:tr>
      <w:tr w14:paraId="0B6D5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2033" w:type="dxa"/>
            <w:vMerge w:val="restart"/>
            <w:vAlign w:val="bottom"/>
          </w:tcPr>
          <w:p w14:paraId="66A504A6">
            <w:pPr>
              <w:widowControl/>
              <w:wordWrap w:val="0"/>
              <w:spacing w:line="360" w:lineRule="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批发业</w:t>
            </w:r>
          </w:p>
        </w:tc>
        <w:tc>
          <w:tcPr>
            <w:tcW w:w="1653" w:type="dxa"/>
            <w:vAlign w:val="center"/>
          </w:tcPr>
          <w:p w14:paraId="25101D2A">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91" w:type="dxa"/>
            <w:vAlign w:val="center"/>
          </w:tcPr>
          <w:p w14:paraId="3A43EB9D">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935" w:type="dxa"/>
            <w:vAlign w:val="center"/>
          </w:tcPr>
          <w:p w14:paraId="5107DA0C">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20≤X＜200</w:t>
            </w:r>
          </w:p>
        </w:tc>
        <w:tc>
          <w:tcPr>
            <w:tcW w:w="1720" w:type="dxa"/>
            <w:vAlign w:val="center"/>
          </w:tcPr>
          <w:p w14:paraId="39BB3359">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5≤X＜20</w:t>
            </w:r>
          </w:p>
        </w:tc>
        <w:tc>
          <w:tcPr>
            <w:tcW w:w="1105" w:type="dxa"/>
            <w:vAlign w:val="center"/>
          </w:tcPr>
          <w:p w14:paraId="66F094BE">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X＜5</w:t>
            </w:r>
          </w:p>
        </w:tc>
      </w:tr>
      <w:tr w14:paraId="3B82B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2033" w:type="dxa"/>
            <w:vMerge w:val="continue"/>
            <w:vAlign w:val="center"/>
          </w:tcPr>
          <w:p w14:paraId="6144C57D">
            <w:pPr>
              <w:widowControl/>
              <w:wordWrap w:val="0"/>
              <w:spacing w:line="360" w:lineRule="auto"/>
              <w:jc w:val="left"/>
              <w:rPr>
                <w:rFonts w:ascii="宋体" w:hAnsi="宋体" w:cs="宋体"/>
                <w:b/>
                <w:bCs/>
                <w:color w:val="auto"/>
                <w:kern w:val="0"/>
                <w:szCs w:val="21"/>
                <w:highlight w:val="none"/>
              </w:rPr>
            </w:pPr>
          </w:p>
        </w:tc>
        <w:tc>
          <w:tcPr>
            <w:tcW w:w="1653" w:type="dxa"/>
            <w:vAlign w:val="center"/>
          </w:tcPr>
          <w:p w14:paraId="3906A735">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91" w:type="dxa"/>
            <w:vAlign w:val="center"/>
          </w:tcPr>
          <w:p w14:paraId="5A344732">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35" w:type="dxa"/>
            <w:vAlign w:val="center"/>
          </w:tcPr>
          <w:p w14:paraId="17AAC294">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5000≤Y＜40000</w:t>
            </w:r>
          </w:p>
        </w:tc>
        <w:tc>
          <w:tcPr>
            <w:tcW w:w="1720" w:type="dxa"/>
            <w:vAlign w:val="center"/>
          </w:tcPr>
          <w:p w14:paraId="7C95E50F">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1000≤Y＜5000</w:t>
            </w:r>
          </w:p>
        </w:tc>
        <w:tc>
          <w:tcPr>
            <w:tcW w:w="1105" w:type="dxa"/>
            <w:vAlign w:val="center"/>
          </w:tcPr>
          <w:p w14:paraId="55130F3D">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Y＜1000</w:t>
            </w:r>
          </w:p>
        </w:tc>
      </w:tr>
      <w:tr w14:paraId="59C43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2033" w:type="dxa"/>
            <w:vMerge w:val="restart"/>
            <w:vAlign w:val="bottom"/>
          </w:tcPr>
          <w:p w14:paraId="60294695">
            <w:pPr>
              <w:widowControl/>
              <w:wordWrap w:val="0"/>
              <w:spacing w:line="360" w:lineRule="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零售业</w:t>
            </w:r>
          </w:p>
        </w:tc>
        <w:tc>
          <w:tcPr>
            <w:tcW w:w="1653" w:type="dxa"/>
            <w:vAlign w:val="center"/>
          </w:tcPr>
          <w:p w14:paraId="36F86FBC">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91" w:type="dxa"/>
            <w:vAlign w:val="center"/>
          </w:tcPr>
          <w:p w14:paraId="46F9784E">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935" w:type="dxa"/>
            <w:vAlign w:val="center"/>
          </w:tcPr>
          <w:p w14:paraId="76C2F01F">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50≤X＜300</w:t>
            </w:r>
          </w:p>
        </w:tc>
        <w:tc>
          <w:tcPr>
            <w:tcW w:w="1720" w:type="dxa"/>
            <w:vAlign w:val="center"/>
          </w:tcPr>
          <w:p w14:paraId="3026B4C8">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10≤X＜50</w:t>
            </w:r>
          </w:p>
        </w:tc>
        <w:tc>
          <w:tcPr>
            <w:tcW w:w="1105" w:type="dxa"/>
            <w:vAlign w:val="center"/>
          </w:tcPr>
          <w:p w14:paraId="302FBF5E">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X＜10</w:t>
            </w:r>
          </w:p>
        </w:tc>
      </w:tr>
      <w:tr w14:paraId="41DAF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2033" w:type="dxa"/>
            <w:vMerge w:val="continue"/>
            <w:vAlign w:val="center"/>
          </w:tcPr>
          <w:p w14:paraId="0A0720D3">
            <w:pPr>
              <w:widowControl/>
              <w:wordWrap w:val="0"/>
              <w:spacing w:line="360" w:lineRule="auto"/>
              <w:jc w:val="left"/>
              <w:rPr>
                <w:rFonts w:ascii="宋体" w:hAnsi="宋体" w:cs="宋体"/>
                <w:b/>
                <w:bCs/>
                <w:color w:val="auto"/>
                <w:kern w:val="0"/>
                <w:szCs w:val="21"/>
                <w:highlight w:val="none"/>
              </w:rPr>
            </w:pPr>
          </w:p>
        </w:tc>
        <w:tc>
          <w:tcPr>
            <w:tcW w:w="1653" w:type="dxa"/>
            <w:vAlign w:val="center"/>
          </w:tcPr>
          <w:p w14:paraId="57A222AA">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91" w:type="dxa"/>
            <w:vAlign w:val="center"/>
          </w:tcPr>
          <w:p w14:paraId="6D0C2832">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35" w:type="dxa"/>
            <w:vAlign w:val="center"/>
          </w:tcPr>
          <w:p w14:paraId="3BE8BE90">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500≤Y＜20000</w:t>
            </w:r>
          </w:p>
        </w:tc>
        <w:tc>
          <w:tcPr>
            <w:tcW w:w="1720" w:type="dxa"/>
            <w:vAlign w:val="center"/>
          </w:tcPr>
          <w:p w14:paraId="5E74DED7">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100≤Y＜500</w:t>
            </w:r>
          </w:p>
        </w:tc>
        <w:tc>
          <w:tcPr>
            <w:tcW w:w="1105" w:type="dxa"/>
            <w:vAlign w:val="center"/>
          </w:tcPr>
          <w:p w14:paraId="691AC9D2">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Y＜100</w:t>
            </w:r>
          </w:p>
        </w:tc>
      </w:tr>
      <w:tr w14:paraId="185B2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2033" w:type="dxa"/>
            <w:vMerge w:val="restart"/>
            <w:vAlign w:val="bottom"/>
          </w:tcPr>
          <w:p w14:paraId="10383A7A">
            <w:pPr>
              <w:widowControl/>
              <w:wordWrap w:val="0"/>
              <w:spacing w:line="360" w:lineRule="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交通运输业</w:t>
            </w:r>
          </w:p>
        </w:tc>
        <w:tc>
          <w:tcPr>
            <w:tcW w:w="1653" w:type="dxa"/>
            <w:vAlign w:val="center"/>
          </w:tcPr>
          <w:p w14:paraId="04EF89C9">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91" w:type="dxa"/>
            <w:vAlign w:val="center"/>
          </w:tcPr>
          <w:p w14:paraId="0FA981D4">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935" w:type="dxa"/>
            <w:vAlign w:val="center"/>
          </w:tcPr>
          <w:p w14:paraId="64CEE8AF">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300≤X＜1000</w:t>
            </w:r>
          </w:p>
        </w:tc>
        <w:tc>
          <w:tcPr>
            <w:tcW w:w="1720" w:type="dxa"/>
            <w:vAlign w:val="center"/>
          </w:tcPr>
          <w:p w14:paraId="6C71575E">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20≤X＜300</w:t>
            </w:r>
          </w:p>
        </w:tc>
        <w:tc>
          <w:tcPr>
            <w:tcW w:w="1105" w:type="dxa"/>
            <w:vAlign w:val="center"/>
          </w:tcPr>
          <w:p w14:paraId="0D3C3FD9">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X＜20</w:t>
            </w:r>
          </w:p>
        </w:tc>
      </w:tr>
      <w:tr w14:paraId="5F71E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2033" w:type="dxa"/>
            <w:vMerge w:val="continue"/>
            <w:vAlign w:val="center"/>
          </w:tcPr>
          <w:p w14:paraId="3EF9CE9B">
            <w:pPr>
              <w:widowControl/>
              <w:wordWrap w:val="0"/>
              <w:spacing w:line="360" w:lineRule="auto"/>
              <w:jc w:val="left"/>
              <w:rPr>
                <w:rFonts w:ascii="宋体" w:hAnsi="宋体" w:cs="宋体"/>
                <w:b/>
                <w:bCs/>
                <w:color w:val="auto"/>
                <w:kern w:val="0"/>
                <w:szCs w:val="21"/>
                <w:highlight w:val="none"/>
              </w:rPr>
            </w:pPr>
          </w:p>
        </w:tc>
        <w:tc>
          <w:tcPr>
            <w:tcW w:w="1653" w:type="dxa"/>
            <w:vAlign w:val="center"/>
          </w:tcPr>
          <w:p w14:paraId="29618A30">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91" w:type="dxa"/>
            <w:vAlign w:val="center"/>
          </w:tcPr>
          <w:p w14:paraId="4B7303EA">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35" w:type="dxa"/>
            <w:vAlign w:val="center"/>
          </w:tcPr>
          <w:p w14:paraId="038E5D95">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3000≤Y＜30000</w:t>
            </w:r>
          </w:p>
        </w:tc>
        <w:tc>
          <w:tcPr>
            <w:tcW w:w="1720" w:type="dxa"/>
            <w:vAlign w:val="center"/>
          </w:tcPr>
          <w:p w14:paraId="5ECDA7B9">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200≤Y＜3000</w:t>
            </w:r>
          </w:p>
        </w:tc>
        <w:tc>
          <w:tcPr>
            <w:tcW w:w="1105" w:type="dxa"/>
            <w:vAlign w:val="center"/>
          </w:tcPr>
          <w:p w14:paraId="4B6F7A28">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Y＜200</w:t>
            </w:r>
          </w:p>
        </w:tc>
      </w:tr>
      <w:tr w14:paraId="33A94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2033" w:type="dxa"/>
            <w:vMerge w:val="restart"/>
            <w:vAlign w:val="bottom"/>
          </w:tcPr>
          <w:p w14:paraId="1E3C39EA">
            <w:pPr>
              <w:widowControl/>
              <w:wordWrap w:val="0"/>
              <w:spacing w:line="360" w:lineRule="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仓储业</w:t>
            </w:r>
          </w:p>
        </w:tc>
        <w:tc>
          <w:tcPr>
            <w:tcW w:w="1653" w:type="dxa"/>
            <w:vAlign w:val="center"/>
          </w:tcPr>
          <w:p w14:paraId="3C985E8F">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91" w:type="dxa"/>
            <w:vAlign w:val="center"/>
          </w:tcPr>
          <w:p w14:paraId="6C9DD5EF">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935" w:type="dxa"/>
            <w:vAlign w:val="center"/>
          </w:tcPr>
          <w:p w14:paraId="21306C9D">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100≤X＜200</w:t>
            </w:r>
          </w:p>
        </w:tc>
        <w:tc>
          <w:tcPr>
            <w:tcW w:w="1720" w:type="dxa"/>
            <w:vAlign w:val="center"/>
          </w:tcPr>
          <w:p w14:paraId="22EB295A">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20≤X＜100</w:t>
            </w:r>
          </w:p>
        </w:tc>
        <w:tc>
          <w:tcPr>
            <w:tcW w:w="1105" w:type="dxa"/>
            <w:vAlign w:val="center"/>
          </w:tcPr>
          <w:p w14:paraId="10D9DB26">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X＜20</w:t>
            </w:r>
          </w:p>
        </w:tc>
      </w:tr>
      <w:tr w14:paraId="7A60A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2033" w:type="dxa"/>
            <w:vMerge w:val="continue"/>
            <w:vAlign w:val="center"/>
          </w:tcPr>
          <w:p w14:paraId="1D40936A">
            <w:pPr>
              <w:widowControl/>
              <w:wordWrap w:val="0"/>
              <w:spacing w:line="360" w:lineRule="auto"/>
              <w:jc w:val="left"/>
              <w:rPr>
                <w:rFonts w:ascii="宋体" w:hAnsi="宋体" w:cs="宋体"/>
                <w:b/>
                <w:bCs/>
                <w:color w:val="auto"/>
                <w:kern w:val="0"/>
                <w:szCs w:val="21"/>
                <w:highlight w:val="none"/>
              </w:rPr>
            </w:pPr>
          </w:p>
        </w:tc>
        <w:tc>
          <w:tcPr>
            <w:tcW w:w="1653" w:type="dxa"/>
            <w:vAlign w:val="center"/>
          </w:tcPr>
          <w:p w14:paraId="46E99317">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91" w:type="dxa"/>
            <w:vAlign w:val="center"/>
          </w:tcPr>
          <w:p w14:paraId="13B11AD3">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35" w:type="dxa"/>
            <w:vAlign w:val="center"/>
          </w:tcPr>
          <w:p w14:paraId="08E590BB">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1000≤Y＜30000</w:t>
            </w:r>
          </w:p>
        </w:tc>
        <w:tc>
          <w:tcPr>
            <w:tcW w:w="1720" w:type="dxa"/>
            <w:vAlign w:val="center"/>
          </w:tcPr>
          <w:p w14:paraId="19141E7B">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100≤Y＜1000</w:t>
            </w:r>
          </w:p>
        </w:tc>
        <w:tc>
          <w:tcPr>
            <w:tcW w:w="1105" w:type="dxa"/>
            <w:vAlign w:val="center"/>
          </w:tcPr>
          <w:p w14:paraId="5999BA88">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Y＜100</w:t>
            </w:r>
          </w:p>
        </w:tc>
      </w:tr>
      <w:tr w14:paraId="39BB4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2033" w:type="dxa"/>
            <w:vMerge w:val="restart"/>
            <w:vAlign w:val="bottom"/>
          </w:tcPr>
          <w:p w14:paraId="0E8F9491">
            <w:pPr>
              <w:widowControl/>
              <w:wordWrap w:val="0"/>
              <w:spacing w:line="360" w:lineRule="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邮政业</w:t>
            </w:r>
          </w:p>
        </w:tc>
        <w:tc>
          <w:tcPr>
            <w:tcW w:w="1653" w:type="dxa"/>
            <w:vAlign w:val="center"/>
          </w:tcPr>
          <w:p w14:paraId="1F34AAAC">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91" w:type="dxa"/>
            <w:vAlign w:val="center"/>
          </w:tcPr>
          <w:p w14:paraId="2D9C6F8A">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935" w:type="dxa"/>
            <w:vAlign w:val="center"/>
          </w:tcPr>
          <w:p w14:paraId="4B0578BB">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300≤X＜1000</w:t>
            </w:r>
          </w:p>
        </w:tc>
        <w:tc>
          <w:tcPr>
            <w:tcW w:w="1720" w:type="dxa"/>
            <w:vAlign w:val="center"/>
          </w:tcPr>
          <w:p w14:paraId="500DDF49">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20≤X＜300</w:t>
            </w:r>
          </w:p>
        </w:tc>
        <w:tc>
          <w:tcPr>
            <w:tcW w:w="1105" w:type="dxa"/>
            <w:vAlign w:val="center"/>
          </w:tcPr>
          <w:p w14:paraId="0F5589C0">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X＜20</w:t>
            </w:r>
          </w:p>
        </w:tc>
      </w:tr>
      <w:tr w14:paraId="372B6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2033" w:type="dxa"/>
            <w:vMerge w:val="continue"/>
            <w:vAlign w:val="center"/>
          </w:tcPr>
          <w:p w14:paraId="25762AD7">
            <w:pPr>
              <w:widowControl/>
              <w:wordWrap w:val="0"/>
              <w:spacing w:line="360" w:lineRule="auto"/>
              <w:jc w:val="left"/>
              <w:rPr>
                <w:rFonts w:ascii="宋体" w:hAnsi="宋体" w:cs="宋体"/>
                <w:b/>
                <w:bCs/>
                <w:color w:val="auto"/>
                <w:kern w:val="0"/>
                <w:szCs w:val="21"/>
                <w:highlight w:val="none"/>
              </w:rPr>
            </w:pPr>
          </w:p>
        </w:tc>
        <w:tc>
          <w:tcPr>
            <w:tcW w:w="1653" w:type="dxa"/>
            <w:vAlign w:val="center"/>
          </w:tcPr>
          <w:p w14:paraId="48547856">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91" w:type="dxa"/>
            <w:vAlign w:val="center"/>
          </w:tcPr>
          <w:p w14:paraId="697F4D96">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35" w:type="dxa"/>
            <w:vAlign w:val="center"/>
          </w:tcPr>
          <w:p w14:paraId="762146FD">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2000≤Y＜30000</w:t>
            </w:r>
          </w:p>
        </w:tc>
        <w:tc>
          <w:tcPr>
            <w:tcW w:w="1720" w:type="dxa"/>
            <w:vAlign w:val="center"/>
          </w:tcPr>
          <w:p w14:paraId="6F99048A">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100≤Y＜2000</w:t>
            </w:r>
          </w:p>
        </w:tc>
        <w:tc>
          <w:tcPr>
            <w:tcW w:w="1105" w:type="dxa"/>
            <w:vAlign w:val="center"/>
          </w:tcPr>
          <w:p w14:paraId="455DB0FD">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Y＜100</w:t>
            </w:r>
          </w:p>
        </w:tc>
      </w:tr>
      <w:tr w14:paraId="6FCE7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2033" w:type="dxa"/>
            <w:vMerge w:val="restart"/>
            <w:vAlign w:val="bottom"/>
          </w:tcPr>
          <w:p w14:paraId="3FDBFA38">
            <w:pPr>
              <w:widowControl/>
              <w:wordWrap w:val="0"/>
              <w:spacing w:line="360" w:lineRule="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住宿业</w:t>
            </w:r>
          </w:p>
        </w:tc>
        <w:tc>
          <w:tcPr>
            <w:tcW w:w="1653" w:type="dxa"/>
            <w:vAlign w:val="center"/>
          </w:tcPr>
          <w:p w14:paraId="6C14B7D0">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91" w:type="dxa"/>
            <w:vAlign w:val="center"/>
          </w:tcPr>
          <w:p w14:paraId="4E08F380">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935" w:type="dxa"/>
            <w:vAlign w:val="center"/>
          </w:tcPr>
          <w:p w14:paraId="3D07C968">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100≤X＜300</w:t>
            </w:r>
          </w:p>
        </w:tc>
        <w:tc>
          <w:tcPr>
            <w:tcW w:w="1720" w:type="dxa"/>
            <w:vAlign w:val="center"/>
          </w:tcPr>
          <w:p w14:paraId="1CF0413A">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10≤X＜100</w:t>
            </w:r>
          </w:p>
        </w:tc>
        <w:tc>
          <w:tcPr>
            <w:tcW w:w="1105" w:type="dxa"/>
            <w:vAlign w:val="center"/>
          </w:tcPr>
          <w:p w14:paraId="4749167A">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X＜10</w:t>
            </w:r>
          </w:p>
        </w:tc>
      </w:tr>
      <w:tr w14:paraId="3F77C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2033" w:type="dxa"/>
            <w:vMerge w:val="continue"/>
            <w:vAlign w:val="center"/>
          </w:tcPr>
          <w:p w14:paraId="6AA26BA8">
            <w:pPr>
              <w:widowControl/>
              <w:wordWrap w:val="0"/>
              <w:spacing w:line="360" w:lineRule="auto"/>
              <w:jc w:val="left"/>
              <w:rPr>
                <w:rFonts w:ascii="宋体" w:hAnsi="宋体" w:cs="宋体"/>
                <w:b/>
                <w:bCs/>
                <w:color w:val="auto"/>
                <w:kern w:val="0"/>
                <w:szCs w:val="21"/>
                <w:highlight w:val="none"/>
              </w:rPr>
            </w:pPr>
          </w:p>
        </w:tc>
        <w:tc>
          <w:tcPr>
            <w:tcW w:w="1653" w:type="dxa"/>
            <w:vAlign w:val="center"/>
          </w:tcPr>
          <w:p w14:paraId="2DD8CD2A">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91" w:type="dxa"/>
            <w:vAlign w:val="center"/>
          </w:tcPr>
          <w:p w14:paraId="4EBEDF3C">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35" w:type="dxa"/>
            <w:vAlign w:val="center"/>
          </w:tcPr>
          <w:p w14:paraId="46F047EF">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2000≤Y＜10000</w:t>
            </w:r>
          </w:p>
        </w:tc>
        <w:tc>
          <w:tcPr>
            <w:tcW w:w="1720" w:type="dxa"/>
            <w:vAlign w:val="center"/>
          </w:tcPr>
          <w:p w14:paraId="15BB0BA0">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100≤Y＜2000</w:t>
            </w:r>
          </w:p>
        </w:tc>
        <w:tc>
          <w:tcPr>
            <w:tcW w:w="1105" w:type="dxa"/>
            <w:vAlign w:val="center"/>
          </w:tcPr>
          <w:p w14:paraId="60420E96">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Y＜100</w:t>
            </w:r>
          </w:p>
        </w:tc>
      </w:tr>
      <w:tr w14:paraId="613B1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2033" w:type="dxa"/>
            <w:vMerge w:val="restart"/>
            <w:vAlign w:val="bottom"/>
          </w:tcPr>
          <w:p w14:paraId="2BAA8FB8">
            <w:pPr>
              <w:widowControl/>
              <w:wordWrap w:val="0"/>
              <w:spacing w:line="360" w:lineRule="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餐饮业</w:t>
            </w:r>
          </w:p>
        </w:tc>
        <w:tc>
          <w:tcPr>
            <w:tcW w:w="1653" w:type="dxa"/>
            <w:vAlign w:val="center"/>
          </w:tcPr>
          <w:p w14:paraId="72FBD39A">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91" w:type="dxa"/>
            <w:vAlign w:val="center"/>
          </w:tcPr>
          <w:p w14:paraId="22E91D10">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935" w:type="dxa"/>
            <w:vAlign w:val="center"/>
          </w:tcPr>
          <w:p w14:paraId="1AD7509E">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100≤X＜300</w:t>
            </w:r>
          </w:p>
        </w:tc>
        <w:tc>
          <w:tcPr>
            <w:tcW w:w="1720" w:type="dxa"/>
            <w:vAlign w:val="center"/>
          </w:tcPr>
          <w:p w14:paraId="7E941B2E">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10≤X＜100</w:t>
            </w:r>
          </w:p>
        </w:tc>
        <w:tc>
          <w:tcPr>
            <w:tcW w:w="1105" w:type="dxa"/>
            <w:vAlign w:val="center"/>
          </w:tcPr>
          <w:p w14:paraId="5C5E3EF6">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X＜10</w:t>
            </w:r>
          </w:p>
        </w:tc>
      </w:tr>
      <w:tr w14:paraId="04E6F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2033" w:type="dxa"/>
            <w:vMerge w:val="continue"/>
            <w:vAlign w:val="center"/>
          </w:tcPr>
          <w:p w14:paraId="0B3CAA08">
            <w:pPr>
              <w:widowControl/>
              <w:wordWrap w:val="0"/>
              <w:spacing w:line="360" w:lineRule="auto"/>
              <w:jc w:val="left"/>
              <w:rPr>
                <w:rFonts w:ascii="宋体" w:hAnsi="宋体" w:cs="宋体"/>
                <w:b/>
                <w:bCs/>
                <w:color w:val="auto"/>
                <w:kern w:val="0"/>
                <w:szCs w:val="21"/>
                <w:highlight w:val="none"/>
              </w:rPr>
            </w:pPr>
          </w:p>
        </w:tc>
        <w:tc>
          <w:tcPr>
            <w:tcW w:w="1653" w:type="dxa"/>
            <w:vAlign w:val="center"/>
          </w:tcPr>
          <w:p w14:paraId="5AD50623">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91" w:type="dxa"/>
            <w:vAlign w:val="center"/>
          </w:tcPr>
          <w:p w14:paraId="4EC1065D">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35" w:type="dxa"/>
            <w:vAlign w:val="center"/>
          </w:tcPr>
          <w:p w14:paraId="027E1119">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2000≤Y＜10000</w:t>
            </w:r>
          </w:p>
        </w:tc>
        <w:tc>
          <w:tcPr>
            <w:tcW w:w="1720" w:type="dxa"/>
            <w:vAlign w:val="center"/>
          </w:tcPr>
          <w:p w14:paraId="17AC3E84">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100≤Y＜2000</w:t>
            </w:r>
          </w:p>
        </w:tc>
        <w:tc>
          <w:tcPr>
            <w:tcW w:w="1105" w:type="dxa"/>
            <w:vAlign w:val="center"/>
          </w:tcPr>
          <w:p w14:paraId="34AC8517">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Y＜100</w:t>
            </w:r>
          </w:p>
        </w:tc>
      </w:tr>
      <w:tr w14:paraId="69D41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2033" w:type="dxa"/>
            <w:vMerge w:val="restart"/>
            <w:vAlign w:val="bottom"/>
          </w:tcPr>
          <w:p w14:paraId="4DCADD08">
            <w:pPr>
              <w:widowControl/>
              <w:wordWrap w:val="0"/>
              <w:spacing w:line="360" w:lineRule="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信息传输业</w:t>
            </w:r>
          </w:p>
        </w:tc>
        <w:tc>
          <w:tcPr>
            <w:tcW w:w="1653" w:type="dxa"/>
            <w:vAlign w:val="center"/>
          </w:tcPr>
          <w:p w14:paraId="29499D42">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91" w:type="dxa"/>
            <w:vAlign w:val="center"/>
          </w:tcPr>
          <w:p w14:paraId="2223CE6B">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935" w:type="dxa"/>
            <w:vAlign w:val="center"/>
          </w:tcPr>
          <w:p w14:paraId="0356A701">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100≤X＜2000</w:t>
            </w:r>
          </w:p>
        </w:tc>
        <w:tc>
          <w:tcPr>
            <w:tcW w:w="1720" w:type="dxa"/>
            <w:vAlign w:val="center"/>
          </w:tcPr>
          <w:p w14:paraId="0AD6AA62">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10≤X＜100</w:t>
            </w:r>
          </w:p>
        </w:tc>
        <w:tc>
          <w:tcPr>
            <w:tcW w:w="1105" w:type="dxa"/>
            <w:vAlign w:val="center"/>
          </w:tcPr>
          <w:p w14:paraId="0ADFFFBE">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X＜10</w:t>
            </w:r>
          </w:p>
        </w:tc>
      </w:tr>
      <w:tr w14:paraId="329C7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2033" w:type="dxa"/>
            <w:vMerge w:val="continue"/>
            <w:vAlign w:val="center"/>
          </w:tcPr>
          <w:p w14:paraId="599AEDB1">
            <w:pPr>
              <w:widowControl/>
              <w:wordWrap w:val="0"/>
              <w:spacing w:line="360" w:lineRule="auto"/>
              <w:jc w:val="left"/>
              <w:rPr>
                <w:rFonts w:ascii="宋体" w:hAnsi="宋体" w:cs="宋体"/>
                <w:b/>
                <w:bCs/>
                <w:color w:val="auto"/>
                <w:kern w:val="0"/>
                <w:szCs w:val="21"/>
                <w:highlight w:val="none"/>
              </w:rPr>
            </w:pPr>
          </w:p>
        </w:tc>
        <w:tc>
          <w:tcPr>
            <w:tcW w:w="1653" w:type="dxa"/>
            <w:vAlign w:val="center"/>
          </w:tcPr>
          <w:p w14:paraId="24CF8328">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91" w:type="dxa"/>
            <w:vAlign w:val="center"/>
          </w:tcPr>
          <w:p w14:paraId="17178417">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35" w:type="dxa"/>
            <w:vAlign w:val="center"/>
          </w:tcPr>
          <w:p w14:paraId="5946FFA9">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1000≤Y＜100000</w:t>
            </w:r>
          </w:p>
        </w:tc>
        <w:tc>
          <w:tcPr>
            <w:tcW w:w="1720" w:type="dxa"/>
            <w:vAlign w:val="center"/>
          </w:tcPr>
          <w:p w14:paraId="1385D4C4">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100≤Y＜1000</w:t>
            </w:r>
          </w:p>
        </w:tc>
        <w:tc>
          <w:tcPr>
            <w:tcW w:w="1105" w:type="dxa"/>
            <w:vAlign w:val="center"/>
          </w:tcPr>
          <w:p w14:paraId="2A55F58A">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Y＜100</w:t>
            </w:r>
          </w:p>
        </w:tc>
      </w:tr>
      <w:tr w14:paraId="0F6B1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2033" w:type="dxa"/>
            <w:vMerge w:val="restart"/>
            <w:vAlign w:val="bottom"/>
          </w:tcPr>
          <w:p w14:paraId="0B8D50C5">
            <w:pPr>
              <w:widowControl/>
              <w:wordWrap w:val="0"/>
              <w:spacing w:line="360" w:lineRule="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软件和信息技术服务业</w:t>
            </w:r>
          </w:p>
        </w:tc>
        <w:tc>
          <w:tcPr>
            <w:tcW w:w="1653" w:type="dxa"/>
            <w:vAlign w:val="center"/>
          </w:tcPr>
          <w:p w14:paraId="7CC9756A">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91" w:type="dxa"/>
            <w:vAlign w:val="center"/>
          </w:tcPr>
          <w:p w14:paraId="3C93B3D1">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935" w:type="dxa"/>
            <w:vAlign w:val="center"/>
          </w:tcPr>
          <w:p w14:paraId="1CD6849C">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100≤X＜300</w:t>
            </w:r>
          </w:p>
        </w:tc>
        <w:tc>
          <w:tcPr>
            <w:tcW w:w="1720" w:type="dxa"/>
            <w:vAlign w:val="center"/>
          </w:tcPr>
          <w:p w14:paraId="59EA7244">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10≤X＜100</w:t>
            </w:r>
          </w:p>
        </w:tc>
        <w:tc>
          <w:tcPr>
            <w:tcW w:w="1105" w:type="dxa"/>
            <w:vAlign w:val="center"/>
          </w:tcPr>
          <w:p w14:paraId="31F60A5B">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X＜10</w:t>
            </w:r>
          </w:p>
        </w:tc>
      </w:tr>
      <w:tr w14:paraId="7803C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2033" w:type="dxa"/>
            <w:vMerge w:val="continue"/>
            <w:vAlign w:val="center"/>
          </w:tcPr>
          <w:p w14:paraId="492C1B43">
            <w:pPr>
              <w:widowControl/>
              <w:wordWrap w:val="0"/>
              <w:spacing w:line="360" w:lineRule="auto"/>
              <w:jc w:val="left"/>
              <w:rPr>
                <w:rFonts w:ascii="宋体" w:hAnsi="宋体" w:cs="宋体"/>
                <w:b/>
                <w:bCs/>
                <w:color w:val="auto"/>
                <w:kern w:val="0"/>
                <w:szCs w:val="21"/>
                <w:highlight w:val="none"/>
              </w:rPr>
            </w:pPr>
          </w:p>
        </w:tc>
        <w:tc>
          <w:tcPr>
            <w:tcW w:w="1653" w:type="dxa"/>
            <w:vAlign w:val="center"/>
          </w:tcPr>
          <w:p w14:paraId="1AABEADC">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91" w:type="dxa"/>
            <w:vAlign w:val="center"/>
          </w:tcPr>
          <w:p w14:paraId="4DAC7800">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35" w:type="dxa"/>
            <w:vAlign w:val="center"/>
          </w:tcPr>
          <w:p w14:paraId="17E1E5D1">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1000≤Y＜10000</w:t>
            </w:r>
          </w:p>
        </w:tc>
        <w:tc>
          <w:tcPr>
            <w:tcW w:w="1720" w:type="dxa"/>
            <w:vAlign w:val="center"/>
          </w:tcPr>
          <w:p w14:paraId="1D164F02">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50≤Y＜1000</w:t>
            </w:r>
          </w:p>
        </w:tc>
        <w:tc>
          <w:tcPr>
            <w:tcW w:w="1105" w:type="dxa"/>
            <w:vAlign w:val="center"/>
          </w:tcPr>
          <w:p w14:paraId="61136C70">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Y＜50</w:t>
            </w:r>
          </w:p>
        </w:tc>
      </w:tr>
      <w:tr w14:paraId="76785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2033" w:type="dxa"/>
            <w:vMerge w:val="restart"/>
            <w:vAlign w:val="bottom"/>
          </w:tcPr>
          <w:p w14:paraId="497CFF4B">
            <w:pPr>
              <w:widowControl/>
              <w:wordWrap w:val="0"/>
              <w:spacing w:line="360" w:lineRule="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房地产开发经营</w:t>
            </w:r>
          </w:p>
        </w:tc>
        <w:tc>
          <w:tcPr>
            <w:tcW w:w="1653" w:type="dxa"/>
            <w:vAlign w:val="center"/>
          </w:tcPr>
          <w:p w14:paraId="7C7A24B2">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91" w:type="dxa"/>
            <w:vAlign w:val="center"/>
          </w:tcPr>
          <w:p w14:paraId="3D8FB766">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35" w:type="dxa"/>
            <w:vAlign w:val="center"/>
          </w:tcPr>
          <w:p w14:paraId="7CE16DF1">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1000≤Y＜200000</w:t>
            </w:r>
          </w:p>
        </w:tc>
        <w:tc>
          <w:tcPr>
            <w:tcW w:w="1720" w:type="dxa"/>
            <w:vAlign w:val="center"/>
          </w:tcPr>
          <w:p w14:paraId="3FEEE00B">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100≤X＜1000</w:t>
            </w:r>
          </w:p>
        </w:tc>
        <w:tc>
          <w:tcPr>
            <w:tcW w:w="1105" w:type="dxa"/>
            <w:vAlign w:val="center"/>
          </w:tcPr>
          <w:p w14:paraId="62F16ACD">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X＜100</w:t>
            </w:r>
          </w:p>
        </w:tc>
      </w:tr>
      <w:tr w14:paraId="6CD28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2033" w:type="dxa"/>
            <w:vMerge w:val="continue"/>
            <w:vAlign w:val="center"/>
          </w:tcPr>
          <w:p w14:paraId="72DA0F01">
            <w:pPr>
              <w:widowControl/>
              <w:wordWrap w:val="0"/>
              <w:spacing w:line="360" w:lineRule="auto"/>
              <w:jc w:val="left"/>
              <w:rPr>
                <w:rFonts w:ascii="宋体" w:hAnsi="宋体" w:cs="宋体"/>
                <w:b/>
                <w:bCs/>
                <w:color w:val="auto"/>
                <w:kern w:val="0"/>
                <w:szCs w:val="21"/>
                <w:highlight w:val="none"/>
              </w:rPr>
            </w:pPr>
          </w:p>
        </w:tc>
        <w:tc>
          <w:tcPr>
            <w:tcW w:w="1653" w:type="dxa"/>
            <w:vAlign w:val="center"/>
          </w:tcPr>
          <w:p w14:paraId="0BC47180">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资产总额（Z）</w:t>
            </w:r>
          </w:p>
        </w:tc>
        <w:tc>
          <w:tcPr>
            <w:tcW w:w="1091" w:type="dxa"/>
            <w:vAlign w:val="center"/>
          </w:tcPr>
          <w:p w14:paraId="3A4B3EED">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35" w:type="dxa"/>
            <w:vAlign w:val="center"/>
          </w:tcPr>
          <w:p w14:paraId="23B84A0F">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5000≤Z＜10000</w:t>
            </w:r>
          </w:p>
        </w:tc>
        <w:tc>
          <w:tcPr>
            <w:tcW w:w="1720" w:type="dxa"/>
            <w:vAlign w:val="center"/>
          </w:tcPr>
          <w:p w14:paraId="769C1879">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2000≤Y＜5000</w:t>
            </w:r>
          </w:p>
        </w:tc>
        <w:tc>
          <w:tcPr>
            <w:tcW w:w="1105" w:type="dxa"/>
            <w:vAlign w:val="center"/>
          </w:tcPr>
          <w:p w14:paraId="2FC70BAB">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Y＜2000</w:t>
            </w:r>
          </w:p>
        </w:tc>
      </w:tr>
      <w:tr w14:paraId="06A56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2033" w:type="dxa"/>
            <w:vMerge w:val="restart"/>
            <w:vAlign w:val="bottom"/>
          </w:tcPr>
          <w:p w14:paraId="0302A62D">
            <w:pPr>
              <w:widowControl/>
              <w:wordWrap w:val="0"/>
              <w:spacing w:line="360" w:lineRule="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物业管理</w:t>
            </w:r>
          </w:p>
        </w:tc>
        <w:tc>
          <w:tcPr>
            <w:tcW w:w="1653" w:type="dxa"/>
            <w:vAlign w:val="center"/>
          </w:tcPr>
          <w:p w14:paraId="5F6A132F">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91" w:type="dxa"/>
            <w:vAlign w:val="center"/>
          </w:tcPr>
          <w:p w14:paraId="03F58E43">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935" w:type="dxa"/>
            <w:vAlign w:val="center"/>
          </w:tcPr>
          <w:p w14:paraId="52BFE8CC">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300≤X＜1000</w:t>
            </w:r>
          </w:p>
        </w:tc>
        <w:tc>
          <w:tcPr>
            <w:tcW w:w="1720" w:type="dxa"/>
            <w:vAlign w:val="center"/>
          </w:tcPr>
          <w:p w14:paraId="4DC2A5EF">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100≤X＜300</w:t>
            </w:r>
          </w:p>
        </w:tc>
        <w:tc>
          <w:tcPr>
            <w:tcW w:w="1105" w:type="dxa"/>
            <w:vAlign w:val="center"/>
          </w:tcPr>
          <w:p w14:paraId="06B079E9">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X＜100</w:t>
            </w:r>
          </w:p>
        </w:tc>
      </w:tr>
      <w:tr w14:paraId="2EE90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2033" w:type="dxa"/>
            <w:vMerge w:val="continue"/>
            <w:vAlign w:val="center"/>
          </w:tcPr>
          <w:p w14:paraId="32BBEFDF">
            <w:pPr>
              <w:widowControl/>
              <w:wordWrap w:val="0"/>
              <w:spacing w:line="360" w:lineRule="auto"/>
              <w:jc w:val="left"/>
              <w:rPr>
                <w:rFonts w:ascii="宋体" w:hAnsi="宋体" w:cs="宋体"/>
                <w:b/>
                <w:bCs/>
                <w:color w:val="auto"/>
                <w:kern w:val="0"/>
                <w:szCs w:val="21"/>
                <w:highlight w:val="none"/>
              </w:rPr>
            </w:pPr>
          </w:p>
        </w:tc>
        <w:tc>
          <w:tcPr>
            <w:tcW w:w="1653" w:type="dxa"/>
            <w:vAlign w:val="center"/>
          </w:tcPr>
          <w:p w14:paraId="6BD381EE">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91" w:type="dxa"/>
            <w:vAlign w:val="center"/>
          </w:tcPr>
          <w:p w14:paraId="09B555C8">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35" w:type="dxa"/>
            <w:vAlign w:val="center"/>
          </w:tcPr>
          <w:p w14:paraId="15C5F3AA">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1000≤Y＜5000</w:t>
            </w:r>
          </w:p>
        </w:tc>
        <w:tc>
          <w:tcPr>
            <w:tcW w:w="1720" w:type="dxa"/>
            <w:vAlign w:val="center"/>
          </w:tcPr>
          <w:p w14:paraId="4E4A3EE2">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500≤Y＜1000</w:t>
            </w:r>
          </w:p>
        </w:tc>
        <w:tc>
          <w:tcPr>
            <w:tcW w:w="1105" w:type="dxa"/>
            <w:vAlign w:val="center"/>
          </w:tcPr>
          <w:p w14:paraId="593347A7">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Y＜500</w:t>
            </w:r>
          </w:p>
        </w:tc>
      </w:tr>
      <w:tr w14:paraId="78D7D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2033" w:type="dxa"/>
            <w:vMerge w:val="restart"/>
            <w:vAlign w:val="bottom"/>
          </w:tcPr>
          <w:p w14:paraId="28711E63">
            <w:pPr>
              <w:widowControl/>
              <w:wordWrap w:val="0"/>
              <w:spacing w:line="360" w:lineRule="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租赁和商务服务业</w:t>
            </w:r>
          </w:p>
        </w:tc>
        <w:tc>
          <w:tcPr>
            <w:tcW w:w="1653" w:type="dxa"/>
            <w:vAlign w:val="center"/>
          </w:tcPr>
          <w:p w14:paraId="4C80AC00">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91" w:type="dxa"/>
            <w:vAlign w:val="center"/>
          </w:tcPr>
          <w:p w14:paraId="327220F0">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935" w:type="dxa"/>
            <w:vAlign w:val="center"/>
          </w:tcPr>
          <w:p w14:paraId="44495D47">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100≤X＜300</w:t>
            </w:r>
          </w:p>
        </w:tc>
        <w:tc>
          <w:tcPr>
            <w:tcW w:w="1720" w:type="dxa"/>
            <w:vAlign w:val="center"/>
          </w:tcPr>
          <w:p w14:paraId="732C7CDF">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10≤X＜100</w:t>
            </w:r>
          </w:p>
        </w:tc>
        <w:tc>
          <w:tcPr>
            <w:tcW w:w="1105" w:type="dxa"/>
            <w:vAlign w:val="center"/>
          </w:tcPr>
          <w:p w14:paraId="2FD59429">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X＜10</w:t>
            </w:r>
          </w:p>
        </w:tc>
      </w:tr>
      <w:tr w14:paraId="7D150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2033" w:type="dxa"/>
            <w:vMerge w:val="continue"/>
            <w:vAlign w:val="center"/>
          </w:tcPr>
          <w:p w14:paraId="21492E1D">
            <w:pPr>
              <w:widowControl/>
              <w:wordWrap w:val="0"/>
              <w:spacing w:line="360" w:lineRule="auto"/>
              <w:jc w:val="left"/>
              <w:rPr>
                <w:rFonts w:ascii="宋体" w:hAnsi="宋体" w:cs="宋体"/>
                <w:b/>
                <w:bCs/>
                <w:color w:val="auto"/>
                <w:kern w:val="0"/>
                <w:szCs w:val="21"/>
                <w:highlight w:val="none"/>
              </w:rPr>
            </w:pPr>
          </w:p>
        </w:tc>
        <w:tc>
          <w:tcPr>
            <w:tcW w:w="1653" w:type="dxa"/>
            <w:vAlign w:val="center"/>
          </w:tcPr>
          <w:p w14:paraId="68D8CB4B">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资产总额（Z）</w:t>
            </w:r>
          </w:p>
        </w:tc>
        <w:tc>
          <w:tcPr>
            <w:tcW w:w="1091" w:type="dxa"/>
            <w:vAlign w:val="center"/>
          </w:tcPr>
          <w:p w14:paraId="4BD91264">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35" w:type="dxa"/>
            <w:vAlign w:val="center"/>
          </w:tcPr>
          <w:p w14:paraId="12F90BFA">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8000≤Z＜120000</w:t>
            </w:r>
          </w:p>
        </w:tc>
        <w:tc>
          <w:tcPr>
            <w:tcW w:w="1720" w:type="dxa"/>
            <w:vAlign w:val="center"/>
          </w:tcPr>
          <w:p w14:paraId="47BBB110">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100≤Z＜8000</w:t>
            </w:r>
          </w:p>
        </w:tc>
        <w:tc>
          <w:tcPr>
            <w:tcW w:w="1105" w:type="dxa"/>
            <w:vAlign w:val="center"/>
          </w:tcPr>
          <w:p w14:paraId="007050DD">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Y＜100</w:t>
            </w:r>
          </w:p>
        </w:tc>
      </w:tr>
      <w:tr w14:paraId="35FE7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2033" w:type="dxa"/>
            <w:vAlign w:val="bottom"/>
          </w:tcPr>
          <w:p w14:paraId="51FA2342">
            <w:pPr>
              <w:widowControl/>
              <w:wordWrap w:val="0"/>
              <w:spacing w:line="360" w:lineRule="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其他未列明行业</w:t>
            </w:r>
          </w:p>
        </w:tc>
        <w:tc>
          <w:tcPr>
            <w:tcW w:w="1653" w:type="dxa"/>
            <w:vAlign w:val="center"/>
          </w:tcPr>
          <w:p w14:paraId="316E5EEC">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91" w:type="dxa"/>
            <w:vAlign w:val="center"/>
          </w:tcPr>
          <w:p w14:paraId="7E5F7B58">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935" w:type="dxa"/>
            <w:vAlign w:val="center"/>
          </w:tcPr>
          <w:p w14:paraId="0898A62D">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100≤X＜300</w:t>
            </w:r>
          </w:p>
        </w:tc>
        <w:tc>
          <w:tcPr>
            <w:tcW w:w="1720" w:type="dxa"/>
            <w:vAlign w:val="center"/>
          </w:tcPr>
          <w:p w14:paraId="7C50DD97">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10≤X＜100</w:t>
            </w:r>
          </w:p>
        </w:tc>
        <w:tc>
          <w:tcPr>
            <w:tcW w:w="1105" w:type="dxa"/>
            <w:vAlign w:val="center"/>
          </w:tcPr>
          <w:p w14:paraId="37B56895">
            <w:pPr>
              <w:widowControl/>
              <w:wordWrap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X＜10</w:t>
            </w:r>
          </w:p>
        </w:tc>
      </w:tr>
    </w:tbl>
    <w:p w14:paraId="60A4AF31">
      <w:pPr>
        <w:wordWrap w:val="0"/>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70FA5ADE">
      <w:pPr>
        <w:widowControl/>
        <w:wordWrap w:val="0"/>
        <w:spacing w:line="360" w:lineRule="auto"/>
        <w:jc w:val="left"/>
        <w:rPr>
          <w:rFonts w:ascii="宋体" w:hAnsi="宋体" w:cs="宋体"/>
          <w:color w:val="auto"/>
          <w:szCs w:val="20"/>
          <w:highlight w:val="none"/>
        </w:rPr>
        <w:sectPr>
          <w:footerReference r:id="rId5" w:type="default"/>
          <w:pgSz w:w="11906" w:h="16838"/>
          <w:pgMar w:top="1440" w:right="1080" w:bottom="1440" w:left="1080" w:header="720" w:footer="720" w:gutter="0"/>
          <w:pgNumType w:fmt="decimal"/>
          <w:cols w:space="720" w:num="1"/>
          <w:docGrid w:type="lines" w:linePitch="331" w:charSpace="0"/>
        </w:sectPr>
      </w:pPr>
    </w:p>
    <w:p w14:paraId="2976450B">
      <w:pPr>
        <w:pStyle w:val="12"/>
        <w:wordWrap w:val="0"/>
        <w:spacing w:line="360" w:lineRule="auto"/>
        <w:jc w:val="center"/>
        <w:outlineLvl w:val="0"/>
        <w:rPr>
          <w:rFonts w:hAnsi="宋体" w:cs="宋体"/>
          <w:b/>
          <w:color w:val="auto"/>
          <w:sz w:val="36"/>
          <w:szCs w:val="36"/>
          <w:highlight w:val="none"/>
        </w:rPr>
      </w:pPr>
      <w:bookmarkStart w:id="11" w:name="_Toc10629"/>
      <w:bookmarkStart w:id="12" w:name="_Toc532545044"/>
      <w:r>
        <w:rPr>
          <w:rFonts w:hint="eastAsia" w:hAnsi="宋体" w:cs="宋体"/>
          <w:b/>
          <w:color w:val="auto"/>
          <w:sz w:val="36"/>
          <w:highlight w:val="none"/>
        </w:rPr>
        <w:t>第三章  投标人须知</w:t>
      </w:r>
      <w:bookmarkEnd w:id="11"/>
      <w:bookmarkEnd w:id="12"/>
    </w:p>
    <w:p w14:paraId="2DD79E92">
      <w:pPr>
        <w:pStyle w:val="12"/>
        <w:wordWrap w:val="0"/>
        <w:spacing w:line="360" w:lineRule="auto"/>
        <w:jc w:val="center"/>
        <w:outlineLvl w:val="1"/>
        <w:rPr>
          <w:rFonts w:hAnsi="宋体" w:cs="宋体"/>
          <w:b/>
          <w:color w:val="auto"/>
          <w:sz w:val="30"/>
          <w:szCs w:val="30"/>
          <w:highlight w:val="none"/>
        </w:rPr>
      </w:pPr>
      <w:bookmarkStart w:id="13" w:name="_Toc10583"/>
      <w:r>
        <w:rPr>
          <w:rFonts w:hint="eastAsia" w:hAnsi="宋体" w:cs="宋体"/>
          <w:b/>
          <w:color w:val="auto"/>
          <w:sz w:val="30"/>
          <w:szCs w:val="30"/>
          <w:highlight w:val="none"/>
        </w:rPr>
        <w:t>第一节 投标人须知前附表</w:t>
      </w:r>
      <w:bookmarkEnd w:id="13"/>
    </w:p>
    <w:tbl>
      <w:tblPr>
        <w:tblStyle w:val="22"/>
        <w:tblW w:w="1043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2268"/>
        <w:gridCol w:w="7297"/>
      </w:tblGrid>
      <w:tr w14:paraId="7C5D1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vAlign w:val="center"/>
          </w:tcPr>
          <w:p w14:paraId="03AB7717">
            <w:pPr>
              <w:wordWrap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条款号</w:t>
            </w:r>
          </w:p>
        </w:tc>
        <w:tc>
          <w:tcPr>
            <w:tcW w:w="2268" w:type="dxa"/>
            <w:vAlign w:val="center"/>
          </w:tcPr>
          <w:p w14:paraId="2C03C80B">
            <w:pPr>
              <w:wordWrap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项目内容</w:t>
            </w:r>
          </w:p>
        </w:tc>
        <w:tc>
          <w:tcPr>
            <w:tcW w:w="7297" w:type="dxa"/>
            <w:vAlign w:val="center"/>
          </w:tcPr>
          <w:p w14:paraId="364787D1">
            <w:pPr>
              <w:wordWrap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编列内容</w:t>
            </w:r>
          </w:p>
        </w:tc>
      </w:tr>
      <w:tr w14:paraId="44954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vAlign w:val="center"/>
          </w:tcPr>
          <w:p w14:paraId="5D4E0D84">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6.1</w:t>
            </w:r>
          </w:p>
        </w:tc>
        <w:tc>
          <w:tcPr>
            <w:tcW w:w="2268" w:type="dxa"/>
            <w:vAlign w:val="center"/>
          </w:tcPr>
          <w:p w14:paraId="43107E1E">
            <w:pPr>
              <w:wordWrap w:val="0"/>
              <w:spacing w:line="360" w:lineRule="auto"/>
              <w:rPr>
                <w:rFonts w:ascii="宋体" w:hAnsi="宋体" w:cs="宋体"/>
                <w:color w:val="auto"/>
                <w:szCs w:val="21"/>
                <w:highlight w:val="none"/>
              </w:rPr>
            </w:pPr>
            <w:bookmarkStart w:id="14" w:name="_8.1"/>
            <w:bookmarkEnd w:id="14"/>
            <w:bookmarkStart w:id="15" w:name="_5"/>
            <w:bookmarkEnd w:id="15"/>
            <w:bookmarkStart w:id="16" w:name="_9.2"/>
            <w:bookmarkEnd w:id="16"/>
            <w:r>
              <w:rPr>
                <w:rFonts w:hint="eastAsia" w:ascii="宋体" w:hAnsi="宋体" w:cs="宋体"/>
                <w:color w:val="auto"/>
                <w:szCs w:val="21"/>
                <w:highlight w:val="none"/>
              </w:rPr>
              <w:t>是否接受联合体投标</w:t>
            </w:r>
          </w:p>
        </w:tc>
        <w:tc>
          <w:tcPr>
            <w:tcW w:w="7297" w:type="dxa"/>
            <w:vAlign w:val="center"/>
          </w:tcPr>
          <w:p w14:paraId="6CB84494">
            <w:pPr>
              <w:pStyle w:val="8"/>
              <w:wordWrap w:val="0"/>
              <w:spacing w:line="360" w:lineRule="auto"/>
              <w:rPr>
                <w:rFonts w:ascii="宋体" w:hAnsi="宋体" w:cs="宋体"/>
                <w:color w:val="auto"/>
                <w:szCs w:val="21"/>
                <w:highlight w:val="none"/>
              </w:rPr>
            </w:pPr>
            <w:r>
              <w:rPr>
                <w:rFonts w:hint="eastAsia" w:ascii="宋体" w:hAnsi="宋体" w:cs="宋体"/>
                <w:color w:val="auto"/>
                <w:szCs w:val="21"/>
                <w:highlight w:val="none"/>
              </w:rPr>
              <w:t>不允许联合体投标</w:t>
            </w:r>
          </w:p>
        </w:tc>
      </w:tr>
      <w:tr w14:paraId="45964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vAlign w:val="center"/>
          </w:tcPr>
          <w:p w14:paraId="26123EED">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6.2</w:t>
            </w:r>
          </w:p>
        </w:tc>
        <w:tc>
          <w:tcPr>
            <w:tcW w:w="2268" w:type="dxa"/>
            <w:vAlign w:val="center"/>
          </w:tcPr>
          <w:p w14:paraId="52BB2FB8">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联合体投标要求</w:t>
            </w:r>
          </w:p>
        </w:tc>
        <w:tc>
          <w:tcPr>
            <w:tcW w:w="7297" w:type="dxa"/>
            <w:vAlign w:val="center"/>
          </w:tcPr>
          <w:p w14:paraId="0BD0769A">
            <w:pPr>
              <w:pStyle w:val="8"/>
              <w:wordWrap w:val="0"/>
              <w:spacing w:line="360" w:lineRule="auto"/>
              <w:rPr>
                <w:rFonts w:ascii="宋体" w:hAnsi="宋体" w:cs="宋体"/>
                <w:color w:val="auto"/>
                <w:szCs w:val="21"/>
                <w:highlight w:val="none"/>
              </w:rPr>
            </w:pPr>
            <w:r>
              <w:rPr>
                <w:rFonts w:hint="eastAsia" w:ascii="宋体" w:hAnsi="宋体" w:cs="宋体"/>
                <w:color w:val="auto"/>
                <w:szCs w:val="21"/>
                <w:highlight w:val="none"/>
              </w:rPr>
              <w:t>无</w:t>
            </w:r>
          </w:p>
        </w:tc>
      </w:tr>
      <w:tr w14:paraId="3B124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vAlign w:val="center"/>
          </w:tcPr>
          <w:p w14:paraId="55A1304E">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7.2</w:t>
            </w:r>
          </w:p>
        </w:tc>
        <w:tc>
          <w:tcPr>
            <w:tcW w:w="2268" w:type="dxa"/>
            <w:vAlign w:val="center"/>
          </w:tcPr>
          <w:p w14:paraId="6D6AD3BE">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是否允许转包/分包</w:t>
            </w:r>
          </w:p>
        </w:tc>
        <w:tc>
          <w:tcPr>
            <w:tcW w:w="7297" w:type="dxa"/>
            <w:vAlign w:val="center"/>
          </w:tcPr>
          <w:p w14:paraId="7944ED54">
            <w:pPr>
              <w:pStyle w:val="8"/>
              <w:wordWrap w:val="0"/>
              <w:spacing w:line="360" w:lineRule="auto"/>
              <w:rPr>
                <w:rFonts w:ascii="宋体" w:hAnsi="宋体" w:cs="宋体"/>
                <w:color w:val="auto"/>
                <w:szCs w:val="21"/>
                <w:highlight w:val="none"/>
              </w:rPr>
            </w:pPr>
            <w:bookmarkStart w:id="17" w:name="PO_3000001866_PM044"/>
            <w:r>
              <w:rPr>
                <w:rFonts w:hint="eastAsia" w:ascii="宋体" w:hAnsi="宋体" w:cs="宋体"/>
                <w:color w:val="auto"/>
                <w:szCs w:val="21"/>
                <w:highlight w:val="none"/>
              </w:rPr>
              <w:t>☑不允许分包</w:t>
            </w:r>
            <w:bookmarkEnd w:id="17"/>
          </w:p>
          <w:p w14:paraId="5379F3E3">
            <w:pPr>
              <w:pStyle w:val="8"/>
              <w:wordWrap w:val="0"/>
              <w:spacing w:line="360" w:lineRule="auto"/>
              <w:rPr>
                <w:rFonts w:ascii="宋体" w:hAnsi="宋体" w:cs="宋体"/>
                <w:color w:val="auto"/>
                <w:szCs w:val="21"/>
                <w:highlight w:val="none"/>
              </w:rPr>
            </w:pPr>
            <w:r>
              <w:rPr>
                <w:rFonts w:hint="eastAsia" w:ascii="宋体" w:hAnsi="宋体" w:cs="宋体"/>
                <w:color w:val="auto"/>
                <w:szCs w:val="21"/>
                <w:highlight w:val="none"/>
              </w:rPr>
              <w:t>□转包/分包内容：</w:t>
            </w:r>
            <w:r>
              <w:rPr>
                <w:rFonts w:hint="eastAsia" w:ascii="宋体" w:hAnsi="宋体" w:cs="宋体"/>
                <w:color w:val="auto"/>
                <w:szCs w:val="21"/>
                <w:highlight w:val="none"/>
                <w:u w:val="single"/>
              </w:rPr>
              <w:t xml:space="preserve">                                     。</w:t>
            </w:r>
          </w:p>
          <w:p w14:paraId="507E0D60">
            <w:pPr>
              <w:pStyle w:val="8"/>
              <w:wordWrap w:val="0"/>
              <w:spacing w:line="360" w:lineRule="auto"/>
              <w:rPr>
                <w:rFonts w:ascii="宋体" w:hAnsi="宋体" w:cs="宋体"/>
                <w:color w:val="auto"/>
                <w:szCs w:val="21"/>
                <w:highlight w:val="none"/>
              </w:rPr>
            </w:pPr>
            <w:r>
              <w:rPr>
                <w:rFonts w:hint="eastAsia" w:ascii="宋体" w:hAnsi="宋体" w:cs="宋体"/>
                <w:color w:val="auto"/>
                <w:szCs w:val="21"/>
                <w:highlight w:val="none"/>
              </w:rPr>
              <w:t>□转包/分包金额或者比例：</w:t>
            </w:r>
            <w:r>
              <w:rPr>
                <w:rFonts w:hint="eastAsia" w:ascii="宋体" w:hAnsi="宋体" w:cs="宋体"/>
                <w:color w:val="auto"/>
                <w:szCs w:val="21"/>
                <w:highlight w:val="none"/>
                <w:u w:val="single"/>
              </w:rPr>
              <w:t xml:space="preserve">                                     。</w:t>
            </w:r>
          </w:p>
        </w:tc>
      </w:tr>
      <w:tr w14:paraId="402BA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vAlign w:val="center"/>
          </w:tcPr>
          <w:p w14:paraId="03583B15">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11.4</w:t>
            </w:r>
          </w:p>
        </w:tc>
        <w:tc>
          <w:tcPr>
            <w:tcW w:w="2268" w:type="dxa"/>
            <w:vAlign w:val="center"/>
          </w:tcPr>
          <w:p w14:paraId="5B2A03C9">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媒体发布渠道</w:t>
            </w:r>
          </w:p>
        </w:tc>
        <w:tc>
          <w:tcPr>
            <w:tcW w:w="7297" w:type="dxa"/>
            <w:vAlign w:val="center"/>
          </w:tcPr>
          <w:p w14:paraId="75376758">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与本项目相关的政府采购业务澄清、更正及与之相关的事项将在采购公告中“六、其他补充事宜”中网上查询地址上发布</w:t>
            </w:r>
            <w:r>
              <w:rPr>
                <w:rFonts w:hint="eastAsia" w:ascii="宋体" w:hAnsi="宋体" w:cs="宋体"/>
                <w:color w:val="auto"/>
                <w:kern w:val="0"/>
                <w:szCs w:val="21"/>
                <w:highlight w:val="none"/>
              </w:rPr>
              <w:t>。</w:t>
            </w:r>
          </w:p>
        </w:tc>
      </w:tr>
      <w:tr w14:paraId="2A81D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vAlign w:val="center"/>
          </w:tcPr>
          <w:p w14:paraId="79A47BEE">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11.6</w:t>
            </w:r>
          </w:p>
        </w:tc>
        <w:tc>
          <w:tcPr>
            <w:tcW w:w="2268" w:type="dxa"/>
            <w:vAlign w:val="center"/>
          </w:tcPr>
          <w:p w14:paraId="62943DC4">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是否组织标前答疑会</w:t>
            </w:r>
          </w:p>
        </w:tc>
        <w:tc>
          <w:tcPr>
            <w:tcW w:w="7297" w:type="dxa"/>
            <w:vAlign w:val="center"/>
          </w:tcPr>
          <w:p w14:paraId="04C063C8">
            <w:pPr>
              <w:wordWrap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☑不组织召开开标前答疑会</w:t>
            </w:r>
          </w:p>
          <w:p w14:paraId="5EE628F0">
            <w:pPr>
              <w:wordWrap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□组织召开开标前答疑会</w:t>
            </w:r>
          </w:p>
          <w:p w14:paraId="5EC102C8">
            <w:pPr>
              <w:wordWrap w:val="0"/>
              <w:snapToGrid w:val="0"/>
              <w:spacing w:line="360" w:lineRule="auto"/>
              <w:rPr>
                <w:rFonts w:ascii="宋体" w:hAnsi="宋体" w:cs="宋体"/>
                <w:color w:val="auto"/>
                <w:szCs w:val="21"/>
                <w:highlight w:val="none"/>
                <w:u w:val="single"/>
              </w:rPr>
            </w:pPr>
            <w:r>
              <w:rPr>
                <w:rFonts w:hint="eastAsia" w:ascii="宋体" w:hAnsi="宋体" w:cs="宋体"/>
                <w:color w:val="auto"/>
                <w:szCs w:val="21"/>
                <w:highlight w:val="none"/>
              </w:rPr>
              <w:t>会议开始时间：年</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日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分</w:t>
            </w:r>
            <w:r>
              <w:rPr>
                <w:rFonts w:hint="eastAsia" w:ascii="宋体" w:hAnsi="宋体" w:cs="宋体"/>
                <w:color w:val="auto"/>
                <w:szCs w:val="21"/>
                <w:highlight w:val="none"/>
              </w:rPr>
              <w:t>，逾期后果自负。会议地点：</w:t>
            </w:r>
          </w:p>
        </w:tc>
      </w:tr>
      <w:tr w14:paraId="3971F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vAlign w:val="center"/>
          </w:tcPr>
          <w:p w14:paraId="59B43EE9">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13.1</w:t>
            </w:r>
          </w:p>
        </w:tc>
        <w:tc>
          <w:tcPr>
            <w:tcW w:w="2268" w:type="dxa"/>
            <w:vAlign w:val="center"/>
          </w:tcPr>
          <w:p w14:paraId="3691776B">
            <w:pPr>
              <w:wordWrap w:val="0"/>
              <w:snapToGrid w:val="0"/>
              <w:spacing w:line="360" w:lineRule="auto"/>
              <w:jc w:val="left"/>
              <w:rPr>
                <w:rFonts w:ascii="宋体" w:hAnsi="宋体" w:cs="宋体"/>
                <w:color w:val="auto"/>
                <w:szCs w:val="21"/>
                <w:highlight w:val="none"/>
              </w:rPr>
            </w:pPr>
            <w:bookmarkStart w:id="18" w:name="_13.2"/>
            <w:bookmarkEnd w:id="18"/>
            <w:r>
              <w:rPr>
                <w:rFonts w:hint="eastAsia" w:ascii="宋体" w:hAnsi="宋体" w:cs="宋体"/>
                <w:color w:val="auto"/>
                <w:szCs w:val="21"/>
                <w:highlight w:val="none"/>
              </w:rPr>
              <w:t>资格证明文件组成</w:t>
            </w:r>
          </w:p>
        </w:tc>
        <w:tc>
          <w:tcPr>
            <w:tcW w:w="7297" w:type="dxa"/>
            <w:vAlign w:val="center"/>
          </w:tcPr>
          <w:p w14:paraId="61C7BC8B">
            <w:pPr>
              <w:wordWrap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1.投标人为法人或者其他组织的，提供营业执照等证明文件（如营业执照或者事业单位法人证书或者</w:t>
            </w:r>
            <w:r>
              <w:rPr>
                <w:rStyle w:val="30"/>
                <w:rFonts w:hint="eastAsia"/>
                <w:color w:val="auto"/>
                <w:sz w:val="21"/>
                <w:szCs w:val="21"/>
                <w:highlight w:val="none"/>
              </w:rPr>
              <w:t>执业许可证</w:t>
            </w:r>
            <w:r>
              <w:rPr>
                <w:rFonts w:hint="eastAsia" w:ascii="宋体" w:hAnsi="宋体" w:cs="宋体"/>
                <w:color w:val="auto"/>
                <w:szCs w:val="21"/>
                <w:highlight w:val="none"/>
              </w:rPr>
              <w:t>等），投标人为自然人的，提供身份证复印件。（</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1696E83D">
            <w:pPr>
              <w:wordWrap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2.投标人依法缴纳税收的相关材料[</w:t>
            </w:r>
            <w:r>
              <w:rPr>
                <w:rFonts w:hint="eastAsia" w:ascii="宋体" w:hAnsi="宋体" w:cs="宋体"/>
                <w:color w:val="auto"/>
                <w:szCs w:val="21"/>
                <w:highlight w:val="none"/>
                <w:u w:val="single"/>
              </w:rPr>
              <w:t xml:space="preserve"> 2025</w:t>
            </w:r>
            <w:r>
              <w:rPr>
                <w:rFonts w:hint="eastAsia" w:ascii="宋体" w:hAnsi="宋体" w:cs="宋体"/>
                <w:color w:val="auto"/>
                <w:szCs w:val="21"/>
                <w:highlight w:val="none"/>
              </w:rPr>
              <w:t>年</w:t>
            </w:r>
            <w:r>
              <w:rPr>
                <w:rFonts w:hint="eastAsia" w:ascii="宋体" w:hAnsi="宋体" w:cs="宋体"/>
                <w:color w:val="auto"/>
                <w:szCs w:val="21"/>
                <w:highlight w:val="none"/>
                <w:u w:val="single"/>
              </w:rPr>
              <w:t>1</w:t>
            </w:r>
            <w:r>
              <w:rPr>
                <w:rFonts w:hint="eastAsia" w:ascii="宋体" w:hAnsi="宋体" w:cs="宋体"/>
                <w:color w:val="auto"/>
                <w:szCs w:val="21"/>
                <w:highlight w:val="none"/>
                <w:u w:val="single"/>
                <w:lang w:val="en-US" w:eastAsia="zh-CN"/>
              </w:rPr>
              <w:t>2</w:t>
            </w:r>
            <w:r>
              <w:rPr>
                <w:rFonts w:hint="eastAsia" w:ascii="宋体" w:hAnsi="宋体" w:cs="宋体"/>
                <w:color w:val="auto"/>
                <w:szCs w:val="21"/>
                <w:highlight w:val="none"/>
              </w:rPr>
              <w:t>月至</w:t>
            </w:r>
            <w:r>
              <w:rPr>
                <w:rFonts w:hint="eastAsia" w:ascii="宋体" w:hAnsi="宋体" w:cs="宋体"/>
                <w:color w:val="auto"/>
                <w:szCs w:val="21"/>
                <w:highlight w:val="none"/>
                <w:u w:val="single"/>
              </w:rPr>
              <w:t>2026</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rPr>
              <w:t>月]连续</w:t>
            </w:r>
            <w:r>
              <w:rPr>
                <w:rFonts w:hint="eastAsia" w:ascii="宋体" w:hAnsi="宋体" w:cs="宋体"/>
                <w:color w:val="auto"/>
                <w:szCs w:val="21"/>
                <w:highlight w:val="none"/>
                <w:u w:val="single"/>
              </w:rPr>
              <w:t xml:space="preserve"> 三 </w:t>
            </w:r>
            <w:r>
              <w:rPr>
                <w:rFonts w:hint="eastAsia" w:ascii="宋体" w:hAnsi="宋体" w:cs="宋体"/>
                <w:color w:val="auto"/>
                <w:szCs w:val="21"/>
                <w:highlight w:val="none"/>
              </w:rPr>
              <w:t>个月的依法缴纳税收的凭据复印件；依法免税的供应商，必须提供相应文件证明其依法免税。从取得营业执照时间起到投标文件提交截止时间为止不足要求月数的，只需提供从取得营业执照起的依法缴纳税收相应证明文件）。（</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1C945990">
            <w:pPr>
              <w:wordWrap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3.投标人依法缴纳社会保障资金的相关材料[</w:t>
            </w:r>
            <w:r>
              <w:rPr>
                <w:rFonts w:hint="eastAsia" w:ascii="宋体" w:hAnsi="宋体" w:cs="宋体"/>
                <w:color w:val="auto"/>
                <w:szCs w:val="21"/>
                <w:highlight w:val="none"/>
                <w:u w:val="single"/>
              </w:rPr>
              <w:t>2025</w:t>
            </w:r>
            <w:r>
              <w:rPr>
                <w:rFonts w:hint="eastAsia" w:ascii="宋体" w:hAnsi="宋体" w:cs="宋体"/>
                <w:color w:val="auto"/>
                <w:szCs w:val="21"/>
                <w:highlight w:val="none"/>
              </w:rPr>
              <w:t>年</w:t>
            </w:r>
            <w:r>
              <w:rPr>
                <w:rFonts w:hint="eastAsia" w:ascii="宋体" w:hAnsi="宋体" w:cs="宋体"/>
                <w:color w:val="auto"/>
                <w:szCs w:val="21"/>
                <w:highlight w:val="none"/>
                <w:u w:val="single"/>
              </w:rPr>
              <w:t>1</w:t>
            </w:r>
            <w:r>
              <w:rPr>
                <w:rFonts w:hint="eastAsia" w:ascii="宋体" w:hAnsi="宋体" w:cs="宋体"/>
                <w:color w:val="auto"/>
                <w:szCs w:val="21"/>
                <w:highlight w:val="none"/>
                <w:u w:val="single"/>
                <w:lang w:val="en-US" w:eastAsia="zh-CN"/>
              </w:rPr>
              <w:t>2</w:t>
            </w:r>
            <w:r>
              <w:rPr>
                <w:rFonts w:hint="eastAsia" w:ascii="宋体" w:hAnsi="宋体" w:cs="宋体"/>
                <w:color w:val="auto"/>
                <w:szCs w:val="21"/>
                <w:highlight w:val="none"/>
              </w:rPr>
              <w:t>月至</w:t>
            </w:r>
            <w:r>
              <w:rPr>
                <w:rFonts w:hint="eastAsia" w:ascii="宋体" w:hAnsi="宋体" w:cs="宋体"/>
                <w:color w:val="auto"/>
                <w:szCs w:val="21"/>
                <w:highlight w:val="none"/>
                <w:u w:val="single"/>
              </w:rPr>
              <w:t>2026</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rPr>
              <w:t>月]连续</w:t>
            </w:r>
            <w:r>
              <w:rPr>
                <w:rFonts w:hint="eastAsia" w:ascii="宋体" w:hAnsi="宋体" w:cs="宋体"/>
                <w:color w:val="auto"/>
                <w:szCs w:val="21"/>
                <w:highlight w:val="none"/>
                <w:u w:val="single"/>
              </w:rPr>
              <w:t xml:space="preserve"> 三 </w:t>
            </w:r>
            <w:r>
              <w:rPr>
                <w:rFonts w:hint="eastAsia" w:ascii="宋体" w:hAnsi="宋体" w:cs="宋体"/>
                <w:color w:val="auto"/>
                <w:szCs w:val="21"/>
                <w:highlight w:val="none"/>
              </w:rPr>
              <w:t>个月的依法缴纳社会保障资金的缴费凭证（专用收据或者社会保险缴纳清单）复印件；依法不需要缴纳社会保障资金的供应商，必须提供相应文件证明不需要缴纳社会保障资金。从取得营业执照时间起到投标文件提交截止时间为止不足要求月数的只需提供从取得营业执照起的依法缴纳社会保障资金的相应证明文件。（</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6B1DDA87">
            <w:pPr>
              <w:wordWrap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4.投标人财务状况报告：[</w:t>
            </w:r>
            <w:r>
              <w:rPr>
                <w:rFonts w:hint="eastAsia" w:ascii="宋体" w:hAnsi="宋体" w:cs="宋体"/>
                <w:color w:val="auto"/>
                <w:szCs w:val="21"/>
                <w:highlight w:val="none"/>
                <w:u w:val="single"/>
              </w:rPr>
              <w:t>2024</w:t>
            </w:r>
            <w:r>
              <w:rPr>
                <w:rFonts w:hint="eastAsia" w:ascii="宋体" w:hAnsi="宋体" w:cs="宋体"/>
                <w:color w:val="auto"/>
                <w:szCs w:val="21"/>
                <w:highlight w:val="none"/>
              </w:rPr>
              <w:t>年或者</w:t>
            </w:r>
            <w:r>
              <w:rPr>
                <w:rFonts w:hint="eastAsia" w:ascii="宋体" w:hAnsi="宋体" w:cs="宋体"/>
                <w:color w:val="auto"/>
                <w:szCs w:val="21"/>
                <w:highlight w:val="none"/>
                <w:u w:val="single"/>
              </w:rPr>
              <w:t>2025</w:t>
            </w:r>
            <w:r>
              <w:rPr>
                <w:rFonts w:hint="eastAsia" w:ascii="宋体" w:hAnsi="宋体" w:cs="宋体"/>
                <w:color w:val="auto"/>
                <w:szCs w:val="21"/>
                <w:highlight w:val="none"/>
              </w:rPr>
              <w:t>年]财务状况报告复印件；供应商成立不满一年的应提供截标之日上一个月的财务状况报告复印件。（上述财务状况报告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1A2BAAEA">
            <w:pPr>
              <w:wordWrap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5.投标人直接控股股东信息表、投标人直接管理关系信息表。（</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6FD26877">
            <w:pPr>
              <w:wordWrap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6.投标资格声明函。（</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244E2132">
            <w:pPr>
              <w:snapToGrid w:val="0"/>
              <w:spacing w:line="360" w:lineRule="auto"/>
              <w:jc w:val="left"/>
              <w:rPr>
                <w:rFonts w:ascii="宋体" w:hAnsi="宋体" w:cs="宋体"/>
                <w:b/>
                <w:bCs/>
                <w:color w:val="auto"/>
                <w:szCs w:val="21"/>
                <w:highlight w:val="none"/>
              </w:rPr>
            </w:pPr>
            <w:r>
              <w:rPr>
                <w:rFonts w:hint="eastAsia" w:ascii="宋体" w:hAnsi="宋体" w:cs="宋体"/>
                <w:color w:val="auto"/>
                <w:szCs w:val="21"/>
                <w:highlight w:val="none"/>
              </w:rPr>
              <w:t>7.联合体协议书。</w:t>
            </w:r>
            <w:r>
              <w:rPr>
                <w:rFonts w:hint="eastAsia" w:ascii="宋体" w:hAnsi="宋体" w:cs="宋体"/>
                <w:b/>
                <w:bCs/>
                <w:color w:val="auto"/>
                <w:szCs w:val="21"/>
                <w:highlight w:val="none"/>
              </w:rPr>
              <w:t>（以联合体形式投标的，提供联合体协议；本项目不接受联合体投标或者投标人不以联合体形式投标的，则不需要提供）</w:t>
            </w:r>
          </w:p>
          <w:p w14:paraId="087F4467">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.除招标文件规定必须提供以外，投标人认为需要提供的其他证明材料。</w:t>
            </w:r>
          </w:p>
          <w:p w14:paraId="6613EBB0">
            <w:pPr>
              <w:wordWrap w:val="0"/>
              <w:snapToGrid w:val="0"/>
              <w:spacing w:line="360" w:lineRule="auto"/>
              <w:jc w:val="left"/>
              <w:rPr>
                <w:rFonts w:ascii="宋体" w:hAnsi="宋体" w:cs="宋体"/>
                <w:b/>
                <w:color w:val="auto"/>
                <w:szCs w:val="21"/>
                <w:highlight w:val="none"/>
              </w:rPr>
            </w:pPr>
            <w:r>
              <w:rPr>
                <w:rFonts w:hint="eastAsia" w:ascii="宋体" w:hAnsi="宋体" w:cs="宋体"/>
                <w:b/>
                <w:bCs/>
                <w:color w:val="auto"/>
                <w:szCs w:val="21"/>
                <w:highlight w:val="none"/>
              </w:rPr>
              <w:t>注：1.以上标明“必须提供”的材料</w:t>
            </w:r>
            <w:r>
              <w:rPr>
                <w:rFonts w:hint="eastAsia" w:ascii="宋体" w:hAnsi="宋体" w:cs="宋体"/>
                <w:b/>
                <w:color w:val="auto"/>
                <w:szCs w:val="21"/>
                <w:highlight w:val="none"/>
              </w:rPr>
              <w:t>属于复印件的扫描件的</w:t>
            </w:r>
            <w:r>
              <w:rPr>
                <w:rFonts w:hint="eastAsia" w:ascii="宋体" w:hAnsi="宋体" w:cs="宋体"/>
                <w:b/>
                <w:bCs/>
                <w:color w:val="auto"/>
                <w:szCs w:val="21"/>
                <w:highlight w:val="none"/>
              </w:rPr>
              <w:t>，必须加盖投标人电子公章，否则</w:t>
            </w:r>
            <w:r>
              <w:rPr>
                <w:rFonts w:hint="eastAsia" w:ascii="宋体" w:hAnsi="宋体" w:cs="宋体"/>
                <w:b/>
                <w:color w:val="auto"/>
                <w:szCs w:val="21"/>
                <w:highlight w:val="none"/>
              </w:rPr>
              <w:t>作无效投标处理。</w:t>
            </w:r>
          </w:p>
          <w:p w14:paraId="39B9B143">
            <w:pPr>
              <w:wordWrap w:val="0"/>
              <w:snapToGrid w:val="0"/>
              <w:spacing w:line="360" w:lineRule="auto"/>
              <w:ind w:firstLine="422" w:firstLineChars="200"/>
              <w:jc w:val="left"/>
              <w:rPr>
                <w:rFonts w:ascii="宋体" w:hAnsi="宋体" w:cs="宋体"/>
                <w:b/>
                <w:bCs/>
                <w:color w:val="auto"/>
                <w:szCs w:val="21"/>
                <w:highlight w:val="none"/>
              </w:rPr>
            </w:pPr>
            <w:r>
              <w:rPr>
                <w:rFonts w:hint="eastAsia" w:ascii="宋体" w:hAnsi="宋体" w:cs="宋体"/>
                <w:b/>
                <w:color w:val="auto"/>
                <w:szCs w:val="21"/>
                <w:highlight w:val="none"/>
              </w:rPr>
              <w:t>2</w:t>
            </w:r>
            <w:r>
              <w:rPr>
                <w:rFonts w:hint="eastAsia" w:ascii="宋体" w:hAnsi="宋体" w:cs="宋体"/>
                <w:b/>
                <w:bCs/>
                <w:color w:val="auto"/>
                <w:szCs w:val="21"/>
                <w:highlight w:val="none"/>
              </w:rPr>
              <w:t>.联合体投标时，第1-5项资格证明文件联合体各方均必须分别提供，联合体各方分别盖章和签字，否则投标文件按无效投标处理。</w:t>
            </w:r>
          </w:p>
        </w:tc>
      </w:tr>
      <w:tr w14:paraId="260BC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vAlign w:val="center"/>
          </w:tcPr>
          <w:p w14:paraId="5D8F97DF">
            <w:pPr>
              <w:wordWrap w:val="0"/>
              <w:spacing w:line="360" w:lineRule="auto"/>
              <w:rPr>
                <w:rFonts w:ascii="宋体" w:hAnsi="宋体" w:cs="宋体"/>
                <w:color w:val="auto"/>
                <w:szCs w:val="21"/>
                <w:highlight w:val="none"/>
              </w:rPr>
            </w:pPr>
          </w:p>
        </w:tc>
        <w:tc>
          <w:tcPr>
            <w:tcW w:w="2268" w:type="dxa"/>
            <w:vAlign w:val="center"/>
          </w:tcPr>
          <w:p w14:paraId="1962DCAE">
            <w:pPr>
              <w:wordWrap w:val="0"/>
              <w:snapToGrid w:val="0"/>
              <w:spacing w:line="360" w:lineRule="auto"/>
              <w:jc w:val="left"/>
              <w:rPr>
                <w:rFonts w:ascii="宋体" w:hAnsi="宋体" w:cs="宋体"/>
                <w:color w:val="auto"/>
                <w:szCs w:val="21"/>
                <w:highlight w:val="none"/>
              </w:rPr>
            </w:pPr>
            <w:bookmarkStart w:id="19" w:name="_13.3"/>
            <w:bookmarkEnd w:id="19"/>
            <w:r>
              <w:rPr>
                <w:rFonts w:hint="eastAsia" w:ascii="宋体" w:hAnsi="宋体" w:cs="宋体"/>
                <w:color w:val="auto"/>
                <w:szCs w:val="21"/>
                <w:highlight w:val="none"/>
              </w:rPr>
              <w:t>商务文件组成</w:t>
            </w:r>
          </w:p>
        </w:tc>
        <w:tc>
          <w:tcPr>
            <w:tcW w:w="7297" w:type="dxa"/>
            <w:vAlign w:val="center"/>
          </w:tcPr>
          <w:p w14:paraId="7B4C6F09">
            <w:pPr>
              <w:wordWrap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1.无串通投标行为的承诺函；（</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1E2AF2C8">
            <w:pPr>
              <w:wordWrap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2.法定代表人身份证明及法定代表人有效身份证正反面复印件；（</w:t>
            </w:r>
            <w:r>
              <w:rPr>
                <w:rFonts w:hint="eastAsia" w:ascii="宋体" w:hAnsi="宋体" w:cs="宋体"/>
                <w:b/>
                <w:bCs/>
                <w:color w:val="auto"/>
                <w:szCs w:val="21"/>
                <w:highlight w:val="none"/>
              </w:rPr>
              <w:t>除自然人投标外</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245A977F">
            <w:pPr>
              <w:wordWrap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3.法定代表人授权委托书及委托代理人有效身份证正反面复印件；（</w:t>
            </w:r>
            <w:r>
              <w:rPr>
                <w:rFonts w:hint="eastAsia" w:ascii="宋体" w:hAnsi="宋体" w:cs="宋体"/>
                <w:b/>
                <w:color w:val="auto"/>
                <w:szCs w:val="21"/>
                <w:highlight w:val="none"/>
              </w:rPr>
              <w:t>委托时必须提供，否则作无效投标处理</w:t>
            </w:r>
            <w:r>
              <w:rPr>
                <w:rFonts w:hint="eastAsia" w:ascii="宋体" w:hAnsi="宋体" w:cs="宋体"/>
                <w:color w:val="auto"/>
                <w:szCs w:val="21"/>
                <w:highlight w:val="none"/>
              </w:rPr>
              <w:t>）</w:t>
            </w:r>
          </w:p>
          <w:p w14:paraId="5F7011BD">
            <w:pPr>
              <w:wordWrap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4.商务条款偏离表；</w:t>
            </w:r>
            <w:r>
              <w:rPr>
                <w:rFonts w:hint="eastAsia" w:ascii="宋体" w:hAnsi="宋体" w:cs="宋体"/>
                <w:b/>
                <w:bCs/>
                <w:color w:val="auto"/>
                <w:szCs w:val="21"/>
                <w:highlight w:val="none"/>
              </w:rPr>
              <w:t>（必须提供，否则作无效投标处理）</w:t>
            </w:r>
          </w:p>
          <w:p w14:paraId="1B640AC7">
            <w:pPr>
              <w:wordWrap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5.投标人情况介绍；</w:t>
            </w:r>
          </w:p>
          <w:p w14:paraId="32360FEA">
            <w:pPr>
              <w:wordWrap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6.投标人类似业绩的证明文件；（如有请提供）</w:t>
            </w:r>
          </w:p>
          <w:p w14:paraId="4355DC04">
            <w:pPr>
              <w:wordWrap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7.除招标文件规定必须提供以外，投标人认为需要提供的其他证明材料。（投标人根据“第二章 采购需求”及“第四章 评标方法及评标标准”提供有关证明材料）。</w:t>
            </w:r>
          </w:p>
          <w:p w14:paraId="567D74D2">
            <w:pPr>
              <w:wordWrap w:val="0"/>
              <w:snapToGrid w:val="0"/>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注： 1.法定代表人授权委托书必须由法定代表人签字或盖章及委托代理人签字，并加盖投标人公章，否则作无效投标处理。</w:t>
            </w:r>
          </w:p>
          <w:p w14:paraId="389AA5BD">
            <w:pPr>
              <w:wordWrap w:val="0"/>
              <w:snapToGrid w:val="0"/>
              <w:spacing w:line="360" w:lineRule="auto"/>
              <w:ind w:firstLine="422" w:firstLineChars="200"/>
              <w:jc w:val="left"/>
              <w:rPr>
                <w:rFonts w:ascii="宋体" w:hAnsi="宋体" w:cs="宋体"/>
                <w:b/>
                <w:color w:val="auto"/>
                <w:szCs w:val="21"/>
                <w:highlight w:val="none"/>
              </w:rPr>
            </w:pPr>
            <w:r>
              <w:rPr>
                <w:rFonts w:hint="eastAsia" w:ascii="宋体" w:hAnsi="宋体" w:cs="宋体"/>
                <w:b/>
                <w:bCs/>
                <w:color w:val="auto"/>
                <w:szCs w:val="21"/>
                <w:highlight w:val="none"/>
              </w:rPr>
              <w:t>2.以上标明“必须提供”的材料</w:t>
            </w:r>
            <w:r>
              <w:rPr>
                <w:rFonts w:hint="eastAsia" w:ascii="宋体" w:hAnsi="宋体" w:cs="宋体"/>
                <w:b/>
                <w:color w:val="auto"/>
                <w:szCs w:val="21"/>
                <w:highlight w:val="none"/>
              </w:rPr>
              <w:t>属于复印件的扫描件的</w:t>
            </w:r>
            <w:r>
              <w:rPr>
                <w:rFonts w:hint="eastAsia" w:ascii="宋体" w:hAnsi="宋体" w:cs="宋体"/>
                <w:b/>
                <w:bCs/>
                <w:color w:val="auto"/>
                <w:szCs w:val="21"/>
                <w:highlight w:val="none"/>
              </w:rPr>
              <w:t>，必须加盖投标人电子公章，否则</w:t>
            </w:r>
            <w:r>
              <w:rPr>
                <w:rFonts w:hint="eastAsia" w:ascii="宋体" w:hAnsi="宋体" w:cs="宋体"/>
                <w:b/>
                <w:color w:val="auto"/>
                <w:szCs w:val="21"/>
                <w:highlight w:val="none"/>
              </w:rPr>
              <w:t>作无效投标处理</w:t>
            </w:r>
            <w:r>
              <w:rPr>
                <w:rFonts w:hint="eastAsia" w:ascii="宋体" w:hAnsi="宋体" w:cs="宋体"/>
                <w:b/>
                <w:bCs/>
                <w:color w:val="auto"/>
                <w:szCs w:val="21"/>
                <w:highlight w:val="none"/>
              </w:rPr>
              <w:t>。</w:t>
            </w:r>
          </w:p>
        </w:tc>
      </w:tr>
      <w:tr w14:paraId="254CF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vMerge w:val="restart"/>
            <w:vAlign w:val="center"/>
          </w:tcPr>
          <w:p w14:paraId="260E17DD">
            <w:pPr>
              <w:wordWrap w:val="0"/>
              <w:spacing w:line="360" w:lineRule="auto"/>
              <w:rPr>
                <w:rFonts w:ascii="宋体" w:hAnsi="宋体" w:cs="宋体"/>
                <w:color w:val="auto"/>
                <w:szCs w:val="21"/>
                <w:highlight w:val="none"/>
              </w:rPr>
            </w:pPr>
          </w:p>
        </w:tc>
        <w:tc>
          <w:tcPr>
            <w:tcW w:w="2268" w:type="dxa"/>
            <w:vAlign w:val="center"/>
          </w:tcPr>
          <w:p w14:paraId="1FDC6B6C">
            <w:pPr>
              <w:wordWrap w:val="0"/>
              <w:snapToGrid w:val="0"/>
              <w:spacing w:line="360" w:lineRule="auto"/>
              <w:jc w:val="left"/>
              <w:rPr>
                <w:rFonts w:ascii="宋体" w:hAnsi="宋体" w:cs="宋体"/>
                <w:color w:val="auto"/>
                <w:szCs w:val="21"/>
                <w:highlight w:val="none"/>
              </w:rPr>
            </w:pPr>
            <w:bookmarkStart w:id="20" w:name="_13.4"/>
            <w:bookmarkEnd w:id="20"/>
            <w:r>
              <w:rPr>
                <w:rFonts w:hint="eastAsia" w:ascii="宋体" w:hAnsi="宋体" w:cs="宋体"/>
                <w:color w:val="auto"/>
                <w:szCs w:val="21"/>
                <w:highlight w:val="none"/>
              </w:rPr>
              <w:t>技术文件组成</w:t>
            </w:r>
          </w:p>
        </w:tc>
        <w:tc>
          <w:tcPr>
            <w:tcW w:w="7297" w:type="dxa"/>
            <w:vAlign w:val="center"/>
          </w:tcPr>
          <w:p w14:paraId="6104CE35">
            <w:pPr>
              <w:wordWrap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1.服务需求、技术需求偏离表；（</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057F9DF4">
            <w:pPr>
              <w:wordWrap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2.组织服务方案；</w:t>
            </w:r>
            <w:r>
              <w:rPr>
                <w:rFonts w:hint="eastAsia" w:ascii="宋体" w:hAnsi="宋体" w:cs="宋体"/>
                <w:b/>
                <w:color w:val="auto"/>
                <w:szCs w:val="21"/>
                <w:highlight w:val="none"/>
              </w:rPr>
              <w:t>（如有请提供）</w:t>
            </w:r>
          </w:p>
          <w:p w14:paraId="0DF6CDED">
            <w:pPr>
              <w:wordWrap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3.售后服务方案；（</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79172DD8">
            <w:pPr>
              <w:wordWrap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4.项目实施人员一览表；（</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5F46173B">
            <w:pPr>
              <w:wordWrap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5.投标人对本项目的合理化建议和改进措施；（</w:t>
            </w:r>
            <w:r>
              <w:rPr>
                <w:rFonts w:hint="eastAsia" w:ascii="宋体" w:hAnsi="宋体" w:cs="宋体"/>
                <w:b/>
                <w:color w:val="auto"/>
                <w:szCs w:val="21"/>
                <w:highlight w:val="none"/>
              </w:rPr>
              <w:t>如有请提供</w:t>
            </w:r>
            <w:r>
              <w:rPr>
                <w:rFonts w:hint="eastAsia" w:ascii="宋体" w:hAnsi="宋体" w:cs="宋体"/>
                <w:color w:val="auto"/>
                <w:szCs w:val="21"/>
                <w:highlight w:val="none"/>
              </w:rPr>
              <w:t>）</w:t>
            </w:r>
          </w:p>
          <w:p w14:paraId="4D622A94">
            <w:pPr>
              <w:wordWrap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6.优惠条件及特殊承诺；（</w:t>
            </w:r>
            <w:r>
              <w:rPr>
                <w:rFonts w:hint="eastAsia" w:ascii="宋体" w:hAnsi="宋体" w:cs="宋体"/>
                <w:b/>
                <w:color w:val="auto"/>
                <w:szCs w:val="21"/>
                <w:highlight w:val="none"/>
              </w:rPr>
              <w:t>如有请提供</w:t>
            </w:r>
            <w:r>
              <w:rPr>
                <w:rFonts w:hint="eastAsia" w:ascii="宋体" w:hAnsi="宋体" w:cs="宋体"/>
                <w:color w:val="auto"/>
                <w:szCs w:val="21"/>
                <w:highlight w:val="none"/>
              </w:rPr>
              <w:t>）</w:t>
            </w:r>
          </w:p>
          <w:p w14:paraId="152B6564">
            <w:pPr>
              <w:wordWrap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7.备品备件及供选择的配套零部件清单；（</w:t>
            </w:r>
            <w:r>
              <w:rPr>
                <w:rFonts w:hint="eastAsia" w:ascii="宋体" w:hAnsi="宋体" w:cs="宋体"/>
                <w:b/>
                <w:color w:val="auto"/>
                <w:szCs w:val="21"/>
                <w:highlight w:val="none"/>
              </w:rPr>
              <w:t>如有请提供</w:t>
            </w:r>
            <w:r>
              <w:rPr>
                <w:rFonts w:hint="eastAsia" w:ascii="宋体" w:hAnsi="宋体" w:cs="宋体"/>
                <w:color w:val="auto"/>
                <w:szCs w:val="21"/>
                <w:highlight w:val="none"/>
              </w:rPr>
              <w:t>）</w:t>
            </w:r>
          </w:p>
          <w:p w14:paraId="5C59A617">
            <w:pPr>
              <w:wordWrap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8.培训计划（如有）；（</w:t>
            </w:r>
            <w:r>
              <w:rPr>
                <w:rFonts w:hint="eastAsia" w:ascii="宋体" w:hAnsi="宋体" w:cs="宋体"/>
                <w:b/>
                <w:color w:val="auto"/>
                <w:szCs w:val="21"/>
                <w:highlight w:val="none"/>
              </w:rPr>
              <w:t>如有请提供</w:t>
            </w:r>
            <w:r>
              <w:rPr>
                <w:rFonts w:hint="eastAsia" w:ascii="宋体" w:hAnsi="宋体" w:cs="宋体"/>
                <w:color w:val="auto"/>
                <w:szCs w:val="21"/>
                <w:highlight w:val="none"/>
              </w:rPr>
              <w:t>）</w:t>
            </w:r>
          </w:p>
          <w:p w14:paraId="18DDF88D">
            <w:pPr>
              <w:wordWrap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9.认为需要的其他技术文件或说明。（</w:t>
            </w:r>
            <w:r>
              <w:rPr>
                <w:rFonts w:hint="eastAsia" w:ascii="宋体" w:hAnsi="宋体" w:cs="宋体"/>
                <w:b/>
                <w:color w:val="auto"/>
                <w:szCs w:val="21"/>
                <w:highlight w:val="none"/>
              </w:rPr>
              <w:t>如有请提供</w:t>
            </w:r>
            <w:r>
              <w:rPr>
                <w:rFonts w:hint="eastAsia" w:ascii="宋体" w:hAnsi="宋体" w:cs="宋体"/>
                <w:color w:val="auto"/>
                <w:szCs w:val="21"/>
                <w:highlight w:val="none"/>
              </w:rPr>
              <w:t>）</w:t>
            </w:r>
          </w:p>
          <w:p w14:paraId="47F24F70">
            <w:pPr>
              <w:wordWrap w:val="0"/>
              <w:snapToGrid w:val="0"/>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注：以上标明“必须提供”的材料</w:t>
            </w:r>
            <w:r>
              <w:rPr>
                <w:rFonts w:hint="eastAsia" w:ascii="宋体" w:hAnsi="宋体" w:cs="宋体"/>
                <w:b/>
                <w:color w:val="auto"/>
                <w:szCs w:val="21"/>
                <w:highlight w:val="none"/>
              </w:rPr>
              <w:t>属于复印件的扫描件的</w:t>
            </w:r>
            <w:r>
              <w:rPr>
                <w:rFonts w:hint="eastAsia" w:ascii="宋体" w:hAnsi="宋体" w:cs="宋体"/>
                <w:b/>
                <w:bCs/>
                <w:color w:val="auto"/>
                <w:szCs w:val="21"/>
                <w:highlight w:val="none"/>
              </w:rPr>
              <w:t>，必须加盖投标人电子公章，否则</w:t>
            </w:r>
            <w:r>
              <w:rPr>
                <w:rFonts w:hint="eastAsia" w:ascii="宋体" w:hAnsi="宋体" w:cs="宋体"/>
                <w:b/>
                <w:color w:val="auto"/>
                <w:szCs w:val="21"/>
                <w:highlight w:val="none"/>
              </w:rPr>
              <w:t>作无效投标处理</w:t>
            </w:r>
            <w:r>
              <w:rPr>
                <w:rFonts w:hint="eastAsia" w:ascii="宋体" w:hAnsi="宋体" w:cs="宋体"/>
                <w:b/>
                <w:bCs/>
                <w:color w:val="auto"/>
                <w:szCs w:val="21"/>
                <w:highlight w:val="none"/>
              </w:rPr>
              <w:t>。</w:t>
            </w:r>
          </w:p>
        </w:tc>
      </w:tr>
      <w:tr w14:paraId="1CD63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vMerge w:val="continue"/>
            <w:vAlign w:val="center"/>
          </w:tcPr>
          <w:p w14:paraId="1FBE82F1">
            <w:pPr>
              <w:widowControl/>
              <w:wordWrap w:val="0"/>
              <w:spacing w:line="360" w:lineRule="auto"/>
              <w:jc w:val="left"/>
              <w:rPr>
                <w:rFonts w:ascii="宋体" w:hAnsi="宋体" w:cs="宋体"/>
                <w:color w:val="auto"/>
                <w:szCs w:val="21"/>
                <w:highlight w:val="none"/>
              </w:rPr>
            </w:pPr>
          </w:p>
        </w:tc>
        <w:tc>
          <w:tcPr>
            <w:tcW w:w="2268" w:type="dxa"/>
            <w:vAlign w:val="center"/>
          </w:tcPr>
          <w:p w14:paraId="409BDE57">
            <w:pPr>
              <w:wordWrap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报价文件组成</w:t>
            </w:r>
          </w:p>
        </w:tc>
        <w:tc>
          <w:tcPr>
            <w:tcW w:w="7297" w:type="dxa"/>
            <w:vAlign w:val="center"/>
          </w:tcPr>
          <w:p w14:paraId="1A48CC8D">
            <w:pPr>
              <w:tabs>
                <w:tab w:val="left" w:pos="459"/>
              </w:tabs>
              <w:wordWrap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1.投标函；（</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3483B996">
            <w:pPr>
              <w:tabs>
                <w:tab w:val="left" w:pos="459"/>
              </w:tabs>
              <w:wordWrap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2.开标一览表；（</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23F2EBEB">
            <w:pPr>
              <w:tabs>
                <w:tab w:val="left" w:pos="459"/>
              </w:tabs>
              <w:wordWrap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3.中小企业声明函</w:t>
            </w:r>
            <w:r>
              <w:rPr>
                <w:rFonts w:hint="eastAsia" w:ascii="宋体" w:hAnsi="宋体" w:cs="宋体"/>
                <w:color w:val="auto"/>
                <w:szCs w:val="21"/>
                <w:highlight w:val="none"/>
                <w:lang w:val="en-US" w:eastAsia="zh-CN"/>
              </w:rPr>
              <w:t>或</w:t>
            </w:r>
            <w:r>
              <w:rPr>
                <w:rFonts w:hint="eastAsia" w:ascii="宋体" w:hAnsi="宋体" w:eastAsia="宋体" w:cs="宋体"/>
                <w:strike w:val="0"/>
                <w:dstrike w:val="0"/>
                <w:color w:val="auto"/>
                <w:sz w:val="21"/>
                <w:szCs w:val="21"/>
                <w:highlight w:val="none"/>
              </w:rPr>
              <w:t>残疾人福利性单位声明函</w:t>
            </w:r>
            <w:r>
              <w:rPr>
                <w:rFonts w:hint="eastAsia" w:ascii="宋体" w:hAnsi="宋体" w:cs="宋体"/>
                <w:color w:val="auto"/>
                <w:szCs w:val="21"/>
                <w:highlight w:val="none"/>
                <w:lang w:val="en-US" w:eastAsia="zh-CN"/>
              </w:rPr>
              <w:t>或</w:t>
            </w:r>
            <w:r>
              <w:rPr>
                <w:rFonts w:hint="eastAsia" w:ascii="宋体" w:hAnsi="宋体" w:eastAsia="宋体" w:cs="宋体"/>
                <w:strike w:val="0"/>
                <w:dstrike w:val="0"/>
                <w:color w:val="auto"/>
                <w:sz w:val="21"/>
                <w:szCs w:val="21"/>
                <w:highlight w:val="none"/>
              </w:rPr>
              <w:t>监狱企业声明函等</w:t>
            </w:r>
            <w:r>
              <w:rPr>
                <w:rFonts w:hint="eastAsia" w:ascii="宋体" w:hAnsi="宋体" w:cs="宋体"/>
                <w:color w:val="auto"/>
                <w:szCs w:val="21"/>
                <w:highlight w:val="none"/>
              </w:rPr>
              <w:t>。</w:t>
            </w:r>
            <w:r>
              <w:rPr>
                <w:rFonts w:hint="eastAsia" w:ascii="宋体" w:hAnsi="宋体" w:cs="宋体"/>
                <w:b/>
                <w:bCs/>
                <w:color w:val="auto"/>
                <w:szCs w:val="21"/>
                <w:highlight w:val="none"/>
              </w:rPr>
              <w:t>（如有请提供。）</w:t>
            </w:r>
          </w:p>
          <w:p w14:paraId="75054479">
            <w:pPr>
              <w:tabs>
                <w:tab w:val="left" w:pos="459"/>
              </w:tabs>
              <w:wordWrap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4.投标人针对报价需要说明的其他文件和说明。（</w:t>
            </w:r>
            <w:r>
              <w:rPr>
                <w:rFonts w:hint="eastAsia" w:ascii="宋体" w:hAnsi="宋体" w:cs="宋体"/>
                <w:b/>
                <w:color w:val="auto"/>
                <w:szCs w:val="21"/>
                <w:highlight w:val="none"/>
              </w:rPr>
              <w:t>如有请提供</w:t>
            </w:r>
            <w:r>
              <w:rPr>
                <w:rFonts w:hint="eastAsia" w:ascii="宋体" w:hAnsi="宋体" w:cs="宋体"/>
                <w:color w:val="auto"/>
                <w:szCs w:val="21"/>
                <w:highlight w:val="none"/>
              </w:rPr>
              <w:t>）</w:t>
            </w:r>
          </w:p>
          <w:p w14:paraId="45527BDD">
            <w:pPr>
              <w:tabs>
                <w:tab w:val="left" w:pos="459"/>
              </w:tabs>
              <w:wordWrap w:val="0"/>
              <w:snapToGrid w:val="0"/>
              <w:spacing w:line="360" w:lineRule="auto"/>
              <w:jc w:val="left"/>
              <w:rPr>
                <w:rFonts w:ascii="宋体" w:hAnsi="宋体" w:cs="宋体"/>
                <w:color w:val="auto"/>
                <w:szCs w:val="21"/>
                <w:highlight w:val="none"/>
              </w:rPr>
            </w:pPr>
            <w:r>
              <w:rPr>
                <w:rFonts w:hint="eastAsia" w:ascii="宋体" w:hAnsi="宋体" w:cs="宋体"/>
                <w:b/>
                <w:bCs/>
                <w:color w:val="auto"/>
                <w:szCs w:val="21"/>
                <w:highlight w:val="none"/>
              </w:rPr>
              <w:t>注：以上标明“必须提供”的材料</w:t>
            </w:r>
            <w:r>
              <w:rPr>
                <w:rFonts w:hint="eastAsia" w:ascii="宋体" w:hAnsi="宋体" w:cs="宋体"/>
                <w:b/>
                <w:color w:val="auto"/>
                <w:szCs w:val="21"/>
                <w:highlight w:val="none"/>
              </w:rPr>
              <w:t>属于复印件的扫描件的</w:t>
            </w:r>
            <w:r>
              <w:rPr>
                <w:rFonts w:hint="eastAsia" w:ascii="宋体" w:hAnsi="宋体" w:cs="宋体"/>
                <w:b/>
                <w:bCs/>
                <w:color w:val="auto"/>
                <w:szCs w:val="21"/>
                <w:highlight w:val="none"/>
              </w:rPr>
              <w:t>，必须加盖投标人电子公章，否则</w:t>
            </w:r>
            <w:r>
              <w:rPr>
                <w:rFonts w:hint="eastAsia" w:ascii="宋体" w:hAnsi="宋体" w:cs="宋体"/>
                <w:b/>
                <w:color w:val="auto"/>
                <w:szCs w:val="21"/>
                <w:highlight w:val="none"/>
              </w:rPr>
              <w:t>作无效投标处理</w:t>
            </w:r>
            <w:r>
              <w:rPr>
                <w:rFonts w:hint="eastAsia" w:ascii="宋体" w:hAnsi="宋体" w:cs="宋体"/>
                <w:b/>
                <w:bCs/>
                <w:color w:val="auto"/>
                <w:szCs w:val="21"/>
                <w:highlight w:val="none"/>
              </w:rPr>
              <w:t>。</w:t>
            </w:r>
          </w:p>
        </w:tc>
      </w:tr>
      <w:tr w14:paraId="755B6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vAlign w:val="center"/>
          </w:tcPr>
          <w:p w14:paraId="2B474984">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16.2</w:t>
            </w:r>
          </w:p>
        </w:tc>
        <w:tc>
          <w:tcPr>
            <w:tcW w:w="2268" w:type="dxa"/>
            <w:vAlign w:val="center"/>
          </w:tcPr>
          <w:p w14:paraId="3C4004BE">
            <w:pPr>
              <w:wordWrap w:val="0"/>
              <w:spacing w:line="360" w:lineRule="auto"/>
              <w:rPr>
                <w:rFonts w:ascii="宋体" w:hAnsi="宋体" w:cs="宋体"/>
                <w:color w:val="auto"/>
                <w:szCs w:val="21"/>
                <w:highlight w:val="none"/>
              </w:rPr>
            </w:pPr>
            <w:bookmarkStart w:id="21" w:name="_16.2"/>
            <w:bookmarkEnd w:id="21"/>
            <w:r>
              <w:rPr>
                <w:rFonts w:hint="eastAsia" w:ascii="宋体" w:hAnsi="宋体" w:cs="宋体"/>
                <w:color w:val="auto"/>
                <w:szCs w:val="21"/>
                <w:highlight w:val="none"/>
              </w:rPr>
              <w:t>投标报价要求</w:t>
            </w:r>
          </w:p>
        </w:tc>
        <w:tc>
          <w:tcPr>
            <w:tcW w:w="7297" w:type="dxa"/>
            <w:vAlign w:val="center"/>
          </w:tcPr>
          <w:p w14:paraId="6C73AB4A">
            <w:pPr>
              <w:wordWrap w:val="0"/>
              <w:snapToGrid w:val="0"/>
              <w:spacing w:line="360" w:lineRule="auto"/>
              <w:rPr>
                <w:rFonts w:ascii="宋体" w:hAnsi="宋体" w:cs="宋体"/>
                <w:b/>
                <w:color w:val="auto"/>
                <w:szCs w:val="21"/>
                <w:highlight w:val="none"/>
              </w:rPr>
            </w:pPr>
            <w:r>
              <w:rPr>
                <w:rFonts w:hint="eastAsia" w:ascii="宋体" w:hAnsi="宋体" w:cs="宋体"/>
                <w:color w:val="auto"/>
                <w:szCs w:val="21"/>
                <w:highlight w:val="none"/>
              </w:rPr>
              <w:t>投标报价是履行合同的最终价格，必须包含满足本次投标全部采购需求所应提供的服务，以及伴随的货物和工程的价格；</w:t>
            </w:r>
          </w:p>
        </w:tc>
      </w:tr>
      <w:tr w14:paraId="51373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vAlign w:val="center"/>
          </w:tcPr>
          <w:p w14:paraId="3BC88360">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17.2</w:t>
            </w:r>
          </w:p>
        </w:tc>
        <w:tc>
          <w:tcPr>
            <w:tcW w:w="2268" w:type="dxa"/>
            <w:vAlign w:val="center"/>
          </w:tcPr>
          <w:p w14:paraId="43C73313">
            <w:pPr>
              <w:wordWrap w:val="0"/>
              <w:spacing w:line="360" w:lineRule="auto"/>
              <w:rPr>
                <w:rFonts w:ascii="宋体" w:hAnsi="宋体" w:cs="宋体"/>
                <w:color w:val="auto"/>
                <w:szCs w:val="21"/>
                <w:highlight w:val="none"/>
              </w:rPr>
            </w:pPr>
            <w:bookmarkStart w:id="22" w:name="_17.1"/>
            <w:bookmarkEnd w:id="22"/>
            <w:r>
              <w:rPr>
                <w:rFonts w:hint="eastAsia" w:ascii="宋体" w:hAnsi="宋体" w:cs="宋体"/>
                <w:color w:val="auto"/>
                <w:szCs w:val="21"/>
                <w:highlight w:val="none"/>
              </w:rPr>
              <w:t>投标有效期</w:t>
            </w:r>
          </w:p>
        </w:tc>
        <w:tc>
          <w:tcPr>
            <w:tcW w:w="7297" w:type="dxa"/>
            <w:vAlign w:val="center"/>
          </w:tcPr>
          <w:p w14:paraId="6994955B">
            <w:pPr>
              <w:wordWrap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自投标截止之日起</w:t>
            </w:r>
            <w:bookmarkStart w:id="23" w:name="PO_3000001866_PM046"/>
            <w:r>
              <w:rPr>
                <w:rFonts w:hint="eastAsia" w:ascii="宋体" w:hAnsi="宋体" w:cs="宋体"/>
                <w:color w:val="auto"/>
                <w:szCs w:val="21"/>
                <w:highlight w:val="none"/>
                <w:u w:val="single"/>
              </w:rPr>
              <w:t>60日历天</w:t>
            </w:r>
            <w:bookmarkEnd w:id="23"/>
            <w:r>
              <w:rPr>
                <w:rFonts w:hint="eastAsia" w:ascii="宋体" w:hAnsi="宋体" w:cs="宋体"/>
                <w:color w:val="auto"/>
                <w:szCs w:val="21"/>
                <w:highlight w:val="none"/>
              </w:rPr>
              <w:t>。</w:t>
            </w:r>
          </w:p>
        </w:tc>
      </w:tr>
      <w:tr w14:paraId="1DAE0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vAlign w:val="center"/>
          </w:tcPr>
          <w:p w14:paraId="24E7FD4F">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18</w:t>
            </w:r>
          </w:p>
        </w:tc>
        <w:tc>
          <w:tcPr>
            <w:tcW w:w="2268" w:type="dxa"/>
            <w:vAlign w:val="center"/>
          </w:tcPr>
          <w:p w14:paraId="219960AB">
            <w:pPr>
              <w:wordWrap w:val="0"/>
              <w:spacing w:line="360" w:lineRule="auto"/>
              <w:rPr>
                <w:rFonts w:ascii="宋体" w:hAnsi="宋体" w:cs="宋体"/>
                <w:color w:val="auto"/>
                <w:szCs w:val="21"/>
                <w:highlight w:val="none"/>
              </w:rPr>
            </w:pPr>
            <w:bookmarkStart w:id="24" w:name="_18"/>
            <w:bookmarkEnd w:id="24"/>
            <w:r>
              <w:rPr>
                <w:rFonts w:hint="eastAsia" w:ascii="宋体" w:hAnsi="宋体" w:cs="宋体"/>
                <w:color w:val="auto"/>
                <w:szCs w:val="21"/>
                <w:highlight w:val="none"/>
              </w:rPr>
              <w:t>投标保证金金额</w:t>
            </w:r>
          </w:p>
        </w:tc>
        <w:tc>
          <w:tcPr>
            <w:tcW w:w="7297" w:type="dxa"/>
            <w:vAlign w:val="center"/>
          </w:tcPr>
          <w:p w14:paraId="58A69390">
            <w:pPr>
              <w:wordWrap w:val="0"/>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本项目不收取投标保证金。</w:t>
            </w:r>
          </w:p>
        </w:tc>
      </w:tr>
      <w:tr w14:paraId="2E11E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vAlign w:val="center"/>
          </w:tcPr>
          <w:p w14:paraId="1490E610">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19.1</w:t>
            </w:r>
          </w:p>
        </w:tc>
        <w:tc>
          <w:tcPr>
            <w:tcW w:w="2268" w:type="dxa"/>
            <w:vAlign w:val="center"/>
          </w:tcPr>
          <w:p w14:paraId="16C36CCB">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投标文件编制要求</w:t>
            </w:r>
          </w:p>
        </w:tc>
        <w:tc>
          <w:tcPr>
            <w:tcW w:w="7297" w:type="dxa"/>
            <w:vAlign w:val="center"/>
          </w:tcPr>
          <w:p w14:paraId="2FFDC38C">
            <w:pPr>
              <w:wordWrap w:val="0"/>
              <w:spacing w:line="360" w:lineRule="auto"/>
              <w:rPr>
                <w:rFonts w:ascii="宋体" w:hAnsi="宋体" w:cs="宋体"/>
                <w:b/>
                <w:color w:val="auto"/>
                <w:szCs w:val="21"/>
                <w:highlight w:val="none"/>
                <w:u w:val="single"/>
              </w:rPr>
            </w:pPr>
            <w:r>
              <w:rPr>
                <w:rFonts w:hint="eastAsia" w:ascii="宋体" w:hAnsi="宋体" w:cs="宋体"/>
                <w:color w:val="auto"/>
                <w:szCs w:val="21"/>
                <w:highlight w:val="none"/>
              </w:rPr>
              <w:t>投标文件应按报价文件、资格证明文件、商务文件、技术文件分别编制，报价文件、资格证明文件分别生产电子文件，商务文件和技术文件按顺序合并生成电子文件。</w:t>
            </w:r>
            <w:r>
              <w:rPr>
                <w:rFonts w:hint="eastAsia" w:ascii="宋体" w:hAnsi="宋体" w:cs="宋体"/>
                <w:b/>
                <w:color w:val="auto"/>
                <w:szCs w:val="21"/>
                <w:highlight w:val="none"/>
                <w:u w:val="single"/>
              </w:rPr>
              <w:t>电子版投标文件制作方式见招标公告附件。</w:t>
            </w:r>
          </w:p>
        </w:tc>
      </w:tr>
      <w:tr w14:paraId="1EAA2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vAlign w:val="center"/>
          </w:tcPr>
          <w:p w14:paraId="3C85B908">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20</w:t>
            </w:r>
          </w:p>
        </w:tc>
        <w:tc>
          <w:tcPr>
            <w:tcW w:w="2268" w:type="dxa"/>
            <w:vAlign w:val="center"/>
          </w:tcPr>
          <w:p w14:paraId="5B329325">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备份投标文件</w:t>
            </w:r>
          </w:p>
        </w:tc>
        <w:tc>
          <w:tcPr>
            <w:tcW w:w="7297" w:type="dxa"/>
            <w:vAlign w:val="center"/>
          </w:tcPr>
          <w:p w14:paraId="1A94D49C">
            <w:pPr>
              <w:wordWrap w:val="0"/>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本项目不接受备份投标文件。</w:t>
            </w:r>
          </w:p>
        </w:tc>
      </w:tr>
      <w:tr w14:paraId="3C1FA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867" w:type="dxa"/>
            <w:vMerge w:val="restart"/>
            <w:vAlign w:val="center"/>
          </w:tcPr>
          <w:p w14:paraId="16F4B9DF">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21.1</w:t>
            </w:r>
          </w:p>
        </w:tc>
        <w:tc>
          <w:tcPr>
            <w:tcW w:w="2268" w:type="dxa"/>
            <w:vAlign w:val="center"/>
          </w:tcPr>
          <w:p w14:paraId="34407313">
            <w:pPr>
              <w:wordWrap w:val="0"/>
              <w:spacing w:line="360" w:lineRule="auto"/>
              <w:rPr>
                <w:rFonts w:ascii="宋体" w:hAnsi="宋体" w:cs="宋体"/>
                <w:color w:val="auto"/>
                <w:szCs w:val="21"/>
                <w:highlight w:val="none"/>
              </w:rPr>
            </w:pPr>
            <w:bookmarkStart w:id="25" w:name="_21.1"/>
            <w:bookmarkEnd w:id="25"/>
            <w:r>
              <w:rPr>
                <w:rFonts w:hint="eastAsia" w:ascii="宋体" w:hAnsi="宋体" w:cs="宋体"/>
                <w:color w:val="auto"/>
                <w:szCs w:val="21"/>
                <w:highlight w:val="none"/>
              </w:rPr>
              <w:t>投标截止时间</w:t>
            </w:r>
          </w:p>
        </w:tc>
        <w:tc>
          <w:tcPr>
            <w:tcW w:w="7297" w:type="dxa"/>
            <w:vAlign w:val="center"/>
          </w:tcPr>
          <w:p w14:paraId="24A07058">
            <w:pPr>
              <w:wordWrap w:val="0"/>
              <w:snapToGrid w:val="0"/>
              <w:spacing w:line="360" w:lineRule="auto"/>
              <w:rPr>
                <w:rFonts w:ascii="宋体" w:hAnsi="宋体" w:cs="宋体"/>
                <w:color w:val="auto"/>
                <w:szCs w:val="21"/>
                <w:highlight w:val="none"/>
                <w:u w:val="single"/>
              </w:rPr>
            </w:pPr>
            <w:r>
              <w:rPr>
                <w:rFonts w:hint="eastAsia" w:ascii="宋体" w:hAnsi="宋体" w:cs="宋体"/>
                <w:color w:val="auto"/>
                <w:szCs w:val="21"/>
                <w:highlight w:val="none"/>
              </w:rPr>
              <w:t>详见招标公告</w:t>
            </w:r>
          </w:p>
        </w:tc>
      </w:tr>
      <w:tr w14:paraId="6F8F5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7" w:type="dxa"/>
            <w:vMerge w:val="continue"/>
            <w:vAlign w:val="center"/>
          </w:tcPr>
          <w:p w14:paraId="5CB460D1">
            <w:pPr>
              <w:widowControl/>
              <w:wordWrap w:val="0"/>
              <w:spacing w:line="360" w:lineRule="auto"/>
              <w:jc w:val="left"/>
              <w:rPr>
                <w:rFonts w:ascii="宋体" w:hAnsi="宋体" w:cs="宋体"/>
                <w:color w:val="auto"/>
                <w:szCs w:val="21"/>
                <w:highlight w:val="none"/>
              </w:rPr>
            </w:pPr>
          </w:p>
        </w:tc>
        <w:tc>
          <w:tcPr>
            <w:tcW w:w="2268" w:type="dxa"/>
            <w:vAlign w:val="center"/>
          </w:tcPr>
          <w:p w14:paraId="3A7B1C99">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投标文件提交起止时间</w:t>
            </w:r>
          </w:p>
        </w:tc>
        <w:tc>
          <w:tcPr>
            <w:tcW w:w="7297" w:type="dxa"/>
            <w:vAlign w:val="center"/>
          </w:tcPr>
          <w:p w14:paraId="48A35EAD">
            <w:pPr>
              <w:wordWrap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详见招标公告</w:t>
            </w:r>
          </w:p>
        </w:tc>
      </w:tr>
      <w:tr w14:paraId="75279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7" w:type="dxa"/>
            <w:vMerge w:val="continue"/>
            <w:vAlign w:val="center"/>
          </w:tcPr>
          <w:p w14:paraId="71ACE593">
            <w:pPr>
              <w:widowControl/>
              <w:wordWrap w:val="0"/>
              <w:spacing w:line="360" w:lineRule="auto"/>
              <w:jc w:val="left"/>
              <w:rPr>
                <w:rFonts w:ascii="宋体" w:hAnsi="宋体" w:cs="宋体"/>
                <w:color w:val="auto"/>
                <w:szCs w:val="21"/>
                <w:highlight w:val="none"/>
              </w:rPr>
            </w:pPr>
          </w:p>
        </w:tc>
        <w:tc>
          <w:tcPr>
            <w:tcW w:w="2268" w:type="dxa"/>
            <w:vAlign w:val="center"/>
          </w:tcPr>
          <w:p w14:paraId="20E87A01">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投标地点</w:t>
            </w:r>
          </w:p>
        </w:tc>
        <w:tc>
          <w:tcPr>
            <w:tcW w:w="7297" w:type="dxa"/>
            <w:vAlign w:val="center"/>
          </w:tcPr>
          <w:p w14:paraId="6B6D12A1">
            <w:pPr>
              <w:wordWrap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详见招标公告</w:t>
            </w:r>
          </w:p>
        </w:tc>
      </w:tr>
      <w:tr w14:paraId="34EE4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7" w:type="dxa"/>
            <w:vMerge w:val="continue"/>
            <w:vAlign w:val="center"/>
          </w:tcPr>
          <w:p w14:paraId="34BE31DE">
            <w:pPr>
              <w:widowControl/>
              <w:wordWrap w:val="0"/>
              <w:spacing w:line="360" w:lineRule="auto"/>
              <w:jc w:val="left"/>
              <w:rPr>
                <w:rFonts w:ascii="宋体" w:hAnsi="宋体" w:cs="宋体"/>
                <w:color w:val="auto"/>
                <w:szCs w:val="21"/>
                <w:highlight w:val="none"/>
              </w:rPr>
            </w:pPr>
          </w:p>
        </w:tc>
        <w:tc>
          <w:tcPr>
            <w:tcW w:w="2268" w:type="dxa"/>
            <w:vAlign w:val="center"/>
          </w:tcPr>
          <w:p w14:paraId="2C93A6B8">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投标人递交投标样品截止时间及地点</w:t>
            </w:r>
          </w:p>
        </w:tc>
        <w:tc>
          <w:tcPr>
            <w:tcW w:w="7297" w:type="dxa"/>
            <w:vAlign w:val="center"/>
          </w:tcPr>
          <w:p w14:paraId="2A5499B6">
            <w:pPr>
              <w:wordWrap w:val="0"/>
              <w:snapToGrid w:val="0"/>
              <w:spacing w:line="360" w:lineRule="auto"/>
              <w:rPr>
                <w:rFonts w:ascii="宋体" w:hAnsi="宋体" w:cs="宋体"/>
                <w:bCs/>
                <w:color w:val="auto"/>
                <w:szCs w:val="21"/>
                <w:highlight w:val="none"/>
              </w:rPr>
            </w:pPr>
            <w:r>
              <w:rPr>
                <w:rFonts w:hint="eastAsia" w:ascii="宋体" w:hAnsi="宋体" w:cs="宋体"/>
                <w:bCs/>
                <w:color w:val="auto"/>
                <w:szCs w:val="21"/>
                <w:highlight w:val="none"/>
              </w:rPr>
              <w:t>时间：</w:t>
            </w:r>
            <w:r>
              <w:rPr>
                <w:rFonts w:hint="eastAsia" w:ascii="宋体" w:hAnsi="宋体" w:cs="宋体"/>
                <w:bCs/>
                <w:color w:val="auto"/>
                <w:szCs w:val="21"/>
                <w:highlight w:val="none"/>
                <w:u w:val="single"/>
              </w:rPr>
              <w:t xml:space="preserve">    /年 /月 / 日 / 时  /分</w:t>
            </w:r>
            <w:r>
              <w:rPr>
                <w:rFonts w:hint="eastAsia" w:ascii="宋体" w:hAnsi="宋体" w:cs="宋体"/>
                <w:bCs/>
                <w:color w:val="auto"/>
                <w:szCs w:val="21"/>
                <w:highlight w:val="none"/>
              </w:rPr>
              <w:t>（北京时间）</w:t>
            </w:r>
          </w:p>
          <w:p w14:paraId="237D5883">
            <w:pPr>
              <w:wordWrap w:val="0"/>
              <w:snapToGrid w:val="0"/>
              <w:spacing w:line="360" w:lineRule="auto"/>
              <w:rPr>
                <w:rFonts w:ascii="宋体" w:hAnsi="宋体" w:cs="宋体"/>
                <w:color w:val="auto"/>
                <w:szCs w:val="21"/>
                <w:highlight w:val="none"/>
              </w:rPr>
            </w:pPr>
            <w:r>
              <w:rPr>
                <w:rFonts w:hint="eastAsia" w:ascii="宋体" w:hAnsi="宋体" w:cs="宋体"/>
                <w:bCs/>
                <w:color w:val="auto"/>
                <w:szCs w:val="21"/>
                <w:highlight w:val="none"/>
              </w:rPr>
              <w:t>地点：</w:t>
            </w:r>
            <w:r>
              <w:rPr>
                <w:rFonts w:hint="eastAsia" w:ascii="宋体" w:hAnsi="宋体" w:cs="宋体"/>
                <w:bCs/>
                <w:color w:val="auto"/>
                <w:szCs w:val="21"/>
                <w:highlight w:val="none"/>
                <w:u w:val="single"/>
              </w:rPr>
              <w:t xml:space="preserve">        /                        </w:t>
            </w:r>
          </w:p>
        </w:tc>
      </w:tr>
      <w:tr w14:paraId="43DCC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vAlign w:val="center"/>
          </w:tcPr>
          <w:p w14:paraId="6296F3CC">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23</w:t>
            </w:r>
          </w:p>
        </w:tc>
        <w:tc>
          <w:tcPr>
            <w:tcW w:w="2268" w:type="dxa"/>
            <w:vAlign w:val="center"/>
          </w:tcPr>
          <w:p w14:paraId="172FC381">
            <w:pPr>
              <w:wordWrap w:val="0"/>
              <w:spacing w:line="360" w:lineRule="auto"/>
              <w:rPr>
                <w:rFonts w:ascii="宋体" w:hAnsi="宋体" w:cs="宋体"/>
                <w:color w:val="auto"/>
                <w:szCs w:val="21"/>
                <w:highlight w:val="none"/>
              </w:rPr>
            </w:pPr>
            <w:bookmarkStart w:id="26" w:name="_23"/>
            <w:bookmarkEnd w:id="26"/>
            <w:r>
              <w:rPr>
                <w:rFonts w:hint="eastAsia" w:ascii="宋体" w:hAnsi="宋体" w:cs="宋体"/>
                <w:color w:val="auto"/>
                <w:szCs w:val="21"/>
                <w:highlight w:val="none"/>
              </w:rPr>
              <w:t>开标时间、地点</w:t>
            </w:r>
          </w:p>
        </w:tc>
        <w:tc>
          <w:tcPr>
            <w:tcW w:w="7297" w:type="dxa"/>
            <w:vAlign w:val="center"/>
          </w:tcPr>
          <w:p w14:paraId="6F624CEF">
            <w:pPr>
              <w:wordWrap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详见招标公告 </w:t>
            </w:r>
          </w:p>
        </w:tc>
      </w:tr>
      <w:tr w14:paraId="3059F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atLeast"/>
        </w:trPr>
        <w:tc>
          <w:tcPr>
            <w:tcW w:w="867" w:type="dxa"/>
            <w:vMerge w:val="restart"/>
            <w:vAlign w:val="center"/>
          </w:tcPr>
          <w:p w14:paraId="24A1E561">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25.3（2）</w:t>
            </w:r>
          </w:p>
        </w:tc>
        <w:tc>
          <w:tcPr>
            <w:tcW w:w="2268" w:type="dxa"/>
            <w:vAlign w:val="center"/>
          </w:tcPr>
          <w:p w14:paraId="16697177">
            <w:pPr>
              <w:wordWrap w:val="0"/>
              <w:spacing w:line="360" w:lineRule="auto"/>
              <w:rPr>
                <w:rFonts w:ascii="宋体" w:hAnsi="宋体" w:cs="宋体"/>
                <w:color w:val="auto"/>
                <w:szCs w:val="21"/>
                <w:highlight w:val="none"/>
              </w:rPr>
            </w:pPr>
            <w:bookmarkStart w:id="27" w:name="_25.3"/>
            <w:bookmarkEnd w:id="27"/>
            <w:r>
              <w:rPr>
                <w:rFonts w:hint="eastAsia" w:ascii="宋体" w:hAnsi="宋体" w:cs="宋体"/>
                <w:color w:val="auto"/>
                <w:szCs w:val="21"/>
                <w:highlight w:val="none"/>
              </w:rPr>
              <w:t>投标人信用查询渠道</w:t>
            </w:r>
          </w:p>
        </w:tc>
        <w:tc>
          <w:tcPr>
            <w:tcW w:w="7297" w:type="dxa"/>
            <w:vAlign w:val="center"/>
          </w:tcPr>
          <w:p w14:paraId="4A089EF5">
            <w:pPr>
              <w:wordWrap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采购人或者采购代理机构在资格审查结束前，对投标人进行信用查询。</w:t>
            </w:r>
          </w:p>
          <w:p w14:paraId="7DFA4C54">
            <w:pPr>
              <w:wordWrap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查询渠道：“信用中国”网站(www.creditchina.gov.cn) 、中国政府采购网(www.ccgp.gov.cn)。</w:t>
            </w:r>
          </w:p>
        </w:tc>
      </w:tr>
      <w:tr w14:paraId="6CC8E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867" w:type="dxa"/>
            <w:vMerge w:val="continue"/>
            <w:vAlign w:val="center"/>
          </w:tcPr>
          <w:p w14:paraId="07B79CB3">
            <w:pPr>
              <w:widowControl/>
              <w:wordWrap w:val="0"/>
              <w:spacing w:line="360" w:lineRule="auto"/>
              <w:jc w:val="left"/>
              <w:rPr>
                <w:rFonts w:ascii="宋体" w:hAnsi="宋体" w:cs="宋体"/>
                <w:color w:val="auto"/>
                <w:szCs w:val="21"/>
                <w:highlight w:val="none"/>
              </w:rPr>
            </w:pPr>
          </w:p>
        </w:tc>
        <w:tc>
          <w:tcPr>
            <w:tcW w:w="2268" w:type="dxa"/>
            <w:vAlign w:val="center"/>
          </w:tcPr>
          <w:p w14:paraId="3E5D4F4A">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信用查询截止时点</w:t>
            </w:r>
          </w:p>
        </w:tc>
        <w:tc>
          <w:tcPr>
            <w:tcW w:w="7297" w:type="dxa"/>
            <w:vAlign w:val="center"/>
          </w:tcPr>
          <w:p w14:paraId="67505424">
            <w:pPr>
              <w:wordWrap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资格审查结束前</w:t>
            </w:r>
          </w:p>
        </w:tc>
      </w:tr>
      <w:tr w14:paraId="2910F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867" w:type="dxa"/>
            <w:vMerge w:val="continue"/>
            <w:vAlign w:val="center"/>
          </w:tcPr>
          <w:p w14:paraId="567088FF">
            <w:pPr>
              <w:widowControl/>
              <w:wordWrap w:val="0"/>
              <w:spacing w:line="360" w:lineRule="auto"/>
              <w:jc w:val="left"/>
              <w:rPr>
                <w:rFonts w:ascii="宋体" w:hAnsi="宋体" w:cs="宋体"/>
                <w:color w:val="auto"/>
                <w:szCs w:val="21"/>
                <w:highlight w:val="none"/>
              </w:rPr>
            </w:pPr>
          </w:p>
        </w:tc>
        <w:tc>
          <w:tcPr>
            <w:tcW w:w="2268" w:type="dxa"/>
            <w:vAlign w:val="center"/>
          </w:tcPr>
          <w:p w14:paraId="3A35A5E7">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查询记录和证据留存方式</w:t>
            </w:r>
          </w:p>
        </w:tc>
        <w:tc>
          <w:tcPr>
            <w:tcW w:w="7297" w:type="dxa"/>
            <w:vAlign w:val="center"/>
          </w:tcPr>
          <w:p w14:paraId="4DB896D4">
            <w:pPr>
              <w:wordWrap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在查询网站中直接截图查询记录，截图作为在“广西政府采购云”平台作为附件上传保存。</w:t>
            </w:r>
          </w:p>
        </w:tc>
      </w:tr>
      <w:tr w14:paraId="62A66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867" w:type="dxa"/>
            <w:vMerge w:val="continue"/>
            <w:vAlign w:val="center"/>
          </w:tcPr>
          <w:p w14:paraId="77E51CA7">
            <w:pPr>
              <w:widowControl/>
              <w:wordWrap w:val="0"/>
              <w:spacing w:line="360" w:lineRule="auto"/>
              <w:jc w:val="left"/>
              <w:rPr>
                <w:rFonts w:ascii="宋体" w:hAnsi="宋体" w:cs="宋体"/>
                <w:color w:val="auto"/>
                <w:szCs w:val="21"/>
                <w:highlight w:val="none"/>
              </w:rPr>
            </w:pPr>
          </w:p>
        </w:tc>
        <w:tc>
          <w:tcPr>
            <w:tcW w:w="2268" w:type="dxa"/>
            <w:vAlign w:val="center"/>
          </w:tcPr>
          <w:p w14:paraId="3407BB3C">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信用信息使用规则</w:t>
            </w:r>
          </w:p>
        </w:tc>
        <w:tc>
          <w:tcPr>
            <w:tcW w:w="7297" w:type="dxa"/>
            <w:vAlign w:val="center"/>
          </w:tcPr>
          <w:p w14:paraId="7377C4E7">
            <w:pPr>
              <w:wordWrap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对在“信用中国”网站(www.creditchina.gov.cn) 、中国政府采购网(www.ccgp.gov.cn)被列入失信被执行人、重大税收违法失信主体、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4F046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vAlign w:val="center"/>
          </w:tcPr>
          <w:p w14:paraId="040D8EA8">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29.1</w:t>
            </w:r>
          </w:p>
        </w:tc>
        <w:tc>
          <w:tcPr>
            <w:tcW w:w="2268" w:type="dxa"/>
            <w:vAlign w:val="center"/>
          </w:tcPr>
          <w:p w14:paraId="49471CEB">
            <w:pPr>
              <w:wordWrap w:val="0"/>
              <w:spacing w:line="360" w:lineRule="auto"/>
              <w:rPr>
                <w:rFonts w:ascii="宋体" w:hAnsi="宋体" w:cs="宋体"/>
                <w:color w:val="auto"/>
                <w:szCs w:val="21"/>
                <w:highlight w:val="none"/>
              </w:rPr>
            </w:pPr>
            <w:bookmarkStart w:id="28" w:name="_26"/>
            <w:bookmarkEnd w:id="28"/>
            <w:bookmarkStart w:id="29" w:name="_28.3"/>
            <w:bookmarkEnd w:id="29"/>
            <w:r>
              <w:rPr>
                <w:rFonts w:hint="eastAsia" w:ascii="宋体" w:hAnsi="宋体" w:cs="宋体"/>
                <w:color w:val="auto"/>
                <w:szCs w:val="21"/>
                <w:highlight w:val="none"/>
              </w:rPr>
              <w:t>评标方法</w:t>
            </w:r>
          </w:p>
        </w:tc>
        <w:tc>
          <w:tcPr>
            <w:tcW w:w="7297" w:type="dxa"/>
            <w:vAlign w:val="center"/>
          </w:tcPr>
          <w:p w14:paraId="47C1AE50">
            <w:pPr>
              <w:wordWrap w:val="0"/>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☑综合评分法</w:t>
            </w:r>
          </w:p>
          <w:p w14:paraId="1083902E">
            <w:pPr>
              <w:wordWrap w:val="0"/>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□最低评标价法</w:t>
            </w:r>
          </w:p>
        </w:tc>
      </w:tr>
      <w:tr w14:paraId="7CC69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67" w:type="dxa"/>
            <w:vAlign w:val="center"/>
          </w:tcPr>
          <w:p w14:paraId="7992D0C8">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29.2</w:t>
            </w:r>
          </w:p>
        </w:tc>
        <w:tc>
          <w:tcPr>
            <w:tcW w:w="2268" w:type="dxa"/>
            <w:vAlign w:val="center"/>
          </w:tcPr>
          <w:p w14:paraId="111C3F22">
            <w:pPr>
              <w:wordWrap w:val="0"/>
              <w:spacing w:line="360" w:lineRule="auto"/>
              <w:rPr>
                <w:rFonts w:ascii="宋体" w:hAnsi="宋体" w:cs="宋体"/>
                <w:color w:val="auto"/>
                <w:szCs w:val="21"/>
                <w:highlight w:val="none"/>
              </w:rPr>
            </w:pPr>
            <w:bookmarkStart w:id="30" w:name="_29.2.2（2）"/>
            <w:bookmarkEnd w:id="30"/>
            <w:r>
              <w:rPr>
                <w:rFonts w:hint="eastAsia" w:ascii="宋体" w:hAnsi="宋体" w:cs="宋体"/>
                <w:color w:val="auto"/>
                <w:szCs w:val="21"/>
                <w:highlight w:val="none"/>
              </w:rPr>
              <w:t>允许负偏离项</w:t>
            </w:r>
          </w:p>
        </w:tc>
        <w:tc>
          <w:tcPr>
            <w:tcW w:w="7297" w:type="dxa"/>
            <w:vAlign w:val="center"/>
          </w:tcPr>
          <w:p w14:paraId="37B8A7DD">
            <w:pPr>
              <w:wordWrap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商务条款评审中允许负偏离的条款数为</w:t>
            </w:r>
            <w:r>
              <w:rPr>
                <w:rFonts w:hint="eastAsia" w:ascii="宋体" w:hAnsi="宋体" w:cs="宋体"/>
                <w:color w:val="auto"/>
                <w:szCs w:val="21"/>
                <w:highlight w:val="none"/>
                <w:u w:val="single"/>
              </w:rPr>
              <w:t>0</w:t>
            </w:r>
            <w:r>
              <w:rPr>
                <w:rFonts w:hint="eastAsia" w:ascii="宋体" w:hAnsi="宋体" w:cs="宋体"/>
                <w:color w:val="auto"/>
                <w:szCs w:val="21"/>
                <w:highlight w:val="none"/>
              </w:rPr>
              <w:t>项。</w:t>
            </w:r>
          </w:p>
          <w:p w14:paraId="25A96C31">
            <w:pPr>
              <w:wordWrap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技术需求评审中允许负偏离的条款数为</w:t>
            </w:r>
            <w:r>
              <w:rPr>
                <w:rFonts w:hint="eastAsia" w:ascii="宋体" w:hAnsi="宋体" w:cs="宋体"/>
                <w:color w:val="auto"/>
                <w:szCs w:val="21"/>
                <w:highlight w:val="none"/>
                <w:u w:val="single"/>
              </w:rPr>
              <w:t xml:space="preserve">0 </w:t>
            </w:r>
            <w:r>
              <w:rPr>
                <w:rFonts w:hint="eastAsia" w:ascii="宋体" w:hAnsi="宋体" w:cs="宋体"/>
                <w:color w:val="auto"/>
                <w:szCs w:val="21"/>
                <w:highlight w:val="none"/>
              </w:rPr>
              <w:t>项。</w:t>
            </w:r>
          </w:p>
        </w:tc>
      </w:tr>
      <w:tr w14:paraId="26510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vAlign w:val="center"/>
          </w:tcPr>
          <w:p w14:paraId="63C7F3A5">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30.1</w:t>
            </w:r>
          </w:p>
        </w:tc>
        <w:tc>
          <w:tcPr>
            <w:tcW w:w="2268" w:type="dxa"/>
            <w:vAlign w:val="center"/>
          </w:tcPr>
          <w:p w14:paraId="039E663C">
            <w:pPr>
              <w:wordWrap w:val="0"/>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 xml:space="preserve">确定中标供应商时，出现中标候选人分数并列的情形，确定中标供应商方式 </w:t>
            </w:r>
          </w:p>
        </w:tc>
        <w:tc>
          <w:tcPr>
            <w:tcW w:w="7297" w:type="dxa"/>
            <w:vAlign w:val="center"/>
          </w:tcPr>
          <w:p w14:paraId="00C2CD1B">
            <w:pPr>
              <w:wordWrap w:val="0"/>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 xml:space="preserve">□采用最低评标价法的，投标文件满足招标文件全部实质性要求且投标报价最低的投标人为排名第一的中标候选人； </w:t>
            </w:r>
          </w:p>
          <w:p w14:paraId="637F5A33">
            <w:pPr>
              <w:wordWrap w:val="0"/>
              <w:autoSpaceDE w:val="0"/>
              <w:autoSpaceDN w:val="0"/>
              <w:snapToGrid w:val="0"/>
              <w:spacing w:line="360" w:lineRule="auto"/>
              <w:textAlignment w:val="bottom"/>
              <w:rPr>
                <w:rFonts w:ascii="宋体" w:hAnsi="宋体" w:cs="宋体"/>
                <w:b/>
                <w:color w:val="auto"/>
                <w:szCs w:val="21"/>
                <w:highlight w:val="none"/>
              </w:rPr>
            </w:pPr>
            <w:r>
              <w:rPr>
                <w:rFonts w:hint="eastAsia" w:ascii="宋体" w:hAnsi="宋体" w:cs="宋体"/>
                <w:color w:val="auto"/>
                <w:szCs w:val="21"/>
                <w:highlight w:val="none"/>
              </w:rPr>
              <w:t>☑采用综合评分法的，根据总得分由高到低排列次序并推荐中标候选供应商。总得分相同的，以投标报价由低到高顺序排列。得分相同且投标报价相同的并列，投标文件满足招标文件全部实质性要求，且按照评审因素的量化指标评审得分最高的投标人为排名第一的中标候选供应商。</w:t>
            </w:r>
          </w:p>
        </w:tc>
      </w:tr>
      <w:tr w14:paraId="3B45B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67" w:type="dxa"/>
            <w:vAlign w:val="center"/>
          </w:tcPr>
          <w:p w14:paraId="4A05EB74">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35</w:t>
            </w:r>
          </w:p>
        </w:tc>
        <w:tc>
          <w:tcPr>
            <w:tcW w:w="2268" w:type="dxa"/>
            <w:vAlign w:val="center"/>
          </w:tcPr>
          <w:p w14:paraId="63BE11F7">
            <w:pPr>
              <w:wordWrap w:val="0"/>
              <w:spacing w:line="360" w:lineRule="auto"/>
              <w:rPr>
                <w:rFonts w:ascii="宋体" w:hAnsi="宋体" w:cs="宋体"/>
                <w:color w:val="auto"/>
                <w:szCs w:val="21"/>
                <w:highlight w:val="none"/>
              </w:rPr>
            </w:pPr>
            <w:bookmarkStart w:id="31" w:name="_39.1"/>
            <w:bookmarkEnd w:id="31"/>
            <w:r>
              <w:rPr>
                <w:rFonts w:hint="eastAsia" w:ascii="宋体" w:hAnsi="宋体" w:cs="宋体"/>
                <w:color w:val="auto"/>
                <w:szCs w:val="21"/>
                <w:highlight w:val="none"/>
              </w:rPr>
              <w:t>履约保证金金额</w:t>
            </w:r>
          </w:p>
        </w:tc>
        <w:tc>
          <w:tcPr>
            <w:tcW w:w="7297" w:type="dxa"/>
            <w:vAlign w:val="bottom"/>
          </w:tcPr>
          <w:p w14:paraId="28E20E5B">
            <w:pPr>
              <w:wordWrap w:val="0"/>
              <w:autoSpaceDE w:val="0"/>
              <w:autoSpaceDN w:val="0"/>
              <w:snapToGrid w:val="0"/>
              <w:spacing w:line="360" w:lineRule="auto"/>
              <w:jc w:val="left"/>
              <w:textAlignment w:val="bottom"/>
              <w:rPr>
                <w:rFonts w:ascii="宋体" w:hAnsi="宋体" w:cs="宋体"/>
                <w:color w:val="auto"/>
                <w:szCs w:val="21"/>
                <w:highlight w:val="none"/>
              </w:rPr>
            </w:pPr>
            <w:r>
              <w:rPr>
                <w:rFonts w:hint="eastAsia" w:ascii="宋体" w:hAnsi="宋体" w:cs="宋体"/>
                <w:color w:val="auto"/>
                <w:szCs w:val="21"/>
                <w:highlight w:val="none"/>
              </w:rPr>
              <w:t>本项目不收取履约保证金。</w:t>
            </w:r>
          </w:p>
        </w:tc>
      </w:tr>
      <w:tr w14:paraId="259B7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vAlign w:val="center"/>
          </w:tcPr>
          <w:p w14:paraId="6C39D38B">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36.1</w:t>
            </w:r>
          </w:p>
        </w:tc>
        <w:tc>
          <w:tcPr>
            <w:tcW w:w="2268" w:type="dxa"/>
            <w:vAlign w:val="center"/>
          </w:tcPr>
          <w:p w14:paraId="20826B2F">
            <w:pPr>
              <w:wordWrap w:val="0"/>
              <w:spacing w:line="360" w:lineRule="auto"/>
              <w:rPr>
                <w:rFonts w:ascii="宋体" w:hAnsi="宋体" w:cs="宋体"/>
                <w:color w:val="auto"/>
                <w:szCs w:val="21"/>
                <w:highlight w:val="none"/>
              </w:rPr>
            </w:pPr>
            <w:bookmarkStart w:id="32" w:name="_40.1"/>
            <w:bookmarkEnd w:id="32"/>
            <w:r>
              <w:rPr>
                <w:rFonts w:hint="eastAsia" w:ascii="宋体" w:hAnsi="宋体" w:cs="宋体"/>
                <w:color w:val="auto"/>
                <w:szCs w:val="21"/>
                <w:highlight w:val="none"/>
              </w:rPr>
              <w:t>签订电子合同携带的材料</w:t>
            </w:r>
          </w:p>
        </w:tc>
        <w:tc>
          <w:tcPr>
            <w:tcW w:w="7297" w:type="dxa"/>
            <w:vAlign w:val="center"/>
          </w:tcPr>
          <w:p w14:paraId="3402B7CF">
            <w:pPr>
              <w:wordWrap w:val="0"/>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电子采购合同需要供应商通过有效CA证书进行电子签署</w:t>
            </w:r>
          </w:p>
        </w:tc>
      </w:tr>
      <w:tr w14:paraId="1AEBA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867" w:type="dxa"/>
            <w:vMerge w:val="restart"/>
            <w:vAlign w:val="center"/>
          </w:tcPr>
          <w:p w14:paraId="3D6A7DCB">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38.2.1</w:t>
            </w:r>
          </w:p>
        </w:tc>
        <w:tc>
          <w:tcPr>
            <w:tcW w:w="2268" w:type="dxa"/>
            <w:vAlign w:val="center"/>
          </w:tcPr>
          <w:p w14:paraId="0D10E1F2">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接收质疑函方式</w:t>
            </w:r>
          </w:p>
        </w:tc>
        <w:tc>
          <w:tcPr>
            <w:tcW w:w="7297" w:type="dxa"/>
            <w:vAlign w:val="center"/>
          </w:tcPr>
          <w:p w14:paraId="64851FE0">
            <w:pPr>
              <w:wordWrap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以书面形式</w:t>
            </w:r>
          </w:p>
        </w:tc>
      </w:tr>
      <w:tr w14:paraId="20532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867" w:type="dxa"/>
            <w:vMerge w:val="continue"/>
            <w:vAlign w:val="center"/>
          </w:tcPr>
          <w:p w14:paraId="44462417">
            <w:pPr>
              <w:widowControl/>
              <w:wordWrap w:val="0"/>
              <w:spacing w:line="360" w:lineRule="auto"/>
              <w:jc w:val="left"/>
              <w:rPr>
                <w:rFonts w:ascii="宋体" w:hAnsi="宋体" w:cs="宋体"/>
                <w:color w:val="auto"/>
                <w:szCs w:val="21"/>
                <w:highlight w:val="none"/>
              </w:rPr>
            </w:pPr>
          </w:p>
        </w:tc>
        <w:tc>
          <w:tcPr>
            <w:tcW w:w="2268" w:type="dxa"/>
            <w:vAlign w:val="center"/>
          </w:tcPr>
          <w:p w14:paraId="66A3960E">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质疑联系部门及联系方式</w:t>
            </w:r>
          </w:p>
        </w:tc>
        <w:tc>
          <w:tcPr>
            <w:tcW w:w="7297" w:type="dxa"/>
            <w:vAlign w:val="center"/>
          </w:tcPr>
          <w:p w14:paraId="672949B1">
            <w:pPr>
              <w:wordWrap w:val="0"/>
              <w:snapToGrid w:val="0"/>
              <w:spacing w:line="360" w:lineRule="auto"/>
              <w:rPr>
                <w:rFonts w:ascii="宋体" w:hAnsi="宋体" w:cs="宋体"/>
                <w:color w:val="auto"/>
                <w:szCs w:val="21"/>
                <w:highlight w:val="none"/>
                <w:u w:val="single"/>
              </w:rPr>
            </w:pPr>
            <w:r>
              <w:rPr>
                <w:rFonts w:hint="eastAsia" w:ascii="宋体" w:hAnsi="宋体" w:cs="宋体"/>
                <w:color w:val="auto"/>
                <w:szCs w:val="21"/>
                <w:highlight w:val="none"/>
                <w:u w:val="none"/>
              </w:rPr>
              <w:t>（1）</w:t>
            </w:r>
            <w:bookmarkStart w:id="33" w:name="PO_3000001866_PM031_3"/>
            <w:r>
              <w:rPr>
                <w:rFonts w:hint="eastAsia" w:ascii="宋体" w:hAnsi="宋体" w:cs="宋体"/>
                <w:color w:val="auto"/>
                <w:szCs w:val="21"/>
                <w:highlight w:val="none"/>
                <w:u w:val="single"/>
              </w:rPr>
              <w:t>广西邕政采购代理有限公司</w:t>
            </w:r>
            <w:bookmarkEnd w:id="33"/>
            <w:r>
              <w:rPr>
                <w:rFonts w:hint="eastAsia" w:ascii="宋体" w:hAnsi="宋体" w:cs="宋体"/>
                <w:color w:val="auto"/>
                <w:szCs w:val="21"/>
                <w:highlight w:val="none"/>
                <w:u w:val="single"/>
              </w:rPr>
              <w:t xml:space="preserve"> 部门；</w:t>
            </w:r>
          </w:p>
          <w:p w14:paraId="02A4F898">
            <w:pPr>
              <w:wordWrap w:val="0"/>
              <w:snapToGrid w:val="0"/>
              <w:spacing w:line="360" w:lineRule="auto"/>
              <w:rPr>
                <w:rFonts w:ascii="宋体" w:hAnsi="宋体" w:cs="宋体"/>
                <w:color w:val="auto"/>
                <w:szCs w:val="21"/>
                <w:highlight w:val="none"/>
                <w:u w:val="single"/>
              </w:rPr>
            </w:pPr>
            <w:r>
              <w:rPr>
                <w:rFonts w:hint="eastAsia" w:ascii="宋体" w:hAnsi="宋体" w:cs="宋体"/>
                <w:color w:val="auto"/>
                <w:szCs w:val="21"/>
                <w:highlight w:val="none"/>
                <w:u w:val="single"/>
              </w:rPr>
              <w:t>联系电话：0771-2225338，</w:t>
            </w:r>
          </w:p>
          <w:p w14:paraId="2E8E2DDD">
            <w:pPr>
              <w:wordWrap w:val="0"/>
              <w:snapToGrid w:val="0"/>
              <w:spacing w:line="360" w:lineRule="auto"/>
              <w:rPr>
                <w:rFonts w:ascii="宋体" w:hAnsi="宋体" w:cs="宋体"/>
                <w:color w:val="auto"/>
                <w:szCs w:val="21"/>
                <w:highlight w:val="none"/>
                <w:u w:val="single"/>
              </w:rPr>
            </w:pPr>
            <w:r>
              <w:rPr>
                <w:rFonts w:hint="eastAsia" w:ascii="宋体" w:hAnsi="宋体" w:cs="宋体"/>
                <w:color w:val="auto"/>
                <w:szCs w:val="21"/>
                <w:highlight w:val="none"/>
                <w:u w:val="single"/>
              </w:rPr>
              <w:t xml:space="preserve">通讯地址：南宁市青秀区民族大道180号（威壮大厦）22层2210～2217室 </w:t>
            </w:r>
          </w:p>
          <w:p w14:paraId="294AA7E7">
            <w:pPr>
              <w:wordWrap w:val="0"/>
              <w:snapToGrid w:val="0"/>
              <w:spacing w:line="360" w:lineRule="auto"/>
              <w:rPr>
                <w:rFonts w:ascii="宋体" w:hAnsi="宋体" w:cs="宋体"/>
                <w:color w:val="auto"/>
                <w:szCs w:val="21"/>
                <w:highlight w:val="none"/>
                <w:u w:val="single"/>
              </w:rPr>
            </w:pPr>
            <w:r>
              <w:rPr>
                <w:rFonts w:hint="eastAsia" w:ascii="宋体" w:hAnsi="宋体" w:cs="宋体"/>
                <w:color w:val="auto"/>
                <w:szCs w:val="21"/>
                <w:highlight w:val="none"/>
              </w:rPr>
              <w:t>（2）</w:t>
            </w:r>
            <w:r>
              <w:rPr>
                <w:rFonts w:hint="eastAsia" w:ascii="宋体" w:hAnsi="宋体" w:cs="宋体"/>
                <w:color w:val="auto"/>
                <w:szCs w:val="21"/>
                <w:highlight w:val="none"/>
                <w:u w:val="single"/>
                <w:lang w:eastAsia="zh-CN"/>
              </w:rPr>
              <w:t>南宁市智慧城管信息中心</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部门；</w:t>
            </w:r>
          </w:p>
          <w:p w14:paraId="040697F1">
            <w:pPr>
              <w:wordWrap w:val="0"/>
              <w:snapToGrid w:val="0"/>
              <w:spacing w:line="360" w:lineRule="auto"/>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u w:val="single"/>
              </w:rPr>
              <w:t>联系电话：</w:t>
            </w:r>
            <w:r>
              <w:rPr>
                <w:rFonts w:hint="eastAsia" w:ascii="宋体" w:hAnsi="宋体" w:cs="宋体"/>
                <w:color w:val="auto"/>
                <w:szCs w:val="21"/>
                <w:highlight w:val="none"/>
                <w:u w:val="single"/>
                <w:lang w:eastAsia="zh-CN"/>
              </w:rPr>
              <w:t>0771-5827629</w:t>
            </w:r>
          </w:p>
          <w:p w14:paraId="1F4665EE">
            <w:pPr>
              <w:wordWrap w:val="0"/>
              <w:snapToGrid w:val="0"/>
              <w:spacing w:line="360"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u w:val="single"/>
              </w:rPr>
              <w:t>通讯地址：</w:t>
            </w:r>
            <w:r>
              <w:rPr>
                <w:rFonts w:hint="eastAsia" w:ascii="宋体" w:hAnsi="宋体" w:cs="宋体"/>
                <w:color w:val="auto"/>
                <w:szCs w:val="21"/>
                <w:highlight w:val="none"/>
                <w:u w:val="single"/>
                <w:lang w:eastAsia="zh-CN"/>
              </w:rPr>
              <w:t>南宁市汇春路2号希尔顿阳光B座5楼</w:t>
            </w:r>
          </w:p>
        </w:tc>
      </w:tr>
      <w:tr w14:paraId="0D3BB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867" w:type="dxa"/>
            <w:vMerge w:val="continue"/>
            <w:vAlign w:val="center"/>
          </w:tcPr>
          <w:p w14:paraId="23A492A6">
            <w:pPr>
              <w:widowControl/>
              <w:wordWrap w:val="0"/>
              <w:spacing w:line="360" w:lineRule="auto"/>
              <w:jc w:val="left"/>
              <w:rPr>
                <w:rFonts w:ascii="宋体" w:hAnsi="宋体" w:cs="宋体"/>
                <w:color w:val="auto"/>
                <w:szCs w:val="21"/>
                <w:highlight w:val="none"/>
              </w:rPr>
            </w:pPr>
          </w:p>
        </w:tc>
        <w:tc>
          <w:tcPr>
            <w:tcW w:w="2268" w:type="dxa"/>
            <w:vAlign w:val="center"/>
          </w:tcPr>
          <w:p w14:paraId="5DB5F1BC">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现场提交质疑办理业务时间</w:t>
            </w:r>
          </w:p>
        </w:tc>
        <w:tc>
          <w:tcPr>
            <w:tcW w:w="7297" w:type="dxa"/>
            <w:vAlign w:val="center"/>
          </w:tcPr>
          <w:p w14:paraId="7CB08524">
            <w:pPr>
              <w:wordWrap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质疑期内每个工作日</w:t>
            </w:r>
            <w:r>
              <w:rPr>
                <w:rFonts w:hint="eastAsia" w:ascii="宋体" w:hAnsi="宋体" w:cs="宋体"/>
                <w:color w:val="auto"/>
                <w:szCs w:val="21"/>
                <w:highlight w:val="none"/>
                <w:u w:val="single"/>
              </w:rPr>
              <w:t xml:space="preserve"> 09 </w:t>
            </w:r>
            <w:r>
              <w:rPr>
                <w:rFonts w:hint="eastAsia" w:ascii="宋体" w:hAnsi="宋体" w:cs="宋体"/>
                <w:color w:val="auto"/>
                <w:szCs w:val="21"/>
                <w:highlight w:val="none"/>
              </w:rPr>
              <w:t>时</w:t>
            </w:r>
            <w:r>
              <w:rPr>
                <w:rFonts w:hint="eastAsia" w:ascii="宋体" w:hAnsi="宋体" w:cs="宋体"/>
                <w:color w:val="auto"/>
                <w:szCs w:val="21"/>
                <w:highlight w:val="none"/>
                <w:u w:val="single"/>
              </w:rPr>
              <w:t>00</w:t>
            </w:r>
            <w:r>
              <w:rPr>
                <w:rFonts w:hint="eastAsia" w:ascii="宋体" w:hAnsi="宋体" w:cs="宋体"/>
                <w:color w:val="auto"/>
                <w:szCs w:val="21"/>
                <w:highlight w:val="none"/>
              </w:rPr>
              <w:t>分到</w:t>
            </w:r>
            <w:r>
              <w:rPr>
                <w:rFonts w:hint="eastAsia" w:ascii="宋体" w:hAnsi="宋体" w:cs="宋体"/>
                <w:color w:val="auto"/>
                <w:szCs w:val="21"/>
                <w:highlight w:val="none"/>
                <w:u w:val="single"/>
              </w:rPr>
              <w:t xml:space="preserve"> 12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00 </w:t>
            </w:r>
            <w:r>
              <w:rPr>
                <w:rFonts w:hint="eastAsia" w:ascii="宋体" w:hAnsi="宋体" w:cs="宋体"/>
                <w:color w:val="auto"/>
                <w:szCs w:val="21"/>
                <w:highlight w:val="none"/>
              </w:rPr>
              <w:t>分，</w:t>
            </w:r>
            <w:r>
              <w:rPr>
                <w:rFonts w:hint="eastAsia" w:ascii="宋体" w:hAnsi="宋体" w:cs="宋体"/>
                <w:color w:val="auto"/>
                <w:szCs w:val="21"/>
                <w:highlight w:val="none"/>
                <w:u w:val="single"/>
              </w:rPr>
              <w:t xml:space="preserve"> 15</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00 </w:t>
            </w:r>
            <w:r>
              <w:rPr>
                <w:rFonts w:hint="eastAsia" w:ascii="宋体" w:hAnsi="宋体" w:cs="宋体"/>
                <w:color w:val="auto"/>
                <w:szCs w:val="21"/>
                <w:highlight w:val="none"/>
              </w:rPr>
              <w:t>分到</w:t>
            </w:r>
            <w:r>
              <w:rPr>
                <w:rFonts w:hint="eastAsia" w:ascii="宋体" w:hAnsi="宋体" w:cs="宋体"/>
                <w:color w:val="auto"/>
                <w:szCs w:val="21"/>
                <w:highlight w:val="none"/>
                <w:u w:val="single"/>
              </w:rPr>
              <w:t xml:space="preserve"> 18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00 </w:t>
            </w:r>
            <w:r>
              <w:rPr>
                <w:rFonts w:hint="eastAsia" w:ascii="宋体" w:hAnsi="宋体" w:cs="宋体"/>
                <w:color w:val="auto"/>
                <w:szCs w:val="21"/>
                <w:highlight w:val="none"/>
              </w:rPr>
              <w:t>分</w:t>
            </w:r>
          </w:p>
        </w:tc>
      </w:tr>
      <w:tr w14:paraId="4F72C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867" w:type="dxa"/>
            <w:vAlign w:val="center"/>
          </w:tcPr>
          <w:p w14:paraId="48A8C1D2">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38.3.1</w:t>
            </w:r>
          </w:p>
        </w:tc>
        <w:tc>
          <w:tcPr>
            <w:tcW w:w="2268" w:type="dxa"/>
            <w:vAlign w:val="center"/>
          </w:tcPr>
          <w:p w14:paraId="3468EFA2">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投诉受理方式</w:t>
            </w:r>
          </w:p>
        </w:tc>
        <w:tc>
          <w:tcPr>
            <w:tcW w:w="7297" w:type="dxa"/>
            <w:vAlign w:val="center"/>
          </w:tcPr>
          <w:p w14:paraId="65923480">
            <w:pPr>
              <w:wordWrap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1.受理方式：纸质方式受理，投诉书正、副本（经过质疑的事项才可投诉）。</w:t>
            </w:r>
          </w:p>
          <w:p w14:paraId="7B88E258">
            <w:pPr>
              <w:wordWrap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2.邮寄地址：</w:t>
            </w:r>
          </w:p>
          <w:p w14:paraId="308118AA">
            <w:pPr>
              <w:wordWrap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名称：</w:t>
            </w:r>
            <w:bookmarkStart w:id="34" w:name="PO_3000001866_PM036"/>
            <w:r>
              <w:rPr>
                <w:rFonts w:hint="eastAsia" w:ascii="宋体" w:hAnsi="宋体" w:cs="宋体"/>
                <w:color w:val="auto"/>
                <w:szCs w:val="21"/>
                <w:highlight w:val="none"/>
              </w:rPr>
              <w:t>南宁市财政局政府采购监督管理科</w:t>
            </w:r>
            <w:bookmarkEnd w:id="34"/>
          </w:p>
          <w:p w14:paraId="64C58A23">
            <w:pPr>
              <w:wordWrap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地址：</w:t>
            </w:r>
            <w:bookmarkStart w:id="35" w:name="PO_3000001866_PM039"/>
            <w:r>
              <w:rPr>
                <w:rFonts w:hint="eastAsia" w:ascii="宋体" w:hAnsi="宋体" w:cs="宋体"/>
                <w:color w:val="auto"/>
                <w:szCs w:val="21"/>
                <w:highlight w:val="none"/>
              </w:rPr>
              <w:t xml:space="preserve">南宁市东葛路129号   </w:t>
            </w:r>
            <w:bookmarkEnd w:id="35"/>
          </w:p>
          <w:p w14:paraId="6704D153">
            <w:pPr>
              <w:wordWrap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联系电话：</w:t>
            </w:r>
            <w:bookmarkStart w:id="36" w:name="PO_3000001866_PM038_1"/>
            <w:r>
              <w:rPr>
                <w:rFonts w:hint="eastAsia" w:ascii="宋体" w:hAnsi="宋体" w:cs="宋体"/>
                <w:color w:val="auto"/>
                <w:szCs w:val="21"/>
                <w:highlight w:val="none"/>
              </w:rPr>
              <w:t>0771-2189091</w:t>
            </w:r>
            <w:bookmarkEnd w:id="36"/>
          </w:p>
        </w:tc>
      </w:tr>
      <w:tr w14:paraId="42CE7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trPr>
        <w:tc>
          <w:tcPr>
            <w:tcW w:w="867" w:type="dxa"/>
            <w:vMerge w:val="restart"/>
            <w:vAlign w:val="center"/>
          </w:tcPr>
          <w:p w14:paraId="6C9DBF7F">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40</w:t>
            </w:r>
          </w:p>
        </w:tc>
        <w:tc>
          <w:tcPr>
            <w:tcW w:w="2268" w:type="dxa"/>
            <w:vAlign w:val="center"/>
          </w:tcPr>
          <w:p w14:paraId="5AB04836">
            <w:pPr>
              <w:wordWrap w:val="0"/>
              <w:spacing w:line="360" w:lineRule="auto"/>
              <w:rPr>
                <w:rFonts w:ascii="宋体" w:hAnsi="宋体" w:cs="宋体"/>
                <w:color w:val="auto"/>
                <w:szCs w:val="21"/>
                <w:highlight w:val="none"/>
              </w:rPr>
            </w:pPr>
            <w:bookmarkStart w:id="37" w:name="_42"/>
            <w:bookmarkEnd w:id="37"/>
            <w:bookmarkStart w:id="38" w:name="_41"/>
            <w:bookmarkEnd w:id="38"/>
            <w:r>
              <w:rPr>
                <w:rFonts w:hint="eastAsia" w:ascii="宋体" w:hAnsi="宋体" w:cs="宋体"/>
                <w:color w:val="auto"/>
                <w:szCs w:val="21"/>
                <w:highlight w:val="none"/>
              </w:rPr>
              <w:t>采购代理费支付方式</w:t>
            </w:r>
          </w:p>
        </w:tc>
        <w:tc>
          <w:tcPr>
            <w:tcW w:w="7297" w:type="dxa"/>
            <w:vAlign w:val="center"/>
          </w:tcPr>
          <w:p w14:paraId="5FA25E4E">
            <w:pPr>
              <w:pStyle w:val="12"/>
              <w:wordWrap w:val="0"/>
              <w:snapToGrid w:val="0"/>
              <w:spacing w:line="360" w:lineRule="auto"/>
              <w:rPr>
                <w:rFonts w:hAnsi="宋体" w:cs="宋体"/>
                <w:color w:val="auto"/>
                <w:szCs w:val="21"/>
                <w:highlight w:val="none"/>
              </w:rPr>
            </w:pPr>
            <w:r>
              <w:rPr>
                <w:rFonts w:hint="eastAsia" w:hAnsi="宋体" w:cs="宋体"/>
                <w:color w:val="auto"/>
                <w:szCs w:val="21"/>
                <w:highlight w:val="none"/>
              </w:rPr>
              <w:t>☑本项目代理服务费由</w:t>
            </w:r>
            <w:r>
              <w:rPr>
                <w:rFonts w:hint="eastAsia" w:hAnsi="宋体" w:cs="宋体"/>
                <w:color w:val="auto"/>
                <w:szCs w:val="21"/>
                <w:highlight w:val="none"/>
                <w:u w:val="single"/>
              </w:rPr>
              <w:t>中标供应商</w:t>
            </w:r>
            <w:r>
              <w:rPr>
                <w:rFonts w:hint="eastAsia" w:hAnsi="宋体" w:cs="宋体"/>
                <w:color w:val="auto"/>
                <w:szCs w:val="21"/>
                <w:highlight w:val="none"/>
              </w:rPr>
              <w:t>在领取中标通知书时，一次性向采购代理机构支付。</w:t>
            </w:r>
          </w:p>
          <w:p w14:paraId="14EF30B7">
            <w:pPr>
              <w:pStyle w:val="12"/>
              <w:wordWrap w:val="0"/>
              <w:snapToGrid w:val="0"/>
              <w:spacing w:line="360" w:lineRule="auto"/>
              <w:rPr>
                <w:rFonts w:hAnsi="宋体" w:cs="宋体"/>
                <w:color w:val="auto"/>
                <w:szCs w:val="21"/>
                <w:highlight w:val="none"/>
              </w:rPr>
            </w:pPr>
            <w:r>
              <w:rPr>
                <w:rFonts w:hint="eastAsia" w:hAnsi="宋体" w:cs="宋体"/>
                <w:color w:val="auto"/>
                <w:szCs w:val="21"/>
                <w:highlight w:val="none"/>
              </w:rPr>
              <w:t>□采购人支付。</w:t>
            </w:r>
          </w:p>
          <w:p w14:paraId="142290B7">
            <w:pPr>
              <w:pStyle w:val="12"/>
              <w:wordWrap w:val="0"/>
              <w:snapToGrid w:val="0"/>
              <w:spacing w:line="360" w:lineRule="auto"/>
              <w:rPr>
                <w:rFonts w:hAnsi="宋体" w:cs="宋体"/>
                <w:color w:val="auto"/>
                <w:szCs w:val="21"/>
                <w:highlight w:val="none"/>
              </w:rPr>
            </w:pPr>
            <w:r>
              <w:rPr>
                <w:rFonts w:hint="eastAsia" w:hAnsi="宋体" w:cs="宋体"/>
                <w:color w:val="auto"/>
                <w:szCs w:val="21"/>
                <w:highlight w:val="none"/>
              </w:rPr>
              <w:t>□本项目不收取代理服务费。</w:t>
            </w:r>
          </w:p>
        </w:tc>
      </w:tr>
      <w:tr w14:paraId="07B76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7" w:hRule="atLeast"/>
        </w:trPr>
        <w:tc>
          <w:tcPr>
            <w:tcW w:w="867" w:type="dxa"/>
            <w:vMerge w:val="continue"/>
            <w:vAlign w:val="center"/>
          </w:tcPr>
          <w:p w14:paraId="226ECDA8">
            <w:pPr>
              <w:widowControl/>
              <w:wordWrap w:val="0"/>
              <w:spacing w:line="360" w:lineRule="auto"/>
              <w:jc w:val="left"/>
              <w:rPr>
                <w:rFonts w:ascii="宋体" w:hAnsi="宋体" w:cs="宋体"/>
                <w:color w:val="auto"/>
                <w:szCs w:val="21"/>
                <w:highlight w:val="none"/>
              </w:rPr>
            </w:pPr>
          </w:p>
        </w:tc>
        <w:tc>
          <w:tcPr>
            <w:tcW w:w="2268" w:type="dxa"/>
            <w:vAlign w:val="center"/>
          </w:tcPr>
          <w:p w14:paraId="1226B1FB">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采购代理费收取标准</w:t>
            </w:r>
          </w:p>
        </w:tc>
        <w:tc>
          <w:tcPr>
            <w:tcW w:w="7297" w:type="dxa"/>
            <w:vAlign w:val="center"/>
          </w:tcPr>
          <w:p w14:paraId="0F86FE8A">
            <w:pPr>
              <w:pStyle w:val="12"/>
              <w:wordWrap w:val="0"/>
              <w:snapToGrid w:val="0"/>
              <w:spacing w:line="360" w:lineRule="auto"/>
              <w:rPr>
                <w:rFonts w:hAnsi="宋体" w:cs="宋体"/>
                <w:color w:val="auto"/>
                <w:szCs w:val="21"/>
                <w:highlight w:val="none"/>
              </w:rPr>
            </w:pPr>
            <w:r>
              <w:rPr>
                <w:rFonts w:hint="eastAsia" w:hAnsi="宋体" w:cs="宋体"/>
                <w:color w:val="auto"/>
                <w:szCs w:val="21"/>
                <w:highlight w:val="none"/>
                <w:lang w:eastAsia="zh-CN"/>
              </w:rPr>
              <w:t>□</w:t>
            </w:r>
            <w:r>
              <w:rPr>
                <w:rFonts w:hint="eastAsia" w:hAnsi="宋体" w:cs="宋体"/>
                <w:color w:val="auto"/>
                <w:szCs w:val="21"/>
                <w:highlight w:val="none"/>
              </w:rPr>
              <w:t>以分标（□中标金额/□采购预算/□暂定中标金额/□其他）为计费额，按国家发改委（计价格[2002]1980号）规定的收费标准计取，采购代理收费以（□收费基准价格/□收费基准价格下浮</w:t>
            </w:r>
            <w:r>
              <w:rPr>
                <w:rFonts w:hint="eastAsia" w:hAnsi="宋体" w:cs="宋体"/>
                <w:color w:val="auto"/>
                <w:szCs w:val="21"/>
                <w:highlight w:val="none"/>
                <w:u w:val="single"/>
              </w:rPr>
              <w:t xml:space="preserve">  %</w:t>
            </w:r>
            <w:r>
              <w:rPr>
                <w:rFonts w:hint="eastAsia" w:hAnsi="宋体" w:cs="宋体"/>
                <w:color w:val="auto"/>
                <w:szCs w:val="21"/>
                <w:highlight w:val="none"/>
              </w:rPr>
              <w:t>/□收费基准价格上浮</w:t>
            </w:r>
            <w:r>
              <w:rPr>
                <w:rFonts w:hint="eastAsia" w:hAnsi="宋体" w:cs="宋体"/>
                <w:color w:val="auto"/>
                <w:szCs w:val="21"/>
                <w:highlight w:val="none"/>
                <w:u w:val="single"/>
              </w:rPr>
              <w:t xml:space="preserve">   %</w:t>
            </w:r>
            <w:r>
              <w:rPr>
                <w:rFonts w:hint="eastAsia" w:hAnsi="宋体" w:cs="宋体"/>
                <w:color w:val="auto"/>
                <w:szCs w:val="21"/>
                <w:highlight w:val="none"/>
              </w:rPr>
              <w:t>）收取。</w:t>
            </w:r>
          </w:p>
          <w:p w14:paraId="3AC9D450">
            <w:pPr>
              <w:pStyle w:val="12"/>
              <w:wordWrap w:val="0"/>
              <w:snapToGrid w:val="0"/>
              <w:spacing w:line="360" w:lineRule="auto"/>
              <w:rPr>
                <w:rFonts w:hAnsi="宋体" w:cs="宋体"/>
                <w:color w:val="auto"/>
                <w:szCs w:val="21"/>
                <w:highlight w:val="none"/>
                <w:u w:val="single"/>
              </w:rPr>
            </w:pPr>
            <w:r>
              <w:rPr>
                <w:rFonts w:hint="eastAsia" w:hAnsi="宋体" w:cs="宋体"/>
                <w:color w:val="auto"/>
                <w:szCs w:val="21"/>
                <w:highlight w:val="none"/>
                <w:lang w:eastAsia="zh-CN"/>
              </w:rPr>
              <w:t>☑</w:t>
            </w:r>
            <w:r>
              <w:rPr>
                <w:rFonts w:hint="eastAsia" w:hAnsi="宋体" w:cs="宋体"/>
                <w:b/>
                <w:bCs/>
                <w:color w:val="auto"/>
                <w:szCs w:val="21"/>
                <w:highlight w:val="none"/>
              </w:rPr>
              <w:t>固定采购代理</w:t>
            </w:r>
            <w:r>
              <w:rPr>
                <w:rFonts w:hint="eastAsia" w:hAnsi="宋体" w:cs="宋体"/>
                <w:b/>
                <w:bCs/>
                <w:color w:val="auto"/>
                <w:szCs w:val="21"/>
                <w:highlight w:val="none"/>
                <w:lang w:val="en-US" w:eastAsia="zh-CN"/>
              </w:rPr>
              <w:t>费</w:t>
            </w:r>
            <w:r>
              <w:rPr>
                <w:rFonts w:hint="eastAsia" w:hAnsi="宋体" w:cs="宋体"/>
                <w:b/>
                <w:bCs/>
                <w:color w:val="auto"/>
                <w:szCs w:val="21"/>
                <w:highlight w:val="none"/>
              </w:rPr>
              <w:t>收费</w:t>
            </w:r>
            <w:r>
              <w:rPr>
                <w:rFonts w:hint="eastAsia" w:hAnsi="宋体" w:cs="宋体"/>
                <w:b/>
                <w:bCs/>
                <w:color w:val="auto"/>
                <w:szCs w:val="21"/>
                <w:highlight w:val="none"/>
                <w:u w:val="single"/>
                <w:lang w:val="en-US" w:eastAsia="zh-CN"/>
              </w:rPr>
              <w:t xml:space="preserve"> 7000.00 </w:t>
            </w:r>
            <w:r>
              <w:rPr>
                <w:rFonts w:hint="eastAsia" w:hAnsi="宋体" w:cs="宋体"/>
                <w:b/>
                <w:bCs/>
                <w:color w:val="auto"/>
                <w:szCs w:val="21"/>
                <w:highlight w:val="none"/>
                <w:u w:val="single"/>
              </w:rPr>
              <w:t>元。</w:t>
            </w:r>
          </w:p>
        </w:tc>
      </w:tr>
      <w:tr w14:paraId="310C8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9" w:hRule="atLeast"/>
        </w:trPr>
        <w:tc>
          <w:tcPr>
            <w:tcW w:w="867" w:type="dxa"/>
            <w:vMerge w:val="continue"/>
            <w:vAlign w:val="center"/>
          </w:tcPr>
          <w:p w14:paraId="0FDCD0FD">
            <w:pPr>
              <w:widowControl/>
              <w:wordWrap w:val="0"/>
              <w:spacing w:line="360" w:lineRule="auto"/>
              <w:jc w:val="left"/>
              <w:rPr>
                <w:rFonts w:ascii="宋体" w:hAnsi="宋体" w:cs="宋体"/>
                <w:color w:val="auto"/>
                <w:szCs w:val="21"/>
                <w:highlight w:val="none"/>
              </w:rPr>
            </w:pPr>
          </w:p>
        </w:tc>
        <w:tc>
          <w:tcPr>
            <w:tcW w:w="2268" w:type="dxa"/>
            <w:vAlign w:val="center"/>
          </w:tcPr>
          <w:p w14:paraId="58C10777">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代理服务费收款账户信息</w:t>
            </w:r>
          </w:p>
        </w:tc>
        <w:tc>
          <w:tcPr>
            <w:tcW w:w="7297" w:type="dxa"/>
            <w:vAlign w:val="center"/>
          </w:tcPr>
          <w:p w14:paraId="3F5C45AF">
            <w:pPr>
              <w:pStyle w:val="12"/>
              <w:wordWrap w:val="0"/>
              <w:snapToGrid w:val="0"/>
              <w:spacing w:line="360" w:lineRule="auto"/>
              <w:rPr>
                <w:rFonts w:hAnsi="宋体" w:cs="宋体"/>
                <w:color w:val="auto"/>
                <w:szCs w:val="21"/>
                <w:highlight w:val="none"/>
              </w:rPr>
            </w:pPr>
            <w:r>
              <w:rPr>
                <w:rFonts w:hint="eastAsia" w:hAnsi="宋体" w:cs="宋体"/>
                <w:color w:val="auto"/>
                <w:szCs w:val="21"/>
                <w:highlight w:val="none"/>
              </w:rPr>
              <w:t>账户名称：广西邕政采购代理有限公司</w:t>
            </w:r>
          </w:p>
          <w:p w14:paraId="41B447C8">
            <w:pPr>
              <w:pStyle w:val="12"/>
              <w:wordWrap w:val="0"/>
              <w:snapToGrid w:val="0"/>
              <w:spacing w:line="360" w:lineRule="auto"/>
              <w:rPr>
                <w:rFonts w:hAnsi="宋体" w:cs="宋体"/>
                <w:color w:val="auto"/>
                <w:szCs w:val="21"/>
                <w:highlight w:val="none"/>
              </w:rPr>
            </w:pPr>
            <w:r>
              <w:rPr>
                <w:rFonts w:hint="eastAsia" w:hAnsi="宋体" w:cs="宋体"/>
                <w:color w:val="auto"/>
                <w:szCs w:val="21"/>
                <w:highlight w:val="none"/>
              </w:rPr>
              <w:t>开户银行：交通银行南宁东葛西支行</w:t>
            </w:r>
          </w:p>
          <w:p w14:paraId="69F7F879">
            <w:pPr>
              <w:pStyle w:val="12"/>
              <w:wordWrap w:val="0"/>
              <w:snapToGrid w:val="0"/>
              <w:spacing w:line="360" w:lineRule="auto"/>
              <w:rPr>
                <w:rFonts w:hAnsi="宋体" w:cs="宋体"/>
                <w:color w:val="auto"/>
                <w:szCs w:val="21"/>
                <w:highlight w:val="none"/>
              </w:rPr>
            </w:pPr>
            <w:r>
              <w:rPr>
                <w:rFonts w:hint="eastAsia" w:hAnsi="宋体" w:cs="宋体"/>
                <w:color w:val="auto"/>
                <w:szCs w:val="21"/>
                <w:highlight w:val="none"/>
              </w:rPr>
              <w:t xml:space="preserve">银行账号：4510 6070 1018 1602 32818 </w:t>
            </w:r>
          </w:p>
          <w:p w14:paraId="45B529A6">
            <w:pPr>
              <w:pStyle w:val="12"/>
              <w:wordWrap w:val="0"/>
              <w:snapToGrid w:val="0"/>
              <w:spacing w:line="360" w:lineRule="auto"/>
              <w:rPr>
                <w:rFonts w:hAnsi="宋体" w:cs="宋体"/>
                <w:color w:val="auto"/>
                <w:szCs w:val="21"/>
                <w:highlight w:val="none"/>
              </w:rPr>
            </w:pPr>
            <w:r>
              <w:rPr>
                <w:rFonts w:hint="eastAsia" w:hAnsi="宋体" w:cs="宋体"/>
                <w:color w:val="auto"/>
                <w:szCs w:val="21"/>
                <w:highlight w:val="none"/>
              </w:rPr>
              <w:t>开户行行号：301611000718</w:t>
            </w:r>
          </w:p>
        </w:tc>
      </w:tr>
      <w:tr w14:paraId="66298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vAlign w:val="center"/>
          </w:tcPr>
          <w:p w14:paraId="0BEA6D78">
            <w:pPr>
              <w:wordWrap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41.1</w:t>
            </w:r>
          </w:p>
        </w:tc>
        <w:tc>
          <w:tcPr>
            <w:tcW w:w="2268" w:type="dxa"/>
            <w:vAlign w:val="center"/>
          </w:tcPr>
          <w:p w14:paraId="0E288CD6">
            <w:pPr>
              <w:wordWrap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解释</w:t>
            </w:r>
          </w:p>
        </w:tc>
        <w:tc>
          <w:tcPr>
            <w:tcW w:w="7297" w:type="dxa"/>
            <w:vAlign w:val="center"/>
          </w:tcPr>
          <w:p w14:paraId="0B7A6062">
            <w:pPr>
              <w:wordWrap w:val="0"/>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解释权：</w:t>
            </w:r>
            <w:r>
              <w:rPr>
                <w:rFonts w:hint="eastAsia" w:ascii="宋体" w:hAnsi="宋体" w:cs="宋体"/>
                <w:color w:val="auto"/>
                <w:szCs w:val="21"/>
                <w:highlight w:val="none"/>
              </w:rPr>
              <w:t>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w:t>
            </w:r>
            <w:r>
              <w:rPr>
                <w:rFonts w:hint="eastAsia" w:ascii="宋体" w:hAnsi="宋体" w:cs="宋体"/>
                <w:b/>
                <w:color w:val="auto"/>
                <w:szCs w:val="21"/>
                <w:highlight w:val="none"/>
              </w:rPr>
              <w:t>，由采购人或者采购代理机构负责解释。</w:t>
            </w:r>
          </w:p>
          <w:p w14:paraId="0D3CE462">
            <w:pPr>
              <w:wordWrap w:val="0"/>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法律责任：</w:t>
            </w:r>
          </w:p>
          <w:p w14:paraId="26DC2470">
            <w:pPr>
              <w:wordWrap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1.本招标文件根据《中华人民共和国政府采购法》、《中华人民共和国民法典》；《中华人民共和国政府采购法实施条例》等有关法律、法规编制，参与本项目的各政府采购当事人依法享有上述法律法规所赋予的权利与义务。</w:t>
            </w:r>
          </w:p>
          <w:p w14:paraId="5083F4F4">
            <w:pPr>
              <w:wordWrap w:val="0"/>
              <w:spacing w:line="360" w:lineRule="auto"/>
              <w:rPr>
                <w:rFonts w:ascii="宋体" w:hAnsi="宋体" w:cs="宋体"/>
                <w:color w:val="auto"/>
                <w:szCs w:val="21"/>
                <w:highlight w:val="none"/>
              </w:rPr>
            </w:pPr>
            <w:r>
              <w:rPr>
                <w:rFonts w:hint="eastAsia" w:ascii="宋体" w:hAnsi="宋体" w:cs="宋体"/>
                <w:b/>
                <w:color w:val="auto"/>
                <w:szCs w:val="21"/>
                <w:highlight w:val="none"/>
              </w:rPr>
              <w:t>2.本项目采购代理机构应严格按照“广西政府采购云”平台项目采购全流程电子化电子开评标规程执行项目采购活动，代理机构在“广西政府采购云”平台的“项目管理”—“采购文件管理”内开评标规则设置作为本采购文件的组成部分，截标之后不可更改，因代理机构开评标规则设置错误导致采购活动无法开展下去的情况，由代理机构负责解释并承担其后果。</w:t>
            </w:r>
          </w:p>
        </w:tc>
      </w:tr>
      <w:tr w14:paraId="5CDC9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vAlign w:val="center"/>
          </w:tcPr>
          <w:p w14:paraId="3A4D3FBC">
            <w:pPr>
              <w:wordWrap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41.2</w:t>
            </w:r>
          </w:p>
        </w:tc>
        <w:tc>
          <w:tcPr>
            <w:tcW w:w="2268" w:type="dxa"/>
            <w:vAlign w:val="center"/>
          </w:tcPr>
          <w:p w14:paraId="5D4AFE3B">
            <w:pPr>
              <w:wordWrap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其他释义</w:t>
            </w:r>
          </w:p>
        </w:tc>
        <w:tc>
          <w:tcPr>
            <w:tcW w:w="7297" w:type="dxa"/>
            <w:vAlign w:val="center"/>
          </w:tcPr>
          <w:p w14:paraId="1AD6B889">
            <w:pPr>
              <w:pStyle w:val="12"/>
              <w:wordWrap w:val="0"/>
              <w:snapToGrid w:val="0"/>
              <w:spacing w:line="360" w:lineRule="auto"/>
              <w:rPr>
                <w:rFonts w:hAnsi="宋体" w:cs="宋体"/>
                <w:b/>
                <w:bCs/>
                <w:color w:val="auto"/>
                <w:szCs w:val="21"/>
                <w:highlight w:val="none"/>
              </w:rPr>
            </w:pPr>
            <w:r>
              <w:rPr>
                <w:rFonts w:hint="eastAsia" w:hAnsi="宋体" w:cs="宋体"/>
                <w:b/>
                <w:bCs/>
                <w:color w:val="auto"/>
                <w:szCs w:val="21"/>
                <w:highlight w:val="none"/>
              </w:rPr>
              <w:t>1.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74F7575C">
            <w:pPr>
              <w:pStyle w:val="12"/>
              <w:wordWrap w:val="0"/>
              <w:snapToGrid w:val="0"/>
              <w:spacing w:line="360" w:lineRule="auto"/>
              <w:rPr>
                <w:rFonts w:hAnsi="宋体" w:cs="宋体"/>
                <w:b/>
                <w:bCs/>
                <w:color w:val="auto"/>
                <w:szCs w:val="21"/>
                <w:highlight w:val="none"/>
              </w:rPr>
            </w:pPr>
            <w:r>
              <w:rPr>
                <w:rFonts w:hint="eastAsia" w:hAnsi="宋体" w:cs="宋体"/>
                <w:b/>
                <w:bCs/>
                <w:color w:val="auto"/>
                <w:szCs w:val="21"/>
                <w:highlight w:val="none"/>
              </w:rPr>
              <w:t>2.投标人为其他组织或者自然人时，本招标文件规定的法定代表人指负责人或者自然人。本招标文件所称负责人是指参加投标的其他组织营业执照上的负责人，本招标文件所称自然人指参与投标的自然人本人。</w:t>
            </w:r>
          </w:p>
          <w:p w14:paraId="460B3515">
            <w:pPr>
              <w:pStyle w:val="12"/>
              <w:wordWrap w:val="0"/>
              <w:snapToGrid w:val="0"/>
              <w:spacing w:line="360" w:lineRule="auto"/>
              <w:rPr>
                <w:rFonts w:hAnsi="宋体" w:cs="宋体"/>
                <w:b/>
                <w:bCs/>
                <w:color w:val="auto"/>
                <w:szCs w:val="21"/>
                <w:highlight w:val="none"/>
              </w:rPr>
            </w:pPr>
            <w:r>
              <w:rPr>
                <w:rFonts w:hint="eastAsia" w:hAnsi="宋体" w:cs="宋体"/>
                <w:b/>
                <w:bCs/>
                <w:color w:val="auto"/>
                <w:szCs w:val="21"/>
                <w:highlight w:val="none"/>
              </w:rPr>
              <w:t>3.本招标文件中描述投标人的“签字”是指投标人的法定代表人或者委托代理人亲自在文件规定签署处亲笔写上个人的名字的行为，私章、签字章、印鉴、影印等其他形式均不能代替亲笔签字。</w:t>
            </w:r>
          </w:p>
          <w:p w14:paraId="68B5F8A4">
            <w:pPr>
              <w:pStyle w:val="12"/>
              <w:wordWrap w:val="0"/>
              <w:snapToGrid w:val="0"/>
              <w:spacing w:line="360" w:lineRule="auto"/>
              <w:rPr>
                <w:rFonts w:hAnsi="宋体" w:cs="宋体"/>
                <w:b/>
                <w:bCs/>
                <w:color w:val="auto"/>
                <w:szCs w:val="21"/>
                <w:highlight w:val="none"/>
              </w:rPr>
            </w:pPr>
            <w:r>
              <w:rPr>
                <w:rFonts w:hint="eastAsia" w:hAnsi="宋体" w:cs="宋体"/>
                <w:b/>
                <w:bCs/>
                <w:color w:val="auto"/>
                <w:szCs w:val="21"/>
                <w:highlight w:val="none"/>
              </w:rPr>
              <w:t>4.自然人投标的，招标文件规定盖公章处由自然人摁手指指印。</w:t>
            </w:r>
          </w:p>
          <w:p w14:paraId="73561C49">
            <w:pPr>
              <w:wordWrap w:val="0"/>
              <w:spacing w:line="360" w:lineRule="auto"/>
              <w:jc w:val="left"/>
              <w:rPr>
                <w:rFonts w:ascii="宋体" w:hAnsi="宋体" w:cs="宋体"/>
                <w:color w:val="auto"/>
                <w:szCs w:val="21"/>
                <w:highlight w:val="none"/>
              </w:rPr>
            </w:pPr>
            <w:r>
              <w:rPr>
                <w:rFonts w:hint="eastAsia" w:ascii="宋体" w:hAnsi="宋体" w:cs="宋体"/>
                <w:b/>
                <w:bCs/>
                <w:color w:val="auto"/>
                <w:szCs w:val="21"/>
                <w:highlight w:val="none"/>
              </w:rPr>
              <w:t>5.本招标文件所称的“以上”“以下”“以内”“届满”，包括本数；所称的“不满”“超过”“以外”，不包括本数。</w:t>
            </w:r>
          </w:p>
        </w:tc>
      </w:tr>
    </w:tbl>
    <w:p w14:paraId="5FFC18D2">
      <w:pPr>
        <w:widowControl/>
        <w:wordWrap w:val="0"/>
        <w:spacing w:line="360" w:lineRule="auto"/>
        <w:jc w:val="left"/>
        <w:rPr>
          <w:rFonts w:ascii="宋体" w:hAnsi="宋体" w:cs="宋体"/>
          <w:b/>
          <w:bCs/>
          <w:color w:val="auto"/>
          <w:sz w:val="32"/>
          <w:szCs w:val="32"/>
          <w:highlight w:val="none"/>
        </w:rPr>
        <w:sectPr>
          <w:footerReference r:id="rId6" w:type="default"/>
          <w:pgSz w:w="11906" w:h="16838"/>
          <w:pgMar w:top="1440" w:right="1080" w:bottom="1440" w:left="1080" w:header="720" w:footer="720" w:gutter="0"/>
          <w:pgNumType w:fmt="decimal"/>
          <w:cols w:space="720" w:num="1"/>
          <w:docGrid w:type="lines" w:linePitch="331" w:charSpace="0"/>
        </w:sectPr>
      </w:pPr>
    </w:p>
    <w:p w14:paraId="51488BD3">
      <w:pPr>
        <w:wordWrap w:val="0"/>
        <w:spacing w:line="360" w:lineRule="auto"/>
        <w:rPr>
          <w:rFonts w:ascii="宋体" w:hAnsi="宋体" w:cs="宋体"/>
          <w:color w:val="auto"/>
          <w:highlight w:val="none"/>
        </w:rPr>
      </w:pPr>
    </w:p>
    <w:p w14:paraId="21217B63">
      <w:pPr>
        <w:pStyle w:val="3"/>
        <w:wordWrap w:val="0"/>
        <w:spacing w:before="0" w:after="0" w:line="360" w:lineRule="auto"/>
        <w:jc w:val="center"/>
        <w:rPr>
          <w:rFonts w:ascii="宋体" w:hAnsi="宋体" w:eastAsia="宋体" w:cs="宋体"/>
          <w:color w:val="auto"/>
          <w:highlight w:val="none"/>
        </w:rPr>
      </w:pPr>
      <w:bookmarkStart w:id="39" w:name="_Toc624"/>
      <w:r>
        <w:rPr>
          <w:rFonts w:hint="eastAsia" w:ascii="宋体" w:hAnsi="宋体" w:eastAsia="宋体" w:cs="宋体"/>
          <w:color w:val="auto"/>
          <w:highlight w:val="none"/>
        </w:rPr>
        <w:t>第二节 投标人须知正文</w:t>
      </w:r>
      <w:bookmarkEnd w:id="39"/>
    </w:p>
    <w:p w14:paraId="49E1001A">
      <w:pPr>
        <w:pStyle w:val="4"/>
        <w:keepNext w:val="0"/>
        <w:keepLines w:val="0"/>
        <w:wordWrap w:val="0"/>
        <w:spacing w:line="360" w:lineRule="auto"/>
        <w:jc w:val="center"/>
        <w:rPr>
          <w:rFonts w:ascii="宋体" w:hAnsi="宋体" w:cs="宋体"/>
          <w:color w:val="auto"/>
          <w:highlight w:val="none"/>
        </w:rPr>
      </w:pPr>
      <w:bookmarkStart w:id="40" w:name="_Toc4908"/>
      <w:r>
        <w:rPr>
          <w:rFonts w:hint="eastAsia" w:ascii="宋体" w:hAnsi="宋体" w:cs="宋体"/>
          <w:color w:val="auto"/>
          <w:highlight w:val="none"/>
        </w:rPr>
        <w:t>一、总  则</w:t>
      </w:r>
      <w:bookmarkEnd w:id="40"/>
    </w:p>
    <w:p w14:paraId="6632FFCE">
      <w:pPr>
        <w:wordWrap w:val="0"/>
        <w:spacing w:line="360" w:lineRule="auto"/>
        <w:ind w:firstLine="480" w:firstLineChars="200"/>
        <w:rPr>
          <w:rFonts w:ascii="宋体" w:hAnsi="宋体" w:cs="宋体"/>
          <w:color w:val="auto"/>
          <w:sz w:val="24"/>
          <w:highlight w:val="none"/>
        </w:rPr>
      </w:pPr>
      <w:bookmarkStart w:id="41" w:name="_Toc254970668"/>
      <w:bookmarkStart w:id="42" w:name="_Toc254970527"/>
      <w:r>
        <w:rPr>
          <w:rFonts w:hint="eastAsia" w:ascii="宋体" w:hAnsi="宋体" w:cs="宋体"/>
          <w:color w:val="auto"/>
          <w:sz w:val="24"/>
          <w:highlight w:val="none"/>
        </w:rPr>
        <w:t>1.适用范围</w:t>
      </w:r>
      <w:bookmarkEnd w:id="41"/>
      <w:bookmarkEnd w:id="42"/>
    </w:p>
    <w:p w14:paraId="26A396B4">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2084D040">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1.2本招标文件</w:t>
      </w:r>
      <w:r>
        <w:rPr>
          <w:rFonts w:hint="eastAsia" w:ascii="宋体" w:hAnsi="宋体" w:cs="宋体"/>
          <w:color w:val="auto"/>
          <w:spacing w:val="-6"/>
          <w:szCs w:val="21"/>
          <w:highlight w:val="none"/>
        </w:rPr>
        <w:t>适用于本项目的所有采购程序和环节（法律、法规另有规定的，从其规定）。</w:t>
      </w:r>
    </w:p>
    <w:p w14:paraId="0BBC6EA1">
      <w:pPr>
        <w:wordWrap w:val="0"/>
        <w:spacing w:line="360" w:lineRule="auto"/>
        <w:ind w:firstLine="480" w:firstLineChars="200"/>
        <w:rPr>
          <w:rFonts w:ascii="宋体" w:hAnsi="宋体" w:cs="宋体"/>
          <w:color w:val="auto"/>
          <w:sz w:val="24"/>
          <w:highlight w:val="none"/>
        </w:rPr>
      </w:pPr>
      <w:bookmarkStart w:id="43" w:name="_Toc254970669"/>
      <w:bookmarkStart w:id="44" w:name="_Toc254970528"/>
      <w:r>
        <w:rPr>
          <w:rFonts w:hint="eastAsia" w:ascii="宋体" w:hAnsi="宋体" w:cs="宋体"/>
          <w:color w:val="auto"/>
          <w:sz w:val="24"/>
          <w:highlight w:val="none"/>
        </w:rPr>
        <w:t>2.定义</w:t>
      </w:r>
      <w:bookmarkEnd w:id="43"/>
      <w:bookmarkEnd w:id="44"/>
    </w:p>
    <w:p w14:paraId="324C974E">
      <w:pPr>
        <w:wordWrap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2.1“采购人”是指依法进行政府采购的国家机关、事业单位、团体组织。</w:t>
      </w:r>
    </w:p>
    <w:p w14:paraId="143DFFBB">
      <w:pPr>
        <w:wordWrap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2.2“采购代理机构” 指政府采购集中采购机构和集中采购机构以外的采购代理机构。</w:t>
      </w:r>
    </w:p>
    <w:p w14:paraId="5F1B2D3D">
      <w:pPr>
        <w:wordWrap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2.3“供应商”是指向采购人提供货物、工程或者服务的法人、其他组织或者自然人。</w:t>
      </w:r>
    </w:p>
    <w:p w14:paraId="47A3B4D6">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2.4“投标人”是指响应招标、参加投标竞争的法人、非法人组织或者自然人。</w:t>
      </w:r>
    </w:p>
    <w:p w14:paraId="7FD01D9F">
      <w:pPr>
        <w:wordWrap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2.5“服务”是指除货物和工程以外的其他政府采购对象。</w:t>
      </w:r>
    </w:p>
    <w:p w14:paraId="2242552A">
      <w:pPr>
        <w:wordWrap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2.6“书面形式”是指合同书、信件和数据电文（包括电报、电传、传真、短信、电子数据交换和电子邮件）等可以有形地表现所载内容的形式。</w:t>
      </w:r>
    </w:p>
    <w:p w14:paraId="5CE5F8AB">
      <w:pPr>
        <w:wordWrap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2.7“实质性要求”是指招标文件中已经指明不满足则投标无效的条款，或者不能负偏离的条款，或者采购需求中带“</w:t>
      </w:r>
      <w:r>
        <w:rPr>
          <w:rFonts w:hint="eastAsia" w:ascii="宋体" w:hAnsi="宋体" w:cs="宋体"/>
          <w:b/>
          <w:bCs/>
          <w:color w:val="auto"/>
          <w:szCs w:val="21"/>
          <w:highlight w:val="none"/>
        </w:rPr>
        <w:t>▲</w:t>
      </w:r>
      <w:r>
        <w:rPr>
          <w:rFonts w:hint="eastAsia" w:ascii="宋体" w:hAnsi="宋体" w:cs="宋体"/>
          <w:b/>
          <w:color w:val="auto"/>
          <w:szCs w:val="21"/>
          <w:highlight w:val="none"/>
        </w:rPr>
        <w:t>”的条款。</w:t>
      </w:r>
    </w:p>
    <w:p w14:paraId="419FB2DD">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2.8“正偏离”，是指投标文件对招标文件“采购需求”中有关条款作出的响应优于条款要求并有利于采购人的情形。</w:t>
      </w:r>
    </w:p>
    <w:p w14:paraId="27543D12">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2.9“负偏离”，是指投标文件对招标文件“采购需求”中有关条款作出的响应不满足条款要求，导致采购人要求不能得到满足的情形。</w:t>
      </w:r>
    </w:p>
    <w:p w14:paraId="60DEEC76">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2.10“允许负偏离的条款”是指采购需求中的不属于“实质性要求”的条款。</w:t>
      </w:r>
      <w:bookmarkStart w:id="45" w:name="_Toc254970670"/>
      <w:bookmarkStart w:id="46" w:name="_Toc254970529"/>
    </w:p>
    <w:p w14:paraId="019A7AF6">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w:t>
      </w:r>
      <w:bookmarkEnd w:id="45"/>
      <w:bookmarkEnd w:id="46"/>
      <w:r>
        <w:rPr>
          <w:rFonts w:hint="eastAsia" w:ascii="宋体" w:hAnsi="宋体" w:cs="宋体"/>
          <w:color w:val="auto"/>
          <w:sz w:val="24"/>
          <w:highlight w:val="none"/>
        </w:rPr>
        <w:t>投标人的资格要求</w:t>
      </w:r>
    </w:p>
    <w:p w14:paraId="3034BF6C">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投标人的资格要求详见“招标公告”。</w:t>
      </w:r>
    </w:p>
    <w:p w14:paraId="115038FB">
      <w:pPr>
        <w:wordWrap w:val="0"/>
        <w:spacing w:line="360" w:lineRule="auto"/>
        <w:ind w:firstLine="480" w:firstLineChars="200"/>
        <w:rPr>
          <w:rFonts w:ascii="宋体" w:hAnsi="宋体" w:cs="宋体"/>
          <w:color w:val="auto"/>
          <w:sz w:val="24"/>
          <w:highlight w:val="none"/>
        </w:rPr>
      </w:pPr>
      <w:bookmarkStart w:id="47" w:name="_Toc254970671"/>
      <w:bookmarkStart w:id="48" w:name="_Toc254970530"/>
      <w:r>
        <w:rPr>
          <w:rFonts w:hint="eastAsia" w:ascii="宋体" w:hAnsi="宋体" w:cs="宋体"/>
          <w:color w:val="auto"/>
          <w:sz w:val="24"/>
          <w:highlight w:val="none"/>
        </w:rPr>
        <w:t>4.投标委托</w:t>
      </w:r>
      <w:bookmarkEnd w:id="47"/>
      <w:bookmarkEnd w:id="48"/>
    </w:p>
    <w:p w14:paraId="6A1C054C">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投标人代表参加投标活动过程中必须携带个人有效身份证件。如投标人代表不是法定代表人，须持有法定代表人授权委托书（正本用原件，副本用复印件，按第六章要求格式填写）。</w:t>
      </w:r>
    </w:p>
    <w:p w14:paraId="734131AB">
      <w:pPr>
        <w:wordWrap w:val="0"/>
        <w:spacing w:line="360" w:lineRule="auto"/>
        <w:ind w:firstLine="480" w:firstLineChars="200"/>
        <w:rPr>
          <w:rFonts w:ascii="宋体" w:hAnsi="宋体" w:cs="宋体"/>
          <w:color w:val="auto"/>
          <w:sz w:val="24"/>
          <w:highlight w:val="none"/>
        </w:rPr>
      </w:pPr>
      <w:bookmarkStart w:id="49" w:name="_5.投标费用"/>
      <w:bookmarkEnd w:id="49"/>
      <w:bookmarkStart w:id="50" w:name="_Toc254970531"/>
      <w:bookmarkStart w:id="51" w:name="_Toc254970672"/>
      <w:r>
        <w:rPr>
          <w:rFonts w:hint="eastAsia" w:ascii="宋体" w:hAnsi="宋体" w:cs="宋体"/>
          <w:color w:val="auto"/>
          <w:sz w:val="24"/>
          <w:highlight w:val="none"/>
        </w:rPr>
        <w:t>5.投标费用</w:t>
      </w:r>
      <w:bookmarkEnd w:id="50"/>
      <w:bookmarkEnd w:id="51"/>
    </w:p>
    <w:p w14:paraId="3F7F53CC">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投标费用：投标人应承担参与本次采购活动有关的所有费用，包括但不限于勘查现场、编制投标文件、参加澄清说明、签订合同等，不论投标结果如何，均应自行承担。</w:t>
      </w:r>
    </w:p>
    <w:p w14:paraId="4EB22BD1">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6.联合体投标</w:t>
      </w:r>
    </w:p>
    <w:p w14:paraId="09AD9B7C">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6.1本项目是否接受联合体投标，详见“投标人须知前附表”。</w:t>
      </w:r>
    </w:p>
    <w:p w14:paraId="0519304A">
      <w:pPr>
        <w:wordWrap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6.2如接受联合体投标，联合体投标要求详见“投标人须知前附表”。</w:t>
      </w:r>
    </w:p>
    <w:p w14:paraId="18677516">
      <w:pPr>
        <w:wordWrap w:val="0"/>
        <w:spacing w:line="360" w:lineRule="auto"/>
        <w:ind w:firstLine="420" w:firstLineChars="200"/>
        <w:rPr>
          <w:rFonts w:ascii="宋体" w:hAnsi="宋体" w:cs="宋体"/>
          <w:bCs/>
          <w:color w:val="auto"/>
          <w:sz w:val="24"/>
          <w:szCs w:val="21"/>
          <w:highlight w:val="none"/>
          <w:shd w:val="clear" w:color="auto" w:fill="FFFFFF"/>
        </w:rPr>
      </w:pPr>
      <w:r>
        <w:rPr>
          <w:rFonts w:hint="eastAsia" w:ascii="宋体" w:hAnsi="宋体" w:cs="宋体"/>
          <w:bCs/>
          <w:color w:val="auto"/>
          <w:szCs w:val="21"/>
          <w:highlight w:val="none"/>
        </w:rPr>
        <w:t>6.3根据《政府采购促进中小企业发展管理办法》（财库[2020]46号）第九条、《广西壮族自治区财政厅关于持续优化政府采购营商环境推动高质量发展的通知》（桂财采〔2024〕55号）、</w:t>
      </w:r>
      <w:r>
        <w:rPr>
          <w:rFonts w:hint="eastAsia" w:ascii="宋体" w:hAnsi="宋体" w:cs="宋体"/>
          <w:color w:val="auto"/>
          <w:highlight w:val="none"/>
        </w:rPr>
        <w:t>《广西壮族自治区财政厅关于贯彻落实政府采购支持中小企业发展政策的通知》（桂财采〔2022〕31号）</w:t>
      </w:r>
      <w:r>
        <w:rPr>
          <w:rFonts w:hint="eastAsia" w:ascii="宋体" w:hAnsi="宋体" w:cs="宋体"/>
          <w:bCs/>
          <w:color w:val="auto"/>
          <w:szCs w:val="21"/>
          <w:highlight w:val="none"/>
        </w:rPr>
        <w:t>及《广西壮族自治区财政厅 广西壮族自治区工业和信息化厅转发财政部 工业和信息化部政府采购促进中小企业发展管理办法的通知》（桂财采〔2021〕70号）规定，接受大中型企业与小微企业组成联合体的采购项目，对于联合协议约定小微企业的合同份额占到合同总金额 30%以上的，采购人、采购代理机构应当对联合体的报价给予 4%-6%（工程项目为 1%—2%）的扣除，用扣除后的价格参加评审。组成联合体的小微企业与联合体内其他企业、分包企业之间存在直接控股、管理关系的，不享受价格扣除优惠政策。</w:t>
      </w:r>
    </w:p>
    <w:p w14:paraId="591FCCC8">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7.转包与分包             </w:t>
      </w:r>
    </w:p>
    <w:p w14:paraId="7B5FAA39">
      <w:pPr>
        <w:wordWrap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7.1本项目是否允许分包详见“投标人须知前附表”，本项目不允许违法分包。投标人根据招标文件的规定和采购项目的实际情况，拟在中标后将中标项目的非主体、非关键性工作分包的，应当在投标文件中载明分包承担主体，分包承担主体应当具备相应资质条件且不得再次分包。</w:t>
      </w:r>
    </w:p>
    <w:p w14:paraId="346AE652">
      <w:pPr>
        <w:wordWrap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7.2根据《政府采购促进中小企业发展管理办法》（财库[2020]46号）第九条及《广西壮族自治区财政厅关于持续优化政府采购营商环境推动高质量发展的通知》（桂财采〔2024〕55号）、</w:t>
      </w:r>
      <w:r>
        <w:rPr>
          <w:rFonts w:hint="eastAsia" w:ascii="宋体" w:hAnsi="宋体" w:cs="宋体"/>
          <w:color w:val="auto"/>
          <w:highlight w:val="none"/>
        </w:rPr>
        <w:t>《广西壮族自治区财政厅关于贯彻落实政府采购支持中小企业发展政策的通知》（桂财采〔2022〕31号）</w:t>
      </w:r>
      <w:r>
        <w:rPr>
          <w:rFonts w:hint="eastAsia" w:ascii="宋体" w:hAnsi="宋体" w:cs="宋体"/>
          <w:bCs/>
          <w:color w:val="auto"/>
          <w:szCs w:val="21"/>
          <w:highlight w:val="none"/>
        </w:rPr>
        <w:t>规定，允许大中型企业向一家或者多家小微企业分包的采购项目，对于分包意向协议约定小微企业的合同份额占到合同总金额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p>
    <w:p w14:paraId="2574C109">
      <w:pPr>
        <w:wordWrap w:val="0"/>
        <w:spacing w:line="360" w:lineRule="auto"/>
        <w:ind w:firstLine="480" w:firstLineChars="200"/>
        <w:rPr>
          <w:rFonts w:ascii="宋体" w:hAnsi="宋体" w:cs="宋体"/>
          <w:color w:val="auto"/>
          <w:sz w:val="24"/>
          <w:highlight w:val="none"/>
        </w:rPr>
      </w:pPr>
      <w:bookmarkStart w:id="52" w:name="_Toc254970673"/>
      <w:bookmarkStart w:id="53" w:name="_Toc254970532"/>
      <w:r>
        <w:rPr>
          <w:rFonts w:hint="eastAsia" w:ascii="宋体" w:hAnsi="宋体" w:cs="宋体"/>
          <w:color w:val="auto"/>
          <w:sz w:val="24"/>
          <w:highlight w:val="none"/>
        </w:rPr>
        <w:t>8.特别说明：</w:t>
      </w:r>
      <w:bookmarkEnd w:id="52"/>
      <w:bookmarkEnd w:id="53"/>
      <w:bookmarkStart w:id="54" w:name="_8.1提供相同品牌产品且通过资格审查、符合性审查的不同投标人参加同一合"/>
      <w:bookmarkEnd w:id="54"/>
    </w:p>
    <w:p w14:paraId="4652F5C1">
      <w:pPr>
        <w:wordWrap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8.1如果本招标文件要求投标人提供资格、信誉、荣誉、业绩与企业认证等材料的，则投标人所提供的以上材料必须为投标人所拥有。</w:t>
      </w:r>
    </w:p>
    <w:p w14:paraId="2B8EFB6A">
      <w:pPr>
        <w:wordWrap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8.2投标人应仔细阅读招标文件的所有内容，按照招标文件的要求提交投标文件，并对所提供的全部资料的真实性承担法律责任。</w:t>
      </w:r>
    </w:p>
    <w:p w14:paraId="385052AF">
      <w:pPr>
        <w:wordWrap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8.3投标人在投标活动中提供任何虚假材料，将报监管部门查处；中标后发现的，中标供应商须依照《中华人民共和国消费者权益保护法》规定赔偿采购人，且民事赔偿并不免除违法投标人的行政与刑事责任。</w:t>
      </w:r>
    </w:p>
    <w:p w14:paraId="70593206">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9.回避与串通投标</w:t>
      </w:r>
    </w:p>
    <w:p w14:paraId="11DA4E01">
      <w:pPr>
        <w:wordWrap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9.1在政府采购活动中，采购人员及相关人员与供应商有下列利害关系之一的，应当回避：</w:t>
      </w:r>
    </w:p>
    <w:p w14:paraId="6B099AA8">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（1）参加采购活动前3年内与供应商存在劳动关系；</w:t>
      </w:r>
    </w:p>
    <w:p w14:paraId="7462F918">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（2）参加采购活动前3年内担任供应商的董事、监事；</w:t>
      </w:r>
    </w:p>
    <w:p w14:paraId="62CCE934">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（3）参加采购活动前3年内是供应商的控股股东或者实际控制人；</w:t>
      </w:r>
    </w:p>
    <w:p w14:paraId="213E4C07">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（4）与供应商的法定代表人或者负责人有夫妻、直系血亲、三代以内旁系血亲或者近姻亲关系；</w:t>
      </w:r>
    </w:p>
    <w:p w14:paraId="582046D1">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（5）与供应商有其他可能影响政府采购活动公平、公正进行的关系。</w:t>
      </w:r>
    </w:p>
    <w:p w14:paraId="63359DF5">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3E762295">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9.2有下列情形之一的视为投标人相互串通投标，投标文件将被视为无效：</w:t>
      </w:r>
    </w:p>
    <w:p w14:paraId="458FAB63">
      <w:pPr>
        <w:wordWrap w:val="0"/>
        <w:spacing w:line="360" w:lineRule="auto"/>
        <w:ind w:firstLine="422" w:firstLineChars="200"/>
        <w:rPr>
          <w:rFonts w:ascii="宋体" w:hAnsi="宋体" w:cs="宋体"/>
          <w:b/>
          <w:color w:val="auto"/>
          <w:highlight w:val="none"/>
        </w:rPr>
      </w:pPr>
      <w:r>
        <w:rPr>
          <w:rFonts w:hint="eastAsia" w:ascii="宋体" w:hAnsi="宋体" w:cs="宋体"/>
          <w:b/>
          <w:color w:val="auto"/>
          <w:highlight w:val="none"/>
        </w:rPr>
        <w:t>（1）不同投标人的投标文件由同一单位或者个人编制；或者不同投标人报名的IP地址一致的；或者不同投标人报名的IP地址一致的；或者编制标书硬件设备CPU编号、硬盘编号、网卡地址一致的情况。</w:t>
      </w:r>
    </w:p>
    <w:p w14:paraId="7A52B210">
      <w:pPr>
        <w:wordWrap w:val="0"/>
        <w:spacing w:line="360" w:lineRule="auto"/>
        <w:ind w:firstLine="422" w:firstLineChars="200"/>
        <w:rPr>
          <w:rFonts w:ascii="宋体" w:hAnsi="宋体" w:cs="宋体"/>
          <w:b/>
          <w:color w:val="auto"/>
          <w:highlight w:val="none"/>
        </w:rPr>
      </w:pPr>
      <w:r>
        <w:rPr>
          <w:rFonts w:hint="eastAsia" w:ascii="宋体" w:hAnsi="宋体" w:cs="宋体"/>
          <w:b/>
          <w:color w:val="auto"/>
          <w:highlight w:val="none"/>
        </w:rPr>
        <w:t>（2）不同投标人委托同一单位或者个人办理投标事宜；</w:t>
      </w:r>
    </w:p>
    <w:p w14:paraId="38482F3E">
      <w:pPr>
        <w:wordWrap w:val="0"/>
        <w:spacing w:line="360" w:lineRule="auto"/>
        <w:ind w:firstLine="422" w:firstLineChars="200"/>
        <w:rPr>
          <w:rFonts w:ascii="宋体" w:hAnsi="宋体" w:cs="宋体"/>
          <w:b/>
          <w:color w:val="auto"/>
          <w:highlight w:val="none"/>
        </w:rPr>
      </w:pPr>
      <w:r>
        <w:rPr>
          <w:rFonts w:hint="eastAsia" w:ascii="宋体" w:hAnsi="宋体" w:cs="宋体"/>
          <w:b/>
          <w:color w:val="auto"/>
          <w:highlight w:val="none"/>
        </w:rPr>
        <w:t>（3）不同的投标人的投标文件载明的项目管理员为同一个人；</w:t>
      </w:r>
    </w:p>
    <w:p w14:paraId="36353040">
      <w:pPr>
        <w:wordWrap w:val="0"/>
        <w:spacing w:line="360" w:lineRule="auto"/>
        <w:ind w:firstLine="422" w:firstLineChars="200"/>
        <w:rPr>
          <w:rFonts w:ascii="宋体" w:hAnsi="宋体" w:cs="宋体"/>
          <w:b/>
          <w:color w:val="auto"/>
          <w:highlight w:val="none"/>
        </w:rPr>
      </w:pPr>
      <w:r>
        <w:rPr>
          <w:rFonts w:hint="eastAsia" w:ascii="宋体" w:hAnsi="宋体" w:cs="宋体"/>
          <w:b/>
          <w:color w:val="auto"/>
          <w:highlight w:val="none"/>
        </w:rPr>
        <w:t>（4）不同投标人的电子或纸质投标文件异常一致或者投标报价呈规律性差异；</w:t>
      </w:r>
    </w:p>
    <w:p w14:paraId="378D0308">
      <w:pPr>
        <w:wordWrap w:val="0"/>
        <w:spacing w:line="360" w:lineRule="auto"/>
        <w:ind w:firstLine="422" w:firstLineChars="200"/>
        <w:rPr>
          <w:rFonts w:ascii="宋体" w:hAnsi="宋体" w:cs="宋体"/>
          <w:b/>
          <w:color w:val="auto"/>
          <w:highlight w:val="none"/>
        </w:rPr>
      </w:pPr>
      <w:r>
        <w:rPr>
          <w:rFonts w:hint="eastAsia" w:ascii="宋体" w:hAnsi="宋体" w:cs="宋体"/>
          <w:b/>
          <w:color w:val="auto"/>
          <w:highlight w:val="none"/>
        </w:rPr>
        <w:t>（5）不同投标人的纸质投标文件相互混装；</w:t>
      </w:r>
    </w:p>
    <w:p w14:paraId="474C7101">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9.3供应商有下列情形之一的，属于恶意串通行为，将报同级监督管理部门：</w:t>
      </w:r>
    </w:p>
    <w:p w14:paraId="514EA0BE">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（1）供应商直接或者间接从采购人或者采购代理机构处获得其他供应商的相关信息并修改其投标文件或者投标文件；</w:t>
      </w:r>
    </w:p>
    <w:p w14:paraId="0D55D85D">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（2）供应商按照采购人或者采购代理机构的授意撤换、修改投标文件或者投标文件；</w:t>
      </w:r>
    </w:p>
    <w:p w14:paraId="2EE582E2">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（3）供应商之间协商报价、技术方案等投标文件或者投标文件的实质性内容；</w:t>
      </w:r>
    </w:p>
    <w:p w14:paraId="347129D0">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（4）属于同一集团、协会、商会等组织成员的供应商按照该组织要求协同参加政府采购活动；</w:t>
      </w:r>
    </w:p>
    <w:p w14:paraId="716642F0">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（5）供应商之间事先约定一致抬高或者压低投标报价，或者在招标项目中事先约定轮流以高价位或者低价位中标，或者事先约定由某一特定供应商中标，然后再参加投标；</w:t>
      </w:r>
    </w:p>
    <w:p w14:paraId="722B4485">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（6）供应商之间商定部分供应商放弃参加政府采购活动或者放弃中标；</w:t>
      </w:r>
    </w:p>
    <w:p w14:paraId="07A51008">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（7）供应商与采购人或者采购代理机构之间、供应商相互之间，为谋求特定供应商中标或者排斥其他供应商的其他串通行为。</w:t>
      </w:r>
    </w:p>
    <w:p w14:paraId="0C1FB98E">
      <w:pPr>
        <w:pStyle w:val="12"/>
        <w:wordWrap w:val="0"/>
        <w:snapToGrid w:val="0"/>
        <w:spacing w:line="360" w:lineRule="auto"/>
        <w:ind w:left="2" w:leftChars="1" w:firstLine="422" w:firstLineChars="200"/>
        <w:rPr>
          <w:rFonts w:hAnsi="宋体" w:cs="宋体"/>
          <w:b/>
          <w:color w:val="auto"/>
          <w:highlight w:val="none"/>
        </w:rPr>
      </w:pPr>
    </w:p>
    <w:p w14:paraId="0C6F81E8">
      <w:pPr>
        <w:pStyle w:val="4"/>
        <w:keepNext w:val="0"/>
        <w:keepLines w:val="0"/>
        <w:wordWrap w:val="0"/>
        <w:spacing w:line="360" w:lineRule="auto"/>
        <w:jc w:val="center"/>
        <w:rPr>
          <w:rFonts w:ascii="宋体" w:hAnsi="宋体" w:cs="宋体"/>
          <w:color w:val="auto"/>
          <w:highlight w:val="none"/>
        </w:rPr>
      </w:pPr>
      <w:bookmarkStart w:id="55" w:name="_Toc23507"/>
      <w:bookmarkStart w:id="56" w:name="_Toc254970534"/>
      <w:bookmarkStart w:id="57" w:name="_Toc254970675"/>
      <w:r>
        <w:rPr>
          <w:rFonts w:hint="eastAsia" w:ascii="宋体" w:hAnsi="宋体" w:cs="宋体"/>
          <w:color w:val="auto"/>
          <w:highlight w:val="none"/>
        </w:rPr>
        <w:t>二、招标文件</w:t>
      </w:r>
      <w:bookmarkEnd w:id="55"/>
      <w:bookmarkEnd w:id="56"/>
      <w:bookmarkEnd w:id="57"/>
    </w:p>
    <w:p w14:paraId="20221853">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10.招标文件的组成</w:t>
      </w:r>
    </w:p>
    <w:p w14:paraId="261D4E4E">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第一章 招标公告；</w:t>
      </w:r>
    </w:p>
    <w:p w14:paraId="7BBF4C5D">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第二章 采购需求； </w:t>
      </w:r>
    </w:p>
    <w:p w14:paraId="255E24FA">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第三章 投标人须知；</w:t>
      </w:r>
    </w:p>
    <w:p w14:paraId="7B5AA10B">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第四章 评标方法及评标标准；</w:t>
      </w:r>
    </w:p>
    <w:p w14:paraId="2E1C9388">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第五章 拟签订的合同文本；</w:t>
      </w:r>
    </w:p>
    <w:p w14:paraId="125FD5FE">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第六章 投标文件格式；</w:t>
      </w:r>
    </w:p>
    <w:p w14:paraId="77A2D944">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第七章 质疑、投诉材料格式</w:t>
      </w:r>
    </w:p>
    <w:p w14:paraId="6AA9A72E">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根据本章第11.1项的规定对公开招标文件所做的澄清、修改，构成招标文件的组成部分。当公开招标文件与招标文件的澄清和修改就同一内容的表述不一致时，以最后澄清或修改公告为准。</w:t>
      </w:r>
    </w:p>
    <w:p w14:paraId="1E0D377B">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11.招标文件的澄清、修改 、现场考察和答疑会</w:t>
      </w:r>
    </w:p>
    <w:p w14:paraId="235C90C0">
      <w:pPr>
        <w:wordWrap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6A3A96B4">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11.2 投标人应认真审阅本公开招标文件，如有疑问，或发现其中有误或有要求不合理的，应在投标人须知前附表规定的</w:t>
      </w:r>
      <w:r>
        <w:rPr>
          <w:rFonts w:hint="eastAsia" w:ascii="宋体" w:hAnsi="宋体" w:cs="宋体"/>
          <w:color w:val="auto"/>
          <w:kern w:val="0"/>
          <w:szCs w:val="21"/>
          <w:highlight w:val="none"/>
        </w:rPr>
        <w:t>投标截止时间</w:t>
      </w:r>
      <w:r>
        <w:rPr>
          <w:rFonts w:hint="eastAsia" w:ascii="宋体" w:hAnsi="宋体" w:cs="宋体"/>
          <w:color w:val="auto"/>
          <w:highlight w:val="none"/>
        </w:rPr>
        <w:t>前以书面形式要求采购人或采购代理机构对招标文件予以澄清；否则，由此产生的后果由投标人自行负责。</w:t>
      </w:r>
    </w:p>
    <w:p w14:paraId="7664EDBD">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11.3 采购人或者采购代理机构可以对已发出的招标文件进行必要的澄清或者修改。澄清或者修改的内容可能影响投标文件编制的，采购人或者采购代理机构应当在投标截止时间至少15日前，以书面形式通知(在“</w:t>
      </w:r>
      <w:r>
        <w:rPr>
          <w:rFonts w:hint="eastAsia" w:ascii="宋体" w:hAnsi="宋体" w:cs="宋体"/>
          <w:color w:val="auto"/>
          <w:szCs w:val="21"/>
          <w:highlight w:val="none"/>
        </w:rPr>
        <w:t>投标人须知前附表”</w:t>
      </w:r>
      <w:r>
        <w:rPr>
          <w:rFonts w:hint="eastAsia" w:ascii="宋体" w:hAnsi="宋体" w:cs="宋体"/>
          <w:color w:val="auto"/>
          <w:highlight w:val="none"/>
        </w:rPr>
        <w:t>规定的政府采购信息发布媒体上发布更正公告及平台短信通知)所有获取招标文件的潜在投标人；不足15日的，采购人或者采购代理机构应当顺延提交投标文件的截止时间。发出的澄清或者修改不影响投标文件编制的也应在截标前3日发出。</w:t>
      </w:r>
    </w:p>
    <w:p w14:paraId="10A081E3">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11.4 采购人和采购代理机构可以视采购具体情况，变更投标截止时间和开标时间，将变更时间将在“</w:t>
      </w:r>
      <w:r>
        <w:rPr>
          <w:rFonts w:hint="eastAsia" w:ascii="宋体" w:hAnsi="宋体" w:cs="宋体"/>
          <w:color w:val="auto"/>
          <w:szCs w:val="21"/>
          <w:highlight w:val="none"/>
        </w:rPr>
        <w:t>投标人须知前附表”</w:t>
      </w:r>
      <w:r>
        <w:rPr>
          <w:rFonts w:hint="eastAsia" w:ascii="宋体" w:hAnsi="宋体" w:cs="宋体"/>
          <w:color w:val="auto"/>
          <w:kern w:val="0"/>
          <w:szCs w:val="21"/>
          <w:highlight w:val="none"/>
        </w:rPr>
        <w:t>规定的政府采购信息发布媒体上</w:t>
      </w:r>
      <w:r>
        <w:rPr>
          <w:rFonts w:hint="eastAsia" w:ascii="宋体" w:hAnsi="宋体" w:cs="宋体"/>
          <w:color w:val="auto"/>
          <w:highlight w:val="none"/>
        </w:rPr>
        <w:t>发布更正公告。</w:t>
      </w:r>
    </w:p>
    <w:p w14:paraId="044B4C19">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11.</w:t>
      </w:r>
      <w:bookmarkStart w:id="58" w:name="_Hlk53134511"/>
      <w:r>
        <w:rPr>
          <w:rFonts w:hint="eastAsia" w:ascii="宋体" w:hAnsi="宋体" w:cs="宋体"/>
          <w:color w:val="auto"/>
          <w:highlight w:val="none"/>
        </w:rPr>
        <w:t>5采购人或者采购代理机构可以在招标文件提供期限截止后，组织已获取招标文件的潜在投标人现场考察或者召开开标前答疑会，具体详见“投标人须知前附表”。</w:t>
      </w:r>
    </w:p>
    <w:bookmarkEnd w:id="58"/>
    <w:p w14:paraId="362205CC">
      <w:pPr>
        <w:pStyle w:val="4"/>
        <w:keepNext w:val="0"/>
        <w:keepLines w:val="0"/>
        <w:wordWrap w:val="0"/>
        <w:spacing w:line="360" w:lineRule="auto"/>
        <w:jc w:val="center"/>
        <w:rPr>
          <w:rFonts w:ascii="宋体" w:hAnsi="宋体" w:cs="宋体"/>
          <w:color w:val="auto"/>
          <w:highlight w:val="none"/>
        </w:rPr>
      </w:pPr>
      <w:bookmarkStart w:id="59" w:name="_Toc254970535"/>
      <w:bookmarkStart w:id="60" w:name="_Toc25725"/>
      <w:bookmarkStart w:id="61" w:name="_Toc254970676"/>
      <w:r>
        <w:rPr>
          <w:rFonts w:hint="eastAsia" w:ascii="宋体" w:hAnsi="宋体" w:cs="宋体"/>
          <w:color w:val="auto"/>
          <w:highlight w:val="none"/>
        </w:rPr>
        <w:t>三、投标文件的编制</w:t>
      </w:r>
      <w:bookmarkEnd w:id="59"/>
      <w:bookmarkEnd w:id="60"/>
      <w:bookmarkEnd w:id="61"/>
    </w:p>
    <w:p w14:paraId="4C07BDB0">
      <w:pPr>
        <w:wordWrap w:val="0"/>
        <w:spacing w:line="360" w:lineRule="auto"/>
        <w:ind w:firstLine="480" w:firstLineChars="200"/>
        <w:rPr>
          <w:rFonts w:ascii="宋体" w:hAnsi="宋体" w:cs="宋体"/>
          <w:color w:val="auto"/>
          <w:sz w:val="24"/>
          <w:highlight w:val="none"/>
        </w:rPr>
      </w:pPr>
      <w:bookmarkStart w:id="62" w:name="_Toc254970536"/>
      <w:bookmarkStart w:id="63" w:name="_Toc254970677"/>
      <w:r>
        <w:rPr>
          <w:rFonts w:hint="eastAsia" w:ascii="宋体" w:hAnsi="宋体" w:cs="宋体"/>
          <w:color w:val="auto"/>
          <w:sz w:val="24"/>
          <w:highlight w:val="none"/>
        </w:rPr>
        <w:t>12.投标文件的编制原则</w:t>
      </w:r>
    </w:p>
    <w:p w14:paraId="213B2745">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12.1投标人必须按照招标文件的要求编制投标文件。投标文件必须对招标文件提出的要求和条件作出明确响应。</w:t>
      </w:r>
    </w:p>
    <w:p w14:paraId="42B86335">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12.2投标人应根据自身实际情况如实响应招标文件，不得仅将招标文件内容简单复制粘贴作为投标响应，还应当提供相关证明材料，否则将作无效响应处理（定制采购项目不适用本条款）。对于重要技术条款或技术参数应当在投标文件中提供技术支持资料，技术支持资料以招标文件中规定的形式为准，否则将视为无效技术支持资料。</w:t>
      </w:r>
    </w:p>
    <w:p w14:paraId="4979EF22">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13.投标文件的组成</w:t>
      </w:r>
      <w:bookmarkEnd w:id="62"/>
      <w:bookmarkEnd w:id="63"/>
    </w:p>
    <w:p w14:paraId="6F699D42">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13.1投标文件由报价文件、资格证明文件、商务文件、技术文件四部分组成。</w:t>
      </w:r>
    </w:p>
    <w:p w14:paraId="46CDAE77">
      <w:pPr>
        <w:wordWrap w:val="0"/>
        <w:spacing w:line="360" w:lineRule="auto"/>
        <w:ind w:firstLine="420" w:firstLineChars="200"/>
        <w:rPr>
          <w:rFonts w:ascii="宋体" w:hAnsi="宋体" w:cs="宋体"/>
          <w:bCs/>
          <w:color w:val="auto"/>
          <w:szCs w:val="21"/>
          <w:highlight w:val="none"/>
        </w:rPr>
      </w:pPr>
      <w:bookmarkStart w:id="64" w:name="_13.2资格证明文件：具体材料见“投标人须知前附表”。"/>
      <w:bookmarkEnd w:id="64"/>
      <w:bookmarkStart w:id="65" w:name="_13.1报价文件:_具体材料见“投标人须知前附表”。"/>
      <w:bookmarkEnd w:id="65"/>
      <w:r>
        <w:rPr>
          <w:rFonts w:hint="eastAsia" w:ascii="宋体" w:hAnsi="宋体" w:cs="宋体"/>
          <w:bCs/>
          <w:color w:val="auto"/>
          <w:szCs w:val="21"/>
          <w:highlight w:val="none"/>
        </w:rPr>
        <w:t>（1）资格证明文件：具体材料见“投标人须知前附表”。</w:t>
      </w:r>
    </w:p>
    <w:p w14:paraId="6FCD6B8E">
      <w:pPr>
        <w:wordWrap w:val="0"/>
        <w:spacing w:line="360" w:lineRule="auto"/>
        <w:ind w:firstLine="420" w:firstLineChars="200"/>
        <w:rPr>
          <w:rFonts w:ascii="宋体" w:hAnsi="宋体" w:cs="宋体"/>
          <w:bCs/>
          <w:color w:val="auto"/>
          <w:szCs w:val="21"/>
          <w:highlight w:val="none"/>
        </w:rPr>
      </w:pPr>
      <w:bookmarkStart w:id="66" w:name="_13.3商务文件:_具体材料见“投标人须知前附表”。"/>
      <w:bookmarkEnd w:id="66"/>
      <w:r>
        <w:rPr>
          <w:rFonts w:hint="eastAsia" w:ascii="宋体" w:hAnsi="宋体" w:cs="宋体"/>
          <w:bCs/>
          <w:color w:val="auto"/>
          <w:szCs w:val="21"/>
          <w:highlight w:val="none"/>
        </w:rPr>
        <w:t>（2）商务文件：具体材料见“投标人须知前附表”。</w:t>
      </w:r>
    </w:p>
    <w:p w14:paraId="5EDF1883">
      <w:pPr>
        <w:wordWrap w:val="0"/>
        <w:spacing w:line="360" w:lineRule="auto"/>
        <w:ind w:firstLine="420" w:firstLineChars="200"/>
        <w:rPr>
          <w:rFonts w:ascii="宋体" w:hAnsi="宋体" w:cs="宋体"/>
          <w:bCs/>
          <w:color w:val="auto"/>
          <w:szCs w:val="21"/>
          <w:highlight w:val="none"/>
        </w:rPr>
      </w:pPr>
      <w:bookmarkStart w:id="67" w:name="_13.4技术文件：具体材料见“投标人须知前附表”。"/>
      <w:bookmarkEnd w:id="67"/>
      <w:r>
        <w:rPr>
          <w:rFonts w:hint="eastAsia" w:ascii="宋体" w:hAnsi="宋体" w:cs="宋体"/>
          <w:bCs/>
          <w:color w:val="auto"/>
          <w:szCs w:val="21"/>
          <w:highlight w:val="none"/>
        </w:rPr>
        <w:t xml:space="preserve">（3）技术文件：具体材料见“投标人须知前附表”。 </w:t>
      </w:r>
    </w:p>
    <w:p w14:paraId="042B3FD6">
      <w:pPr>
        <w:wordWrap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（4）报价文件： 具体材料见“投标人须知前附表”。</w:t>
      </w:r>
    </w:p>
    <w:p w14:paraId="42C873D0">
      <w:pPr>
        <w:wordWrap w:val="0"/>
        <w:spacing w:line="360" w:lineRule="auto"/>
        <w:ind w:firstLine="420" w:firstLineChars="200"/>
        <w:rPr>
          <w:rFonts w:ascii="宋体" w:hAnsi="宋体" w:cs="宋体"/>
          <w:bCs/>
          <w:color w:val="auto"/>
          <w:szCs w:val="21"/>
          <w:highlight w:val="none"/>
        </w:rPr>
      </w:pPr>
      <w:bookmarkStart w:id="68" w:name="_13.5投标文件电子版：具体材料见“投标人须知前附表”。"/>
      <w:bookmarkEnd w:id="68"/>
      <w:r>
        <w:rPr>
          <w:rFonts w:hint="eastAsia" w:ascii="宋体" w:hAnsi="宋体" w:cs="宋体"/>
          <w:bCs/>
          <w:color w:val="auto"/>
          <w:szCs w:val="21"/>
          <w:highlight w:val="none"/>
        </w:rPr>
        <w:t>13.2投标文件电子版：具体要求见本节19.投标文件编制。</w:t>
      </w:r>
    </w:p>
    <w:p w14:paraId="31400651">
      <w:pPr>
        <w:wordWrap w:val="0"/>
        <w:spacing w:line="360" w:lineRule="auto"/>
        <w:ind w:firstLine="480" w:firstLineChars="200"/>
        <w:rPr>
          <w:rFonts w:ascii="宋体" w:hAnsi="宋体" w:cs="宋体"/>
          <w:color w:val="auto"/>
          <w:sz w:val="24"/>
          <w:highlight w:val="none"/>
        </w:rPr>
      </w:pPr>
      <w:bookmarkStart w:id="69" w:name="_Toc254970537"/>
      <w:bookmarkStart w:id="70" w:name="_Toc254970678"/>
      <w:r>
        <w:rPr>
          <w:rFonts w:hint="eastAsia" w:ascii="宋体" w:hAnsi="宋体" w:cs="宋体"/>
          <w:color w:val="auto"/>
          <w:sz w:val="24"/>
          <w:highlight w:val="none"/>
        </w:rPr>
        <w:t>14.投标文件的语言及计量</w:t>
      </w:r>
      <w:bookmarkEnd w:id="69"/>
      <w:bookmarkEnd w:id="70"/>
    </w:p>
    <w:p w14:paraId="0A3FAD93">
      <w:pPr>
        <w:wordWrap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14.1语言文字</w:t>
      </w:r>
    </w:p>
    <w:p w14:paraId="716276B2">
      <w:pPr>
        <w:wordWrap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7EA1DF11">
      <w:pPr>
        <w:wordWrap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14.2投标计量单位</w:t>
      </w:r>
    </w:p>
    <w:p w14:paraId="0E767BB3">
      <w:pPr>
        <w:wordWrap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招标文件已有明确规定的，使用招标文件规定的计量单位；招标文件没有规定的，应采用中华人民共和国法定计量单位，货币种类为人民币，否则视同未响应。</w:t>
      </w:r>
    </w:p>
    <w:p w14:paraId="0F92F06F">
      <w:pPr>
        <w:wordWrap w:val="0"/>
        <w:spacing w:line="360" w:lineRule="auto"/>
        <w:ind w:firstLine="480" w:firstLineChars="200"/>
        <w:rPr>
          <w:rFonts w:ascii="宋体" w:hAnsi="宋体" w:cs="宋体"/>
          <w:color w:val="auto"/>
          <w:sz w:val="24"/>
          <w:highlight w:val="none"/>
        </w:rPr>
      </w:pPr>
      <w:bookmarkStart w:id="71" w:name="_Toc254970538"/>
      <w:bookmarkStart w:id="72" w:name="_Toc254970679"/>
      <w:r>
        <w:rPr>
          <w:rFonts w:hint="eastAsia" w:ascii="宋体" w:hAnsi="宋体" w:cs="宋体"/>
          <w:color w:val="auto"/>
          <w:sz w:val="24"/>
          <w:highlight w:val="none"/>
        </w:rPr>
        <w:t>15.投标的风险</w:t>
      </w:r>
    </w:p>
    <w:p w14:paraId="2CA9E683">
      <w:pPr>
        <w:wordWrap w:val="0"/>
        <w:spacing w:line="360" w:lineRule="auto"/>
        <w:ind w:firstLine="420" w:firstLineChars="200"/>
        <w:rPr>
          <w:rFonts w:ascii="宋体" w:hAnsi="宋体" w:cs="宋体"/>
          <w:b/>
          <w:bCs/>
          <w:color w:val="auto"/>
          <w:highlight w:val="none"/>
        </w:rPr>
      </w:pPr>
      <w:r>
        <w:rPr>
          <w:rFonts w:hint="eastAsia" w:ascii="宋体" w:hAnsi="宋体" w:cs="宋体"/>
          <w:color w:val="auto"/>
          <w:highlight w:val="none"/>
        </w:rPr>
        <w:t>投标文件分为资格文件、商务文件、技术文件、报价文件四部分（其中：商务文件与技术文件合并编辑成一个电子文档）。各投标人在编制投标文件时请按照招标文件规定的格式进行，混乱的编排导致投标文件被误读或评标委员会查找不到有效文件是投标人的风险。▲</w:t>
      </w:r>
      <w:r>
        <w:rPr>
          <w:rFonts w:hint="eastAsia" w:ascii="宋体" w:hAnsi="宋体" w:cs="宋体"/>
          <w:b/>
          <w:bCs/>
          <w:color w:val="auto"/>
          <w:highlight w:val="none"/>
        </w:rPr>
        <w:t>投标文件未按规定的格式编制的、没有按照招标文件要求提供全部资料、没有对招标文件作出实质性响应，投标无效；</w:t>
      </w:r>
    </w:p>
    <w:p w14:paraId="0F7B7F21">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16.投标报价</w:t>
      </w:r>
      <w:bookmarkEnd w:id="71"/>
      <w:bookmarkEnd w:id="72"/>
    </w:p>
    <w:p w14:paraId="7D41ED7B">
      <w:pPr>
        <w:wordWrap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16.1投标报价应</w:t>
      </w:r>
      <w:r>
        <w:rPr>
          <w:rFonts w:hint="eastAsia" w:ascii="宋体" w:hAnsi="宋体" w:cs="宋体"/>
          <w:bCs/>
          <w:color w:val="auto"/>
          <w:szCs w:val="20"/>
          <w:highlight w:val="none"/>
        </w:rPr>
        <w:t>按“第六章　投标文件格式”中“开标一览表”格式填写。</w:t>
      </w:r>
    </w:p>
    <w:p w14:paraId="2FA5540C">
      <w:pPr>
        <w:wordWrap w:val="0"/>
        <w:spacing w:line="360" w:lineRule="auto"/>
        <w:ind w:firstLine="420" w:firstLineChars="200"/>
        <w:rPr>
          <w:rFonts w:ascii="宋体" w:hAnsi="宋体" w:cs="宋体"/>
          <w:bCs/>
          <w:color w:val="auto"/>
          <w:szCs w:val="21"/>
          <w:highlight w:val="none"/>
        </w:rPr>
      </w:pPr>
      <w:bookmarkStart w:id="73" w:name="_16.2投标报价具体定义见投标人须知前附表。"/>
      <w:bookmarkEnd w:id="73"/>
      <w:r>
        <w:rPr>
          <w:rFonts w:hint="eastAsia" w:ascii="宋体" w:hAnsi="宋体" w:cs="宋体"/>
          <w:bCs/>
          <w:color w:val="auto"/>
          <w:szCs w:val="21"/>
          <w:highlight w:val="none"/>
        </w:rPr>
        <w:t>16.2投标报价具体包括内容详见“投标人须知前附表”。</w:t>
      </w:r>
    </w:p>
    <w:p w14:paraId="60553EFF">
      <w:pPr>
        <w:wordWrap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16.3投标人必须就所投每个分标的全部内容分别作完整唯一总价报价，不得存在漏项报价；投标人必须就所投分标的单项内容作唯一报价。</w:t>
      </w:r>
    </w:p>
    <w:p w14:paraId="43AE57FE">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17.投标有效期</w:t>
      </w:r>
    </w:p>
    <w:p w14:paraId="643F12CD">
      <w:pPr>
        <w:wordWrap w:val="0"/>
        <w:spacing w:line="360" w:lineRule="auto"/>
        <w:ind w:firstLine="420" w:firstLineChars="200"/>
        <w:rPr>
          <w:rFonts w:ascii="宋体" w:hAnsi="宋体" w:cs="宋体"/>
          <w:bCs/>
          <w:color w:val="auto"/>
          <w:szCs w:val="21"/>
          <w:highlight w:val="none"/>
        </w:rPr>
      </w:pPr>
      <w:bookmarkStart w:id="74" w:name="_17.1投标有效期应按“投标人须知中的前附表”规定的期限。"/>
      <w:bookmarkEnd w:id="74"/>
      <w:r>
        <w:rPr>
          <w:rFonts w:hint="eastAsia" w:ascii="宋体" w:hAnsi="宋体" w:cs="宋体"/>
          <w:bCs/>
          <w:color w:val="auto"/>
          <w:szCs w:val="21"/>
          <w:highlight w:val="none"/>
        </w:rPr>
        <w:t>17.1投标有效期是指为保证采购人有足够的时间在开标后完成评标、定标、合同签订等工作而要求投标人提交的投标文件在一定时间内保持有效的期限。</w:t>
      </w:r>
    </w:p>
    <w:p w14:paraId="5049E680">
      <w:pPr>
        <w:wordWrap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17.2</w:t>
      </w:r>
      <w:bookmarkStart w:id="75" w:name="_Toc254970540"/>
      <w:bookmarkStart w:id="76" w:name="_Toc254970681"/>
      <w:r>
        <w:rPr>
          <w:rFonts w:hint="eastAsia" w:ascii="宋体" w:hAnsi="宋体" w:cs="宋体"/>
          <w:bCs/>
          <w:color w:val="auto"/>
          <w:szCs w:val="21"/>
          <w:highlight w:val="none"/>
        </w:rPr>
        <w:t xml:space="preserve"> 投标有效期应按规定的期限作出承诺，具体详见“投标人须知前附表”。</w:t>
      </w:r>
    </w:p>
    <w:p w14:paraId="123E545D">
      <w:pPr>
        <w:wordWrap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17.3投标人的投标文件在投标有效期内均保持有效。</w:t>
      </w:r>
      <w:bookmarkEnd w:id="75"/>
      <w:bookmarkEnd w:id="76"/>
    </w:p>
    <w:p w14:paraId="30A0688D">
      <w:pPr>
        <w:wordWrap w:val="0"/>
        <w:spacing w:line="360" w:lineRule="auto"/>
        <w:ind w:firstLine="480" w:firstLineChars="200"/>
        <w:rPr>
          <w:rFonts w:ascii="宋体" w:hAnsi="宋体" w:cs="宋体"/>
          <w:color w:val="auto"/>
          <w:sz w:val="24"/>
          <w:highlight w:val="none"/>
        </w:rPr>
      </w:pPr>
      <w:bookmarkStart w:id="77" w:name="_18.投标保证金"/>
      <w:bookmarkEnd w:id="77"/>
      <w:bookmarkStart w:id="78" w:name="_Toc254970682"/>
      <w:bookmarkStart w:id="79" w:name="_Toc254970541"/>
      <w:r>
        <w:rPr>
          <w:rFonts w:hint="eastAsia" w:ascii="宋体" w:hAnsi="宋体" w:cs="宋体"/>
          <w:color w:val="auto"/>
          <w:sz w:val="24"/>
          <w:highlight w:val="none"/>
        </w:rPr>
        <w:t>18.投标保证金</w:t>
      </w:r>
      <w:bookmarkEnd w:id="78"/>
      <w:bookmarkEnd w:id="79"/>
    </w:p>
    <w:p w14:paraId="64978DD1">
      <w:pPr>
        <w:wordWrap w:val="0"/>
        <w:spacing w:line="360" w:lineRule="auto"/>
        <w:ind w:firstLine="420" w:firstLineChars="200"/>
        <w:rPr>
          <w:rFonts w:ascii="宋体" w:hAnsi="宋体" w:cs="宋体"/>
          <w:color w:val="auto"/>
          <w:szCs w:val="21"/>
          <w:highlight w:val="none"/>
        </w:rPr>
      </w:pPr>
      <w:bookmarkStart w:id="80" w:name="_Toc254970542"/>
      <w:bookmarkStart w:id="81" w:name="_Toc254970683"/>
      <w:r>
        <w:rPr>
          <w:rFonts w:hint="eastAsia" w:ascii="宋体" w:hAnsi="宋体" w:cs="宋体"/>
          <w:color w:val="auto"/>
          <w:szCs w:val="21"/>
          <w:highlight w:val="none"/>
        </w:rPr>
        <w:t>见“投标人须知前附表”。</w:t>
      </w:r>
    </w:p>
    <w:p w14:paraId="72896164">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19.投标文件的</w:t>
      </w:r>
      <w:bookmarkEnd w:id="80"/>
      <w:bookmarkEnd w:id="81"/>
      <w:r>
        <w:rPr>
          <w:rFonts w:hint="eastAsia" w:ascii="宋体" w:hAnsi="宋体" w:cs="宋体"/>
          <w:color w:val="auto"/>
          <w:sz w:val="24"/>
          <w:highlight w:val="none"/>
        </w:rPr>
        <w:t>编制</w:t>
      </w:r>
    </w:p>
    <w:p w14:paraId="450C5ECC">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19.1投标文件编制要求详见“投标人须知前附表”。投标人应按本招标文件规定的格式和顺序编制、装订投标文件并标注页码，投标文件内容不完整、编排混乱导致投标文件被误读、漏读或者查找不到相关内容的，由此引发的后果由投标人承担。</w:t>
      </w:r>
      <w:bookmarkStart w:id="82" w:name="_19.2投标文件应按报价文件、资格证明文件、商务文件、技术文件分别编制"/>
      <w:bookmarkEnd w:id="82"/>
    </w:p>
    <w:p w14:paraId="0ADBC0A7">
      <w:pPr>
        <w:pStyle w:val="31"/>
        <w:wordWrap w:val="0"/>
        <w:snapToGrid w:val="0"/>
        <w:spacing w:before="0"/>
        <w:ind w:firstLine="420"/>
        <w:rPr>
          <w:rFonts w:ascii="宋体" w:hAnsi="宋体" w:cs="宋体"/>
          <w:color w:val="auto"/>
          <w:sz w:val="21"/>
          <w:szCs w:val="21"/>
          <w:highlight w:val="none"/>
        </w:rPr>
      </w:pPr>
      <w:r>
        <w:rPr>
          <w:rFonts w:hint="eastAsia" w:ascii="宋体" w:hAnsi="宋体" w:cs="宋体"/>
          <w:color w:val="auto"/>
          <w:sz w:val="21"/>
          <w:szCs w:val="21"/>
          <w:highlight w:val="none"/>
        </w:rPr>
        <w:t>19.2投标文件按照招标文件第六章格式要求在规定位置进行签署、盖章。投标人的投标文件未按照招标文件要求签署、盖章的，</w:t>
      </w:r>
      <w:r>
        <w:rPr>
          <w:rFonts w:hint="eastAsia" w:ascii="宋体" w:hAnsi="宋体" w:cs="宋体"/>
          <w:b/>
          <w:color w:val="auto"/>
          <w:sz w:val="21"/>
          <w:szCs w:val="21"/>
          <w:highlight w:val="none"/>
        </w:rPr>
        <w:t>其投标无效。</w:t>
      </w:r>
      <w:r>
        <w:rPr>
          <w:rFonts w:hint="eastAsia" w:ascii="宋体" w:hAnsi="宋体" w:cs="宋体"/>
          <w:color w:val="auto"/>
          <w:sz w:val="21"/>
          <w:szCs w:val="21"/>
          <w:highlight w:val="none"/>
        </w:rPr>
        <w:t>骑缝盖公章不视为在规定位置盖章。</w:t>
      </w:r>
    </w:p>
    <w:p w14:paraId="047A3062">
      <w:pPr>
        <w:pStyle w:val="31"/>
        <w:wordWrap w:val="0"/>
        <w:snapToGrid w:val="0"/>
        <w:spacing w:before="0"/>
        <w:ind w:firstLine="420"/>
        <w:rPr>
          <w:rFonts w:ascii="宋体" w:hAnsi="宋体" w:cs="宋体"/>
          <w:color w:val="auto"/>
          <w:sz w:val="21"/>
          <w:szCs w:val="21"/>
          <w:highlight w:val="none"/>
        </w:rPr>
      </w:pPr>
      <w:r>
        <w:rPr>
          <w:rFonts w:hint="eastAsia" w:ascii="宋体" w:hAnsi="宋体" w:cs="宋体"/>
          <w:color w:val="auto"/>
          <w:sz w:val="21"/>
          <w:szCs w:val="21"/>
          <w:highlight w:val="none"/>
        </w:rPr>
        <w:t>19.3为确保网上操作合法、有效和安全，投标人应当在投标截止时间前完成在“广西政府采购云”平台的身份认证，确保在电子投标过程中能够对相关数据电文进行加密和使用电子签名。</w:t>
      </w:r>
    </w:p>
    <w:p w14:paraId="0DC80B27">
      <w:pPr>
        <w:wordWrap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19.4投标文件中标注的投标人名称应与主体资格证明（如营业执照、事业单位法人证书、执业许可证、自然人身份证等）及公章一致，</w:t>
      </w:r>
      <w:r>
        <w:rPr>
          <w:rFonts w:hint="eastAsia" w:ascii="宋体" w:hAnsi="宋体" w:cs="宋体"/>
          <w:color w:val="auto"/>
          <w:szCs w:val="21"/>
          <w:highlight w:val="none"/>
        </w:rPr>
        <w:t>否则作无效投标处理</w:t>
      </w:r>
      <w:r>
        <w:rPr>
          <w:rFonts w:hint="eastAsia" w:ascii="宋体" w:hAnsi="宋体" w:cs="宋体"/>
          <w:b/>
          <w:color w:val="auto"/>
          <w:szCs w:val="21"/>
          <w:highlight w:val="none"/>
        </w:rPr>
        <w:t>。</w:t>
      </w:r>
    </w:p>
    <w:p w14:paraId="4F656214">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 19.5投标文件应避免涂改、行间插字或者删除，</w:t>
      </w:r>
      <w:r>
        <w:rPr>
          <w:rFonts w:hint="eastAsia" w:ascii="宋体" w:hAnsi="宋体" w:cs="宋体"/>
          <w:b/>
          <w:color w:val="auto"/>
          <w:szCs w:val="21"/>
          <w:highlight w:val="none"/>
        </w:rPr>
        <w:t>否则其投标无效。</w:t>
      </w:r>
    </w:p>
    <w:p w14:paraId="47FD5F75">
      <w:pPr>
        <w:wordWrap w:val="0"/>
        <w:spacing w:line="360" w:lineRule="auto"/>
        <w:ind w:firstLine="525" w:firstLineChars="250"/>
        <w:rPr>
          <w:rFonts w:ascii="宋体" w:hAnsi="宋体" w:cs="宋体"/>
          <w:color w:val="auto"/>
          <w:highlight w:val="none"/>
        </w:rPr>
      </w:pPr>
      <w:r>
        <w:rPr>
          <w:rFonts w:hint="eastAsia" w:ascii="宋体" w:hAnsi="宋体" w:cs="宋体"/>
          <w:color w:val="auto"/>
          <w:highlight w:val="none"/>
        </w:rPr>
        <w:t>19.6 对招标文件的实质性要求和条件作出响应是指投标人必须对招标文件中标注为实质性要求和条件的</w:t>
      </w:r>
      <w:r>
        <w:rPr>
          <w:rFonts w:hint="eastAsia" w:ascii="宋体" w:hAnsi="宋体" w:cs="宋体"/>
          <w:color w:val="auto"/>
          <w:szCs w:val="21"/>
          <w:highlight w:val="none"/>
        </w:rPr>
        <w:t>服务内容及要求</w:t>
      </w:r>
      <w:r>
        <w:rPr>
          <w:rFonts w:hint="eastAsia" w:ascii="宋体" w:hAnsi="宋体" w:cs="宋体"/>
          <w:color w:val="auto"/>
          <w:highlight w:val="none"/>
        </w:rPr>
        <w:t>、商务条款及其它内容</w:t>
      </w:r>
      <w:r>
        <w:rPr>
          <w:rFonts w:hint="eastAsia" w:ascii="宋体" w:hAnsi="宋体" w:cs="宋体"/>
          <w:b/>
          <w:color w:val="auto"/>
          <w:highlight w:val="none"/>
        </w:rPr>
        <w:t>作出满足或者优于原要求和条件的承诺</w:t>
      </w:r>
      <w:r>
        <w:rPr>
          <w:rFonts w:hint="eastAsia" w:ascii="宋体" w:hAnsi="宋体" w:cs="宋体"/>
          <w:color w:val="auto"/>
          <w:highlight w:val="none"/>
        </w:rPr>
        <w:t>。</w:t>
      </w:r>
    </w:p>
    <w:p w14:paraId="207F10C4">
      <w:pPr>
        <w:wordWrap w:val="0"/>
        <w:spacing w:line="360" w:lineRule="auto"/>
        <w:ind w:firstLine="422" w:firstLineChars="200"/>
        <w:rPr>
          <w:rFonts w:ascii="宋体" w:hAnsi="宋体" w:cs="宋体"/>
          <w:b/>
          <w:color w:val="auto"/>
          <w:szCs w:val="21"/>
          <w:highlight w:val="none"/>
          <w:u w:val="single"/>
        </w:rPr>
      </w:pPr>
      <w:r>
        <w:rPr>
          <w:rFonts w:hint="eastAsia" w:ascii="宋体" w:hAnsi="宋体" w:cs="宋体"/>
          <w:b/>
          <w:color w:val="auto"/>
          <w:szCs w:val="21"/>
          <w:highlight w:val="none"/>
          <w:u w:val="single"/>
        </w:rPr>
        <w:t>19.7本项目为南宁市全流程电子化项目，异常情况见“第二节 投标人须知正文”中“四、24.2开标程序。</w:t>
      </w:r>
    </w:p>
    <w:p w14:paraId="7EC5CE4E">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20.备份投标文件</w:t>
      </w:r>
    </w:p>
    <w:p w14:paraId="40356171">
      <w:pPr>
        <w:wordWrap w:val="0"/>
        <w:spacing w:line="360" w:lineRule="auto"/>
        <w:ind w:firstLine="420" w:firstLineChars="200"/>
        <w:rPr>
          <w:rFonts w:ascii="宋体" w:hAnsi="宋体" w:cs="宋体"/>
          <w:color w:val="auto"/>
          <w:sz w:val="24"/>
          <w:highlight w:val="none"/>
        </w:rPr>
      </w:pPr>
      <w:r>
        <w:rPr>
          <w:rFonts w:hint="eastAsia" w:ascii="宋体" w:hAnsi="宋体" w:cs="宋体"/>
          <w:bCs/>
          <w:color w:val="auto"/>
          <w:szCs w:val="21"/>
          <w:highlight w:val="none"/>
        </w:rPr>
        <w:t>详见在“投标人须知前附表”。</w:t>
      </w:r>
    </w:p>
    <w:p w14:paraId="786D1EE5">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21.投标文件的提交</w:t>
      </w:r>
    </w:p>
    <w:p w14:paraId="351F2A3C">
      <w:pPr>
        <w:wordWrap w:val="0"/>
        <w:spacing w:line="360" w:lineRule="auto"/>
        <w:ind w:firstLine="420" w:firstLineChars="200"/>
        <w:rPr>
          <w:rFonts w:ascii="宋体" w:hAnsi="宋体" w:cs="宋体"/>
          <w:b/>
          <w:color w:val="auto"/>
          <w:highlight w:val="none"/>
        </w:rPr>
      </w:pPr>
      <w:bookmarkStart w:id="83" w:name="_21.1投标人必须在“投标人须知中的前附表”规定的投标文件接收时间和投"/>
      <w:bookmarkEnd w:id="83"/>
      <w:r>
        <w:rPr>
          <w:rFonts w:hint="eastAsia" w:ascii="宋体" w:hAnsi="宋体" w:cs="宋体"/>
          <w:bCs/>
          <w:color w:val="auto"/>
          <w:szCs w:val="21"/>
          <w:highlight w:val="none"/>
        </w:rPr>
        <w:t xml:space="preserve">21.1投标人必须在“投标人须知前附表”规定的投标文件接收时间和投标地点提交电子版投标文件。电子投标文件应在制作完成后，在投标截止时间前通过有效数字证书（CA认证锁）进行电子签章、加密，然后通过网络将加密的电子投标文件递交至“广西政府采购云平台”。 </w:t>
      </w:r>
    </w:p>
    <w:p w14:paraId="62D1A191">
      <w:pPr>
        <w:wordWrap w:val="0"/>
        <w:spacing w:line="360" w:lineRule="auto"/>
        <w:ind w:firstLine="422" w:firstLineChars="200"/>
        <w:rPr>
          <w:rFonts w:ascii="宋体" w:hAnsi="宋体" w:cs="宋体"/>
          <w:b/>
          <w:color w:val="auto"/>
          <w:szCs w:val="20"/>
          <w:highlight w:val="none"/>
        </w:rPr>
      </w:pPr>
      <w:r>
        <w:rPr>
          <w:rFonts w:hint="eastAsia" w:ascii="宋体" w:hAnsi="宋体" w:cs="宋体"/>
          <w:b/>
          <w:color w:val="auto"/>
          <w:szCs w:val="21"/>
          <w:highlight w:val="none"/>
        </w:rPr>
        <w:t>21.2未在规定时间内提交或者未按照招标文件要求密封或者标记的电子投标文件，“广西政府采购云”平台将拒收。</w:t>
      </w:r>
    </w:p>
    <w:p w14:paraId="63450C86">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21.3电子版投标文件提交方式见“招标公告”中“四、提交投标文件截止时间、开标时间和地点”</w:t>
      </w:r>
      <w:r>
        <w:rPr>
          <w:rFonts w:hint="eastAsia" w:ascii="宋体" w:hAnsi="宋体" w:cs="宋体"/>
          <w:b/>
          <w:color w:val="auto"/>
          <w:szCs w:val="21"/>
          <w:highlight w:val="none"/>
        </w:rPr>
        <w:t xml:space="preserve"> 。</w:t>
      </w:r>
    </w:p>
    <w:p w14:paraId="66007DD1">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 投标文件的补充、修改、撤回与退回</w:t>
      </w:r>
      <w:bookmarkStart w:id="84" w:name="_Toc254970543"/>
      <w:bookmarkStart w:id="85" w:name="_Toc254970684"/>
    </w:p>
    <w:p w14:paraId="54433CD6">
      <w:pPr>
        <w:wordWrap w:val="0"/>
        <w:spacing w:line="360" w:lineRule="auto"/>
        <w:ind w:firstLine="420" w:firstLineChars="200"/>
        <w:rPr>
          <w:rFonts w:ascii="宋体" w:hAnsi="宋体" w:cs="宋体"/>
          <w:color w:val="auto"/>
          <w:sz w:val="24"/>
          <w:highlight w:val="none"/>
        </w:rPr>
      </w:pPr>
      <w:r>
        <w:rPr>
          <w:rFonts w:hint="eastAsia" w:ascii="宋体" w:hAnsi="宋体" w:cs="宋体"/>
          <w:color w:val="auto"/>
          <w:szCs w:val="21"/>
          <w:highlight w:val="none"/>
        </w:rPr>
        <w:t>22.1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广西政府采购云”平台将拒收。（补充、修改或者撤回方式见公告附件“电子投标文件制作与投送教程”）</w:t>
      </w:r>
    </w:p>
    <w:p w14:paraId="3F850905">
      <w:pPr>
        <w:pStyle w:val="31"/>
        <w:wordWrap w:val="0"/>
        <w:spacing w:before="0"/>
        <w:ind w:firstLine="420"/>
        <w:rPr>
          <w:rFonts w:ascii="宋体" w:hAnsi="宋体" w:cs="宋体"/>
          <w:color w:val="auto"/>
          <w:sz w:val="21"/>
          <w:szCs w:val="21"/>
          <w:highlight w:val="none"/>
        </w:rPr>
      </w:pPr>
      <w:r>
        <w:rPr>
          <w:rFonts w:hint="eastAsia" w:ascii="宋体" w:hAnsi="宋体" w:cs="宋体"/>
          <w:color w:val="auto"/>
          <w:sz w:val="21"/>
          <w:szCs w:val="21"/>
          <w:highlight w:val="none"/>
        </w:rPr>
        <w:t>22.2“广西政府采购云”平台收到投标文件，将妥善保存并即时向供应商发出确认回执通知。在投标截止时间前，除供应商补充、修改或者撤回投标文件外，任何单位和个人不得解密或提取投标文件。</w:t>
      </w:r>
    </w:p>
    <w:bookmarkEnd w:id="84"/>
    <w:bookmarkEnd w:id="85"/>
    <w:p w14:paraId="6402CC82">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22.3在投标截止时间止提交电子版投标文件的投标人不足3家时，电子版投标文件由代理机构在“广西政府采购云”平台操作退回，除此之外采购人和采购代理机构对已提交的投标文件概不退回。</w:t>
      </w:r>
    </w:p>
    <w:p w14:paraId="5D6A21F8">
      <w:pPr>
        <w:pStyle w:val="10"/>
        <w:wordWrap w:val="0"/>
        <w:snapToGrid w:val="0"/>
        <w:spacing w:line="360" w:lineRule="auto"/>
        <w:ind w:firstLine="739"/>
        <w:rPr>
          <w:rFonts w:hAnsi="宋体" w:cs="宋体"/>
          <w:snapToGrid w:val="0"/>
          <w:color w:val="auto"/>
          <w:sz w:val="21"/>
          <w:szCs w:val="21"/>
          <w:highlight w:val="none"/>
        </w:rPr>
      </w:pPr>
    </w:p>
    <w:p w14:paraId="29231033">
      <w:pPr>
        <w:pStyle w:val="4"/>
        <w:keepNext w:val="0"/>
        <w:keepLines w:val="0"/>
        <w:wordWrap w:val="0"/>
        <w:spacing w:line="360" w:lineRule="auto"/>
        <w:jc w:val="center"/>
        <w:rPr>
          <w:rFonts w:ascii="宋体" w:hAnsi="宋体" w:cs="宋体"/>
          <w:color w:val="auto"/>
          <w:highlight w:val="none"/>
        </w:rPr>
      </w:pPr>
      <w:bookmarkStart w:id="86" w:name="_Toc254970685"/>
      <w:bookmarkStart w:id="87" w:name="_Toc26899"/>
      <w:bookmarkStart w:id="88" w:name="_Toc254970544"/>
      <w:r>
        <w:rPr>
          <w:rFonts w:hint="eastAsia" w:ascii="宋体" w:hAnsi="宋体" w:cs="宋体"/>
          <w:color w:val="auto"/>
          <w:highlight w:val="none"/>
        </w:rPr>
        <w:t>四、开    标</w:t>
      </w:r>
      <w:bookmarkEnd w:id="86"/>
      <w:bookmarkEnd w:id="87"/>
      <w:bookmarkEnd w:id="88"/>
    </w:p>
    <w:p w14:paraId="12BFB207">
      <w:pPr>
        <w:wordWrap w:val="0"/>
        <w:spacing w:line="360" w:lineRule="auto"/>
        <w:ind w:firstLine="480" w:firstLineChars="200"/>
        <w:rPr>
          <w:rFonts w:ascii="宋体" w:hAnsi="宋体" w:cs="宋体"/>
          <w:color w:val="auto"/>
          <w:sz w:val="24"/>
          <w:highlight w:val="none"/>
        </w:rPr>
      </w:pPr>
      <w:bookmarkStart w:id="89" w:name="_23.开标时间和地点"/>
      <w:bookmarkEnd w:id="89"/>
      <w:r>
        <w:rPr>
          <w:rFonts w:hint="eastAsia" w:ascii="宋体" w:hAnsi="宋体" w:cs="宋体"/>
          <w:color w:val="auto"/>
          <w:sz w:val="24"/>
          <w:highlight w:val="none"/>
        </w:rPr>
        <w:t>23.开标时间和地点</w:t>
      </w:r>
    </w:p>
    <w:p w14:paraId="08A450D3">
      <w:pPr>
        <w:wordWrap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23.1开标时间及地点详见“投标人须知前附表”</w:t>
      </w:r>
    </w:p>
    <w:p w14:paraId="2B47060D">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23.2如</w:t>
      </w:r>
      <w:r>
        <w:rPr>
          <w:rFonts w:hint="eastAsia" w:ascii="宋体" w:hAnsi="宋体" w:cs="宋体"/>
          <w:bCs/>
          <w:color w:val="auto"/>
          <w:highlight w:val="none"/>
        </w:rPr>
        <w:t>投标人成功解密投标文件，但未在“广西政府采购云”电子开标大厅参加开标的，视同认可开标过程和结果，</w:t>
      </w:r>
      <w:r>
        <w:rPr>
          <w:rFonts w:hint="eastAsia" w:ascii="宋体" w:hAnsi="宋体" w:cs="宋体"/>
          <w:color w:val="auto"/>
          <w:highlight w:val="none"/>
        </w:rPr>
        <w:t>由此产生的后果由投标人自行负责。 投标人不足3家的，不得开标。</w:t>
      </w:r>
    </w:p>
    <w:p w14:paraId="26F1935F">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24.开标程序</w:t>
      </w:r>
    </w:p>
    <w:p w14:paraId="6B225536">
      <w:pPr>
        <w:wordWrap w:val="0"/>
        <w:autoSpaceDE w:val="0"/>
        <w:autoSpaceDN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bCs/>
          <w:color w:val="auto"/>
          <w:szCs w:val="21"/>
          <w:highlight w:val="none"/>
        </w:rPr>
        <w:t>24.1</w:t>
      </w:r>
      <w:r>
        <w:rPr>
          <w:rFonts w:hint="eastAsia" w:ascii="宋体" w:hAnsi="宋体" w:cs="宋体"/>
          <w:color w:val="auto"/>
          <w:kern w:val="0"/>
          <w:szCs w:val="21"/>
          <w:highlight w:val="none"/>
        </w:rPr>
        <w:t>开标形式：</w:t>
      </w:r>
    </w:p>
    <w:p w14:paraId="03D330B2">
      <w:pPr>
        <w:wordWrap w:val="0"/>
        <w:autoSpaceDE w:val="0"/>
        <w:autoSpaceDN w:val="0"/>
        <w:adjustRightInd w:val="0"/>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（1）</w:t>
      </w:r>
      <w:r>
        <w:rPr>
          <w:rFonts w:hint="eastAsia" w:ascii="宋体" w:hAnsi="宋体" w:cs="宋体"/>
          <w:bCs/>
          <w:color w:val="auto"/>
          <w:szCs w:val="21"/>
          <w:highlight w:val="none"/>
        </w:rPr>
        <w:t>开标的准备工作由采购代理机构负责落实，采购代理机构必须基于“广西政府采购云”平台选取评审专家，如采购代理机构未按规定选取专家的，视为本次开评标无效，应当重新采购；</w:t>
      </w:r>
    </w:p>
    <w:p w14:paraId="56ACE694">
      <w:pPr>
        <w:wordWrap w:val="0"/>
        <w:autoSpaceDE w:val="0"/>
        <w:autoSpaceDN w:val="0"/>
        <w:adjustRightIn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采购代理机构将按照招标文件规定的时间通过“广西政府采购云”平台组织线上开标活动、开启投标文件，所有供应商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63F8CFCC">
      <w:pPr>
        <w:wordWrap w:val="0"/>
        <w:autoSpaceDE w:val="0"/>
        <w:autoSpaceDN w:val="0"/>
        <w:adjustRightIn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24.2开标程序：</w:t>
      </w:r>
    </w:p>
    <w:p w14:paraId="56BABCC2">
      <w:pPr>
        <w:pStyle w:val="12"/>
        <w:wordWrap w:val="0"/>
        <w:snapToGrid w:val="0"/>
        <w:spacing w:line="360" w:lineRule="auto"/>
        <w:ind w:firstLine="422" w:firstLineChars="200"/>
        <w:rPr>
          <w:rFonts w:hAnsi="宋体" w:cs="宋体"/>
          <w:color w:val="auto"/>
          <w:szCs w:val="21"/>
          <w:highlight w:val="none"/>
        </w:rPr>
      </w:pPr>
      <w:r>
        <w:rPr>
          <w:rFonts w:hint="eastAsia" w:hAnsi="宋体" w:cs="宋体"/>
          <w:b/>
          <w:color w:val="auto"/>
          <w:szCs w:val="21"/>
          <w:highlight w:val="none"/>
        </w:rPr>
        <w:t>（1）解密电子投标文件。“</w:t>
      </w:r>
      <w:r>
        <w:rPr>
          <w:rFonts w:hint="eastAsia" w:hAnsi="宋体" w:cs="宋体"/>
          <w:color w:val="auto"/>
          <w:szCs w:val="21"/>
          <w:highlight w:val="none"/>
        </w:rPr>
        <w:t>广西政府采购云”平台按开标时间自动提取所有投标文件。采购代理机构依托“广西政府采购云”平台向各投标人发出电子加密投标文件【开始解密】通知，由投标人按招标文件规定的时间内自行进行投标文件解密。投标人的法定代表人或其委托代理人</w:t>
      </w:r>
      <w:r>
        <w:rPr>
          <w:rFonts w:hint="eastAsia" w:hAnsi="宋体" w:cs="宋体"/>
          <w:b/>
          <w:color w:val="auto"/>
          <w:szCs w:val="21"/>
          <w:highlight w:val="none"/>
        </w:rPr>
        <w:t>须携带加密时所用的CA锁准时登录到“广西政府采购云”平台电子开标大厅签到并对电子投标文件解密</w:t>
      </w:r>
      <w:r>
        <w:rPr>
          <w:rFonts w:hint="eastAsia" w:hAnsi="宋体" w:cs="宋体"/>
          <w:color w:val="auto"/>
          <w:szCs w:val="21"/>
          <w:highlight w:val="none"/>
        </w:rPr>
        <w:t>。开标后5分钟投标人还未进行解密的，代理机构要通知投标人。通知后，投标文件仍未按时解密，或者投标人没预留联系方式或预留联系方式无效，导致代理机构无法联系到投标人进行解密的，</w:t>
      </w:r>
      <w:r>
        <w:rPr>
          <w:rFonts w:hint="eastAsia" w:hAnsi="宋体" w:cs="宋体"/>
          <w:b/>
          <w:color w:val="auto"/>
          <w:szCs w:val="21"/>
          <w:highlight w:val="none"/>
        </w:rPr>
        <w:t>均视为无效投标。</w:t>
      </w:r>
    </w:p>
    <w:p w14:paraId="280551B6">
      <w:pPr>
        <w:pStyle w:val="12"/>
        <w:wordWrap w:val="0"/>
        <w:snapToGrid w:val="0"/>
        <w:spacing w:line="360" w:lineRule="auto"/>
        <w:ind w:firstLine="420" w:firstLineChars="200"/>
        <w:rPr>
          <w:rFonts w:hAnsi="宋体" w:cs="宋体"/>
          <w:color w:val="auto"/>
          <w:szCs w:val="21"/>
          <w:highlight w:val="none"/>
        </w:rPr>
      </w:pPr>
      <w:r>
        <w:rPr>
          <w:rFonts w:hint="eastAsia" w:hAnsi="宋体" w:cs="宋体"/>
          <w:color w:val="auto"/>
          <w:szCs w:val="21"/>
          <w:highlight w:val="none"/>
        </w:rPr>
        <w:t>（解密</w:t>
      </w:r>
      <w:r>
        <w:rPr>
          <w:rFonts w:hint="eastAsia" w:hAnsi="宋体" w:cs="宋体"/>
          <w:bCs/>
          <w:color w:val="auto"/>
          <w:szCs w:val="21"/>
          <w:highlight w:val="none"/>
        </w:rPr>
        <w:t>异常情况处理：详见本章</w:t>
      </w:r>
      <w:r>
        <w:rPr>
          <w:rFonts w:hint="eastAsia" w:hAnsi="宋体" w:cs="宋体"/>
          <w:color w:val="auto"/>
          <w:highlight w:val="none"/>
        </w:rPr>
        <w:t>29.3 电子交易活动的中止。</w:t>
      </w:r>
      <w:r>
        <w:rPr>
          <w:rFonts w:hint="eastAsia" w:hAnsi="宋体" w:cs="宋体"/>
          <w:color w:val="auto"/>
          <w:szCs w:val="21"/>
          <w:highlight w:val="none"/>
        </w:rPr>
        <w:t>）</w:t>
      </w:r>
    </w:p>
    <w:p w14:paraId="3C65D08A">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b/>
          <w:color w:val="auto"/>
          <w:szCs w:val="21"/>
          <w:highlight w:val="none"/>
        </w:rPr>
        <w:t>电子唱标。</w:t>
      </w:r>
      <w:r>
        <w:rPr>
          <w:rFonts w:hint="eastAsia" w:ascii="宋体" w:hAnsi="宋体" w:cs="宋体"/>
          <w:color w:val="auto"/>
          <w:szCs w:val="21"/>
          <w:highlight w:val="none"/>
        </w:rPr>
        <w:t>投标文件解密结束，各投标人报价均在“广西政府采购云”平台远程不见面开标大厅展示；</w:t>
      </w:r>
    </w:p>
    <w:p w14:paraId="35A81F00">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b/>
          <w:color w:val="auto"/>
          <w:szCs w:val="21"/>
          <w:highlight w:val="none"/>
        </w:rPr>
        <w:t>签署电子《政府采购活动现场确认声明书》。</w:t>
      </w:r>
      <w:r>
        <w:rPr>
          <w:rFonts w:hint="eastAsia" w:ascii="宋体" w:hAnsi="宋体" w:cs="宋体"/>
          <w:color w:val="auto"/>
          <w:szCs w:val="21"/>
          <w:highlight w:val="none"/>
        </w:rPr>
        <w:t>通过邮件形式在远程不见面开标大厅发送各投标人签署电子《政府采购活动现场确认声明书》。</w:t>
      </w:r>
    </w:p>
    <w:p w14:paraId="18225B22">
      <w:pPr>
        <w:wordWrap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（4）开标过程由采购代理机构如实记录，并电子留痕，由参加电子开标的各投标人代表对电子开标记录在开标记录公布后15分钟内进行当场校核及勘误，并线上确认，未确认的视同认可开标结果。</w:t>
      </w:r>
    </w:p>
    <w:p w14:paraId="507AA48F">
      <w:pPr>
        <w:wordWrap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5）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141753DA">
      <w:pPr>
        <w:wordWrap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（6）开标结束。</w:t>
      </w:r>
    </w:p>
    <w:p w14:paraId="6AD8FDF0">
      <w:pPr>
        <w:pStyle w:val="12"/>
        <w:wordWrap w:val="0"/>
        <w:snapToGrid w:val="0"/>
        <w:spacing w:line="360" w:lineRule="auto"/>
        <w:ind w:firstLine="422" w:firstLineChars="200"/>
        <w:rPr>
          <w:rFonts w:hAnsi="宋体" w:cs="宋体"/>
          <w:color w:val="auto"/>
          <w:szCs w:val="21"/>
          <w:highlight w:val="none"/>
        </w:rPr>
      </w:pPr>
      <w:r>
        <w:rPr>
          <w:rFonts w:hint="eastAsia" w:hAnsi="宋体" w:cs="宋体"/>
          <w:b/>
          <w:bCs/>
          <w:color w:val="auto"/>
          <w:szCs w:val="21"/>
          <w:highlight w:val="none"/>
        </w:rPr>
        <w:t>特别说明：</w:t>
      </w:r>
      <w:r>
        <w:rPr>
          <w:rFonts w:hint="eastAsia" w:hAnsi="宋体" w:cs="宋体"/>
          <w:color w:val="auto"/>
          <w:szCs w:val="21"/>
          <w:highlight w:val="none"/>
        </w:rPr>
        <w:t>如遇“广西政府采购云”平台电子化开标或评审程序调整的，按调整后执行。</w:t>
      </w:r>
    </w:p>
    <w:p w14:paraId="58AEC2A1">
      <w:pPr>
        <w:pStyle w:val="12"/>
        <w:wordWrap w:val="0"/>
        <w:snapToGrid w:val="0"/>
        <w:spacing w:line="360" w:lineRule="auto"/>
        <w:ind w:left="689" w:leftChars="228" w:hanging="210" w:hangingChars="100"/>
        <w:rPr>
          <w:rFonts w:hAnsi="宋体" w:cs="宋体"/>
          <w:color w:val="auto"/>
          <w:highlight w:val="none"/>
        </w:rPr>
      </w:pPr>
    </w:p>
    <w:p w14:paraId="37F597AF">
      <w:pPr>
        <w:pStyle w:val="4"/>
        <w:keepNext w:val="0"/>
        <w:keepLines w:val="0"/>
        <w:wordWrap w:val="0"/>
        <w:spacing w:line="360" w:lineRule="auto"/>
        <w:jc w:val="center"/>
        <w:rPr>
          <w:rFonts w:ascii="宋体" w:hAnsi="宋体" w:cs="宋体"/>
          <w:color w:val="auto"/>
          <w:highlight w:val="none"/>
        </w:rPr>
      </w:pPr>
      <w:bookmarkStart w:id="90" w:name="_Toc27719"/>
      <w:r>
        <w:rPr>
          <w:rFonts w:hint="eastAsia" w:ascii="宋体" w:hAnsi="宋体" w:cs="宋体"/>
          <w:color w:val="auto"/>
          <w:highlight w:val="none"/>
        </w:rPr>
        <w:t>五、资格审查</w:t>
      </w:r>
      <w:bookmarkEnd w:id="90"/>
    </w:p>
    <w:p w14:paraId="1DAE4B92">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25.资格审查</w:t>
      </w:r>
    </w:p>
    <w:p w14:paraId="39C164D3">
      <w:pPr>
        <w:wordWrap w:val="0"/>
        <w:spacing w:line="360" w:lineRule="auto"/>
        <w:ind w:firstLine="422" w:firstLineChars="200"/>
        <w:rPr>
          <w:rFonts w:ascii="宋体" w:hAnsi="宋体" w:cs="宋体"/>
          <w:b/>
          <w:bCs/>
          <w:color w:val="auto"/>
          <w:szCs w:val="20"/>
          <w:highlight w:val="none"/>
        </w:rPr>
      </w:pPr>
      <w:r>
        <w:rPr>
          <w:rFonts w:hint="eastAsia" w:ascii="宋体" w:hAnsi="宋体" w:cs="宋体"/>
          <w:b/>
          <w:bCs/>
          <w:color w:val="auto"/>
          <w:szCs w:val="20"/>
          <w:highlight w:val="none"/>
        </w:rPr>
        <w:t xml:space="preserve"> 25.1开标结束后，采购人或采购机构依法通过电子投标文件对投标人的资格进行线上审查。</w:t>
      </w:r>
    </w:p>
    <w:p w14:paraId="630E5395">
      <w:pPr>
        <w:wordWrap w:val="0"/>
        <w:spacing w:line="360" w:lineRule="auto"/>
        <w:ind w:firstLine="422" w:firstLineChars="200"/>
        <w:rPr>
          <w:rFonts w:ascii="宋体" w:hAnsi="宋体" w:cs="宋体"/>
          <w:b/>
          <w:bCs/>
          <w:color w:val="auto"/>
          <w:szCs w:val="20"/>
          <w:highlight w:val="none"/>
        </w:rPr>
      </w:pPr>
      <w:r>
        <w:rPr>
          <w:rFonts w:hint="eastAsia" w:ascii="宋体" w:hAnsi="宋体" w:cs="宋体"/>
          <w:b/>
          <w:bCs/>
          <w:color w:val="auto"/>
          <w:szCs w:val="20"/>
          <w:highlight w:val="none"/>
        </w:rPr>
        <w:t xml:space="preserve"> 25.2采购人或采购机构依据法律法规和招标文件的规定，对投标人的基本资格条件、特定资格条件进行审查。</w:t>
      </w:r>
    </w:p>
    <w:p w14:paraId="6CAA57BF">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25.3资格审查标准为本“招标文件”中“投标人须知前附表”13.1点载明对投标人资格要求的条件。本项目资格审查采用合格制，凡符合招标文件规定的投标人资格要求的投标人均通过资格审查。</w:t>
      </w:r>
    </w:p>
    <w:p w14:paraId="02B85D9B">
      <w:pPr>
        <w:wordWrap w:val="0"/>
        <w:spacing w:line="360" w:lineRule="auto"/>
        <w:ind w:firstLine="422" w:firstLineChars="200"/>
        <w:rPr>
          <w:rFonts w:ascii="宋体" w:hAnsi="宋体" w:cs="宋体"/>
          <w:b/>
          <w:bCs/>
          <w:color w:val="auto"/>
          <w:szCs w:val="20"/>
          <w:highlight w:val="none"/>
        </w:rPr>
      </w:pPr>
      <w:bookmarkStart w:id="91" w:name="_25.3_投标人有下列情形之一的，资格审查不通过而导致其投标无效："/>
      <w:bookmarkEnd w:id="91"/>
      <w:r>
        <w:rPr>
          <w:rFonts w:hint="eastAsia" w:ascii="宋体" w:hAnsi="宋体" w:cs="宋体"/>
          <w:b/>
          <w:bCs/>
          <w:color w:val="auto"/>
          <w:szCs w:val="20"/>
          <w:highlight w:val="none"/>
        </w:rPr>
        <w:t>25.4投标人有下列情形之一的，资格审查不通过，作无效投标处理：</w:t>
      </w:r>
    </w:p>
    <w:p w14:paraId="6FDA03B0">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（1）不具备招标文件中规定的资格要求的；（注：其中信用查询规则见“投标人须知前附表”，“广西政府采购云”平台已与“信用中国”平台做接口，审查专家可直接在线查询）</w:t>
      </w:r>
    </w:p>
    <w:p w14:paraId="35A7539A">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（2）投标文件未提供任一项“投标人须知前附表”资格证明文件规定的“必须提供”的文件资料的；</w:t>
      </w:r>
    </w:p>
    <w:p w14:paraId="25CAFB80">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（3）投标文件提供的资格证明文件出现任一项不符合“投标人须知前附表”资格证明文件规定的“必须提供”的文件资料要求或者无效的。</w:t>
      </w:r>
    </w:p>
    <w:p w14:paraId="666F3CCC">
      <w:pPr>
        <w:wordWrap w:val="0"/>
        <w:spacing w:line="360" w:lineRule="auto"/>
        <w:ind w:firstLine="420" w:firstLineChars="200"/>
        <w:rPr>
          <w:rFonts w:ascii="宋体" w:hAnsi="宋体" w:cs="宋体"/>
          <w:color w:val="auto"/>
          <w:szCs w:val="20"/>
          <w:highlight w:val="none"/>
        </w:rPr>
      </w:pPr>
      <w:r>
        <w:rPr>
          <w:rFonts w:hint="eastAsia" w:ascii="宋体" w:hAnsi="宋体" w:cs="宋体"/>
          <w:color w:val="auto"/>
          <w:szCs w:val="20"/>
          <w:highlight w:val="none"/>
        </w:rPr>
        <w:t>25.5资格审查的合格投标人不足3家的，不得评标。</w:t>
      </w:r>
    </w:p>
    <w:p w14:paraId="09A1C1D9">
      <w:pPr>
        <w:pStyle w:val="4"/>
        <w:keepNext w:val="0"/>
        <w:keepLines w:val="0"/>
        <w:wordWrap w:val="0"/>
        <w:spacing w:line="360" w:lineRule="auto"/>
        <w:jc w:val="center"/>
        <w:rPr>
          <w:rFonts w:ascii="宋体" w:hAnsi="宋体" w:cs="宋体"/>
          <w:color w:val="auto"/>
          <w:highlight w:val="none"/>
        </w:rPr>
      </w:pPr>
      <w:bookmarkStart w:id="92" w:name="_Toc10681"/>
      <w:r>
        <w:rPr>
          <w:rFonts w:hint="eastAsia" w:ascii="宋体" w:hAnsi="宋体" w:cs="宋体"/>
          <w:color w:val="auto"/>
          <w:highlight w:val="none"/>
        </w:rPr>
        <w:t>六、评   标</w:t>
      </w:r>
      <w:bookmarkEnd w:id="92"/>
    </w:p>
    <w:p w14:paraId="5C219391">
      <w:pPr>
        <w:wordWrap w:val="0"/>
        <w:spacing w:line="360" w:lineRule="auto"/>
        <w:ind w:firstLine="480" w:firstLineChars="200"/>
        <w:rPr>
          <w:rFonts w:ascii="宋体" w:hAnsi="宋体" w:cs="宋体"/>
          <w:color w:val="auto"/>
          <w:sz w:val="24"/>
          <w:highlight w:val="none"/>
        </w:rPr>
      </w:pPr>
      <w:bookmarkStart w:id="93" w:name="_26.组建评标委员会"/>
      <w:bookmarkEnd w:id="93"/>
      <w:r>
        <w:rPr>
          <w:rFonts w:hint="eastAsia" w:ascii="宋体" w:hAnsi="宋体" w:cs="宋体"/>
          <w:color w:val="auto"/>
          <w:sz w:val="24"/>
          <w:highlight w:val="none"/>
        </w:rPr>
        <w:t>26.组建评标委员会</w:t>
      </w:r>
    </w:p>
    <w:p w14:paraId="5B1CCD6D">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评标委员会由采购人代表和评审专家组成，人数为5人以上单数，其中评审专家不得少于成员总数的三分之二。</w:t>
      </w:r>
    </w:p>
    <w:p w14:paraId="622EDC4E">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参加过采购项目前期咨询论证的专家，不得参加该采购项目的评审活动。</w:t>
      </w:r>
    </w:p>
    <w:p w14:paraId="1BCADBFA">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27.评标的依据</w:t>
      </w:r>
    </w:p>
    <w:p w14:paraId="5660A18F">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评标委员会以招标文件为依据对投标文件进行评审，“第四章 评标方法和评标标准”没有规定的方法、评审因素和标准，不作为评标依据。</w:t>
      </w:r>
    </w:p>
    <w:p w14:paraId="1BFDFC71">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28.评标原则</w:t>
      </w:r>
    </w:p>
    <w:p w14:paraId="61908EB1">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2504747A">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28.2评委表决。在评标过程中出现法律法规和招标文件均没有明确规定的情形时，由评标委员会现场协商解决，协商不一致的，由全体评委投票表决，以得票率二分之一以上专家的意见为准并由采购代理机构作记录。</w:t>
      </w:r>
      <w:bookmarkStart w:id="94" w:name="_28.3评标方法。本项目将按须知前附表规定的评标办法进行评标，具体评标"/>
      <w:bookmarkEnd w:id="94"/>
    </w:p>
    <w:p w14:paraId="35B2E975">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28.3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0FD601FD">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28.4评标过程的监控。本项目电子评标过程实行网上留痕、全程录音、录像监控，投标人在评标过程中所进行的试图影响评标结果的不公正活动，可能导致其投标按无效处理。</w:t>
      </w:r>
    </w:p>
    <w:p w14:paraId="71A6426E">
      <w:pPr>
        <w:widowControl/>
        <w:wordWrap w:val="0"/>
        <w:spacing w:line="360" w:lineRule="auto"/>
        <w:ind w:firstLine="420" w:firstLineChars="200"/>
        <w:jc w:val="left"/>
        <w:textAlignment w:val="baseline"/>
        <w:rPr>
          <w:rFonts w:ascii="宋体" w:hAnsi="宋体" w:cs="宋体"/>
          <w:color w:val="auto"/>
          <w:highlight w:val="none"/>
        </w:rPr>
      </w:pPr>
      <w:r>
        <w:rPr>
          <w:rFonts w:hint="eastAsia" w:ascii="宋体" w:hAnsi="宋体" w:cs="宋体"/>
          <w:color w:val="auto"/>
          <w:highlight w:val="none"/>
        </w:rPr>
        <w:t>28.5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2A92FC0F">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29.评标方法及评标标准</w:t>
      </w:r>
    </w:p>
    <w:p w14:paraId="6F86A404">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29.1本项目的评标方法详见“投标人须知前附表”。</w:t>
      </w:r>
    </w:p>
    <w:p w14:paraId="41A2559B">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29.2 评标委员会按照</w:t>
      </w:r>
      <w:r>
        <w:rPr>
          <w:rFonts w:hint="eastAsia" w:ascii="宋体" w:hAnsi="宋体" w:cs="宋体"/>
          <w:b/>
          <w:color w:val="auto"/>
          <w:highlight w:val="none"/>
        </w:rPr>
        <w:t>“第四章 评标方法和评标标准”</w:t>
      </w:r>
      <w:r>
        <w:rPr>
          <w:rFonts w:hint="eastAsia" w:ascii="宋体" w:hAnsi="宋体" w:cs="宋体"/>
          <w:color w:val="auto"/>
          <w:highlight w:val="none"/>
        </w:rPr>
        <w:t>规定的方法、评审因素、标准和程序对投标文件进行评审。</w:t>
      </w:r>
    </w:p>
    <w:p w14:paraId="1F42930A">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29.3 电子交易活动的中止。采购过程中出现以下情形，导致电子交易平台无法正常运行，或者无法保证电子交易的公平、公正和安全时，采购机构可中止电子交易活动：</w:t>
      </w:r>
    </w:p>
    <w:p w14:paraId="12D51977">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（1）电子交易平台发生故障而无法登录访问的； </w:t>
      </w:r>
    </w:p>
    <w:p w14:paraId="71F5DD5F">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（2）电子交易平台应用或数据库出现错误，不能进行正常操作的；</w:t>
      </w:r>
    </w:p>
    <w:p w14:paraId="433289AB">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（3）电子交易平台发现严重安全漏洞，有潜在泄密危险的；</w:t>
      </w:r>
    </w:p>
    <w:p w14:paraId="5A2CB1A5">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（4）病毒发作导致不能进行正常操作的； </w:t>
      </w:r>
    </w:p>
    <w:p w14:paraId="07C3BC28">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（4）其他无法保证电子交易的公平、公正和安全的情况。</w:t>
      </w:r>
    </w:p>
    <w:p w14:paraId="40F0F2CD">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29.4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457C8044">
      <w:pPr>
        <w:pStyle w:val="12"/>
        <w:wordWrap w:val="0"/>
        <w:snapToGrid w:val="0"/>
        <w:spacing w:line="360" w:lineRule="auto"/>
        <w:ind w:firstLine="420" w:firstLineChars="200"/>
        <w:rPr>
          <w:rFonts w:hAnsi="宋体" w:cs="宋体"/>
          <w:color w:val="auto"/>
          <w:highlight w:val="none"/>
        </w:rPr>
      </w:pPr>
    </w:p>
    <w:p w14:paraId="509F38AF">
      <w:pPr>
        <w:pStyle w:val="4"/>
        <w:keepNext w:val="0"/>
        <w:keepLines w:val="0"/>
        <w:wordWrap w:val="0"/>
        <w:spacing w:line="360" w:lineRule="auto"/>
        <w:jc w:val="center"/>
        <w:rPr>
          <w:rFonts w:ascii="宋体" w:hAnsi="宋体" w:cs="宋体"/>
          <w:color w:val="auto"/>
          <w:highlight w:val="none"/>
        </w:rPr>
      </w:pPr>
      <w:bookmarkStart w:id="95" w:name="_Toc254970687"/>
      <w:bookmarkStart w:id="96" w:name="_Toc254970546"/>
      <w:bookmarkStart w:id="97" w:name="_Toc28260"/>
      <w:r>
        <w:rPr>
          <w:rFonts w:hint="eastAsia" w:ascii="宋体" w:hAnsi="宋体" w:cs="宋体"/>
          <w:color w:val="auto"/>
          <w:highlight w:val="none"/>
        </w:rPr>
        <w:t>七、</w:t>
      </w:r>
      <w:bookmarkEnd w:id="95"/>
      <w:bookmarkEnd w:id="96"/>
      <w:r>
        <w:rPr>
          <w:rFonts w:hint="eastAsia" w:ascii="宋体" w:hAnsi="宋体" w:cs="宋体"/>
          <w:color w:val="auto"/>
          <w:highlight w:val="none"/>
        </w:rPr>
        <w:t>中标和合同</w:t>
      </w:r>
      <w:bookmarkEnd w:id="97"/>
    </w:p>
    <w:p w14:paraId="7E6FC266">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30.确定中标供应商</w:t>
      </w:r>
    </w:p>
    <w:p w14:paraId="6BFDDE30">
      <w:pPr>
        <w:wordWrap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30.1本项目授权评标委员会直接按第四章“评标方法及标准”的规定排列中标候选人顺序，并依照次序确定中标供应商。</w:t>
      </w:r>
    </w:p>
    <w:p w14:paraId="754F9FB8">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30.2采购人、采购代理机构认为供应商对采购过程、中标结果提出的质疑成立且影响或者可能影响中标结果的，合格供应商符合法定数量时，可以从合格的中标候选人中另行确定中标供应商的，应当依法另行确定中标供应商；否则应当重新开展采购活动。</w:t>
      </w:r>
    </w:p>
    <w:p w14:paraId="6E2D99ED">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30.3中标供应商无正当理由拒签合同的，根据《中华人民共和国政府采购法》第七十七条第一款规定处理。</w:t>
      </w:r>
    </w:p>
    <w:p w14:paraId="3A80008F">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30.4根据《中华人民共和国民法典》</w:t>
      </w:r>
      <w:r>
        <w:rPr>
          <w:rFonts w:hint="eastAsia" w:ascii="宋体" w:hAnsi="宋体" w:cs="宋体"/>
          <w:color w:val="auto"/>
          <w:sz w:val="19"/>
          <w:szCs w:val="19"/>
          <w:highlight w:val="none"/>
        </w:rPr>
        <w:t>第五百六十三条</w:t>
      </w:r>
      <w:r>
        <w:rPr>
          <w:rFonts w:hint="eastAsia" w:ascii="宋体" w:hAnsi="宋体" w:cs="宋体"/>
          <w:color w:val="auto"/>
          <w:szCs w:val="21"/>
          <w:highlight w:val="none"/>
        </w:rPr>
        <w:t>，因不可抗力致使不能实现合同目的的，当事人可以解除合同。</w:t>
      </w:r>
    </w:p>
    <w:p w14:paraId="04B030FF">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31. 结果公告</w:t>
      </w:r>
    </w:p>
    <w:p w14:paraId="0C2AD7FC">
      <w:pPr>
        <w:wordWrap w:val="0"/>
        <w:spacing w:line="360" w:lineRule="auto"/>
        <w:ind w:firstLine="420" w:firstLineChars="200"/>
        <w:rPr>
          <w:rFonts w:ascii="宋体" w:hAnsi="宋体" w:cs="宋体"/>
          <w:color w:val="auto"/>
          <w:highlight w:val="none"/>
        </w:rPr>
      </w:pPr>
      <w:r>
        <w:rPr>
          <w:rFonts w:hint="eastAsia" w:ascii="宋体" w:hAnsi="宋体" w:cs="宋体"/>
          <w:color w:val="auto"/>
          <w:szCs w:val="21"/>
          <w:highlight w:val="none"/>
        </w:rPr>
        <w:t>31.1</w:t>
      </w:r>
      <w:r>
        <w:rPr>
          <w:rFonts w:hint="eastAsia" w:ascii="宋体" w:hAnsi="宋体" w:cs="宋体"/>
          <w:color w:val="auto"/>
          <w:highlight w:val="none"/>
        </w:rPr>
        <w:t>在中标供应商确定之日起2个工作日内，由采购代理机构</w:t>
      </w:r>
      <w:r>
        <w:rPr>
          <w:rFonts w:hint="eastAsia" w:ascii="宋体" w:hAnsi="宋体" w:cs="宋体"/>
          <w:b/>
          <w:color w:val="auto"/>
          <w:szCs w:val="21"/>
          <w:highlight w:val="none"/>
        </w:rPr>
        <w:t>在招标公告发布媒体上</w:t>
      </w:r>
      <w:r>
        <w:rPr>
          <w:rFonts w:hint="eastAsia" w:ascii="宋体" w:hAnsi="宋体" w:cs="宋体"/>
          <w:color w:val="auto"/>
          <w:highlight w:val="none"/>
        </w:rPr>
        <w:t>发布中标结果公告，中标结果公告期限为1个工作日，发布中标结果公告的同时向中标供应商发出中标通知书。</w:t>
      </w:r>
      <w:r>
        <w:rPr>
          <w:rFonts w:hint="eastAsia" w:ascii="宋体" w:hAnsi="宋体" w:cs="宋体"/>
          <w:b/>
          <w:color w:val="auto"/>
          <w:szCs w:val="21"/>
          <w:highlight w:val="none"/>
        </w:rPr>
        <w:t>采购代理机构发出中标通知书前，应当对中标供应商信用进行核实，对列入失信被执行人、重大税收违法失信主体、政府采购严重违法失信行为记录名单及其他不符合《中华人民共和国政府采购法》第二十二条规定条件的投标人，取消其中标资格，并确定排名第二的中标候选人为中标供应商。</w:t>
      </w:r>
      <w:r>
        <w:rPr>
          <w:rFonts w:hint="eastAsia" w:ascii="宋体" w:hAnsi="宋体" w:cs="宋体"/>
          <w:color w:val="auto"/>
          <w:szCs w:val="21"/>
          <w:highlight w:val="none"/>
        </w:rPr>
        <w:t>排名第二的中标候选人因前款规定的同样原因被取消中标资格的，授权的评标委员会可以确定排名第三的中标候选人为中标供应商，以此类推。</w:t>
      </w:r>
    </w:p>
    <w:p w14:paraId="7BE40056">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以上信息查询记录及相关证据与采购文件一并保存。</w:t>
      </w:r>
    </w:p>
    <w:p w14:paraId="1CEB790E">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31.2中小企业在政府采购活动过程中，请根据企业的真实情况出具《中小企业声明函》。依法享受中小企业优惠政策的，采购人或者采购代理机构在公告中标结果时，同时公告其《中小企业声明函》，接受社会监督。</w:t>
      </w:r>
    </w:p>
    <w:p w14:paraId="0D0ADACF">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32.发出中标通知书</w:t>
      </w:r>
    </w:p>
    <w:p w14:paraId="1A570F71">
      <w:pPr>
        <w:wordWrap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32.1在发布中标公告的同时，采购代理机构向中标供应商通过“广西政府采购云”平台发出电子中标通知书。</w:t>
      </w:r>
    </w:p>
    <w:p w14:paraId="70B3C5C6">
      <w:pPr>
        <w:wordWrap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32.2对未通过资格审查的投标人，采购人或采购机构应当告知其未通过的原因；采用综合评分办法评审的，采购人或采购机构还应当告知未中标供应商本人的评审得分与排序。</w:t>
      </w:r>
    </w:p>
    <w:p w14:paraId="63D5525B">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 无义务解释未中标原因</w:t>
      </w:r>
    </w:p>
    <w:p w14:paraId="172A7DBD">
      <w:pPr>
        <w:wordWrap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采购代理机构无义务向未中标的投标人解释未中标原因和退还投标文件。</w:t>
      </w:r>
    </w:p>
    <w:p w14:paraId="35CC4953">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34.合同授予标准</w:t>
      </w:r>
    </w:p>
    <w:p w14:paraId="38AB65B6">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合同将授予被确定实质上响应招标文件要求，具备履行合同能力的中标供应商（招标文件另有约定多名中标供应商的除外）。</w:t>
      </w:r>
    </w:p>
    <w:p w14:paraId="4CA59BFC">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35.履约保证金</w:t>
      </w:r>
    </w:p>
    <w:p w14:paraId="1979EDF1">
      <w:pPr>
        <w:wordWrap w:val="0"/>
        <w:spacing w:line="360" w:lineRule="auto"/>
        <w:ind w:firstLine="420" w:firstLineChars="200"/>
        <w:rPr>
          <w:rFonts w:ascii="宋体" w:hAnsi="宋体" w:cs="宋体"/>
          <w:color w:val="auto"/>
          <w:szCs w:val="21"/>
          <w:highlight w:val="none"/>
        </w:rPr>
      </w:pPr>
      <w:bookmarkStart w:id="98" w:name="_39.1中标人须于签订合同前按本须知前附表规定的金额转账或电汇到指定账"/>
      <w:bookmarkEnd w:id="98"/>
      <w:r>
        <w:rPr>
          <w:rFonts w:hint="eastAsia" w:ascii="宋体" w:hAnsi="宋体" w:cs="宋体"/>
          <w:color w:val="auto"/>
          <w:szCs w:val="21"/>
          <w:highlight w:val="none"/>
        </w:rPr>
        <w:t>见“投标人须知前附表”。</w:t>
      </w:r>
    </w:p>
    <w:p w14:paraId="729B0B28">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36.签订合同</w:t>
      </w:r>
    </w:p>
    <w:p w14:paraId="7EA2303D">
      <w:pPr>
        <w:pStyle w:val="31"/>
        <w:wordWrap w:val="0"/>
        <w:snapToGrid w:val="0"/>
        <w:spacing w:before="0"/>
        <w:ind w:firstLine="422"/>
        <w:rPr>
          <w:rFonts w:ascii="宋体" w:hAnsi="宋体" w:cs="宋体"/>
          <w:color w:val="auto"/>
          <w:kern w:val="0"/>
          <w:sz w:val="21"/>
          <w:szCs w:val="21"/>
          <w:highlight w:val="none"/>
          <w:lang w:val="zh-CN"/>
        </w:rPr>
      </w:pPr>
      <w:bookmarkStart w:id="99" w:name="_40.1投标人接到中标通知书后，按须知前附表规定向采购人出示相关资格证"/>
      <w:bookmarkEnd w:id="99"/>
      <w:r>
        <w:rPr>
          <w:rFonts w:hint="eastAsia" w:ascii="宋体" w:hAnsi="宋体" w:cs="宋体"/>
          <w:b/>
          <w:color w:val="auto"/>
          <w:sz w:val="21"/>
          <w:szCs w:val="21"/>
          <w:highlight w:val="none"/>
        </w:rPr>
        <w:t xml:space="preserve"> 36.1中标供应商领取电子中标通知书后，</w:t>
      </w:r>
      <w:r>
        <w:rPr>
          <w:rFonts w:hint="eastAsia" w:ascii="宋体" w:hAnsi="宋体" w:cs="宋体"/>
          <w:color w:val="auto"/>
          <w:kern w:val="0"/>
          <w:sz w:val="21"/>
          <w:szCs w:val="21"/>
          <w:highlight w:val="none"/>
          <w:lang w:val="zh-CN"/>
        </w:rPr>
        <w:t>按规定的日期、时间、地点，由法定代表人或其授权代表与采购人代表签订电子采购合同。如中标供应商为联合体的，由联合体成员各方法定代表人或其授权代表与采购人代表签订合同，签订携带资料详见“投标人须知前附表”。</w:t>
      </w:r>
    </w:p>
    <w:p w14:paraId="4D04C2AE">
      <w:pPr>
        <w:pStyle w:val="31"/>
        <w:wordWrap w:val="0"/>
        <w:snapToGrid w:val="0"/>
        <w:spacing w:before="0"/>
        <w:ind w:firstLine="420"/>
        <w:rPr>
          <w:rFonts w:ascii="宋体" w:hAnsi="宋体" w:cs="宋体"/>
          <w:color w:val="auto"/>
          <w:kern w:val="0"/>
          <w:sz w:val="21"/>
          <w:szCs w:val="21"/>
          <w:highlight w:val="none"/>
          <w:lang w:val="zh-CN"/>
        </w:rPr>
      </w:pPr>
      <w:r>
        <w:rPr>
          <w:rFonts w:hint="eastAsia" w:ascii="宋体" w:hAnsi="宋体" w:cs="宋体"/>
          <w:color w:val="auto"/>
          <w:kern w:val="0"/>
          <w:sz w:val="21"/>
          <w:szCs w:val="21"/>
          <w:highlight w:val="none"/>
          <w:lang w:val="zh-CN"/>
        </w:rPr>
        <w:t>36.2</w:t>
      </w:r>
      <w:r>
        <w:rPr>
          <w:rFonts w:hint="eastAsia" w:ascii="宋体" w:hAnsi="宋体" w:cs="宋体"/>
          <w:color w:val="auto"/>
          <w:sz w:val="21"/>
          <w:szCs w:val="21"/>
          <w:highlight w:val="none"/>
        </w:rPr>
        <w:t>采购合同由采购人与中标供应商根据招标文件、投标文件等内容通过政府采购电子交易平台在线签订，自动备案。</w:t>
      </w:r>
    </w:p>
    <w:p w14:paraId="2F25FC94">
      <w:pPr>
        <w:pStyle w:val="31"/>
        <w:wordWrap w:val="0"/>
        <w:snapToGrid w:val="0"/>
        <w:spacing w:before="0"/>
        <w:ind w:firstLine="420"/>
        <w:rPr>
          <w:rFonts w:ascii="宋体" w:hAnsi="宋体" w:cs="宋体"/>
          <w:color w:val="auto"/>
          <w:sz w:val="21"/>
          <w:szCs w:val="21"/>
          <w:highlight w:val="none"/>
        </w:rPr>
      </w:pPr>
      <w:r>
        <w:rPr>
          <w:rFonts w:hint="eastAsia" w:ascii="宋体" w:hAnsi="宋体" w:cs="宋体"/>
          <w:color w:val="auto"/>
          <w:sz w:val="21"/>
          <w:szCs w:val="21"/>
          <w:highlight w:val="none"/>
        </w:rPr>
        <w:t>36.3签订合同时间：按中标通知书规定的时间与采购人签订合同（最长不能超过25日）。</w:t>
      </w:r>
    </w:p>
    <w:p w14:paraId="5D8BE217">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36.4中标供应商拒绝与采购人签订合同的，采购人可以按照评审报告推荐的中标候选人名单排序，确定下一候选人为中标供应商，也可以重新开展政府采购活动。如采购人无正当理由拒签合同的，给中标供应商造成损失的，中标供应商可追究采购人承担相应的法律责任。</w:t>
      </w:r>
    </w:p>
    <w:p w14:paraId="4AC476D2">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36.5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59FDAF9E">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36.6采购人或中标供应商不得单方面向合同另一方提出任何招标文件没有约定的条件或不合理的要求，作为签订合同的条件；也不得协商另行订立背离招标文件和合同实质性内容的协议。</w:t>
      </w:r>
    </w:p>
    <w:p w14:paraId="646EA492">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36.7如签订合同并生效后，供应商无故拒绝或延期，除按照合同条款处理外，将承担相应的法律责任。</w:t>
      </w:r>
    </w:p>
    <w:p w14:paraId="1740CFD3">
      <w:pPr>
        <w:wordWrap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36.8采购人需追加与合同标的相同的货物或者服务的，在不改变原合同条款且已报财政部门批准落实资金的前提下，可从原中标供应商处添购， 所签订的补充添置合同的采购资金总额不超过原采购合同金额的10%。</w:t>
      </w:r>
    </w:p>
    <w:p w14:paraId="08589DA1">
      <w:pPr>
        <w:wordWrap w:val="0"/>
        <w:spacing w:line="360" w:lineRule="auto"/>
        <w:ind w:firstLine="480" w:firstLineChars="200"/>
        <w:rPr>
          <w:rFonts w:ascii="宋体" w:hAnsi="宋体" w:cs="宋体"/>
          <w:color w:val="auto"/>
          <w:sz w:val="24"/>
          <w:highlight w:val="none"/>
        </w:rPr>
      </w:pPr>
      <w:bookmarkStart w:id="100" w:name="_41.政府采购合同公告"/>
      <w:bookmarkEnd w:id="100"/>
      <w:r>
        <w:rPr>
          <w:rFonts w:hint="eastAsia" w:ascii="宋体" w:hAnsi="宋体" w:cs="宋体"/>
          <w:color w:val="auto"/>
          <w:sz w:val="24"/>
          <w:highlight w:val="none"/>
        </w:rPr>
        <w:t>37.政府采购合同公告</w:t>
      </w:r>
    </w:p>
    <w:p w14:paraId="583982D0">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采购人或者受托采购代理机构应当自政府采购合同签订之日起2个工作日内，将政府采购合同</w:t>
      </w:r>
      <w:r>
        <w:rPr>
          <w:rFonts w:hint="eastAsia" w:ascii="宋体" w:hAnsi="宋体" w:cs="宋体"/>
          <w:bCs/>
          <w:color w:val="auto"/>
          <w:highlight w:val="none"/>
        </w:rPr>
        <w:t>在以下媒体上发布</w:t>
      </w:r>
      <w:r>
        <w:rPr>
          <w:rFonts w:hint="eastAsia" w:ascii="宋体" w:hAnsi="宋体" w:cs="宋体"/>
          <w:color w:val="auto"/>
          <w:kern w:val="0"/>
          <w:szCs w:val="21"/>
          <w:highlight w:val="none"/>
        </w:rPr>
        <w:t xml:space="preserve"> “广西政府采购网”（http://zfcg.gxzf.gov.cn）</w:t>
      </w:r>
      <w:r>
        <w:rPr>
          <w:rFonts w:hint="eastAsia" w:ascii="宋体" w:hAnsi="宋体" w:cs="宋体"/>
          <w:color w:val="auto"/>
          <w:highlight w:val="none"/>
        </w:rPr>
        <w:t>上公告，但政府采购合同中涉及国家秘密、商业秘密的内容除外。</w:t>
      </w:r>
    </w:p>
    <w:p w14:paraId="1FEC6A53">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38. 询问、质疑和投诉</w:t>
      </w:r>
    </w:p>
    <w:p w14:paraId="1CFFE086">
      <w:pPr>
        <w:wordWrap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38.1询问</w:t>
      </w:r>
    </w:p>
    <w:p w14:paraId="44542A16">
      <w:pPr>
        <w:wordWrap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38.1.1供应商在开标前对政府采购活动事项有疑问的，可以向采购人或采购代理机构项目负责人提出询问。</w:t>
      </w:r>
    </w:p>
    <w:p w14:paraId="62346055">
      <w:pPr>
        <w:wordWrap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38.1.2采购人或采购人委托的采购代理机构自受理询问之日起3个工作日内对供应商依法提出的询问作出答复，</w:t>
      </w:r>
      <w:r>
        <w:rPr>
          <w:rFonts w:hint="eastAsia" w:ascii="宋体" w:hAnsi="宋体" w:cs="宋体"/>
          <w:color w:val="auto"/>
          <w:highlight w:val="none"/>
        </w:rPr>
        <w:t>但答复内容不得涉及商业秘密</w:t>
      </w:r>
      <w:r>
        <w:rPr>
          <w:rFonts w:hint="eastAsia" w:ascii="宋体" w:hAnsi="宋体" w:cs="宋体"/>
          <w:bCs/>
          <w:color w:val="auto"/>
          <w:szCs w:val="21"/>
          <w:highlight w:val="none"/>
        </w:rPr>
        <w:t>。</w:t>
      </w:r>
    </w:p>
    <w:p w14:paraId="14DF8F5A">
      <w:pPr>
        <w:wordWrap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38.1.3 询问事项可能影响中标、成交结果的，采购人应当暂停签订合同，已经签订合同的，应当中止履行合同。</w:t>
      </w:r>
    </w:p>
    <w:p w14:paraId="54082FDF">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38.2质疑</w:t>
      </w:r>
    </w:p>
    <w:p w14:paraId="5505740D">
      <w:pPr>
        <w:wordWrap w:val="0"/>
        <w:spacing w:line="360" w:lineRule="auto"/>
        <w:ind w:firstLine="420" w:firstLineChars="200"/>
        <w:rPr>
          <w:rFonts w:ascii="宋体" w:hAnsi="宋体" w:cs="宋体"/>
          <w:b/>
          <w:color w:val="auto"/>
          <w:szCs w:val="21"/>
          <w:highlight w:val="none"/>
        </w:rPr>
      </w:pPr>
      <w:r>
        <w:rPr>
          <w:rFonts w:hint="eastAsia" w:ascii="宋体" w:hAnsi="宋体" w:cs="宋体"/>
          <w:color w:val="auto"/>
          <w:szCs w:val="21"/>
          <w:highlight w:val="none"/>
        </w:rPr>
        <w:t>38.2.1</w:t>
      </w:r>
      <w:r>
        <w:rPr>
          <w:rFonts w:hint="eastAsia" w:ascii="宋体" w:hAnsi="宋体" w:cs="宋体"/>
          <w:b/>
          <w:color w:val="auto"/>
          <w:szCs w:val="21"/>
          <w:highlight w:val="none"/>
        </w:rPr>
        <w:t xml:space="preserve">供应商认为招标文件、采购过程或者中标结果使自己的合法权益受到损害的，必须在知道或者应知其权益受到损害之日起7个工作日内，以书面形式向采购人、采购代理机构提出质疑，质疑有效期结束后，采购人或采购代理机构不再受理该项目质疑。采购人、采购代理机构接收质疑函的方式、联系部门、联系电话和通讯地址等信息详见“投标人须知前附表”。具体质疑起算时间及处理方式如下： </w:t>
      </w:r>
    </w:p>
    <w:p w14:paraId="7166B767">
      <w:pPr>
        <w:wordWrap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（1）潜在供应商依法获取公开招标文件后，认为采购文件使自己的权益受到损害的，应当在公开招标文件公告期限届满之日起7个工作日内提出质疑。</w:t>
      </w:r>
      <w:r>
        <w:rPr>
          <w:rFonts w:hint="eastAsia" w:ascii="宋体" w:hAnsi="宋体" w:cs="宋体"/>
          <w:color w:val="auto"/>
          <w:highlight w:val="none"/>
        </w:rPr>
        <w:t>委托代理协议无特殊约定的，</w:t>
      </w:r>
      <w:r>
        <w:rPr>
          <w:rFonts w:hint="eastAsia" w:ascii="宋体" w:hAnsi="宋体" w:cs="宋体"/>
          <w:bCs/>
          <w:color w:val="auto"/>
          <w:highlight w:val="none"/>
        </w:rPr>
        <w:t>对公开招标文件中采购需求（含资格要求、采购预算和评分办法）的质疑由采购人受理并负责答复；对公开招标文件中的采购执行程序的质疑由采购代理机构受理并负责答复。</w:t>
      </w:r>
    </w:p>
    <w:p w14:paraId="7F52E60D">
      <w:pPr>
        <w:wordWrap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77F3BA57">
      <w:pPr>
        <w:wordWrap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（3）供应商认为中标或者成交结果使自己的权益受到损害的，应当在中标或者成交结果公告期限届满之日起7个工作日内提出质疑，由采购人受理并负责答复。</w:t>
      </w:r>
    </w:p>
    <w:p w14:paraId="6ABAB5FE">
      <w:pPr>
        <w:wordWrap w:val="0"/>
        <w:spacing w:line="360" w:lineRule="auto"/>
        <w:ind w:firstLine="422" w:firstLineChars="200"/>
        <w:rPr>
          <w:rFonts w:ascii="宋体" w:hAnsi="宋体" w:cs="宋体"/>
          <w:bCs/>
          <w:color w:val="auto"/>
          <w:szCs w:val="21"/>
          <w:highlight w:val="none"/>
        </w:rPr>
      </w:pPr>
      <w:r>
        <w:rPr>
          <w:rFonts w:hint="eastAsia" w:ascii="宋体" w:hAnsi="宋体" w:cs="宋体"/>
          <w:b/>
          <w:bCs/>
          <w:color w:val="auto"/>
          <w:szCs w:val="21"/>
          <w:highlight w:val="none"/>
        </w:rPr>
        <w:t>38.2.2</w:t>
      </w:r>
      <w:r>
        <w:rPr>
          <w:rFonts w:hint="eastAsia" w:ascii="宋体" w:hAnsi="宋体" w:cs="宋体"/>
          <w:bCs/>
          <w:color w:val="auto"/>
          <w:szCs w:val="21"/>
          <w:highlight w:val="none"/>
        </w:rPr>
        <w:t>供应商质疑实行实名制，其质疑应当有具体的质疑事项及事实根据，质疑应当坚持依法依规、诚实信用原则，不得进行虚假、恶意质疑。</w:t>
      </w:r>
    </w:p>
    <w:p w14:paraId="052324A6">
      <w:pPr>
        <w:wordWrap w:val="0"/>
        <w:spacing w:line="360" w:lineRule="auto"/>
        <w:ind w:firstLine="422" w:firstLineChars="200"/>
        <w:rPr>
          <w:rFonts w:ascii="宋体" w:hAnsi="宋体" w:cs="宋体"/>
          <w:bCs/>
          <w:color w:val="auto"/>
          <w:highlight w:val="none"/>
        </w:rPr>
      </w:pPr>
      <w:r>
        <w:rPr>
          <w:rFonts w:hint="eastAsia" w:ascii="宋体" w:hAnsi="宋体" w:cs="宋体"/>
          <w:b/>
          <w:bCs/>
          <w:color w:val="auto"/>
          <w:highlight w:val="none"/>
        </w:rPr>
        <w:t>38.2.3</w:t>
      </w:r>
      <w:r>
        <w:rPr>
          <w:rFonts w:hint="eastAsia" w:ascii="宋体" w:hAnsi="宋体" w:cs="宋体"/>
          <w:bCs/>
          <w:color w:val="auto"/>
          <w:highlight w:val="none"/>
        </w:rPr>
        <w:t xml:space="preserve"> 质疑供应商可以委托代理人办理质疑事务。委托代理人应熟悉相关业务情况。代理人办理质疑事务时，除提交质疑书外，还应当提交质疑供应商的授权委托书和委托代理人身份证明复印件</w:t>
      </w:r>
      <w:r>
        <w:rPr>
          <w:rFonts w:hint="eastAsia" w:ascii="宋体" w:hAnsi="宋体" w:cs="宋体"/>
          <w:color w:val="auto"/>
          <w:highlight w:val="none"/>
        </w:rPr>
        <w:t>。</w:t>
      </w:r>
    </w:p>
    <w:p w14:paraId="69E4CDD8">
      <w:pPr>
        <w:wordWrap w:val="0"/>
        <w:spacing w:line="360" w:lineRule="auto"/>
        <w:ind w:firstLine="422" w:firstLineChars="200"/>
        <w:rPr>
          <w:rFonts w:ascii="宋体" w:hAnsi="宋体" w:cs="宋体"/>
          <w:b/>
          <w:bCs/>
          <w:color w:val="auto"/>
          <w:highlight w:val="none"/>
        </w:rPr>
      </w:pPr>
      <w:r>
        <w:rPr>
          <w:rFonts w:hint="eastAsia" w:ascii="宋体" w:hAnsi="宋体" w:cs="宋体"/>
          <w:b/>
          <w:bCs/>
          <w:color w:val="auto"/>
          <w:highlight w:val="none"/>
        </w:rPr>
        <w:t>38.2.4 质疑供应商提起质疑应当符合下列条件：</w:t>
      </w:r>
    </w:p>
    <w:p w14:paraId="2E0C3143">
      <w:pPr>
        <w:wordWrap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（1）质疑供应商是参与所质疑</w:t>
      </w:r>
      <w:r>
        <w:rPr>
          <w:rFonts w:hint="eastAsia" w:ascii="宋体" w:hAnsi="宋体" w:cs="宋体"/>
          <w:bCs/>
          <w:color w:val="auto"/>
          <w:szCs w:val="21"/>
          <w:highlight w:val="none"/>
        </w:rPr>
        <w:t>项目</w:t>
      </w:r>
      <w:r>
        <w:rPr>
          <w:rFonts w:hint="eastAsia" w:ascii="宋体" w:hAnsi="宋体" w:cs="宋体"/>
          <w:bCs/>
          <w:color w:val="auto"/>
          <w:highlight w:val="none"/>
        </w:rPr>
        <w:t>采购活动的供应商（潜在供应商已依法获取可之一的采购文件的，可以对该采购文件质疑）；</w:t>
      </w:r>
    </w:p>
    <w:p w14:paraId="5BCEC1D6">
      <w:pPr>
        <w:wordWrap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（2）质疑函内容符合本章第38.2.5项的规定；</w:t>
      </w:r>
    </w:p>
    <w:p w14:paraId="0AB35647">
      <w:pPr>
        <w:wordWrap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（3）在质疑有效期限内提起质疑；</w:t>
      </w:r>
    </w:p>
    <w:p w14:paraId="18D693B5">
      <w:pPr>
        <w:wordWrap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（4）属于所质疑的采购人或采购人委托的采购代理机构组织的采购活动；</w:t>
      </w:r>
    </w:p>
    <w:p w14:paraId="0B68DDED">
      <w:pPr>
        <w:wordWrap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 xml:space="preserve">（5）同一质疑事项未经采购人或采购人委托的采购代理机构质疑处理； </w:t>
      </w:r>
    </w:p>
    <w:p w14:paraId="49E3E1E3">
      <w:pPr>
        <w:wordWrap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（6）供应商对同一采购程序环节的质疑应当在质疑有效期内一次性提出；</w:t>
      </w:r>
    </w:p>
    <w:p w14:paraId="3853040D">
      <w:pPr>
        <w:wordWrap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（7）供应商提交质疑应当提交必要的证明材料，证明材料应以合法手段取得；</w:t>
      </w:r>
    </w:p>
    <w:p w14:paraId="5D9AA799">
      <w:pPr>
        <w:wordWrap w:val="0"/>
        <w:spacing w:line="360" w:lineRule="auto"/>
        <w:ind w:firstLine="420" w:firstLineChars="200"/>
        <w:rPr>
          <w:rFonts w:ascii="宋体" w:hAnsi="宋体" w:cs="宋体"/>
          <w:color w:val="auto"/>
          <w:highlight w:val="none"/>
        </w:rPr>
      </w:pPr>
      <w:r>
        <w:rPr>
          <w:rFonts w:hint="eastAsia" w:ascii="宋体" w:hAnsi="宋体" w:cs="宋体"/>
          <w:bCs/>
          <w:color w:val="auto"/>
          <w:highlight w:val="none"/>
        </w:rPr>
        <w:t>（8）财政部门规定的其他条件。</w:t>
      </w:r>
    </w:p>
    <w:p w14:paraId="7C78CC5A">
      <w:pPr>
        <w:wordWrap w:val="0"/>
        <w:spacing w:line="360" w:lineRule="auto"/>
        <w:ind w:firstLine="420" w:firstLineChars="200"/>
        <w:rPr>
          <w:rFonts w:ascii="宋体" w:hAnsi="宋体" w:cs="宋体"/>
          <w:b/>
          <w:color w:val="auto"/>
          <w:szCs w:val="21"/>
          <w:highlight w:val="none"/>
        </w:rPr>
      </w:pPr>
      <w:bookmarkStart w:id="101" w:name="_9.2质疑、投诉应当采用书面形式，质疑函、投诉书均应明确阐述招标文件、"/>
      <w:bookmarkEnd w:id="101"/>
      <w:r>
        <w:rPr>
          <w:rFonts w:hint="eastAsia" w:ascii="宋体" w:hAnsi="宋体" w:cs="宋体"/>
          <w:color w:val="auto"/>
          <w:szCs w:val="21"/>
          <w:highlight w:val="none"/>
        </w:rPr>
        <w:t xml:space="preserve"> 38.2.5 </w:t>
      </w:r>
      <w:r>
        <w:rPr>
          <w:rFonts w:hint="eastAsia" w:ascii="宋体" w:hAnsi="宋体" w:cs="宋体"/>
          <w:bCs/>
          <w:color w:val="auto"/>
          <w:highlight w:val="none"/>
        </w:rPr>
        <w:t>供应商提出质疑应当提交质疑函和必要的证明材料，针对同一采购程序环节的质疑必须在法定质疑期内一次性提出。质疑函应当包括下列内容（质疑函格式后附）：</w:t>
      </w:r>
    </w:p>
    <w:p w14:paraId="13D04F1A">
      <w:pPr>
        <w:wordWrap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（1）供应商的姓名或者名称、地址、邮编、联系人及联系电话；</w:t>
      </w:r>
    </w:p>
    <w:p w14:paraId="651594D4">
      <w:pPr>
        <w:wordWrap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（2）质疑项目的名称、编号；</w:t>
      </w:r>
    </w:p>
    <w:p w14:paraId="44FC02D1">
      <w:pPr>
        <w:wordWrap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（3）具体、明确的质疑事项和与质疑事项相关的请求；</w:t>
      </w:r>
    </w:p>
    <w:p w14:paraId="4D7CFF6A">
      <w:pPr>
        <w:wordWrap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（4）事实依据（列明权益受到损害的事实和理由）；</w:t>
      </w:r>
    </w:p>
    <w:p w14:paraId="408A97F6">
      <w:pPr>
        <w:wordWrap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（5）必要的法律依据；</w:t>
      </w:r>
    </w:p>
    <w:p w14:paraId="79729DD9">
      <w:pPr>
        <w:wordWrap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（6）提出质疑的日期。</w:t>
      </w:r>
    </w:p>
    <w:p w14:paraId="5D9BF7E0">
      <w:pPr>
        <w:wordWrap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供应商为自然人的，应当由本人签字；供应商为法人或者其他组织的，应当由法定代表人、主要负责人，或者其委托代理人签字或者盖章，并加盖公章。</w:t>
      </w:r>
    </w:p>
    <w:p w14:paraId="24FC4AFB">
      <w:pPr>
        <w:wordWrap w:val="0"/>
        <w:spacing w:line="360" w:lineRule="auto"/>
        <w:ind w:firstLine="422" w:firstLineChars="200"/>
        <w:rPr>
          <w:rFonts w:ascii="宋体" w:hAnsi="宋体" w:cs="宋体"/>
          <w:b/>
          <w:color w:val="auto"/>
          <w:szCs w:val="20"/>
          <w:highlight w:val="none"/>
        </w:rPr>
      </w:pPr>
      <w:r>
        <w:rPr>
          <w:rFonts w:hint="eastAsia" w:ascii="宋体" w:hAnsi="宋体" w:cs="宋体"/>
          <w:b/>
          <w:color w:val="auto"/>
          <w:szCs w:val="20"/>
          <w:highlight w:val="none"/>
        </w:rPr>
        <w:t>38.2.6采购人或采购人委托的采购代理机构在收到质疑函后7个工作日内作出答复，并以书面形式通知质疑供应商及其他有关供应商。对不符合质疑条件的质疑，答复不予受理，并说明理由；对符合质疑条件的质疑，对质疑事项作出答复</w:t>
      </w:r>
    </w:p>
    <w:p w14:paraId="1DA68520">
      <w:pPr>
        <w:wordWrap w:val="0"/>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3</w:t>
      </w:r>
      <w:r>
        <w:rPr>
          <w:rFonts w:hint="eastAsia" w:ascii="宋体" w:hAnsi="宋体" w:cs="宋体"/>
          <w:bCs/>
          <w:color w:val="auto"/>
          <w:szCs w:val="21"/>
          <w:highlight w:val="none"/>
        </w:rPr>
        <w:t>8.2.7采购人、采购代理机构认为供应商质疑不成立，或者成立但未对中标结果构成影响的，继续开展采购活动；认为供应商质疑成立且影响或者可能影响中标结果的，按照下列情况处理：</w:t>
      </w:r>
    </w:p>
    <w:p w14:paraId="3CEE4E4E">
      <w:pPr>
        <w:wordWrap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　　（一）对招标文件提出的质疑，依法通过澄清或者修改可以继续开展采购活动的，澄清或者修改招标文件后继续开展采购活动；否则应当修改招标文件后重新开展采购活动。</w:t>
      </w:r>
    </w:p>
    <w:p w14:paraId="2D0CAD90">
      <w:pPr>
        <w:wordWrap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　　（二）对采购过程、中标结果提出的质疑，合格供应商符合法定数量时，可以从合格的中标候选人中另行确定中标供应商的，应当依法另行确定中标供应商；否则应当重新开展采购活动。</w:t>
      </w:r>
    </w:p>
    <w:p w14:paraId="44D83D5E">
      <w:pPr>
        <w:wordWrap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质疑答复导致中标结果改变的，采购人或者采购代理机构应当将有关情况书面报告本级财政部门。</w:t>
      </w:r>
    </w:p>
    <w:p w14:paraId="4EA8407D">
      <w:pPr>
        <w:wordWrap w:val="0"/>
        <w:spacing w:line="360" w:lineRule="auto"/>
        <w:ind w:firstLine="422" w:firstLineChars="200"/>
        <w:rPr>
          <w:rFonts w:ascii="宋体" w:hAnsi="宋体" w:cs="宋体"/>
          <w:b/>
          <w:color w:val="auto"/>
          <w:highlight w:val="none"/>
        </w:rPr>
      </w:pPr>
      <w:r>
        <w:rPr>
          <w:rFonts w:hint="eastAsia" w:ascii="宋体" w:hAnsi="宋体" w:cs="宋体"/>
          <w:b/>
          <w:color w:val="auto"/>
          <w:highlight w:val="none"/>
        </w:rPr>
        <w:t>38.3投诉</w:t>
      </w:r>
    </w:p>
    <w:p w14:paraId="58E58B38">
      <w:pPr>
        <w:wordWrap w:val="0"/>
        <w:spacing w:line="360" w:lineRule="auto"/>
        <w:ind w:firstLine="422" w:firstLineChars="200"/>
        <w:rPr>
          <w:rFonts w:ascii="宋体" w:hAnsi="宋体" w:cs="宋体"/>
          <w:bCs/>
          <w:color w:val="auto"/>
          <w:highlight w:val="none"/>
        </w:rPr>
      </w:pPr>
      <w:r>
        <w:rPr>
          <w:rFonts w:hint="eastAsia" w:ascii="宋体" w:hAnsi="宋体" w:cs="宋体"/>
          <w:b/>
          <w:color w:val="auto"/>
          <w:highlight w:val="none"/>
        </w:rPr>
        <w:t>38.3</w:t>
      </w:r>
      <w:r>
        <w:rPr>
          <w:rFonts w:hint="eastAsia" w:ascii="宋体" w:hAnsi="宋体" w:cs="宋体"/>
          <w:bCs/>
          <w:color w:val="auto"/>
          <w:highlight w:val="none"/>
        </w:rPr>
        <w:t>.</w:t>
      </w:r>
      <w:r>
        <w:rPr>
          <w:rFonts w:hint="eastAsia" w:ascii="宋体" w:hAnsi="宋体" w:cs="宋体"/>
          <w:b/>
          <w:bCs/>
          <w:color w:val="auto"/>
          <w:highlight w:val="none"/>
        </w:rPr>
        <w:t xml:space="preserve">1 </w:t>
      </w:r>
      <w:r>
        <w:rPr>
          <w:rFonts w:hint="eastAsia" w:ascii="宋体" w:hAnsi="宋体" w:cs="宋体"/>
          <w:bCs/>
          <w:color w:val="auto"/>
          <w:highlight w:val="none"/>
        </w:rPr>
        <w:t xml:space="preserve"> 供应商认为采购文件、采购过程、中标和成交结果使自己的合法权益受到损害的，应当首先依法向采购人或采购人委托的</w:t>
      </w:r>
      <w:r>
        <w:rPr>
          <w:rFonts w:hint="eastAsia" w:ascii="宋体" w:hAnsi="宋体" w:cs="宋体"/>
          <w:color w:val="auto"/>
          <w:highlight w:val="none"/>
        </w:rPr>
        <w:t>采购代理机构</w:t>
      </w:r>
      <w:r>
        <w:rPr>
          <w:rFonts w:hint="eastAsia" w:ascii="宋体" w:hAnsi="宋体" w:cs="宋体"/>
          <w:bCs/>
          <w:color w:val="auto"/>
          <w:highlight w:val="none"/>
        </w:rPr>
        <w:t>提出质疑。对采购人、</w:t>
      </w:r>
      <w:r>
        <w:rPr>
          <w:rFonts w:hint="eastAsia" w:ascii="宋体" w:hAnsi="宋体" w:cs="宋体"/>
          <w:color w:val="auto"/>
          <w:highlight w:val="none"/>
        </w:rPr>
        <w:t>采购代理机构</w:t>
      </w:r>
      <w:r>
        <w:rPr>
          <w:rFonts w:hint="eastAsia" w:ascii="宋体" w:hAnsi="宋体" w:cs="宋体"/>
          <w:bCs/>
          <w:color w:val="auto"/>
          <w:highlight w:val="none"/>
        </w:rPr>
        <w:t>的答复不满意，或者采购人、</w:t>
      </w:r>
      <w:r>
        <w:rPr>
          <w:rFonts w:hint="eastAsia" w:ascii="宋体" w:hAnsi="宋体" w:cs="宋体"/>
          <w:color w:val="auto"/>
          <w:highlight w:val="none"/>
        </w:rPr>
        <w:t>采购代理机构</w:t>
      </w:r>
      <w:r>
        <w:rPr>
          <w:rFonts w:hint="eastAsia" w:ascii="宋体" w:hAnsi="宋体" w:cs="宋体"/>
          <w:bCs/>
          <w:color w:val="auto"/>
          <w:highlight w:val="none"/>
        </w:rPr>
        <w:t>未在规定期限内做出答复的，供应商可以在答复期满后15个工作日内向南宁市政府采购监督管理部门提起投诉，投诉方式见“投标人须知前附表”。</w:t>
      </w:r>
    </w:p>
    <w:p w14:paraId="6DC9F54A">
      <w:pPr>
        <w:wordWrap w:val="0"/>
        <w:spacing w:line="360" w:lineRule="auto"/>
        <w:ind w:firstLine="422" w:firstLineChars="200"/>
        <w:rPr>
          <w:rFonts w:ascii="宋体" w:hAnsi="宋体" w:cs="宋体"/>
          <w:bCs/>
          <w:color w:val="auto"/>
          <w:highlight w:val="none"/>
        </w:rPr>
      </w:pPr>
      <w:r>
        <w:rPr>
          <w:rFonts w:hint="eastAsia" w:ascii="宋体" w:hAnsi="宋体" w:cs="宋体"/>
          <w:b/>
          <w:color w:val="auto"/>
          <w:highlight w:val="none"/>
        </w:rPr>
        <w:t xml:space="preserve">38.3.2 </w:t>
      </w:r>
      <w:r>
        <w:rPr>
          <w:rFonts w:hint="eastAsia" w:ascii="宋体" w:hAnsi="宋体" w:cs="宋体"/>
          <w:color w:val="auto"/>
          <w:highlight w:val="none"/>
        </w:rPr>
        <w:t xml:space="preserve"> 投诉人投诉时，应当提交投诉书，并按照被投诉采购人、采购代理机构和与投诉事项有关的供应商数量提供投诉书的副本。投诉书</w:t>
      </w:r>
      <w:r>
        <w:rPr>
          <w:rFonts w:hint="eastAsia" w:ascii="宋体" w:hAnsi="宋体" w:cs="宋体"/>
          <w:color w:val="auto"/>
          <w:szCs w:val="21"/>
          <w:highlight w:val="none"/>
        </w:rPr>
        <w:t>应当包括下列主要内容</w:t>
      </w:r>
      <w:r>
        <w:rPr>
          <w:rFonts w:hint="eastAsia" w:ascii="宋体" w:hAnsi="宋体" w:cs="宋体"/>
          <w:color w:val="auto"/>
          <w:highlight w:val="none"/>
        </w:rPr>
        <w:t>（如材料中有外文资料应同时附上对应的中文译本）</w:t>
      </w:r>
      <w:r>
        <w:rPr>
          <w:rFonts w:hint="eastAsia" w:ascii="宋体" w:hAnsi="宋体" w:cs="宋体"/>
          <w:bCs/>
          <w:color w:val="auto"/>
          <w:highlight w:val="none"/>
        </w:rPr>
        <w:t>（投诉书格式后附）</w:t>
      </w:r>
      <w:r>
        <w:rPr>
          <w:rFonts w:hint="eastAsia" w:ascii="宋体" w:hAnsi="宋体" w:cs="宋体"/>
          <w:color w:val="auto"/>
          <w:szCs w:val="21"/>
          <w:highlight w:val="none"/>
        </w:rPr>
        <w:t>：</w:t>
      </w:r>
    </w:p>
    <w:p w14:paraId="44BEDC3A">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（1）投诉人和被投诉人的名称、地址、邮编、联系人及联系电话等； </w:t>
      </w:r>
    </w:p>
    <w:p w14:paraId="4A5C861C">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（2）质疑和质疑答复情况及相关证明材料； </w:t>
      </w:r>
    </w:p>
    <w:p w14:paraId="28390B5A">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（3）具体、明确的投诉事项和与投诉事项相关的投诉请求；</w:t>
      </w:r>
    </w:p>
    <w:p w14:paraId="1743B14E">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（4）事实依据；</w:t>
      </w:r>
    </w:p>
    <w:p w14:paraId="65C8532A">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（5）法律依据；</w:t>
      </w:r>
    </w:p>
    <w:p w14:paraId="609F0554">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（6）提起投诉的日期。</w:t>
      </w:r>
    </w:p>
    <w:p w14:paraId="60F667C6">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（7）附件材料：营业执照副本内页复印件（要求证件有效并清晰反映企业法人经营范围；近期连续三个月依法缴纳税收和在职职工社会保障资金证明材料（复印件）。</w:t>
      </w:r>
      <w:r>
        <w:rPr>
          <w:rFonts w:hint="eastAsia" w:ascii="宋体" w:hAnsi="宋体" w:cs="宋体"/>
          <w:color w:val="auto"/>
          <w:highlight w:val="none"/>
        </w:rPr>
        <w:tab/>
      </w:r>
    </w:p>
    <w:p w14:paraId="275244C9">
      <w:pPr>
        <w:wordWrap w:val="0"/>
        <w:spacing w:line="360" w:lineRule="auto"/>
        <w:ind w:firstLine="422" w:firstLineChars="200"/>
        <w:rPr>
          <w:rFonts w:ascii="宋体" w:hAnsi="宋体" w:cs="宋体"/>
          <w:bCs/>
          <w:color w:val="auto"/>
          <w:highlight w:val="none"/>
        </w:rPr>
      </w:pPr>
      <w:r>
        <w:rPr>
          <w:rFonts w:hint="eastAsia" w:ascii="宋体" w:hAnsi="宋体" w:cs="宋体"/>
          <w:b/>
          <w:color w:val="auto"/>
          <w:highlight w:val="none"/>
        </w:rPr>
        <w:t xml:space="preserve">38.3.3  </w:t>
      </w:r>
      <w:r>
        <w:rPr>
          <w:rFonts w:hint="eastAsia" w:ascii="宋体" w:hAnsi="宋体" w:cs="宋体"/>
          <w:color w:val="auto"/>
          <w:highlight w:val="none"/>
        </w:rPr>
        <w:t>投诉人可以委托代理人办理投诉事务。</w:t>
      </w:r>
      <w:r>
        <w:rPr>
          <w:rFonts w:hint="eastAsia" w:ascii="宋体" w:hAnsi="宋体" w:cs="宋体"/>
          <w:bCs/>
          <w:color w:val="auto"/>
          <w:highlight w:val="none"/>
        </w:rPr>
        <w:t>委托代理人应熟悉相关业务情况。</w:t>
      </w:r>
      <w:r>
        <w:rPr>
          <w:rFonts w:hint="eastAsia" w:ascii="宋体" w:hAnsi="宋体" w:cs="宋体"/>
          <w:color w:val="auto"/>
          <w:highlight w:val="none"/>
        </w:rPr>
        <w:t>代理人办理投诉事务时，除提交投诉书外，还应当提交投诉人的授权委托书和委托代理人身份证明复印件。</w:t>
      </w:r>
    </w:p>
    <w:p w14:paraId="187353AF">
      <w:pPr>
        <w:wordWrap w:val="0"/>
        <w:spacing w:line="360" w:lineRule="auto"/>
        <w:ind w:firstLine="422" w:firstLineChars="200"/>
        <w:rPr>
          <w:rFonts w:ascii="宋体" w:hAnsi="宋体" w:cs="宋体"/>
          <w:color w:val="auto"/>
          <w:highlight w:val="none"/>
        </w:rPr>
      </w:pPr>
      <w:r>
        <w:rPr>
          <w:rFonts w:hint="eastAsia" w:ascii="宋体" w:hAnsi="宋体" w:cs="宋体"/>
          <w:b/>
          <w:color w:val="auto"/>
          <w:highlight w:val="none"/>
        </w:rPr>
        <w:t>38.3.4</w:t>
      </w:r>
      <w:r>
        <w:rPr>
          <w:rFonts w:hint="eastAsia" w:ascii="宋体" w:hAnsi="宋体" w:cs="宋体"/>
          <w:color w:val="auto"/>
          <w:highlight w:val="none"/>
        </w:rPr>
        <w:t xml:space="preserve">  投诉人提起投诉应当符合下列条件：</w:t>
      </w:r>
    </w:p>
    <w:p w14:paraId="663042EB">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（1）投诉人是参与所投诉政府采购活动的供应商；</w:t>
      </w:r>
    </w:p>
    <w:p w14:paraId="5D58DBBC">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（2）提起投诉前已依法进行质疑；</w:t>
      </w:r>
    </w:p>
    <w:p w14:paraId="1783E37A">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（3）投诉书内容符合本章第38.3.2项的规定；</w:t>
      </w:r>
    </w:p>
    <w:p w14:paraId="5C865930">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（4）在投诉有效期限内提起投诉；</w:t>
      </w:r>
    </w:p>
    <w:p w14:paraId="7FDC670A">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（5）属于南宁市政府采购监督管理部门管辖；</w:t>
      </w:r>
    </w:p>
    <w:p w14:paraId="4D89A525">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（6）同一投诉事项未经</w:t>
      </w:r>
      <w:r>
        <w:rPr>
          <w:rFonts w:hint="eastAsia" w:ascii="宋体" w:hAnsi="宋体" w:cs="宋体"/>
          <w:bCs/>
          <w:color w:val="auto"/>
          <w:highlight w:val="none"/>
        </w:rPr>
        <w:t>南宁市政府采购监督管理部门</w:t>
      </w:r>
      <w:r>
        <w:rPr>
          <w:rFonts w:hint="eastAsia" w:ascii="宋体" w:hAnsi="宋体" w:cs="宋体"/>
          <w:color w:val="auto"/>
          <w:highlight w:val="none"/>
        </w:rPr>
        <w:t>投诉处理；</w:t>
      </w:r>
    </w:p>
    <w:p w14:paraId="6A54DBE9">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（7）国务院财政部门规定的其他条件。</w:t>
      </w:r>
    </w:p>
    <w:p w14:paraId="6BEB1CD2">
      <w:pPr>
        <w:wordWrap w:val="0"/>
        <w:spacing w:line="360" w:lineRule="auto"/>
        <w:ind w:firstLine="422" w:firstLineChars="200"/>
        <w:rPr>
          <w:rFonts w:ascii="宋体" w:hAnsi="宋体" w:cs="宋体"/>
          <w:color w:val="auto"/>
          <w:highlight w:val="none"/>
        </w:rPr>
      </w:pPr>
      <w:r>
        <w:rPr>
          <w:rFonts w:hint="eastAsia" w:ascii="宋体" w:hAnsi="宋体" w:cs="宋体"/>
          <w:b/>
          <w:color w:val="auto"/>
          <w:highlight w:val="none"/>
        </w:rPr>
        <w:t>38.3.5</w:t>
      </w:r>
      <w:r>
        <w:rPr>
          <w:rFonts w:hint="eastAsia" w:ascii="宋体" w:hAnsi="宋体" w:cs="宋体"/>
          <w:color w:val="auto"/>
          <w:highlight w:val="none"/>
        </w:rPr>
        <w:t xml:space="preserve">  南宁市政府采购监督管理部门自受理投诉之日起30个工作日内，对投诉事项作出处理决定，并以书面形式通知投诉人、被投诉人及其他与投诉处理结果有利害关系的政府采购当事人。并将投诉结果在</w:t>
      </w:r>
      <w:r>
        <w:rPr>
          <w:rFonts w:hint="eastAsia" w:ascii="宋体" w:hAnsi="宋体" w:cs="宋体"/>
          <w:color w:val="auto"/>
          <w:kern w:val="0"/>
          <w:szCs w:val="21"/>
          <w:highlight w:val="none"/>
        </w:rPr>
        <w:t>“广西政府采购网”（http://zfcg.gxzf.gov.cn）</w:t>
      </w:r>
      <w:r>
        <w:rPr>
          <w:rFonts w:hint="eastAsia" w:ascii="宋体" w:hAnsi="宋体" w:cs="宋体"/>
          <w:color w:val="auto"/>
          <w:highlight w:val="none"/>
        </w:rPr>
        <w:t>发布。</w:t>
      </w:r>
    </w:p>
    <w:p w14:paraId="76FBE682">
      <w:pPr>
        <w:wordWrap w:val="0"/>
        <w:spacing w:line="360" w:lineRule="auto"/>
        <w:ind w:firstLine="422" w:firstLineChars="200"/>
        <w:rPr>
          <w:rFonts w:ascii="宋体" w:hAnsi="宋体" w:cs="宋体"/>
          <w:color w:val="auto"/>
          <w:highlight w:val="none"/>
        </w:rPr>
      </w:pPr>
      <w:r>
        <w:rPr>
          <w:rFonts w:hint="eastAsia" w:ascii="宋体" w:hAnsi="宋体" w:cs="宋体"/>
          <w:b/>
          <w:color w:val="auto"/>
          <w:highlight w:val="none"/>
        </w:rPr>
        <w:t>38.3.6</w:t>
      </w:r>
      <w:r>
        <w:rPr>
          <w:rFonts w:hint="eastAsia" w:ascii="宋体" w:hAnsi="宋体" w:cs="宋体"/>
          <w:color w:val="auto"/>
          <w:highlight w:val="none"/>
        </w:rPr>
        <w:t xml:space="preserve">  南宁市政府采购监督管理部门在处理投诉事项期间，可以视具体情况暂停采购活动。</w:t>
      </w:r>
    </w:p>
    <w:p w14:paraId="40149944">
      <w:pPr>
        <w:wordWrap w:val="0"/>
        <w:snapToGrid w:val="0"/>
        <w:spacing w:line="360" w:lineRule="auto"/>
        <w:ind w:left="120" w:leftChars="57" w:firstLine="482" w:firstLineChars="150"/>
        <w:jc w:val="center"/>
        <w:outlineLvl w:val="2"/>
        <w:rPr>
          <w:rFonts w:ascii="宋体" w:hAnsi="宋体" w:cs="宋体"/>
          <w:b/>
          <w:bCs/>
          <w:color w:val="auto"/>
          <w:sz w:val="32"/>
          <w:szCs w:val="32"/>
          <w:highlight w:val="none"/>
        </w:rPr>
      </w:pPr>
      <w:bookmarkStart w:id="102" w:name="_Toc29384"/>
      <w:r>
        <w:rPr>
          <w:rFonts w:hint="eastAsia" w:ascii="宋体" w:hAnsi="宋体" w:cs="宋体"/>
          <w:b/>
          <w:bCs/>
          <w:color w:val="auto"/>
          <w:sz w:val="32"/>
          <w:szCs w:val="32"/>
          <w:highlight w:val="none"/>
        </w:rPr>
        <w:t>八、验收</w:t>
      </w:r>
      <w:bookmarkEnd w:id="102"/>
    </w:p>
    <w:p w14:paraId="34F34B18">
      <w:pPr>
        <w:wordWrap w:val="0"/>
        <w:spacing w:line="360" w:lineRule="auto"/>
        <w:ind w:firstLine="422" w:firstLineChars="200"/>
        <w:rPr>
          <w:rFonts w:ascii="宋体" w:hAnsi="宋体" w:cs="宋体"/>
          <w:b/>
          <w:color w:val="auto"/>
          <w:highlight w:val="none"/>
        </w:rPr>
      </w:pPr>
      <w:r>
        <w:rPr>
          <w:rFonts w:hint="eastAsia" w:ascii="宋体" w:hAnsi="宋体" w:cs="宋体"/>
          <w:b/>
          <w:color w:val="auto"/>
          <w:highlight w:val="none"/>
        </w:rPr>
        <w:t>39.验收</w:t>
      </w:r>
    </w:p>
    <w:p w14:paraId="57C45022">
      <w:pPr>
        <w:tabs>
          <w:tab w:val="left" w:pos="0"/>
        </w:tabs>
        <w:wordWrap w:val="0"/>
        <w:spacing w:line="360" w:lineRule="auto"/>
        <w:ind w:firstLine="480"/>
        <w:rPr>
          <w:rFonts w:ascii="宋体" w:hAnsi="宋体" w:cs="宋体"/>
          <w:color w:val="auto"/>
          <w:highlight w:val="none"/>
        </w:rPr>
      </w:pPr>
      <w:r>
        <w:rPr>
          <w:rFonts w:hint="eastAsia" w:ascii="宋体" w:hAnsi="宋体" w:cs="宋体"/>
          <w:color w:val="auto"/>
          <w:highlight w:val="none"/>
        </w:rPr>
        <w:t>39.1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78F39810">
      <w:pPr>
        <w:tabs>
          <w:tab w:val="left" w:pos="0"/>
        </w:tabs>
        <w:wordWrap w:val="0"/>
        <w:spacing w:line="360" w:lineRule="auto"/>
        <w:ind w:firstLine="480"/>
        <w:rPr>
          <w:rFonts w:ascii="宋体" w:hAnsi="宋体" w:cs="宋体"/>
          <w:color w:val="auto"/>
          <w:highlight w:val="none"/>
        </w:rPr>
      </w:pPr>
      <w:r>
        <w:rPr>
          <w:rFonts w:hint="eastAsia" w:ascii="宋体" w:hAnsi="宋体" w:cs="宋体"/>
          <w:color w:val="auto"/>
          <w:highlight w:val="none"/>
        </w:rPr>
        <w:t>39.2采购人可以邀请参加本项目的其他投标人或者第三方机构参与验收。参与验收的投标人或者第三方机构的意见作为验收书的参考资料一并存档。</w:t>
      </w:r>
    </w:p>
    <w:p w14:paraId="262F73C0">
      <w:pPr>
        <w:tabs>
          <w:tab w:val="left" w:pos="0"/>
        </w:tabs>
        <w:wordWrap w:val="0"/>
        <w:spacing w:line="360" w:lineRule="auto"/>
        <w:ind w:firstLine="480"/>
        <w:rPr>
          <w:rFonts w:ascii="宋体" w:hAnsi="宋体" w:cs="宋体"/>
          <w:color w:val="auto"/>
          <w:highlight w:val="none"/>
        </w:rPr>
      </w:pPr>
      <w:r>
        <w:rPr>
          <w:rFonts w:hint="eastAsia" w:ascii="宋体" w:hAnsi="宋体" w:cs="宋体"/>
          <w:color w:val="auto"/>
          <w:highlight w:val="none"/>
        </w:rPr>
        <w:t>39.3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70473EDD">
      <w:pPr>
        <w:tabs>
          <w:tab w:val="left" w:pos="0"/>
        </w:tabs>
        <w:wordWrap w:val="0"/>
        <w:spacing w:line="360" w:lineRule="auto"/>
        <w:ind w:firstLine="480"/>
        <w:rPr>
          <w:rFonts w:ascii="宋体" w:hAnsi="宋体" w:cs="宋体"/>
          <w:color w:val="auto"/>
          <w:highlight w:val="none"/>
        </w:rPr>
      </w:pPr>
      <w:r>
        <w:rPr>
          <w:rFonts w:hint="eastAsia" w:ascii="宋体" w:hAnsi="宋体" w:cs="宋体"/>
          <w:color w:val="auto"/>
          <w:highlight w:val="none"/>
        </w:rPr>
        <w:t>39.4验收合格的项目，采购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2C90748D">
      <w:pPr>
        <w:pStyle w:val="12"/>
        <w:wordWrap w:val="0"/>
        <w:snapToGrid w:val="0"/>
        <w:spacing w:line="360" w:lineRule="auto"/>
        <w:rPr>
          <w:rFonts w:hAnsi="宋体" w:cs="宋体"/>
          <w:color w:val="auto"/>
          <w:highlight w:val="none"/>
        </w:rPr>
      </w:pPr>
    </w:p>
    <w:p w14:paraId="7FF65E36">
      <w:pPr>
        <w:pStyle w:val="4"/>
        <w:keepNext w:val="0"/>
        <w:keepLines w:val="0"/>
        <w:wordWrap w:val="0"/>
        <w:spacing w:line="360" w:lineRule="auto"/>
        <w:jc w:val="center"/>
        <w:rPr>
          <w:rFonts w:ascii="宋体" w:hAnsi="宋体" w:cs="宋体"/>
          <w:color w:val="auto"/>
          <w:highlight w:val="none"/>
        </w:rPr>
      </w:pPr>
      <w:bookmarkStart w:id="103" w:name="_八、其他事项"/>
      <w:bookmarkEnd w:id="103"/>
      <w:bookmarkStart w:id="104" w:name="_Toc21021"/>
      <w:r>
        <w:rPr>
          <w:rFonts w:hint="eastAsia" w:ascii="宋体" w:hAnsi="宋体" w:cs="宋体"/>
          <w:color w:val="auto"/>
          <w:highlight w:val="none"/>
        </w:rPr>
        <w:t>九、其他事项</w:t>
      </w:r>
      <w:bookmarkEnd w:id="104"/>
    </w:p>
    <w:p w14:paraId="6FA71214">
      <w:pPr>
        <w:wordWrap w:val="0"/>
        <w:spacing w:line="360" w:lineRule="auto"/>
        <w:ind w:firstLine="480" w:firstLineChars="200"/>
        <w:rPr>
          <w:rFonts w:ascii="宋体" w:hAnsi="宋体" w:cs="宋体"/>
          <w:color w:val="auto"/>
          <w:sz w:val="24"/>
          <w:highlight w:val="none"/>
        </w:rPr>
      </w:pPr>
      <w:bookmarkStart w:id="105" w:name="_42.代理服务费"/>
      <w:bookmarkEnd w:id="105"/>
      <w:r>
        <w:rPr>
          <w:rFonts w:hint="eastAsia" w:ascii="宋体" w:hAnsi="宋体" w:cs="宋体"/>
          <w:color w:val="auto"/>
          <w:sz w:val="24"/>
          <w:highlight w:val="none"/>
        </w:rPr>
        <w:t>40.代理服务费</w:t>
      </w:r>
    </w:p>
    <w:p w14:paraId="71D35E0F">
      <w:pPr>
        <w:wordWrap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代理服务收费标准及缴费账户详见“投标人须知前附表”，投标人为联合体的，可以由联合体中的一方或者多方共同交纳代理服务费。</w:t>
      </w:r>
    </w:p>
    <w:p w14:paraId="302165D7">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41. 需要补充的其他内容</w:t>
      </w:r>
    </w:p>
    <w:p w14:paraId="7F02B8A0">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41.1本招标文件解释规则详见“投标人须知前附表”。</w:t>
      </w:r>
    </w:p>
    <w:p w14:paraId="6AC8DEC1">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41.2 其他事项详见“投标人须知前附表”。</w:t>
      </w:r>
    </w:p>
    <w:p w14:paraId="310A9B22">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41.3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服务的人员为中小企业依照《中华人民共和国劳动合同法》订立劳动合同的从业人员，不对其中涉及的货物的制造商和工程承建商作出要求的，享受本文件规定的中小企业扶持政策。</w:t>
      </w:r>
    </w:p>
    <w:p w14:paraId="4DB4B520">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以联合体形式参加政府采购活动，联合体各方均为中小企业的，联合体视同中小企业。其中，联合体各方均为小微企业的，联合体视同小微企业。</w:t>
      </w:r>
    </w:p>
    <w:p w14:paraId="58FFDC0B">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依据本文件规定享受扶持政策获得政府采购合同的，小微企业不得将合同分包给大中型企业，中型企业不得将合同分包给大型企业。</w:t>
      </w:r>
    </w:p>
    <w:p w14:paraId="5D12962C">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42. 政采贷相关说明</w:t>
      </w:r>
    </w:p>
    <w:p w14:paraId="116CF735">
      <w:pPr>
        <w:wordWrap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为优化政府采购营商环境，缓解供应商资金难题，南宁市政府采购试行政府采购信用融资制度，中标供应商如有融资需求，可凭政府采购合同通过以下方式申请政府采购信用融资贷款：</w:t>
      </w:r>
    </w:p>
    <w:p w14:paraId="5D863186">
      <w:pPr>
        <w:numPr>
          <w:ilvl w:val="0"/>
          <w:numId w:val="2"/>
        </w:numPr>
        <w:wordWrap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线下渠道：在“南宁市公共资源交易中心”官网（网址：</w:t>
      </w:r>
      <w:r>
        <w:rPr>
          <w:color w:val="auto"/>
          <w:highlight w:val="none"/>
        </w:rPr>
        <w:fldChar w:fldCharType="begin"/>
      </w:r>
      <w:r>
        <w:rPr>
          <w:color w:val="auto"/>
          <w:highlight w:val="none"/>
        </w:rPr>
        <w:instrText xml:space="preserve"> HYPERLINK "http://www.nnggzy.org.cn）" </w:instrText>
      </w:r>
      <w:r>
        <w:rPr>
          <w:color w:val="auto"/>
          <w:highlight w:val="none"/>
        </w:rPr>
        <w:fldChar w:fldCharType="separate"/>
      </w:r>
      <w:r>
        <w:rPr>
          <w:rStyle w:val="26"/>
          <w:rFonts w:hint="eastAsia" w:ascii="宋体" w:hAnsi="宋体" w:cs="宋体"/>
          <w:color w:val="auto"/>
          <w:highlight w:val="none"/>
        </w:rPr>
        <w:t>http://www.nnggzy.org.cn）“交易信息-政府采购-政府采购信用融资”中融资银行和南宁市企业融资服务中心专栏信息申请政府采购信用融资。</w:t>
      </w:r>
      <w:r>
        <w:rPr>
          <w:rStyle w:val="26"/>
          <w:rFonts w:hint="eastAsia" w:ascii="宋体" w:hAnsi="宋体" w:cs="宋体"/>
          <w:color w:val="auto"/>
          <w:highlight w:val="none"/>
        </w:rPr>
        <w:fldChar w:fldCharType="end"/>
      </w:r>
    </w:p>
    <w:p w14:paraId="06728197">
      <w:pPr>
        <w:numPr>
          <w:ilvl w:val="0"/>
          <w:numId w:val="2"/>
        </w:numPr>
        <w:wordWrap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线上渠道：登录中征营应收账款融资服务平台（网址：https://www.crcrfsp.com，客服电话：400-009-0001），选择相关金融产品和银行业金融机构金融融资贷款。具体操作方式见《中国人民银行南宁中心支行广西壮族自治区财政厅关于推广线上“政采贷”融资模式的通知》（南宁银发〔2021〕258号）文（文件公开网址详情见：“广西政府采购网”——http://www.ccgp-guangxi.gov.cn/AdministrativeRegulations/AutonomousRegion/9830442.html）</w:t>
      </w:r>
      <w:r>
        <w:rPr>
          <w:rFonts w:hint="eastAsia" w:ascii="宋体" w:hAnsi="宋体" w:cs="宋体"/>
          <w:color w:val="auto"/>
          <w:highlight w:val="none"/>
        </w:rPr>
        <w:br w:type="page"/>
      </w:r>
      <w:bookmarkStart w:id="106" w:name="_Toc532545043"/>
    </w:p>
    <w:p w14:paraId="170487D1">
      <w:pPr>
        <w:pStyle w:val="12"/>
        <w:wordWrap w:val="0"/>
        <w:spacing w:line="360" w:lineRule="auto"/>
        <w:jc w:val="center"/>
        <w:outlineLvl w:val="0"/>
        <w:rPr>
          <w:rFonts w:hAnsi="宋体" w:cs="宋体"/>
          <w:b/>
          <w:color w:val="auto"/>
          <w:sz w:val="36"/>
          <w:highlight w:val="none"/>
        </w:rPr>
      </w:pPr>
      <w:bookmarkStart w:id="107" w:name="_Toc909"/>
      <w:r>
        <w:rPr>
          <w:rFonts w:hint="eastAsia" w:hAnsi="宋体" w:cs="宋体"/>
          <w:b/>
          <w:color w:val="auto"/>
          <w:sz w:val="36"/>
          <w:highlight w:val="none"/>
        </w:rPr>
        <w:t>第四章  评标方法</w:t>
      </w:r>
      <w:bookmarkEnd w:id="106"/>
      <w:r>
        <w:rPr>
          <w:rFonts w:hint="eastAsia" w:hAnsi="宋体" w:cs="宋体"/>
          <w:b/>
          <w:color w:val="auto"/>
          <w:sz w:val="36"/>
          <w:highlight w:val="none"/>
        </w:rPr>
        <w:t>及评分标准</w:t>
      </w:r>
      <w:bookmarkEnd w:id="107"/>
    </w:p>
    <w:p w14:paraId="2C1C0AF3">
      <w:pPr>
        <w:pStyle w:val="12"/>
        <w:wordWrap w:val="0"/>
        <w:spacing w:line="360" w:lineRule="auto"/>
        <w:jc w:val="center"/>
        <w:outlineLvl w:val="1"/>
        <w:rPr>
          <w:rFonts w:hAnsi="宋体" w:cs="宋体"/>
          <w:b/>
          <w:bCs/>
          <w:color w:val="auto"/>
          <w:sz w:val="32"/>
          <w:szCs w:val="32"/>
          <w:highlight w:val="none"/>
        </w:rPr>
      </w:pPr>
      <w:bookmarkStart w:id="108" w:name="_Toc547"/>
      <w:r>
        <w:rPr>
          <w:rFonts w:hint="eastAsia" w:hAnsi="宋体" w:cs="宋体"/>
          <w:b/>
          <w:bCs/>
          <w:color w:val="auto"/>
          <w:sz w:val="32"/>
          <w:szCs w:val="32"/>
          <w:highlight w:val="none"/>
        </w:rPr>
        <w:t>第一节 评标方法</w:t>
      </w:r>
      <w:bookmarkEnd w:id="108"/>
    </w:p>
    <w:p w14:paraId="72BC0702">
      <w:pPr>
        <w:pStyle w:val="12"/>
        <w:tabs>
          <w:tab w:val="left" w:pos="2472"/>
        </w:tabs>
        <w:wordWrap w:val="0"/>
        <w:spacing w:line="360" w:lineRule="auto"/>
        <w:ind w:firstLine="420" w:firstLineChars="200"/>
        <w:rPr>
          <w:rFonts w:hAnsi="宋体" w:cs="宋体"/>
          <w:color w:val="auto"/>
          <w:szCs w:val="21"/>
          <w:highlight w:val="none"/>
        </w:rPr>
      </w:pPr>
      <w:r>
        <w:rPr>
          <w:rFonts w:hint="eastAsia" w:hAnsi="宋体" w:cs="宋体"/>
          <w:color w:val="auto"/>
          <w:szCs w:val="21"/>
          <w:highlight w:val="none"/>
        </w:rPr>
        <w:t>本项目采用</w:t>
      </w:r>
      <w:r>
        <w:rPr>
          <w:rFonts w:hint="eastAsia" w:hAnsi="宋体" w:cs="宋体"/>
          <w:color w:val="auto"/>
          <w:szCs w:val="21"/>
          <w:highlight w:val="none"/>
          <w:u w:val="single"/>
        </w:rPr>
        <w:t xml:space="preserve"> 以下勾选的方式</w:t>
      </w:r>
      <w:r>
        <w:rPr>
          <w:rFonts w:hint="eastAsia" w:hAnsi="宋体" w:cs="宋体"/>
          <w:color w:val="auto"/>
          <w:szCs w:val="21"/>
          <w:highlight w:val="none"/>
        </w:rPr>
        <w:t>进行评审。</w:t>
      </w:r>
    </w:p>
    <w:p w14:paraId="48E40CE0">
      <w:pPr>
        <w:pStyle w:val="12"/>
        <w:wordWrap w:val="0"/>
        <w:spacing w:line="360" w:lineRule="auto"/>
        <w:ind w:firstLine="420"/>
        <w:rPr>
          <w:rFonts w:hAnsi="宋体" w:cs="宋体"/>
          <w:color w:val="auto"/>
          <w:highlight w:val="none"/>
        </w:rPr>
      </w:pPr>
      <w:r>
        <w:rPr>
          <w:rFonts w:hint="eastAsia" w:hAnsi="宋体" w:cs="宋体"/>
          <w:color w:val="auto"/>
          <w:szCs w:val="21"/>
          <w:highlight w:val="none"/>
        </w:rPr>
        <w:t>□最低评标价法，是指投标文件满足招标文件</w:t>
      </w:r>
      <w:r>
        <w:rPr>
          <w:rFonts w:hint="eastAsia" w:hAnsi="宋体" w:cs="宋体"/>
          <w:color w:val="auto"/>
          <w:highlight w:val="none"/>
        </w:rPr>
        <w:t>全部实质性要求，且投标报价最低的投标人为中标候选人的评标方法。</w:t>
      </w:r>
    </w:p>
    <w:p w14:paraId="69E5D375">
      <w:pPr>
        <w:wordWrap w:val="0"/>
        <w:autoSpaceDE w:val="0"/>
        <w:autoSpaceDN w:val="0"/>
        <w:adjustRightInd w:val="0"/>
        <w:spacing w:line="360" w:lineRule="auto"/>
        <w:ind w:firstLine="420" w:firstLineChars="200"/>
        <w:rPr>
          <w:rFonts w:ascii="宋体" w:hAnsi="宋体" w:cs="宋体"/>
          <w:color w:val="auto"/>
          <w:sz w:val="24"/>
          <w:highlight w:val="none"/>
        </w:rPr>
      </w:pPr>
      <w:r>
        <w:rPr>
          <w:rFonts w:hint="eastAsia" w:ascii="宋体" w:hAnsi="宋体" w:cs="宋体"/>
          <w:color w:val="auto"/>
          <w:szCs w:val="21"/>
          <w:highlight w:val="none"/>
        </w:rPr>
        <w:t>☑</w:t>
      </w:r>
      <w:r>
        <w:rPr>
          <w:rFonts w:hint="eastAsia" w:ascii="宋体" w:hAnsi="宋体" w:cs="宋体"/>
          <w:color w:val="auto"/>
          <w:highlight w:val="none"/>
        </w:rPr>
        <w:t>综合评分法，</w:t>
      </w:r>
      <w:r>
        <w:rPr>
          <w:rFonts w:hint="eastAsia" w:ascii="宋体" w:hAnsi="宋体" w:cs="宋体"/>
          <w:color w:val="auto"/>
          <w:szCs w:val="20"/>
          <w:highlight w:val="none"/>
        </w:rPr>
        <w:t xml:space="preserve">是指投标文件满足招标文件全部实质性要求，且按照评审因素的量化指标评审得分最高的投标人为中标候选人的评标方法。评标委员会将对各投标人的投标报价、技术和服务方案、投标人的企业实力及资质等方面进行综合评审，对实质上响应招标文件的投标人，由各评委独立记名打分。经统计，得出各投标人的综合得分,按综合得分由高到低顺序排列。若综合得分相同的，按投标报价由低到高顺序排列。若综合得分且投标报价相同的，货物类采购项目以技术性能得分较高者为先，服务类采购项目以实力信誉及业绩得分较高者为先。 </w:t>
      </w:r>
    </w:p>
    <w:p w14:paraId="42F62BAC">
      <w:pPr>
        <w:pStyle w:val="12"/>
        <w:wordWrap w:val="0"/>
        <w:spacing w:line="360" w:lineRule="auto"/>
        <w:ind w:firstLine="420"/>
        <w:rPr>
          <w:rFonts w:hAnsi="宋体" w:cs="宋体"/>
          <w:color w:val="auto"/>
          <w:highlight w:val="none"/>
        </w:rPr>
      </w:pPr>
    </w:p>
    <w:p w14:paraId="35BF8F27">
      <w:pPr>
        <w:pStyle w:val="12"/>
        <w:tabs>
          <w:tab w:val="left" w:pos="2472"/>
        </w:tabs>
        <w:wordWrap w:val="0"/>
        <w:spacing w:line="360" w:lineRule="auto"/>
        <w:jc w:val="center"/>
        <w:outlineLvl w:val="1"/>
        <w:rPr>
          <w:rFonts w:hAnsi="宋体" w:cs="宋体"/>
          <w:b/>
          <w:bCs/>
          <w:color w:val="auto"/>
          <w:sz w:val="32"/>
          <w:szCs w:val="32"/>
          <w:highlight w:val="none"/>
        </w:rPr>
      </w:pPr>
      <w:bookmarkStart w:id="109" w:name="_Toc2595"/>
      <w:r>
        <w:rPr>
          <w:rFonts w:hint="eastAsia" w:hAnsi="宋体" w:cs="宋体"/>
          <w:b/>
          <w:bCs/>
          <w:color w:val="auto"/>
          <w:sz w:val="32"/>
          <w:szCs w:val="32"/>
          <w:highlight w:val="none"/>
        </w:rPr>
        <w:t>第二节 评标程序</w:t>
      </w:r>
      <w:bookmarkEnd w:id="109"/>
    </w:p>
    <w:p w14:paraId="11D84465">
      <w:pPr>
        <w:wordWrap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1.符合性审查</w:t>
      </w:r>
    </w:p>
    <w:p w14:paraId="0CABE5DE">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评标委员会应当对符合资格的投标人的投标文件进行投标报价、商务、技术等实质性内容符合性审查，以确定其是否满足招标文件的实质性要求。</w:t>
      </w:r>
    </w:p>
    <w:p w14:paraId="68936E46">
      <w:pPr>
        <w:wordWrap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2.符合性审查不通过而导致投标无效的情形</w:t>
      </w:r>
    </w:p>
    <w:p w14:paraId="1BA606BB">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投标人的投标文件中存在对招标文件的任何实质性要求和条件的负偏离，将被视为投标无效。</w:t>
      </w:r>
    </w:p>
    <w:p w14:paraId="2A13C427">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2.1在报价评审时，如发现下列情形之一的，将被视为投标无效：</w:t>
      </w:r>
    </w:p>
    <w:p w14:paraId="3E618391">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（1）投标文件未提供“投标人须知前附表”第13.1条规定中“必须提供”的文件资料的;</w:t>
      </w:r>
    </w:p>
    <w:p w14:paraId="5449CD93">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（2）未采用人民币报价或者未按照招标文件标明的币种报价的；</w:t>
      </w:r>
    </w:p>
    <w:p w14:paraId="75DD557B">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（3）报价超出招标文件规定最高限价，或者超出采购预算金额（包括分项预算）的；</w:t>
      </w:r>
    </w:p>
    <w:p w14:paraId="46E7E0A3">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投标人未就所投分标进行报价或者存在漏项报价；投标人未就所投分标的单项内容作唯一报价；投标人未就所投分标的全部内容作唯一总价报价；存在有选择、有条件报价的（招标文件允许有备选方案或者其他约定的除外）；</w:t>
      </w:r>
    </w:p>
    <w:p w14:paraId="22363149">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（5）修正后的报价，投标人不确认的；</w:t>
      </w:r>
    </w:p>
    <w:p w14:paraId="3570778E">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（6）投标人属于本章第5条第（2）项情形的。</w:t>
      </w:r>
    </w:p>
    <w:p w14:paraId="1B0771D9">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2.2在商务评审时，如发现下列情形之一的，将被视为投标无效：</w:t>
      </w:r>
    </w:p>
    <w:p w14:paraId="7F28B5EE">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（1）投标文件未按招标文件要求签署、盖章的；</w:t>
      </w:r>
    </w:p>
    <w:p w14:paraId="3EB4749B">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（2）委托代理人未能出具有效身份证明或者出具的身份证明与授权委托书中的信息不符的； </w:t>
      </w:r>
    </w:p>
    <w:p w14:paraId="7E4ACFBC">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（3）投标文件未提供“投标人须知前附表”第13.1条规定中“必须提供”或者“委托时必须提供”的文件资料的;</w:t>
      </w:r>
    </w:p>
    <w:p w14:paraId="453D85A7">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（4）投标有效期、项目完成时间（交货时间、服务完成时间或者服务期等）、质保期、售后服务等招标文件中标“▲”的商务条款发生负偏离的；</w:t>
      </w:r>
    </w:p>
    <w:p w14:paraId="02CEE413">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（5）商务条款评审允许负偏离的条款数超过“投标人须知前附表”规定项数的。</w:t>
      </w:r>
    </w:p>
    <w:p w14:paraId="29CE4A28">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（6）投标文件的实质性内容未使用中文表述、使用计量单位不符合招标文件要求的；</w:t>
      </w:r>
    </w:p>
    <w:p w14:paraId="223DF24A">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（7）投标文件中的文件资料因填写不齐全或者内容虚假或者出现其他情形而导致被评标委员会认定无效的；</w:t>
      </w:r>
    </w:p>
    <w:p w14:paraId="2DB08936">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（8）投标文件含有采购人不能接受的附加条件的；</w:t>
      </w:r>
    </w:p>
    <w:p w14:paraId="53F9874D">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（9）未响应招标文件实质性要求的；</w:t>
      </w:r>
    </w:p>
    <w:p w14:paraId="47DE3877">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（10）属于投标人须知正文第9.2条情形的；</w:t>
      </w:r>
    </w:p>
    <w:p w14:paraId="4EEBE1BA">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（11）法律、法规和招标文件规定的其他无效情形。</w:t>
      </w:r>
    </w:p>
    <w:p w14:paraId="6EA6B5F6">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2.3在技术评审时，如发现下列情形之一的，将被视为投标无效：</w:t>
      </w:r>
    </w:p>
    <w:p w14:paraId="200CBF9D">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（1）不满足招标文件要求的服务内容、技术要求、安全、质量标准，或者与招标文件中标“▲”的技术需求发生负偏离的；</w:t>
      </w:r>
    </w:p>
    <w:p w14:paraId="627A3FD5">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（2）技术需求评审允许负偏离的条款数超过“投标人须知前附表”规定项数的；</w:t>
      </w:r>
    </w:p>
    <w:p w14:paraId="64A3DC8D">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（3）投标文件未提供“投标人须知前附表”第13.1条规定中“必须提供”的文件资料的;</w:t>
      </w:r>
    </w:p>
    <w:p w14:paraId="215E6CAD">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（4）虚假投标，或者出现其他情形而导致被评标委员会认定无效的；</w:t>
      </w:r>
    </w:p>
    <w:p w14:paraId="52E8FCB1">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（5）如招标文件需要提供技术方案的，投标技术方案不明确，招标文件未允许但存在一个或者一个以上备选（替代）投标方案的。</w:t>
      </w:r>
    </w:p>
    <w:p w14:paraId="69D590DC">
      <w:pPr>
        <w:wordWrap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3.澄清补正、说明或者补正</w:t>
      </w:r>
    </w:p>
    <w:p w14:paraId="5CF56B35">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对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单位公章后在线上传至评标委员会。投标人的澄清、说明或者补正不得超出投标文件的范围或者改变投标文件的实质性内容。投标人未在规定时间内进行澄清、说明或者补正的，按无效投标处理。</w:t>
      </w:r>
    </w:p>
    <w:p w14:paraId="39FC6EB3">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178242A5">
      <w:pPr>
        <w:wordWrap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4.投标文件修正</w:t>
      </w:r>
    </w:p>
    <w:p w14:paraId="783D9E23">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4.1投标文件报价出现前后不一致的，按照下列规定修正： </w:t>
      </w:r>
    </w:p>
    <w:p w14:paraId="41A45E24">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（1）报价文件中“开标一览表”内容与投标文件中相应内容不一致的，以“开标一览表”为准；</w:t>
      </w:r>
    </w:p>
    <w:p w14:paraId="20BDC03A">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（2）大写金额和小写金额不一致的，以大写金额为准；</w:t>
      </w:r>
    </w:p>
    <w:p w14:paraId="35E12F7E">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（3）单价金额小数点或者百分比有明显错位的，以开标一览表的总价为准，并修改单价；</w:t>
      </w:r>
    </w:p>
    <w:p w14:paraId="13C8C479">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（4）总价金额与按单价汇总金额不一致的，以单价金额计算结果为准。</w:t>
      </w:r>
    </w:p>
    <w:p w14:paraId="48A4DF2C">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同时出现两种以上不一致的，按照以上（1）-（4）规定的顺序修正。修正后的报价经投标人确认后产生约束力，投标人不确认的，其投标无效。</w:t>
      </w:r>
    </w:p>
    <w:p w14:paraId="05D8D08C">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4.2经投标人确认修正后的报价若超过采购预算金额或者最高限价，投标人的投标文件作无效投标处理。</w:t>
      </w:r>
    </w:p>
    <w:p w14:paraId="18AE2208">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4.3经投标人确认修正后的报价作为签订合同的依据，并以此报价计算价格分。</w:t>
      </w:r>
    </w:p>
    <w:p w14:paraId="598156D1">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5.比较与评价</w:t>
      </w:r>
    </w:p>
    <w:p w14:paraId="0350E9A3">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5.1评标委员会按照招标文件中规定的评标方法和评标标准，对符合性审查合格的投标文件进行商务和技术评估，综合比较与评价。</w:t>
      </w:r>
    </w:p>
    <w:p w14:paraId="5F3D7788">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5.2评标委员会独立对每个投标人的投标文件进行评价，并汇总每个投标人的得分。</w:t>
      </w:r>
    </w:p>
    <w:p w14:paraId="1FE51D5D">
      <w:pPr>
        <w:widowControl/>
        <w:numPr>
          <w:ilvl w:val="0"/>
          <w:numId w:val="3"/>
        </w:numPr>
        <w:wordWrap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14:paraId="0D3334B4">
      <w:pPr>
        <w:widowControl/>
        <w:numPr>
          <w:ilvl w:val="0"/>
          <w:numId w:val="3"/>
        </w:numPr>
        <w:wordWrap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将其作为无效投标处理。</w:t>
      </w:r>
    </w:p>
    <w:p w14:paraId="06E7F03A">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5.3评标委员会按照招标文件中规定的评标方法和标准计算各投标人的报价得分。在计算过程中，不得去掉最高报价或者最低报价。</w:t>
      </w:r>
    </w:p>
    <w:p w14:paraId="318AA529">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5.4各投标人的得分为所有评委的有效评分的算术平均数。</w:t>
      </w:r>
    </w:p>
    <w:p w14:paraId="10F4E9CB">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5.5评标委员会按照招标文件中的规定推荐中标候选人。</w:t>
      </w:r>
    </w:p>
    <w:p w14:paraId="123C5F85">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5.6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应当在评标报告上签署不同意见及理由，否则视为同意评标报告。</w:t>
      </w:r>
    </w:p>
    <w:p w14:paraId="2B0F021E">
      <w:pPr>
        <w:wordWrap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6.</w:t>
      </w:r>
      <w:r>
        <w:rPr>
          <w:rFonts w:hint="eastAsia" w:ascii="宋体" w:hAnsi="宋体" w:cs="宋体"/>
          <w:b/>
          <w:bCs/>
          <w:color w:val="auto"/>
          <w:szCs w:val="21"/>
          <w:highlight w:val="none"/>
        </w:rPr>
        <w:t>异常低价审查</w:t>
      </w:r>
    </w:p>
    <w:p w14:paraId="0FCBDDED">
      <w:pPr>
        <w:widowControl/>
        <w:snapToGri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6.1根据《关于推动解决政府采购异常低价问题的通知》(财库〔2026〕2号)规定，政府采购评审中出现异常低价下列情形之一的，评审委员会应当启动异常低价投标审查程序：</w:t>
      </w:r>
    </w:p>
    <w:p w14:paraId="6E83E85F">
      <w:pPr>
        <w:widowControl/>
        <w:snapToGri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（1）投标（响应）报价低于全部通过符合性审查供应商投标（响应）报价平均值50%的，即投标（响应）报价&lt;全部通过符合性审查供应商投标（响应）报价平均值×50%；</w:t>
      </w:r>
    </w:p>
    <w:p w14:paraId="37A74B7F">
      <w:pPr>
        <w:widowControl/>
        <w:snapToGri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（2）投标（响应）报价低于通过符合性审查的次低报价供应商投标（响应）报价50%的，即投标（响应）报价&lt;通过符合性审查的次低报价供应商投标（响应）报价×50%；</w:t>
      </w:r>
    </w:p>
    <w:p w14:paraId="1E91A24A">
      <w:pPr>
        <w:widowControl/>
        <w:snapToGri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（3）投标（响应）报价低于采购项目最高限价45%的，即投标（响应）报价&lt;采购项目最高限价×45%；</w:t>
      </w:r>
    </w:p>
    <w:p w14:paraId="2D60208F">
      <w:pPr>
        <w:widowControl/>
        <w:snapToGri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（4）评审委员会基于专业判断，认为供应商报价过低，有可能影响产品质量或者不能诚信履约的其他情形。</w:t>
      </w:r>
    </w:p>
    <w:p w14:paraId="4914817E">
      <w:pPr>
        <w:widowControl/>
        <w:snapToGri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（5）相关法律法规对供应商报价有规定的，从其规定。</w:t>
      </w:r>
    </w:p>
    <w:p w14:paraId="75D060B3">
      <w:pPr>
        <w:widowControl/>
        <w:snapToGri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6.2资料要求: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1D9A6CB3">
      <w:pPr>
        <w:widowControl/>
        <w:snapToGri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6.3审查要求：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4686477C">
      <w:pPr>
        <w:widowControl/>
        <w:snapToGri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6.4评审组织：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4F99A3D2">
      <w:pPr>
        <w:widowControl/>
        <w:snapToGri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6.5记录及归档：异常低价投标（响应）审查的启动原因、审查意见和审查结果应当在评审报告中记录，并随供应商提供的相关书面说明及证明材料，以及评审委员会有关互联网浏览、查询历史一并归档。</w:t>
      </w:r>
    </w:p>
    <w:p w14:paraId="05F46438">
      <w:pPr>
        <w:wordWrap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7.评审复核</w:t>
      </w:r>
    </w:p>
    <w:p w14:paraId="42B99D37">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7.1评标报告签署前，评标委员会要对评审结果进行复核，复核意见要体现在评标报告中。</w:t>
      </w:r>
    </w:p>
    <w:p w14:paraId="31971857">
      <w:pPr>
        <w:widowControl/>
        <w:wordWrap w:val="0"/>
        <w:spacing w:line="360" w:lineRule="auto"/>
        <w:ind w:firstLine="420" w:firstLineChars="200"/>
        <w:jc w:val="left"/>
        <w:textAlignment w:val="baseline"/>
        <w:rPr>
          <w:rFonts w:ascii="宋体" w:hAnsi="宋体" w:cs="宋体"/>
          <w:color w:val="auto"/>
          <w:highlight w:val="none"/>
        </w:rPr>
      </w:pPr>
      <w:r>
        <w:rPr>
          <w:rFonts w:hint="eastAsia" w:ascii="宋体" w:hAnsi="宋体" w:cs="宋体"/>
          <w:color w:val="auto"/>
          <w:highlight w:val="none"/>
        </w:rPr>
        <w:t>7.2评标结果汇总完成后，除下列情形外，任何人不得修改评标结果：</w:t>
      </w:r>
    </w:p>
    <w:p w14:paraId="0A434AF6">
      <w:pPr>
        <w:widowControl/>
        <w:wordWrap w:val="0"/>
        <w:spacing w:line="360" w:lineRule="auto"/>
        <w:jc w:val="left"/>
        <w:textAlignment w:val="baseline"/>
        <w:rPr>
          <w:rFonts w:ascii="宋体" w:hAnsi="宋体" w:cs="宋体"/>
          <w:color w:val="auto"/>
          <w:highlight w:val="none"/>
        </w:rPr>
      </w:pPr>
      <w:r>
        <w:rPr>
          <w:rFonts w:hint="eastAsia" w:ascii="宋体" w:hAnsi="宋体" w:cs="宋体"/>
          <w:color w:val="auto"/>
          <w:highlight w:val="none"/>
        </w:rPr>
        <w:t>　　（一）分值汇总计算错误的；</w:t>
      </w:r>
    </w:p>
    <w:p w14:paraId="280F0306">
      <w:pPr>
        <w:widowControl/>
        <w:wordWrap w:val="0"/>
        <w:spacing w:line="360" w:lineRule="auto"/>
        <w:jc w:val="left"/>
        <w:textAlignment w:val="baseline"/>
        <w:rPr>
          <w:rFonts w:ascii="宋体" w:hAnsi="宋体" w:cs="宋体"/>
          <w:color w:val="auto"/>
          <w:highlight w:val="none"/>
        </w:rPr>
      </w:pPr>
      <w:r>
        <w:rPr>
          <w:rFonts w:hint="eastAsia" w:ascii="宋体" w:hAnsi="宋体" w:cs="宋体"/>
          <w:color w:val="auto"/>
          <w:highlight w:val="none"/>
        </w:rPr>
        <w:t>　　（二）分项评分超出评分标准范围的；</w:t>
      </w:r>
    </w:p>
    <w:p w14:paraId="68508810">
      <w:pPr>
        <w:widowControl/>
        <w:wordWrap w:val="0"/>
        <w:spacing w:line="360" w:lineRule="auto"/>
        <w:jc w:val="left"/>
        <w:textAlignment w:val="baseline"/>
        <w:rPr>
          <w:rFonts w:ascii="宋体" w:hAnsi="宋体" w:cs="宋体"/>
          <w:color w:val="auto"/>
          <w:highlight w:val="none"/>
        </w:rPr>
      </w:pPr>
      <w:r>
        <w:rPr>
          <w:rFonts w:hint="eastAsia" w:ascii="宋体" w:hAnsi="宋体" w:cs="宋体"/>
          <w:color w:val="auto"/>
          <w:highlight w:val="none"/>
        </w:rPr>
        <w:t>　　（三）评标委员会成员对客观评审因素评分不一致的；</w:t>
      </w:r>
    </w:p>
    <w:p w14:paraId="090F6F59">
      <w:pPr>
        <w:widowControl/>
        <w:wordWrap w:val="0"/>
        <w:spacing w:line="360" w:lineRule="auto"/>
        <w:jc w:val="left"/>
        <w:textAlignment w:val="baseline"/>
        <w:rPr>
          <w:rFonts w:ascii="宋体" w:hAnsi="宋体" w:cs="宋体"/>
          <w:color w:val="auto"/>
          <w:highlight w:val="none"/>
        </w:rPr>
      </w:pPr>
      <w:r>
        <w:rPr>
          <w:rFonts w:hint="eastAsia" w:ascii="宋体" w:hAnsi="宋体" w:cs="宋体"/>
          <w:color w:val="auto"/>
          <w:highlight w:val="none"/>
        </w:rPr>
        <w:t>　　（四）经评标委员会认定评分畸高、畸低的。</w:t>
      </w:r>
    </w:p>
    <w:p w14:paraId="12C243FF">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74D2BA8A">
      <w:pPr>
        <w:pStyle w:val="3"/>
        <w:wordWrap w:val="0"/>
        <w:spacing w:before="0" w:after="0" w:line="360" w:lineRule="auto"/>
        <w:jc w:val="center"/>
        <w:rPr>
          <w:rFonts w:ascii="宋体" w:hAnsi="宋体" w:eastAsia="宋体" w:cs="宋体"/>
          <w:b w:val="0"/>
          <w:color w:val="auto"/>
          <w:sz w:val="30"/>
          <w:szCs w:val="30"/>
          <w:highlight w:val="none"/>
        </w:rPr>
      </w:pPr>
      <w:bookmarkStart w:id="110" w:name="_Toc29067"/>
      <w:bookmarkStart w:id="111" w:name="PO_TDCUS_ITEM_SM_TABLE_1"/>
      <w:r>
        <w:rPr>
          <w:rFonts w:hint="eastAsia" w:ascii="宋体" w:hAnsi="宋体" w:eastAsia="宋体" w:cs="宋体"/>
          <w:b w:val="0"/>
          <w:color w:val="auto"/>
          <w:sz w:val="30"/>
          <w:szCs w:val="30"/>
          <w:highlight w:val="none"/>
        </w:rPr>
        <w:t>第三节 评分标准</w:t>
      </w:r>
      <w:bookmarkEnd w:id="110"/>
    </w:p>
    <w:p w14:paraId="027E6F10">
      <w:pPr>
        <w:pStyle w:val="12"/>
        <w:widowControl/>
        <w:wordWrap w:val="0"/>
        <w:spacing w:line="360" w:lineRule="auto"/>
        <w:ind w:firstLine="602" w:firstLineChars="200"/>
        <w:jc w:val="center"/>
        <w:rPr>
          <w:rFonts w:hAnsi="宋体" w:cs="宋体"/>
          <w:b/>
          <w:color w:val="auto"/>
          <w:sz w:val="30"/>
          <w:szCs w:val="30"/>
          <w:highlight w:val="none"/>
        </w:rPr>
      </w:pPr>
      <w:r>
        <w:rPr>
          <w:rFonts w:hint="eastAsia" w:hAnsi="宋体" w:cs="宋体"/>
          <w:b/>
          <w:color w:val="auto"/>
          <w:sz w:val="30"/>
          <w:szCs w:val="30"/>
          <w:highlight w:val="none"/>
        </w:rPr>
        <w:t>二、综合评分法</w:t>
      </w:r>
    </w:p>
    <w:p w14:paraId="168F198E">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注：1.计分方法按四舍五入取至百分位。</w:t>
      </w:r>
    </w:p>
    <w:p w14:paraId="606B9BCA">
      <w:pPr>
        <w:wordWrap w:val="0"/>
        <w:spacing w:line="360" w:lineRule="auto"/>
        <w:ind w:firstLine="1050" w:firstLineChars="500"/>
        <w:rPr>
          <w:rFonts w:ascii="宋体" w:hAnsi="宋体" w:cs="宋体"/>
          <w:color w:val="auto"/>
          <w:szCs w:val="21"/>
          <w:highlight w:val="none"/>
        </w:rPr>
      </w:pPr>
      <w:r>
        <w:rPr>
          <w:rFonts w:hint="eastAsia" w:ascii="宋体" w:hAnsi="宋体" w:cs="宋体"/>
          <w:color w:val="auto"/>
          <w:szCs w:val="21"/>
          <w:highlight w:val="none"/>
        </w:rPr>
        <w:t>总得分=报价分+技术分+商务分</w:t>
      </w:r>
    </w:p>
    <w:p w14:paraId="329327F1">
      <w:pPr>
        <w:wordWrap w:val="0"/>
        <w:spacing w:line="440" w:lineRule="exact"/>
        <w:ind w:firstLine="840" w:firstLineChars="400"/>
        <w:rPr>
          <w:rFonts w:ascii="宋体" w:hAnsi="宋体" w:cs="宋体"/>
          <w:bCs/>
          <w:color w:val="auto"/>
          <w:highlight w:val="none"/>
        </w:rPr>
      </w:pPr>
      <w:r>
        <w:rPr>
          <w:rFonts w:hint="eastAsia" w:ascii="宋体" w:hAnsi="宋体" w:cs="宋体"/>
          <w:color w:val="auto"/>
          <w:szCs w:val="21"/>
          <w:highlight w:val="none"/>
        </w:rPr>
        <w:t>2.商务技术评审因素为客观评分项的，应在评分项目或评分标准中予以标注为‘客观分’。对投标人的客观评分项目，各评标专家评分应当一致。</w:t>
      </w:r>
      <w:bookmarkStart w:id="112" w:name="PO_TDCUS_ITEM_SM_TITLE_1"/>
    </w:p>
    <w:bookmarkEnd w:id="112"/>
    <w:tbl>
      <w:tblPr>
        <w:tblStyle w:val="22"/>
        <w:tblW w:w="101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1649"/>
        <w:gridCol w:w="6613"/>
        <w:gridCol w:w="1183"/>
      </w:tblGrid>
      <w:tr w14:paraId="6226C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tcBorders>
              <w:top w:val="single" w:color="auto" w:sz="4" w:space="0"/>
              <w:left w:val="single" w:color="auto" w:sz="4" w:space="0"/>
              <w:bottom w:val="single" w:color="auto" w:sz="4" w:space="0"/>
              <w:right w:val="single" w:color="auto" w:sz="4" w:space="0"/>
            </w:tcBorders>
          </w:tcPr>
          <w:p w14:paraId="7E8527A5">
            <w:pPr>
              <w:pStyle w:val="12"/>
              <w:widowControl/>
              <w:wordWrap w:val="0"/>
              <w:spacing w:line="360" w:lineRule="auto"/>
              <w:rPr>
                <w:rFonts w:hAnsi="宋体" w:cs="宋体"/>
                <w:b/>
                <w:color w:val="auto"/>
                <w:szCs w:val="21"/>
                <w:highlight w:val="none"/>
              </w:rPr>
            </w:pPr>
            <w:r>
              <w:rPr>
                <w:rFonts w:hint="eastAsia" w:hAnsi="宋体" w:cs="宋体"/>
                <w:b/>
                <w:color w:val="auto"/>
                <w:szCs w:val="21"/>
                <w:highlight w:val="none"/>
              </w:rPr>
              <w:t>序号</w:t>
            </w:r>
          </w:p>
        </w:tc>
        <w:tc>
          <w:tcPr>
            <w:tcW w:w="1649" w:type="dxa"/>
            <w:tcBorders>
              <w:top w:val="single" w:color="auto" w:sz="4" w:space="0"/>
              <w:left w:val="single" w:color="auto" w:sz="4" w:space="0"/>
              <w:bottom w:val="single" w:color="auto" w:sz="4" w:space="0"/>
              <w:right w:val="single" w:color="auto" w:sz="4" w:space="0"/>
            </w:tcBorders>
          </w:tcPr>
          <w:p w14:paraId="03BAB79B">
            <w:pPr>
              <w:pStyle w:val="12"/>
              <w:widowControl/>
              <w:wordWrap w:val="0"/>
              <w:spacing w:line="360" w:lineRule="auto"/>
              <w:jc w:val="center"/>
              <w:rPr>
                <w:rFonts w:hAnsi="宋体" w:cs="宋体"/>
                <w:b/>
                <w:color w:val="auto"/>
                <w:szCs w:val="21"/>
                <w:highlight w:val="none"/>
              </w:rPr>
            </w:pPr>
            <w:r>
              <w:rPr>
                <w:rFonts w:hint="eastAsia" w:hAnsi="宋体" w:cs="宋体"/>
                <w:b/>
                <w:color w:val="auto"/>
                <w:szCs w:val="21"/>
                <w:highlight w:val="none"/>
              </w:rPr>
              <w:t>评分类型</w:t>
            </w:r>
          </w:p>
        </w:tc>
        <w:tc>
          <w:tcPr>
            <w:tcW w:w="6613" w:type="dxa"/>
            <w:tcBorders>
              <w:top w:val="single" w:color="auto" w:sz="4" w:space="0"/>
              <w:left w:val="single" w:color="auto" w:sz="4" w:space="0"/>
              <w:bottom w:val="single" w:color="auto" w:sz="4" w:space="0"/>
              <w:right w:val="single" w:color="auto" w:sz="4" w:space="0"/>
            </w:tcBorders>
          </w:tcPr>
          <w:p w14:paraId="294AB17E">
            <w:pPr>
              <w:pStyle w:val="12"/>
              <w:widowControl/>
              <w:wordWrap w:val="0"/>
              <w:spacing w:line="360" w:lineRule="auto"/>
              <w:jc w:val="center"/>
              <w:rPr>
                <w:rFonts w:hAnsi="宋体" w:cs="宋体"/>
                <w:b/>
                <w:color w:val="auto"/>
                <w:szCs w:val="21"/>
                <w:highlight w:val="none"/>
              </w:rPr>
            </w:pPr>
            <w:r>
              <w:rPr>
                <w:rFonts w:hint="eastAsia" w:hAnsi="宋体" w:cs="宋体"/>
                <w:b/>
                <w:color w:val="auto"/>
                <w:szCs w:val="21"/>
                <w:highlight w:val="none"/>
              </w:rPr>
              <w:t>评分标准</w:t>
            </w:r>
          </w:p>
        </w:tc>
        <w:tc>
          <w:tcPr>
            <w:tcW w:w="1183" w:type="dxa"/>
            <w:tcBorders>
              <w:top w:val="single" w:color="auto" w:sz="4" w:space="0"/>
              <w:left w:val="single" w:color="auto" w:sz="4" w:space="0"/>
              <w:bottom w:val="single" w:color="auto" w:sz="4" w:space="0"/>
              <w:right w:val="single" w:color="auto" w:sz="4" w:space="0"/>
            </w:tcBorders>
          </w:tcPr>
          <w:p w14:paraId="66075BA7">
            <w:pPr>
              <w:pStyle w:val="12"/>
              <w:widowControl/>
              <w:wordWrap w:val="0"/>
              <w:spacing w:line="360" w:lineRule="auto"/>
              <w:jc w:val="center"/>
              <w:rPr>
                <w:rFonts w:hAnsi="宋体" w:cs="宋体"/>
                <w:b/>
                <w:color w:val="auto"/>
                <w:szCs w:val="21"/>
                <w:highlight w:val="none"/>
              </w:rPr>
            </w:pPr>
            <w:r>
              <w:rPr>
                <w:rFonts w:hint="eastAsia" w:hAnsi="宋体" w:cs="宋体"/>
                <w:b/>
                <w:color w:val="auto"/>
                <w:szCs w:val="21"/>
                <w:highlight w:val="none"/>
              </w:rPr>
              <w:t>分值</w:t>
            </w:r>
          </w:p>
        </w:tc>
      </w:tr>
      <w:tr w14:paraId="4F635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tcBorders>
              <w:top w:val="single" w:color="auto" w:sz="4" w:space="0"/>
              <w:left w:val="single" w:color="auto" w:sz="4" w:space="0"/>
              <w:bottom w:val="single" w:color="auto" w:sz="4" w:space="0"/>
              <w:right w:val="single" w:color="auto" w:sz="4" w:space="0"/>
            </w:tcBorders>
            <w:vAlign w:val="center"/>
          </w:tcPr>
          <w:p w14:paraId="3B82BDD2">
            <w:pPr>
              <w:pStyle w:val="12"/>
              <w:widowControl/>
              <w:wordWrap w:val="0"/>
              <w:spacing w:line="360" w:lineRule="auto"/>
              <w:jc w:val="center"/>
              <w:rPr>
                <w:rFonts w:hAnsi="宋体" w:cs="宋体"/>
                <w:bCs/>
                <w:color w:val="auto"/>
                <w:szCs w:val="21"/>
                <w:highlight w:val="none"/>
              </w:rPr>
            </w:pPr>
            <w:r>
              <w:rPr>
                <w:rFonts w:hint="eastAsia" w:hAnsi="宋体" w:cs="宋体"/>
                <w:bCs/>
                <w:color w:val="auto"/>
                <w:szCs w:val="21"/>
                <w:highlight w:val="none"/>
              </w:rPr>
              <w:t>1</w:t>
            </w:r>
          </w:p>
        </w:tc>
        <w:tc>
          <w:tcPr>
            <w:tcW w:w="1649" w:type="dxa"/>
            <w:tcBorders>
              <w:top w:val="single" w:color="auto" w:sz="4" w:space="0"/>
              <w:left w:val="single" w:color="auto" w:sz="4" w:space="0"/>
              <w:bottom w:val="single" w:color="auto" w:sz="4" w:space="0"/>
              <w:right w:val="single" w:color="auto" w:sz="4" w:space="0"/>
            </w:tcBorders>
            <w:vAlign w:val="center"/>
          </w:tcPr>
          <w:p w14:paraId="68457DEB">
            <w:pPr>
              <w:pStyle w:val="12"/>
              <w:widowControl/>
              <w:wordWrap w:val="0"/>
              <w:spacing w:line="360" w:lineRule="auto"/>
              <w:jc w:val="center"/>
              <w:rPr>
                <w:rFonts w:hAnsi="宋体" w:cs="宋体"/>
                <w:b/>
                <w:color w:val="auto"/>
                <w:szCs w:val="21"/>
                <w:highlight w:val="none"/>
              </w:rPr>
            </w:pPr>
            <w:r>
              <w:rPr>
                <w:rFonts w:hint="eastAsia" w:hAnsi="宋体" w:cs="宋体"/>
                <w:b/>
                <w:color w:val="auto"/>
                <w:szCs w:val="21"/>
                <w:highlight w:val="none"/>
              </w:rPr>
              <w:t>价格分</w:t>
            </w:r>
          </w:p>
          <w:p w14:paraId="03D6CA26">
            <w:pPr>
              <w:wordWrap w:val="0"/>
              <w:spacing w:line="360" w:lineRule="auto"/>
              <w:rPr>
                <w:rFonts w:ascii="宋体" w:hAnsi="宋体" w:cs="宋体"/>
                <w:bCs/>
                <w:color w:val="auto"/>
                <w:szCs w:val="21"/>
                <w:highlight w:val="none"/>
              </w:rPr>
            </w:pPr>
            <w:r>
              <w:rPr>
                <w:rFonts w:hint="eastAsia" w:ascii="宋体" w:hAnsi="宋体" w:cs="宋体"/>
                <w:b/>
                <w:color w:val="auto"/>
                <w:szCs w:val="21"/>
                <w:highlight w:val="none"/>
              </w:rPr>
              <w:t>（满分1</w:t>
            </w:r>
            <w:r>
              <w:rPr>
                <w:rFonts w:hint="eastAsia" w:ascii="宋体" w:hAnsi="宋体" w:cs="宋体"/>
                <w:b/>
                <w:color w:val="auto"/>
                <w:szCs w:val="21"/>
                <w:highlight w:val="none"/>
                <w:lang w:val="en-US" w:eastAsia="zh-CN"/>
              </w:rPr>
              <w:t>5</w:t>
            </w:r>
            <w:r>
              <w:rPr>
                <w:rFonts w:hint="eastAsia" w:ascii="宋体" w:hAnsi="宋体" w:cs="宋体"/>
                <w:b/>
                <w:color w:val="auto"/>
                <w:szCs w:val="21"/>
                <w:highlight w:val="none"/>
              </w:rPr>
              <w:t>分）</w:t>
            </w:r>
          </w:p>
        </w:tc>
        <w:tc>
          <w:tcPr>
            <w:tcW w:w="6613" w:type="dxa"/>
            <w:tcBorders>
              <w:top w:val="single" w:color="auto" w:sz="4" w:space="0"/>
              <w:left w:val="single" w:color="auto" w:sz="4" w:space="0"/>
              <w:bottom w:val="single" w:color="auto" w:sz="4" w:space="0"/>
              <w:right w:val="single" w:color="auto" w:sz="4" w:space="0"/>
            </w:tcBorders>
            <w:shd w:val="clear" w:color="auto" w:fill="auto"/>
            <w:vAlign w:val="center"/>
          </w:tcPr>
          <w:p w14:paraId="095351BC">
            <w:pPr>
              <w:wordWrap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（1）评标报价为投标人的投标报价进行政策性扣除后的价格，评标报价只是作为评标时使用。最终中标供应商的中标金额＝投标报价。</w:t>
            </w:r>
          </w:p>
          <w:p w14:paraId="17778028">
            <w:pPr>
              <w:wordWrap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（2）按照《政府采购促进中小企业发展管理办法》（财库〔2020〕46号）规定，投标人在其投标文件中提供《中小企业声明函》，且服务全部由小型和微型企业承接的，对其最后报价给予20%的扣除。</w:t>
            </w:r>
          </w:p>
          <w:p w14:paraId="1892545B">
            <w:pPr>
              <w:wordWrap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14:paraId="1F805981">
            <w:pPr>
              <w:wordWrap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2D49E17F">
            <w:pPr>
              <w:wordWrap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（5）政策性扣除计算方法。</w:t>
            </w:r>
          </w:p>
          <w:p w14:paraId="2AABEB61">
            <w:pPr>
              <w:wordWrap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在服务采购项目中，服务由小微企业承接；对符合上述要求的投标人的投标报价给予20%的扣除，扣除后的价格为评标报价，即评标报价=投标报价×（1-</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%的扣除，用扣除后的价格参加评审，扣除后的价格为评标价，即评标报价=投标报价×（1-</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%）。除上述情况外，评标报价＝投标报价；</w:t>
            </w:r>
          </w:p>
          <w:p w14:paraId="1BBC947C">
            <w:pPr>
              <w:wordWrap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（6）以进入综合评分环节的有效最低的评标报价为评标基准价，评标基准价报价得分为1</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分。</w:t>
            </w:r>
          </w:p>
          <w:p w14:paraId="4E2DB3C3">
            <w:pPr>
              <w:wordWrap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（7）价格分计算公式：某投标人价格分=评标基准价/某投标人评标报价金额×1</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分</w:t>
            </w:r>
          </w:p>
        </w:tc>
        <w:tc>
          <w:tcPr>
            <w:tcW w:w="1183" w:type="dxa"/>
            <w:tcBorders>
              <w:top w:val="single" w:color="auto" w:sz="4" w:space="0"/>
              <w:left w:val="single" w:color="auto" w:sz="4" w:space="0"/>
              <w:bottom w:val="single" w:color="auto" w:sz="4" w:space="0"/>
              <w:right w:val="single" w:color="auto" w:sz="4" w:space="0"/>
            </w:tcBorders>
            <w:vAlign w:val="center"/>
          </w:tcPr>
          <w:p w14:paraId="0635649C">
            <w:pPr>
              <w:pStyle w:val="12"/>
              <w:widowControl/>
              <w:wordWrap w:val="0"/>
              <w:spacing w:line="360" w:lineRule="auto"/>
              <w:jc w:val="center"/>
              <w:rPr>
                <w:rFonts w:hAnsi="宋体" w:cs="宋体"/>
                <w:bCs/>
                <w:color w:val="auto"/>
                <w:szCs w:val="21"/>
                <w:highlight w:val="none"/>
              </w:rPr>
            </w:pPr>
            <w:r>
              <w:rPr>
                <w:rFonts w:hint="eastAsia" w:hAnsi="宋体" w:cs="宋体"/>
                <w:bCs/>
                <w:color w:val="auto"/>
                <w:szCs w:val="21"/>
                <w:highlight w:val="none"/>
              </w:rPr>
              <w:t>0~1</w:t>
            </w:r>
            <w:r>
              <w:rPr>
                <w:rFonts w:hint="eastAsia" w:hAnsi="宋体" w:cs="宋体"/>
                <w:bCs/>
                <w:color w:val="auto"/>
                <w:szCs w:val="21"/>
                <w:highlight w:val="none"/>
                <w:lang w:val="en-US" w:eastAsia="zh-CN"/>
              </w:rPr>
              <w:t>5</w:t>
            </w:r>
            <w:r>
              <w:rPr>
                <w:rFonts w:hint="eastAsia" w:hAnsi="宋体" w:cs="宋体"/>
                <w:bCs/>
                <w:color w:val="auto"/>
                <w:szCs w:val="21"/>
                <w:highlight w:val="none"/>
              </w:rPr>
              <w:t>分（客观分）</w:t>
            </w:r>
          </w:p>
        </w:tc>
      </w:tr>
      <w:tr w14:paraId="4D3A1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685" w:type="dxa"/>
            <w:vMerge w:val="restart"/>
            <w:tcBorders>
              <w:top w:val="single" w:color="auto" w:sz="4" w:space="0"/>
              <w:left w:val="single" w:color="auto" w:sz="4" w:space="0"/>
              <w:right w:val="single" w:color="auto" w:sz="4" w:space="0"/>
            </w:tcBorders>
            <w:vAlign w:val="center"/>
          </w:tcPr>
          <w:p w14:paraId="1FCBD2AB">
            <w:pPr>
              <w:pStyle w:val="12"/>
              <w:widowControl/>
              <w:wordWrap w:val="0"/>
              <w:spacing w:line="360" w:lineRule="auto"/>
              <w:jc w:val="center"/>
              <w:rPr>
                <w:rFonts w:hAnsi="宋体" w:cs="宋体"/>
                <w:bCs/>
                <w:color w:val="auto"/>
                <w:szCs w:val="21"/>
                <w:highlight w:val="none"/>
              </w:rPr>
            </w:pPr>
            <w:r>
              <w:rPr>
                <w:rFonts w:hint="eastAsia" w:hAnsi="宋体" w:cs="宋体"/>
                <w:bCs/>
                <w:color w:val="auto"/>
                <w:szCs w:val="21"/>
                <w:highlight w:val="none"/>
              </w:rPr>
              <w:t>2</w:t>
            </w:r>
          </w:p>
        </w:tc>
        <w:tc>
          <w:tcPr>
            <w:tcW w:w="1649" w:type="dxa"/>
            <w:tcBorders>
              <w:top w:val="single" w:color="auto" w:sz="4" w:space="0"/>
              <w:left w:val="single" w:color="auto" w:sz="4" w:space="0"/>
              <w:bottom w:val="single" w:color="auto" w:sz="4" w:space="0"/>
              <w:right w:val="single" w:color="auto" w:sz="4" w:space="0"/>
            </w:tcBorders>
          </w:tcPr>
          <w:p w14:paraId="3BBBBC43">
            <w:pPr>
              <w:pStyle w:val="12"/>
              <w:widowControl/>
              <w:wordWrap w:val="0"/>
              <w:spacing w:line="360" w:lineRule="auto"/>
              <w:jc w:val="center"/>
              <w:rPr>
                <w:rFonts w:hint="eastAsia" w:hAnsi="宋体" w:cs="宋体"/>
                <w:b/>
                <w:color w:val="auto"/>
                <w:szCs w:val="21"/>
                <w:highlight w:val="none"/>
              </w:rPr>
            </w:pPr>
            <w:r>
              <w:rPr>
                <w:rFonts w:hint="eastAsia" w:hAnsi="宋体" w:cs="宋体"/>
                <w:b/>
                <w:color w:val="auto"/>
                <w:szCs w:val="21"/>
                <w:highlight w:val="none"/>
              </w:rPr>
              <w:t>技术分（满分</w:t>
            </w:r>
          </w:p>
          <w:p w14:paraId="3B89F59E">
            <w:pPr>
              <w:pStyle w:val="12"/>
              <w:widowControl/>
              <w:wordWrap w:val="0"/>
              <w:spacing w:line="360" w:lineRule="auto"/>
              <w:jc w:val="center"/>
              <w:rPr>
                <w:rFonts w:hAnsi="宋体" w:cs="宋体"/>
                <w:b/>
                <w:color w:val="auto"/>
                <w:szCs w:val="21"/>
                <w:highlight w:val="none"/>
              </w:rPr>
            </w:pPr>
            <w:r>
              <w:rPr>
                <w:rFonts w:hint="eastAsia" w:hAnsi="宋体" w:cs="宋体"/>
                <w:b/>
                <w:color w:val="auto"/>
                <w:szCs w:val="21"/>
                <w:highlight w:val="none"/>
                <w:lang w:val="en-US" w:eastAsia="zh-CN"/>
              </w:rPr>
              <w:t>60</w:t>
            </w:r>
            <w:r>
              <w:rPr>
                <w:rFonts w:hint="eastAsia" w:hAnsi="宋体" w:cs="宋体"/>
                <w:b/>
                <w:color w:val="auto"/>
                <w:szCs w:val="21"/>
                <w:highlight w:val="none"/>
              </w:rPr>
              <w:t>分）</w:t>
            </w:r>
          </w:p>
        </w:tc>
        <w:tc>
          <w:tcPr>
            <w:tcW w:w="6613" w:type="dxa"/>
            <w:tcBorders>
              <w:top w:val="single" w:color="auto" w:sz="4" w:space="0"/>
              <w:left w:val="single" w:color="auto" w:sz="4" w:space="0"/>
              <w:bottom w:val="single" w:color="auto" w:sz="4" w:space="0"/>
              <w:right w:val="single" w:color="auto" w:sz="4" w:space="0"/>
            </w:tcBorders>
            <w:vAlign w:val="center"/>
          </w:tcPr>
          <w:p w14:paraId="50E2DB6F">
            <w:pPr>
              <w:pStyle w:val="12"/>
              <w:widowControl/>
              <w:wordWrap w:val="0"/>
              <w:spacing w:line="360" w:lineRule="auto"/>
              <w:jc w:val="center"/>
              <w:rPr>
                <w:rFonts w:hAnsi="宋体" w:cs="宋体"/>
                <w:b/>
                <w:color w:val="auto"/>
                <w:szCs w:val="21"/>
                <w:highlight w:val="none"/>
              </w:rPr>
            </w:pPr>
            <w:r>
              <w:rPr>
                <w:rFonts w:hint="eastAsia" w:hAnsi="宋体" w:cs="宋体"/>
                <w:b/>
                <w:color w:val="auto"/>
                <w:szCs w:val="21"/>
                <w:highlight w:val="none"/>
              </w:rPr>
              <w:t>评审因素</w:t>
            </w:r>
          </w:p>
        </w:tc>
        <w:tc>
          <w:tcPr>
            <w:tcW w:w="1183" w:type="dxa"/>
            <w:tcBorders>
              <w:top w:val="single" w:color="auto" w:sz="4" w:space="0"/>
              <w:left w:val="single" w:color="auto" w:sz="4" w:space="0"/>
              <w:bottom w:val="single" w:color="auto" w:sz="4" w:space="0"/>
              <w:right w:val="single" w:color="auto" w:sz="4" w:space="0"/>
            </w:tcBorders>
            <w:vAlign w:val="center"/>
          </w:tcPr>
          <w:p w14:paraId="1D6FAFA3">
            <w:pPr>
              <w:pStyle w:val="12"/>
              <w:widowControl/>
              <w:wordWrap w:val="0"/>
              <w:spacing w:line="360" w:lineRule="auto"/>
              <w:jc w:val="center"/>
              <w:rPr>
                <w:rFonts w:hAnsi="宋体" w:cs="宋体"/>
                <w:b/>
                <w:color w:val="auto"/>
                <w:szCs w:val="21"/>
                <w:highlight w:val="none"/>
              </w:rPr>
            </w:pPr>
            <w:r>
              <w:rPr>
                <w:rFonts w:hint="eastAsia" w:hAnsi="宋体" w:cs="宋体"/>
                <w:b/>
                <w:color w:val="auto"/>
                <w:szCs w:val="21"/>
                <w:highlight w:val="none"/>
              </w:rPr>
              <w:t>分值</w:t>
            </w:r>
          </w:p>
        </w:tc>
      </w:tr>
      <w:tr w14:paraId="0F8C3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685" w:type="dxa"/>
            <w:vMerge w:val="continue"/>
            <w:tcBorders>
              <w:left w:val="single" w:color="auto" w:sz="4" w:space="0"/>
              <w:right w:val="single" w:color="auto" w:sz="4" w:space="0"/>
            </w:tcBorders>
          </w:tcPr>
          <w:p w14:paraId="0DDF8EB3">
            <w:pPr>
              <w:pStyle w:val="12"/>
              <w:widowControl/>
              <w:wordWrap w:val="0"/>
              <w:spacing w:line="360" w:lineRule="auto"/>
              <w:rPr>
                <w:rFonts w:hAnsi="宋体" w:cs="宋体"/>
                <w:bCs/>
                <w:color w:val="auto"/>
                <w:szCs w:val="21"/>
                <w:highlight w:val="none"/>
              </w:rPr>
            </w:pPr>
          </w:p>
        </w:tc>
        <w:tc>
          <w:tcPr>
            <w:tcW w:w="1649" w:type="dxa"/>
            <w:tcBorders>
              <w:top w:val="single" w:color="auto" w:sz="4" w:space="0"/>
              <w:left w:val="single" w:color="auto" w:sz="4" w:space="0"/>
              <w:bottom w:val="single" w:color="auto" w:sz="4" w:space="0"/>
              <w:right w:val="single" w:color="auto" w:sz="4" w:space="0"/>
            </w:tcBorders>
            <w:vAlign w:val="center"/>
          </w:tcPr>
          <w:p w14:paraId="7A88F8F1">
            <w:pPr>
              <w:pStyle w:val="12"/>
              <w:widowControl/>
              <w:wordWrap w:val="0"/>
              <w:spacing w:line="360" w:lineRule="auto"/>
              <w:jc w:val="left"/>
              <w:rPr>
                <w:rFonts w:hAnsi="宋体" w:cs="宋体"/>
                <w:color w:val="auto"/>
                <w:szCs w:val="21"/>
                <w:highlight w:val="none"/>
              </w:rPr>
            </w:pPr>
            <w:r>
              <w:rPr>
                <w:rFonts w:hint="eastAsia" w:hAnsi="宋体" w:cs="宋体"/>
                <w:b/>
                <w:bCs/>
                <w:color w:val="auto"/>
                <w:kern w:val="0"/>
                <w:szCs w:val="21"/>
                <w:highlight w:val="none"/>
              </w:rPr>
              <w:t>（1）</w:t>
            </w:r>
            <w:r>
              <w:rPr>
                <w:rFonts w:hint="eastAsia" w:hAnsi="宋体" w:cs="宋体"/>
                <w:b/>
                <w:bCs/>
                <w:color w:val="auto"/>
                <w:szCs w:val="21"/>
                <w:highlight w:val="none"/>
              </w:rPr>
              <w:t>运维方案分</w:t>
            </w:r>
            <w:r>
              <w:rPr>
                <w:rFonts w:hint="eastAsia" w:hAnsi="宋体" w:cs="宋体"/>
                <w:b/>
                <w:bCs/>
                <w:color w:val="auto"/>
                <w:szCs w:val="21"/>
                <w:highlight w:val="none"/>
                <w:lang w:eastAsia="zh-CN"/>
              </w:rPr>
              <w:t>（</w:t>
            </w:r>
            <w:r>
              <w:rPr>
                <w:rFonts w:hint="eastAsia" w:hAnsi="宋体" w:cs="宋体"/>
                <w:b/>
                <w:bCs/>
                <w:color w:val="auto"/>
                <w:szCs w:val="21"/>
                <w:highlight w:val="none"/>
              </w:rPr>
              <w:t>满分</w:t>
            </w:r>
            <w:r>
              <w:rPr>
                <w:rFonts w:hint="eastAsia" w:hAnsi="宋体" w:cs="宋体"/>
                <w:b/>
                <w:bCs/>
                <w:color w:val="auto"/>
                <w:szCs w:val="21"/>
                <w:highlight w:val="none"/>
                <w:lang w:val="en-US" w:eastAsia="zh-CN"/>
              </w:rPr>
              <w:t>30</w:t>
            </w:r>
            <w:r>
              <w:rPr>
                <w:rFonts w:hint="eastAsia" w:hAnsi="宋体" w:cs="宋体"/>
                <w:b/>
                <w:bCs/>
                <w:color w:val="auto"/>
                <w:szCs w:val="21"/>
                <w:highlight w:val="none"/>
              </w:rPr>
              <w:t>分）</w:t>
            </w:r>
          </w:p>
        </w:tc>
        <w:tc>
          <w:tcPr>
            <w:tcW w:w="6613" w:type="dxa"/>
            <w:tcBorders>
              <w:top w:val="single" w:color="auto" w:sz="4" w:space="0"/>
              <w:left w:val="single" w:color="auto" w:sz="4" w:space="0"/>
              <w:bottom w:val="single" w:color="auto" w:sz="4" w:space="0"/>
              <w:right w:val="single" w:color="auto" w:sz="4" w:space="0"/>
            </w:tcBorders>
            <w:shd w:val="clear" w:color="auto" w:fill="auto"/>
          </w:tcPr>
          <w:p w14:paraId="5EB23EBA">
            <w:pPr>
              <w:pStyle w:val="8"/>
              <w:wordWrap w:val="0"/>
              <w:spacing w:line="360" w:lineRule="auto"/>
              <w:ind w:firstLine="210" w:firstLineChars="100"/>
              <w:rPr>
                <w:rFonts w:hint="eastAsia" w:ascii="宋体" w:hAnsi="宋体" w:cs="宋体"/>
                <w:color w:val="auto"/>
                <w:szCs w:val="21"/>
                <w:highlight w:val="none"/>
                <w:lang w:val="zh-CN"/>
              </w:rPr>
            </w:pPr>
            <w:r>
              <w:rPr>
                <w:rFonts w:hint="eastAsia" w:ascii="宋体" w:hAnsi="宋体" w:cs="宋体"/>
                <w:color w:val="auto"/>
                <w:szCs w:val="21"/>
                <w:highlight w:val="none"/>
                <w:lang w:val="zh-CN"/>
              </w:rPr>
              <w:t>一档（10分）：运维方案满足</w:t>
            </w:r>
            <w:r>
              <w:rPr>
                <w:rFonts w:hint="eastAsia" w:ascii="宋体" w:hAnsi="宋体" w:cs="宋体"/>
                <w:color w:val="auto"/>
                <w:szCs w:val="21"/>
                <w:highlight w:val="none"/>
                <w:lang w:val="en-US" w:eastAsia="zh-CN"/>
              </w:rPr>
              <w:t>招标</w:t>
            </w:r>
            <w:r>
              <w:rPr>
                <w:rFonts w:hint="eastAsia" w:ascii="宋体" w:hAnsi="宋体" w:cs="宋体"/>
                <w:color w:val="auto"/>
                <w:szCs w:val="21"/>
                <w:highlight w:val="none"/>
                <w:lang w:val="zh-CN"/>
              </w:rPr>
              <w:t>文件要求的，基本阐述清楚运维方法及保障措施，内容合理可行。</w:t>
            </w:r>
          </w:p>
          <w:p w14:paraId="697FFACA">
            <w:pPr>
              <w:pStyle w:val="8"/>
              <w:wordWrap w:val="0"/>
              <w:spacing w:line="360" w:lineRule="auto"/>
              <w:ind w:firstLine="210" w:firstLineChars="100"/>
              <w:rPr>
                <w:rFonts w:hint="eastAsia" w:ascii="宋体" w:hAnsi="宋体" w:cs="宋体"/>
                <w:color w:val="auto"/>
                <w:szCs w:val="21"/>
                <w:highlight w:val="none"/>
                <w:lang w:val="zh-CN"/>
              </w:rPr>
            </w:pPr>
            <w:r>
              <w:rPr>
                <w:rFonts w:hint="eastAsia" w:ascii="宋体" w:hAnsi="宋体" w:cs="宋体"/>
                <w:color w:val="auto"/>
                <w:szCs w:val="21"/>
                <w:highlight w:val="none"/>
                <w:lang w:val="zh-CN"/>
              </w:rPr>
              <w:t>二档（20分）：运维方案满足</w:t>
            </w:r>
            <w:r>
              <w:rPr>
                <w:rFonts w:hint="eastAsia" w:ascii="宋体" w:hAnsi="宋体" w:cs="宋体"/>
                <w:color w:val="auto"/>
                <w:szCs w:val="21"/>
                <w:highlight w:val="none"/>
                <w:lang w:val="en-US" w:eastAsia="zh-CN"/>
              </w:rPr>
              <w:t>招标</w:t>
            </w:r>
            <w:r>
              <w:rPr>
                <w:rFonts w:hint="eastAsia" w:ascii="宋体" w:hAnsi="宋体" w:cs="宋体"/>
                <w:color w:val="auto"/>
                <w:szCs w:val="21"/>
                <w:highlight w:val="none"/>
                <w:lang w:val="zh-CN"/>
              </w:rPr>
              <w:t>文件要求的，较为详细地阐述清楚运维方法及保障措施，在一档的基础上，提供故障处理流程、维护保障流程、应急保障方案及组织架构，以保证系统正常运行；</w:t>
            </w:r>
          </w:p>
          <w:p w14:paraId="76BDAA50">
            <w:pPr>
              <w:pStyle w:val="8"/>
              <w:wordWrap w:val="0"/>
              <w:spacing w:line="360" w:lineRule="auto"/>
              <w:ind w:firstLine="210" w:firstLineChars="100"/>
              <w:rPr>
                <w:rFonts w:ascii="宋体" w:hAnsi="宋体" w:cs="宋体"/>
                <w:color w:val="auto"/>
                <w:szCs w:val="21"/>
                <w:highlight w:val="none"/>
                <w:lang w:val="zh-CN"/>
              </w:rPr>
            </w:pPr>
            <w:r>
              <w:rPr>
                <w:rFonts w:hint="eastAsia" w:ascii="宋体" w:hAnsi="宋体" w:cs="宋体"/>
                <w:color w:val="auto"/>
                <w:szCs w:val="21"/>
                <w:highlight w:val="none"/>
                <w:lang w:val="zh-CN"/>
              </w:rPr>
              <w:t>三档（30分）：运维方案满足</w:t>
            </w:r>
            <w:r>
              <w:rPr>
                <w:rFonts w:hint="eastAsia" w:ascii="宋体" w:hAnsi="宋体" w:cs="宋体"/>
                <w:color w:val="auto"/>
                <w:szCs w:val="21"/>
                <w:highlight w:val="none"/>
                <w:lang w:val="en-US" w:eastAsia="zh-CN"/>
              </w:rPr>
              <w:t>招标</w:t>
            </w:r>
            <w:r>
              <w:rPr>
                <w:rFonts w:hint="eastAsia" w:ascii="宋体" w:hAnsi="宋体" w:cs="宋体"/>
                <w:color w:val="auto"/>
                <w:szCs w:val="21"/>
                <w:highlight w:val="none"/>
                <w:lang w:val="zh-CN"/>
              </w:rPr>
              <w:t>文件要求的，在二档的基础上，完整详细地阐述清楚运维方法及保障措施，有详细系统架构图、功能流程图，提供技术方案，方案包括了对系统的操作方式、数据安全保密措施等，方法科学合理，措施可行性高，内容详细，实用性强，能够提出有针对性解决运维管理难点的建议。</w:t>
            </w:r>
          </w:p>
          <w:p w14:paraId="2FC2D3E2">
            <w:pPr>
              <w:pStyle w:val="8"/>
              <w:wordWrap w:val="0"/>
              <w:spacing w:line="360" w:lineRule="auto"/>
              <w:ind w:firstLine="211" w:firstLineChars="100"/>
              <w:rPr>
                <w:rFonts w:ascii="宋体" w:hAnsi="宋体" w:cs="宋体"/>
                <w:b/>
                <w:color w:val="auto"/>
                <w:szCs w:val="21"/>
                <w:highlight w:val="none"/>
                <w:lang w:val="zh-CN"/>
              </w:rPr>
            </w:pPr>
            <w:r>
              <w:rPr>
                <w:rFonts w:hint="eastAsia" w:ascii="宋体" w:hAnsi="宋体" w:cs="宋体"/>
                <w:b/>
                <w:color w:val="auto"/>
                <w:szCs w:val="21"/>
                <w:highlight w:val="none"/>
                <w:lang w:val="zh-CN"/>
              </w:rPr>
              <w:t>注：未提供或不满足最低入档条件的按不入档计</w:t>
            </w:r>
            <w:r>
              <w:rPr>
                <w:rFonts w:ascii="宋体" w:hAnsi="宋体" w:cs="宋体"/>
                <w:b/>
                <w:color w:val="auto"/>
                <w:szCs w:val="21"/>
                <w:highlight w:val="none"/>
                <w:lang w:val="zh-CN"/>
              </w:rPr>
              <w:t>0分。</w:t>
            </w:r>
          </w:p>
        </w:tc>
        <w:tc>
          <w:tcPr>
            <w:tcW w:w="1183" w:type="dxa"/>
            <w:tcBorders>
              <w:top w:val="single" w:color="auto" w:sz="4" w:space="0"/>
              <w:left w:val="single" w:color="auto" w:sz="4" w:space="0"/>
              <w:bottom w:val="single" w:color="auto" w:sz="4" w:space="0"/>
              <w:right w:val="single" w:color="auto" w:sz="4" w:space="0"/>
            </w:tcBorders>
            <w:vAlign w:val="center"/>
          </w:tcPr>
          <w:p w14:paraId="1BB3FF83">
            <w:pPr>
              <w:wordWrap w:val="0"/>
              <w:spacing w:line="360" w:lineRule="auto"/>
              <w:jc w:val="center"/>
              <w:rPr>
                <w:rFonts w:ascii="宋体" w:hAnsi="宋体" w:cs="宋体"/>
                <w:bCs/>
                <w:color w:val="auto"/>
                <w:kern w:val="0"/>
                <w:szCs w:val="21"/>
                <w:highlight w:val="none"/>
              </w:rPr>
            </w:pPr>
            <w:r>
              <w:rPr>
                <w:rFonts w:hint="eastAsia" w:ascii="宋体" w:hAnsi="宋体" w:cs="宋体"/>
                <w:color w:val="auto"/>
                <w:kern w:val="0"/>
                <w:szCs w:val="21"/>
                <w:highlight w:val="none"/>
              </w:rPr>
              <w:t>0~</w:t>
            </w:r>
            <w:r>
              <w:rPr>
                <w:rFonts w:hint="eastAsia" w:ascii="宋体" w:hAnsi="宋体" w:cs="宋体"/>
                <w:color w:val="auto"/>
                <w:kern w:val="0"/>
                <w:szCs w:val="21"/>
                <w:highlight w:val="none"/>
                <w:lang w:val="en-US" w:eastAsia="zh-CN"/>
              </w:rPr>
              <w:t>30</w:t>
            </w:r>
            <w:r>
              <w:rPr>
                <w:rFonts w:hint="eastAsia" w:ascii="宋体" w:hAnsi="宋体" w:cs="宋体"/>
                <w:color w:val="auto"/>
                <w:kern w:val="0"/>
                <w:szCs w:val="21"/>
                <w:highlight w:val="none"/>
              </w:rPr>
              <w:t>分</w:t>
            </w:r>
          </w:p>
        </w:tc>
      </w:tr>
      <w:tr w14:paraId="5295D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685" w:type="dxa"/>
            <w:vMerge w:val="continue"/>
            <w:tcBorders>
              <w:left w:val="single" w:color="auto" w:sz="4" w:space="0"/>
              <w:right w:val="single" w:color="auto" w:sz="4" w:space="0"/>
            </w:tcBorders>
          </w:tcPr>
          <w:p w14:paraId="1EE08E0F">
            <w:pPr>
              <w:pStyle w:val="12"/>
              <w:widowControl/>
              <w:wordWrap w:val="0"/>
              <w:spacing w:line="360" w:lineRule="auto"/>
              <w:rPr>
                <w:rFonts w:hAnsi="宋体" w:cs="宋体"/>
                <w:bCs/>
                <w:color w:val="auto"/>
                <w:szCs w:val="21"/>
                <w:highlight w:val="none"/>
              </w:rPr>
            </w:pPr>
          </w:p>
        </w:tc>
        <w:tc>
          <w:tcPr>
            <w:tcW w:w="1649" w:type="dxa"/>
            <w:tcBorders>
              <w:top w:val="single" w:color="auto" w:sz="4" w:space="0"/>
              <w:left w:val="single" w:color="auto" w:sz="4" w:space="0"/>
              <w:bottom w:val="single" w:color="auto" w:sz="4" w:space="0"/>
              <w:right w:val="single" w:color="auto" w:sz="4" w:space="0"/>
            </w:tcBorders>
            <w:vAlign w:val="center"/>
          </w:tcPr>
          <w:p w14:paraId="40D4BE3A">
            <w:pPr>
              <w:pStyle w:val="12"/>
              <w:widowControl/>
              <w:wordWrap w:val="0"/>
              <w:spacing w:line="360" w:lineRule="auto"/>
              <w:jc w:val="left"/>
              <w:rPr>
                <w:rFonts w:hint="eastAsia" w:hAnsi="宋体" w:cs="宋体"/>
                <w:b/>
                <w:bCs/>
                <w:color w:val="auto"/>
                <w:szCs w:val="21"/>
                <w:highlight w:val="none"/>
              </w:rPr>
            </w:pPr>
            <w:r>
              <w:rPr>
                <w:rFonts w:hint="eastAsia" w:hAnsi="宋体" w:cs="宋体"/>
                <w:b/>
                <w:bCs/>
                <w:color w:val="auto"/>
                <w:szCs w:val="21"/>
                <w:highlight w:val="none"/>
              </w:rPr>
              <w:t>（2）售后服务方案分（满分</w:t>
            </w:r>
          </w:p>
          <w:p w14:paraId="4152866E">
            <w:pPr>
              <w:pStyle w:val="12"/>
              <w:widowControl/>
              <w:wordWrap w:val="0"/>
              <w:spacing w:line="360" w:lineRule="auto"/>
              <w:jc w:val="left"/>
              <w:rPr>
                <w:rFonts w:hAnsi="宋体" w:cs="宋体"/>
                <w:bCs/>
                <w:color w:val="auto"/>
                <w:kern w:val="0"/>
                <w:szCs w:val="21"/>
                <w:highlight w:val="none"/>
              </w:rPr>
            </w:pPr>
            <w:r>
              <w:rPr>
                <w:rFonts w:hint="eastAsia" w:hAnsi="宋体" w:cs="宋体"/>
                <w:b/>
                <w:bCs/>
                <w:color w:val="auto"/>
                <w:szCs w:val="21"/>
                <w:highlight w:val="none"/>
                <w:lang w:val="en-US" w:eastAsia="zh-CN"/>
              </w:rPr>
              <w:t>1</w:t>
            </w:r>
            <w:r>
              <w:rPr>
                <w:rFonts w:hint="eastAsia" w:hAnsi="宋体" w:cs="宋体"/>
                <w:b/>
                <w:bCs/>
                <w:color w:val="auto"/>
                <w:szCs w:val="21"/>
                <w:highlight w:val="none"/>
              </w:rPr>
              <w:t>0分）</w:t>
            </w:r>
          </w:p>
        </w:tc>
        <w:tc>
          <w:tcPr>
            <w:tcW w:w="6613" w:type="dxa"/>
            <w:tcBorders>
              <w:top w:val="single" w:color="auto" w:sz="4" w:space="0"/>
              <w:left w:val="single" w:color="auto" w:sz="4" w:space="0"/>
              <w:bottom w:val="single" w:color="auto" w:sz="4" w:space="0"/>
              <w:right w:val="single" w:color="auto" w:sz="4" w:space="0"/>
            </w:tcBorders>
            <w:shd w:val="clear" w:color="auto" w:fill="auto"/>
          </w:tcPr>
          <w:p w14:paraId="7417D469">
            <w:pPr>
              <w:pStyle w:val="8"/>
              <w:spacing w:line="360" w:lineRule="auto"/>
              <w:rPr>
                <w:rFonts w:hint="eastAsia" w:ascii="宋体" w:hAnsi="宋体" w:cs="宋体"/>
                <w:color w:val="auto"/>
                <w:szCs w:val="21"/>
                <w:highlight w:val="none"/>
              </w:rPr>
            </w:pPr>
            <w:r>
              <w:rPr>
                <w:rFonts w:hint="eastAsia" w:ascii="宋体" w:hAnsi="宋体" w:cs="宋体"/>
                <w:color w:val="auto"/>
                <w:szCs w:val="21"/>
                <w:highlight w:val="none"/>
              </w:rPr>
              <w:t>一档（3分）：售后服务方案基本满足</w:t>
            </w:r>
            <w:r>
              <w:rPr>
                <w:rFonts w:hint="eastAsia" w:ascii="宋体" w:hAnsi="宋体" w:cs="宋体"/>
                <w:color w:val="auto"/>
                <w:szCs w:val="21"/>
                <w:highlight w:val="none"/>
                <w:lang w:val="en-US" w:eastAsia="zh-CN"/>
              </w:rPr>
              <w:t>招标</w:t>
            </w:r>
            <w:r>
              <w:rPr>
                <w:rFonts w:hint="eastAsia" w:ascii="宋体" w:hAnsi="宋体" w:cs="宋体"/>
                <w:color w:val="auto"/>
                <w:szCs w:val="21"/>
                <w:highlight w:val="none"/>
              </w:rPr>
              <w:t>文件的售后服务要求，针对本项目提供专门的售后服务支持，提供基本满足</w:t>
            </w:r>
            <w:r>
              <w:rPr>
                <w:rFonts w:hint="eastAsia" w:ascii="宋体" w:hAnsi="宋体" w:cs="宋体"/>
                <w:color w:val="auto"/>
                <w:szCs w:val="21"/>
                <w:highlight w:val="none"/>
                <w:lang w:val="en-US" w:eastAsia="zh-CN"/>
              </w:rPr>
              <w:t>招标</w:t>
            </w:r>
            <w:r>
              <w:rPr>
                <w:rFonts w:hint="eastAsia" w:ascii="宋体" w:hAnsi="宋体" w:cs="宋体"/>
                <w:color w:val="auto"/>
                <w:szCs w:val="21"/>
                <w:highlight w:val="none"/>
              </w:rPr>
              <w:t>文件售后服务要求的售后服务响应。</w:t>
            </w:r>
          </w:p>
          <w:p w14:paraId="2E76D63F">
            <w:pPr>
              <w:pStyle w:val="8"/>
              <w:spacing w:line="360" w:lineRule="auto"/>
              <w:rPr>
                <w:rFonts w:hint="eastAsia" w:ascii="宋体" w:hAnsi="宋体" w:cs="宋体"/>
                <w:color w:val="auto"/>
                <w:szCs w:val="21"/>
                <w:highlight w:val="none"/>
              </w:rPr>
            </w:pPr>
            <w:r>
              <w:rPr>
                <w:rFonts w:hint="eastAsia" w:ascii="宋体" w:hAnsi="宋体" w:cs="宋体"/>
                <w:color w:val="auto"/>
                <w:szCs w:val="21"/>
                <w:highlight w:val="none"/>
              </w:rPr>
              <w:t>二档（6分）：售后服务方案完全满足</w:t>
            </w:r>
            <w:r>
              <w:rPr>
                <w:rFonts w:hint="eastAsia" w:ascii="宋体" w:hAnsi="宋体" w:cs="宋体"/>
                <w:color w:val="auto"/>
                <w:szCs w:val="21"/>
                <w:highlight w:val="none"/>
                <w:lang w:val="en-US" w:eastAsia="zh-CN"/>
              </w:rPr>
              <w:t>招标</w:t>
            </w:r>
            <w:r>
              <w:rPr>
                <w:rFonts w:hint="eastAsia" w:ascii="宋体" w:hAnsi="宋体" w:cs="宋体"/>
                <w:color w:val="auto"/>
                <w:szCs w:val="21"/>
                <w:highlight w:val="none"/>
              </w:rPr>
              <w:t>文件的售后服务要求，针对本项目提供专门的售后服务支持，能提供本地化服务，提供基本满足</w:t>
            </w:r>
            <w:r>
              <w:rPr>
                <w:rFonts w:hint="eastAsia" w:ascii="宋体" w:hAnsi="宋体" w:cs="宋体"/>
                <w:color w:val="auto"/>
                <w:szCs w:val="21"/>
                <w:highlight w:val="none"/>
                <w:lang w:val="en-US" w:eastAsia="zh-CN"/>
              </w:rPr>
              <w:t>招标</w:t>
            </w:r>
            <w:r>
              <w:rPr>
                <w:rFonts w:hint="eastAsia" w:ascii="宋体" w:hAnsi="宋体" w:cs="宋体"/>
                <w:color w:val="auto"/>
                <w:szCs w:val="21"/>
                <w:highlight w:val="none"/>
              </w:rPr>
              <w:t>文件售后服务要求的售后服务响应。</w:t>
            </w:r>
          </w:p>
          <w:p w14:paraId="43B62D1E">
            <w:pPr>
              <w:pStyle w:val="8"/>
              <w:spacing w:line="360" w:lineRule="auto"/>
              <w:rPr>
                <w:rFonts w:hint="eastAsia" w:ascii="宋体" w:hAnsi="宋体" w:cs="宋体"/>
                <w:color w:val="auto"/>
                <w:szCs w:val="21"/>
                <w:highlight w:val="none"/>
              </w:rPr>
            </w:pPr>
            <w:r>
              <w:rPr>
                <w:rFonts w:hint="eastAsia" w:ascii="宋体" w:hAnsi="宋体" w:cs="宋体"/>
                <w:color w:val="auto"/>
                <w:szCs w:val="21"/>
                <w:highlight w:val="none"/>
              </w:rPr>
              <w:t>三档（10分）：售后服务方案完全满足</w:t>
            </w:r>
            <w:r>
              <w:rPr>
                <w:rFonts w:hint="eastAsia" w:ascii="宋体" w:hAnsi="宋体" w:cs="宋体"/>
                <w:color w:val="auto"/>
                <w:szCs w:val="21"/>
                <w:highlight w:val="none"/>
                <w:lang w:val="en-US" w:eastAsia="zh-CN"/>
              </w:rPr>
              <w:t>招标</w:t>
            </w:r>
            <w:r>
              <w:rPr>
                <w:rFonts w:hint="eastAsia" w:ascii="宋体" w:hAnsi="宋体" w:cs="宋体"/>
                <w:color w:val="auto"/>
                <w:szCs w:val="21"/>
                <w:highlight w:val="none"/>
              </w:rPr>
              <w:t>文件的售后服务要求，针对本项目提供专门的售后服务支持，能根据</w:t>
            </w:r>
            <w:r>
              <w:rPr>
                <w:rFonts w:hint="eastAsia" w:ascii="宋体" w:hAnsi="宋体" w:cs="宋体"/>
                <w:color w:val="auto"/>
                <w:szCs w:val="21"/>
                <w:highlight w:val="none"/>
                <w:lang w:val="en-US" w:eastAsia="zh-CN"/>
              </w:rPr>
              <w:t>采购人</w:t>
            </w:r>
            <w:r>
              <w:rPr>
                <w:rFonts w:hint="eastAsia" w:ascii="宋体" w:hAnsi="宋体" w:cs="宋体"/>
                <w:color w:val="auto"/>
                <w:szCs w:val="21"/>
                <w:highlight w:val="none"/>
              </w:rPr>
              <w:t>情况提供技术支持服务、定期回访服务，能提供本地化服务，在</w:t>
            </w:r>
            <w:r>
              <w:rPr>
                <w:rFonts w:hint="eastAsia" w:ascii="宋体" w:hAnsi="宋体" w:cs="宋体"/>
                <w:color w:val="auto"/>
                <w:szCs w:val="21"/>
                <w:highlight w:val="none"/>
                <w:lang w:val="en-US" w:eastAsia="zh-CN"/>
              </w:rPr>
              <w:t>项目所在地</w:t>
            </w:r>
            <w:r>
              <w:rPr>
                <w:rFonts w:hint="eastAsia" w:ascii="宋体" w:hAnsi="宋体" w:cs="宋体"/>
                <w:color w:val="auto"/>
                <w:szCs w:val="21"/>
                <w:highlight w:val="none"/>
              </w:rPr>
              <w:t>具有系统实施、系统维护、服务支持的本地技术服务人员队伍，提供优于</w:t>
            </w:r>
            <w:r>
              <w:rPr>
                <w:rFonts w:hint="eastAsia" w:ascii="宋体" w:hAnsi="宋体" w:cs="宋体"/>
                <w:color w:val="auto"/>
                <w:szCs w:val="21"/>
                <w:highlight w:val="none"/>
                <w:lang w:val="en-US" w:eastAsia="zh-CN"/>
              </w:rPr>
              <w:t>招标</w:t>
            </w:r>
            <w:r>
              <w:rPr>
                <w:rFonts w:hint="eastAsia" w:ascii="宋体" w:hAnsi="宋体" w:cs="宋体"/>
                <w:color w:val="auto"/>
                <w:szCs w:val="21"/>
                <w:highlight w:val="none"/>
              </w:rPr>
              <w:t>文件售后服务要求的服务响应时间。</w:t>
            </w:r>
          </w:p>
          <w:p w14:paraId="0549FF15">
            <w:pPr>
              <w:pStyle w:val="8"/>
              <w:spacing w:line="360" w:lineRule="auto"/>
              <w:rPr>
                <w:rFonts w:hint="eastAsia" w:ascii="宋体" w:hAnsi="宋体" w:cs="宋体"/>
                <w:color w:val="auto"/>
                <w:szCs w:val="21"/>
                <w:highlight w:val="none"/>
              </w:rPr>
            </w:pPr>
            <w:r>
              <w:rPr>
                <w:rFonts w:hint="eastAsia" w:ascii="宋体" w:hAnsi="宋体" w:cs="宋体"/>
                <w:b/>
                <w:color w:val="auto"/>
                <w:szCs w:val="21"/>
                <w:highlight w:val="none"/>
                <w:lang w:val="zh-CN"/>
              </w:rPr>
              <w:t>注：未提供或不满足最低入档条件的按不入档计</w:t>
            </w:r>
            <w:r>
              <w:rPr>
                <w:rFonts w:ascii="宋体" w:hAnsi="宋体" w:cs="宋体"/>
                <w:b/>
                <w:color w:val="auto"/>
                <w:szCs w:val="21"/>
                <w:highlight w:val="none"/>
                <w:lang w:val="zh-CN"/>
              </w:rPr>
              <w:t>0分。</w:t>
            </w:r>
          </w:p>
        </w:tc>
        <w:tc>
          <w:tcPr>
            <w:tcW w:w="1183" w:type="dxa"/>
            <w:tcBorders>
              <w:top w:val="single" w:color="auto" w:sz="4" w:space="0"/>
              <w:left w:val="single" w:color="auto" w:sz="4" w:space="0"/>
              <w:bottom w:val="single" w:color="auto" w:sz="4" w:space="0"/>
              <w:right w:val="single" w:color="auto" w:sz="4" w:space="0"/>
            </w:tcBorders>
            <w:vAlign w:val="center"/>
          </w:tcPr>
          <w:p w14:paraId="15AA4514">
            <w:pPr>
              <w:wordWrap w:val="0"/>
              <w:spacing w:line="360" w:lineRule="auto"/>
              <w:jc w:val="center"/>
              <w:rPr>
                <w:rFonts w:ascii="宋体" w:hAnsi="宋体" w:cs="宋体"/>
                <w:bCs/>
                <w:color w:val="auto"/>
                <w:szCs w:val="21"/>
                <w:highlight w:val="none"/>
              </w:rPr>
            </w:pPr>
            <w:r>
              <w:rPr>
                <w:rFonts w:hint="eastAsia" w:ascii="宋体" w:hAnsi="宋体" w:cs="宋体"/>
                <w:color w:val="auto"/>
                <w:kern w:val="0"/>
                <w:szCs w:val="21"/>
                <w:highlight w:val="none"/>
              </w:rPr>
              <w:t>0~</w:t>
            </w:r>
            <w:r>
              <w:rPr>
                <w:rFonts w:hint="eastAsia" w:ascii="宋体" w:hAnsi="宋体" w:cs="宋体"/>
                <w:color w:val="auto"/>
                <w:kern w:val="0"/>
                <w:szCs w:val="21"/>
                <w:highlight w:val="none"/>
                <w:lang w:val="en-US" w:eastAsia="zh-CN"/>
              </w:rPr>
              <w:t>1</w:t>
            </w:r>
            <w:r>
              <w:rPr>
                <w:rFonts w:hint="eastAsia" w:ascii="宋体" w:hAnsi="宋体" w:cs="宋体"/>
                <w:color w:val="auto"/>
                <w:kern w:val="0"/>
                <w:szCs w:val="21"/>
                <w:highlight w:val="none"/>
              </w:rPr>
              <w:t>0分</w:t>
            </w:r>
          </w:p>
        </w:tc>
      </w:tr>
      <w:tr w14:paraId="63CDD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5" w:hRule="atLeast"/>
        </w:trPr>
        <w:tc>
          <w:tcPr>
            <w:tcW w:w="685" w:type="dxa"/>
            <w:vMerge w:val="continue"/>
            <w:tcBorders>
              <w:left w:val="single" w:color="auto" w:sz="4" w:space="0"/>
              <w:right w:val="single" w:color="auto" w:sz="4" w:space="0"/>
            </w:tcBorders>
          </w:tcPr>
          <w:p w14:paraId="20C2ECC4">
            <w:pPr>
              <w:pStyle w:val="12"/>
              <w:widowControl/>
              <w:wordWrap w:val="0"/>
              <w:spacing w:line="360" w:lineRule="auto"/>
              <w:rPr>
                <w:rFonts w:hAnsi="宋体" w:cs="宋体"/>
                <w:bCs/>
                <w:color w:val="auto"/>
                <w:szCs w:val="21"/>
                <w:highlight w:val="none"/>
              </w:rPr>
            </w:pPr>
          </w:p>
        </w:tc>
        <w:tc>
          <w:tcPr>
            <w:tcW w:w="1649" w:type="dxa"/>
            <w:tcBorders>
              <w:top w:val="single" w:color="auto" w:sz="4" w:space="0"/>
              <w:left w:val="single" w:color="auto" w:sz="4" w:space="0"/>
              <w:bottom w:val="single" w:color="auto" w:sz="4" w:space="0"/>
              <w:right w:val="single" w:color="auto" w:sz="4" w:space="0"/>
            </w:tcBorders>
            <w:vAlign w:val="center"/>
          </w:tcPr>
          <w:p w14:paraId="500465B4">
            <w:pPr>
              <w:wordWrap w:val="0"/>
              <w:autoSpaceDE w:val="0"/>
              <w:autoSpaceDN w:val="0"/>
              <w:adjustRightInd w:val="0"/>
              <w:spacing w:line="360" w:lineRule="auto"/>
              <w:jc w:val="center"/>
              <w:rPr>
                <w:rFonts w:ascii="宋体" w:hAnsi="宋体" w:cs="宋体"/>
                <w:bCs/>
                <w:color w:val="auto"/>
                <w:kern w:val="0"/>
                <w:szCs w:val="21"/>
                <w:highlight w:val="none"/>
              </w:rPr>
            </w:pPr>
            <w:r>
              <w:rPr>
                <w:rFonts w:hint="eastAsia" w:ascii="宋体" w:hAnsi="宋体" w:cs="宋体"/>
                <w:b/>
                <w:color w:val="auto"/>
                <w:szCs w:val="21"/>
                <w:highlight w:val="none"/>
              </w:rPr>
              <w:t>（3）服务内容分（满分</w:t>
            </w:r>
            <w:r>
              <w:rPr>
                <w:rFonts w:hint="eastAsia" w:ascii="宋体" w:hAnsi="宋体" w:cs="宋体"/>
                <w:b/>
                <w:color w:val="auto"/>
                <w:szCs w:val="21"/>
                <w:highlight w:val="none"/>
                <w:lang w:val="en-US" w:eastAsia="zh-CN"/>
              </w:rPr>
              <w:t>20</w:t>
            </w:r>
            <w:r>
              <w:rPr>
                <w:rFonts w:hint="eastAsia" w:ascii="宋体" w:hAnsi="宋体" w:cs="宋体"/>
                <w:b/>
                <w:color w:val="auto"/>
                <w:szCs w:val="21"/>
                <w:highlight w:val="none"/>
              </w:rPr>
              <w:t>分）</w:t>
            </w:r>
          </w:p>
        </w:tc>
        <w:tc>
          <w:tcPr>
            <w:tcW w:w="6613" w:type="dxa"/>
            <w:tcBorders>
              <w:top w:val="single" w:color="auto" w:sz="4" w:space="0"/>
              <w:left w:val="single" w:color="auto" w:sz="4" w:space="0"/>
              <w:bottom w:val="single" w:color="auto" w:sz="4" w:space="0"/>
              <w:right w:val="single" w:color="auto" w:sz="4" w:space="0"/>
            </w:tcBorders>
            <w:shd w:val="clear" w:color="auto" w:fill="auto"/>
          </w:tcPr>
          <w:p w14:paraId="6EBF83D5">
            <w:pPr>
              <w:wordWrap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一档（7分）：服务内容较为简单，基本满足</w:t>
            </w:r>
            <w:r>
              <w:rPr>
                <w:rFonts w:hint="eastAsia" w:ascii="宋体" w:hAnsi="宋体" w:cs="宋体"/>
                <w:color w:val="auto"/>
                <w:szCs w:val="21"/>
                <w:highlight w:val="none"/>
                <w:lang w:val="en-US" w:eastAsia="zh-CN"/>
              </w:rPr>
              <w:t>招标</w:t>
            </w:r>
            <w:r>
              <w:rPr>
                <w:rFonts w:hint="eastAsia" w:ascii="宋体" w:hAnsi="宋体" w:cs="宋体"/>
                <w:color w:val="auto"/>
                <w:szCs w:val="21"/>
                <w:highlight w:val="none"/>
              </w:rPr>
              <w:t>文件要求，对工作范围有简单描述，但没有针对性，服务组织、服务流程及内容较为合理，没有较好的实施服务计划，没有提供团队人员配置方案。</w:t>
            </w:r>
          </w:p>
          <w:p w14:paraId="4B9E8980">
            <w:pPr>
              <w:wordWrap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二档（14分）：服务内容详细、可行，满足</w:t>
            </w:r>
            <w:r>
              <w:rPr>
                <w:rFonts w:hint="eastAsia" w:ascii="宋体" w:hAnsi="宋体" w:cs="宋体"/>
                <w:color w:val="auto"/>
                <w:szCs w:val="21"/>
                <w:highlight w:val="none"/>
                <w:lang w:val="en-US" w:eastAsia="zh-CN"/>
              </w:rPr>
              <w:t>招标</w:t>
            </w:r>
            <w:r>
              <w:rPr>
                <w:rFonts w:hint="eastAsia" w:ascii="宋体" w:hAnsi="宋体" w:cs="宋体"/>
                <w:color w:val="auto"/>
                <w:szCs w:val="21"/>
                <w:highlight w:val="none"/>
              </w:rPr>
              <w:t>文件要求，对工作范围有详细描述，服务组织、服务流程及内容合理，有良好的实施服务计划，处理问题响应时间优于采购需求，提供团队人员配置方案，技术支持能够保证项目的基础需求。</w:t>
            </w:r>
          </w:p>
          <w:p w14:paraId="7D039FB4">
            <w:pPr>
              <w:wordWrap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三档（20分）：在二档的基础上，服务内容完整、针对性强，可操作性强，团队人员配备配置合理、职责清晰，服务团队有备用方案，技术支持完善周全。</w:t>
            </w:r>
          </w:p>
          <w:p w14:paraId="4632D312">
            <w:pPr>
              <w:pStyle w:val="8"/>
              <w:wordWrap w:val="0"/>
              <w:spacing w:line="360" w:lineRule="auto"/>
              <w:ind w:firstLine="211" w:firstLineChars="100"/>
              <w:rPr>
                <w:rFonts w:ascii="宋体" w:hAnsi="宋体" w:cs="宋体"/>
                <w:bCs/>
                <w:color w:val="auto"/>
                <w:kern w:val="0"/>
                <w:szCs w:val="21"/>
                <w:highlight w:val="none"/>
              </w:rPr>
            </w:pPr>
            <w:r>
              <w:rPr>
                <w:rFonts w:hint="eastAsia" w:ascii="宋体" w:hAnsi="宋体" w:cs="宋体"/>
                <w:b/>
                <w:bCs/>
                <w:color w:val="auto"/>
                <w:szCs w:val="21"/>
                <w:highlight w:val="none"/>
                <w:lang w:val="zh-CN"/>
              </w:rPr>
              <w:t>注：未提供或不满足最低入档条件的按不入档计0分。</w:t>
            </w:r>
          </w:p>
        </w:tc>
        <w:tc>
          <w:tcPr>
            <w:tcW w:w="1183" w:type="dxa"/>
            <w:tcBorders>
              <w:top w:val="single" w:color="auto" w:sz="4" w:space="0"/>
              <w:left w:val="single" w:color="auto" w:sz="4" w:space="0"/>
              <w:bottom w:val="single" w:color="auto" w:sz="4" w:space="0"/>
              <w:right w:val="single" w:color="auto" w:sz="4" w:space="0"/>
            </w:tcBorders>
            <w:vAlign w:val="center"/>
          </w:tcPr>
          <w:p w14:paraId="118624D0">
            <w:pPr>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0~</w:t>
            </w:r>
            <w:r>
              <w:rPr>
                <w:rFonts w:hint="eastAsia" w:ascii="宋体" w:hAnsi="宋体" w:cs="宋体"/>
                <w:color w:val="auto"/>
                <w:kern w:val="0"/>
                <w:szCs w:val="21"/>
                <w:highlight w:val="none"/>
                <w:lang w:val="en-US" w:eastAsia="zh-CN"/>
              </w:rPr>
              <w:t>20</w:t>
            </w:r>
            <w:r>
              <w:rPr>
                <w:rFonts w:hint="eastAsia" w:ascii="宋体" w:hAnsi="宋体" w:cs="宋体"/>
                <w:color w:val="auto"/>
                <w:kern w:val="0"/>
                <w:szCs w:val="21"/>
                <w:highlight w:val="none"/>
              </w:rPr>
              <w:t>分</w:t>
            </w:r>
          </w:p>
          <w:p w14:paraId="1C6504B0">
            <w:pPr>
              <w:wordWrap w:val="0"/>
              <w:spacing w:line="360" w:lineRule="auto"/>
              <w:jc w:val="center"/>
              <w:rPr>
                <w:rFonts w:ascii="宋体" w:hAnsi="宋体" w:cs="宋体"/>
                <w:bCs/>
                <w:color w:val="auto"/>
                <w:kern w:val="0"/>
                <w:szCs w:val="21"/>
                <w:highlight w:val="none"/>
              </w:rPr>
            </w:pPr>
          </w:p>
        </w:tc>
      </w:tr>
      <w:tr w14:paraId="4A78C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85" w:type="dxa"/>
            <w:vMerge w:val="restart"/>
            <w:tcBorders>
              <w:top w:val="single" w:color="auto" w:sz="4" w:space="0"/>
              <w:left w:val="single" w:color="auto" w:sz="4" w:space="0"/>
              <w:right w:val="single" w:color="auto" w:sz="4" w:space="0"/>
            </w:tcBorders>
            <w:vAlign w:val="center"/>
          </w:tcPr>
          <w:p w14:paraId="557C8717">
            <w:pPr>
              <w:pStyle w:val="12"/>
              <w:widowControl/>
              <w:wordWrap w:val="0"/>
              <w:spacing w:line="360" w:lineRule="auto"/>
              <w:jc w:val="center"/>
              <w:rPr>
                <w:rFonts w:hAnsi="宋体" w:cs="宋体"/>
                <w:bCs/>
                <w:color w:val="auto"/>
                <w:szCs w:val="21"/>
                <w:highlight w:val="none"/>
              </w:rPr>
            </w:pPr>
            <w:r>
              <w:rPr>
                <w:rFonts w:hint="eastAsia" w:hAnsi="宋体" w:cs="宋体"/>
                <w:bCs/>
                <w:color w:val="auto"/>
                <w:szCs w:val="21"/>
                <w:highlight w:val="none"/>
              </w:rPr>
              <w:t>3</w:t>
            </w:r>
          </w:p>
        </w:tc>
        <w:tc>
          <w:tcPr>
            <w:tcW w:w="1649" w:type="dxa"/>
            <w:tcBorders>
              <w:top w:val="single" w:color="auto" w:sz="4" w:space="0"/>
              <w:left w:val="single" w:color="auto" w:sz="4" w:space="0"/>
              <w:right w:val="single" w:color="auto" w:sz="4" w:space="0"/>
            </w:tcBorders>
          </w:tcPr>
          <w:p w14:paraId="20136B27">
            <w:pPr>
              <w:pStyle w:val="12"/>
              <w:widowControl/>
              <w:wordWrap w:val="0"/>
              <w:spacing w:line="360" w:lineRule="auto"/>
              <w:jc w:val="center"/>
              <w:rPr>
                <w:rFonts w:hint="eastAsia" w:hAnsi="宋体" w:cs="宋体"/>
                <w:b/>
                <w:color w:val="auto"/>
                <w:szCs w:val="21"/>
                <w:highlight w:val="none"/>
              </w:rPr>
            </w:pPr>
            <w:r>
              <w:rPr>
                <w:rFonts w:hint="eastAsia" w:hAnsi="宋体" w:cs="宋体"/>
                <w:b/>
                <w:color w:val="auto"/>
                <w:szCs w:val="21"/>
                <w:highlight w:val="none"/>
              </w:rPr>
              <w:t>商务分（满分</w:t>
            </w:r>
          </w:p>
          <w:p w14:paraId="428D4062">
            <w:pPr>
              <w:pStyle w:val="12"/>
              <w:widowControl/>
              <w:wordWrap w:val="0"/>
              <w:spacing w:line="360" w:lineRule="auto"/>
              <w:jc w:val="center"/>
              <w:rPr>
                <w:rFonts w:hAnsi="宋体" w:cs="宋体"/>
                <w:b/>
                <w:color w:val="auto"/>
                <w:szCs w:val="21"/>
                <w:highlight w:val="none"/>
              </w:rPr>
            </w:pPr>
            <w:r>
              <w:rPr>
                <w:rFonts w:hint="eastAsia" w:hAnsi="宋体" w:cs="宋体"/>
                <w:b/>
                <w:color w:val="auto"/>
                <w:szCs w:val="21"/>
                <w:highlight w:val="none"/>
                <w:lang w:val="en-US" w:eastAsia="zh-CN"/>
              </w:rPr>
              <w:t>2</w:t>
            </w:r>
            <w:r>
              <w:rPr>
                <w:rFonts w:hint="eastAsia" w:hAnsi="宋体" w:cs="宋体"/>
                <w:b/>
                <w:color w:val="auto"/>
                <w:szCs w:val="21"/>
                <w:highlight w:val="none"/>
              </w:rPr>
              <w:t>5分）</w:t>
            </w:r>
          </w:p>
        </w:tc>
        <w:tc>
          <w:tcPr>
            <w:tcW w:w="6613" w:type="dxa"/>
            <w:tcBorders>
              <w:top w:val="single" w:color="auto" w:sz="4" w:space="0"/>
              <w:left w:val="single" w:color="auto" w:sz="4" w:space="0"/>
              <w:right w:val="single" w:color="auto" w:sz="4" w:space="0"/>
            </w:tcBorders>
            <w:vAlign w:val="center"/>
          </w:tcPr>
          <w:p w14:paraId="2C5CFBA4">
            <w:pPr>
              <w:pStyle w:val="12"/>
              <w:widowControl/>
              <w:wordWrap w:val="0"/>
              <w:spacing w:line="360" w:lineRule="auto"/>
              <w:jc w:val="center"/>
              <w:rPr>
                <w:rFonts w:hAnsi="宋体" w:cs="宋体"/>
                <w:b/>
                <w:color w:val="auto"/>
                <w:szCs w:val="21"/>
                <w:highlight w:val="none"/>
              </w:rPr>
            </w:pPr>
            <w:r>
              <w:rPr>
                <w:rFonts w:hint="eastAsia" w:hAnsi="宋体" w:cs="宋体"/>
                <w:b/>
                <w:color w:val="auto"/>
                <w:szCs w:val="21"/>
                <w:highlight w:val="none"/>
              </w:rPr>
              <w:t>评审因素</w:t>
            </w:r>
          </w:p>
        </w:tc>
        <w:tc>
          <w:tcPr>
            <w:tcW w:w="1183" w:type="dxa"/>
            <w:tcBorders>
              <w:top w:val="single" w:color="auto" w:sz="4" w:space="0"/>
              <w:left w:val="single" w:color="auto" w:sz="4" w:space="0"/>
              <w:bottom w:val="single" w:color="auto" w:sz="4" w:space="0"/>
              <w:right w:val="single" w:color="auto" w:sz="4" w:space="0"/>
            </w:tcBorders>
            <w:vAlign w:val="center"/>
          </w:tcPr>
          <w:p w14:paraId="15F7B981">
            <w:pPr>
              <w:pStyle w:val="12"/>
              <w:widowControl/>
              <w:wordWrap w:val="0"/>
              <w:spacing w:line="360" w:lineRule="auto"/>
              <w:jc w:val="center"/>
              <w:rPr>
                <w:rFonts w:hAnsi="宋体" w:cs="宋体"/>
                <w:b/>
                <w:color w:val="auto"/>
                <w:szCs w:val="21"/>
                <w:highlight w:val="none"/>
              </w:rPr>
            </w:pPr>
            <w:r>
              <w:rPr>
                <w:rFonts w:hint="eastAsia" w:hAnsi="宋体" w:cs="宋体"/>
                <w:b/>
                <w:color w:val="auto"/>
                <w:szCs w:val="21"/>
                <w:highlight w:val="none"/>
              </w:rPr>
              <w:t>分值</w:t>
            </w:r>
          </w:p>
        </w:tc>
      </w:tr>
      <w:tr w14:paraId="6AEE3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2" w:hRule="atLeast"/>
        </w:trPr>
        <w:tc>
          <w:tcPr>
            <w:tcW w:w="685" w:type="dxa"/>
            <w:vMerge w:val="continue"/>
            <w:tcBorders>
              <w:left w:val="single" w:color="auto" w:sz="4" w:space="0"/>
              <w:right w:val="single" w:color="auto" w:sz="4" w:space="0"/>
            </w:tcBorders>
          </w:tcPr>
          <w:p w14:paraId="46A1740E">
            <w:pPr>
              <w:pStyle w:val="12"/>
              <w:widowControl/>
              <w:wordWrap w:val="0"/>
              <w:spacing w:line="360" w:lineRule="auto"/>
              <w:rPr>
                <w:rFonts w:hAnsi="宋体" w:cs="宋体"/>
                <w:bCs/>
                <w:color w:val="auto"/>
                <w:szCs w:val="21"/>
                <w:highlight w:val="none"/>
              </w:rPr>
            </w:pPr>
          </w:p>
        </w:tc>
        <w:tc>
          <w:tcPr>
            <w:tcW w:w="1649" w:type="dxa"/>
            <w:tcBorders>
              <w:left w:val="single" w:color="auto" w:sz="4" w:space="0"/>
              <w:right w:val="single" w:color="auto" w:sz="4" w:space="0"/>
            </w:tcBorders>
            <w:vAlign w:val="center"/>
          </w:tcPr>
          <w:p w14:paraId="7B76E780">
            <w:pPr>
              <w:wordWrap w:val="0"/>
              <w:spacing w:line="360" w:lineRule="auto"/>
              <w:rPr>
                <w:rFonts w:ascii="宋体" w:hAnsi="宋体" w:cs="宋体"/>
                <w:b/>
                <w:bCs w:val="0"/>
                <w:color w:val="auto"/>
                <w:szCs w:val="21"/>
                <w:highlight w:val="none"/>
              </w:rPr>
            </w:pPr>
            <w:r>
              <w:rPr>
                <w:rFonts w:hint="eastAsia" w:ascii="宋体" w:hAnsi="宋体" w:cs="宋体"/>
                <w:b/>
                <w:bCs w:val="0"/>
                <w:color w:val="auto"/>
                <w:szCs w:val="21"/>
                <w:highlight w:val="none"/>
              </w:rPr>
              <w:t>（1）拟投入本项目人员能力分（满分1</w:t>
            </w:r>
            <w:r>
              <w:rPr>
                <w:rFonts w:hint="eastAsia" w:ascii="宋体" w:hAnsi="宋体" w:cs="宋体"/>
                <w:b/>
                <w:bCs w:val="0"/>
                <w:color w:val="auto"/>
                <w:szCs w:val="21"/>
                <w:highlight w:val="none"/>
                <w:lang w:val="en-US" w:eastAsia="zh-CN"/>
              </w:rPr>
              <w:t>5</w:t>
            </w:r>
            <w:r>
              <w:rPr>
                <w:rFonts w:hint="eastAsia" w:ascii="宋体" w:hAnsi="宋体" w:cs="宋体"/>
                <w:b/>
                <w:bCs w:val="0"/>
                <w:color w:val="auto"/>
                <w:szCs w:val="21"/>
                <w:highlight w:val="none"/>
              </w:rPr>
              <w:t>分）</w:t>
            </w:r>
          </w:p>
        </w:tc>
        <w:tc>
          <w:tcPr>
            <w:tcW w:w="6613" w:type="dxa"/>
            <w:tcBorders>
              <w:top w:val="single" w:color="auto" w:sz="4" w:space="0"/>
              <w:left w:val="single" w:color="auto" w:sz="4" w:space="0"/>
              <w:right w:val="single" w:color="auto" w:sz="4" w:space="0"/>
            </w:tcBorders>
            <w:vAlign w:val="center"/>
          </w:tcPr>
          <w:p w14:paraId="544CB0EB">
            <w:pPr>
              <w:wordWrap w:val="0"/>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①投标人拟投入本项目运维人员资质能力分（本项满分13分）</w:t>
            </w:r>
          </w:p>
          <w:p w14:paraId="10C5D9EB">
            <w:pPr>
              <w:wordWrap w:val="0"/>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lang w:val="en-US" w:eastAsia="zh-CN"/>
              </w:rPr>
              <w:t>A.</w:t>
            </w:r>
            <w:r>
              <w:rPr>
                <w:rFonts w:hint="eastAsia" w:ascii="宋体" w:hAnsi="宋体" w:cs="宋体"/>
                <w:bCs/>
                <w:color w:val="auto"/>
                <w:szCs w:val="21"/>
                <w:highlight w:val="none"/>
              </w:rPr>
              <w:t>具有软件设计师证书得3分，满分3分；</w:t>
            </w:r>
          </w:p>
          <w:p w14:paraId="6F770A75">
            <w:pPr>
              <w:wordWrap w:val="0"/>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lang w:val="en-US" w:eastAsia="zh-CN"/>
              </w:rPr>
              <w:t>B.</w:t>
            </w:r>
            <w:r>
              <w:rPr>
                <w:rFonts w:hint="eastAsia" w:ascii="宋体" w:hAnsi="宋体" w:cs="宋体"/>
                <w:bCs/>
                <w:color w:val="auto"/>
                <w:szCs w:val="21"/>
                <w:highlight w:val="none"/>
              </w:rPr>
              <w:t>具有信息系统项目管理师证书得2分，满分2分；</w:t>
            </w:r>
          </w:p>
          <w:p w14:paraId="5C2FF718">
            <w:pPr>
              <w:wordWrap w:val="0"/>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lang w:val="en-US" w:eastAsia="zh-CN"/>
              </w:rPr>
              <w:t>C.</w:t>
            </w:r>
            <w:r>
              <w:rPr>
                <w:rFonts w:hint="eastAsia" w:ascii="宋体" w:hAnsi="宋体" w:cs="宋体"/>
                <w:bCs/>
                <w:color w:val="auto"/>
                <w:szCs w:val="21"/>
                <w:highlight w:val="none"/>
              </w:rPr>
              <w:t>具有计算机类</w:t>
            </w:r>
            <w:r>
              <w:rPr>
                <w:rFonts w:hint="eastAsia" w:ascii="宋体" w:hAnsi="宋体" w:cs="宋体"/>
                <w:bCs/>
                <w:color w:val="auto"/>
                <w:szCs w:val="21"/>
                <w:highlight w:val="none"/>
                <w:lang w:val="en-US" w:eastAsia="zh-CN"/>
              </w:rPr>
              <w:t>/</w:t>
            </w:r>
            <w:r>
              <w:rPr>
                <w:rFonts w:hint="eastAsia" w:ascii="宋体" w:hAnsi="宋体" w:cs="宋体"/>
                <w:bCs/>
                <w:color w:val="auto"/>
                <w:szCs w:val="21"/>
                <w:highlight w:val="none"/>
              </w:rPr>
              <w:t>电子信息类</w:t>
            </w:r>
            <w:r>
              <w:rPr>
                <w:rFonts w:hint="eastAsia" w:ascii="宋体" w:hAnsi="宋体" w:cs="宋体"/>
                <w:bCs/>
                <w:color w:val="auto"/>
                <w:szCs w:val="21"/>
                <w:highlight w:val="none"/>
                <w:lang w:val="en-US" w:eastAsia="zh-CN"/>
              </w:rPr>
              <w:t>/</w:t>
            </w:r>
            <w:r>
              <w:rPr>
                <w:rFonts w:hint="eastAsia" w:ascii="宋体" w:hAnsi="宋体" w:cs="宋体"/>
                <w:bCs/>
                <w:color w:val="auto"/>
                <w:szCs w:val="21"/>
                <w:highlight w:val="none"/>
              </w:rPr>
              <w:t>信息化</w:t>
            </w:r>
            <w:r>
              <w:rPr>
                <w:rFonts w:hint="eastAsia" w:ascii="宋体" w:hAnsi="宋体" w:cs="宋体"/>
                <w:bCs/>
                <w:color w:val="auto"/>
                <w:szCs w:val="21"/>
                <w:highlight w:val="none"/>
                <w:lang w:val="en-US" w:eastAsia="zh-CN"/>
              </w:rPr>
              <w:t>/</w:t>
            </w:r>
            <w:r>
              <w:rPr>
                <w:rFonts w:hint="eastAsia" w:ascii="宋体" w:hAnsi="宋体" w:cs="宋体"/>
                <w:bCs/>
                <w:color w:val="auto"/>
                <w:szCs w:val="21"/>
                <w:highlight w:val="none"/>
              </w:rPr>
              <w:t>网络安全</w:t>
            </w:r>
            <w:r>
              <w:rPr>
                <w:rFonts w:hint="eastAsia" w:ascii="宋体" w:hAnsi="宋体" w:cs="宋体"/>
                <w:bCs/>
                <w:color w:val="auto"/>
                <w:szCs w:val="21"/>
                <w:highlight w:val="none"/>
                <w:lang w:val="en-US" w:eastAsia="zh-CN"/>
              </w:rPr>
              <w:t>等</w:t>
            </w:r>
            <w:r>
              <w:rPr>
                <w:rFonts w:hint="eastAsia" w:ascii="宋体" w:hAnsi="宋体" w:cs="宋体"/>
                <w:bCs/>
                <w:color w:val="auto"/>
                <w:szCs w:val="21"/>
                <w:highlight w:val="none"/>
              </w:rPr>
              <w:t>相关专业中级职称（含）以上技术人员的每人得2分，满分4分；</w:t>
            </w:r>
          </w:p>
          <w:p w14:paraId="5C9C5C55">
            <w:pPr>
              <w:wordWrap w:val="0"/>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lang w:val="en-US" w:eastAsia="zh-CN"/>
              </w:rPr>
              <w:t>D.</w:t>
            </w:r>
            <w:r>
              <w:rPr>
                <w:rFonts w:hint="eastAsia" w:ascii="宋体" w:hAnsi="宋体" w:cs="宋体"/>
                <w:bCs/>
                <w:color w:val="auto"/>
                <w:szCs w:val="21"/>
                <w:highlight w:val="none"/>
              </w:rPr>
              <w:t>具有数据库系统工程师证书的每人得2分</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满分4分。</w:t>
            </w:r>
          </w:p>
          <w:p w14:paraId="71FCD747">
            <w:pPr>
              <w:wordWrap w:val="0"/>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②投标人拟投入本项目的项目负责人具有计算机类</w:t>
            </w:r>
            <w:r>
              <w:rPr>
                <w:rFonts w:hint="eastAsia" w:ascii="宋体" w:hAnsi="宋体" w:cs="宋体"/>
                <w:bCs/>
                <w:color w:val="auto"/>
                <w:szCs w:val="21"/>
                <w:highlight w:val="none"/>
                <w:lang w:val="en-US" w:eastAsia="zh-CN"/>
              </w:rPr>
              <w:t>/</w:t>
            </w:r>
            <w:r>
              <w:rPr>
                <w:rFonts w:hint="eastAsia" w:ascii="宋体" w:hAnsi="宋体" w:cs="宋体"/>
                <w:bCs/>
                <w:color w:val="auto"/>
                <w:szCs w:val="21"/>
                <w:highlight w:val="none"/>
              </w:rPr>
              <w:t>电子信息类</w:t>
            </w:r>
            <w:r>
              <w:rPr>
                <w:rFonts w:hint="eastAsia" w:ascii="宋体" w:hAnsi="宋体" w:cs="宋体"/>
                <w:bCs/>
                <w:color w:val="auto"/>
                <w:szCs w:val="21"/>
                <w:highlight w:val="none"/>
                <w:lang w:val="en-US" w:eastAsia="zh-CN"/>
              </w:rPr>
              <w:t>/</w:t>
            </w:r>
            <w:r>
              <w:rPr>
                <w:rFonts w:hint="eastAsia" w:ascii="宋体" w:hAnsi="宋体" w:cs="宋体"/>
                <w:bCs/>
                <w:color w:val="auto"/>
                <w:szCs w:val="21"/>
                <w:highlight w:val="none"/>
              </w:rPr>
              <w:t>信息化</w:t>
            </w:r>
            <w:r>
              <w:rPr>
                <w:rFonts w:hint="eastAsia" w:ascii="宋体" w:hAnsi="宋体" w:cs="宋体"/>
                <w:bCs/>
                <w:color w:val="auto"/>
                <w:szCs w:val="21"/>
                <w:highlight w:val="none"/>
                <w:lang w:val="en-US" w:eastAsia="zh-CN"/>
              </w:rPr>
              <w:t>/</w:t>
            </w:r>
            <w:r>
              <w:rPr>
                <w:rFonts w:hint="eastAsia" w:ascii="宋体" w:hAnsi="宋体" w:cs="宋体"/>
                <w:bCs/>
                <w:color w:val="auto"/>
                <w:szCs w:val="21"/>
                <w:highlight w:val="none"/>
              </w:rPr>
              <w:t>网络安全</w:t>
            </w:r>
            <w:r>
              <w:rPr>
                <w:rFonts w:hint="eastAsia" w:ascii="宋体" w:hAnsi="宋体" w:cs="宋体"/>
                <w:bCs/>
                <w:color w:val="auto"/>
                <w:szCs w:val="21"/>
                <w:highlight w:val="none"/>
                <w:lang w:val="en-US" w:eastAsia="zh-CN"/>
              </w:rPr>
              <w:t>等</w:t>
            </w:r>
            <w:r>
              <w:rPr>
                <w:rFonts w:hint="eastAsia" w:ascii="宋体" w:hAnsi="宋体" w:cs="宋体"/>
                <w:bCs/>
                <w:color w:val="auto"/>
                <w:szCs w:val="21"/>
                <w:highlight w:val="none"/>
              </w:rPr>
              <w:t>相关专业中级职称（含）以上的得2分，</w:t>
            </w:r>
            <w:r>
              <w:rPr>
                <w:rFonts w:hint="eastAsia" w:ascii="宋体" w:hAnsi="宋体" w:eastAsia="宋体" w:cs="宋体"/>
                <w:bCs/>
                <w:color w:val="auto"/>
                <w:szCs w:val="21"/>
                <w:highlight w:val="none"/>
              </w:rPr>
              <w:t>本项满分</w:t>
            </w:r>
            <w:r>
              <w:rPr>
                <w:rFonts w:hint="eastAsia" w:ascii="宋体" w:hAnsi="宋体" w:cs="宋体"/>
                <w:bCs/>
                <w:color w:val="auto"/>
                <w:szCs w:val="21"/>
                <w:highlight w:val="none"/>
                <w:lang w:val="en-US" w:eastAsia="zh-CN"/>
              </w:rPr>
              <w:t>2</w:t>
            </w:r>
            <w:r>
              <w:rPr>
                <w:rFonts w:hint="eastAsia" w:ascii="宋体" w:hAnsi="宋体" w:cs="宋体"/>
                <w:bCs/>
                <w:color w:val="auto"/>
                <w:szCs w:val="21"/>
                <w:highlight w:val="none"/>
              </w:rPr>
              <w:t>分。</w:t>
            </w:r>
          </w:p>
          <w:p w14:paraId="12E8D3D1">
            <w:pPr>
              <w:wordWrap w:val="0"/>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lang w:val="en-US" w:eastAsia="zh-CN"/>
              </w:rPr>
              <w:t>（注：</w:t>
            </w:r>
            <w:r>
              <w:rPr>
                <w:rFonts w:hint="eastAsia" w:ascii="宋体" w:hAnsi="宋体" w:cs="宋体"/>
                <w:bCs/>
                <w:color w:val="auto"/>
                <w:szCs w:val="21"/>
                <w:highlight w:val="none"/>
              </w:rPr>
              <w:t>以上拟投入人员</w:t>
            </w:r>
            <w:r>
              <w:rPr>
                <w:rFonts w:hint="eastAsia" w:ascii="宋体" w:hAnsi="宋体" w:cs="宋体"/>
                <w:bCs/>
                <w:color w:val="auto"/>
                <w:szCs w:val="21"/>
                <w:highlight w:val="none"/>
                <w:lang w:val="en-US" w:eastAsia="zh-CN"/>
              </w:rPr>
              <w:t>须</w:t>
            </w:r>
            <w:r>
              <w:rPr>
                <w:rFonts w:hint="eastAsia" w:ascii="宋体" w:hAnsi="宋体" w:cs="宋体"/>
                <w:bCs/>
                <w:color w:val="auto"/>
                <w:szCs w:val="21"/>
                <w:highlight w:val="none"/>
              </w:rPr>
              <w:t>提供身份证</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相关资格证书、</w:t>
            </w:r>
            <w:r>
              <w:rPr>
                <w:rFonts w:hint="eastAsia" w:ascii="宋体" w:hAnsi="宋体" w:cs="宋体"/>
                <w:bCs/>
                <w:color w:val="auto"/>
                <w:szCs w:val="21"/>
                <w:highlight w:val="none"/>
                <w:lang w:val="en-US" w:eastAsia="zh-CN"/>
              </w:rPr>
              <w:t>投标人</w:t>
            </w:r>
            <w:r>
              <w:rPr>
                <w:rFonts w:hint="eastAsia" w:ascii="宋体" w:hAnsi="宋体" w:cs="宋体"/>
                <w:bCs/>
                <w:color w:val="auto"/>
                <w:szCs w:val="21"/>
                <w:highlight w:val="none"/>
              </w:rPr>
              <w:t>为其缴纳的响应文件递交截止时间前半年内（2025年</w:t>
            </w:r>
            <w:r>
              <w:rPr>
                <w:rFonts w:hint="eastAsia" w:ascii="宋体" w:hAnsi="宋体" w:cs="宋体"/>
                <w:bCs/>
                <w:color w:val="auto"/>
                <w:szCs w:val="21"/>
                <w:highlight w:val="none"/>
                <w:lang w:val="en-US" w:eastAsia="zh-CN"/>
              </w:rPr>
              <w:t>12</w:t>
            </w:r>
            <w:r>
              <w:rPr>
                <w:rFonts w:hint="eastAsia" w:ascii="宋体" w:hAnsi="宋体" w:cs="宋体"/>
                <w:bCs/>
                <w:color w:val="auto"/>
                <w:szCs w:val="21"/>
                <w:highlight w:val="none"/>
              </w:rPr>
              <w:t>月-202</w:t>
            </w:r>
            <w:r>
              <w:rPr>
                <w:rFonts w:hint="eastAsia" w:ascii="宋体" w:hAnsi="宋体" w:cs="宋体"/>
                <w:bCs/>
                <w:color w:val="auto"/>
                <w:szCs w:val="21"/>
                <w:highlight w:val="none"/>
                <w:lang w:val="en-US" w:eastAsia="zh-CN"/>
              </w:rPr>
              <w:t>6</w:t>
            </w:r>
            <w:r>
              <w:rPr>
                <w:rFonts w:hint="eastAsia" w:ascii="宋体" w:hAnsi="宋体" w:cs="宋体"/>
                <w:bCs/>
                <w:color w:val="auto"/>
                <w:szCs w:val="21"/>
                <w:highlight w:val="none"/>
              </w:rPr>
              <w:t>年</w:t>
            </w:r>
            <w:r>
              <w:rPr>
                <w:rFonts w:hint="eastAsia" w:ascii="宋体" w:hAnsi="宋体" w:cs="宋体"/>
                <w:bCs/>
                <w:color w:val="auto"/>
                <w:szCs w:val="21"/>
                <w:highlight w:val="none"/>
                <w:lang w:val="en-US" w:eastAsia="zh-CN"/>
              </w:rPr>
              <w:t>5</w:t>
            </w:r>
            <w:r>
              <w:rPr>
                <w:rFonts w:hint="eastAsia" w:ascii="宋体" w:hAnsi="宋体" w:cs="宋体"/>
                <w:bCs/>
                <w:color w:val="auto"/>
                <w:szCs w:val="21"/>
                <w:highlight w:val="none"/>
              </w:rPr>
              <w:t>月）任意</w:t>
            </w:r>
            <w:r>
              <w:rPr>
                <w:rFonts w:hint="eastAsia" w:ascii="宋体" w:hAnsi="宋体" w:cs="宋体"/>
                <w:bCs/>
                <w:color w:val="auto"/>
                <w:szCs w:val="21"/>
                <w:highlight w:val="none"/>
                <w:lang w:eastAsia="zh-CN"/>
              </w:rPr>
              <w:t>一</w:t>
            </w:r>
            <w:r>
              <w:rPr>
                <w:rFonts w:hint="eastAsia" w:ascii="宋体" w:hAnsi="宋体" w:cs="宋体"/>
                <w:bCs/>
                <w:color w:val="auto"/>
                <w:szCs w:val="21"/>
                <w:highlight w:val="none"/>
              </w:rPr>
              <w:t>个月的社保证明复印件</w:t>
            </w:r>
            <w:r>
              <w:rPr>
                <w:rFonts w:hint="eastAsia" w:ascii="宋体" w:hAnsi="宋体" w:cs="宋体"/>
                <w:bCs/>
                <w:color w:val="auto"/>
                <w:szCs w:val="21"/>
                <w:highlight w:val="none"/>
                <w:lang w:val="en-US" w:eastAsia="zh-CN"/>
              </w:rPr>
              <w:t>或劳动合同等相关证明材料复印件并加盖投标人公章（或电子公章）</w:t>
            </w:r>
            <w:r>
              <w:rPr>
                <w:rFonts w:hint="eastAsia" w:ascii="宋体" w:hAnsi="宋体" w:cs="宋体"/>
                <w:bCs/>
                <w:color w:val="auto"/>
                <w:szCs w:val="21"/>
                <w:highlight w:val="none"/>
                <w:lang w:eastAsia="zh-CN"/>
              </w:rPr>
              <w:t>；同一人仅计算一次得分，</w:t>
            </w:r>
            <w:r>
              <w:rPr>
                <w:rFonts w:hint="eastAsia" w:ascii="宋体" w:hAnsi="宋体" w:cs="宋体"/>
                <w:bCs/>
                <w:color w:val="auto"/>
                <w:szCs w:val="21"/>
                <w:highlight w:val="none"/>
                <w:lang w:val="en-US" w:eastAsia="zh-CN"/>
              </w:rPr>
              <w:t>无人员名单、人员不相符或相关证明材料不齐全不予计</w:t>
            </w:r>
            <w:r>
              <w:rPr>
                <w:rFonts w:hint="eastAsia" w:ascii="宋体" w:hAnsi="宋体" w:cs="宋体"/>
                <w:bCs/>
                <w:color w:val="auto"/>
                <w:szCs w:val="21"/>
                <w:highlight w:val="none"/>
              </w:rPr>
              <w:t>分。</w:t>
            </w:r>
            <w:r>
              <w:rPr>
                <w:rFonts w:hint="eastAsia" w:ascii="宋体" w:hAnsi="宋体" w:cs="宋体"/>
                <w:bCs/>
                <w:color w:val="auto"/>
                <w:szCs w:val="21"/>
                <w:highlight w:val="none"/>
                <w:lang w:val="en-US" w:eastAsia="zh-CN"/>
              </w:rPr>
              <w:t>）</w:t>
            </w:r>
          </w:p>
        </w:tc>
        <w:tc>
          <w:tcPr>
            <w:tcW w:w="1183" w:type="dxa"/>
            <w:tcBorders>
              <w:top w:val="single" w:color="auto" w:sz="4" w:space="0"/>
              <w:left w:val="single" w:color="auto" w:sz="4" w:space="0"/>
              <w:bottom w:val="single" w:color="auto" w:sz="4" w:space="0"/>
              <w:right w:val="single" w:color="auto" w:sz="4" w:space="0"/>
            </w:tcBorders>
            <w:vAlign w:val="center"/>
          </w:tcPr>
          <w:p w14:paraId="3774C3DC">
            <w:pPr>
              <w:pStyle w:val="12"/>
              <w:widowControl/>
              <w:wordWrap w:val="0"/>
              <w:spacing w:line="360" w:lineRule="auto"/>
              <w:jc w:val="center"/>
              <w:rPr>
                <w:rFonts w:hAnsi="宋体" w:cs="宋体"/>
                <w:bCs/>
                <w:color w:val="auto"/>
                <w:szCs w:val="21"/>
                <w:highlight w:val="none"/>
              </w:rPr>
            </w:pPr>
            <w:r>
              <w:rPr>
                <w:rFonts w:hint="eastAsia" w:hAnsi="宋体" w:cs="宋体"/>
                <w:bCs/>
                <w:color w:val="auto"/>
                <w:szCs w:val="21"/>
                <w:highlight w:val="none"/>
              </w:rPr>
              <w:t>0~1</w:t>
            </w:r>
            <w:r>
              <w:rPr>
                <w:rFonts w:hint="eastAsia" w:hAnsi="宋体" w:cs="宋体"/>
                <w:bCs/>
                <w:color w:val="auto"/>
                <w:szCs w:val="21"/>
                <w:highlight w:val="none"/>
                <w:lang w:val="en-US" w:eastAsia="zh-CN"/>
              </w:rPr>
              <w:t>5</w:t>
            </w:r>
            <w:r>
              <w:rPr>
                <w:rFonts w:hint="eastAsia" w:hAnsi="宋体" w:cs="宋体"/>
                <w:bCs/>
                <w:color w:val="auto"/>
                <w:szCs w:val="21"/>
                <w:highlight w:val="none"/>
              </w:rPr>
              <w:t>分（客观分）</w:t>
            </w:r>
          </w:p>
        </w:tc>
      </w:tr>
      <w:tr w14:paraId="3A040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85" w:type="dxa"/>
            <w:vMerge w:val="continue"/>
            <w:tcBorders>
              <w:left w:val="single" w:color="auto" w:sz="4" w:space="0"/>
              <w:right w:val="single" w:color="auto" w:sz="4" w:space="0"/>
            </w:tcBorders>
          </w:tcPr>
          <w:p w14:paraId="2A5E9B2C">
            <w:pPr>
              <w:pStyle w:val="12"/>
              <w:widowControl/>
              <w:wordWrap w:val="0"/>
              <w:spacing w:line="360" w:lineRule="auto"/>
              <w:rPr>
                <w:rFonts w:hAnsi="宋体" w:cs="宋体"/>
                <w:bCs/>
                <w:color w:val="auto"/>
                <w:szCs w:val="21"/>
                <w:highlight w:val="none"/>
              </w:rPr>
            </w:pPr>
          </w:p>
        </w:tc>
        <w:tc>
          <w:tcPr>
            <w:tcW w:w="1649" w:type="dxa"/>
            <w:tcBorders>
              <w:left w:val="single" w:color="auto" w:sz="4" w:space="0"/>
              <w:right w:val="single" w:color="auto" w:sz="4" w:space="0"/>
            </w:tcBorders>
            <w:vAlign w:val="center"/>
          </w:tcPr>
          <w:p w14:paraId="36E11F62">
            <w:pPr>
              <w:wordWrap w:val="0"/>
              <w:spacing w:line="360" w:lineRule="auto"/>
              <w:jc w:val="center"/>
              <w:rPr>
                <w:rFonts w:ascii="宋体" w:hAnsi="宋体" w:cs="宋体"/>
                <w:b/>
                <w:bCs w:val="0"/>
                <w:color w:val="auto"/>
                <w:szCs w:val="21"/>
                <w:highlight w:val="none"/>
              </w:rPr>
            </w:pPr>
            <w:r>
              <w:rPr>
                <w:rFonts w:hint="eastAsia" w:ascii="宋体" w:hAnsi="宋体" w:cs="宋体"/>
                <w:b/>
                <w:bCs w:val="0"/>
                <w:color w:val="auto"/>
                <w:szCs w:val="21"/>
                <w:highlight w:val="none"/>
              </w:rPr>
              <w:t>（</w:t>
            </w:r>
            <w:r>
              <w:rPr>
                <w:rFonts w:ascii="宋体" w:hAnsi="宋体" w:cs="宋体"/>
                <w:b/>
                <w:bCs w:val="0"/>
                <w:color w:val="auto"/>
                <w:szCs w:val="21"/>
                <w:highlight w:val="none"/>
              </w:rPr>
              <w:t>2</w:t>
            </w:r>
            <w:r>
              <w:rPr>
                <w:rFonts w:hint="eastAsia" w:ascii="宋体" w:hAnsi="宋体" w:cs="宋体"/>
                <w:b/>
                <w:bCs w:val="0"/>
                <w:color w:val="auto"/>
                <w:szCs w:val="21"/>
                <w:highlight w:val="none"/>
              </w:rPr>
              <w:t>）项目业绩分（满分</w:t>
            </w:r>
            <w:r>
              <w:rPr>
                <w:rFonts w:hint="eastAsia" w:ascii="宋体" w:hAnsi="宋体" w:cs="宋体"/>
                <w:b/>
                <w:bCs w:val="0"/>
                <w:color w:val="auto"/>
                <w:szCs w:val="21"/>
                <w:highlight w:val="none"/>
                <w:lang w:val="en-US" w:eastAsia="zh-CN"/>
              </w:rPr>
              <w:t>10</w:t>
            </w:r>
            <w:r>
              <w:rPr>
                <w:rFonts w:hint="eastAsia" w:ascii="宋体" w:hAnsi="宋体" w:cs="宋体"/>
                <w:b/>
                <w:bCs w:val="0"/>
                <w:color w:val="auto"/>
                <w:szCs w:val="21"/>
                <w:highlight w:val="none"/>
              </w:rPr>
              <w:t>分）</w:t>
            </w:r>
          </w:p>
        </w:tc>
        <w:tc>
          <w:tcPr>
            <w:tcW w:w="6613" w:type="dxa"/>
            <w:tcBorders>
              <w:top w:val="single" w:color="auto" w:sz="4" w:space="0"/>
              <w:left w:val="single" w:color="auto" w:sz="4" w:space="0"/>
              <w:right w:val="single" w:color="auto" w:sz="4" w:space="0"/>
            </w:tcBorders>
            <w:vAlign w:val="center"/>
          </w:tcPr>
          <w:p w14:paraId="5B6D0D8A">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投标人2023年以来具有同类（系统运维服务项目）业绩的，每项业绩得2分，满分10分。</w:t>
            </w:r>
          </w:p>
          <w:p w14:paraId="33D783E5">
            <w:pPr>
              <w:wordWrap w:val="0"/>
              <w:spacing w:line="360" w:lineRule="auto"/>
              <w:rPr>
                <w:rFonts w:ascii="宋体" w:hAnsi="宋体" w:cs="宋体"/>
                <w:bCs/>
                <w:color w:val="auto"/>
                <w:szCs w:val="21"/>
                <w:highlight w:val="none"/>
              </w:rPr>
            </w:pPr>
            <w:r>
              <w:rPr>
                <w:rFonts w:hint="eastAsia" w:ascii="宋体" w:hAnsi="宋体" w:cs="宋体"/>
                <w:bCs/>
                <w:color w:val="auto"/>
                <w:szCs w:val="21"/>
                <w:highlight w:val="none"/>
                <w:lang w:val="en-US" w:eastAsia="zh-CN"/>
              </w:rPr>
              <w:t>（投标文件中须提供有效的中标（成交）通知书或合同复印件（合同中须体现服务内容）加盖投标人单位公章（或电子公章），否则不予计分。）</w:t>
            </w:r>
          </w:p>
        </w:tc>
        <w:tc>
          <w:tcPr>
            <w:tcW w:w="1183" w:type="dxa"/>
            <w:tcBorders>
              <w:top w:val="single" w:color="auto" w:sz="4" w:space="0"/>
              <w:left w:val="single" w:color="auto" w:sz="4" w:space="0"/>
              <w:bottom w:val="single" w:color="auto" w:sz="4" w:space="0"/>
              <w:right w:val="single" w:color="auto" w:sz="4" w:space="0"/>
            </w:tcBorders>
            <w:vAlign w:val="center"/>
          </w:tcPr>
          <w:p w14:paraId="0A1EE592">
            <w:pPr>
              <w:pStyle w:val="12"/>
              <w:widowControl/>
              <w:wordWrap w:val="0"/>
              <w:spacing w:line="360" w:lineRule="auto"/>
              <w:jc w:val="center"/>
              <w:rPr>
                <w:rFonts w:hAnsi="宋体" w:cs="宋体"/>
                <w:bCs/>
                <w:color w:val="auto"/>
                <w:szCs w:val="21"/>
                <w:highlight w:val="none"/>
              </w:rPr>
            </w:pPr>
            <w:r>
              <w:rPr>
                <w:rFonts w:hint="eastAsia" w:hAnsi="宋体" w:cs="宋体"/>
                <w:bCs/>
                <w:color w:val="auto"/>
                <w:szCs w:val="21"/>
                <w:highlight w:val="none"/>
              </w:rPr>
              <w:t>0~</w:t>
            </w:r>
            <w:r>
              <w:rPr>
                <w:rFonts w:hint="eastAsia" w:hAnsi="宋体" w:cs="宋体"/>
                <w:bCs/>
                <w:color w:val="auto"/>
                <w:szCs w:val="21"/>
                <w:highlight w:val="none"/>
                <w:lang w:val="en-US" w:eastAsia="zh-CN"/>
              </w:rPr>
              <w:t>10</w:t>
            </w:r>
            <w:r>
              <w:rPr>
                <w:rFonts w:hint="eastAsia" w:hAnsi="宋体" w:cs="宋体"/>
                <w:bCs/>
                <w:color w:val="auto"/>
                <w:szCs w:val="21"/>
                <w:highlight w:val="none"/>
              </w:rPr>
              <w:t>分（客观分）</w:t>
            </w:r>
          </w:p>
        </w:tc>
      </w:tr>
      <w:tr w14:paraId="292A3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30" w:type="dxa"/>
            <w:gridSpan w:val="4"/>
            <w:tcBorders>
              <w:left w:val="single" w:color="auto" w:sz="4" w:space="0"/>
              <w:bottom w:val="single" w:color="auto" w:sz="4" w:space="0"/>
              <w:right w:val="single" w:color="auto" w:sz="4" w:space="0"/>
            </w:tcBorders>
          </w:tcPr>
          <w:p w14:paraId="26491F26">
            <w:pPr>
              <w:pStyle w:val="12"/>
              <w:widowControl/>
              <w:wordWrap w:val="0"/>
              <w:spacing w:line="360" w:lineRule="auto"/>
              <w:rPr>
                <w:rFonts w:hAnsi="宋体" w:cs="宋体"/>
                <w:bCs/>
                <w:color w:val="auto"/>
                <w:szCs w:val="21"/>
                <w:highlight w:val="none"/>
              </w:rPr>
            </w:pPr>
            <w:r>
              <w:rPr>
                <w:rFonts w:hint="eastAsia" w:hAnsi="宋体" w:cs="宋体"/>
                <w:b/>
                <w:bCs/>
                <w:color w:val="auto"/>
                <w:szCs w:val="21"/>
                <w:highlight w:val="none"/>
              </w:rPr>
              <w:t>总得分=1+2+3</w:t>
            </w:r>
          </w:p>
        </w:tc>
      </w:tr>
    </w:tbl>
    <w:p w14:paraId="3812CEC1">
      <w:pPr>
        <w:pStyle w:val="12"/>
        <w:wordWrap w:val="0"/>
        <w:spacing w:line="360" w:lineRule="auto"/>
        <w:ind w:firstLine="420"/>
        <w:rPr>
          <w:rFonts w:hAnsi="宋体" w:cs="宋体"/>
          <w:bCs/>
          <w:color w:val="auto"/>
          <w:sz w:val="24"/>
          <w:szCs w:val="24"/>
          <w:highlight w:val="none"/>
        </w:rPr>
      </w:pPr>
    </w:p>
    <w:p w14:paraId="4C612691">
      <w:pPr>
        <w:rPr>
          <w:rFonts w:ascii="宋体" w:hAnsi="宋体" w:cs="宋体"/>
          <w:color w:val="auto"/>
          <w:highlight w:val="none"/>
        </w:rPr>
        <w:sectPr>
          <w:pgSz w:w="11906" w:h="16838"/>
          <w:pgMar w:top="1440" w:right="1080" w:bottom="1440" w:left="1080" w:header="720" w:footer="720" w:gutter="0"/>
          <w:pgNumType w:fmt="decimal"/>
          <w:cols w:space="720" w:num="1"/>
          <w:docGrid w:type="lines" w:linePitch="331" w:charSpace="0"/>
        </w:sectPr>
      </w:pPr>
    </w:p>
    <w:bookmarkEnd w:id="111"/>
    <w:p w14:paraId="6EC1EEA1">
      <w:pPr>
        <w:pStyle w:val="3"/>
        <w:wordWrap w:val="0"/>
        <w:spacing w:before="0" w:after="0" w:line="360" w:lineRule="auto"/>
        <w:jc w:val="center"/>
        <w:rPr>
          <w:rFonts w:ascii="宋体" w:hAnsi="宋体" w:eastAsia="宋体" w:cs="宋体"/>
          <w:b w:val="0"/>
          <w:color w:val="auto"/>
          <w:sz w:val="30"/>
          <w:szCs w:val="30"/>
          <w:highlight w:val="none"/>
        </w:rPr>
      </w:pPr>
      <w:bookmarkStart w:id="113" w:name="_Toc23822"/>
      <w:r>
        <w:rPr>
          <w:rFonts w:hint="eastAsia" w:ascii="宋体" w:hAnsi="宋体" w:eastAsia="宋体" w:cs="宋体"/>
          <w:b w:val="0"/>
          <w:color w:val="auto"/>
          <w:sz w:val="30"/>
          <w:szCs w:val="30"/>
          <w:highlight w:val="none"/>
        </w:rPr>
        <w:t>第四节 中标候选人推荐原则</w:t>
      </w:r>
      <w:bookmarkEnd w:id="113"/>
    </w:p>
    <w:p w14:paraId="26AFEE7B">
      <w:pPr>
        <w:pStyle w:val="12"/>
        <w:wordWrap w:val="0"/>
        <w:spacing w:line="360" w:lineRule="auto"/>
        <w:ind w:left="1237" w:hanging="765"/>
        <w:contextualSpacing/>
        <w:rPr>
          <w:rFonts w:hAnsi="宋体" w:cs="宋体"/>
          <w:b/>
          <w:bCs/>
          <w:color w:val="auto"/>
          <w:szCs w:val="21"/>
          <w:highlight w:val="none"/>
        </w:rPr>
      </w:pPr>
      <w:r>
        <w:rPr>
          <w:rFonts w:hint="eastAsia" w:hAnsi="宋体" w:cs="宋体"/>
          <w:b/>
          <w:bCs/>
          <w:color w:val="auto"/>
          <w:szCs w:val="21"/>
          <w:highlight w:val="none"/>
        </w:rPr>
        <w:t>（一）综合评分法</w:t>
      </w:r>
    </w:p>
    <w:p w14:paraId="569BD93C">
      <w:pPr>
        <w:pStyle w:val="12"/>
        <w:wordWrap w:val="0"/>
        <w:spacing w:line="360" w:lineRule="auto"/>
        <w:ind w:firstLine="420" w:firstLineChars="200"/>
        <w:rPr>
          <w:rFonts w:hAnsi="宋体" w:cs="宋体"/>
          <w:color w:val="auto"/>
          <w:szCs w:val="21"/>
          <w:highlight w:val="none"/>
        </w:rPr>
      </w:pPr>
      <w:r>
        <w:rPr>
          <w:rFonts w:hint="eastAsia" w:hAnsi="宋体" w:cs="宋体"/>
          <w:color w:val="auto"/>
          <w:szCs w:val="21"/>
          <w:highlight w:val="none"/>
        </w:rPr>
        <w:t>评标委员会将根据总得分由高到低排列次序并推荐中标候选供应商。总得分相同的，以投标报价由低到高顺序排列。得分相同且投标报价相同的并列，投标文件满足招标文件全部实质性要求，且按照评审因素的量化指标评审得分最高的投标人为排名第一的中标候选供应商。</w:t>
      </w:r>
    </w:p>
    <w:p w14:paraId="07607241">
      <w:pPr>
        <w:pStyle w:val="3"/>
        <w:wordWrap w:val="0"/>
        <w:spacing w:before="0" w:after="0" w:line="360" w:lineRule="auto"/>
        <w:ind w:firstLine="600" w:firstLineChars="200"/>
        <w:jc w:val="center"/>
        <w:rPr>
          <w:rFonts w:ascii="宋体" w:hAnsi="宋体" w:eastAsia="宋体" w:cs="宋体"/>
          <w:b w:val="0"/>
          <w:color w:val="auto"/>
          <w:sz w:val="30"/>
          <w:szCs w:val="30"/>
          <w:highlight w:val="none"/>
        </w:rPr>
      </w:pPr>
      <w:bookmarkStart w:id="114" w:name="_Toc5509"/>
      <w:r>
        <w:rPr>
          <w:rFonts w:hint="eastAsia" w:ascii="宋体" w:hAnsi="宋体" w:eastAsia="宋体" w:cs="宋体"/>
          <w:b w:val="0"/>
          <w:color w:val="auto"/>
          <w:sz w:val="30"/>
          <w:szCs w:val="30"/>
          <w:highlight w:val="none"/>
        </w:rPr>
        <w:t>第五节 评标报告</w:t>
      </w:r>
      <w:bookmarkEnd w:id="114"/>
    </w:p>
    <w:p w14:paraId="7FC546AC">
      <w:pPr>
        <w:pStyle w:val="31"/>
        <w:wordWrap w:val="0"/>
        <w:spacing w:before="0"/>
        <w:ind w:firstLine="422"/>
        <w:rPr>
          <w:rFonts w:ascii="宋体" w:hAnsi="宋体" w:cs="宋体"/>
          <w:b/>
          <w:bCs/>
          <w:color w:val="auto"/>
          <w:sz w:val="21"/>
          <w:szCs w:val="21"/>
          <w:highlight w:val="none"/>
        </w:rPr>
      </w:pPr>
      <w:r>
        <w:rPr>
          <w:rFonts w:hint="eastAsia" w:ascii="宋体" w:hAnsi="宋体" w:cs="宋体"/>
          <w:b/>
          <w:bCs/>
          <w:color w:val="auto"/>
          <w:sz w:val="21"/>
          <w:szCs w:val="21"/>
          <w:highlight w:val="none"/>
        </w:rPr>
        <w:t>（一）评标报告与推荐中标候选人</w:t>
      </w:r>
    </w:p>
    <w:p w14:paraId="0E16F145">
      <w:pPr>
        <w:pStyle w:val="12"/>
        <w:wordWrap w:val="0"/>
        <w:spacing w:line="360" w:lineRule="auto"/>
        <w:ind w:firstLine="420" w:firstLineChars="200"/>
        <w:rPr>
          <w:rFonts w:hAnsi="宋体" w:cs="宋体"/>
          <w:color w:val="auto"/>
          <w:szCs w:val="21"/>
          <w:highlight w:val="none"/>
        </w:rPr>
      </w:pPr>
      <w:r>
        <w:rPr>
          <w:rFonts w:hint="eastAsia" w:hAnsi="宋体" w:cs="宋体"/>
          <w:color w:val="auto"/>
          <w:szCs w:val="21"/>
          <w:highlight w:val="none"/>
        </w:rPr>
        <w:t>评标委员会根据原始评标记录和评标结果编写评标报告，并通过电子交易平台向采购人、采购代理机构提交。</w:t>
      </w:r>
    </w:p>
    <w:p w14:paraId="08CA5D4E">
      <w:pPr>
        <w:widowControl/>
        <w:wordWrap w:val="0"/>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（二）评标争议事项处理</w:t>
      </w:r>
    </w:p>
    <w:p w14:paraId="07C904F1">
      <w:pPr>
        <w:pStyle w:val="12"/>
        <w:wordWrap w:val="0"/>
        <w:spacing w:line="360" w:lineRule="auto"/>
        <w:ind w:firstLine="420" w:firstLineChars="200"/>
        <w:rPr>
          <w:rFonts w:hAnsi="宋体" w:cs="宋体"/>
          <w:color w:val="auto"/>
          <w:szCs w:val="21"/>
          <w:highlight w:val="none"/>
        </w:rPr>
      </w:pPr>
      <w:r>
        <w:rPr>
          <w:rFonts w:hint="eastAsia" w:hAnsi="宋体" w:cs="宋体"/>
          <w:color w:val="auto"/>
          <w:szCs w:val="21"/>
          <w:highlight w:val="none"/>
        </w:rPr>
        <w:t>评标委员会成员对需要共同认定的事项存在争议的，应当按照少数服从多数的原则作出结论。持不同意见的评标委员会成员应当在评标报告上签署不同意见及理由，否则视为同意评标报告。</w:t>
      </w:r>
    </w:p>
    <w:p w14:paraId="13CAC8DF">
      <w:pPr>
        <w:widowControl/>
        <w:wordWrap w:val="0"/>
        <w:spacing w:line="360" w:lineRule="auto"/>
        <w:jc w:val="left"/>
        <w:rPr>
          <w:rFonts w:ascii="宋体" w:hAnsi="宋体" w:cs="宋体"/>
          <w:b/>
          <w:color w:val="auto"/>
          <w:sz w:val="36"/>
          <w:szCs w:val="20"/>
          <w:highlight w:val="none"/>
        </w:rPr>
        <w:sectPr>
          <w:pgSz w:w="11906" w:h="16838"/>
          <w:pgMar w:top="1440" w:right="1080" w:bottom="1440" w:left="1080" w:header="720" w:footer="720" w:gutter="0"/>
          <w:pgNumType w:fmt="decimal"/>
          <w:cols w:space="720" w:num="1"/>
          <w:docGrid w:type="lines" w:linePitch="331" w:charSpace="0"/>
        </w:sectPr>
      </w:pPr>
    </w:p>
    <w:p w14:paraId="7A115072">
      <w:pPr>
        <w:pStyle w:val="12"/>
        <w:tabs>
          <w:tab w:val="left" w:pos="2472"/>
        </w:tabs>
        <w:wordWrap w:val="0"/>
        <w:spacing w:line="360" w:lineRule="auto"/>
        <w:jc w:val="center"/>
        <w:outlineLvl w:val="0"/>
        <w:rPr>
          <w:rFonts w:hAnsi="宋体" w:cs="宋体"/>
          <w:b/>
          <w:color w:val="auto"/>
          <w:sz w:val="36"/>
          <w:highlight w:val="none"/>
        </w:rPr>
      </w:pPr>
      <w:bookmarkStart w:id="115" w:name="_Toc6796"/>
      <w:r>
        <w:rPr>
          <w:rFonts w:hint="eastAsia" w:hAnsi="宋体" w:cs="宋体"/>
          <w:b/>
          <w:color w:val="auto"/>
          <w:sz w:val="36"/>
          <w:highlight w:val="none"/>
        </w:rPr>
        <w:t>第五章 拟签订的合同文本</w:t>
      </w:r>
      <w:bookmarkEnd w:id="115"/>
    </w:p>
    <w:p w14:paraId="48A5BDE4">
      <w:pPr>
        <w:wordWrap w:val="0"/>
        <w:spacing w:line="360" w:lineRule="auto"/>
        <w:rPr>
          <w:rFonts w:ascii="宋体" w:hAnsi="宋体" w:cs="宋体"/>
          <w:color w:val="auto"/>
          <w:sz w:val="24"/>
          <w:highlight w:val="none"/>
        </w:rPr>
      </w:pPr>
    </w:p>
    <w:p w14:paraId="6EB1C6C3">
      <w:pPr>
        <w:wordWrap w:val="0"/>
        <w:spacing w:line="360" w:lineRule="auto"/>
        <w:rPr>
          <w:rFonts w:ascii="宋体" w:hAnsi="宋体" w:cs="宋体"/>
          <w:color w:val="auto"/>
          <w:sz w:val="24"/>
          <w:highlight w:val="none"/>
          <w:u w:val="single"/>
        </w:rPr>
      </w:pPr>
      <w:r>
        <w:rPr>
          <w:rFonts w:hint="eastAsia" w:ascii="宋体" w:hAnsi="宋体" w:cs="宋体"/>
          <w:color w:val="auto"/>
          <w:sz w:val="24"/>
          <w:highlight w:val="none"/>
        </w:rPr>
        <w:t>“广西政府采购云”平台合同编号：</w:t>
      </w:r>
    </w:p>
    <w:p w14:paraId="253BEAC0">
      <w:pPr>
        <w:wordWrap w:val="0"/>
        <w:spacing w:line="360" w:lineRule="auto"/>
        <w:jc w:val="center"/>
        <w:rPr>
          <w:rFonts w:ascii="宋体" w:hAnsi="宋体" w:cs="宋体"/>
          <w:b/>
          <w:bCs/>
          <w:color w:val="auto"/>
          <w:sz w:val="52"/>
          <w:highlight w:val="none"/>
        </w:rPr>
      </w:pPr>
    </w:p>
    <w:p w14:paraId="72B0A417">
      <w:pPr>
        <w:wordWrap w:val="0"/>
        <w:spacing w:line="360" w:lineRule="auto"/>
        <w:jc w:val="center"/>
        <w:rPr>
          <w:rFonts w:ascii="宋体" w:hAnsi="宋体" w:cs="宋体"/>
          <w:b/>
          <w:bCs/>
          <w:color w:val="auto"/>
          <w:sz w:val="52"/>
          <w:highlight w:val="none"/>
        </w:rPr>
      </w:pPr>
    </w:p>
    <w:p w14:paraId="201D3351">
      <w:pPr>
        <w:wordWrap w:val="0"/>
        <w:spacing w:line="360" w:lineRule="auto"/>
        <w:jc w:val="center"/>
        <w:rPr>
          <w:rFonts w:ascii="宋体" w:hAnsi="宋体" w:cs="宋体"/>
          <w:b/>
          <w:bCs/>
          <w:color w:val="auto"/>
          <w:sz w:val="52"/>
          <w:highlight w:val="none"/>
        </w:rPr>
      </w:pPr>
      <w:r>
        <w:rPr>
          <w:rFonts w:hint="eastAsia" w:ascii="宋体" w:hAnsi="宋体" w:cs="宋体"/>
          <w:b/>
          <w:bCs/>
          <w:color w:val="auto"/>
          <w:sz w:val="52"/>
          <w:highlight w:val="none"/>
        </w:rPr>
        <w:t>南 宁 市 政 府 采 购</w:t>
      </w:r>
    </w:p>
    <w:p w14:paraId="68F4CE36">
      <w:pPr>
        <w:wordWrap w:val="0"/>
        <w:spacing w:line="360" w:lineRule="auto"/>
        <w:ind w:firstLine="420" w:firstLineChars="200"/>
        <w:rPr>
          <w:rFonts w:ascii="宋体" w:hAnsi="宋体" w:cs="宋体"/>
          <w:color w:val="auto"/>
          <w:highlight w:val="none"/>
        </w:rPr>
      </w:pPr>
    </w:p>
    <w:p w14:paraId="1BBBE6F5">
      <w:pPr>
        <w:wordWrap w:val="0"/>
        <w:spacing w:line="360" w:lineRule="auto"/>
        <w:ind w:firstLine="420" w:firstLineChars="200"/>
        <w:rPr>
          <w:rFonts w:ascii="宋体" w:hAnsi="宋体" w:cs="宋体"/>
          <w:color w:val="auto"/>
          <w:highlight w:val="none"/>
        </w:rPr>
      </w:pPr>
    </w:p>
    <w:p w14:paraId="3180C376">
      <w:pPr>
        <w:wordWrap w:val="0"/>
        <w:spacing w:line="360" w:lineRule="auto"/>
        <w:jc w:val="center"/>
        <w:rPr>
          <w:rFonts w:ascii="宋体" w:hAnsi="宋体" w:cs="宋体"/>
          <w:b/>
          <w:bCs/>
          <w:color w:val="auto"/>
          <w:sz w:val="44"/>
          <w:highlight w:val="none"/>
        </w:rPr>
      </w:pPr>
      <w:r>
        <w:rPr>
          <w:rFonts w:hint="eastAsia" w:ascii="宋体" w:hAnsi="宋体" w:cs="宋体"/>
          <w:b/>
          <w:bCs/>
          <w:color w:val="auto"/>
          <w:sz w:val="44"/>
          <w:highlight w:val="none"/>
        </w:rPr>
        <w:t>合同</w:t>
      </w:r>
    </w:p>
    <w:p w14:paraId="520AFE8F">
      <w:pPr>
        <w:wordWrap w:val="0"/>
        <w:spacing w:line="360" w:lineRule="auto"/>
        <w:ind w:firstLine="3507" w:firstLineChars="794"/>
        <w:rPr>
          <w:rFonts w:ascii="宋体" w:hAnsi="宋体" w:cs="宋体"/>
          <w:b/>
          <w:bCs/>
          <w:color w:val="auto"/>
          <w:sz w:val="44"/>
          <w:highlight w:val="none"/>
        </w:rPr>
      </w:pPr>
    </w:p>
    <w:p w14:paraId="2E380877">
      <w:pPr>
        <w:wordWrap w:val="0"/>
        <w:spacing w:line="360" w:lineRule="auto"/>
        <w:ind w:firstLine="1063" w:firstLineChars="294"/>
        <w:jc w:val="left"/>
        <w:rPr>
          <w:rFonts w:ascii="宋体" w:hAnsi="宋体" w:cs="宋体"/>
          <w:b/>
          <w:color w:val="auto"/>
          <w:sz w:val="36"/>
          <w:szCs w:val="36"/>
          <w:highlight w:val="none"/>
        </w:rPr>
      </w:pPr>
      <w:r>
        <w:rPr>
          <w:rFonts w:hint="eastAsia" w:ascii="宋体" w:hAnsi="宋体" w:cs="宋体"/>
          <w:b/>
          <w:color w:val="auto"/>
          <w:sz w:val="36"/>
          <w:szCs w:val="36"/>
          <w:highlight w:val="none"/>
        </w:rPr>
        <w:t xml:space="preserve">项目编号：   </w:t>
      </w:r>
    </w:p>
    <w:p w14:paraId="59D049AE">
      <w:pPr>
        <w:wordWrap w:val="0"/>
        <w:spacing w:line="360" w:lineRule="auto"/>
        <w:ind w:firstLine="1063" w:firstLineChars="294"/>
        <w:jc w:val="left"/>
        <w:rPr>
          <w:rFonts w:ascii="宋体" w:hAnsi="宋体" w:cs="宋体"/>
          <w:b/>
          <w:color w:val="auto"/>
          <w:sz w:val="36"/>
          <w:szCs w:val="36"/>
          <w:highlight w:val="none"/>
        </w:rPr>
      </w:pPr>
      <w:r>
        <w:rPr>
          <w:rFonts w:hint="eastAsia" w:ascii="宋体" w:hAnsi="宋体" w:cs="宋体"/>
          <w:b/>
          <w:color w:val="auto"/>
          <w:sz w:val="36"/>
          <w:szCs w:val="36"/>
          <w:highlight w:val="none"/>
        </w:rPr>
        <w:t>计划编号：</w:t>
      </w:r>
    </w:p>
    <w:p w14:paraId="731686F4">
      <w:pPr>
        <w:tabs>
          <w:tab w:val="left" w:pos="7200"/>
        </w:tabs>
        <w:wordWrap w:val="0"/>
        <w:spacing w:line="360" w:lineRule="auto"/>
        <w:ind w:firstLine="1995" w:firstLineChars="552"/>
        <w:rPr>
          <w:rFonts w:ascii="宋体" w:hAnsi="宋体" w:cs="宋体"/>
          <w:b/>
          <w:color w:val="auto"/>
          <w:sz w:val="36"/>
          <w:szCs w:val="36"/>
          <w:highlight w:val="none"/>
        </w:rPr>
      </w:pPr>
    </w:p>
    <w:p w14:paraId="696307E4">
      <w:pPr>
        <w:pStyle w:val="9"/>
        <w:rPr>
          <w:rFonts w:ascii="宋体" w:hAnsi="宋体" w:cs="宋体"/>
          <w:color w:val="auto"/>
          <w:highlight w:val="none"/>
        </w:rPr>
      </w:pPr>
    </w:p>
    <w:p w14:paraId="30A839A3">
      <w:pPr>
        <w:tabs>
          <w:tab w:val="left" w:pos="7200"/>
        </w:tabs>
        <w:wordWrap w:val="0"/>
        <w:spacing w:line="360" w:lineRule="auto"/>
        <w:ind w:firstLine="1995" w:firstLineChars="552"/>
        <w:rPr>
          <w:rFonts w:ascii="宋体" w:hAnsi="宋体" w:cs="宋体"/>
          <w:b/>
          <w:color w:val="auto"/>
          <w:sz w:val="36"/>
          <w:szCs w:val="36"/>
          <w:highlight w:val="none"/>
          <w:u w:val="single"/>
        </w:rPr>
      </w:pPr>
      <w:r>
        <w:rPr>
          <w:rFonts w:hint="eastAsia" w:ascii="宋体" w:hAnsi="宋体" w:cs="宋体"/>
          <w:b/>
          <w:color w:val="auto"/>
          <w:sz w:val="36"/>
          <w:szCs w:val="36"/>
          <w:highlight w:val="none"/>
        </w:rPr>
        <w:t>采购人：</w:t>
      </w:r>
    </w:p>
    <w:p w14:paraId="083C97E4">
      <w:pPr>
        <w:tabs>
          <w:tab w:val="left" w:pos="7380"/>
        </w:tabs>
        <w:wordWrap w:val="0"/>
        <w:spacing w:line="360" w:lineRule="auto"/>
        <w:ind w:firstLine="1995" w:firstLineChars="552"/>
        <w:rPr>
          <w:rFonts w:ascii="宋体" w:hAnsi="宋体" w:cs="宋体"/>
          <w:b/>
          <w:bCs/>
          <w:color w:val="auto"/>
          <w:sz w:val="44"/>
          <w:highlight w:val="none"/>
        </w:rPr>
      </w:pPr>
      <w:r>
        <w:rPr>
          <w:rFonts w:hint="eastAsia" w:ascii="宋体" w:hAnsi="宋体" w:cs="宋体"/>
          <w:b/>
          <w:color w:val="auto"/>
          <w:sz w:val="36"/>
          <w:szCs w:val="36"/>
          <w:highlight w:val="none"/>
        </w:rPr>
        <w:t>中标供应商：</w:t>
      </w:r>
    </w:p>
    <w:p w14:paraId="1E42DCB7">
      <w:pPr>
        <w:tabs>
          <w:tab w:val="left" w:pos="7380"/>
        </w:tabs>
        <w:wordWrap w:val="0"/>
        <w:spacing w:line="360" w:lineRule="auto"/>
        <w:rPr>
          <w:rFonts w:ascii="宋体" w:hAnsi="宋体" w:cs="宋体"/>
          <w:b/>
          <w:bCs/>
          <w:color w:val="auto"/>
          <w:sz w:val="44"/>
          <w:highlight w:val="none"/>
        </w:rPr>
      </w:pPr>
    </w:p>
    <w:p w14:paraId="40B983D1">
      <w:pPr>
        <w:wordWrap w:val="0"/>
        <w:spacing w:line="360" w:lineRule="auto"/>
        <w:rPr>
          <w:rFonts w:ascii="宋体" w:hAnsi="宋体" w:cs="宋体"/>
          <w:color w:val="auto"/>
          <w:sz w:val="24"/>
          <w:highlight w:val="none"/>
        </w:rPr>
      </w:pPr>
    </w:p>
    <w:p w14:paraId="27EF94CD">
      <w:pPr>
        <w:wordWrap w:val="0"/>
        <w:spacing w:line="360" w:lineRule="auto"/>
        <w:ind w:firstLine="2280" w:firstLineChars="950"/>
        <w:rPr>
          <w:rFonts w:ascii="宋体" w:hAnsi="宋体" w:cs="宋体"/>
          <w:b/>
          <w:bCs/>
          <w:color w:val="auto"/>
          <w:sz w:val="44"/>
          <w:highlight w:val="none"/>
        </w:rPr>
      </w:pPr>
      <w:r>
        <w:rPr>
          <w:rFonts w:hint="eastAsia" w:ascii="宋体" w:hAnsi="宋体" w:cs="宋体"/>
          <w:color w:val="auto"/>
          <w:sz w:val="24"/>
          <w:highlight w:val="none"/>
        </w:rPr>
        <w:t>签订日期：</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日</w:t>
      </w:r>
    </w:p>
    <w:p w14:paraId="0BC53998">
      <w:pPr>
        <w:wordWrap w:val="0"/>
        <w:snapToGrid w:val="0"/>
        <w:spacing w:line="360" w:lineRule="auto"/>
        <w:jc w:val="center"/>
        <w:rPr>
          <w:rFonts w:ascii="宋体" w:hAnsi="宋体" w:cs="宋体"/>
          <w:b/>
          <w:bCs/>
          <w:color w:val="auto"/>
          <w:sz w:val="44"/>
          <w:highlight w:val="none"/>
        </w:rPr>
      </w:pPr>
      <w:r>
        <w:rPr>
          <w:rFonts w:hint="eastAsia" w:ascii="宋体" w:hAnsi="宋体" w:cs="宋体"/>
          <w:b/>
          <w:bCs/>
          <w:color w:val="auto"/>
          <w:sz w:val="44"/>
          <w:highlight w:val="none"/>
        </w:rPr>
        <w:br w:type="page"/>
      </w:r>
    </w:p>
    <w:p w14:paraId="07C60BBD">
      <w:pPr>
        <w:wordWrap w:val="0"/>
        <w:snapToGrid w:val="0"/>
        <w:spacing w:line="360" w:lineRule="auto"/>
        <w:jc w:val="center"/>
        <w:rPr>
          <w:rFonts w:ascii="宋体" w:hAnsi="宋体" w:cs="宋体"/>
          <w:b/>
          <w:bCs/>
          <w:color w:val="auto"/>
          <w:sz w:val="44"/>
          <w:highlight w:val="none"/>
        </w:rPr>
      </w:pPr>
    </w:p>
    <w:p w14:paraId="55F3DC22">
      <w:pPr>
        <w:wordWrap w:val="0"/>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合同目录</w:t>
      </w:r>
    </w:p>
    <w:p w14:paraId="65FD4DF0">
      <w:pPr>
        <w:wordWrap w:val="0"/>
        <w:snapToGrid w:val="0"/>
        <w:spacing w:line="360" w:lineRule="auto"/>
        <w:jc w:val="center"/>
        <w:rPr>
          <w:rFonts w:ascii="宋体" w:hAnsi="宋体" w:cs="宋体"/>
          <w:b/>
          <w:bCs/>
          <w:color w:val="auto"/>
          <w:sz w:val="44"/>
          <w:highlight w:val="none"/>
        </w:rPr>
      </w:pPr>
    </w:p>
    <w:p w14:paraId="0ECB9A91">
      <w:pPr>
        <w:wordWrap w:val="0"/>
        <w:snapToGrid w:val="0"/>
        <w:spacing w:line="360" w:lineRule="auto"/>
        <w:ind w:firstLine="420" w:firstLineChars="175"/>
        <w:rPr>
          <w:rFonts w:ascii="宋体" w:hAnsi="宋体" w:cs="宋体"/>
          <w:color w:val="auto"/>
          <w:kern w:val="0"/>
          <w:sz w:val="24"/>
          <w:highlight w:val="none"/>
        </w:rPr>
      </w:pPr>
      <w:r>
        <w:rPr>
          <w:rFonts w:hint="eastAsia" w:ascii="宋体" w:hAnsi="宋体" w:cs="宋体"/>
          <w:color w:val="auto"/>
          <w:kern w:val="0"/>
          <w:sz w:val="24"/>
          <w:highlight w:val="none"/>
        </w:rPr>
        <w:t>一、</w:t>
      </w:r>
      <w:r>
        <w:rPr>
          <w:rFonts w:hint="eastAsia" w:ascii="宋体" w:hAnsi="宋体" w:cs="宋体"/>
          <w:color w:val="auto"/>
          <w:sz w:val="24"/>
          <w:highlight w:val="none"/>
        </w:rPr>
        <w:t>第一部分 合同书</w:t>
      </w:r>
      <w:r>
        <w:rPr>
          <w:rFonts w:hint="eastAsia" w:ascii="宋体" w:hAnsi="宋体" w:cs="宋体"/>
          <w:color w:val="auto"/>
          <w:kern w:val="0"/>
          <w:sz w:val="24"/>
          <w:highlight w:val="none"/>
        </w:rPr>
        <w:t>……………………………………………………………（页码）</w:t>
      </w:r>
    </w:p>
    <w:p w14:paraId="3DE1C81E">
      <w:pPr>
        <w:wordWrap w:val="0"/>
        <w:snapToGrid w:val="0"/>
        <w:spacing w:line="360" w:lineRule="auto"/>
        <w:ind w:firstLine="420" w:firstLineChars="175"/>
        <w:rPr>
          <w:rFonts w:ascii="宋体" w:hAnsi="宋体" w:cs="宋体"/>
          <w:color w:val="auto"/>
          <w:kern w:val="0"/>
          <w:sz w:val="24"/>
          <w:highlight w:val="none"/>
        </w:rPr>
      </w:pPr>
      <w:r>
        <w:rPr>
          <w:rFonts w:hint="eastAsia" w:ascii="宋体" w:hAnsi="宋体" w:cs="宋体"/>
          <w:color w:val="auto"/>
          <w:kern w:val="0"/>
          <w:sz w:val="24"/>
          <w:highlight w:val="none"/>
        </w:rPr>
        <w:t>二、第二部分 合同一般条款……………………………………………………（页码）</w:t>
      </w:r>
    </w:p>
    <w:p w14:paraId="09CC003C">
      <w:pPr>
        <w:wordWrap w:val="0"/>
        <w:snapToGrid w:val="0"/>
        <w:spacing w:line="360" w:lineRule="auto"/>
        <w:ind w:firstLine="420" w:firstLineChars="175"/>
        <w:rPr>
          <w:rFonts w:ascii="宋体" w:hAnsi="宋体" w:cs="宋体"/>
          <w:color w:val="auto"/>
          <w:kern w:val="0"/>
          <w:sz w:val="24"/>
          <w:highlight w:val="none"/>
        </w:rPr>
      </w:pPr>
      <w:r>
        <w:rPr>
          <w:rFonts w:hint="eastAsia" w:ascii="宋体" w:hAnsi="宋体" w:cs="宋体"/>
          <w:color w:val="auto"/>
          <w:kern w:val="0"/>
          <w:sz w:val="24"/>
          <w:highlight w:val="none"/>
        </w:rPr>
        <w:t>三、第三部分 合同专用条款……………………………………………………（页码）</w:t>
      </w:r>
    </w:p>
    <w:p w14:paraId="3C15EC24">
      <w:pPr>
        <w:wordWrap w:val="0"/>
        <w:snapToGrid w:val="0"/>
        <w:spacing w:line="360" w:lineRule="auto"/>
        <w:ind w:firstLine="420" w:firstLineChars="175"/>
        <w:rPr>
          <w:rFonts w:ascii="宋体" w:hAnsi="宋体" w:cs="宋体"/>
          <w:color w:val="auto"/>
          <w:kern w:val="0"/>
          <w:sz w:val="24"/>
          <w:highlight w:val="none"/>
        </w:rPr>
      </w:pPr>
      <w:r>
        <w:rPr>
          <w:rFonts w:hint="eastAsia" w:ascii="宋体" w:hAnsi="宋体" w:cs="宋体"/>
          <w:color w:val="auto"/>
          <w:kern w:val="0"/>
          <w:sz w:val="24"/>
          <w:highlight w:val="none"/>
        </w:rPr>
        <w:t>四、</w:t>
      </w:r>
      <w:r>
        <w:rPr>
          <w:rFonts w:hint="eastAsia" w:ascii="宋体" w:hAnsi="宋体" w:cs="宋体"/>
          <w:color w:val="auto"/>
          <w:sz w:val="24"/>
          <w:highlight w:val="none"/>
        </w:rPr>
        <w:t>第四部分 合同附件</w:t>
      </w:r>
      <w:r>
        <w:rPr>
          <w:rFonts w:hint="eastAsia" w:ascii="宋体" w:hAnsi="宋体" w:cs="宋体"/>
          <w:color w:val="auto"/>
          <w:kern w:val="0"/>
          <w:sz w:val="24"/>
          <w:highlight w:val="none"/>
        </w:rPr>
        <w:t>…………………………………………………………（页码）</w:t>
      </w:r>
    </w:p>
    <w:p w14:paraId="4FC332E4">
      <w:pPr>
        <w:wordWrap w:val="0"/>
        <w:snapToGrid w:val="0"/>
        <w:spacing w:line="360" w:lineRule="auto"/>
        <w:ind w:firstLine="420" w:firstLineChars="175"/>
        <w:rPr>
          <w:rFonts w:ascii="宋体" w:hAnsi="宋体" w:cs="宋体"/>
          <w:color w:val="auto"/>
          <w:kern w:val="0"/>
          <w:sz w:val="24"/>
          <w:highlight w:val="none"/>
        </w:rPr>
      </w:pPr>
      <w:r>
        <w:rPr>
          <w:rFonts w:hint="eastAsia" w:ascii="宋体" w:hAnsi="宋体" w:cs="宋体"/>
          <w:color w:val="auto"/>
          <w:kern w:val="0"/>
          <w:sz w:val="24"/>
          <w:highlight w:val="none"/>
        </w:rPr>
        <w:t>4.1中标通知书 …………………………………………………………………（页码）</w:t>
      </w:r>
    </w:p>
    <w:p w14:paraId="78FF87A2">
      <w:pPr>
        <w:wordWrap w:val="0"/>
        <w:snapToGrid w:val="0"/>
        <w:spacing w:line="360" w:lineRule="auto"/>
        <w:ind w:firstLine="420" w:firstLineChars="175"/>
        <w:rPr>
          <w:rFonts w:ascii="宋体" w:hAnsi="宋体" w:cs="宋体"/>
          <w:color w:val="auto"/>
          <w:kern w:val="0"/>
          <w:sz w:val="24"/>
          <w:highlight w:val="none"/>
        </w:rPr>
      </w:pPr>
      <w:r>
        <w:rPr>
          <w:rFonts w:hint="eastAsia" w:ascii="宋体" w:hAnsi="宋体" w:cs="宋体"/>
          <w:color w:val="auto"/>
          <w:kern w:val="0"/>
          <w:sz w:val="24"/>
          <w:highlight w:val="none"/>
        </w:rPr>
        <w:t>4.2招标文件服务需求一览表 …………………………………………………（页码）</w:t>
      </w:r>
    </w:p>
    <w:p w14:paraId="2584594D">
      <w:pPr>
        <w:wordWrap w:val="0"/>
        <w:snapToGrid w:val="0"/>
        <w:spacing w:line="360" w:lineRule="auto"/>
        <w:ind w:firstLine="420" w:firstLineChars="175"/>
        <w:rPr>
          <w:rFonts w:ascii="宋体" w:hAnsi="宋体" w:cs="宋体"/>
          <w:color w:val="auto"/>
          <w:kern w:val="0"/>
          <w:sz w:val="24"/>
          <w:highlight w:val="none"/>
        </w:rPr>
      </w:pPr>
      <w:r>
        <w:rPr>
          <w:rFonts w:hint="eastAsia" w:ascii="宋体" w:hAnsi="宋体" w:cs="宋体"/>
          <w:color w:val="auto"/>
          <w:kern w:val="0"/>
          <w:sz w:val="24"/>
          <w:highlight w:val="none"/>
        </w:rPr>
        <w:t>4.3招标文件的更改通知（如有） ……………………………………………（页码）</w:t>
      </w:r>
    </w:p>
    <w:p w14:paraId="5634E7F1">
      <w:pPr>
        <w:wordWrap w:val="0"/>
        <w:snapToGrid w:val="0"/>
        <w:spacing w:line="360" w:lineRule="auto"/>
        <w:ind w:firstLine="420" w:firstLineChars="175"/>
        <w:rPr>
          <w:rFonts w:ascii="宋体" w:hAnsi="宋体" w:cs="宋体"/>
          <w:color w:val="auto"/>
          <w:kern w:val="0"/>
          <w:sz w:val="24"/>
          <w:highlight w:val="none"/>
        </w:rPr>
      </w:pPr>
      <w:r>
        <w:rPr>
          <w:rFonts w:hint="eastAsia" w:ascii="宋体" w:hAnsi="宋体" w:cs="宋体"/>
          <w:color w:val="auto"/>
          <w:kern w:val="0"/>
          <w:sz w:val="24"/>
          <w:highlight w:val="none"/>
        </w:rPr>
        <w:t>4.4投标函 ………………………………………………………………………（页码）</w:t>
      </w:r>
    </w:p>
    <w:p w14:paraId="539C465A">
      <w:pPr>
        <w:wordWrap w:val="0"/>
        <w:snapToGrid w:val="0"/>
        <w:spacing w:line="360" w:lineRule="auto"/>
        <w:ind w:firstLine="420" w:firstLineChars="175"/>
        <w:rPr>
          <w:rFonts w:ascii="宋体" w:hAnsi="宋体" w:cs="宋体"/>
          <w:color w:val="auto"/>
          <w:kern w:val="0"/>
          <w:sz w:val="24"/>
          <w:highlight w:val="none"/>
        </w:rPr>
      </w:pPr>
      <w:r>
        <w:rPr>
          <w:rFonts w:hint="eastAsia" w:ascii="宋体" w:hAnsi="宋体" w:cs="宋体"/>
          <w:color w:val="auto"/>
          <w:kern w:val="0"/>
          <w:sz w:val="24"/>
          <w:highlight w:val="none"/>
        </w:rPr>
        <w:t>4.5报价表 ………………………………………………………………………（页码）</w:t>
      </w:r>
    </w:p>
    <w:p w14:paraId="442CA4AA">
      <w:pPr>
        <w:wordWrap w:val="0"/>
        <w:snapToGrid w:val="0"/>
        <w:spacing w:line="360" w:lineRule="auto"/>
        <w:ind w:firstLine="420" w:firstLineChars="175"/>
        <w:rPr>
          <w:rFonts w:ascii="宋体" w:hAnsi="宋体" w:cs="宋体"/>
          <w:color w:val="auto"/>
          <w:kern w:val="0"/>
          <w:sz w:val="24"/>
          <w:highlight w:val="none"/>
        </w:rPr>
      </w:pPr>
      <w:r>
        <w:rPr>
          <w:rFonts w:hint="eastAsia" w:ascii="宋体" w:hAnsi="宋体" w:cs="宋体"/>
          <w:color w:val="auto"/>
          <w:kern w:val="0"/>
          <w:sz w:val="24"/>
          <w:highlight w:val="none"/>
        </w:rPr>
        <w:t>4.6投标服务技术资料表 ………………………………………………………（页码）</w:t>
      </w:r>
    </w:p>
    <w:p w14:paraId="4797F351">
      <w:pPr>
        <w:wordWrap w:val="0"/>
        <w:snapToGrid w:val="0"/>
        <w:spacing w:line="360" w:lineRule="auto"/>
        <w:ind w:firstLine="420" w:firstLineChars="175"/>
        <w:rPr>
          <w:rFonts w:ascii="宋体" w:hAnsi="宋体" w:cs="宋体"/>
          <w:color w:val="auto"/>
          <w:kern w:val="0"/>
          <w:sz w:val="24"/>
          <w:highlight w:val="none"/>
        </w:rPr>
      </w:pPr>
      <w:r>
        <w:rPr>
          <w:rFonts w:hint="eastAsia" w:ascii="宋体" w:hAnsi="宋体" w:cs="宋体"/>
          <w:color w:val="auto"/>
          <w:kern w:val="0"/>
          <w:sz w:val="24"/>
          <w:highlight w:val="none"/>
        </w:rPr>
        <w:t>4.7商务条款偏离表 ……………………………………………………………（页码）</w:t>
      </w:r>
    </w:p>
    <w:p w14:paraId="62619923">
      <w:pPr>
        <w:wordWrap w:val="0"/>
        <w:snapToGrid w:val="0"/>
        <w:spacing w:line="360" w:lineRule="auto"/>
        <w:ind w:firstLine="420" w:firstLineChars="175"/>
        <w:rPr>
          <w:rFonts w:ascii="宋体" w:hAnsi="宋体" w:cs="宋体"/>
          <w:color w:val="auto"/>
          <w:kern w:val="0"/>
          <w:sz w:val="24"/>
          <w:highlight w:val="none"/>
        </w:rPr>
      </w:pPr>
      <w:r>
        <w:rPr>
          <w:rFonts w:hint="eastAsia" w:ascii="宋体" w:hAnsi="宋体" w:cs="宋体"/>
          <w:color w:val="auto"/>
          <w:kern w:val="0"/>
          <w:sz w:val="24"/>
          <w:highlight w:val="none"/>
        </w:rPr>
        <w:t>4.8中标供应商澄清函（如有请提供） ………………………………………（页码）</w:t>
      </w:r>
    </w:p>
    <w:p w14:paraId="6A49CF73">
      <w:pPr>
        <w:wordWrap w:val="0"/>
        <w:snapToGrid w:val="0"/>
        <w:spacing w:line="360" w:lineRule="auto"/>
        <w:ind w:firstLine="420" w:firstLineChars="175"/>
        <w:rPr>
          <w:rFonts w:ascii="宋体" w:hAnsi="宋体" w:cs="宋体"/>
          <w:color w:val="auto"/>
          <w:kern w:val="0"/>
          <w:sz w:val="24"/>
          <w:highlight w:val="none"/>
        </w:rPr>
      </w:pPr>
      <w:r>
        <w:rPr>
          <w:rFonts w:hint="eastAsia" w:ascii="宋体" w:hAnsi="宋体" w:cs="宋体"/>
          <w:color w:val="auto"/>
          <w:kern w:val="0"/>
          <w:sz w:val="24"/>
          <w:highlight w:val="none"/>
        </w:rPr>
        <w:t>4.9其他与本合同相关的资料（如有请提供） ………………………………（页码）</w:t>
      </w:r>
    </w:p>
    <w:p w14:paraId="280E7EE8">
      <w:pPr>
        <w:wordWrap w:val="0"/>
        <w:snapToGrid w:val="0"/>
        <w:spacing w:line="360" w:lineRule="auto"/>
        <w:rPr>
          <w:rFonts w:ascii="宋体" w:hAnsi="宋体" w:cs="宋体"/>
          <w:color w:val="auto"/>
          <w:kern w:val="0"/>
          <w:sz w:val="24"/>
          <w:highlight w:val="none"/>
        </w:rPr>
      </w:pPr>
    </w:p>
    <w:p w14:paraId="0751F2FC">
      <w:pPr>
        <w:widowControl/>
        <w:wordWrap w:val="0"/>
        <w:spacing w:line="360" w:lineRule="auto"/>
        <w:jc w:val="left"/>
        <w:rPr>
          <w:rFonts w:ascii="宋体" w:hAnsi="宋体" w:cs="宋体"/>
          <w:color w:val="auto"/>
          <w:spacing w:val="-4"/>
          <w:sz w:val="18"/>
          <w:szCs w:val="20"/>
          <w:highlight w:val="none"/>
        </w:rPr>
        <w:sectPr>
          <w:pgSz w:w="11906" w:h="16838"/>
          <w:pgMar w:top="1440" w:right="1080" w:bottom="1440" w:left="1080" w:header="720" w:footer="720" w:gutter="0"/>
          <w:pgNumType w:fmt="decimal"/>
          <w:cols w:space="720" w:num="1"/>
          <w:docGrid w:type="lines" w:linePitch="331" w:charSpace="0"/>
        </w:sectPr>
      </w:pPr>
    </w:p>
    <w:p w14:paraId="73AB4947">
      <w:pPr>
        <w:pStyle w:val="33"/>
        <w:wordWrap w:val="0"/>
        <w:spacing w:after="0"/>
        <w:ind w:firstLine="562"/>
        <w:jc w:val="center"/>
        <w:rPr>
          <w:rFonts w:ascii="宋体" w:hAnsi="宋体" w:cs="宋体"/>
          <w:b/>
          <w:color w:val="auto"/>
          <w:sz w:val="28"/>
          <w:szCs w:val="28"/>
          <w:highlight w:val="none"/>
        </w:rPr>
      </w:pPr>
      <w:r>
        <w:rPr>
          <w:rFonts w:hint="eastAsia" w:ascii="宋体" w:hAnsi="宋体" w:cs="宋体"/>
          <w:b/>
          <w:color w:val="auto"/>
          <w:sz w:val="28"/>
          <w:szCs w:val="28"/>
          <w:highlight w:val="none"/>
        </w:rPr>
        <w:t>第一部分 合同书</w:t>
      </w:r>
    </w:p>
    <w:p w14:paraId="6706C6B4">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lang w:val="zh-CN"/>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lang w:val="zh-CN"/>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lang w:val="zh-CN"/>
        </w:rPr>
        <w:t>日</w:t>
      </w:r>
      <w:r>
        <w:rPr>
          <w:rFonts w:hint="eastAsia" w:ascii="宋体" w:hAnsi="宋体" w:cs="宋体"/>
          <w:color w:val="auto"/>
          <w:sz w:val="24"/>
          <w:highlight w:val="none"/>
        </w:rPr>
        <w:t>，</w:t>
      </w:r>
      <w:r>
        <w:rPr>
          <w:rFonts w:hint="eastAsia" w:ascii="宋体" w:hAnsi="宋体" w:cs="宋体"/>
          <w:color w:val="auto"/>
          <w:sz w:val="24"/>
          <w:highlight w:val="none"/>
          <w:u w:val="single"/>
          <w:lang w:eastAsia="zh-CN"/>
        </w:rPr>
        <w:t>南宁市智慧城管信息中心</w:t>
      </w:r>
      <w:r>
        <w:rPr>
          <w:rFonts w:hint="eastAsia" w:ascii="宋体" w:hAnsi="宋体" w:cs="宋体"/>
          <w:color w:val="auto"/>
          <w:sz w:val="24"/>
          <w:highlight w:val="none"/>
        </w:rPr>
        <w:t>以</w:t>
      </w:r>
      <w:r>
        <w:rPr>
          <w:rFonts w:hint="eastAsia" w:ascii="宋体" w:hAnsi="宋体" w:cs="宋体"/>
          <w:color w:val="auto"/>
          <w:sz w:val="24"/>
          <w:highlight w:val="none"/>
          <w:u w:val="single"/>
        </w:rPr>
        <w:t xml:space="preserve">   公开招标方式  </w:t>
      </w:r>
      <w:r>
        <w:rPr>
          <w:rFonts w:hint="eastAsia" w:ascii="宋体" w:hAnsi="宋体" w:cs="宋体"/>
          <w:color w:val="auto"/>
          <w:sz w:val="24"/>
          <w:highlight w:val="none"/>
        </w:rPr>
        <w:t>对</w:t>
      </w:r>
      <w:r>
        <w:rPr>
          <w:rFonts w:hint="eastAsia" w:ascii="宋体" w:hAnsi="宋体" w:cs="宋体"/>
          <w:color w:val="auto"/>
          <w:sz w:val="24"/>
          <w:highlight w:val="none"/>
          <w:u w:val="single"/>
        </w:rPr>
        <w:t xml:space="preserve">  （项目名称）    </w:t>
      </w:r>
      <w:r>
        <w:rPr>
          <w:rFonts w:hint="eastAsia" w:ascii="宋体" w:hAnsi="宋体" w:cs="宋体"/>
          <w:color w:val="auto"/>
          <w:sz w:val="24"/>
          <w:highlight w:val="none"/>
        </w:rPr>
        <w:t>项目进行了采购。经</w:t>
      </w:r>
      <w:r>
        <w:rPr>
          <w:rFonts w:hint="eastAsia" w:ascii="宋体" w:hAnsi="宋体" w:cs="宋体"/>
          <w:color w:val="auto"/>
          <w:sz w:val="24"/>
          <w:highlight w:val="none"/>
          <w:u w:val="single"/>
        </w:rPr>
        <w:t xml:space="preserve">  评标委员会  </w:t>
      </w:r>
      <w:r>
        <w:rPr>
          <w:rFonts w:hint="eastAsia" w:ascii="宋体" w:hAnsi="宋体" w:cs="宋体"/>
          <w:color w:val="auto"/>
          <w:sz w:val="24"/>
          <w:highlight w:val="none"/>
        </w:rPr>
        <w:t>评定，</w:t>
      </w:r>
      <w:r>
        <w:rPr>
          <w:rFonts w:hint="eastAsia" w:ascii="宋体" w:hAnsi="宋体" w:cs="宋体"/>
          <w:color w:val="auto"/>
          <w:sz w:val="24"/>
          <w:highlight w:val="none"/>
          <w:u w:val="single"/>
        </w:rPr>
        <w:t xml:space="preserve">   （中标供应商名称）  </w:t>
      </w:r>
      <w:r>
        <w:rPr>
          <w:rFonts w:hint="eastAsia" w:ascii="宋体" w:hAnsi="宋体" w:cs="宋体"/>
          <w:color w:val="auto"/>
          <w:sz w:val="24"/>
          <w:highlight w:val="none"/>
        </w:rPr>
        <w:t>为该项目中标供应商。现于中标通知书发出之日起</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日内（根据项目实际情况填写，不能超过25日），按照采购文件确定的事项签订本合同。</w:t>
      </w:r>
    </w:p>
    <w:p w14:paraId="2AB1A850">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根据《中华人民共和国民法典》、《中华人民共和国政府采购法》等相关法律法规之规定，按照平等、自愿、公平和诚实信用的原则，经</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（采购人名称）   </w:t>
      </w:r>
      <w:r>
        <w:rPr>
          <w:rFonts w:hint="eastAsia" w:ascii="宋体" w:hAnsi="宋体" w:cs="宋体"/>
          <w:color w:val="auto"/>
          <w:sz w:val="24"/>
          <w:highlight w:val="none"/>
          <w:lang w:val="zh-CN"/>
        </w:rPr>
        <w:t>(以下简称：甲方)和</w:t>
      </w:r>
      <w:r>
        <w:rPr>
          <w:rFonts w:hint="eastAsia" w:ascii="宋体" w:hAnsi="宋体" w:cs="宋体"/>
          <w:color w:val="auto"/>
          <w:sz w:val="24"/>
          <w:highlight w:val="none"/>
          <w:u w:val="single"/>
        </w:rPr>
        <w:t xml:space="preserve">   （中标供应商名称）   </w:t>
      </w:r>
      <w:r>
        <w:rPr>
          <w:rFonts w:hint="eastAsia" w:ascii="宋体" w:hAnsi="宋体" w:cs="宋体"/>
          <w:color w:val="auto"/>
          <w:sz w:val="24"/>
          <w:highlight w:val="none"/>
          <w:lang w:val="zh-CN"/>
        </w:rPr>
        <w:t>(以下简称：乙方)协商一致，约定以下合同</w:t>
      </w:r>
      <w:r>
        <w:rPr>
          <w:rFonts w:hint="eastAsia" w:ascii="宋体" w:hAnsi="宋体" w:cs="宋体"/>
          <w:color w:val="auto"/>
          <w:sz w:val="24"/>
          <w:highlight w:val="none"/>
        </w:rPr>
        <w:t>条款，以兹共同遵守、全面履行。</w:t>
      </w:r>
    </w:p>
    <w:p w14:paraId="50114966">
      <w:pPr>
        <w:wordWrap w:val="0"/>
        <w:spacing w:line="360" w:lineRule="auto"/>
        <w:ind w:firstLine="482" w:firstLineChars="200"/>
        <w:rPr>
          <w:rFonts w:ascii="宋体" w:hAnsi="宋体" w:cs="宋体"/>
          <w:b/>
          <w:color w:val="auto"/>
          <w:sz w:val="24"/>
          <w:highlight w:val="none"/>
        </w:rPr>
      </w:pPr>
      <w:bookmarkStart w:id="116" w:name="_Toc2232"/>
      <w:bookmarkStart w:id="117" w:name="_Toc3029"/>
      <w:bookmarkStart w:id="118" w:name="_Toc24059"/>
      <w:r>
        <w:rPr>
          <w:rFonts w:hint="eastAsia" w:ascii="宋体" w:hAnsi="宋体" w:cs="宋体"/>
          <w:b/>
          <w:color w:val="auto"/>
          <w:sz w:val="24"/>
          <w:highlight w:val="none"/>
        </w:rPr>
        <w:t>1.1 合同组成部分</w:t>
      </w:r>
      <w:bookmarkEnd w:id="116"/>
      <w:bookmarkEnd w:id="117"/>
      <w:bookmarkEnd w:id="118"/>
    </w:p>
    <w:p w14:paraId="29092E8B">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下列文件为本合同的组成部分，并构成一个整体，需综合解释、相互补充。如果下列文件内容出现不一致的情形，在保证按照采购文件确定的事项的前提下，组成本合同的多个文件的优先适用顺序如下：</w:t>
      </w:r>
    </w:p>
    <w:p w14:paraId="3411B480">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1.1.1 本合同及其补充合同、变更协议；</w:t>
      </w:r>
    </w:p>
    <w:p w14:paraId="6C1A0AEC">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1.1.2 中标通知书；</w:t>
      </w:r>
    </w:p>
    <w:p w14:paraId="5CB04BB4">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1.1.3 投标文件及“投标报价”（含澄清或者说明文件）；</w:t>
      </w:r>
    </w:p>
    <w:p w14:paraId="798A30E1">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1.1.4 招标文件（含澄清或者修改文件）；</w:t>
      </w:r>
    </w:p>
    <w:p w14:paraId="3E0F7A66">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1.1.5 其他相关采购文件。</w:t>
      </w:r>
    </w:p>
    <w:p w14:paraId="66756A08">
      <w:pPr>
        <w:wordWrap w:val="0"/>
        <w:spacing w:line="360" w:lineRule="auto"/>
        <w:ind w:firstLine="482" w:firstLineChars="200"/>
        <w:rPr>
          <w:rFonts w:ascii="宋体" w:hAnsi="宋体" w:cs="宋体"/>
          <w:b/>
          <w:color w:val="auto"/>
          <w:sz w:val="24"/>
          <w:highlight w:val="none"/>
        </w:rPr>
      </w:pPr>
      <w:bookmarkStart w:id="119" w:name="_Toc24300"/>
      <w:bookmarkStart w:id="120" w:name="_Toc21295"/>
      <w:bookmarkStart w:id="121" w:name="_Toc27126"/>
      <w:r>
        <w:rPr>
          <w:rFonts w:hint="eastAsia" w:ascii="宋体" w:hAnsi="宋体" w:cs="宋体"/>
          <w:b/>
          <w:color w:val="auto"/>
          <w:sz w:val="24"/>
          <w:highlight w:val="none"/>
        </w:rPr>
        <w:t>1.2 标的物</w:t>
      </w:r>
      <w:bookmarkEnd w:id="119"/>
      <w:bookmarkEnd w:id="120"/>
      <w:bookmarkEnd w:id="121"/>
    </w:p>
    <w:p w14:paraId="16171A1C">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1.2.1 标的物信息</w:t>
      </w:r>
    </w:p>
    <w:p w14:paraId="78B72A90">
      <w:pPr>
        <w:wordWrap w:val="0"/>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1.2.1.1名称：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04C59BB4">
      <w:pPr>
        <w:wordWrap w:val="0"/>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1.2.1.2数量：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1EA42538">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1.2.1.3质量：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2D5612BE">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p>
    <w:p w14:paraId="7AABC5A1">
      <w:pPr>
        <w:wordWrap w:val="0"/>
        <w:spacing w:line="360" w:lineRule="auto"/>
        <w:ind w:firstLine="482" w:firstLineChars="200"/>
        <w:rPr>
          <w:rFonts w:ascii="宋体" w:hAnsi="宋体" w:cs="宋体"/>
          <w:b/>
          <w:color w:val="auto"/>
          <w:sz w:val="24"/>
          <w:highlight w:val="none"/>
        </w:rPr>
      </w:pPr>
      <w:bookmarkStart w:id="122" w:name="_Toc23292"/>
      <w:bookmarkStart w:id="123" w:name="_Toc21551"/>
      <w:bookmarkStart w:id="124" w:name="_Toc21631"/>
      <w:r>
        <w:rPr>
          <w:rFonts w:hint="eastAsia" w:ascii="宋体" w:hAnsi="宋体" w:cs="宋体"/>
          <w:b/>
          <w:color w:val="auto"/>
          <w:sz w:val="24"/>
          <w:highlight w:val="none"/>
        </w:rPr>
        <w:t>1.3 价款</w:t>
      </w:r>
      <w:bookmarkEnd w:id="122"/>
      <w:bookmarkEnd w:id="123"/>
      <w:bookmarkEnd w:id="124"/>
    </w:p>
    <w:p w14:paraId="311D5349">
      <w:pPr>
        <w:wordWrap w:val="0"/>
        <w:spacing w:line="360" w:lineRule="auto"/>
        <w:ind w:firstLine="480" w:firstLineChars="200"/>
        <w:rPr>
          <w:rFonts w:ascii="宋体" w:hAnsi="宋体" w:cs="宋体"/>
          <w:color w:val="auto"/>
          <w:highlight w:val="none"/>
        </w:rPr>
      </w:pPr>
      <w:r>
        <w:rPr>
          <w:rFonts w:hint="eastAsia" w:ascii="宋体" w:hAnsi="宋体" w:cs="宋体"/>
          <w:color w:val="auto"/>
          <w:sz w:val="24"/>
          <w:highlight w:val="none"/>
        </w:rPr>
        <w:t>本合同总价为：大写人民币</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元，含税）。</w:t>
      </w:r>
    </w:p>
    <w:p w14:paraId="48A4F4A3">
      <w:pPr>
        <w:wordWrap w:val="0"/>
        <w:spacing w:line="360" w:lineRule="auto"/>
        <w:ind w:firstLine="482" w:firstLineChars="200"/>
        <w:rPr>
          <w:rFonts w:ascii="宋体" w:hAnsi="宋体" w:cs="宋体"/>
          <w:b/>
          <w:color w:val="auto"/>
          <w:sz w:val="24"/>
          <w:highlight w:val="none"/>
        </w:rPr>
      </w:pPr>
      <w:bookmarkStart w:id="125" w:name="_Toc10340"/>
      <w:bookmarkStart w:id="126" w:name="_Toc22618"/>
      <w:bookmarkStart w:id="127" w:name="_Toc1814"/>
      <w:r>
        <w:rPr>
          <w:rFonts w:hint="eastAsia" w:ascii="宋体" w:hAnsi="宋体" w:cs="宋体"/>
          <w:b/>
          <w:color w:val="auto"/>
          <w:sz w:val="24"/>
          <w:highlight w:val="none"/>
        </w:rPr>
        <w:t>1.4 付款方式和发票开具方式</w:t>
      </w:r>
      <w:bookmarkEnd w:id="125"/>
      <w:bookmarkEnd w:id="126"/>
      <w:bookmarkEnd w:id="127"/>
    </w:p>
    <w:p w14:paraId="2B230974">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1.4.1 付款方式：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2654DB04">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1.4.2 发票开具方式：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515F9668">
      <w:pPr>
        <w:wordWrap w:val="0"/>
        <w:spacing w:line="360" w:lineRule="auto"/>
        <w:ind w:firstLine="482" w:firstLineChars="200"/>
        <w:rPr>
          <w:rFonts w:hint="eastAsia" w:ascii="宋体" w:hAnsi="宋体" w:eastAsia="宋体" w:cs="宋体"/>
          <w:b/>
          <w:color w:val="auto"/>
          <w:sz w:val="24"/>
          <w:highlight w:val="none"/>
          <w:lang w:eastAsia="zh-CN"/>
        </w:rPr>
      </w:pPr>
      <w:bookmarkStart w:id="128" w:name="_Toc19304"/>
      <w:bookmarkStart w:id="129" w:name="_Toc32071"/>
      <w:bookmarkStart w:id="130" w:name="_Toc2846"/>
      <w:r>
        <w:rPr>
          <w:rFonts w:hint="eastAsia" w:ascii="宋体" w:hAnsi="宋体" w:cs="宋体"/>
          <w:b/>
          <w:color w:val="auto"/>
          <w:sz w:val="24"/>
          <w:highlight w:val="none"/>
        </w:rPr>
        <w:t>1.5 标的物交付期限、地点、方式</w:t>
      </w:r>
      <w:bookmarkEnd w:id="128"/>
      <w:bookmarkEnd w:id="129"/>
      <w:bookmarkEnd w:id="130"/>
      <w:r>
        <w:rPr>
          <w:rFonts w:hint="eastAsia" w:ascii="宋体" w:hAnsi="宋体" w:cs="宋体"/>
          <w:b/>
          <w:color w:val="auto"/>
          <w:sz w:val="24"/>
          <w:highlight w:val="none"/>
        </w:rPr>
        <w:t>和服务</w:t>
      </w:r>
      <w:r>
        <w:rPr>
          <w:rFonts w:hint="eastAsia" w:ascii="宋体" w:hAnsi="宋体" w:cs="宋体"/>
          <w:b/>
          <w:color w:val="auto"/>
          <w:sz w:val="24"/>
          <w:highlight w:val="none"/>
          <w:lang w:val="en-US" w:eastAsia="zh-CN"/>
        </w:rPr>
        <w:t>时间</w:t>
      </w:r>
    </w:p>
    <w:p w14:paraId="160EF781">
      <w:pPr>
        <w:wordWrap w:val="0"/>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1.5.1 服务</w:t>
      </w:r>
      <w:r>
        <w:rPr>
          <w:rFonts w:hint="eastAsia" w:ascii="宋体" w:hAnsi="宋体" w:cs="宋体"/>
          <w:color w:val="auto"/>
          <w:sz w:val="24"/>
          <w:highlight w:val="none"/>
          <w:lang w:val="en-US" w:eastAsia="zh-CN"/>
        </w:rPr>
        <w:t>时间</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02260E98">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1.5.2 服务地点：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1C1DA819">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1.5.3 交付方式：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7094C461">
      <w:pPr>
        <w:wordWrap w:val="0"/>
        <w:spacing w:line="360" w:lineRule="auto"/>
        <w:ind w:firstLine="482" w:firstLineChars="200"/>
        <w:rPr>
          <w:rFonts w:ascii="宋体" w:hAnsi="宋体" w:cs="宋体"/>
          <w:b/>
          <w:color w:val="auto"/>
          <w:sz w:val="24"/>
          <w:highlight w:val="none"/>
        </w:rPr>
      </w:pPr>
      <w:bookmarkStart w:id="131" w:name="_Toc27250"/>
      <w:bookmarkStart w:id="132" w:name="_Toc19554"/>
      <w:bookmarkStart w:id="133" w:name="_Toc21423"/>
      <w:r>
        <w:rPr>
          <w:rFonts w:hint="eastAsia" w:ascii="宋体" w:hAnsi="宋体" w:cs="宋体"/>
          <w:b/>
          <w:color w:val="auto"/>
          <w:sz w:val="24"/>
          <w:highlight w:val="none"/>
        </w:rPr>
        <w:t>1.6 违约责任</w:t>
      </w:r>
      <w:bookmarkEnd w:id="131"/>
      <w:bookmarkEnd w:id="132"/>
      <w:bookmarkEnd w:id="133"/>
    </w:p>
    <w:p w14:paraId="0C01686D">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1.6.1 除不可抗力外，如果乙方没有按照本合同约定的期限、地点和方式交付标的物，甲方可要求乙方支付违约金，违约金按每迟延交付标的物一日的应交付而未交付标的物价格的</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（根据项目实际填写，一般为万分之五）计算，最高限额为本合同总价的</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%（根据项目实际填写，一般为20%）；迟延超过【  】（根据项目实际填写）日的，甲方有权在要求乙方支付违约金的同时，书面通知乙方解除本合同，乙方应退回全部已收取的合同价款并按合同总金额的</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（根据项目实际填写，一般为20%）向甲方支付违约金；</w:t>
      </w:r>
    </w:p>
    <w:p w14:paraId="77373D3F">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1.6.2 除不可抗力外，如果甲方没有按照本合同约定的付款方式付款，乙方可要求甲方支付违约金，违约金按每迟延付款一日的应付而未付款的</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（根据项目实际填写，一般为万分之五）计算，最高限额为欠付金额的</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%（根据项目实际填写，一般为20%）；迟延付款的违约金计算数额达到前述最高限额之日起，乙方有权在要求甲方支付违约金的同时，书面通知甲方解除本合同；</w:t>
      </w:r>
    </w:p>
    <w:p w14:paraId="31FF7564">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EF51A13">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1.6.4乙方在质保期内未按承诺提供售后等服务的，每发生一次向甲方支付违约金额</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元。（根据项目实际填写）</w:t>
      </w:r>
    </w:p>
    <w:p w14:paraId="18CE4A65">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1.6.5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08E4E731">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1.6.6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4600152A">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1.6.7 如果出现政府采购监督管理部门在处理投诉事项期间，书面通知甲方暂停采购活动的情形，或者询问或质疑事项可能影响中标结果的，导致甲方中止履行合同的情形，均不视为甲方违约。</w:t>
      </w:r>
    </w:p>
    <w:p w14:paraId="2B51FC91">
      <w:pPr>
        <w:wordWrap w:val="0"/>
        <w:spacing w:line="360" w:lineRule="auto"/>
        <w:ind w:firstLine="482" w:firstLineChars="200"/>
        <w:rPr>
          <w:rFonts w:ascii="宋体" w:hAnsi="宋体" w:cs="宋体"/>
          <w:b/>
          <w:color w:val="auto"/>
          <w:sz w:val="24"/>
          <w:highlight w:val="none"/>
        </w:rPr>
      </w:pPr>
      <w:bookmarkStart w:id="134" w:name="_Toc16021"/>
      <w:bookmarkStart w:id="135" w:name="_Toc28375"/>
      <w:bookmarkStart w:id="136" w:name="_Toc15583"/>
      <w:r>
        <w:rPr>
          <w:rFonts w:hint="eastAsia" w:ascii="宋体" w:hAnsi="宋体" w:cs="宋体"/>
          <w:b/>
          <w:color w:val="auto"/>
          <w:sz w:val="24"/>
          <w:highlight w:val="none"/>
        </w:rPr>
        <w:t>1.7 合同争议的解决</w:t>
      </w:r>
      <w:bookmarkEnd w:id="134"/>
      <w:bookmarkEnd w:id="135"/>
      <w:bookmarkEnd w:id="136"/>
    </w:p>
    <w:p w14:paraId="47259CA5">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本合同履行过程中发生的任何争议，双方当事人均应通过友好协商的方式和解或者调解解决；不愿和解、调解或者和解、调解不成的，可以选择下列第</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种方式解决：</w:t>
      </w:r>
    </w:p>
    <w:p w14:paraId="5BC6521A">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1.7.1 将争议提交</w:t>
      </w:r>
      <w:r>
        <w:rPr>
          <w:rFonts w:hint="eastAsia" w:ascii="宋体" w:hAnsi="宋体" w:cs="宋体"/>
          <w:color w:val="auto"/>
          <w:sz w:val="24"/>
          <w:highlight w:val="none"/>
          <w:u w:val="single"/>
        </w:rPr>
        <w:t>南宁市</w:t>
      </w:r>
      <w:r>
        <w:rPr>
          <w:rFonts w:hint="eastAsia" w:ascii="宋体" w:hAnsi="宋体" w:cs="宋体"/>
          <w:color w:val="auto"/>
          <w:sz w:val="24"/>
          <w:highlight w:val="none"/>
        </w:rPr>
        <w:t>仲裁委员会依申请仲裁时其现行有效的仲裁规则裁决；</w:t>
      </w:r>
    </w:p>
    <w:p w14:paraId="157882E7">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1.7.2 向</w:t>
      </w:r>
      <w:r>
        <w:rPr>
          <w:rFonts w:hint="eastAsia" w:ascii="宋体" w:hAnsi="宋体" w:cs="宋体"/>
          <w:color w:val="auto"/>
          <w:sz w:val="24"/>
          <w:highlight w:val="none"/>
          <w:u w:val="single"/>
        </w:rPr>
        <w:t xml:space="preserve"> 甲方所在地 </w:t>
      </w:r>
      <w:r>
        <w:rPr>
          <w:rFonts w:hint="eastAsia" w:ascii="宋体" w:hAnsi="宋体" w:cs="宋体"/>
          <w:color w:val="auto"/>
          <w:sz w:val="24"/>
          <w:highlight w:val="none"/>
        </w:rPr>
        <w:t>有管辖权的人民法院起诉。</w:t>
      </w:r>
    </w:p>
    <w:p w14:paraId="7FDC1F0A">
      <w:pPr>
        <w:wordWrap w:val="0"/>
        <w:spacing w:line="360" w:lineRule="auto"/>
        <w:ind w:firstLine="482" w:firstLineChars="200"/>
        <w:rPr>
          <w:rFonts w:ascii="宋体" w:hAnsi="宋体" w:cs="宋体"/>
          <w:b/>
          <w:color w:val="auto"/>
          <w:sz w:val="24"/>
          <w:highlight w:val="none"/>
        </w:rPr>
      </w:pPr>
      <w:bookmarkStart w:id="137" w:name="_Toc7245"/>
      <w:bookmarkStart w:id="138" w:name="_Toc15322"/>
      <w:bookmarkStart w:id="139" w:name="_Toc11173"/>
      <w:r>
        <w:rPr>
          <w:rFonts w:hint="eastAsia" w:ascii="宋体" w:hAnsi="宋体" w:cs="宋体"/>
          <w:b/>
          <w:color w:val="auto"/>
          <w:sz w:val="24"/>
          <w:highlight w:val="none"/>
        </w:rPr>
        <w:t>1.8 合同生效</w:t>
      </w:r>
      <w:bookmarkEnd w:id="137"/>
      <w:bookmarkEnd w:id="138"/>
      <w:bookmarkEnd w:id="139"/>
    </w:p>
    <w:p w14:paraId="2382EA9C">
      <w:pPr>
        <w:wordWrap w:val="0"/>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本合同自双方当事人加盖有效公章时生效。</w:t>
      </w:r>
    </w:p>
    <w:p w14:paraId="35719796">
      <w:pPr>
        <w:wordWrap w:val="0"/>
        <w:spacing w:line="360" w:lineRule="auto"/>
        <w:ind w:firstLine="200"/>
        <w:rPr>
          <w:rFonts w:ascii="宋体" w:hAnsi="宋体" w:cs="宋体"/>
          <w:color w:val="auto"/>
          <w:sz w:val="24"/>
          <w:highlight w:val="none"/>
          <w:lang w:val="zh-CN"/>
        </w:rPr>
      </w:pPr>
      <w:r>
        <w:rPr>
          <w:rFonts w:hint="eastAsia" w:ascii="宋体" w:hAnsi="宋体" w:cs="宋体"/>
          <w:color w:val="auto"/>
          <w:sz w:val="24"/>
          <w:highlight w:val="none"/>
          <w:lang w:val="zh-CN"/>
        </w:rPr>
        <w:t>甲方：                                  乙方：</w:t>
      </w:r>
    </w:p>
    <w:p w14:paraId="6815B697">
      <w:pPr>
        <w:wordWrap w:val="0"/>
        <w:spacing w:line="360" w:lineRule="auto"/>
        <w:ind w:firstLine="200"/>
        <w:rPr>
          <w:rFonts w:ascii="宋体" w:hAnsi="宋体" w:cs="宋体"/>
          <w:color w:val="auto"/>
          <w:sz w:val="24"/>
          <w:highlight w:val="none"/>
          <w:lang w:val="zh-CN"/>
        </w:rPr>
      </w:pPr>
      <w:r>
        <w:rPr>
          <w:rFonts w:hint="eastAsia" w:ascii="宋体" w:hAnsi="宋体" w:cs="宋体"/>
          <w:color w:val="auto"/>
          <w:sz w:val="24"/>
          <w:highlight w:val="none"/>
          <w:lang w:val="zh-CN"/>
        </w:rPr>
        <w:t>统一社会信用代码：                      统一社会信用代码或身份证号码：</w:t>
      </w:r>
    </w:p>
    <w:p w14:paraId="09E3599F">
      <w:pPr>
        <w:wordWrap w:val="0"/>
        <w:spacing w:line="360" w:lineRule="auto"/>
        <w:ind w:firstLine="200"/>
        <w:rPr>
          <w:rFonts w:ascii="宋体" w:hAnsi="宋体" w:cs="宋体"/>
          <w:color w:val="auto"/>
          <w:sz w:val="24"/>
          <w:highlight w:val="none"/>
          <w:lang w:val="zh-CN"/>
        </w:rPr>
      </w:pPr>
      <w:r>
        <w:rPr>
          <w:rFonts w:hint="eastAsia" w:ascii="宋体" w:hAnsi="宋体" w:cs="宋体"/>
          <w:color w:val="auto"/>
          <w:sz w:val="24"/>
          <w:highlight w:val="none"/>
          <w:lang w:val="zh-CN"/>
        </w:rPr>
        <w:t>住所：                                   住所：</w:t>
      </w:r>
    </w:p>
    <w:p w14:paraId="5F7A76D6">
      <w:pPr>
        <w:wordWrap w:val="0"/>
        <w:spacing w:line="360" w:lineRule="auto"/>
        <w:ind w:firstLine="200"/>
        <w:rPr>
          <w:rFonts w:ascii="宋体" w:hAnsi="宋体" w:cs="宋体"/>
          <w:color w:val="auto"/>
          <w:sz w:val="24"/>
          <w:highlight w:val="none"/>
          <w:lang w:val="zh-CN"/>
        </w:rPr>
      </w:pPr>
      <w:r>
        <w:rPr>
          <w:rFonts w:hint="eastAsia" w:ascii="宋体" w:hAnsi="宋体" w:cs="宋体"/>
          <w:color w:val="auto"/>
          <w:sz w:val="24"/>
          <w:highlight w:val="none"/>
          <w:lang w:val="zh-CN"/>
        </w:rPr>
        <w:t>法定代表人或                             法定代表人</w:t>
      </w:r>
    </w:p>
    <w:p w14:paraId="034F6BFA">
      <w:pPr>
        <w:wordWrap w:val="0"/>
        <w:spacing w:line="360" w:lineRule="auto"/>
        <w:ind w:firstLine="200"/>
        <w:rPr>
          <w:rFonts w:ascii="宋体" w:hAnsi="宋体" w:cs="宋体"/>
          <w:color w:val="auto"/>
          <w:sz w:val="24"/>
          <w:highlight w:val="none"/>
          <w:lang w:val="zh-CN"/>
        </w:rPr>
      </w:pPr>
      <w:r>
        <w:rPr>
          <w:rFonts w:hint="eastAsia" w:ascii="宋体" w:hAnsi="宋体" w:cs="宋体"/>
          <w:color w:val="auto"/>
          <w:sz w:val="24"/>
          <w:highlight w:val="none"/>
          <w:lang w:val="zh-CN"/>
        </w:rPr>
        <w:t xml:space="preserve">授权代表（签字）：                       或授权代表（签字）: </w:t>
      </w:r>
    </w:p>
    <w:p w14:paraId="6CE27AA0">
      <w:pPr>
        <w:wordWrap w:val="0"/>
        <w:spacing w:line="360" w:lineRule="auto"/>
        <w:ind w:firstLine="200"/>
        <w:rPr>
          <w:rFonts w:ascii="宋体" w:hAnsi="宋体" w:cs="宋体"/>
          <w:color w:val="auto"/>
          <w:sz w:val="24"/>
          <w:highlight w:val="none"/>
          <w:lang w:val="zh-CN"/>
        </w:rPr>
      </w:pPr>
      <w:r>
        <w:rPr>
          <w:rFonts w:hint="eastAsia" w:ascii="宋体" w:hAnsi="宋体" w:cs="宋体"/>
          <w:color w:val="auto"/>
          <w:sz w:val="24"/>
          <w:highlight w:val="none"/>
          <w:lang w:val="zh-CN"/>
        </w:rPr>
        <w:t>联系人：                                 联系人：</w:t>
      </w:r>
    </w:p>
    <w:p w14:paraId="302FF03A">
      <w:pPr>
        <w:wordWrap w:val="0"/>
        <w:spacing w:line="360" w:lineRule="auto"/>
        <w:ind w:firstLine="200"/>
        <w:rPr>
          <w:rFonts w:ascii="宋体" w:hAnsi="宋体" w:cs="宋体"/>
          <w:color w:val="auto"/>
          <w:sz w:val="24"/>
          <w:highlight w:val="none"/>
          <w:lang w:val="zh-CN"/>
        </w:rPr>
      </w:pPr>
      <w:r>
        <w:rPr>
          <w:rFonts w:hint="eastAsia" w:ascii="宋体" w:hAnsi="宋体" w:cs="宋体"/>
          <w:color w:val="auto"/>
          <w:sz w:val="24"/>
          <w:highlight w:val="none"/>
          <w:lang w:val="zh-CN"/>
        </w:rPr>
        <w:t>约定送达地址：                           约定送达地址：</w:t>
      </w:r>
    </w:p>
    <w:p w14:paraId="3B9BD123">
      <w:pPr>
        <w:wordWrap w:val="0"/>
        <w:spacing w:line="360" w:lineRule="auto"/>
        <w:ind w:firstLine="200"/>
        <w:rPr>
          <w:rFonts w:ascii="宋体" w:hAnsi="宋体" w:cs="宋体"/>
          <w:color w:val="auto"/>
          <w:sz w:val="24"/>
          <w:highlight w:val="none"/>
          <w:lang w:val="zh-CN"/>
        </w:rPr>
      </w:pPr>
      <w:r>
        <w:rPr>
          <w:rFonts w:hint="eastAsia" w:ascii="宋体" w:hAnsi="宋体" w:cs="宋体"/>
          <w:color w:val="auto"/>
          <w:sz w:val="24"/>
          <w:highlight w:val="none"/>
          <w:lang w:val="zh-CN"/>
        </w:rPr>
        <w:t>邮政编码：                               邮政编码：</w:t>
      </w:r>
    </w:p>
    <w:p w14:paraId="2AEF034A">
      <w:pPr>
        <w:wordWrap w:val="0"/>
        <w:spacing w:line="360" w:lineRule="auto"/>
        <w:ind w:firstLine="200"/>
        <w:rPr>
          <w:rFonts w:ascii="宋体" w:hAnsi="宋体" w:cs="宋体"/>
          <w:color w:val="auto"/>
          <w:sz w:val="24"/>
          <w:highlight w:val="none"/>
          <w:lang w:val="zh-CN"/>
        </w:rPr>
      </w:pPr>
      <w:r>
        <w:rPr>
          <w:rFonts w:hint="eastAsia" w:ascii="宋体" w:hAnsi="宋体" w:cs="宋体"/>
          <w:color w:val="auto"/>
          <w:sz w:val="24"/>
          <w:highlight w:val="none"/>
          <w:lang w:val="zh-CN"/>
        </w:rPr>
        <w:t xml:space="preserve">电话:                                    电话: </w:t>
      </w:r>
    </w:p>
    <w:p w14:paraId="630C9FFE">
      <w:pPr>
        <w:wordWrap w:val="0"/>
        <w:spacing w:line="360" w:lineRule="auto"/>
        <w:ind w:firstLine="200"/>
        <w:rPr>
          <w:rFonts w:ascii="宋体" w:hAnsi="宋体" w:cs="宋体"/>
          <w:color w:val="auto"/>
          <w:sz w:val="24"/>
          <w:highlight w:val="none"/>
          <w:lang w:val="zh-CN"/>
        </w:rPr>
      </w:pPr>
      <w:r>
        <w:rPr>
          <w:rFonts w:hint="eastAsia" w:ascii="宋体" w:hAnsi="宋体" w:cs="宋体"/>
          <w:color w:val="auto"/>
          <w:sz w:val="24"/>
          <w:highlight w:val="none"/>
          <w:lang w:val="zh-CN"/>
        </w:rPr>
        <w:t>传真:                                    传真:</w:t>
      </w:r>
    </w:p>
    <w:p w14:paraId="779A7319">
      <w:pPr>
        <w:wordWrap w:val="0"/>
        <w:spacing w:line="360" w:lineRule="auto"/>
        <w:ind w:firstLine="200"/>
        <w:rPr>
          <w:rFonts w:ascii="宋体" w:hAnsi="宋体" w:cs="宋体"/>
          <w:color w:val="auto"/>
          <w:sz w:val="24"/>
          <w:highlight w:val="none"/>
        </w:rPr>
      </w:pPr>
      <w:r>
        <w:rPr>
          <w:rFonts w:hint="eastAsia" w:ascii="宋体" w:hAnsi="宋体" w:cs="宋体"/>
          <w:color w:val="auto"/>
          <w:sz w:val="24"/>
          <w:highlight w:val="none"/>
          <w:lang w:val="zh-CN"/>
        </w:rPr>
        <w:t>电子邮箱：                               电子邮箱：</w:t>
      </w:r>
    </w:p>
    <w:p w14:paraId="3CC8A721">
      <w:pPr>
        <w:wordWrap w:val="0"/>
        <w:spacing w:line="360" w:lineRule="auto"/>
        <w:ind w:firstLine="200"/>
        <w:rPr>
          <w:rFonts w:ascii="宋体" w:hAnsi="宋体" w:cs="宋体"/>
          <w:color w:val="auto"/>
          <w:sz w:val="24"/>
          <w:highlight w:val="none"/>
        </w:rPr>
      </w:pPr>
      <w:r>
        <w:rPr>
          <w:rFonts w:hint="eastAsia" w:ascii="宋体" w:hAnsi="宋体" w:cs="宋体"/>
          <w:color w:val="auto"/>
          <w:sz w:val="24"/>
          <w:highlight w:val="none"/>
        </w:rPr>
        <w:t xml:space="preserve">开户银行：                               开户银行： </w:t>
      </w:r>
    </w:p>
    <w:p w14:paraId="1EB34FAF">
      <w:pPr>
        <w:wordWrap w:val="0"/>
        <w:spacing w:line="360" w:lineRule="auto"/>
        <w:ind w:firstLine="200"/>
        <w:rPr>
          <w:rFonts w:ascii="宋体" w:hAnsi="宋体" w:cs="宋体"/>
          <w:color w:val="auto"/>
          <w:sz w:val="24"/>
          <w:highlight w:val="none"/>
        </w:rPr>
      </w:pPr>
      <w:r>
        <w:rPr>
          <w:rFonts w:hint="eastAsia" w:ascii="宋体" w:hAnsi="宋体" w:cs="宋体"/>
          <w:color w:val="auto"/>
          <w:sz w:val="24"/>
          <w:highlight w:val="none"/>
        </w:rPr>
        <w:t xml:space="preserve">开户名称：                               开户名称： </w:t>
      </w:r>
    </w:p>
    <w:p w14:paraId="564202D3">
      <w:pPr>
        <w:wordWrap w:val="0"/>
        <w:spacing w:line="360" w:lineRule="auto"/>
        <w:ind w:firstLine="200"/>
        <w:rPr>
          <w:rFonts w:ascii="宋体" w:hAnsi="宋体" w:cs="宋体"/>
          <w:color w:val="auto"/>
          <w:sz w:val="24"/>
          <w:highlight w:val="none"/>
        </w:rPr>
      </w:pPr>
      <w:r>
        <w:rPr>
          <w:rFonts w:hint="eastAsia" w:ascii="宋体" w:hAnsi="宋体" w:cs="宋体"/>
          <w:color w:val="auto"/>
          <w:sz w:val="24"/>
          <w:highlight w:val="none"/>
        </w:rPr>
        <w:t>开户账号：</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开户账号：</w:t>
      </w:r>
    </w:p>
    <w:p w14:paraId="0717A68A">
      <w:pPr>
        <w:wordWrap w:val="0"/>
        <w:spacing w:line="360" w:lineRule="auto"/>
        <w:ind w:firstLine="200"/>
        <w:jc w:val="center"/>
        <w:rPr>
          <w:rFonts w:ascii="宋体" w:hAnsi="宋体" w:cs="宋体"/>
          <w:b/>
          <w:color w:val="auto"/>
          <w:sz w:val="28"/>
          <w:szCs w:val="28"/>
          <w:highlight w:val="none"/>
        </w:rPr>
      </w:pPr>
      <w:r>
        <w:rPr>
          <w:rFonts w:hint="eastAsia" w:ascii="宋体" w:hAnsi="宋体" w:cs="宋体"/>
          <w:b/>
          <w:color w:val="auto"/>
          <w:highlight w:val="none"/>
        </w:rPr>
        <w:br w:type="page"/>
      </w:r>
      <w:bookmarkStart w:id="140" w:name="_Toc331685783"/>
      <w:r>
        <w:rPr>
          <w:rFonts w:hint="eastAsia" w:ascii="宋体" w:hAnsi="宋体" w:cs="宋体"/>
          <w:b/>
          <w:color w:val="auto"/>
          <w:sz w:val="28"/>
          <w:szCs w:val="28"/>
          <w:highlight w:val="none"/>
        </w:rPr>
        <w:t>第二部分 合同一般条款</w:t>
      </w:r>
      <w:bookmarkEnd w:id="140"/>
    </w:p>
    <w:p w14:paraId="1F4A43A0">
      <w:pPr>
        <w:wordWrap w:val="0"/>
        <w:spacing w:line="360" w:lineRule="auto"/>
        <w:ind w:firstLine="482" w:firstLineChars="200"/>
        <w:rPr>
          <w:rFonts w:ascii="宋体" w:hAnsi="宋体" w:cs="宋体"/>
          <w:b/>
          <w:color w:val="auto"/>
          <w:sz w:val="24"/>
          <w:highlight w:val="none"/>
        </w:rPr>
      </w:pPr>
      <w:bookmarkStart w:id="141" w:name="_Toc487900349"/>
      <w:bookmarkStart w:id="142" w:name="_Toc259093669"/>
      <w:bookmarkStart w:id="143" w:name="_Toc279701240"/>
      <w:bookmarkStart w:id="144" w:name="_Ref467379225"/>
      <w:bookmarkStart w:id="145" w:name="_Toc19614"/>
      <w:bookmarkStart w:id="146" w:name="_Toc16917"/>
      <w:bookmarkStart w:id="147" w:name="_Ref467378463"/>
      <w:bookmarkStart w:id="148" w:name="_Ref467379094"/>
      <w:bookmarkStart w:id="149" w:name="_Ref467379214"/>
      <w:bookmarkStart w:id="150" w:name="_Toc28763"/>
      <w:bookmarkStart w:id="151" w:name="_Ref467378404"/>
      <w:bookmarkStart w:id="152" w:name="_Ref467379109"/>
      <w:bookmarkStart w:id="153" w:name="_Ref467379195"/>
      <w:bookmarkStart w:id="154" w:name="_Ref467378499"/>
      <w:bookmarkStart w:id="155" w:name="_Ref467379205"/>
      <w:bookmarkStart w:id="156" w:name="_Ref467379101"/>
      <w:r>
        <w:rPr>
          <w:rFonts w:hint="eastAsia" w:ascii="宋体" w:hAnsi="宋体" w:cs="宋体"/>
          <w:b/>
          <w:color w:val="auto"/>
          <w:sz w:val="24"/>
          <w:highlight w:val="none"/>
        </w:rPr>
        <w:t>2.1 定义</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14:paraId="1A1402F5">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本合同中的下列词语应按以下内容进行解释：</w:t>
      </w:r>
    </w:p>
    <w:p w14:paraId="40C0D2FA">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2.1.1 “合同”系指采购人和中标供应商签订的载明双方当事人所达成的协议，并包括所有的附件、附录和构成合同的其他文件。</w:t>
      </w:r>
    </w:p>
    <w:p w14:paraId="6933B1D8">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2.1.2 “合同价”系指根据合同约定，中标供应商在完全履行合同义务后，采购人应支付给中标供应商的价格。</w:t>
      </w:r>
    </w:p>
    <w:p w14:paraId="44D9DBA0">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2.1.3 “标的物”系指中标供应商根据合同约定应向采购人交付的一切各种形态和种类的货物、服务和工程，包括但不限于原材料、燃料、设备、机械、仪表、备件、计算机软件、信息化系统、信息化维保、物业服务、产品等，并包括工具、手册等其他相关资料。</w:t>
      </w:r>
    </w:p>
    <w:p w14:paraId="7A607714">
      <w:pPr>
        <w:wordWrap w:val="0"/>
        <w:spacing w:line="360" w:lineRule="auto"/>
        <w:ind w:firstLine="480" w:firstLineChars="200"/>
        <w:rPr>
          <w:rFonts w:ascii="宋体" w:hAnsi="宋体" w:cs="宋体"/>
          <w:color w:val="auto"/>
          <w:sz w:val="24"/>
          <w:highlight w:val="none"/>
        </w:rPr>
      </w:pPr>
      <w:bookmarkStart w:id="157" w:name="_Ref467378840"/>
      <w:r>
        <w:rPr>
          <w:rFonts w:hint="eastAsia" w:ascii="宋体" w:hAnsi="宋体" w:cs="宋体"/>
          <w:color w:val="auto"/>
          <w:sz w:val="24"/>
          <w:highlight w:val="none"/>
        </w:rPr>
        <w:t>2.1.4 “甲方”系指与中标供应商签署合同的采购人</w:t>
      </w:r>
      <w:bookmarkEnd w:id="157"/>
      <w:r>
        <w:rPr>
          <w:rFonts w:hint="eastAsia" w:ascii="宋体" w:hAnsi="宋体" w:cs="宋体"/>
          <w:color w:val="auto"/>
          <w:sz w:val="24"/>
          <w:highlight w:val="none"/>
        </w:rPr>
        <w:t>；采购人委托采购机构代表其与乙方签订合同的，采购人的授权委托书作为合同附件。</w:t>
      </w:r>
    </w:p>
    <w:p w14:paraId="66952BA7">
      <w:pPr>
        <w:wordWrap w:val="0"/>
        <w:spacing w:line="360" w:lineRule="auto"/>
        <w:ind w:firstLine="480" w:firstLineChars="200"/>
        <w:rPr>
          <w:rFonts w:ascii="宋体" w:hAnsi="宋体" w:cs="宋体"/>
          <w:color w:val="auto"/>
          <w:sz w:val="24"/>
          <w:highlight w:val="none"/>
        </w:rPr>
      </w:pPr>
      <w:bookmarkStart w:id="158" w:name="_Ref467379400"/>
      <w:r>
        <w:rPr>
          <w:rFonts w:hint="eastAsia" w:ascii="宋体" w:hAnsi="宋体" w:cs="宋体"/>
          <w:color w:val="auto"/>
          <w:sz w:val="24"/>
          <w:highlight w:val="none"/>
        </w:rPr>
        <w:t>2.1.5 “乙方”系指根据合同约定交付标的物的</w:t>
      </w:r>
      <w:bookmarkEnd w:id="158"/>
      <w:r>
        <w:rPr>
          <w:rFonts w:hint="eastAsia" w:ascii="宋体" w:hAnsi="宋体" w:cs="宋体"/>
          <w:color w:val="auto"/>
          <w:sz w:val="24"/>
          <w:highlight w:val="none"/>
        </w:rPr>
        <w:t>中标供应商；两个以上的自然人、法人或者其他组织组成一个联合体，以一个供应商的身份共同参加政府采购的，联合体各方均应为乙方或者与乙方相同地位的合同当事人，并就合同约定的事项对甲方承担连带责任。</w:t>
      </w:r>
    </w:p>
    <w:p w14:paraId="485AEF6B">
      <w:pPr>
        <w:wordWrap w:val="0"/>
        <w:spacing w:line="360" w:lineRule="auto"/>
        <w:ind w:firstLine="480" w:firstLineChars="200"/>
        <w:rPr>
          <w:rFonts w:ascii="宋体" w:hAnsi="宋体" w:cs="宋体"/>
          <w:color w:val="auto"/>
          <w:sz w:val="24"/>
          <w:highlight w:val="none"/>
        </w:rPr>
      </w:pPr>
      <w:bookmarkStart w:id="159" w:name="_Ref467379436"/>
      <w:r>
        <w:rPr>
          <w:rFonts w:hint="eastAsia" w:ascii="宋体" w:hAnsi="宋体" w:cs="宋体"/>
          <w:color w:val="auto"/>
          <w:sz w:val="24"/>
          <w:highlight w:val="none"/>
        </w:rPr>
        <w:t>2.1.6 “现场”系指合同约定标的物将要运至或者实施或者安装的地点。</w:t>
      </w:r>
      <w:bookmarkEnd w:id="159"/>
    </w:p>
    <w:p w14:paraId="7E6E6746">
      <w:pPr>
        <w:wordWrap w:val="0"/>
        <w:spacing w:line="360" w:lineRule="auto"/>
        <w:ind w:firstLine="482" w:firstLineChars="200"/>
        <w:rPr>
          <w:rFonts w:ascii="宋体" w:hAnsi="宋体" w:cs="宋体"/>
          <w:b/>
          <w:color w:val="auto"/>
          <w:sz w:val="24"/>
          <w:highlight w:val="none"/>
        </w:rPr>
      </w:pPr>
      <w:bookmarkStart w:id="160" w:name="_Toc32504"/>
      <w:bookmarkStart w:id="161" w:name="_Toc13336"/>
      <w:bookmarkStart w:id="162" w:name="_Toc487900350"/>
      <w:bookmarkStart w:id="163" w:name="_Toc279701241"/>
      <w:bookmarkStart w:id="164" w:name="_Toc27635"/>
      <w:bookmarkStart w:id="165" w:name="_Toc259093670"/>
      <w:r>
        <w:rPr>
          <w:rFonts w:hint="eastAsia" w:ascii="宋体" w:hAnsi="宋体" w:cs="宋体"/>
          <w:b/>
          <w:color w:val="auto"/>
          <w:sz w:val="24"/>
          <w:highlight w:val="none"/>
        </w:rPr>
        <w:t>2.2 技术规范</w:t>
      </w:r>
      <w:bookmarkEnd w:id="160"/>
      <w:bookmarkEnd w:id="161"/>
      <w:bookmarkEnd w:id="162"/>
      <w:bookmarkEnd w:id="163"/>
      <w:bookmarkEnd w:id="164"/>
      <w:bookmarkEnd w:id="165"/>
    </w:p>
    <w:p w14:paraId="72F2A8C7">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标的物所应遵守的技术规范应与采购文件规定的技术规范和技术规范附件(如果有的话)及其技术规范偏差表(如果被甲方接受的话)相一致；如果采购文件中没有技术规范的相应说明，应以国家有关部门最新颁布的相应标准和规范为准。</w:t>
      </w:r>
    </w:p>
    <w:p w14:paraId="529FEA21">
      <w:pPr>
        <w:wordWrap w:val="0"/>
        <w:spacing w:line="360" w:lineRule="auto"/>
        <w:ind w:firstLine="482" w:firstLineChars="200"/>
        <w:rPr>
          <w:rFonts w:ascii="宋体" w:hAnsi="宋体" w:cs="宋体"/>
          <w:b/>
          <w:color w:val="auto"/>
          <w:sz w:val="24"/>
          <w:highlight w:val="none"/>
        </w:rPr>
      </w:pPr>
      <w:bookmarkStart w:id="166" w:name="_Toc259093671"/>
      <w:bookmarkStart w:id="167" w:name="_Toc487900351"/>
      <w:bookmarkStart w:id="168" w:name="_Toc9829"/>
      <w:bookmarkStart w:id="169" w:name="_Toc27853"/>
      <w:bookmarkStart w:id="170" w:name="_Toc279701242"/>
      <w:bookmarkStart w:id="171" w:name="_Toc31634"/>
      <w:r>
        <w:rPr>
          <w:rFonts w:hint="eastAsia" w:ascii="宋体" w:hAnsi="宋体" w:cs="宋体"/>
          <w:b/>
          <w:color w:val="auto"/>
          <w:sz w:val="24"/>
          <w:highlight w:val="none"/>
        </w:rPr>
        <w:t>2.3 知识产权</w:t>
      </w:r>
      <w:bookmarkEnd w:id="166"/>
      <w:bookmarkEnd w:id="167"/>
      <w:bookmarkEnd w:id="168"/>
      <w:bookmarkEnd w:id="169"/>
      <w:bookmarkEnd w:id="170"/>
      <w:bookmarkEnd w:id="171"/>
    </w:p>
    <w:p w14:paraId="7F8BB079">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2.3.1 乙方应保证甲方在使用该标的物或其任何一部分时不受任何第三方提出的侵犯其著作权、商标权、专利权等知识产权方面的起诉；如果任何第三方提出侵权指控，乙方须与该第三方交涉并承担由此发生的一切责任、费用和赔偿；</w:t>
      </w:r>
    </w:p>
    <w:p w14:paraId="3D7968DD">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2.3.2具有知识产权的计算机软件等标的物的知识产权归属，详见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70546BD8">
      <w:pPr>
        <w:wordWrap w:val="0"/>
        <w:spacing w:line="360" w:lineRule="auto"/>
        <w:ind w:firstLine="482" w:firstLineChars="200"/>
        <w:rPr>
          <w:rFonts w:ascii="宋体" w:hAnsi="宋体" w:cs="宋体"/>
          <w:b/>
          <w:color w:val="auto"/>
          <w:sz w:val="24"/>
          <w:highlight w:val="none"/>
        </w:rPr>
      </w:pPr>
      <w:bookmarkStart w:id="172" w:name="_Toc4194"/>
      <w:bookmarkStart w:id="173" w:name="_Toc29149"/>
      <w:bookmarkStart w:id="174" w:name="_Toc11932"/>
      <w:r>
        <w:rPr>
          <w:rFonts w:hint="eastAsia" w:ascii="宋体" w:hAnsi="宋体" w:cs="宋体"/>
          <w:b/>
          <w:color w:val="auto"/>
          <w:sz w:val="24"/>
          <w:highlight w:val="none"/>
        </w:rPr>
        <w:t>2.4 包装和装运</w:t>
      </w:r>
      <w:bookmarkEnd w:id="172"/>
      <w:bookmarkEnd w:id="173"/>
      <w:bookmarkEnd w:id="174"/>
    </w:p>
    <w:p w14:paraId="4327C5F1">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2.4.1除</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另有约定外,乙方交付的全部标的物,均应采用本行业通用的方式进行包装，没有通用方式的，应当采取足以保护标的物的包装方式，且该包装应符合国家有关包装的法律、法规的规定。如有必要，包装应适用于远距离运输、防潮、防震、防锈和防粗暴装卸，确保标的物安全无损地运抵现场。由于包装不善所引起的标的物锈蚀、损坏和损失等一切风险均由乙方承担。</w:t>
      </w:r>
    </w:p>
    <w:p w14:paraId="4E72A980">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2.4.2 装运标的物的要求和通知，详见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0D7D9457">
      <w:pPr>
        <w:wordWrap w:val="0"/>
        <w:spacing w:line="360" w:lineRule="auto"/>
        <w:ind w:firstLine="482" w:firstLineChars="200"/>
        <w:rPr>
          <w:rFonts w:ascii="宋体" w:hAnsi="宋体" w:cs="宋体"/>
          <w:b/>
          <w:color w:val="auto"/>
          <w:sz w:val="24"/>
          <w:highlight w:val="none"/>
        </w:rPr>
      </w:pPr>
      <w:bookmarkStart w:id="175" w:name="_Ref467379536"/>
      <w:bookmarkStart w:id="176" w:name="_Ref467378591"/>
      <w:bookmarkStart w:id="177" w:name="_Toc487900354"/>
      <w:bookmarkStart w:id="178" w:name="_Toc279701245"/>
      <w:bookmarkStart w:id="179" w:name="_Ref467379527"/>
      <w:bookmarkStart w:id="180" w:name="_Ref467379542"/>
      <w:bookmarkStart w:id="181" w:name="_Ref467378541"/>
      <w:bookmarkStart w:id="182" w:name="_Toc259093674"/>
      <w:bookmarkStart w:id="183" w:name="_Toc30272"/>
      <w:bookmarkStart w:id="184" w:name="_Toc19074"/>
      <w:bookmarkStart w:id="185" w:name="_Toc26182"/>
      <w:r>
        <w:rPr>
          <w:rFonts w:hint="eastAsia" w:ascii="宋体" w:hAnsi="宋体" w:cs="宋体"/>
          <w:b/>
          <w:color w:val="auto"/>
          <w:sz w:val="24"/>
          <w:highlight w:val="none"/>
        </w:rPr>
        <w:t>2.</w:t>
      </w:r>
      <w:bookmarkEnd w:id="175"/>
      <w:bookmarkEnd w:id="176"/>
      <w:bookmarkEnd w:id="177"/>
      <w:bookmarkEnd w:id="178"/>
      <w:bookmarkEnd w:id="179"/>
      <w:bookmarkEnd w:id="180"/>
      <w:bookmarkEnd w:id="181"/>
      <w:bookmarkEnd w:id="182"/>
      <w:r>
        <w:rPr>
          <w:rFonts w:hint="eastAsia" w:ascii="宋体" w:hAnsi="宋体" w:cs="宋体"/>
          <w:b/>
          <w:color w:val="auto"/>
          <w:sz w:val="24"/>
          <w:highlight w:val="none"/>
        </w:rPr>
        <w:t>5 履约检查和问题反馈</w:t>
      </w:r>
      <w:bookmarkEnd w:id="183"/>
      <w:bookmarkEnd w:id="184"/>
      <w:bookmarkEnd w:id="185"/>
    </w:p>
    <w:p w14:paraId="14FFAFF7">
      <w:pPr>
        <w:wordWrap w:val="0"/>
        <w:spacing w:line="360" w:lineRule="auto"/>
        <w:ind w:firstLine="480" w:firstLineChars="200"/>
        <w:rPr>
          <w:rFonts w:ascii="宋体" w:hAnsi="宋体" w:cs="宋体"/>
          <w:color w:val="auto"/>
          <w:sz w:val="24"/>
          <w:highlight w:val="none"/>
        </w:rPr>
      </w:pPr>
      <w:bookmarkStart w:id="186" w:name="_Ref467379657"/>
      <w:r>
        <w:rPr>
          <w:rFonts w:hint="eastAsia" w:ascii="宋体" w:hAnsi="宋体" w:cs="宋体"/>
          <w:color w:val="auto"/>
          <w:sz w:val="24"/>
          <w:highlight w:val="none"/>
        </w:rPr>
        <w:t>2.5.1</w:t>
      </w:r>
      <w:bookmarkEnd w:id="186"/>
      <w:bookmarkStart w:id="187" w:name="_Toc186431854"/>
      <w:bookmarkStart w:id="188" w:name="_Ref467379793"/>
      <w:bookmarkStart w:id="189" w:name="_Ref467379807"/>
      <w:bookmarkStart w:id="190" w:name="_Toc279701247"/>
      <w:bookmarkStart w:id="191" w:name="_Toc487900357"/>
      <w:bookmarkStart w:id="192" w:name="_Toc259093676"/>
      <w:r>
        <w:rPr>
          <w:rFonts w:hint="eastAsia" w:ascii="宋体" w:hAnsi="宋体" w:cs="宋体"/>
          <w:color w:val="auto"/>
          <w:sz w:val="24"/>
          <w:highlight w:val="none"/>
        </w:rPr>
        <w:t>甲方有权在其认为必要时，对乙方是否能够按照合同约定交付标的物进行履约检查，以确保乙方所交付的标的物能够依约满足甲方之项目需求，但不得因履约检查妨碍乙方的正常工作，乙方应予积极配合；</w:t>
      </w:r>
    </w:p>
    <w:p w14:paraId="20725CE6">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2.5.2 合同履行期间，甲方有权将履行过程中出现的问题反馈给乙方，双方当事人应以书面形式约定需要完善和改进的内容</w:t>
      </w:r>
      <w:bookmarkEnd w:id="187"/>
      <w:bookmarkStart w:id="193" w:name="_Toc186431855"/>
      <w:r>
        <w:rPr>
          <w:rFonts w:hint="eastAsia" w:ascii="宋体" w:hAnsi="宋体" w:cs="宋体"/>
          <w:color w:val="auto"/>
          <w:sz w:val="24"/>
          <w:highlight w:val="none"/>
        </w:rPr>
        <w:t>。</w:t>
      </w:r>
    </w:p>
    <w:bookmarkEnd w:id="193"/>
    <w:p w14:paraId="50CE7580">
      <w:pPr>
        <w:wordWrap w:val="0"/>
        <w:spacing w:line="360" w:lineRule="auto"/>
        <w:ind w:firstLine="482" w:firstLineChars="200"/>
        <w:rPr>
          <w:rFonts w:ascii="宋体" w:hAnsi="宋体" w:cs="宋体"/>
          <w:b/>
          <w:color w:val="auto"/>
          <w:sz w:val="24"/>
          <w:highlight w:val="none"/>
        </w:rPr>
      </w:pPr>
      <w:bookmarkStart w:id="194" w:name="_Toc7836"/>
      <w:bookmarkStart w:id="195" w:name="_Toc19219"/>
      <w:bookmarkStart w:id="196" w:name="_Toc28451"/>
      <w:r>
        <w:rPr>
          <w:rFonts w:hint="eastAsia" w:ascii="宋体" w:hAnsi="宋体" w:cs="宋体"/>
          <w:b/>
          <w:color w:val="auto"/>
          <w:sz w:val="24"/>
          <w:highlight w:val="none"/>
        </w:rPr>
        <w:t>2.6 结算方式和付款条件</w:t>
      </w:r>
      <w:bookmarkEnd w:id="188"/>
      <w:bookmarkEnd w:id="189"/>
      <w:bookmarkEnd w:id="190"/>
      <w:bookmarkEnd w:id="191"/>
      <w:bookmarkEnd w:id="192"/>
      <w:bookmarkEnd w:id="194"/>
      <w:bookmarkEnd w:id="195"/>
      <w:bookmarkEnd w:id="196"/>
    </w:p>
    <w:p w14:paraId="0A1F43AE">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4B79F818">
      <w:pPr>
        <w:wordWrap w:val="0"/>
        <w:spacing w:line="360" w:lineRule="auto"/>
        <w:ind w:firstLine="482" w:firstLineChars="200"/>
        <w:rPr>
          <w:rFonts w:ascii="宋体" w:hAnsi="宋体" w:cs="宋体"/>
          <w:b/>
          <w:color w:val="auto"/>
          <w:sz w:val="24"/>
          <w:highlight w:val="none"/>
        </w:rPr>
      </w:pPr>
      <w:bookmarkStart w:id="197" w:name="_Toc259093677"/>
      <w:bookmarkStart w:id="198" w:name="_Ref467379863"/>
      <w:bookmarkStart w:id="199" w:name="_Ref467379923"/>
      <w:bookmarkStart w:id="200" w:name="_Ref467379852"/>
      <w:bookmarkStart w:id="201" w:name="_Toc487900358"/>
      <w:bookmarkStart w:id="202" w:name="_Toc279701248"/>
      <w:bookmarkStart w:id="203" w:name="_Toc3225"/>
      <w:bookmarkStart w:id="204" w:name="_Toc16110"/>
      <w:bookmarkStart w:id="205" w:name="_Toc774"/>
      <w:r>
        <w:rPr>
          <w:rFonts w:hint="eastAsia" w:ascii="宋体" w:hAnsi="宋体" w:cs="宋体"/>
          <w:b/>
          <w:color w:val="auto"/>
          <w:sz w:val="24"/>
          <w:highlight w:val="none"/>
        </w:rPr>
        <w:t>2.7 技术资料</w:t>
      </w:r>
      <w:bookmarkEnd w:id="197"/>
      <w:bookmarkEnd w:id="198"/>
      <w:bookmarkEnd w:id="199"/>
      <w:bookmarkEnd w:id="200"/>
      <w:bookmarkEnd w:id="201"/>
      <w:bookmarkEnd w:id="202"/>
      <w:r>
        <w:rPr>
          <w:rFonts w:hint="eastAsia" w:ascii="宋体" w:hAnsi="宋体" w:cs="宋体"/>
          <w:b/>
          <w:color w:val="auto"/>
          <w:sz w:val="24"/>
          <w:highlight w:val="none"/>
        </w:rPr>
        <w:t>和保密义务</w:t>
      </w:r>
      <w:bookmarkEnd w:id="203"/>
      <w:bookmarkEnd w:id="204"/>
      <w:bookmarkEnd w:id="205"/>
    </w:p>
    <w:p w14:paraId="59271673">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2.7.1 乙方有权依据合同约定和项目需要，向甲方了解有关情况，调阅有关资料等，甲方应予积极配合；</w:t>
      </w:r>
    </w:p>
    <w:p w14:paraId="2EB44BC6">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2.7.2 乙方有义务妥善保管和保护由甲方提供的前款信息和资料等；</w:t>
      </w:r>
    </w:p>
    <w:p w14:paraId="25384F65">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及方式防止任何第三方接触到对方当事人的上述保密信息和资料。</w:t>
      </w:r>
    </w:p>
    <w:p w14:paraId="0EA06C17">
      <w:pPr>
        <w:wordWrap w:val="0"/>
        <w:spacing w:line="360" w:lineRule="auto"/>
        <w:ind w:firstLine="482" w:firstLineChars="200"/>
        <w:rPr>
          <w:rFonts w:ascii="宋体" w:hAnsi="宋体" w:cs="宋体"/>
          <w:b/>
          <w:color w:val="auto"/>
          <w:sz w:val="24"/>
          <w:highlight w:val="none"/>
        </w:rPr>
      </w:pPr>
      <w:bookmarkStart w:id="206" w:name="_Toc7860"/>
      <w:r>
        <w:rPr>
          <w:rFonts w:hint="eastAsia" w:ascii="宋体" w:hAnsi="宋体" w:cs="宋体"/>
          <w:b/>
          <w:color w:val="auto"/>
          <w:sz w:val="24"/>
          <w:highlight w:val="none"/>
        </w:rPr>
        <w:t>2.8 质量保证</w:t>
      </w:r>
      <w:bookmarkEnd w:id="206"/>
    </w:p>
    <w:p w14:paraId="515B0024">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2.8.1 乙方应建立和完善履行合同的内部质量保证体系，并提供相关内部规章制度给甲方，以便甲方进行监督检查；</w:t>
      </w:r>
    </w:p>
    <w:p w14:paraId="77BAD03E">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2.8.2 乙方应保证履行合同的人员数量和素质、软件和硬件设备的配置、场地、环境和设施等满足全面履行合同的要求，并应接受甲方的监督检查。</w:t>
      </w:r>
    </w:p>
    <w:p w14:paraId="0CC6E4EF">
      <w:pPr>
        <w:wordWrap w:val="0"/>
        <w:spacing w:line="360" w:lineRule="auto"/>
        <w:ind w:firstLine="480" w:firstLineChars="200"/>
        <w:rPr>
          <w:rFonts w:ascii="宋体" w:hAnsi="宋体" w:cs="宋体"/>
          <w:color w:val="auto"/>
          <w:kern w:val="0"/>
          <w:sz w:val="24"/>
          <w:highlight w:val="none"/>
        </w:rPr>
      </w:pPr>
      <w:r>
        <w:rPr>
          <w:rFonts w:hint="eastAsia" w:ascii="宋体" w:hAnsi="宋体" w:cs="宋体"/>
          <w:color w:val="auto"/>
          <w:sz w:val="24"/>
          <w:highlight w:val="none"/>
        </w:rPr>
        <w:t>2.8.3乙方应确保项目技术人员的数量和水平与投标文件一致。未经甲方书面同意，乙方不得擅自更换投标文件中注明的项目经理和技术负责人。否则</w:t>
      </w:r>
      <w:r>
        <w:rPr>
          <w:rFonts w:hint="eastAsia" w:ascii="宋体" w:hAnsi="宋体" w:cs="宋体"/>
          <w:color w:val="auto"/>
          <w:kern w:val="0"/>
          <w:sz w:val="24"/>
          <w:highlight w:val="none"/>
        </w:rPr>
        <w:t>甲方有权放弃或终止合同，并没收履约保证金。</w:t>
      </w:r>
    </w:p>
    <w:p w14:paraId="40F0116E">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2.8.4因乙方原因造成甲方其他系统不能正常运行，酿成重大事故（工作日系统中断一天以上）的，乙方应承担全部法律责任，并赔偿经济损失，赔偿金额为项目总价的</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（根据项目实际情况填写，一般为30%）。</w:t>
      </w:r>
    </w:p>
    <w:p w14:paraId="2B5E18C0">
      <w:pPr>
        <w:wordWrap w:val="0"/>
        <w:spacing w:line="360" w:lineRule="auto"/>
        <w:ind w:firstLine="482" w:firstLineChars="200"/>
        <w:rPr>
          <w:rFonts w:ascii="宋体" w:hAnsi="宋体" w:cs="宋体"/>
          <w:b/>
          <w:color w:val="auto"/>
          <w:sz w:val="24"/>
          <w:highlight w:val="none"/>
        </w:rPr>
      </w:pPr>
      <w:bookmarkStart w:id="207" w:name="_Toc17244"/>
      <w:bookmarkStart w:id="208" w:name="_Toc259093681"/>
      <w:bookmarkStart w:id="209" w:name="_Toc487900362"/>
      <w:bookmarkStart w:id="210" w:name="_Toc279701252"/>
      <w:r>
        <w:rPr>
          <w:rFonts w:hint="eastAsia" w:ascii="宋体" w:hAnsi="宋体" w:cs="宋体"/>
          <w:b/>
          <w:color w:val="auto"/>
          <w:sz w:val="24"/>
          <w:highlight w:val="none"/>
        </w:rPr>
        <w:t>2.9 标的物的风险负担</w:t>
      </w:r>
      <w:bookmarkEnd w:id="207"/>
    </w:p>
    <w:p w14:paraId="0D63AA48">
      <w:pPr>
        <w:wordWrap w:val="0"/>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标的物或者在途标的物或者交付给第一承运人后的标的物毁损、灭失的风险负担详见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59CA3396">
      <w:pPr>
        <w:wordWrap w:val="0"/>
        <w:spacing w:line="360" w:lineRule="auto"/>
        <w:ind w:firstLine="482" w:firstLineChars="200"/>
        <w:rPr>
          <w:rFonts w:ascii="宋体" w:hAnsi="宋体" w:cs="宋体"/>
          <w:b/>
          <w:color w:val="auto"/>
          <w:sz w:val="24"/>
          <w:highlight w:val="none"/>
        </w:rPr>
      </w:pPr>
      <w:bookmarkStart w:id="211" w:name="_Toc14055"/>
      <w:r>
        <w:rPr>
          <w:rFonts w:hint="eastAsia" w:ascii="宋体" w:hAnsi="宋体" w:cs="宋体"/>
          <w:b/>
          <w:color w:val="auto"/>
          <w:sz w:val="24"/>
          <w:highlight w:val="none"/>
        </w:rPr>
        <w:t>2.10 延迟交货</w:t>
      </w:r>
      <w:bookmarkEnd w:id="208"/>
      <w:bookmarkEnd w:id="209"/>
      <w:bookmarkEnd w:id="210"/>
      <w:bookmarkEnd w:id="211"/>
      <w:r>
        <w:rPr>
          <w:rFonts w:hint="eastAsia" w:ascii="宋体" w:hAnsi="宋体" w:cs="宋体"/>
          <w:b/>
          <w:color w:val="auto"/>
          <w:sz w:val="24"/>
          <w:highlight w:val="none"/>
        </w:rPr>
        <w:t>/交付</w:t>
      </w:r>
    </w:p>
    <w:p w14:paraId="122A14EC">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在合同履行过程中，如果乙方遇到不能按时交付标的物的情况，应及时以书面形式将不能按时交付标的物的理由、预期延误时间通知甲方；甲方收到乙方通知后，认为其理由正当的，可以书面形式酌情同意乙方可以延长交货的具体时间。</w:t>
      </w:r>
    </w:p>
    <w:p w14:paraId="0A9364E4">
      <w:pPr>
        <w:wordWrap w:val="0"/>
        <w:spacing w:line="360" w:lineRule="auto"/>
        <w:ind w:firstLine="482" w:firstLineChars="200"/>
        <w:rPr>
          <w:rFonts w:ascii="宋体" w:hAnsi="宋体" w:cs="宋体"/>
          <w:b/>
          <w:color w:val="auto"/>
          <w:sz w:val="24"/>
          <w:highlight w:val="none"/>
        </w:rPr>
      </w:pPr>
      <w:bookmarkStart w:id="212" w:name="_Toc7502"/>
      <w:bookmarkStart w:id="213" w:name="_Toc487900364"/>
      <w:bookmarkStart w:id="214" w:name="_Toc259093683"/>
      <w:bookmarkStart w:id="215" w:name="_Toc279701254"/>
      <w:bookmarkStart w:id="216" w:name="_Ref467378121"/>
      <w:r>
        <w:rPr>
          <w:rFonts w:hint="eastAsia" w:ascii="宋体" w:hAnsi="宋体" w:cs="宋体"/>
          <w:b/>
          <w:color w:val="auto"/>
          <w:sz w:val="24"/>
          <w:highlight w:val="none"/>
        </w:rPr>
        <w:t>2.11 合同变更</w:t>
      </w:r>
      <w:bookmarkEnd w:id="212"/>
    </w:p>
    <w:p w14:paraId="11CAD23A">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2.11.1双方当事人协商一致，可以签订书面补充合同的形式变更合同，但不得违背采购文件确定的事项。如果系追加与合同标的相同的标的物的，那么需经采购监督管理部门同意，且所有补充合同的采购金额不得超过原合同价的10%；</w:t>
      </w:r>
    </w:p>
    <w:p w14:paraId="282D8D79">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2.11.2 合同继续履行将损害国家利益和社会公共利益的，双方当事人应当以书面形式变更合同。有过错的一方应当承担赔偿责任，双方当事人都有过错的，各自承担相应的责任。</w:t>
      </w:r>
      <w:bookmarkStart w:id="217" w:name="_Toc259093688"/>
      <w:bookmarkStart w:id="218" w:name="_Toc279701259"/>
      <w:bookmarkStart w:id="219" w:name="_Toc487900369"/>
    </w:p>
    <w:p w14:paraId="74344E43">
      <w:pPr>
        <w:wordWrap w:val="0"/>
        <w:spacing w:line="360" w:lineRule="auto"/>
        <w:ind w:firstLine="482" w:firstLineChars="200"/>
        <w:rPr>
          <w:rFonts w:ascii="宋体" w:hAnsi="宋体" w:cs="宋体"/>
          <w:b/>
          <w:color w:val="auto"/>
          <w:sz w:val="24"/>
          <w:highlight w:val="none"/>
        </w:rPr>
      </w:pPr>
      <w:bookmarkStart w:id="220" w:name="_Toc22955"/>
      <w:bookmarkStart w:id="221" w:name="_Toc10366"/>
      <w:bookmarkStart w:id="222" w:name="_Toc15237"/>
      <w:r>
        <w:rPr>
          <w:rFonts w:hint="eastAsia" w:ascii="宋体" w:hAnsi="宋体" w:cs="宋体"/>
          <w:b/>
          <w:color w:val="auto"/>
          <w:sz w:val="24"/>
          <w:highlight w:val="none"/>
        </w:rPr>
        <w:t>2.12 合同转让</w:t>
      </w:r>
      <w:bookmarkEnd w:id="217"/>
      <w:bookmarkEnd w:id="218"/>
      <w:bookmarkEnd w:id="219"/>
      <w:r>
        <w:rPr>
          <w:rFonts w:hint="eastAsia" w:ascii="宋体" w:hAnsi="宋体" w:cs="宋体"/>
          <w:b/>
          <w:color w:val="auto"/>
          <w:sz w:val="24"/>
          <w:highlight w:val="none"/>
        </w:rPr>
        <w:t>和分包</w:t>
      </w:r>
      <w:bookmarkEnd w:id="220"/>
      <w:bookmarkEnd w:id="221"/>
      <w:bookmarkEnd w:id="222"/>
    </w:p>
    <w:p w14:paraId="005B877B">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合同的权利义务依法不得转让，但经甲方书面同意，乙方可以依法采取分包方式履行合同，即：依法可以将合同项下的部分非主体、非关键性工作分包给他人完成，接受分包的供应商应当具备相应的资格条件，并不得再次分包，且乙方应就分包项目向甲方负责，并与分包供应商就分包项目向甲方承担连带责任。</w:t>
      </w:r>
    </w:p>
    <w:p w14:paraId="3049F457">
      <w:pPr>
        <w:wordWrap w:val="0"/>
        <w:spacing w:line="360" w:lineRule="auto"/>
        <w:ind w:firstLine="482" w:firstLineChars="200"/>
        <w:rPr>
          <w:rFonts w:ascii="宋体" w:hAnsi="宋体" w:cs="宋体"/>
          <w:b/>
          <w:color w:val="auto"/>
          <w:sz w:val="24"/>
          <w:highlight w:val="none"/>
        </w:rPr>
      </w:pPr>
      <w:bookmarkStart w:id="223" w:name="_Toc14066"/>
      <w:bookmarkStart w:id="224" w:name="_Toc13566"/>
      <w:bookmarkStart w:id="225" w:name="_Toc16508"/>
      <w:r>
        <w:rPr>
          <w:rFonts w:hint="eastAsia" w:ascii="宋体" w:hAnsi="宋体" w:cs="宋体"/>
          <w:b/>
          <w:color w:val="auto"/>
          <w:sz w:val="24"/>
          <w:highlight w:val="none"/>
        </w:rPr>
        <w:t>2.13 不可抗力</w:t>
      </w:r>
      <w:bookmarkEnd w:id="223"/>
      <w:bookmarkEnd w:id="224"/>
      <w:bookmarkEnd w:id="225"/>
    </w:p>
    <w:p w14:paraId="01DFFEFD">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2.13.1如果任何一方遭遇法律规定的不可抗力，致使合同履行受阻时，履行合同的期限应予延长，延长的期限应相当于不可抗力所影响的时间；</w:t>
      </w:r>
    </w:p>
    <w:p w14:paraId="57661F69">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2.13.2受不可抗力影响的一方在不可抗力发生后，应在</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约定时间内以书面形式通知对方当事人，并在</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约定时间内，将有关部门出具的证明文件送达对方当事人。</w:t>
      </w:r>
    </w:p>
    <w:p w14:paraId="00CA6BAC">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2.13.3 因不可抗力致使不能实现合同目的的，当事人可以解除合同；</w:t>
      </w:r>
    </w:p>
    <w:p w14:paraId="008D3F76">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2.13.4 因不可抗力致使合同有变更必要的，双方当事人应在</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约定时间内以书面形式变更合同；</w:t>
      </w:r>
    </w:p>
    <w:p w14:paraId="79FC6E36">
      <w:pPr>
        <w:wordWrap w:val="0"/>
        <w:spacing w:line="360" w:lineRule="auto"/>
        <w:ind w:firstLine="482" w:firstLineChars="200"/>
        <w:rPr>
          <w:rFonts w:ascii="宋体" w:hAnsi="宋体" w:cs="宋体"/>
          <w:b/>
          <w:color w:val="auto"/>
          <w:sz w:val="24"/>
          <w:highlight w:val="none"/>
        </w:rPr>
      </w:pPr>
      <w:bookmarkStart w:id="226" w:name="_Toc487900365"/>
      <w:bookmarkStart w:id="227" w:name="_Toc689"/>
      <w:bookmarkStart w:id="228" w:name="_Toc259093684"/>
      <w:bookmarkStart w:id="229" w:name="_Toc30676"/>
      <w:bookmarkStart w:id="230" w:name="_Toc6969"/>
      <w:bookmarkStart w:id="231" w:name="_Toc279701255"/>
      <w:r>
        <w:rPr>
          <w:rFonts w:hint="eastAsia" w:ascii="宋体" w:hAnsi="宋体" w:cs="宋体"/>
          <w:b/>
          <w:color w:val="auto"/>
          <w:sz w:val="24"/>
          <w:highlight w:val="none"/>
        </w:rPr>
        <w:t>2.14 税费</w:t>
      </w:r>
      <w:bookmarkEnd w:id="226"/>
      <w:bookmarkEnd w:id="227"/>
      <w:bookmarkEnd w:id="228"/>
      <w:bookmarkEnd w:id="229"/>
      <w:bookmarkEnd w:id="230"/>
      <w:bookmarkEnd w:id="231"/>
    </w:p>
    <w:p w14:paraId="6A462A8F">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与合同有关的一切税费，均按照中华人民共和国法律的相关规定执行。</w:t>
      </w:r>
    </w:p>
    <w:p w14:paraId="669A84AB">
      <w:pPr>
        <w:wordWrap w:val="0"/>
        <w:spacing w:line="360" w:lineRule="auto"/>
        <w:ind w:firstLine="482" w:firstLineChars="200"/>
        <w:rPr>
          <w:rFonts w:ascii="宋体" w:hAnsi="宋体" w:cs="宋体"/>
          <w:b/>
          <w:color w:val="auto"/>
          <w:sz w:val="24"/>
          <w:highlight w:val="none"/>
        </w:rPr>
      </w:pPr>
      <w:bookmarkStart w:id="232" w:name="_Toc16959"/>
      <w:bookmarkStart w:id="233" w:name="_Toc259093687"/>
      <w:bookmarkStart w:id="234" w:name="_Toc7102"/>
      <w:bookmarkStart w:id="235" w:name="_Toc279701258"/>
      <w:bookmarkStart w:id="236" w:name="_Toc487900368"/>
      <w:bookmarkStart w:id="237" w:name="_Toc8298"/>
      <w:r>
        <w:rPr>
          <w:rFonts w:hint="eastAsia" w:ascii="宋体" w:hAnsi="宋体" w:cs="宋体"/>
          <w:b/>
          <w:color w:val="auto"/>
          <w:sz w:val="24"/>
          <w:highlight w:val="none"/>
        </w:rPr>
        <w:t>2.15 乙方破产</w:t>
      </w:r>
      <w:bookmarkEnd w:id="232"/>
      <w:bookmarkEnd w:id="233"/>
      <w:bookmarkEnd w:id="234"/>
      <w:bookmarkEnd w:id="235"/>
      <w:bookmarkEnd w:id="236"/>
      <w:bookmarkEnd w:id="237"/>
    </w:p>
    <w:p w14:paraId="079CEA14">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370182D2">
      <w:pPr>
        <w:wordWrap w:val="0"/>
        <w:spacing w:line="360" w:lineRule="auto"/>
        <w:ind w:firstLine="482" w:firstLineChars="200"/>
        <w:rPr>
          <w:rFonts w:ascii="宋体" w:hAnsi="宋体" w:cs="宋体"/>
          <w:b/>
          <w:color w:val="auto"/>
          <w:sz w:val="24"/>
          <w:highlight w:val="none"/>
        </w:rPr>
      </w:pPr>
      <w:bookmarkStart w:id="238" w:name="_Toc6134"/>
      <w:bookmarkStart w:id="239" w:name="_Toc29333"/>
      <w:bookmarkStart w:id="240" w:name="_Toc15387"/>
      <w:r>
        <w:rPr>
          <w:rFonts w:hint="eastAsia" w:ascii="宋体" w:hAnsi="宋体" w:cs="宋体"/>
          <w:b/>
          <w:color w:val="auto"/>
          <w:sz w:val="24"/>
          <w:highlight w:val="none"/>
        </w:rPr>
        <w:t>2.16 合同中止、终止</w:t>
      </w:r>
      <w:bookmarkEnd w:id="238"/>
      <w:bookmarkEnd w:id="239"/>
      <w:bookmarkEnd w:id="240"/>
    </w:p>
    <w:p w14:paraId="58CFF9E5">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2.16.1 双方当事人不得擅自中止或者终止合同；</w:t>
      </w:r>
    </w:p>
    <w:p w14:paraId="54642617">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2.16.2合同继续履行将损害国家利益和社会公共利益的，双方当事人应当中止或者终止合同。有过错的一方应当承担赔偿责任，双方当事人都有过错的，各自承担相应的责任。</w:t>
      </w:r>
    </w:p>
    <w:p w14:paraId="744F3FCB">
      <w:pPr>
        <w:wordWrap w:val="0"/>
        <w:spacing w:line="360" w:lineRule="auto"/>
        <w:ind w:firstLine="482" w:firstLineChars="200"/>
        <w:rPr>
          <w:rFonts w:ascii="宋体" w:hAnsi="宋体" w:cs="宋体"/>
          <w:b/>
          <w:color w:val="auto"/>
          <w:sz w:val="24"/>
          <w:highlight w:val="none"/>
        </w:rPr>
      </w:pPr>
      <w:bookmarkStart w:id="241" w:name="_Toc6596"/>
      <w:bookmarkStart w:id="242" w:name="_Toc14563"/>
      <w:bookmarkStart w:id="243" w:name="_Toc1125"/>
      <w:r>
        <w:rPr>
          <w:rFonts w:hint="eastAsia" w:ascii="宋体" w:hAnsi="宋体" w:cs="宋体"/>
          <w:b/>
          <w:color w:val="auto"/>
          <w:sz w:val="24"/>
          <w:highlight w:val="none"/>
        </w:rPr>
        <w:t>2.17 检验和验收</w:t>
      </w:r>
      <w:bookmarkEnd w:id="241"/>
      <w:bookmarkEnd w:id="242"/>
      <w:bookmarkEnd w:id="243"/>
    </w:p>
    <w:p w14:paraId="11566195">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2.17.1标的物交付前，乙方应对标的物的质量、数量等方面进行详细、全面的检验，并向甲方出具证明标的物符合合同约定的文件；标的物交付时，乙方在</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约定时间内组织验收，并可依法邀请相关方参加，验收应出具验收书。</w:t>
      </w:r>
    </w:p>
    <w:p w14:paraId="4D701088">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0F1041A0">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2.17.3 检验和验收标准、程序等具体内容以及前述验收书的效力详见</w:t>
      </w:r>
      <w:r>
        <w:rPr>
          <w:rFonts w:hint="eastAsia" w:ascii="宋体" w:hAnsi="宋体" w:cs="宋体"/>
          <w:b/>
          <w:i/>
          <w:color w:val="auto"/>
          <w:sz w:val="24"/>
          <w:highlight w:val="none"/>
          <w:u w:val="single"/>
        </w:rPr>
        <w:t>合同专用条款</w:t>
      </w:r>
      <w:r>
        <w:rPr>
          <w:rFonts w:hint="eastAsia" w:ascii="宋体" w:hAnsi="宋体" w:cs="宋体"/>
          <w:i/>
          <w:color w:val="auto"/>
          <w:sz w:val="24"/>
          <w:highlight w:val="none"/>
        </w:rPr>
        <w:t>。</w:t>
      </w:r>
    </w:p>
    <w:bookmarkEnd w:id="213"/>
    <w:bookmarkEnd w:id="214"/>
    <w:bookmarkEnd w:id="215"/>
    <w:bookmarkEnd w:id="216"/>
    <w:p w14:paraId="06EE16ED">
      <w:pPr>
        <w:wordWrap w:val="0"/>
        <w:spacing w:line="360" w:lineRule="auto"/>
        <w:ind w:firstLine="482" w:firstLineChars="200"/>
        <w:rPr>
          <w:rFonts w:ascii="宋体" w:hAnsi="宋体" w:cs="宋体"/>
          <w:b/>
          <w:color w:val="auto"/>
          <w:sz w:val="24"/>
          <w:highlight w:val="none"/>
        </w:rPr>
      </w:pPr>
      <w:bookmarkStart w:id="244" w:name="_Toc487900371"/>
      <w:bookmarkStart w:id="245" w:name="_Toc279701261"/>
      <w:bookmarkStart w:id="246" w:name="_Toc259093690"/>
      <w:bookmarkStart w:id="247" w:name="_Toc11284"/>
      <w:bookmarkStart w:id="248" w:name="_Toc19604"/>
      <w:bookmarkStart w:id="249" w:name="_Toc25182"/>
      <w:r>
        <w:rPr>
          <w:rFonts w:hint="eastAsia" w:ascii="宋体" w:hAnsi="宋体" w:cs="宋体"/>
          <w:b/>
          <w:color w:val="auto"/>
          <w:sz w:val="24"/>
          <w:highlight w:val="none"/>
        </w:rPr>
        <w:t>2.18 通知</w:t>
      </w:r>
      <w:bookmarkEnd w:id="244"/>
      <w:bookmarkEnd w:id="245"/>
      <w:bookmarkEnd w:id="246"/>
      <w:r>
        <w:rPr>
          <w:rFonts w:hint="eastAsia" w:ascii="宋体" w:hAnsi="宋体" w:cs="宋体"/>
          <w:b/>
          <w:color w:val="auto"/>
          <w:sz w:val="24"/>
          <w:highlight w:val="none"/>
        </w:rPr>
        <w:t>和送达</w:t>
      </w:r>
      <w:bookmarkEnd w:id="247"/>
      <w:bookmarkEnd w:id="248"/>
      <w:bookmarkEnd w:id="249"/>
    </w:p>
    <w:p w14:paraId="140F6A95">
      <w:pPr>
        <w:wordWrap w:val="0"/>
        <w:spacing w:line="360" w:lineRule="auto"/>
        <w:ind w:firstLine="480" w:firstLineChars="200"/>
        <w:rPr>
          <w:rFonts w:ascii="宋体" w:hAnsi="宋体" w:cs="宋体"/>
          <w:color w:val="auto"/>
          <w:sz w:val="24"/>
          <w:highlight w:val="none"/>
        </w:rPr>
      </w:pPr>
      <w:bookmarkStart w:id="250" w:name="_Toc6698"/>
      <w:bookmarkStart w:id="251" w:name="_Toc3135"/>
      <w:bookmarkStart w:id="252" w:name="_Toc259093691"/>
      <w:bookmarkStart w:id="253" w:name="_Toc279701262"/>
      <w:bookmarkStart w:id="254" w:name="_Toc487900372"/>
      <w:r>
        <w:rPr>
          <w:rFonts w:hint="eastAsia" w:ascii="宋体" w:hAnsi="宋体" w:cs="宋体"/>
          <w:color w:val="auto"/>
          <w:sz w:val="24"/>
          <w:highlight w:val="none"/>
        </w:rPr>
        <w:t>2.18.1 任何一方因履行合同而以合同第一部分尾部所列明的</w:t>
      </w:r>
      <w:r>
        <w:rPr>
          <w:rFonts w:hint="eastAsia" w:ascii="宋体" w:hAnsi="宋体" w:cs="宋体"/>
          <w:color w:val="auto"/>
          <w:sz w:val="24"/>
          <w:highlight w:val="none"/>
          <w:u w:val="single"/>
        </w:rPr>
        <w:t>“约定送达地址”</w:t>
      </w:r>
      <w:r>
        <w:rPr>
          <w:rFonts w:hint="eastAsia" w:ascii="宋体" w:hAnsi="宋体" w:cs="宋体"/>
          <w:color w:val="auto"/>
          <w:sz w:val="24"/>
          <w:highlight w:val="none"/>
        </w:rPr>
        <w:t>为收件地址的所有通知、文件、材料，均视为已向对方当事人送达；任何一方变更上述送达方式或者地址的，应于</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个工作日（根据项目实际情况填写）内书面通知对方当事人，在对方当事人收到有关变更通知之前，变更前的约定送达方式或者地址仍视为有效。</w:t>
      </w:r>
      <w:bookmarkEnd w:id="250"/>
      <w:bookmarkEnd w:id="251"/>
    </w:p>
    <w:p w14:paraId="3296BDC7">
      <w:pPr>
        <w:wordWrap w:val="0"/>
        <w:spacing w:line="360" w:lineRule="auto"/>
        <w:ind w:firstLine="480" w:firstLineChars="200"/>
        <w:rPr>
          <w:rFonts w:ascii="宋体" w:hAnsi="宋体" w:cs="宋体"/>
          <w:color w:val="auto"/>
          <w:sz w:val="24"/>
          <w:highlight w:val="none"/>
        </w:rPr>
      </w:pPr>
      <w:bookmarkStart w:id="255" w:name="_Toc23294"/>
      <w:bookmarkStart w:id="256" w:name="_Toc23128"/>
      <w:r>
        <w:rPr>
          <w:rFonts w:hint="eastAsia" w:ascii="宋体" w:hAnsi="宋体" w:cs="宋体"/>
          <w:color w:val="auto"/>
          <w:sz w:val="24"/>
          <w:highlight w:val="none"/>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255"/>
      <w:bookmarkEnd w:id="256"/>
    </w:p>
    <w:p w14:paraId="42CC0B21">
      <w:pPr>
        <w:wordWrap w:val="0"/>
        <w:spacing w:line="360" w:lineRule="auto"/>
        <w:ind w:firstLine="482" w:firstLineChars="200"/>
        <w:rPr>
          <w:rFonts w:ascii="宋体" w:hAnsi="宋体" w:cs="宋体"/>
          <w:b/>
          <w:color w:val="auto"/>
          <w:sz w:val="24"/>
          <w:highlight w:val="none"/>
        </w:rPr>
      </w:pPr>
      <w:bookmarkStart w:id="257" w:name="_Toc4355"/>
      <w:bookmarkStart w:id="258" w:name="_Toc18540"/>
      <w:bookmarkStart w:id="259" w:name="_Toc30599"/>
      <w:r>
        <w:rPr>
          <w:rFonts w:hint="eastAsia" w:ascii="宋体" w:hAnsi="宋体" w:cs="宋体"/>
          <w:b/>
          <w:color w:val="auto"/>
          <w:sz w:val="24"/>
          <w:highlight w:val="none"/>
        </w:rPr>
        <w:t>2.19 计量单位</w:t>
      </w:r>
      <w:bookmarkEnd w:id="252"/>
      <w:bookmarkEnd w:id="253"/>
      <w:bookmarkEnd w:id="254"/>
      <w:bookmarkEnd w:id="257"/>
      <w:bookmarkEnd w:id="258"/>
      <w:bookmarkEnd w:id="259"/>
    </w:p>
    <w:p w14:paraId="3ACE7657">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除技术规范中另有规定外,合同的计量单位均使用国家法定计量单位。</w:t>
      </w:r>
    </w:p>
    <w:p w14:paraId="60F945B2">
      <w:pPr>
        <w:wordWrap w:val="0"/>
        <w:spacing w:line="360" w:lineRule="auto"/>
        <w:ind w:firstLine="482" w:firstLineChars="200"/>
        <w:rPr>
          <w:rFonts w:ascii="宋体" w:hAnsi="宋体" w:cs="宋体"/>
          <w:b/>
          <w:color w:val="auto"/>
          <w:sz w:val="24"/>
          <w:highlight w:val="none"/>
        </w:rPr>
      </w:pPr>
      <w:bookmarkStart w:id="260" w:name="_Toc487900373"/>
      <w:bookmarkStart w:id="261" w:name="_Toc12773"/>
      <w:bookmarkStart w:id="262" w:name="_Toc259093692"/>
      <w:bookmarkStart w:id="263" w:name="_Toc10330"/>
      <w:bookmarkStart w:id="264" w:name="_Toc18567"/>
      <w:bookmarkStart w:id="265" w:name="_Toc279701263"/>
      <w:r>
        <w:rPr>
          <w:rFonts w:hint="eastAsia" w:ascii="宋体" w:hAnsi="宋体" w:cs="宋体"/>
          <w:b/>
          <w:color w:val="auto"/>
          <w:sz w:val="24"/>
          <w:highlight w:val="none"/>
        </w:rPr>
        <w:t>2.20 合同使用的文字和适用的法律</w:t>
      </w:r>
      <w:bookmarkEnd w:id="260"/>
      <w:bookmarkEnd w:id="261"/>
      <w:bookmarkEnd w:id="262"/>
      <w:bookmarkEnd w:id="263"/>
      <w:bookmarkEnd w:id="264"/>
      <w:bookmarkEnd w:id="265"/>
    </w:p>
    <w:p w14:paraId="0F79C107">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2.20.1 合同使用汉语书就、变更和解释；</w:t>
      </w:r>
    </w:p>
    <w:p w14:paraId="5C0C2C0A">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2.20.2 合同适用中华人民共和国法律。</w:t>
      </w:r>
    </w:p>
    <w:p w14:paraId="28024584">
      <w:pPr>
        <w:wordWrap w:val="0"/>
        <w:spacing w:line="360" w:lineRule="auto"/>
        <w:ind w:firstLine="482" w:firstLineChars="200"/>
        <w:rPr>
          <w:rFonts w:ascii="宋体" w:hAnsi="宋体" w:cs="宋体"/>
          <w:b/>
          <w:color w:val="auto"/>
          <w:sz w:val="24"/>
          <w:highlight w:val="none"/>
        </w:rPr>
      </w:pPr>
      <w:bookmarkStart w:id="266" w:name="_Toc3148"/>
      <w:bookmarkStart w:id="267" w:name="_Toc12004"/>
      <w:bookmarkStart w:id="268" w:name="_Toc279701264"/>
      <w:bookmarkStart w:id="269" w:name="_Toc16673"/>
      <w:bookmarkStart w:id="270" w:name="_Toc259093693"/>
      <w:bookmarkStart w:id="271" w:name="_Toc487900374"/>
      <w:r>
        <w:rPr>
          <w:rFonts w:hint="eastAsia" w:ascii="宋体" w:hAnsi="宋体" w:cs="宋体"/>
          <w:b/>
          <w:color w:val="auto"/>
          <w:sz w:val="24"/>
          <w:highlight w:val="none"/>
        </w:rPr>
        <w:t>2.21 履约保证金</w:t>
      </w:r>
      <w:bookmarkEnd w:id="266"/>
      <w:bookmarkEnd w:id="267"/>
      <w:bookmarkEnd w:id="268"/>
      <w:bookmarkEnd w:id="269"/>
      <w:bookmarkEnd w:id="270"/>
    </w:p>
    <w:p w14:paraId="3091B224">
      <w:pPr>
        <w:wordWrap w:val="0"/>
        <w:spacing w:line="360" w:lineRule="auto"/>
        <w:ind w:firstLine="480" w:firstLineChars="200"/>
        <w:rPr>
          <w:rFonts w:ascii="宋体" w:hAnsi="宋体" w:cs="宋体"/>
          <w:snapToGrid w:val="0"/>
          <w:color w:val="auto"/>
          <w:kern w:val="0"/>
          <w:sz w:val="24"/>
          <w:highlight w:val="none"/>
        </w:rPr>
      </w:pPr>
      <w:r>
        <w:rPr>
          <w:rFonts w:hint="eastAsia" w:ascii="宋体" w:hAnsi="宋体" w:cs="宋体"/>
          <w:color w:val="auto"/>
          <w:sz w:val="24"/>
          <w:highlight w:val="none"/>
        </w:rPr>
        <w:t>本项目不收取履约保证金</w:t>
      </w:r>
    </w:p>
    <w:p w14:paraId="370CDF3F">
      <w:pPr>
        <w:wordWrap w:val="0"/>
        <w:spacing w:line="360" w:lineRule="auto"/>
        <w:ind w:firstLine="482" w:firstLineChars="200"/>
        <w:rPr>
          <w:rFonts w:ascii="宋体" w:hAnsi="宋体" w:cs="宋体"/>
          <w:color w:val="auto"/>
          <w:kern w:val="0"/>
          <w:sz w:val="24"/>
          <w:highlight w:val="none"/>
          <w:lang w:val="zh-CN"/>
        </w:rPr>
      </w:pPr>
      <w:r>
        <w:rPr>
          <w:rFonts w:hint="eastAsia" w:ascii="宋体" w:hAnsi="宋体" w:cs="宋体"/>
          <w:b/>
          <w:color w:val="auto"/>
          <w:sz w:val="24"/>
          <w:highlight w:val="none"/>
        </w:rPr>
        <w:t xml:space="preserve">2.22 </w:t>
      </w:r>
      <w:r>
        <w:rPr>
          <w:rFonts w:hint="eastAsia" w:ascii="宋体" w:hAnsi="宋体" w:cs="宋体"/>
          <w:b/>
          <w:bCs/>
          <w:color w:val="auto"/>
          <w:kern w:val="0"/>
          <w:sz w:val="24"/>
          <w:highlight w:val="none"/>
        </w:rPr>
        <w:t>中小</w:t>
      </w:r>
      <w:r>
        <w:rPr>
          <w:rFonts w:hint="eastAsia" w:ascii="宋体" w:hAnsi="宋体" w:cs="宋体"/>
          <w:b/>
          <w:bCs/>
          <w:color w:val="auto"/>
          <w:sz w:val="24"/>
          <w:highlight w:val="none"/>
        </w:rPr>
        <w:t>企</w:t>
      </w:r>
      <w:r>
        <w:rPr>
          <w:rFonts w:hint="eastAsia" w:ascii="宋体" w:hAnsi="宋体" w:cs="宋体"/>
          <w:b/>
          <w:color w:val="auto"/>
          <w:sz w:val="24"/>
          <w:highlight w:val="none"/>
        </w:rPr>
        <w:t>业政策</w:t>
      </w:r>
    </w:p>
    <w:p w14:paraId="1AE14DDB">
      <w:pPr>
        <w:wordWrap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2.22.1本合同（□是  □否）为</w:t>
      </w:r>
      <w:r>
        <w:rPr>
          <w:rFonts w:hint="eastAsia" w:ascii="宋体" w:hAnsi="宋体" w:cs="宋体"/>
          <w:color w:val="auto"/>
          <w:kern w:val="0"/>
          <w:sz w:val="24"/>
          <w:highlight w:val="none"/>
        </w:rPr>
        <w:t>中小</w:t>
      </w:r>
      <w:r>
        <w:rPr>
          <w:rFonts w:hint="eastAsia" w:ascii="宋体" w:hAnsi="宋体" w:cs="宋体"/>
          <w:color w:val="auto"/>
          <w:kern w:val="0"/>
          <w:sz w:val="24"/>
          <w:highlight w:val="none"/>
          <w:lang w:val="zh-CN"/>
        </w:rPr>
        <w:t>企业“政采贷”可融资合同，关于</w:t>
      </w:r>
      <w:r>
        <w:rPr>
          <w:rFonts w:hint="eastAsia" w:ascii="宋体" w:hAnsi="宋体" w:cs="宋体"/>
          <w:color w:val="auto"/>
          <w:kern w:val="0"/>
          <w:sz w:val="24"/>
          <w:highlight w:val="none"/>
        </w:rPr>
        <w:t>中小</w:t>
      </w:r>
      <w:r>
        <w:rPr>
          <w:rFonts w:hint="eastAsia" w:ascii="宋体" w:hAnsi="宋体" w:cs="宋体"/>
          <w:color w:val="auto"/>
          <w:kern w:val="0"/>
          <w:sz w:val="24"/>
          <w:highlight w:val="none"/>
          <w:lang w:val="zh-CN"/>
        </w:rPr>
        <w:t>企业信用融资事项见采购文件“投标人须知正文”。</w:t>
      </w:r>
    </w:p>
    <w:p w14:paraId="46E074D7">
      <w:pPr>
        <w:wordWrap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2.22.2本合同（□是  □否）为</w:t>
      </w:r>
      <w:r>
        <w:rPr>
          <w:rFonts w:hint="eastAsia" w:ascii="宋体" w:hAnsi="宋体" w:cs="宋体"/>
          <w:color w:val="auto"/>
          <w:kern w:val="0"/>
          <w:sz w:val="24"/>
          <w:highlight w:val="none"/>
        </w:rPr>
        <w:t>中小</w:t>
      </w:r>
      <w:r>
        <w:rPr>
          <w:rFonts w:hint="eastAsia" w:ascii="宋体" w:hAnsi="宋体" w:cs="宋体"/>
          <w:color w:val="auto"/>
          <w:kern w:val="0"/>
          <w:sz w:val="24"/>
          <w:highlight w:val="none"/>
          <w:lang w:val="zh-CN"/>
        </w:rPr>
        <w:t>企业预留合同。</w:t>
      </w:r>
    </w:p>
    <w:bookmarkEnd w:id="271"/>
    <w:p w14:paraId="79B5012F">
      <w:pPr>
        <w:wordWrap w:val="0"/>
        <w:spacing w:line="360" w:lineRule="auto"/>
        <w:ind w:firstLine="482" w:firstLineChars="200"/>
        <w:rPr>
          <w:rFonts w:ascii="宋体" w:hAnsi="宋体" w:cs="宋体"/>
          <w:b/>
          <w:color w:val="auto"/>
          <w:sz w:val="24"/>
          <w:highlight w:val="none"/>
        </w:rPr>
      </w:pPr>
      <w:bookmarkStart w:id="272" w:name="_Toc6885"/>
      <w:bookmarkStart w:id="273" w:name="_Toc14001"/>
      <w:bookmarkStart w:id="274" w:name="_Toc19890"/>
      <w:r>
        <w:rPr>
          <w:rFonts w:hint="eastAsia" w:ascii="宋体" w:hAnsi="宋体" w:cs="宋体"/>
          <w:b/>
          <w:color w:val="auto"/>
          <w:sz w:val="24"/>
          <w:highlight w:val="none"/>
        </w:rPr>
        <w:t>2.23 合同份数</w:t>
      </w:r>
      <w:bookmarkEnd w:id="272"/>
      <w:bookmarkEnd w:id="273"/>
      <w:bookmarkEnd w:id="274"/>
    </w:p>
    <w:p w14:paraId="485720FD">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本合同壹式份，甲方执</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份，乙方执</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份，代理机构执</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贰</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份。每份均具有同等法律效力。</w:t>
      </w:r>
    </w:p>
    <w:p w14:paraId="5B40818E">
      <w:pPr>
        <w:wordWrap w:val="0"/>
        <w:spacing w:line="360" w:lineRule="auto"/>
        <w:jc w:val="center"/>
        <w:rPr>
          <w:rFonts w:ascii="宋体" w:hAnsi="宋体" w:cs="宋体"/>
          <w:b/>
          <w:color w:val="auto"/>
          <w:sz w:val="28"/>
          <w:szCs w:val="28"/>
          <w:highlight w:val="none"/>
        </w:rPr>
      </w:pPr>
      <w:r>
        <w:rPr>
          <w:rFonts w:hint="eastAsia" w:ascii="宋体" w:hAnsi="宋体" w:cs="宋体"/>
          <w:color w:val="auto"/>
          <w:highlight w:val="none"/>
        </w:rPr>
        <w:br w:type="page"/>
      </w:r>
      <w:bookmarkStart w:id="275" w:name="_Toc331685784"/>
      <w:r>
        <w:rPr>
          <w:rFonts w:hint="eastAsia" w:ascii="宋体" w:hAnsi="宋体" w:cs="宋体"/>
          <w:b/>
          <w:color w:val="auto"/>
          <w:sz w:val="28"/>
          <w:szCs w:val="28"/>
          <w:highlight w:val="none"/>
        </w:rPr>
        <w:t>第三部分  合同专用条款</w:t>
      </w:r>
      <w:bookmarkEnd w:id="275"/>
    </w:p>
    <w:p w14:paraId="5688F702">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p w14:paraId="7851C1F1">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3.1具有知识产权的标的物知识产权归属：</w:t>
      </w:r>
      <w:r>
        <w:rPr>
          <w:rFonts w:hint="eastAsia" w:ascii="宋体" w:hAnsi="宋体" w:cs="宋体"/>
          <w:color w:val="auto"/>
          <w:sz w:val="24"/>
          <w:highlight w:val="none"/>
          <w:u w:val="single"/>
          <w:lang w:val="en-US" w:eastAsia="zh-CN"/>
        </w:rPr>
        <w:t xml:space="preserve">                   </w:t>
      </w:r>
    </w:p>
    <w:p w14:paraId="3B0BD31A">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3.2包装和装运专用条款（如果有）：</w:t>
      </w:r>
      <w:r>
        <w:rPr>
          <w:rFonts w:hint="eastAsia" w:ascii="宋体" w:hAnsi="宋体" w:cs="宋体"/>
          <w:color w:val="auto"/>
          <w:sz w:val="24"/>
          <w:highlight w:val="none"/>
          <w:u w:val="single"/>
          <w:lang w:val="en-US" w:eastAsia="zh-CN"/>
        </w:rPr>
        <w:t xml:space="preserve">                  </w:t>
      </w:r>
    </w:p>
    <w:p w14:paraId="180C5E53">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3.3装运标的物的要求和通知：</w:t>
      </w:r>
      <w:r>
        <w:rPr>
          <w:rFonts w:hint="eastAsia" w:ascii="宋体" w:hAnsi="宋体" w:cs="宋体"/>
          <w:color w:val="auto"/>
          <w:sz w:val="24"/>
          <w:highlight w:val="none"/>
          <w:u w:val="single"/>
          <w:lang w:val="en-US" w:eastAsia="zh-CN"/>
        </w:rPr>
        <w:t xml:space="preserve">                   </w:t>
      </w:r>
    </w:p>
    <w:p w14:paraId="406FE425">
      <w:pPr>
        <w:wordWrap w:val="0"/>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3.4</w:t>
      </w:r>
      <w:r>
        <w:rPr>
          <w:rFonts w:hint="eastAsia" w:ascii="宋体" w:hAnsi="宋体" w:cs="宋体"/>
          <w:b/>
          <w:color w:val="auto"/>
          <w:sz w:val="24"/>
          <w:highlight w:val="none"/>
        </w:rPr>
        <w:t>结算方式和付款条件</w:t>
      </w:r>
    </w:p>
    <w:p w14:paraId="68A44F90">
      <w:pPr>
        <w:wordWrap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本次项目合同总价为大写人民币</w:t>
      </w:r>
      <w:r>
        <w:rPr>
          <w:rFonts w:hint="eastAsia" w:ascii="宋体" w:hAnsi="宋体" w:cs="宋体"/>
          <w:color w:val="auto"/>
          <w:kern w:val="0"/>
          <w:sz w:val="24"/>
          <w:highlight w:val="none"/>
          <w:u w:val="single"/>
          <w:lang w:val="zh-CN"/>
        </w:rPr>
        <w:t xml:space="preserve">            （￥    元）。</w:t>
      </w:r>
      <w:r>
        <w:rPr>
          <w:rFonts w:hint="eastAsia" w:ascii="宋体" w:hAnsi="宋体" w:cs="宋体"/>
          <w:color w:val="auto"/>
          <w:kern w:val="0"/>
          <w:sz w:val="24"/>
          <w:highlight w:val="none"/>
          <w:lang w:val="zh-CN"/>
        </w:rPr>
        <w:t>本项目采用以下勾选结算方式进行支付：</w:t>
      </w:r>
    </w:p>
    <w:p w14:paraId="3EB16A00">
      <w:pPr>
        <w:wordWrap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□采用一次性支付方式，付款条件为：</w:t>
      </w:r>
    </w:p>
    <w:p w14:paraId="4C84866F">
      <w:pPr>
        <w:wordWrap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□采用分期付款方式，付款条件为</w:t>
      </w:r>
      <w:r>
        <w:rPr>
          <w:rFonts w:hint="eastAsia" w:ascii="宋体" w:hAnsi="宋体" w:cs="宋体"/>
          <w:color w:val="auto"/>
          <w:kern w:val="0"/>
          <w:sz w:val="24"/>
          <w:highlight w:val="none"/>
        </w:rPr>
        <w:t>：</w:t>
      </w:r>
    </w:p>
    <w:p w14:paraId="4E95BAC0">
      <w:pPr>
        <w:wordWrap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w:t>
      </w:r>
    </w:p>
    <w:p w14:paraId="6E478853">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甲方无故逾期支付服务费用的，按照每逾期一日支付欠付服务费额度的</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（根据项目实际填写，一般为万分之五）承担违约责任，违约金上限按照《合同书》约定执行。</w:t>
      </w:r>
    </w:p>
    <w:p w14:paraId="005951FB">
      <w:pPr>
        <w:wordWrap w:val="0"/>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3.5</w:t>
      </w:r>
      <w:r>
        <w:rPr>
          <w:rFonts w:hint="eastAsia" w:ascii="宋体" w:hAnsi="宋体" w:cs="宋体"/>
          <w:b/>
          <w:color w:val="auto"/>
          <w:sz w:val="24"/>
          <w:highlight w:val="none"/>
        </w:rPr>
        <w:t>标的物的风险负担</w:t>
      </w:r>
    </w:p>
    <w:p w14:paraId="4F575D1E">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标的物或者在途标的物或者交付给第一承运人后的标的物毁损、灭失的风险负担：</w:t>
      </w:r>
    </w:p>
    <w:p w14:paraId="44189308">
      <w:pPr>
        <w:wordWrap w:val="0"/>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 xml:space="preserve">乙方                                                                       </w:t>
      </w:r>
    </w:p>
    <w:p w14:paraId="5E34097A">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3.5.1受不可抗力影响的一方在不可抗力发生后，应在</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日内（根据项目实际填写）以书面形式通知对方当事人，并在</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日内，将有关部门出具的证明文件送达对方当事人。</w:t>
      </w:r>
    </w:p>
    <w:p w14:paraId="1E81931E">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3.5.2因不可抗力致使合同有变更必要的，双方当事人应在</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日内（根据项目实际填写）以书面形式变更合同；</w:t>
      </w:r>
    </w:p>
    <w:p w14:paraId="123300C3">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3.5.3标的物交付前，乙方应对标的物的质量、数量等方面进行详细、全面的检验，并向甲方出具证明标的物符合合同约定的文件；标的物交付时，乙方在</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日内发（根据项目实际填写）起验收，并可依法邀请相关方参加，验收应出具验收书。</w:t>
      </w:r>
    </w:p>
    <w:p w14:paraId="0F4E31D2">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3.5.4 检验和验收标准、程序等具体内容以及前述验收书的效力：</w:t>
      </w:r>
    </w:p>
    <w:p w14:paraId="72A50149">
      <w:pPr>
        <w:wordWrap w:val="0"/>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lang w:val="en-US" w:eastAsia="zh-CN"/>
        </w:rPr>
        <w:t xml:space="preserve">                                        </w:t>
      </w:r>
    </w:p>
    <w:p w14:paraId="1619951B">
      <w:pPr>
        <w:wordWrap w:val="0"/>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3.5.5 其他：</w:t>
      </w:r>
      <w:r>
        <w:rPr>
          <w:rFonts w:hint="eastAsia" w:ascii="宋体" w:hAnsi="宋体" w:cs="宋体"/>
          <w:color w:val="auto"/>
          <w:sz w:val="24"/>
          <w:highlight w:val="none"/>
          <w:u w:val="single"/>
          <w:lang w:val="en-US" w:eastAsia="zh-CN"/>
        </w:rPr>
        <w:t xml:space="preserve">         </w:t>
      </w:r>
    </w:p>
    <w:p w14:paraId="1D4F2C0C">
      <w:pPr>
        <w:wordWrap w:val="0"/>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3.6</w:t>
      </w:r>
      <w:r>
        <w:rPr>
          <w:rFonts w:hint="eastAsia" w:ascii="宋体" w:hAnsi="宋体" w:cs="宋体"/>
          <w:b/>
          <w:color w:val="auto"/>
          <w:sz w:val="24"/>
          <w:highlight w:val="none"/>
        </w:rPr>
        <w:t>项目验收：</w:t>
      </w:r>
    </w:p>
    <w:p w14:paraId="514ED446">
      <w:pPr>
        <w:tabs>
          <w:tab w:val="left" w:pos="904"/>
        </w:tabs>
        <w:wordWrap w:val="0"/>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3.6.1甲方参照《南宁市政府采购供应商履约验收评价管理办法》（南财采[2019]217号）规定组织对乙方履约的验收。验收方成员应当在验收书上签字，并承担相应的法律责任。如果发现与合同中要求不符，乙方须承担由此发生的一切损失和费用，并接受相应的处理。</w:t>
      </w:r>
    </w:p>
    <w:p w14:paraId="663A8614">
      <w:pPr>
        <w:tabs>
          <w:tab w:val="left" w:pos="904"/>
        </w:tabs>
        <w:wordWrap w:val="0"/>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3.6.2严格按照采购合同开展履约验收。甲方成立验收小组，按照采购合同的约定对供应商履约情况进行验收，验收时，按照采购合同的约定对每一项技术、服务、安全标准的履约情况进行确认，出具验收报告并经验收小组全体成员签字。甲方根据验收报告形成验收意见并经甲方与乙方签字盖章生效。验收结果与采购合同约定的资金支付条件挂钩。履约验收的各项资料应当存档备查。</w:t>
      </w:r>
    </w:p>
    <w:p w14:paraId="25248AF4">
      <w:pPr>
        <w:tabs>
          <w:tab w:val="left" w:pos="904"/>
        </w:tabs>
        <w:wordWrap w:val="0"/>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3.6.3验收合格的项目，甲方将根据采购合同的约定及时向供应商支付采购资金。验收不合格的项目，甲方将依法及时处理。采购合同的履行、违约责任和解决争议的方式等适用《中华人民共和国民法典》，并按照《合同书》约定执行。</w:t>
      </w:r>
    </w:p>
    <w:p w14:paraId="2E1844DB">
      <w:pPr>
        <w:tabs>
          <w:tab w:val="left" w:pos="904"/>
        </w:tabs>
        <w:wordWrap w:val="0"/>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3.6.4首次验收费用由</w:t>
      </w:r>
      <w:r>
        <w:rPr>
          <w:rFonts w:hint="eastAsia" w:ascii="宋体" w:hAnsi="宋体" w:cs="宋体"/>
          <w:color w:val="auto"/>
          <w:kern w:val="0"/>
          <w:sz w:val="24"/>
          <w:highlight w:val="none"/>
          <w:u w:val="single"/>
        </w:rPr>
        <w:t>乙方</w:t>
      </w:r>
      <w:r>
        <w:rPr>
          <w:rFonts w:hint="eastAsia" w:ascii="宋体" w:hAnsi="宋体" w:cs="宋体"/>
          <w:color w:val="auto"/>
          <w:kern w:val="0"/>
          <w:sz w:val="24"/>
          <w:highlight w:val="none"/>
        </w:rPr>
        <w:t>承担，如首次验收不合格，后续验收费用由</w:t>
      </w:r>
      <w:r>
        <w:rPr>
          <w:rFonts w:hint="eastAsia" w:ascii="宋体" w:hAnsi="宋体" w:cs="宋体"/>
          <w:color w:val="auto"/>
          <w:kern w:val="0"/>
          <w:sz w:val="24"/>
          <w:highlight w:val="none"/>
          <w:u w:val="single"/>
        </w:rPr>
        <w:t>乙方</w:t>
      </w:r>
      <w:r>
        <w:rPr>
          <w:rFonts w:hint="eastAsia" w:ascii="宋体" w:hAnsi="宋体" w:cs="宋体"/>
          <w:color w:val="auto"/>
          <w:kern w:val="0"/>
          <w:sz w:val="24"/>
          <w:highlight w:val="none"/>
        </w:rPr>
        <w:t>支付。</w:t>
      </w:r>
    </w:p>
    <w:p w14:paraId="1D5FF470">
      <w:pPr>
        <w:tabs>
          <w:tab w:val="left" w:pos="904"/>
        </w:tabs>
        <w:wordWrap w:val="0"/>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3.6.5验收内容及资料要求：</w:t>
      </w:r>
    </w:p>
    <w:p w14:paraId="70C09921">
      <w:pPr>
        <w:tabs>
          <w:tab w:val="left" w:pos="904"/>
        </w:tabs>
        <w:wordWrap w:val="0"/>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根据采购文件确定的技术指标或者服务要求确定验收指标和标准。未进行相应约定的，应当符合国家强制性规定、政策要求、安全标准、行业或企业有关标准等。</w:t>
      </w:r>
    </w:p>
    <w:p w14:paraId="4C8CE7F2">
      <w:pPr>
        <w:tabs>
          <w:tab w:val="left" w:pos="904"/>
        </w:tabs>
        <w:wordWrap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rPr>
        <w:t>3.6.6</w:t>
      </w:r>
      <w:r>
        <w:rPr>
          <w:rFonts w:hint="eastAsia" w:ascii="宋体" w:hAnsi="宋体" w:cs="宋体"/>
          <w:color w:val="auto"/>
          <w:sz w:val="24"/>
          <w:highlight w:val="none"/>
        </w:rPr>
        <w:t>验收内容</w:t>
      </w:r>
    </w:p>
    <w:tbl>
      <w:tblPr>
        <w:tblStyle w:val="22"/>
        <w:tblW w:w="87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
        <w:gridCol w:w="2499"/>
        <w:gridCol w:w="5345"/>
      </w:tblGrid>
      <w:tr w14:paraId="39DAF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8" w:type="dxa"/>
            <w:tcBorders>
              <w:top w:val="single" w:color="auto" w:sz="4" w:space="0"/>
              <w:left w:val="single" w:color="auto" w:sz="4" w:space="0"/>
              <w:bottom w:val="single" w:color="auto" w:sz="4" w:space="0"/>
              <w:right w:val="single" w:color="auto" w:sz="4" w:space="0"/>
            </w:tcBorders>
            <w:vAlign w:val="center"/>
          </w:tcPr>
          <w:p w14:paraId="2312C543">
            <w:pPr>
              <w:widowControl/>
              <w:wordWrap w:val="0"/>
              <w:spacing w:line="360" w:lineRule="auto"/>
              <w:jc w:val="center"/>
              <w:rPr>
                <w:rFonts w:ascii="宋体" w:hAnsi="宋体" w:cs="宋体"/>
                <w:bCs/>
                <w:color w:val="auto"/>
                <w:kern w:val="0"/>
                <w:sz w:val="24"/>
                <w:highlight w:val="none"/>
              </w:rPr>
            </w:pPr>
            <w:r>
              <w:rPr>
                <w:rFonts w:hint="eastAsia" w:ascii="宋体" w:hAnsi="宋体" w:cs="宋体"/>
                <w:bCs/>
                <w:color w:val="auto"/>
                <w:kern w:val="0"/>
                <w:sz w:val="24"/>
                <w:highlight w:val="none"/>
              </w:rPr>
              <w:t>序号</w:t>
            </w:r>
          </w:p>
        </w:tc>
        <w:tc>
          <w:tcPr>
            <w:tcW w:w="2499" w:type="dxa"/>
            <w:tcBorders>
              <w:top w:val="single" w:color="auto" w:sz="4" w:space="0"/>
              <w:left w:val="single" w:color="auto" w:sz="4" w:space="0"/>
              <w:bottom w:val="single" w:color="auto" w:sz="4" w:space="0"/>
              <w:right w:val="single" w:color="auto" w:sz="4" w:space="0"/>
            </w:tcBorders>
            <w:vAlign w:val="center"/>
          </w:tcPr>
          <w:p w14:paraId="7675D96B">
            <w:pPr>
              <w:widowControl/>
              <w:wordWrap w:val="0"/>
              <w:spacing w:line="360" w:lineRule="auto"/>
              <w:ind w:firstLine="200"/>
              <w:jc w:val="center"/>
              <w:rPr>
                <w:rFonts w:ascii="宋体" w:hAnsi="宋体" w:cs="宋体"/>
                <w:bCs/>
                <w:color w:val="auto"/>
                <w:kern w:val="0"/>
                <w:sz w:val="24"/>
                <w:highlight w:val="none"/>
              </w:rPr>
            </w:pPr>
            <w:r>
              <w:rPr>
                <w:rFonts w:hint="eastAsia" w:ascii="宋体" w:hAnsi="宋体" w:cs="宋体"/>
                <w:bCs/>
                <w:color w:val="auto"/>
                <w:kern w:val="0"/>
                <w:sz w:val="24"/>
                <w:highlight w:val="none"/>
              </w:rPr>
              <w:t>验收内容</w:t>
            </w:r>
          </w:p>
        </w:tc>
        <w:tc>
          <w:tcPr>
            <w:tcW w:w="5345" w:type="dxa"/>
            <w:tcBorders>
              <w:top w:val="single" w:color="auto" w:sz="4" w:space="0"/>
              <w:left w:val="single" w:color="auto" w:sz="4" w:space="0"/>
              <w:bottom w:val="single" w:color="auto" w:sz="4" w:space="0"/>
              <w:right w:val="single" w:color="auto" w:sz="4" w:space="0"/>
            </w:tcBorders>
            <w:vAlign w:val="center"/>
          </w:tcPr>
          <w:p w14:paraId="51C043CE">
            <w:pPr>
              <w:widowControl/>
              <w:wordWrap w:val="0"/>
              <w:spacing w:line="360" w:lineRule="auto"/>
              <w:ind w:firstLine="200"/>
              <w:jc w:val="center"/>
              <w:rPr>
                <w:rFonts w:ascii="宋体" w:hAnsi="宋体" w:cs="宋体"/>
                <w:bCs/>
                <w:color w:val="auto"/>
                <w:kern w:val="0"/>
                <w:sz w:val="24"/>
                <w:highlight w:val="none"/>
              </w:rPr>
            </w:pPr>
            <w:r>
              <w:rPr>
                <w:rFonts w:hint="eastAsia" w:ascii="宋体" w:hAnsi="宋体" w:cs="宋体"/>
                <w:bCs/>
                <w:color w:val="auto"/>
                <w:kern w:val="0"/>
                <w:sz w:val="24"/>
                <w:highlight w:val="none"/>
              </w:rPr>
              <w:t>验收标准</w:t>
            </w:r>
          </w:p>
        </w:tc>
      </w:tr>
      <w:tr w14:paraId="30A86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58" w:type="dxa"/>
            <w:tcBorders>
              <w:top w:val="single" w:color="auto" w:sz="4" w:space="0"/>
              <w:left w:val="single" w:color="auto" w:sz="4" w:space="0"/>
              <w:bottom w:val="single" w:color="auto" w:sz="4" w:space="0"/>
              <w:right w:val="single" w:color="auto" w:sz="4" w:space="0"/>
            </w:tcBorders>
            <w:vAlign w:val="center"/>
          </w:tcPr>
          <w:p w14:paraId="207FEEDB">
            <w:pPr>
              <w:widowControl/>
              <w:wordWrap w:val="0"/>
              <w:spacing w:line="360" w:lineRule="auto"/>
              <w:jc w:val="center"/>
              <w:rPr>
                <w:rFonts w:ascii="宋体" w:hAnsi="宋体" w:cs="宋体"/>
                <w:bCs/>
                <w:color w:val="auto"/>
                <w:kern w:val="0"/>
                <w:sz w:val="24"/>
                <w:highlight w:val="none"/>
              </w:rPr>
            </w:pPr>
            <w:r>
              <w:rPr>
                <w:rFonts w:hint="eastAsia" w:ascii="宋体" w:hAnsi="宋体" w:cs="宋体"/>
                <w:bCs/>
                <w:color w:val="auto"/>
                <w:kern w:val="0"/>
                <w:sz w:val="24"/>
                <w:highlight w:val="none"/>
              </w:rPr>
              <w:t>1</w:t>
            </w:r>
          </w:p>
        </w:tc>
        <w:tc>
          <w:tcPr>
            <w:tcW w:w="2499" w:type="dxa"/>
            <w:tcBorders>
              <w:top w:val="single" w:color="auto" w:sz="4" w:space="0"/>
              <w:left w:val="single" w:color="auto" w:sz="4" w:space="0"/>
              <w:bottom w:val="single" w:color="auto" w:sz="4" w:space="0"/>
              <w:right w:val="single" w:color="auto" w:sz="4" w:space="0"/>
            </w:tcBorders>
            <w:vAlign w:val="center"/>
          </w:tcPr>
          <w:p w14:paraId="59303697">
            <w:pPr>
              <w:widowControl/>
              <w:wordWrap w:val="0"/>
              <w:spacing w:line="360" w:lineRule="auto"/>
              <w:jc w:val="center"/>
              <w:rPr>
                <w:rFonts w:ascii="宋体" w:hAnsi="宋体" w:cs="宋体"/>
                <w:bCs/>
                <w:color w:val="auto"/>
                <w:kern w:val="0"/>
                <w:sz w:val="24"/>
                <w:highlight w:val="none"/>
              </w:rPr>
            </w:pPr>
            <w:r>
              <w:rPr>
                <w:rFonts w:hint="eastAsia" w:ascii="宋体" w:hAnsi="宋体" w:cs="宋体"/>
                <w:bCs/>
                <w:color w:val="auto"/>
                <w:kern w:val="0"/>
                <w:sz w:val="24"/>
                <w:highlight w:val="none"/>
              </w:rPr>
              <w:t>交付标的物数量</w:t>
            </w:r>
          </w:p>
        </w:tc>
        <w:tc>
          <w:tcPr>
            <w:tcW w:w="5345" w:type="dxa"/>
            <w:tcBorders>
              <w:top w:val="single" w:color="auto" w:sz="4" w:space="0"/>
              <w:left w:val="single" w:color="auto" w:sz="4" w:space="0"/>
              <w:bottom w:val="single" w:color="auto" w:sz="4" w:space="0"/>
              <w:right w:val="single" w:color="auto" w:sz="4" w:space="0"/>
            </w:tcBorders>
            <w:vAlign w:val="center"/>
          </w:tcPr>
          <w:p w14:paraId="5B6776A2">
            <w:pPr>
              <w:widowControl/>
              <w:spacing w:line="360" w:lineRule="auto"/>
              <w:jc w:val="center"/>
              <w:rPr>
                <w:rFonts w:ascii="宋体" w:hAnsi="宋体" w:cs="宋体"/>
                <w:color w:val="auto"/>
                <w:kern w:val="0"/>
                <w:sz w:val="24"/>
                <w:highlight w:val="none"/>
              </w:rPr>
            </w:pPr>
            <w:r>
              <w:rPr>
                <w:rFonts w:hint="eastAsia" w:ascii="宋体" w:hAnsi="宋体" w:cs="宋体"/>
                <w:bCs/>
                <w:color w:val="auto"/>
                <w:kern w:val="0"/>
                <w:sz w:val="24"/>
                <w:highlight w:val="none"/>
              </w:rPr>
              <w:t>按招标文件要求和投标文件承诺</w:t>
            </w:r>
          </w:p>
        </w:tc>
      </w:tr>
      <w:tr w14:paraId="582F4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858" w:type="dxa"/>
            <w:tcBorders>
              <w:top w:val="single" w:color="auto" w:sz="4" w:space="0"/>
              <w:left w:val="single" w:color="auto" w:sz="4" w:space="0"/>
              <w:bottom w:val="single" w:color="auto" w:sz="4" w:space="0"/>
              <w:right w:val="single" w:color="auto" w:sz="4" w:space="0"/>
            </w:tcBorders>
            <w:vAlign w:val="center"/>
          </w:tcPr>
          <w:p w14:paraId="4DA39677">
            <w:pPr>
              <w:widowControl/>
              <w:wordWrap w:val="0"/>
              <w:spacing w:line="360" w:lineRule="auto"/>
              <w:jc w:val="center"/>
              <w:rPr>
                <w:rFonts w:ascii="宋体" w:hAnsi="宋体" w:cs="宋体"/>
                <w:bCs/>
                <w:color w:val="auto"/>
                <w:kern w:val="0"/>
                <w:sz w:val="24"/>
                <w:highlight w:val="none"/>
              </w:rPr>
            </w:pPr>
            <w:r>
              <w:rPr>
                <w:rFonts w:hint="eastAsia" w:ascii="宋体" w:hAnsi="宋体" w:cs="宋体"/>
                <w:bCs/>
                <w:color w:val="auto"/>
                <w:kern w:val="0"/>
                <w:sz w:val="24"/>
                <w:highlight w:val="none"/>
              </w:rPr>
              <w:t>2</w:t>
            </w:r>
          </w:p>
        </w:tc>
        <w:tc>
          <w:tcPr>
            <w:tcW w:w="2499" w:type="dxa"/>
            <w:tcBorders>
              <w:top w:val="single" w:color="auto" w:sz="4" w:space="0"/>
              <w:left w:val="single" w:color="auto" w:sz="4" w:space="0"/>
              <w:bottom w:val="single" w:color="auto" w:sz="4" w:space="0"/>
              <w:right w:val="single" w:color="auto" w:sz="4" w:space="0"/>
            </w:tcBorders>
            <w:vAlign w:val="center"/>
          </w:tcPr>
          <w:p w14:paraId="1A6A8A84">
            <w:pPr>
              <w:widowControl/>
              <w:wordWrap w:val="0"/>
              <w:spacing w:line="360" w:lineRule="auto"/>
              <w:jc w:val="center"/>
              <w:rPr>
                <w:rFonts w:ascii="宋体" w:hAnsi="宋体" w:cs="宋体"/>
                <w:bCs/>
                <w:color w:val="auto"/>
                <w:kern w:val="0"/>
                <w:sz w:val="24"/>
                <w:highlight w:val="none"/>
              </w:rPr>
            </w:pPr>
            <w:r>
              <w:rPr>
                <w:rFonts w:hint="eastAsia" w:ascii="宋体" w:hAnsi="宋体" w:cs="宋体"/>
                <w:bCs/>
                <w:color w:val="auto"/>
                <w:kern w:val="0"/>
                <w:sz w:val="24"/>
                <w:highlight w:val="none"/>
              </w:rPr>
              <w:t>交付标的物质量文件</w:t>
            </w:r>
          </w:p>
        </w:tc>
        <w:tc>
          <w:tcPr>
            <w:tcW w:w="5345" w:type="dxa"/>
            <w:tcBorders>
              <w:top w:val="single" w:color="auto" w:sz="4" w:space="0"/>
              <w:left w:val="single" w:color="auto" w:sz="4" w:space="0"/>
              <w:bottom w:val="single" w:color="auto" w:sz="4" w:space="0"/>
              <w:right w:val="single" w:color="auto" w:sz="4" w:space="0"/>
            </w:tcBorders>
            <w:vAlign w:val="center"/>
          </w:tcPr>
          <w:p w14:paraId="56BB83D9">
            <w:pPr>
              <w:spacing w:line="360" w:lineRule="auto"/>
              <w:jc w:val="center"/>
              <w:rPr>
                <w:rFonts w:ascii="宋体" w:hAnsi="宋体" w:cs="宋体"/>
                <w:color w:val="auto"/>
                <w:kern w:val="0"/>
                <w:sz w:val="24"/>
                <w:highlight w:val="none"/>
              </w:rPr>
            </w:pPr>
            <w:r>
              <w:rPr>
                <w:rFonts w:hint="eastAsia" w:ascii="宋体" w:hAnsi="宋体" w:cs="宋体"/>
                <w:bCs/>
                <w:color w:val="auto"/>
                <w:kern w:val="0"/>
                <w:sz w:val="24"/>
                <w:highlight w:val="none"/>
              </w:rPr>
              <w:t>按招标文件要求和投标文件承诺</w:t>
            </w:r>
          </w:p>
        </w:tc>
      </w:tr>
      <w:tr w14:paraId="0FBF1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858" w:type="dxa"/>
            <w:tcBorders>
              <w:top w:val="single" w:color="auto" w:sz="4" w:space="0"/>
              <w:left w:val="single" w:color="auto" w:sz="4" w:space="0"/>
              <w:bottom w:val="single" w:color="auto" w:sz="4" w:space="0"/>
              <w:right w:val="single" w:color="auto" w:sz="4" w:space="0"/>
            </w:tcBorders>
            <w:vAlign w:val="center"/>
          </w:tcPr>
          <w:p w14:paraId="5D5A6B90">
            <w:pPr>
              <w:widowControl/>
              <w:wordWrap w:val="0"/>
              <w:spacing w:line="360" w:lineRule="auto"/>
              <w:jc w:val="center"/>
              <w:rPr>
                <w:rFonts w:ascii="宋体" w:hAnsi="宋体" w:cs="宋体"/>
                <w:bCs/>
                <w:color w:val="auto"/>
                <w:kern w:val="0"/>
                <w:sz w:val="24"/>
                <w:highlight w:val="none"/>
              </w:rPr>
            </w:pPr>
            <w:r>
              <w:rPr>
                <w:rFonts w:hint="eastAsia" w:ascii="宋体" w:hAnsi="宋体" w:cs="宋体"/>
                <w:bCs/>
                <w:color w:val="auto"/>
                <w:kern w:val="0"/>
                <w:sz w:val="24"/>
                <w:highlight w:val="none"/>
              </w:rPr>
              <w:t>3</w:t>
            </w:r>
          </w:p>
        </w:tc>
        <w:tc>
          <w:tcPr>
            <w:tcW w:w="2499" w:type="dxa"/>
            <w:tcBorders>
              <w:top w:val="single" w:color="auto" w:sz="4" w:space="0"/>
              <w:left w:val="single" w:color="auto" w:sz="4" w:space="0"/>
              <w:bottom w:val="single" w:color="auto" w:sz="4" w:space="0"/>
              <w:right w:val="single" w:color="auto" w:sz="4" w:space="0"/>
            </w:tcBorders>
            <w:vAlign w:val="center"/>
          </w:tcPr>
          <w:p w14:paraId="08F5AD4E">
            <w:pPr>
              <w:wordWrap w:val="0"/>
              <w:spacing w:line="360" w:lineRule="auto"/>
              <w:jc w:val="center"/>
              <w:rPr>
                <w:rFonts w:ascii="宋体" w:hAnsi="宋体" w:cs="宋体"/>
                <w:bCs/>
                <w:color w:val="auto"/>
                <w:kern w:val="0"/>
                <w:sz w:val="24"/>
                <w:highlight w:val="none"/>
              </w:rPr>
            </w:pPr>
            <w:r>
              <w:rPr>
                <w:rFonts w:hint="eastAsia" w:ascii="宋体" w:hAnsi="宋体" w:cs="宋体"/>
                <w:bCs/>
                <w:color w:val="auto"/>
                <w:kern w:val="0"/>
                <w:sz w:val="24"/>
                <w:highlight w:val="none"/>
              </w:rPr>
              <w:t>交付标的物技术、性能指标</w:t>
            </w:r>
          </w:p>
        </w:tc>
        <w:tc>
          <w:tcPr>
            <w:tcW w:w="5345" w:type="dxa"/>
            <w:tcBorders>
              <w:top w:val="single" w:color="auto" w:sz="4" w:space="0"/>
              <w:left w:val="single" w:color="auto" w:sz="4" w:space="0"/>
              <w:bottom w:val="single" w:color="auto" w:sz="4" w:space="0"/>
              <w:right w:val="single" w:color="auto" w:sz="4" w:space="0"/>
            </w:tcBorders>
            <w:vAlign w:val="center"/>
          </w:tcPr>
          <w:p w14:paraId="62EF56DB">
            <w:pPr>
              <w:spacing w:line="360" w:lineRule="auto"/>
              <w:jc w:val="center"/>
              <w:rPr>
                <w:rFonts w:ascii="宋体" w:hAnsi="宋体" w:cs="宋体"/>
                <w:color w:val="auto"/>
                <w:highlight w:val="none"/>
              </w:rPr>
            </w:pPr>
            <w:r>
              <w:rPr>
                <w:rFonts w:hint="eastAsia" w:ascii="宋体" w:hAnsi="宋体" w:cs="宋体"/>
                <w:bCs/>
                <w:color w:val="auto"/>
                <w:kern w:val="0"/>
                <w:sz w:val="24"/>
                <w:highlight w:val="none"/>
              </w:rPr>
              <w:t>按招标文件要求和投标文件承诺</w:t>
            </w:r>
          </w:p>
        </w:tc>
      </w:tr>
      <w:tr w14:paraId="5BE00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858" w:type="dxa"/>
            <w:tcBorders>
              <w:top w:val="single" w:color="auto" w:sz="4" w:space="0"/>
              <w:left w:val="single" w:color="auto" w:sz="4" w:space="0"/>
              <w:bottom w:val="single" w:color="auto" w:sz="4" w:space="0"/>
              <w:right w:val="single" w:color="auto" w:sz="4" w:space="0"/>
            </w:tcBorders>
            <w:vAlign w:val="center"/>
          </w:tcPr>
          <w:p w14:paraId="16E875B9">
            <w:pPr>
              <w:widowControl/>
              <w:wordWrap w:val="0"/>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4</w:t>
            </w:r>
          </w:p>
        </w:tc>
        <w:tc>
          <w:tcPr>
            <w:tcW w:w="2499" w:type="dxa"/>
            <w:tcBorders>
              <w:top w:val="single" w:color="auto" w:sz="4" w:space="0"/>
              <w:left w:val="single" w:color="auto" w:sz="4" w:space="0"/>
              <w:bottom w:val="single" w:color="auto" w:sz="4" w:space="0"/>
              <w:right w:val="single" w:color="auto" w:sz="4" w:space="0"/>
            </w:tcBorders>
            <w:vAlign w:val="center"/>
          </w:tcPr>
          <w:p w14:paraId="0310FD50">
            <w:pPr>
              <w:wordWrap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售后服务承诺</w:t>
            </w:r>
          </w:p>
        </w:tc>
        <w:tc>
          <w:tcPr>
            <w:tcW w:w="5345" w:type="dxa"/>
            <w:tcBorders>
              <w:top w:val="single" w:color="auto" w:sz="4" w:space="0"/>
              <w:left w:val="single" w:color="auto" w:sz="4" w:space="0"/>
              <w:bottom w:val="single" w:color="auto" w:sz="4" w:space="0"/>
              <w:right w:val="single" w:color="auto" w:sz="4" w:space="0"/>
            </w:tcBorders>
            <w:vAlign w:val="center"/>
          </w:tcPr>
          <w:p w14:paraId="3A0D9660">
            <w:pPr>
              <w:spacing w:line="360" w:lineRule="auto"/>
              <w:jc w:val="center"/>
              <w:rPr>
                <w:rFonts w:ascii="宋体" w:hAnsi="宋体" w:cs="宋体"/>
                <w:color w:val="auto"/>
                <w:kern w:val="0"/>
                <w:sz w:val="24"/>
                <w:highlight w:val="none"/>
              </w:rPr>
            </w:pPr>
            <w:r>
              <w:rPr>
                <w:rFonts w:hint="eastAsia" w:ascii="宋体" w:hAnsi="宋体" w:cs="宋体"/>
                <w:bCs/>
                <w:color w:val="auto"/>
                <w:kern w:val="0"/>
                <w:sz w:val="24"/>
                <w:highlight w:val="none"/>
              </w:rPr>
              <w:t>按招标文件要求和投标文件承诺</w:t>
            </w:r>
          </w:p>
        </w:tc>
      </w:tr>
      <w:tr w14:paraId="5AF59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858" w:type="dxa"/>
            <w:tcBorders>
              <w:top w:val="single" w:color="auto" w:sz="4" w:space="0"/>
              <w:left w:val="single" w:color="auto" w:sz="4" w:space="0"/>
              <w:bottom w:val="single" w:color="auto" w:sz="4" w:space="0"/>
              <w:right w:val="single" w:color="auto" w:sz="4" w:space="0"/>
            </w:tcBorders>
            <w:vAlign w:val="center"/>
          </w:tcPr>
          <w:p w14:paraId="6EF016FE">
            <w:pPr>
              <w:widowControl/>
              <w:wordWrap w:val="0"/>
              <w:spacing w:line="360" w:lineRule="auto"/>
              <w:jc w:val="center"/>
              <w:rPr>
                <w:rFonts w:ascii="宋体" w:hAnsi="宋体" w:cs="宋体"/>
                <w:bCs/>
                <w:color w:val="auto"/>
                <w:kern w:val="0"/>
                <w:sz w:val="24"/>
                <w:highlight w:val="none"/>
              </w:rPr>
            </w:pPr>
            <w:r>
              <w:rPr>
                <w:rFonts w:hint="eastAsia" w:ascii="宋体" w:hAnsi="宋体" w:cs="宋体"/>
                <w:bCs/>
                <w:color w:val="auto"/>
                <w:kern w:val="0"/>
                <w:sz w:val="24"/>
                <w:highlight w:val="none"/>
              </w:rPr>
              <w:t>5</w:t>
            </w:r>
          </w:p>
        </w:tc>
        <w:tc>
          <w:tcPr>
            <w:tcW w:w="2499" w:type="dxa"/>
            <w:tcBorders>
              <w:top w:val="single" w:color="auto" w:sz="4" w:space="0"/>
              <w:left w:val="single" w:color="auto" w:sz="4" w:space="0"/>
              <w:bottom w:val="single" w:color="auto" w:sz="4" w:space="0"/>
              <w:right w:val="single" w:color="auto" w:sz="4" w:space="0"/>
            </w:tcBorders>
            <w:vAlign w:val="center"/>
          </w:tcPr>
          <w:p w14:paraId="2581F709">
            <w:pPr>
              <w:widowControl/>
              <w:wordWrap w:val="0"/>
              <w:spacing w:line="360" w:lineRule="auto"/>
              <w:jc w:val="center"/>
              <w:rPr>
                <w:rFonts w:ascii="宋体" w:hAnsi="宋体" w:cs="宋体"/>
                <w:bCs/>
                <w:color w:val="auto"/>
                <w:kern w:val="0"/>
                <w:sz w:val="24"/>
                <w:highlight w:val="none"/>
              </w:rPr>
            </w:pPr>
            <w:r>
              <w:rPr>
                <w:rFonts w:hint="eastAsia" w:ascii="宋体" w:hAnsi="宋体" w:cs="宋体"/>
                <w:bCs/>
                <w:color w:val="auto"/>
                <w:kern w:val="0"/>
                <w:sz w:val="24"/>
                <w:highlight w:val="none"/>
              </w:rPr>
              <w:t>其他工作</w:t>
            </w:r>
          </w:p>
        </w:tc>
        <w:tc>
          <w:tcPr>
            <w:tcW w:w="5345" w:type="dxa"/>
            <w:tcBorders>
              <w:top w:val="single" w:color="auto" w:sz="4" w:space="0"/>
              <w:left w:val="single" w:color="auto" w:sz="4" w:space="0"/>
              <w:bottom w:val="single" w:color="auto" w:sz="4" w:space="0"/>
              <w:right w:val="single" w:color="auto" w:sz="4" w:space="0"/>
            </w:tcBorders>
            <w:vAlign w:val="center"/>
          </w:tcPr>
          <w:p w14:paraId="7C91BE4C">
            <w:pPr>
              <w:spacing w:line="360" w:lineRule="auto"/>
              <w:jc w:val="center"/>
              <w:rPr>
                <w:rFonts w:ascii="宋体" w:hAnsi="宋体" w:cs="宋体"/>
                <w:color w:val="auto"/>
                <w:kern w:val="0"/>
                <w:sz w:val="24"/>
                <w:highlight w:val="none"/>
              </w:rPr>
            </w:pPr>
            <w:r>
              <w:rPr>
                <w:rFonts w:hint="eastAsia" w:ascii="宋体" w:hAnsi="宋体" w:cs="宋体"/>
                <w:bCs/>
                <w:color w:val="auto"/>
                <w:kern w:val="0"/>
                <w:sz w:val="24"/>
                <w:highlight w:val="none"/>
              </w:rPr>
              <w:t>按招标文件要求和投标文件承诺</w:t>
            </w:r>
          </w:p>
        </w:tc>
      </w:tr>
    </w:tbl>
    <w:p w14:paraId="6C0C46AB">
      <w:pPr>
        <w:tabs>
          <w:tab w:val="left" w:pos="904"/>
        </w:tabs>
        <w:wordWrap w:val="0"/>
        <w:snapToGrid w:val="0"/>
        <w:spacing w:line="360" w:lineRule="auto"/>
        <w:jc w:val="left"/>
        <w:rPr>
          <w:rFonts w:ascii="宋体" w:hAnsi="宋体" w:cs="宋体"/>
          <w:color w:val="auto"/>
          <w:sz w:val="24"/>
          <w:highlight w:val="none"/>
        </w:rPr>
      </w:pPr>
    </w:p>
    <w:p w14:paraId="4700AA8D">
      <w:pPr>
        <w:tabs>
          <w:tab w:val="left" w:pos="904"/>
        </w:tabs>
        <w:wordWrap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3.6.7验收资料要求</w:t>
      </w:r>
    </w:p>
    <w:p w14:paraId="39709B4C">
      <w:pPr>
        <w:tabs>
          <w:tab w:val="left" w:pos="904"/>
        </w:tabs>
        <w:wordWrap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验收资料要求包括（不限于）以下内容：</w:t>
      </w:r>
    </w:p>
    <w:p w14:paraId="6B25CBF6">
      <w:pPr>
        <w:tabs>
          <w:tab w:val="left" w:pos="904"/>
        </w:tabs>
        <w:wordWrap w:val="0"/>
        <w:adjustRightInd w:val="0"/>
        <w:snapToGrid w:val="0"/>
        <w:spacing w:line="360" w:lineRule="auto"/>
        <w:ind w:firstLine="240" w:firstLineChars="100"/>
        <w:jc w:val="left"/>
        <w:rPr>
          <w:rFonts w:ascii="宋体" w:hAnsi="宋体" w:cs="宋体"/>
          <w:color w:val="auto"/>
          <w:sz w:val="24"/>
          <w:highlight w:val="none"/>
        </w:rPr>
      </w:pPr>
      <w:r>
        <w:rPr>
          <w:rFonts w:hint="eastAsia" w:ascii="宋体" w:hAnsi="宋体" w:cs="宋体"/>
          <w:color w:val="auto"/>
          <w:sz w:val="24"/>
          <w:highlight w:val="none"/>
        </w:rPr>
        <w:t>（1）采购文件；</w:t>
      </w:r>
    </w:p>
    <w:p w14:paraId="55B9FCB7">
      <w:pPr>
        <w:tabs>
          <w:tab w:val="left" w:pos="904"/>
        </w:tabs>
        <w:wordWrap w:val="0"/>
        <w:adjustRightInd w:val="0"/>
        <w:snapToGrid w:val="0"/>
        <w:spacing w:line="360" w:lineRule="auto"/>
        <w:ind w:firstLine="240" w:firstLineChars="100"/>
        <w:jc w:val="left"/>
        <w:rPr>
          <w:rFonts w:ascii="宋体" w:hAnsi="宋体" w:cs="宋体"/>
          <w:color w:val="auto"/>
          <w:sz w:val="24"/>
          <w:highlight w:val="none"/>
        </w:rPr>
      </w:pPr>
      <w:r>
        <w:rPr>
          <w:rFonts w:hint="eastAsia" w:ascii="宋体" w:hAnsi="宋体" w:cs="宋体"/>
          <w:color w:val="auto"/>
          <w:sz w:val="24"/>
          <w:highlight w:val="none"/>
        </w:rPr>
        <w:t>（2）投标文件；</w:t>
      </w:r>
    </w:p>
    <w:p w14:paraId="76BCF92D">
      <w:pPr>
        <w:tabs>
          <w:tab w:val="left" w:pos="904"/>
        </w:tabs>
        <w:wordWrap w:val="0"/>
        <w:adjustRightInd w:val="0"/>
        <w:snapToGrid w:val="0"/>
        <w:spacing w:line="360" w:lineRule="auto"/>
        <w:ind w:firstLine="240" w:firstLineChars="100"/>
        <w:jc w:val="left"/>
        <w:rPr>
          <w:rFonts w:ascii="宋体" w:hAnsi="宋体" w:cs="宋体"/>
          <w:color w:val="auto"/>
          <w:sz w:val="24"/>
          <w:highlight w:val="none"/>
        </w:rPr>
      </w:pPr>
      <w:r>
        <w:rPr>
          <w:rFonts w:hint="eastAsia" w:ascii="宋体" w:hAnsi="宋体" w:cs="宋体"/>
          <w:color w:val="auto"/>
          <w:sz w:val="24"/>
          <w:highlight w:val="none"/>
        </w:rPr>
        <w:t>（3）采购合同；</w:t>
      </w:r>
    </w:p>
    <w:p w14:paraId="15F721A0">
      <w:pPr>
        <w:tabs>
          <w:tab w:val="left" w:pos="904"/>
        </w:tabs>
        <w:wordWrap w:val="0"/>
        <w:adjustRightInd w:val="0"/>
        <w:snapToGrid w:val="0"/>
        <w:spacing w:line="360" w:lineRule="auto"/>
        <w:ind w:firstLine="240" w:firstLineChars="100"/>
        <w:jc w:val="left"/>
        <w:rPr>
          <w:rFonts w:ascii="宋体" w:hAnsi="宋体" w:cs="宋体"/>
          <w:b/>
          <w:color w:val="auto"/>
          <w:sz w:val="36"/>
          <w:szCs w:val="20"/>
          <w:highlight w:val="none"/>
        </w:rPr>
      </w:pPr>
      <w:r>
        <w:rPr>
          <w:rFonts w:hint="eastAsia" w:ascii="宋体" w:hAnsi="宋体" w:cs="宋体"/>
          <w:color w:val="auto"/>
          <w:sz w:val="24"/>
          <w:highlight w:val="none"/>
        </w:rPr>
        <w:t>（4）其他需提供的相关材料（业主根据项目实际增减第（4）点验收资料内容）。</w:t>
      </w:r>
    </w:p>
    <w:p w14:paraId="253DF7FD">
      <w:pPr>
        <w:widowControl/>
        <w:wordWrap w:val="0"/>
        <w:spacing w:line="360" w:lineRule="auto"/>
        <w:jc w:val="left"/>
        <w:rPr>
          <w:rFonts w:ascii="宋体" w:hAnsi="宋体" w:cs="宋体"/>
          <w:color w:val="auto"/>
          <w:highlight w:val="none"/>
        </w:rPr>
        <w:sectPr>
          <w:pgSz w:w="11906" w:h="16838"/>
          <w:pgMar w:top="1440" w:right="1080" w:bottom="1440" w:left="1080" w:header="720" w:footer="720" w:gutter="0"/>
          <w:pgNumType w:fmt="decimal"/>
          <w:cols w:space="720" w:num="1"/>
          <w:docGrid w:type="lines" w:linePitch="331" w:charSpace="0"/>
        </w:sectPr>
      </w:pPr>
    </w:p>
    <w:p w14:paraId="7D626285">
      <w:pPr>
        <w:pStyle w:val="12"/>
        <w:tabs>
          <w:tab w:val="left" w:pos="2472"/>
        </w:tabs>
        <w:wordWrap w:val="0"/>
        <w:spacing w:line="360" w:lineRule="auto"/>
        <w:rPr>
          <w:rFonts w:hAnsi="宋体" w:cs="宋体"/>
          <w:b/>
          <w:color w:val="auto"/>
          <w:sz w:val="36"/>
          <w:highlight w:val="none"/>
        </w:rPr>
      </w:pPr>
    </w:p>
    <w:p w14:paraId="566C5C35">
      <w:pPr>
        <w:pStyle w:val="12"/>
        <w:tabs>
          <w:tab w:val="left" w:pos="2472"/>
        </w:tabs>
        <w:wordWrap w:val="0"/>
        <w:spacing w:line="360" w:lineRule="auto"/>
        <w:rPr>
          <w:rFonts w:hAnsi="宋体" w:cs="宋体"/>
          <w:b/>
          <w:color w:val="auto"/>
          <w:sz w:val="36"/>
          <w:highlight w:val="none"/>
        </w:rPr>
      </w:pPr>
    </w:p>
    <w:p w14:paraId="3900B257">
      <w:pPr>
        <w:pStyle w:val="12"/>
        <w:tabs>
          <w:tab w:val="left" w:pos="2472"/>
        </w:tabs>
        <w:wordWrap w:val="0"/>
        <w:spacing w:line="360" w:lineRule="auto"/>
        <w:rPr>
          <w:rFonts w:hAnsi="宋体" w:cs="宋体"/>
          <w:b/>
          <w:color w:val="auto"/>
          <w:sz w:val="36"/>
          <w:highlight w:val="none"/>
        </w:rPr>
      </w:pPr>
    </w:p>
    <w:p w14:paraId="24F3E31E">
      <w:pPr>
        <w:pStyle w:val="12"/>
        <w:tabs>
          <w:tab w:val="left" w:pos="2472"/>
        </w:tabs>
        <w:wordWrap w:val="0"/>
        <w:spacing w:line="360" w:lineRule="auto"/>
        <w:rPr>
          <w:rFonts w:hAnsi="宋体" w:cs="宋体"/>
          <w:b/>
          <w:color w:val="auto"/>
          <w:sz w:val="36"/>
          <w:highlight w:val="none"/>
        </w:rPr>
      </w:pPr>
    </w:p>
    <w:p w14:paraId="64849CEE">
      <w:pPr>
        <w:pStyle w:val="12"/>
        <w:tabs>
          <w:tab w:val="left" w:pos="2472"/>
        </w:tabs>
        <w:wordWrap w:val="0"/>
        <w:spacing w:line="360" w:lineRule="auto"/>
        <w:rPr>
          <w:rFonts w:hAnsi="宋体" w:cs="宋体"/>
          <w:b/>
          <w:color w:val="auto"/>
          <w:sz w:val="36"/>
          <w:highlight w:val="none"/>
        </w:rPr>
      </w:pPr>
    </w:p>
    <w:p w14:paraId="38E2DD3D">
      <w:pPr>
        <w:pStyle w:val="12"/>
        <w:tabs>
          <w:tab w:val="left" w:pos="2472"/>
        </w:tabs>
        <w:wordWrap w:val="0"/>
        <w:spacing w:line="360" w:lineRule="auto"/>
        <w:rPr>
          <w:rFonts w:hAnsi="宋体" w:cs="宋体"/>
          <w:b/>
          <w:color w:val="auto"/>
          <w:sz w:val="36"/>
          <w:highlight w:val="none"/>
        </w:rPr>
      </w:pPr>
    </w:p>
    <w:p w14:paraId="7D593E97">
      <w:pPr>
        <w:pStyle w:val="12"/>
        <w:tabs>
          <w:tab w:val="left" w:pos="2472"/>
        </w:tabs>
        <w:wordWrap w:val="0"/>
        <w:spacing w:line="360" w:lineRule="auto"/>
        <w:rPr>
          <w:rFonts w:hAnsi="宋体" w:cs="宋体"/>
          <w:b/>
          <w:color w:val="auto"/>
          <w:sz w:val="36"/>
          <w:highlight w:val="none"/>
        </w:rPr>
      </w:pPr>
    </w:p>
    <w:p w14:paraId="629FC450">
      <w:pPr>
        <w:pStyle w:val="12"/>
        <w:tabs>
          <w:tab w:val="left" w:pos="2472"/>
        </w:tabs>
        <w:wordWrap w:val="0"/>
        <w:spacing w:line="360" w:lineRule="auto"/>
        <w:jc w:val="center"/>
        <w:outlineLvl w:val="0"/>
        <w:rPr>
          <w:rFonts w:hAnsi="宋体" w:cs="宋体"/>
          <w:b/>
          <w:color w:val="auto"/>
          <w:sz w:val="36"/>
          <w:highlight w:val="none"/>
        </w:rPr>
      </w:pPr>
      <w:bookmarkStart w:id="276" w:name="_Toc25059"/>
      <w:r>
        <w:rPr>
          <w:rFonts w:hint="eastAsia" w:hAnsi="宋体" w:cs="宋体"/>
          <w:b/>
          <w:color w:val="auto"/>
          <w:sz w:val="36"/>
          <w:highlight w:val="none"/>
        </w:rPr>
        <w:t>第六章 投标文件格式</w:t>
      </w:r>
      <w:bookmarkEnd w:id="276"/>
    </w:p>
    <w:p w14:paraId="0BA90B22">
      <w:pPr>
        <w:widowControl/>
        <w:wordWrap w:val="0"/>
        <w:spacing w:line="360" w:lineRule="auto"/>
        <w:jc w:val="left"/>
        <w:rPr>
          <w:rFonts w:ascii="宋体" w:hAnsi="宋体" w:cs="宋体"/>
          <w:color w:val="auto"/>
          <w:szCs w:val="20"/>
          <w:highlight w:val="none"/>
        </w:rPr>
        <w:sectPr>
          <w:pgSz w:w="11906" w:h="16838"/>
          <w:pgMar w:top="1440" w:right="1080" w:bottom="1440" w:left="1080" w:header="720" w:footer="720" w:gutter="0"/>
          <w:pgNumType w:fmt="decimal"/>
          <w:cols w:space="720" w:num="1"/>
          <w:docGrid w:type="lines" w:linePitch="331" w:charSpace="0"/>
        </w:sectPr>
      </w:pPr>
    </w:p>
    <w:p w14:paraId="15BDB919">
      <w:pPr>
        <w:pStyle w:val="12"/>
        <w:wordWrap w:val="0"/>
        <w:spacing w:line="360" w:lineRule="auto"/>
        <w:ind w:firstLine="551" w:firstLineChars="196"/>
        <w:jc w:val="center"/>
        <w:outlineLvl w:val="1"/>
        <w:rPr>
          <w:rFonts w:hAnsi="宋体" w:cs="宋体"/>
          <w:b/>
          <w:bCs/>
          <w:color w:val="auto"/>
          <w:sz w:val="28"/>
          <w:szCs w:val="28"/>
          <w:highlight w:val="none"/>
        </w:rPr>
      </w:pPr>
      <w:bookmarkStart w:id="277" w:name="_Toc9103"/>
      <w:r>
        <w:rPr>
          <w:rFonts w:hint="eastAsia" w:hAnsi="宋体" w:cs="宋体"/>
          <w:b/>
          <w:bCs/>
          <w:color w:val="auto"/>
          <w:sz w:val="28"/>
          <w:szCs w:val="28"/>
          <w:highlight w:val="none"/>
        </w:rPr>
        <w:t>第一节 投标文件外层包装封面</w:t>
      </w:r>
      <w:bookmarkEnd w:id="277"/>
    </w:p>
    <w:p w14:paraId="71F49E7A">
      <w:pPr>
        <w:wordWrap w:val="0"/>
        <w:spacing w:line="360" w:lineRule="auto"/>
        <w:jc w:val="center"/>
        <w:rPr>
          <w:rFonts w:ascii="宋体" w:hAnsi="宋体" w:cs="宋体"/>
          <w:color w:val="auto"/>
          <w:spacing w:val="20"/>
          <w:sz w:val="44"/>
          <w:szCs w:val="44"/>
          <w:highlight w:val="none"/>
        </w:rPr>
      </w:pPr>
    </w:p>
    <w:p w14:paraId="14F3C252">
      <w:pPr>
        <w:wordWrap w:val="0"/>
        <w:spacing w:line="360" w:lineRule="auto"/>
        <w:jc w:val="center"/>
        <w:rPr>
          <w:rFonts w:ascii="宋体" w:hAnsi="宋体" w:cs="宋体"/>
          <w:color w:val="auto"/>
          <w:spacing w:val="20"/>
          <w:sz w:val="44"/>
          <w:szCs w:val="44"/>
          <w:highlight w:val="none"/>
        </w:rPr>
      </w:pPr>
    </w:p>
    <w:p w14:paraId="3C703763">
      <w:pPr>
        <w:wordWrap w:val="0"/>
        <w:spacing w:line="360" w:lineRule="auto"/>
        <w:jc w:val="center"/>
        <w:rPr>
          <w:rFonts w:ascii="宋体" w:hAnsi="宋体" w:cs="宋体"/>
          <w:color w:val="auto"/>
          <w:spacing w:val="20"/>
          <w:sz w:val="44"/>
          <w:szCs w:val="44"/>
          <w:highlight w:val="none"/>
        </w:rPr>
      </w:pPr>
    </w:p>
    <w:p w14:paraId="563F3379">
      <w:pPr>
        <w:wordWrap w:val="0"/>
        <w:spacing w:line="360" w:lineRule="auto"/>
        <w:jc w:val="center"/>
        <w:rPr>
          <w:rFonts w:ascii="宋体" w:hAnsi="宋体" w:cs="宋体"/>
          <w:color w:val="auto"/>
          <w:spacing w:val="20"/>
          <w:sz w:val="44"/>
          <w:szCs w:val="44"/>
          <w:highlight w:val="none"/>
        </w:rPr>
      </w:pPr>
    </w:p>
    <w:p w14:paraId="5A212195">
      <w:pPr>
        <w:wordWrap w:val="0"/>
        <w:spacing w:line="360" w:lineRule="auto"/>
        <w:jc w:val="center"/>
        <w:rPr>
          <w:rFonts w:ascii="宋体" w:hAnsi="宋体" w:cs="宋体"/>
          <w:color w:val="auto"/>
          <w:spacing w:val="20"/>
          <w:sz w:val="44"/>
          <w:szCs w:val="44"/>
          <w:highlight w:val="none"/>
        </w:rPr>
      </w:pPr>
      <w:r>
        <w:rPr>
          <w:rFonts w:hint="eastAsia" w:ascii="宋体" w:hAnsi="宋体" w:cs="宋体"/>
          <w:color w:val="auto"/>
          <w:spacing w:val="20"/>
          <w:sz w:val="44"/>
          <w:szCs w:val="44"/>
          <w:highlight w:val="none"/>
          <w:u w:val="single"/>
        </w:rPr>
        <w:t xml:space="preserve">             </w:t>
      </w:r>
      <w:r>
        <w:rPr>
          <w:rFonts w:hint="eastAsia" w:ascii="宋体" w:hAnsi="宋体" w:cs="宋体"/>
          <w:color w:val="auto"/>
          <w:spacing w:val="20"/>
          <w:sz w:val="44"/>
          <w:szCs w:val="44"/>
          <w:highlight w:val="none"/>
        </w:rPr>
        <w:t>项目</w:t>
      </w:r>
    </w:p>
    <w:p w14:paraId="574C9DF1">
      <w:pPr>
        <w:wordWrap w:val="0"/>
        <w:spacing w:line="360" w:lineRule="auto"/>
        <w:jc w:val="center"/>
        <w:rPr>
          <w:rFonts w:ascii="宋体" w:hAnsi="宋体" w:cs="宋体"/>
          <w:color w:val="auto"/>
          <w:spacing w:val="40"/>
          <w:w w:val="110"/>
          <w:sz w:val="44"/>
          <w:szCs w:val="44"/>
          <w:highlight w:val="none"/>
        </w:rPr>
      </w:pPr>
      <w:r>
        <w:rPr>
          <w:rFonts w:hint="eastAsia" w:ascii="宋体" w:hAnsi="宋体" w:cs="宋体"/>
          <w:color w:val="auto"/>
          <w:spacing w:val="40"/>
          <w:w w:val="110"/>
          <w:sz w:val="44"/>
          <w:szCs w:val="44"/>
          <w:highlight w:val="none"/>
        </w:rPr>
        <w:t>投标文件</w:t>
      </w:r>
    </w:p>
    <w:p w14:paraId="02C34DF3">
      <w:pPr>
        <w:wordWrap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（电子投标文件）</w:t>
      </w:r>
    </w:p>
    <w:tbl>
      <w:tblPr>
        <w:tblStyle w:val="22"/>
        <w:tblW w:w="7773" w:type="dxa"/>
        <w:jc w:val="center"/>
        <w:tblLayout w:type="fixed"/>
        <w:tblCellMar>
          <w:top w:w="0" w:type="dxa"/>
          <w:left w:w="108" w:type="dxa"/>
          <w:bottom w:w="0" w:type="dxa"/>
          <w:right w:w="108" w:type="dxa"/>
        </w:tblCellMar>
      </w:tblPr>
      <w:tblGrid>
        <w:gridCol w:w="1601"/>
        <w:gridCol w:w="6172"/>
      </w:tblGrid>
      <w:tr w14:paraId="2DE47428">
        <w:tblPrEx>
          <w:tblCellMar>
            <w:top w:w="0" w:type="dxa"/>
            <w:left w:w="108" w:type="dxa"/>
            <w:bottom w:w="0" w:type="dxa"/>
            <w:right w:w="108" w:type="dxa"/>
          </w:tblCellMar>
        </w:tblPrEx>
        <w:trPr>
          <w:jc w:val="center"/>
        </w:trPr>
        <w:tc>
          <w:tcPr>
            <w:tcW w:w="1601" w:type="dxa"/>
            <w:vAlign w:val="bottom"/>
          </w:tcPr>
          <w:p w14:paraId="34E47C7E">
            <w:pPr>
              <w:wordWrap w:val="0"/>
              <w:spacing w:line="360" w:lineRule="auto"/>
              <w:jc w:val="distribute"/>
              <w:rPr>
                <w:rFonts w:ascii="宋体" w:hAnsi="宋体" w:cs="宋体"/>
                <w:color w:val="auto"/>
                <w:sz w:val="24"/>
                <w:highlight w:val="none"/>
              </w:rPr>
            </w:pPr>
            <w:r>
              <w:rPr>
                <w:rFonts w:hint="eastAsia" w:ascii="宋体" w:hAnsi="宋体" w:cs="宋体"/>
                <w:color w:val="auto"/>
                <w:sz w:val="24"/>
                <w:highlight w:val="none"/>
              </w:rPr>
              <w:t>项目名称：</w:t>
            </w:r>
          </w:p>
        </w:tc>
        <w:tc>
          <w:tcPr>
            <w:tcW w:w="6172" w:type="dxa"/>
            <w:tcBorders>
              <w:top w:val="nil"/>
              <w:left w:val="nil"/>
              <w:bottom w:val="single" w:color="000000" w:sz="4" w:space="0"/>
              <w:right w:val="nil"/>
            </w:tcBorders>
            <w:vAlign w:val="bottom"/>
          </w:tcPr>
          <w:p w14:paraId="3A09234D">
            <w:pPr>
              <w:wordWrap w:val="0"/>
              <w:spacing w:line="360" w:lineRule="auto"/>
              <w:jc w:val="left"/>
              <w:rPr>
                <w:rFonts w:ascii="宋体" w:hAnsi="宋体" w:cs="宋体"/>
                <w:color w:val="auto"/>
                <w:sz w:val="24"/>
                <w:highlight w:val="none"/>
              </w:rPr>
            </w:pPr>
            <w:r>
              <w:rPr>
                <w:rFonts w:hint="eastAsia" w:ascii="宋体" w:hAnsi="宋体" w:cs="宋体"/>
                <w:color w:val="auto"/>
                <w:sz w:val="24"/>
                <w:highlight w:val="none"/>
              </w:rPr>
              <w:t xml:space="preserve"> </w:t>
            </w:r>
          </w:p>
        </w:tc>
      </w:tr>
      <w:tr w14:paraId="6BE4E8E2">
        <w:tblPrEx>
          <w:tblCellMar>
            <w:top w:w="0" w:type="dxa"/>
            <w:left w:w="108" w:type="dxa"/>
            <w:bottom w:w="0" w:type="dxa"/>
            <w:right w:w="108" w:type="dxa"/>
          </w:tblCellMar>
        </w:tblPrEx>
        <w:trPr>
          <w:jc w:val="center"/>
        </w:trPr>
        <w:tc>
          <w:tcPr>
            <w:tcW w:w="1601" w:type="dxa"/>
            <w:vAlign w:val="bottom"/>
          </w:tcPr>
          <w:p w14:paraId="6A4BED3E">
            <w:pPr>
              <w:wordWrap w:val="0"/>
              <w:spacing w:line="360" w:lineRule="auto"/>
              <w:jc w:val="distribute"/>
              <w:rPr>
                <w:rFonts w:ascii="宋体" w:hAnsi="宋体" w:cs="宋体"/>
                <w:color w:val="auto"/>
                <w:sz w:val="24"/>
                <w:highlight w:val="none"/>
              </w:rPr>
            </w:pPr>
            <w:r>
              <w:rPr>
                <w:rFonts w:hint="eastAsia" w:ascii="宋体" w:hAnsi="宋体" w:cs="宋体"/>
                <w:color w:val="auto"/>
                <w:sz w:val="24"/>
                <w:highlight w:val="none"/>
              </w:rPr>
              <w:t>投标方式：</w:t>
            </w:r>
          </w:p>
        </w:tc>
        <w:tc>
          <w:tcPr>
            <w:tcW w:w="6172" w:type="dxa"/>
            <w:tcBorders>
              <w:top w:val="single" w:color="000000" w:sz="4" w:space="0"/>
              <w:left w:val="nil"/>
              <w:bottom w:val="single" w:color="000000" w:sz="4" w:space="0"/>
              <w:right w:val="nil"/>
            </w:tcBorders>
            <w:vAlign w:val="bottom"/>
          </w:tcPr>
          <w:p w14:paraId="122D5EC3">
            <w:pPr>
              <w:wordWrap w:val="0"/>
              <w:spacing w:line="360" w:lineRule="auto"/>
              <w:jc w:val="left"/>
              <w:rPr>
                <w:rFonts w:ascii="宋体" w:hAnsi="宋体" w:cs="宋体"/>
                <w:color w:val="auto"/>
                <w:sz w:val="24"/>
                <w:highlight w:val="none"/>
              </w:rPr>
            </w:pPr>
            <w:r>
              <w:rPr>
                <w:rFonts w:hint="eastAsia" w:ascii="宋体" w:hAnsi="宋体" w:cs="宋体"/>
                <w:color w:val="auto"/>
                <w:sz w:val="24"/>
                <w:highlight w:val="none"/>
              </w:rPr>
              <w:t xml:space="preserve"> 线上投标</w:t>
            </w:r>
          </w:p>
        </w:tc>
      </w:tr>
      <w:tr w14:paraId="0E43C645">
        <w:tblPrEx>
          <w:tblCellMar>
            <w:top w:w="0" w:type="dxa"/>
            <w:left w:w="108" w:type="dxa"/>
            <w:bottom w:w="0" w:type="dxa"/>
            <w:right w:w="108" w:type="dxa"/>
          </w:tblCellMar>
        </w:tblPrEx>
        <w:trPr>
          <w:jc w:val="center"/>
        </w:trPr>
        <w:tc>
          <w:tcPr>
            <w:tcW w:w="1601" w:type="dxa"/>
            <w:vAlign w:val="bottom"/>
          </w:tcPr>
          <w:p w14:paraId="128074E1">
            <w:pPr>
              <w:wordWrap w:val="0"/>
              <w:spacing w:line="360" w:lineRule="auto"/>
              <w:jc w:val="distribute"/>
              <w:rPr>
                <w:rFonts w:ascii="宋体" w:hAnsi="宋体" w:cs="宋体"/>
                <w:color w:val="auto"/>
                <w:sz w:val="24"/>
                <w:highlight w:val="none"/>
              </w:rPr>
            </w:pPr>
            <w:r>
              <w:rPr>
                <w:rFonts w:hint="eastAsia" w:ascii="宋体" w:hAnsi="宋体" w:cs="宋体"/>
                <w:color w:val="auto"/>
                <w:sz w:val="24"/>
                <w:highlight w:val="none"/>
              </w:rPr>
              <w:t>项目编号：</w:t>
            </w:r>
          </w:p>
        </w:tc>
        <w:tc>
          <w:tcPr>
            <w:tcW w:w="6172" w:type="dxa"/>
            <w:tcBorders>
              <w:top w:val="single" w:color="000000" w:sz="4" w:space="0"/>
              <w:left w:val="nil"/>
              <w:bottom w:val="single" w:color="000000" w:sz="4" w:space="0"/>
              <w:right w:val="nil"/>
            </w:tcBorders>
            <w:vAlign w:val="bottom"/>
          </w:tcPr>
          <w:p w14:paraId="6A77C822">
            <w:pPr>
              <w:wordWrap w:val="0"/>
              <w:spacing w:line="360" w:lineRule="auto"/>
              <w:jc w:val="left"/>
              <w:rPr>
                <w:rFonts w:ascii="宋体" w:hAnsi="宋体" w:cs="宋体"/>
                <w:color w:val="auto"/>
                <w:sz w:val="24"/>
                <w:highlight w:val="none"/>
              </w:rPr>
            </w:pPr>
            <w:r>
              <w:rPr>
                <w:rFonts w:hint="eastAsia" w:ascii="宋体" w:hAnsi="宋体" w:cs="宋体"/>
                <w:color w:val="auto"/>
                <w:sz w:val="24"/>
                <w:highlight w:val="none"/>
              </w:rPr>
              <w:t xml:space="preserve"> </w:t>
            </w:r>
          </w:p>
        </w:tc>
      </w:tr>
      <w:tr w14:paraId="10C742D3">
        <w:tblPrEx>
          <w:tblCellMar>
            <w:top w:w="0" w:type="dxa"/>
            <w:left w:w="108" w:type="dxa"/>
            <w:bottom w:w="0" w:type="dxa"/>
            <w:right w:w="108" w:type="dxa"/>
          </w:tblCellMar>
        </w:tblPrEx>
        <w:trPr>
          <w:jc w:val="center"/>
        </w:trPr>
        <w:tc>
          <w:tcPr>
            <w:tcW w:w="1601" w:type="dxa"/>
            <w:vAlign w:val="bottom"/>
          </w:tcPr>
          <w:p w14:paraId="48EA712E">
            <w:pPr>
              <w:wordWrap w:val="0"/>
              <w:spacing w:line="360" w:lineRule="auto"/>
              <w:jc w:val="distribute"/>
              <w:rPr>
                <w:rFonts w:ascii="宋体" w:hAnsi="宋体" w:cs="宋体"/>
                <w:color w:val="auto"/>
                <w:sz w:val="24"/>
                <w:highlight w:val="none"/>
              </w:rPr>
            </w:pPr>
            <w:r>
              <w:rPr>
                <w:rFonts w:hint="eastAsia" w:ascii="宋体" w:hAnsi="宋体" w:cs="宋体"/>
                <w:color w:val="auto"/>
                <w:sz w:val="24"/>
                <w:highlight w:val="none"/>
              </w:rPr>
              <w:t>所投分标：</w:t>
            </w:r>
          </w:p>
        </w:tc>
        <w:tc>
          <w:tcPr>
            <w:tcW w:w="6172" w:type="dxa"/>
            <w:tcBorders>
              <w:top w:val="single" w:color="000000" w:sz="4" w:space="0"/>
              <w:left w:val="nil"/>
              <w:bottom w:val="single" w:color="000000" w:sz="4" w:space="0"/>
              <w:right w:val="nil"/>
            </w:tcBorders>
            <w:vAlign w:val="bottom"/>
          </w:tcPr>
          <w:p w14:paraId="6CD41C02">
            <w:pPr>
              <w:wordWrap w:val="0"/>
              <w:spacing w:line="360" w:lineRule="auto"/>
              <w:jc w:val="left"/>
              <w:rPr>
                <w:rFonts w:ascii="宋体" w:hAnsi="宋体" w:cs="宋体"/>
                <w:color w:val="auto"/>
                <w:sz w:val="24"/>
                <w:highlight w:val="none"/>
              </w:rPr>
            </w:pPr>
          </w:p>
        </w:tc>
      </w:tr>
      <w:tr w14:paraId="0066E280">
        <w:tblPrEx>
          <w:tblCellMar>
            <w:top w:w="0" w:type="dxa"/>
            <w:left w:w="108" w:type="dxa"/>
            <w:bottom w:w="0" w:type="dxa"/>
            <w:right w:w="108" w:type="dxa"/>
          </w:tblCellMar>
        </w:tblPrEx>
        <w:trPr>
          <w:jc w:val="center"/>
        </w:trPr>
        <w:tc>
          <w:tcPr>
            <w:tcW w:w="1601" w:type="dxa"/>
            <w:vAlign w:val="bottom"/>
          </w:tcPr>
          <w:p w14:paraId="1A1A3B65">
            <w:pPr>
              <w:wordWrap w:val="0"/>
              <w:spacing w:line="360" w:lineRule="auto"/>
              <w:jc w:val="distribute"/>
              <w:rPr>
                <w:rFonts w:ascii="宋体" w:hAnsi="宋体" w:cs="宋体"/>
                <w:color w:val="auto"/>
                <w:sz w:val="24"/>
                <w:highlight w:val="none"/>
              </w:rPr>
            </w:pPr>
            <w:r>
              <w:rPr>
                <w:rFonts w:hint="eastAsia" w:ascii="宋体" w:hAnsi="宋体" w:cs="宋体"/>
                <w:color w:val="auto"/>
                <w:sz w:val="24"/>
                <w:highlight w:val="none"/>
              </w:rPr>
              <w:t>投标人名称：</w:t>
            </w:r>
          </w:p>
        </w:tc>
        <w:tc>
          <w:tcPr>
            <w:tcW w:w="6172" w:type="dxa"/>
            <w:tcBorders>
              <w:top w:val="single" w:color="000000" w:sz="4" w:space="0"/>
              <w:left w:val="nil"/>
              <w:bottom w:val="single" w:color="000000" w:sz="4" w:space="0"/>
              <w:right w:val="nil"/>
            </w:tcBorders>
            <w:vAlign w:val="bottom"/>
          </w:tcPr>
          <w:p w14:paraId="772992BB">
            <w:pPr>
              <w:wordWrap w:val="0"/>
              <w:spacing w:line="360" w:lineRule="auto"/>
              <w:jc w:val="left"/>
              <w:rPr>
                <w:rFonts w:ascii="宋体" w:hAnsi="宋体" w:cs="宋体"/>
                <w:color w:val="auto"/>
                <w:sz w:val="24"/>
                <w:highlight w:val="none"/>
              </w:rPr>
            </w:pPr>
          </w:p>
        </w:tc>
      </w:tr>
      <w:tr w14:paraId="435BBB02">
        <w:tblPrEx>
          <w:tblCellMar>
            <w:top w:w="0" w:type="dxa"/>
            <w:left w:w="108" w:type="dxa"/>
            <w:bottom w:w="0" w:type="dxa"/>
            <w:right w:w="108" w:type="dxa"/>
          </w:tblCellMar>
        </w:tblPrEx>
        <w:trPr>
          <w:jc w:val="center"/>
        </w:trPr>
        <w:tc>
          <w:tcPr>
            <w:tcW w:w="1601" w:type="dxa"/>
            <w:vAlign w:val="bottom"/>
          </w:tcPr>
          <w:p w14:paraId="6D44D80E">
            <w:pPr>
              <w:wordWrap w:val="0"/>
              <w:spacing w:line="360" w:lineRule="auto"/>
              <w:jc w:val="distribute"/>
              <w:rPr>
                <w:rFonts w:ascii="宋体" w:hAnsi="宋体" w:cs="宋体"/>
                <w:color w:val="auto"/>
                <w:sz w:val="24"/>
                <w:highlight w:val="none"/>
              </w:rPr>
            </w:pPr>
            <w:r>
              <w:rPr>
                <w:rFonts w:hint="eastAsia" w:ascii="宋体" w:hAnsi="宋体" w:cs="宋体"/>
                <w:color w:val="auto"/>
                <w:sz w:val="24"/>
                <w:highlight w:val="none"/>
              </w:rPr>
              <w:t>投标人地址：</w:t>
            </w:r>
          </w:p>
        </w:tc>
        <w:tc>
          <w:tcPr>
            <w:tcW w:w="6172" w:type="dxa"/>
            <w:tcBorders>
              <w:top w:val="single" w:color="000000" w:sz="4" w:space="0"/>
              <w:left w:val="nil"/>
              <w:bottom w:val="single" w:color="000000" w:sz="4" w:space="0"/>
              <w:right w:val="nil"/>
            </w:tcBorders>
            <w:vAlign w:val="bottom"/>
          </w:tcPr>
          <w:p w14:paraId="19E7813B">
            <w:pPr>
              <w:wordWrap w:val="0"/>
              <w:spacing w:line="360" w:lineRule="auto"/>
              <w:jc w:val="left"/>
              <w:rPr>
                <w:rFonts w:ascii="宋体" w:hAnsi="宋体" w:cs="宋体"/>
                <w:color w:val="auto"/>
                <w:sz w:val="24"/>
                <w:highlight w:val="none"/>
              </w:rPr>
            </w:pPr>
          </w:p>
        </w:tc>
      </w:tr>
    </w:tbl>
    <w:p w14:paraId="29745D2E">
      <w:pPr>
        <w:wordWrap w:val="0"/>
        <w:spacing w:line="360" w:lineRule="auto"/>
        <w:ind w:firstLine="4200" w:firstLineChars="1750"/>
        <w:rPr>
          <w:rFonts w:ascii="宋体" w:hAnsi="宋体" w:cs="宋体"/>
          <w:color w:val="auto"/>
          <w:sz w:val="24"/>
          <w:highlight w:val="none"/>
        </w:rPr>
      </w:pPr>
    </w:p>
    <w:p w14:paraId="18EA03F2">
      <w:pPr>
        <w:wordWrap w:val="0"/>
        <w:spacing w:line="360" w:lineRule="auto"/>
        <w:ind w:firstLine="4200" w:firstLineChars="1750"/>
        <w:rPr>
          <w:rFonts w:ascii="宋体" w:hAnsi="宋体" w:cs="宋体"/>
          <w:color w:val="auto"/>
          <w:sz w:val="24"/>
          <w:highlight w:val="none"/>
        </w:rPr>
      </w:pPr>
    </w:p>
    <w:p w14:paraId="49881316">
      <w:pPr>
        <w:wordWrap w:val="0"/>
        <w:spacing w:line="360" w:lineRule="auto"/>
        <w:ind w:firstLine="4200" w:firstLineChars="1750"/>
        <w:rPr>
          <w:rFonts w:ascii="宋体" w:hAnsi="宋体" w:cs="宋体"/>
          <w:color w:val="auto"/>
          <w:sz w:val="24"/>
          <w:highlight w:val="none"/>
        </w:rPr>
      </w:pPr>
    </w:p>
    <w:p w14:paraId="33157AC9">
      <w:pPr>
        <w:wordWrap w:val="0"/>
        <w:spacing w:line="360" w:lineRule="auto"/>
        <w:ind w:firstLine="5880" w:firstLineChars="2450"/>
        <w:rPr>
          <w:rFonts w:ascii="宋体" w:hAnsi="宋体" w:cs="宋体"/>
          <w:color w:val="auto"/>
          <w:sz w:val="24"/>
          <w:highlight w:val="none"/>
        </w:rPr>
      </w:pPr>
      <w:r>
        <w:rPr>
          <w:rFonts w:hint="eastAsia" w:ascii="宋体" w:hAnsi="宋体" w:cs="宋体"/>
          <w:color w:val="auto"/>
          <w:sz w:val="24"/>
          <w:highlight w:val="none"/>
        </w:rPr>
        <w:t>投标截止时间前不得解密</w:t>
      </w:r>
    </w:p>
    <w:p w14:paraId="603021DC">
      <w:pPr>
        <w:wordWrap w:val="0"/>
        <w:spacing w:line="360" w:lineRule="auto"/>
        <w:ind w:firstLine="6480" w:firstLineChars="2700"/>
        <w:rPr>
          <w:rFonts w:ascii="宋体" w:hAnsi="宋体" w:cs="宋体"/>
          <w:color w:val="auto"/>
          <w:sz w:val="24"/>
          <w:highlight w:val="none"/>
        </w:rPr>
      </w:pPr>
      <w:r>
        <w:rPr>
          <w:rFonts w:hint="eastAsia" w:ascii="宋体" w:hAnsi="宋体" w:cs="宋体"/>
          <w:color w:val="auto"/>
          <w:sz w:val="24"/>
          <w:highlight w:val="none"/>
        </w:rPr>
        <w:t>年   月   日</w:t>
      </w:r>
    </w:p>
    <w:p w14:paraId="61F2CD8E">
      <w:pPr>
        <w:widowControl/>
        <w:wordWrap w:val="0"/>
        <w:spacing w:line="360" w:lineRule="auto"/>
        <w:jc w:val="left"/>
        <w:rPr>
          <w:rFonts w:ascii="宋体" w:hAnsi="宋体" w:cs="宋体"/>
          <w:color w:val="auto"/>
          <w:sz w:val="24"/>
          <w:highlight w:val="none"/>
        </w:rPr>
        <w:sectPr>
          <w:pgSz w:w="11907" w:h="16840"/>
          <w:pgMar w:top="1440" w:right="1080" w:bottom="1440" w:left="1080" w:header="720" w:footer="720" w:gutter="0"/>
          <w:pgNumType w:fmt="decimal"/>
          <w:cols w:space="720" w:num="1"/>
        </w:sectPr>
      </w:pPr>
    </w:p>
    <w:p w14:paraId="7A4F998F">
      <w:pPr>
        <w:pStyle w:val="12"/>
        <w:wordWrap w:val="0"/>
        <w:spacing w:line="360" w:lineRule="auto"/>
        <w:jc w:val="center"/>
        <w:outlineLvl w:val="1"/>
        <w:rPr>
          <w:rFonts w:hAnsi="宋体" w:cs="宋体"/>
          <w:b/>
          <w:bCs/>
          <w:color w:val="auto"/>
          <w:sz w:val="28"/>
          <w:szCs w:val="28"/>
          <w:highlight w:val="none"/>
        </w:rPr>
      </w:pPr>
      <w:bookmarkStart w:id="278" w:name="_Toc1700"/>
      <w:r>
        <w:rPr>
          <w:rFonts w:hint="eastAsia" w:hAnsi="宋体" w:cs="宋体"/>
          <w:b/>
          <w:bCs/>
          <w:color w:val="auto"/>
          <w:sz w:val="28"/>
          <w:szCs w:val="28"/>
          <w:highlight w:val="none"/>
        </w:rPr>
        <w:t>第二节 资格证明文件格式</w:t>
      </w:r>
      <w:bookmarkEnd w:id="278"/>
    </w:p>
    <w:p w14:paraId="3C51D79D">
      <w:pPr>
        <w:pStyle w:val="12"/>
        <w:wordWrap w:val="0"/>
        <w:spacing w:line="360" w:lineRule="auto"/>
        <w:ind w:firstLine="420"/>
        <w:rPr>
          <w:rFonts w:hAnsi="宋体" w:cs="宋体"/>
          <w:color w:val="auto"/>
          <w:sz w:val="30"/>
          <w:highlight w:val="none"/>
        </w:rPr>
      </w:pPr>
    </w:p>
    <w:p w14:paraId="7C7430D1">
      <w:pPr>
        <w:wordWrap w:val="0"/>
        <w:snapToGrid w:val="0"/>
        <w:spacing w:line="360" w:lineRule="auto"/>
        <w:rPr>
          <w:rFonts w:ascii="宋体" w:hAnsi="宋体" w:cs="宋体"/>
          <w:bCs/>
          <w:color w:val="auto"/>
          <w:sz w:val="32"/>
          <w:szCs w:val="20"/>
          <w:highlight w:val="none"/>
        </w:rPr>
      </w:pPr>
      <w:r>
        <w:rPr>
          <w:rFonts w:hint="eastAsia" w:ascii="宋体" w:hAnsi="宋体" w:cs="宋体"/>
          <w:color w:val="auto"/>
          <w:sz w:val="24"/>
          <w:highlight w:val="none"/>
        </w:rPr>
        <w:t xml:space="preserve">                                                         </w:t>
      </w:r>
      <w:r>
        <w:rPr>
          <w:rFonts w:hint="eastAsia" w:ascii="宋体" w:hAnsi="宋体" w:cs="宋体"/>
          <w:bCs/>
          <w:color w:val="auto"/>
          <w:highlight w:val="none"/>
        </w:rPr>
        <w:t>电子投标文件</w:t>
      </w:r>
    </w:p>
    <w:p w14:paraId="597C6F02">
      <w:pPr>
        <w:wordWrap w:val="0"/>
        <w:snapToGrid w:val="0"/>
        <w:spacing w:line="360" w:lineRule="auto"/>
        <w:rPr>
          <w:rFonts w:ascii="宋体" w:hAnsi="宋体" w:cs="宋体"/>
          <w:color w:val="auto"/>
          <w:sz w:val="24"/>
          <w:szCs w:val="20"/>
          <w:highlight w:val="none"/>
        </w:rPr>
      </w:pPr>
    </w:p>
    <w:p w14:paraId="20FAE563">
      <w:pPr>
        <w:wordWrap w:val="0"/>
        <w:snapToGrid w:val="0"/>
        <w:spacing w:line="360" w:lineRule="auto"/>
        <w:jc w:val="center"/>
        <w:rPr>
          <w:rFonts w:ascii="宋体" w:hAnsi="宋体" w:cs="宋体"/>
          <w:b/>
          <w:color w:val="auto"/>
          <w:sz w:val="24"/>
          <w:szCs w:val="20"/>
          <w:highlight w:val="none"/>
        </w:rPr>
      </w:pPr>
      <w:r>
        <w:rPr>
          <w:rFonts w:hint="eastAsia" w:ascii="宋体" w:hAnsi="宋体" w:cs="宋体"/>
          <w:b/>
          <w:color w:val="auto"/>
          <w:sz w:val="32"/>
          <w:szCs w:val="32"/>
          <w:highlight w:val="none"/>
        </w:rPr>
        <w:t>资格证明文件（封面）</w:t>
      </w:r>
    </w:p>
    <w:p w14:paraId="4399E758">
      <w:pPr>
        <w:wordWrap w:val="0"/>
        <w:snapToGrid w:val="0"/>
        <w:spacing w:line="360" w:lineRule="auto"/>
        <w:rPr>
          <w:rFonts w:ascii="宋体" w:hAnsi="宋体" w:cs="宋体"/>
          <w:bCs/>
          <w:color w:val="auto"/>
          <w:sz w:val="24"/>
          <w:szCs w:val="20"/>
          <w:highlight w:val="none"/>
        </w:rPr>
      </w:pPr>
    </w:p>
    <w:p w14:paraId="3D4E6D8D">
      <w:pPr>
        <w:wordWrap w:val="0"/>
        <w:snapToGrid w:val="0"/>
        <w:spacing w:line="360" w:lineRule="auto"/>
        <w:rPr>
          <w:rFonts w:ascii="宋体" w:hAnsi="宋体" w:cs="宋体"/>
          <w:bCs/>
          <w:color w:val="auto"/>
          <w:sz w:val="24"/>
          <w:szCs w:val="20"/>
          <w:highlight w:val="none"/>
        </w:rPr>
      </w:pPr>
    </w:p>
    <w:p w14:paraId="1B1BC999">
      <w:pPr>
        <w:wordWrap w:val="0"/>
        <w:snapToGrid w:val="0"/>
        <w:spacing w:line="360" w:lineRule="auto"/>
        <w:rPr>
          <w:rFonts w:ascii="宋体" w:hAnsi="宋体" w:cs="宋体"/>
          <w:bCs/>
          <w:color w:val="auto"/>
          <w:sz w:val="24"/>
          <w:szCs w:val="20"/>
          <w:highlight w:val="none"/>
        </w:rPr>
      </w:pPr>
    </w:p>
    <w:p w14:paraId="6F290BBA">
      <w:pPr>
        <w:wordWrap w:val="0"/>
        <w:snapToGrid w:val="0"/>
        <w:spacing w:line="360" w:lineRule="auto"/>
        <w:rPr>
          <w:rFonts w:ascii="宋体" w:hAnsi="宋体" w:cs="宋体"/>
          <w:bCs/>
          <w:color w:val="auto"/>
          <w:sz w:val="24"/>
          <w:szCs w:val="20"/>
          <w:highlight w:val="none"/>
        </w:rPr>
      </w:pPr>
    </w:p>
    <w:p w14:paraId="45B4356C">
      <w:pPr>
        <w:wordWrap w:val="0"/>
        <w:snapToGrid w:val="0"/>
        <w:spacing w:line="360" w:lineRule="auto"/>
        <w:rPr>
          <w:rFonts w:ascii="宋体" w:hAnsi="宋体" w:cs="宋体"/>
          <w:bCs/>
          <w:color w:val="auto"/>
          <w:sz w:val="24"/>
          <w:szCs w:val="20"/>
          <w:highlight w:val="none"/>
        </w:rPr>
      </w:pPr>
    </w:p>
    <w:p w14:paraId="665AE081">
      <w:pPr>
        <w:wordWrap w:val="0"/>
        <w:snapToGrid w:val="0"/>
        <w:spacing w:line="360" w:lineRule="auto"/>
        <w:rPr>
          <w:rFonts w:ascii="宋体" w:hAnsi="宋体" w:cs="宋体"/>
          <w:bCs/>
          <w:color w:val="auto"/>
          <w:sz w:val="24"/>
          <w:szCs w:val="20"/>
          <w:highlight w:val="none"/>
        </w:rPr>
      </w:pPr>
    </w:p>
    <w:p w14:paraId="188F8E5C">
      <w:pPr>
        <w:wordWrap w:val="0"/>
        <w:snapToGrid w:val="0"/>
        <w:spacing w:line="360" w:lineRule="auto"/>
        <w:rPr>
          <w:rFonts w:ascii="宋体" w:hAnsi="宋体" w:cs="宋体"/>
          <w:bCs/>
          <w:color w:val="auto"/>
          <w:sz w:val="24"/>
          <w:szCs w:val="20"/>
          <w:highlight w:val="none"/>
        </w:rPr>
      </w:pPr>
    </w:p>
    <w:p w14:paraId="1DD8C0D3">
      <w:pPr>
        <w:wordWrap w:val="0"/>
        <w:snapToGrid w:val="0"/>
        <w:spacing w:line="360" w:lineRule="auto"/>
        <w:ind w:firstLine="540" w:firstLineChars="225"/>
        <w:rPr>
          <w:rFonts w:ascii="宋体" w:hAnsi="宋体" w:cs="宋体"/>
          <w:bCs/>
          <w:color w:val="auto"/>
          <w:sz w:val="24"/>
          <w:highlight w:val="none"/>
        </w:rPr>
      </w:pPr>
      <w:r>
        <w:rPr>
          <w:rFonts w:hint="eastAsia" w:ascii="宋体" w:hAnsi="宋体" w:cs="宋体"/>
          <w:bCs/>
          <w:color w:val="auto"/>
          <w:sz w:val="24"/>
          <w:highlight w:val="none"/>
        </w:rPr>
        <w:t xml:space="preserve">项目名称： </w:t>
      </w:r>
    </w:p>
    <w:p w14:paraId="2AB2FE7B">
      <w:pPr>
        <w:wordWrap w:val="0"/>
        <w:snapToGrid w:val="0"/>
        <w:spacing w:line="360" w:lineRule="auto"/>
        <w:ind w:firstLine="540" w:firstLineChars="225"/>
        <w:rPr>
          <w:rFonts w:ascii="宋体" w:hAnsi="宋体" w:cs="宋体"/>
          <w:bCs/>
          <w:color w:val="auto"/>
          <w:sz w:val="24"/>
          <w:szCs w:val="20"/>
          <w:highlight w:val="none"/>
        </w:rPr>
      </w:pPr>
    </w:p>
    <w:p w14:paraId="5CA57903">
      <w:pPr>
        <w:wordWrap w:val="0"/>
        <w:snapToGrid w:val="0"/>
        <w:spacing w:line="360" w:lineRule="auto"/>
        <w:ind w:firstLine="540" w:firstLineChars="225"/>
        <w:rPr>
          <w:rFonts w:ascii="宋体" w:hAnsi="宋体" w:cs="宋体"/>
          <w:bCs/>
          <w:color w:val="auto"/>
          <w:sz w:val="24"/>
          <w:highlight w:val="none"/>
        </w:rPr>
      </w:pPr>
      <w:r>
        <w:rPr>
          <w:rFonts w:hint="eastAsia" w:ascii="宋体" w:hAnsi="宋体" w:cs="宋体"/>
          <w:bCs/>
          <w:color w:val="auto"/>
          <w:sz w:val="24"/>
          <w:highlight w:val="none"/>
        </w:rPr>
        <w:t>项目编号：</w:t>
      </w:r>
      <w:r>
        <w:rPr>
          <w:rFonts w:hint="eastAsia" w:ascii="宋体" w:hAnsi="宋体" w:cs="宋体"/>
          <w:color w:val="auto"/>
          <w:sz w:val="24"/>
          <w:highlight w:val="none"/>
        </w:rPr>
        <w:t xml:space="preserve"> </w:t>
      </w:r>
    </w:p>
    <w:p w14:paraId="0889006A">
      <w:pPr>
        <w:wordWrap w:val="0"/>
        <w:snapToGrid w:val="0"/>
        <w:spacing w:line="360" w:lineRule="auto"/>
        <w:ind w:firstLine="540" w:firstLineChars="225"/>
        <w:rPr>
          <w:rFonts w:ascii="宋体" w:hAnsi="宋体" w:cs="宋体"/>
          <w:bCs/>
          <w:color w:val="auto"/>
          <w:sz w:val="24"/>
          <w:szCs w:val="20"/>
          <w:highlight w:val="none"/>
        </w:rPr>
      </w:pPr>
      <w:r>
        <w:rPr>
          <w:rFonts w:hint="eastAsia" w:ascii="宋体" w:hAnsi="宋体" w:cs="宋体"/>
          <w:bCs/>
          <w:color w:val="auto"/>
          <w:sz w:val="24"/>
          <w:highlight w:val="none"/>
        </w:rPr>
        <w:t xml:space="preserve"> </w:t>
      </w:r>
    </w:p>
    <w:p w14:paraId="451E4185">
      <w:pPr>
        <w:wordWrap w:val="0"/>
        <w:snapToGrid w:val="0"/>
        <w:spacing w:line="360" w:lineRule="auto"/>
        <w:ind w:firstLine="540" w:firstLineChars="225"/>
        <w:rPr>
          <w:rFonts w:ascii="宋体" w:hAnsi="宋体" w:cs="宋体"/>
          <w:bCs/>
          <w:color w:val="auto"/>
          <w:sz w:val="24"/>
          <w:highlight w:val="none"/>
        </w:rPr>
      </w:pPr>
      <w:r>
        <w:rPr>
          <w:rFonts w:hint="eastAsia" w:ascii="宋体" w:hAnsi="宋体" w:cs="宋体"/>
          <w:bCs/>
          <w:color w:val="auto"/>
          <w:sz w:val="24"/>
          <w:highlight w:val="none"/>
        </w:rPr>
        <w:t>所投分标：</w:t>
      </w:r>
    </w:p>
    <w:p w14:paraId="6763C4FA">
      <w:pPr>
        <w:pStyle w:val="7"/>
        <w:wordWrap w:val="0"/>
        <w:snapToGrid w:val="0"/>
        <w:spacing w:line="360" w:lineRule="auto"/>
        <w:ind w:firstLine="540" w:firstLineChars="225"/>
        <w:rPr>
          <w:rFonts w:ascii="宋体" w:hAnsi="宋体" w:cs="宋体"/>
          <w:bCs/>
          <w:color w:val="auto"/>
          <w:sz w:val="24"/>
          <w:szCs w:val="24"/>
          <w:highlight w:val="none"/>
        </w:rPr>
      </w:pPr>
    </w:p>
    <w:p w14:paraId="6EAB93A9">
      <w:pPr>
        <w:pStyle w:val="7"/>
        <w:wordWrap w:val="0"/>
        <w:snapToGrid w:val="0"/>
        <w:spacing w:line="360" w:lineRule="auto"/>
        <w:ind w:firstLine="540" w:firstLineChars="225"/>
        <w:rPr>
          <w:rFonts w:ascii="宋体" w:hAnsi="宋体" w:cs="宋体"/>
          <w:bCs/>
          <w:color w:val="auto"/>
          <w:sz w:val="24"/>
          <w:szCs w:val="24"/>
          <w:highlight w:val="none"/>
        </w:rPr>
      </w:pPr>
      <w:r>
        <w:rPr>
          <w:rFonts w:hint="eastAsia" w:ascii="宋体" w:hAnsi="宋体" w:cs="宋体"/>
          <w:bCs/>
          <w:color w:val="auto"/>
          <w:sz w:val="24"/>
          <w:szCs w:val="24"/>
          <w:highlight w:val="none"/>
        </w:rPr>
        <w:t>投标人名称：</w:t>
      </w:r>
    </w:p>
    <w:p w14:paraId="6AC1021D">
      <w:pPr>
        <w:pStyle w:val="7"/>
        <w:wordWrap w:val="0"/>
        <w:snapToGrid w:val="0"/>
        <w:spacing w:line="360" w:lineRule="auto"/>
        <w:ind w:firstLine="540" w:firstLineChars="225"/>
        <w:rPr>
          <w:rFonts w:ascii="宋体" w:hAnsi="宋体" w:cs="宋体"/>
          <w:bCs/>
          <w:color w:val="auto"/>
          <w:sz w:val="24"/>
          <w:szCs w:val="24"/>
          <w:highlight w:val="none"/>
        </w:rPr>
      </w:pPr>
    </w:p>
    <w:p w14:paraId="64212753">
      <w:pPr>
        <w:pStyle w:val="7"/>
        <w:wordWrap w:val="0"/>
        <w:snapToGrid w:val="0"/>
        <w:spacing w:line="360" w:lineRule="auto"/>
        <w:ind w:firstLine="960" w:firstLineChars="400"/>
        <w:rPr>
          <w:rFonts w:ascii="宋体" w:hAnsi="宋体" w:cs="宋体"/>
          <w:bCs/>
          <w:color w:val="auto"/>
          <w:sz w:val="24"/>
          <w:szCs w:val="24"/>
          <w:highlight w:val="none"/>
        </w:rPr>
      </w:pPr>
    </w:p>
    <w:p w14:paraId="260D6BA1">
      <w:pPr>
        <w:wordWrap w:val="0"/>
        <w:snapToGrid w:val="0"/>
        <w:spacing w:line="360" w:lineRule="auto"/>
        <w:ind w:firstLine="645"/>
        <w:jc w:val="center"/>
        <w:rPr>
          <w:rFonts w:ascii="宋体" w:hAnsi="宋体" w:cs="宋体"/>
          <w:color w:val="auto"/>
          <w:sz w:val="24"/>
          <w:highlight w:val="none"/>
        </w:rPr>
      </w:pPr>
      <w:r>
        <w:rPr>
          <w:rFonts w:hint="eastAsia" w:ascii="宋体" w:hAnsi="宋体" w:cs="宋体"/>
          <w:color w:val="auto"/>
          <w:sz w:val="24"/>
          <w:highlight w:val="none"/>
        </w:rPr>
        <w:t>年  月  日</w:t>
      </w:r>
    </w:p>
    <w:p w14:paraId="72912FEB">
      <w:pPr>
        <w:widowControl/>
        <w:wordWrap w:val="0"/>
        <w:spacing w:line="360" w:lineRule="auto"/>
        <w:jc w:val="left"/>
        <w:rPr>
          <w:rFonts w:ascii="宋体" w:hAnsi="宋体" w:cs="宋体"/>
          <w:color w:val="auto"/>
          <w:sz w:val="30"/>
          <w:szCs w:val="20"/>
          <w:highlight w:val="none"/>
        </w:rPr>
        <w:sectPr>
          <w:pgSz w:w="11906" w:h="16838"/>
          <w:pgMar w:top="1440" w:right="1080" w:bottom="1440" w:left="1080" w:header="720" w:footer="720" w:gutter="0"/>
          <w:pgNumType w:fmt="decimal"/>
          <w:cols w:space="720" w:num="1"/>
          <w:docGrid w:type="lines" w:linePitch="331" w:charSpace="0"/>
        </w:sectPr>
      </w:pPr>
    </w:p>
    <w:p w14:paraId="14CF5362">
      <w:pPr>
        <w:wordWrap w:val="0"/>
        <w:spacing w:line="360" w:lineRule="auto"/>
        <w:jc w:val="center"/>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资格证明文件目录</w:t>
      </w:r>
    </w:p>
    <w:p w14:paraId="5A8F4D58">
      <w:pPr>
        <w:wordWrap w:val="0"/>
        <w:snapToGrid w:val="0"/>
        <w:spacing w:line="360" w:lineRule="auto"/>
        <w:rPr>
          <w:rFonts w:ascii="宋体" w:hAnsi="宋体" w:cs="宋体"/>
          <w:color w:val="auto"/>
          <w:kern w:val="0"/>
          <w:sz w:val="24"/>
          <w:highlight w:val="none"/>
        </w:rPr>
      </w:pPr>
    </w:p>
    <w:p w14:paraId="1564EA8C">
      <w:pPr>
        <w:wordWrap w:val="0"/>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一、</w:t>
      </w:r>
      <w:r>
        <w:rPr>
          <w:rFonts w:hint="eastAsia" w:ascii="宋体" w:hAnsi="宋体" w:cs="宋体"/>
          <w:color w:val="auto"/>
          <w:sz w:val="24"/>
          <w:highlight w:val="none"/>
        </w:rPr>
        <w:t>营业执照(或事业法人登记证或其他工商等登记证明材料)复印件（投标人为自然人的，须提供</w:t>
      </w:r>
      <w:r>
        <w:rPr>
          <w:rFonts w:hint="eastAsia" w:ascii="宋体" w:hAnsi="宋体" w:cs="宋体"/>
          <w:color w:val="auto"/>
          <w:kern w:val="0"/>
          <w:sz w:val="24"/>
          <w:highlight w:val="none"/>
        </w:rPr>
        <w:t>自然人的身份证明</w:t>
      </w:r>
      <w:r>
        <w:rPr>
          <w:rFonts w:hint="eastAsia" w:ascii="宋体" w:hAnsi="宋体" w:cs="宋体"/>
          <w:color w:val="auto"/>
          <w:sz w:val="24"/>
          <w:highlight w:val="none"/>
        </w:rPr>
        <w:t>）</w:t>
      </w:r>
      <w:r>
        <w:rPr>
          <w:rFonts w:hint="eastAsia" w:ascii="宋体" w:hAnsi="宋体" w:cs="宋体"/>
          <w:color w:val="auto"/>
          <w:kern w:val="0"/>
          <w:sz w:val="24"/>
          <w:highlight w:val="none"/>
        </w:rPr>
        <w:t>……………………………………………………………（页码）</w:t>
      </w:r>
    </w:p>
    <w:p w14:paraId="2AEFC89D">
      <w:pPr>
        <w:wordWrap w:val="0"/>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二、符合参与政府采购活动的资格条件依法缴纳税收、社会保障资金等方面的材料…………………………………………………………………………………………（页码）</w:t>
      </w:r>
    </w:p>
    <w:p w14:paraId="1D61D0B1">
      <w:pPr>
        <w:wordWrap w:val="0"/>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三、财务状况报告方面的材料…………………………………………………………（页码）</w:t>
      </w:r>
    </w:p>
    <w:p w14:paraId="507AFE27">
      <w:pPr>
        <w:wordWrap w:val="0"/>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四、投标人直接控股股东信息表</w:t>
      </w:r>
      <w:r>
        <w:rPr>
          <w:rFonts w:hint="eastAsia" w:ascii="宋体" w:hAnsi="宋体" w:cs="宋体"/>
          <w:color w:val="auto"/>
          <w:kern w:val="0"/>
          <w:sz w:val="24"/>
          <w:highlight w:val="none"/>
        </w:rPr>
        <w:t>…………………………………………………………（页码）</w:t>
      </w:r>
    </w:p>
    <w:p w14:paraId="0A15B1F0">
      <w:pPr>
        <w:wordWrap w:val="0"/>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五、投标人直接管理关系信息表</w:t>
      </w:r>
      <w:r>
        <w:rPr>
          <w:rFonts w:hint="eastAsia" w:ascii="宋体" w:hAnsi="宋体" w:cs="宋体"/>
          <w:color w:val="auto"/>
          <w:kern w:val="0"/>
          <w:sz w:val="24"/>
          <w:highlight w:val="none"/>
        </w:rPr>
        <w:t>………………………………………………………（页码）</w:t>
      </w:r>
    </w:p>
    <w:p w14:paraId="083FFA5A">
      <w:pPr>
        <w:wordWrap w:val="0"/>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六、投标资格声明函……………………………………………………………………（页码）</w:t>
      </w:r>
    </w:p>
    <w:p w14:paraId="6C0EC829">
      <w:pPr>
        <w:wordWrap w:val="0"/>
        <w:snapToGrid w:val="0"/>
        <w:spacing w:line="360" w:lineRule="auto"/>
        <w:rPr>
          <w:rFonts w:ascii="宋体" w:hAnsi="宋体" w:cs="宋体"/>
          <w:color w:val="auto"/>
          <w:sz w:val="24"/>
          <w:highlight w:val="none"/>
        </w:rPr>
      </w:pPr>
      <w:r>
        <w:rPr>
          <w:rFonts w:hint="eastAsia" w:ascii="宋体" w:hAnsi="宋体" w:cs="宋体"/>
          <w:color w:val="auto"/>
          <w:kern w:val="0"/>
          <w:sz w:val="24"/>
          <w:highlight w:val="none"/>
        </w:rPr>
        <w:t>七、联合体协议书（</w:t>
      </w:r>
      <w:r>
        <w:rPr>
          <w:rFonts w:hint="eastAsia" w:ascii="宋体" w:hAnsi="宋体" w:cs="宋体"/>
          <w:color w:val="auto"/>
          <w:sz w:val="24"/>
          <w:highlight w:val="none"/>
        </w:rPr>
        <w:t>以联合体形式投标的，提供联合体协议；本项目不接受联合体投标或者投标人不以联合体形式投标的，则不需要提供）………………………………………（页码）</w:t>
      </w:r>
    </w:p>
    <w:p w14:paraId="0211AFFD">
      <w:pPr>
        <w:wordWrap w:val="0"/>
        <w:snapToGrid w:val="0"/>
        <w:spacing w:line="360" w:lineRule="auto"/>
        <w:rPr>
          <w:rFonts w:ascii="宋体" w:hAnsi="宋体" w:cs="宋体"/>
          <w:color w:val="auto"/>
          <w:sz w:val="24"/>
          <w:highlight w:val="none"/>
        </w:rPr>
      </w:pPr>
      <w:r>
        <w:rPr>
          <w:rFonts w:hint="eastAsia" w:ascii="宋体" w:hAnsi="宋体" w:cs="宋体"/>
          <w:color w:val="auto"/>
          <w:sz w:val="24"/>
          <w:highlight w:val="none"/>
          <w:lang w:val="en-US" w:eastAsia="zh-CN"/>
        </w:rPr>
        <w:t>八</w:t>
      </w:r>
      <w:r>
        <w:rPr>
          <w:rFonts w:hint="eastAsia" w:ascii="宋体" w:hAnsi="宋体" w:cs="宋体"/>
          <w:color w:val="auto"/>
          <w:sz w:val="24"/>
          <w:highlight w:val="none"/>
        </w:rPr>
        <w:t>、除招标文件规定必须提供以外，投标人认为需要提供的其他证明材料。</w:t>
      </w:r>
    </w:p>
    <w:p w14:paraId="178F8304">
      <w:pPr>
        <w:wordWrap w:val="0"/>
        <w:spacing w:line="360" w:lineRule="auto"/>
        <w:rPr>
          <w:rFonts w:ascii="宋体" w:hAnsi="宋体" w:cs="宋体"/>
          <w:b/>
          <w:bCs/>
          <w:color w:val="auto"/>
          <w:sz w:val="24"/>
          <w:highlight w:val="none"/>
        </w:rPr>
      </w:pPr>
      <w:r>
        <w:rPr>
          <w:rFonts w:hint="eastAsia" w:ascii="宋体" w:hAnsi="宋体" w:cs="宋体"/>
          <w:b/>
          <w:bCs/>
          <w:color w:val="auto"/>
          <w:sz w:val="24"/>
          <w:highlight w:val="none"/>
        </w:rPr>
        <w:t>注：以上目录是基本格式要求，各投标人可根据自身情况进一步向下增加内容或细化。</w:t>
      </w:r>
    </w:p>
    <w:p w14:paraId="4CB14A21">
      <w:pPr>
        <w:widowControl/>
        <w:wordWrap w:val="0"/>
        <w:spacing w:line="360" w:lineRule="auto"/>
        <w:jc w:val="left"/>
        <w:rPr>
          <w:rFonts w:ascii="宋体" w:hAnsi="宋体" w:cs="宋体"/>
          <w:color w:val="auto"/>
          <w:sz w:val="30"/>
          <w:szCs w:val="20"/>
          <w:highlight w:val="none"/>
        </w:rPr>
        <w:sectPr>
          <w:pgSz w:w="11906" w:h="16838"/>
          <w:pgMar w:top="1440" w:right="1080" w:bottom="1440" w:left="1080" w:header="720" w:footer="720" w:gutter="0"/>
          <w:pgNumType w:fmt="decimal"/>
          <w:cols w:space="720" w:num="1"/>
          <w:docGrid w:type="lines" w:linePitch="331" w:charSpace="0"/>
        </w:sectPr>
      </w:pPr>
    </w:p>
    <w:p w14:paraId="66E206F9">
      <w:pPr>
        <w:wordWrap w:val="0"/>
        <w:snapToGrid w:val="0"/>
        <w:spacing w:line="360" w:lineRule="auto"/>
        <w:rPr>
          <w:rFonts w:ascii="宋体" w:hAnsi="宋体" w:cs="宋体"/>
          <w:b/>
          <w:color w:val="auto"/>
          <w:kern w:val="0"/>
          <w:sz w:val="32"/>
          <w:szCs w:val="32"/>
          <w:highlight w:val="none"/>
          <w:lang w:val="zh-CN"/>
        </w:rPr>
      </w:pPr>
    </w:p>
    <w:p w14:paraId="6ECAE84F">
      <w:pPr>
        <w:wordWrap w:val="0"/>
        <w:spacing w:line="360" w:lineRule="auto"/>
        <w:jc w:val="center"/>
        <w:rPr>
          <w:rFonts w:ascii="宋体" w:hAnsi="宋体" w:cs="宋体"/>
          <w:b/>
          <w:color w:val="auto"/>
          <w:sz w:val="30"/>
          <w:szCs w:val="30"/>
          <w:highlight w:val="none"/>
        </w:rPr>
      </w:pPr>
      <w:r>
        <w:rPr>
          <w:rFonts w:hint="eastAsia" w:ascii="宋体" w:hAnsi="宋体" w:cs="宋体"/>
          <w:b/>
          <w:color w:val="auto"/>
          <w:kern w:val="0"/>
          <w:sz w:val="32"/>
          <w:szCs w:val="32"/>
          <w:highlight w:val="none"/>
          <w:lang w:val="zh-CN"/>
        </w:rPr>
        <w:t>一、</w:t>
      </w:r>
      <w:r>
        <w:rPr>
          <w:rFonts w:hint="eastAsia" w:ascii="宋体" w:hAnsi="宋体" w:cs="宋体"/>
          <w:b/>
          <w:color w:val="auto"/>
          <w:sz w:val="30"/>
          <w:szCs w:val="30"/>
          <w:highlight w:val="none"/>
        </w:rPr>
        <w:t>营业执照(或事业法人登记证或其他工商等登记证明材料)复印件（投标人为自然人的，提供自然人的身份证明）</w:t>
      </w:r>
    </w:p>
    <w:p w14:paraId="6562D760">
      <w:pPr>
        <w:wordWrap w:val="0"/>
        <w:spacing w:line="360" w:lineRule="auto"/>
        <w:rPr>
          <w:rFonts w:ascii="宋体" w:hAnsi="宋体" w:cs="宋体"/>
          <w:b/>
          <w:color w:val="auto"/>
          <w:sz w:val="30"/>
          <w:szCs w:val="30"/>
          <w:highlight w:val="none"/>
        </w:rPr>
      </w:pPr>
    </w:p>
    <w:p w14:paraId="04329788">
      <w:pPr>
        <w:wordWrap w:val="0"/>
        <w:snapToGrid w:val="0"/>
        <w:spacing w:line="360" w:lineRule="auto"/>
        <w:ind w:firstLine="576"/>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投标人名称(电子签章)：                              </w:t>
      </w:r>
    </w:p>
    <w:p w14:paraId="5C59E09D">
      <w:pPr>
        <w:wordWrap w:val="0"/>
        <w:spacing w:line="360" w:lineRule="auto"/>
        <w:jc w:val="center"/>
        <w:rPr>
          <w:rFonts w:ascii="宋体" w:hAnsi="宋体" w:cs="宋体"/>
          <w:b/>
          <w:color w:val="auto"/>
          <w:sz w:val="30"/>
          <w:szCs w:val="30"/>
          <w:highlight w:val="none"/>
        </w:rPr>
      </w:pPr>
      <w:r>
        <w:rPr>
          <w:rFonts w:hint="eastAsia" w:ascii="宋体" w:hAnsi="宋体" w:cs="宋体"/>
          <w:color w:val="auto"/>
          <w:kern w:val="0"/>
          <w:sz w:val="24"/>
          <w:highlight w:val="none"/>
          <w:lang w:val="zh-CN"/>
        </w:rPr>
        <w:t xml:space="preserve">                   日期：  年  月</w:t>
      </w:r>
    </w:p>
    <w:p w14:paraId="53F6086E">
      <w:pPr>
        <w:wordWrap w:val="0"/>
        <w:spacing w:line="360" w:lineRule="auto"/>
        <w:jc w:val="center"/>
        <w:rPr>
          <w:rFonts w:ascii="宋体" w:hAnsi="宋体" w:cs="宋体"/>
          <w:b/>
          <w:color w:val="auto"/>
          <w:sz w:val="30"/>
          <w:szCs w:val="30"/>
          <w:highlight w:val="none"/>
        </w:rPr>
      </w:pPr>
    </w:p>
    <w:p w14:paraId="3FCC21EB">
      <w:pPr>
        <w:wordWrap w:val="0"/>
        <w:snapToGrid w:val="0"/>
        <w:spacing w:line="360" w:lineRule="auto"/>
        <w:ind w:right="480"/>
        <w:jc w:val="center"/>
        <w:rPr>
          <w:rFonts w:ascii="宋体" w:hAnsi="宋体" w:cs="宋体"/>
          <w:b/>
          <w:color w:val="auto"/>
          <w:kern w:val="0"/>
          <w:sz w:val="32"/>
          <w:szCs w:val="32"/>
          <w:highlight w:val="none"/>
        </w:rPr>
      </w:pPr>
      <w:r>
        <w:rPr>
          <w:rFonts w:hint="eastAsia" w:ascii="宋体" w:hAnsi="宋体" w:cs="宋体"/>
          <w:b/>
          <w:color w:val="auto"/>
          <w:sz w:val="30"/>
          <w:szCs w:val="30"/>
          <w:highlight w:val="none"/>
        </w:rPr>
        <w:t>二、</w:t>
      </w:r>
      <w:r>
        <w:rPr>
          <w:rFonts w:hint="eastAsia" w:ascii="宋体" w:hAnsi="宋体" w:cs="宋体"/>
          <w:b/>
          <w:color w:val="auto"/>
          <w:kern w:val="0"/>
          <w:sz w:val="32"/>
          <w:szCs w:val="32"/>
          <w:highlight w:val="none"/>
        </w:rPr>
        <w:t>符合参与政府采购活动的资格条件依法缴纳税收、社会保障资金等方面的材料</w:t>
      </w:r>
    </w:p>
    <w:p w14:paraId="0277356B">
      <w:pPr>
        <w:wordWrap w:val="0"/>
        <w:snapToGrid w:val="0"/>
        <w:spacing w:line="360" w:lineRule="auto"/>
        <w:ind w:firstLine="480" w:firstLineChars="200"/>
        <w:rPr>
          <w:rFonts w:ascii="宋体" w:hAnsi="宋体" w:cs="宋体"/>
          <w:color w:val="auto"/>
          <w:sz w:val="24"/>
          <w:highlight w:val="none"/>
        </w:rPr>
      </w:pPr>
    </w:p>
    <w:p w14:paraId="5B4A2BCB">
      <w:pPr>
        <w:wordWrap w:val="0"/>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445115D6">
      <w:pPr>
        <w:wordWrap w:val="0"/>
        <w:snapToGrid w:val="0"/>
        <w:spacing w:line="360" w:lineRule="auto"/>
        <w:ind w:firstLine="5040" w:firstLineChars="2100"/>
        <w:rPr>
          <w:rFonts w:ascii="宋体" w:hAnsi="宋体" w:cs="宋体"/>
          <w:color w:val="auto"/>
          <w:kern w:val="0"/>
          <w:sz w:val="24"/>
          <w:highlight w:val="none"/>
        </w:rPr>
      </w:pPr>
      <w:r>
        <w:rPr>
          <w:rFonts w:hint="eastAsia" w:ascii="宋体" w:hAnsi="宋体" w:cs="宋体"/>
          <w:color w:val="auto"/>
          <w:kern w:val="0"/>
          <w:sz w:val="24"/>
          <w:highlight w:val="none"/>
          <w:lang w:val="zh-CN"/>
        </w:rPr>
        <w:t xml:space="preserve"> 投标人名称(电子签章)：</w:t>
      </w:r>
    </w:p>
    <w:p w14:paraId="72380259">
      <w:pPr>
        <w:wordWrap w:val="0"/>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23720D9D">
      <w:pPr>
        <w:wordWrap w:val="0"/>
        <w:snapToGrid w:val="0"/>
        <w:spacing w:line="360" w:lineRule="auto"/>
        <w:ind w:right="480"/>
        <w:rPr>
          <w:rFonts w:ascii="宋体" w:hAnsi="宋体" w:cs="宋体"/>
          <w:b/>
          <w:color w:val="auto"/>
          <w:kern w:val="0"/>
          <w:sz w:val="32"/>
          <w:szCs w:val="32"/>
          <w:highlight w:val="none"/>
        </w:rPr>
      </w:pPr>
      <w:r>
        <w:rPr>
          <w:rFonts w:hint="eastAsia" w:ascii="宋体" w:hAnsi="宋体" w:cs="宋体"/>
          <w:b/>
          <w:color w:val="auto"/>
          <w:sz w:val="30"/>
          <w:szCs w:val="30"/>
          <w:highlight w:val="none"/>
        </w:rPr>
        <w:t>三、</w:t>
      </w:r>
      <w:r>
        <w:rPr>
          <w:rFonts w:hint="eastAsia" w:ascii="宋体" w:hAnsi="宋体" w:cs="宋体"/>
          <w:b/>
          <w:color w:val="auto"/>
          <w:kern w:val="0"/>
          <w:sz w:val="32"/>
          <w:szCs w:val="32"/>
          <w:highlight w:val="none"/>
        </w:rPr>
        <w:t>财务状况报告方面的材料</w:t>
      </w:r>
    </w:p>
    <w:p w14:paraId="70198860">
      <w:pPr>
        <w:wordWrap w:val="0"/>
        <w:snapToGrid w:val="0"/>
        <w:spacing w:line="360" w:lineRule="auto"/>
        <w:ind w:firstLine="480" w:firstLineChars="200"/>
        <w:rPr>
          <w:rFonts w:ascii="宋体" w:hAnsi="宋体" w:cs="宋体"/>
          <w:color w:val="auto"/>
          <w:sz w:val="24"/>
          <w:highlight w:val="none"/>
        </w:rPr>
      </w:pPr>
    </w:p>
    <w:p w14:paraId="16C6044C">
      <w:pPr>
        <w:wordWrap w:val="0"/>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7BDA40F0">
      <w:pPr>
        <w:wordWrap w:val="0"/>
        <w:snapToGrid w:val="0"/>
        <w:spacing w:line="360" w:lineRule="auto"/>
        <w:ind w:firstLine="5040" w:firstLineChars="2100"/>
        <w:rPr>
          <w:rFonts w:ascii="宋体" w:hAnsi="宋体" w:cs="宋体"/>
          <w:color w:val="auto"/>
          <w:kern w:val="0"/>
          <w:sz w:val="24"/>
          <w:highlight w:val="none"/>
        </w:rPr>
      </w:pPr>
      <w:r>
        <w:rPr>
          <w:rFonts w:hint="eastAsia" w:ascii="宋体" w:hAnsi="宋体" w:cs="宋体"/>
          <w:color w:val="auto"/>
          <w:kern w:val="0"/>
          <w:sz w:val="24"/>
          <w:highlight w:val="none"/>
          <w:lang w:val="zh-CN"/>
        </w:rPr>
        <w:t xml:space="preserve"> 投标人名称(电子签章)：</w:t>
      </w:r>
    </w:p>
    <w:p w14:paraId="34F9E061">
      <w:pPr>
        <w:wordWrap w:val="0"/>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3CAEBEF7">
      <w:pPr>
        <w:wordWrap w:val="0"/>
        <w:snapToGrid w:val="0"/>
        <w:spacing w:line="360" w:lineRule="auto"/>
        <w:ind w:firstLine="5160" w:firstLineChars="2150"/>
        <w:rPr>
          <w:rFonts w:ascii="宋体" w:hAnsi="宋体" w:cs="宋体"/>
          <w:color w:val="auto"/>
          <w:kern w:val="0"/>
          <w:sz w:val="24"/>
          <w:highlight w:val="none"/>
          <w:lang w:val="zh-CN"/>
        </w:rPr>
      </w:pPr>
    </w:p>
    <w:p w14:paraId="33E01B12">
      <w:pPr>
        <w:wordWrap w:val="0"/>
        <w:snapToGrid w:val="0"/>
        <w:spacing w:line="360" w:lineRule="auto"/>
        <w:ind w:right="480"/>
        <w:jc w:val="center"/>
        <w:rPr>
          <w:rFonts w:ascii="宋体" w:hAnsi="宋体" w:cs="宋体"/>
          <w:b/>
          <w:color w:val="auto"/>
          <w:kern w:val="0"/>
          <w:sz w:val="32"/>
          <w:szCs w:val="32"/>
          <w:highlight w:val="none"/>
          <w:lang w:val="zh-CN"/>
        </w:rPr>
      </w:pPr>
    </w:p>
    <w:p w14:paraId="6F999DFC">
      <w:pPr>
        <w:wordWrap w:val="0"/>
        <w:snapToGrid w:val="0"/>
        <w:spacing w:line="360" w:lineRule="auto"/>
        <w:ind w:right="480"/>
        <w:jc w:val="center"/>
        <w:rPr>
          <w:rFonts w:ascii="宋体" w:hAnsi="宋体" w:cs="宋体"/>
          <w:b/>
          <w:color w:val="auto"/>
          <w:sz w:val="28"/>
          <w:szCs w:val="28"/>
          <w:highlight w:val="none"/>
        </w:rPr>
      </w:pPr>
      <w:r>
        <w:rPr>
          <w:rFonts w:hint="eastAsia" w:ascii="宋体" w:hAnsi="宋体" w:cs="宋体"/>
          <w:b/>
          <w:color w:val="auto"/>
          <w:kern w:val="0"/>
          <w:sz w:val="32"/>
          <w:szCs w:val="32"/>
          <w:highlight w:val="none"/>
        </w:rPr>
        <w:br w:type="page"/>
      </w:r>
    </w:p>
    <w:p w14:paraId="73BF50F8">
      <w:pPr>
        <w:wordWrap w:val="0"/>
        <w:snapToGrid w:val="0"/>
        <w:spacing w:line="360" w:lineRule="auto"/>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四、投标人直接控股股东信息表</w:t>
      </w:r>
    </w:p>
    <w:tbl>
      <w:tblPr>
        <w:tblStyle w:val="22"/>
        <w:tblW w:w="9476" w:type="dxa"/>
        <w:tblInd w:w="125"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244DA64A">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B916673">
            <w:pPr>
              <w:wordWrap w:val="0"/>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6397FF8">
            <w:pPr>
              <w:wordWrap w:val="0"/>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B122F78">
            <w:pPr>
              <w:wordWrap w:val="0"/>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2C0C505">
            <w:pPr>
              <w:wordWrap w:val="0"/>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38B29DC">
            <w:pPr>
              <w:wordWrap w:val="0"/>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1FEF4AA0">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6646F25">
            <w:pPr>
              <w:wordWrap w:val="0"/>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6E21D59">
            <w:pPr>
              <w:wordWrap w:val="0"/>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910559F">
            <w:pPr>
              <w:wordWrap w:val="0"/>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5851943">
            <w:pPr>
              <w:wordWrap w:val="0"/>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CAF3AE2">
            <w:pPr>
              <w:wordWrap w:val="0"/>
              <w:spacing w:line="360" w:lineRule="auto"/>
              <w:jc w:val="center"/>
              <w:rPr>
                <w:rFonts w:ascii="宋体" w:hAnsi="宋体" w:cs="宋体"/>
                <w:color w:val="auto"/>
                <w:kern w:val="0"/>
                <w:sz w:val="24"/>
                <w:highlight w:val="none"/>
              </w:rPr>
            </w:pPr>
          </w:p>
        </w:tc>
      </w:tr>
      <w:tr w14:paraId="6C849B4B">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B0C2D84">
            <w:pPr>
              <w:wordWrap w:val="0"/>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AABF079">
            <w:pPr>
              <w:wordWrap w:val="0"/>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7744265">
            <w:pPr>
              <w:wordWrap w:val="0"/>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0C45597">
            <w:pPr>
              <w:wordWrap w:val="0"/>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2B0F21F">
            <w:pPr>
              <w:wordWrap w:val="0"/>
              <w:spacing w:line="360" w:lineRule="auto"/>
              <w:jc w:val="center"/>
              <w:rPr>
                <w:rFonts w:ascii="宋体" w:hAnsi="宋体" w:cs="宋体"/>
                <w:color w:val="auto"/>
                <w:kern w:val="0"/>
                <w:sz w:val="24"/>
                <w:highlight w:val="none"/>
              </w:rPr>
            </w:pPr>
          </w:p>
        </w:tc>
      </w:tr>
      <w:tr w14:paraId="237188CB">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3449AD0">
            <w:pPr>
              <w:wordWrap w:val="0"/>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4FEF09B">
            <w:pPr>
              <w:wordWrap w:val="0"/>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843C70B">
            <w:pPr>
              <w:wordWrap w:val="0"/>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A27A218">
            <w:pPr>
              <w:wordWrap w:val="0"/>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44F4969">
            <w:pPr>
              <w:wordWrap w:val="0"/>
              <w:spacing w:line="360" w:lineRule="auto"/>
              <w:jc w:val="center"/>
              <w:rPr>
                <w:rFonts w:ascii="宋体" w:hAnsi="宋体" w:cs="宋体"/>
                <w:color w:val="auto"/>
                <w:kern w:val="0"/>
                <w:sz w:val="24"/>
                <w:highlight w:val="none"/>
              </w:rPr>
            </w:pPr>
          </w:p>
        </w:tc>
      </w:tr>
      <w:tr w14:paraId="31EC38A8">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16A33DE">
            <w:pPr>
              <w:wordWrap w:val="0"/>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A1CFF6E">
            <w:pPr>
              <w:wordWrap w:val="0"/>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A205E9C">
            <w:pPr>
              <w:wordWrap w:val="0"/>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D33A67A">
            <w:pPr>
              <w:wordWrap w:val="0"/>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A697E20">
            <w:pPr>
              <w:wordWrap w:val="0"/>
              <w:spacing w:line="360" w:lineRule="auto"/>
              <w:jc w:val="center"/>
              <w:rPr>
                <w:rFonts w:ascii="宋体" w:hAnsi="宋体" w:cs="宋体"/>
                <w:color w:val="auto"/>
                <w:kern w:val="0"/>
                <w:sz w:val="24"/>
                <w:highlight w:val="none"/>
              </w:rPr>
            </w:pPr>
          </w:p>
        </w:tc>
      </w:tr>
    </w:tbl>
    <w:p w14:paraId="75D081C9">
      <w:pPr>
        <w:wordWrap w:val="0"/>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注：</w:t>
      </w:r>
    </w:p>
    <w:p w14:paraId="74CDB934">
      <w:pPr>
        <w:wordWrap w:val="0"/>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5830B2A0">
      <w:pPr>
        <w:wordWrap w:val="0"/>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2.本表所指的控股关系仅限于直接控股关系，不包括间接的控股关系。公司实际控制人与公司之间的关系不属于本表所指的直接控股关系。</w:t>
      </w:r>
    </w:p>
    <w:p w14:paraId="7DCFCBF0">
      <w:pPr>
        <w:wordWrap w:val="0"/>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3.供应商不存在直接控股股东的，则填“无”。</w:t>
      </w:r>
    </w:p>
    <w:p w14:paraId="10F9DFA1">
      <w:pPr>
        <w:wordWrap w:val="0"/>
        <w:snapToGrid w:val="0"/>
        <w:spacing w:line="360" w:lineRule="auto"/>
        <w:jc w:val="left"/>
        <w:rPr>
          <w:rFonts w:ascii="宋体" w:hAnsi="宋体" w:cs="宋体"/>
          <w:color w:val="auto"/>
          <w:sz w:val="24"/>
          <w:highlight w:val="none"/>
        </w:rPr>
      </w:pPr>
    </w:p>
    <w:p w14:paraId="7E72C104">
      <w:pPr>
        <w:wordWrap w:val="0"/>
        <w:snapToGrid w:val="0"/>
        <w:spacing w:line="360" w:lineRule="auto"/>
        <w:jc w:val="left"/>
        <w:rPr>
          <w:rFonts w:ascii="宋体" w:hAnsi="宋体" w:cs="宋体"/>
          <w:color w:val="auto"/>
          <w:sz w:val="24"/>
          <w:highlight w:val="none"/>
        </w:rPr>
      </w:pPr>
    </w:p>
    <w:p w14:paraId="2D85C6C2">
      <w:pPr>
        <w:wordWrap w:val="0"/>
        <w:snapToGrid w:val="0"/>
        <w:spacing w:line="360" w:lineRule="auto"/>
        <w:jc w:val="left"/>
        <w:rPr>
          <w:rFonts w:ascii="宋体" w:hAnsi="宋体" w:cs="宋体"/>
          <w:color w:val="auto"/>
          <w:sz w:val="24"/>
          <w:highlight w:val="none"/>
        </w:rPr>
      </w:pPr>
    </w:p>
    <w:p w14:paraId="21166380">
      <w:pPr>
        <w:wordWrap w:val="0"/>
        <w:snapToGrid w:val="0"/>
        <w:spacing w:line="360" w:lineRule="auto"/>
        <w:jc w:val="left"/>
        <w:rPr>
          <w:rFonts w:ascii="宋体" w:hAnsi="宋体" w:cs="宋体"/>
          <w:color w:val="auto"/>
          <w:sz w:val="24"/>
          <w:highlight w:val="none"/>
        </w:rPr>
      </w:pPr>
    </w:p>
    <w:p w14:paraId="567D4E7E">
      <w:pPr>
        <w:wordWrap w:val="0"/>
        <w:snapToGrid w:val="0"/>
        <w:spacing w:line="360" w:lineRule="auto"/>
        <w:jc w:val="left"/>
        <w:rPr>
          <w:rFonts w:ascii="宋体" w:hAnsi="宋体" w:cs="宋体"/>
          <w:color w:val="auto"/>
          <w:sz w:val="24"/>
          <w:highlight w:val="none"/>
        </w:rPr>
      </w:pPr>
    </w:p>
    <w:p w14:paraId="60D27914">
      <w:pPr>
        <w:wordWrap w:val="0"/>
        <w:snapToGrid w:val="0"/>
        <w:spacing w:line="360" w:lineRule="auto"/>
        <w:ind w:firstLine="5040" w:firstLineChars="210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投标人名称(电子签章)：</w:t>
      </w:r>
    </w:p>
    <w:p w14:paraId="58086983">
      <w:pPr>
        <w:wordWrap w:val="0"/>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184E7B7D">
      <w:pPr>
        <w:wordWrap w:val="0"/>
        <w:snapToGrid w:val="0"/>
        <w:spacing w:line="360" w:lineRule="auto"/>
        <w:jc w:val="center"/>
        <w:rPr>
          <w:rFonts w:ascii="宋体" w:hAnsi="宋体" w:cs="宋体"/>
          <w:b/>
          <w:color w:val="auto"/>
          <w:sz w:val="28"/>
          <w:szCs w:val="28"/>
          <w:highlight w:val="none"/>
        </w:rPr>
      </w:pPr>
      <w:r>
        <w:rPr>
          <w:rFonts w:hint="eastAsia" w:ascii="宋体" w:hAnsi="宋体" w:cs="宋体"/>
          <w:b/>
          <w:color w:val="auto"/>
          <w:sz w:val="28"/>
          <w:szCs w:val="28"/>
          <w:highlight w:val="none"/>
        </w:rPr>
        <w:br w:type="page"/>
      </w:r>
    </w:p>
    <w:p w14:paraId="5E6997CD">
      <w:pPr>
        <w:wordWrap w:val="0"/>
        <w:snapToGrid w:val="0"/>
        <w:spacing w:line="360" w:lineRule="auto"/>
        <w:jc w:val="center"/>
        <w:rPr>
          <w:rFonts w:ascii="宋体" w:hAnsi="宋体" w:cs="宋体"/>
          <w:color w:val="auto"/>
          <w:sz w:val="32"/>
          <w:szCs w:val="32"/>
          <w:highlight w:val="none"/>
        </w:rPr>
      </w:pPr>
      <w:r>
        <w:rPr>
          <w:rFonts w:hint="eastAsia" w:ascii="宋体" w:hAnsi="宋体" w:cs="宋体"/>
          <w:b/>
          <w:color w:val="auto"/>
          <w:sz w:val="32"/>
          <w:szCs w:val="32"/>
          <w:highlight w:val="none"/>
        </w:rPr>
        <w:t>五、投标人直接管理关系信息表</w:t>
      </w:r>
    </w:p>
    <w:tbl>
      <w:tblPr>
        <w:tblStyle w:val="22"/>
        <w:tblW w:w="9652" w:type="dxa"/>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14:paraId="68DE4DF1">
        <w:tblPrEx>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33965D1">
            <w:pPr>
              <w:wordWrap w:val="0"/>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AEB6624">
            <w:pPr>
              <w:wordWrap w:val="0"/>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34127D4">
            <w:pPr>
              <w:wordWrap w:val="0"/>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5F5190C">
            <w:pPr>
              <w:wordWrap w:val="0"/>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71183B62">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406EB08">
            <w:pPr>
              <w:wordWrap w:val="0"/>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41EB814">
            <w:pPr>
              <w:wordWrap w:val="0"/>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266A9BB">
            <w:pPr>
              <w:wordWrap w:val="0"/>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1C56716">
            <w:pPr>
              <w:wordWrap w:val="0"/>
              <w:spacing w:line="360" w:lineRule="auto"/>
              <w:jc w:val="center"/>
              <w:rPr>
                <w:rFonts w:ascii="宋体" w:hAnsi="宋体" w:cs="宋体"/>
                <w:color w:val="auto"/>
                <w:kern w:val="0"/>
                <w:sz w:val="24"/>
                <w:highlight w:val="none"/>
              </w:rPr>
            </w:pPr>
          </w:p>
        </w:tc>
      </w:tr>
      <w:tr w14:paraId="32FC713B">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44B4FEA">
            <w:pPr>
              <w:wordWrap w:val="0"/>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E47C04A">
            <w:pPr>
              <w:wordWrap w:val="0"/>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6DBD06B">
            <w:pPr>
              <w:wordWrap w:val="0"/>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4A7A6F7">
            <w:pPr>
              <w:wordWrap w:val="0"/>
              <w:spacing w:line="360" w:lineRule="auto"/>
              <w:jc w:val="center"/>
              <w:rPr>
                <w:rFonts w:ascii="宋体" w:hAnsi="宋体" w:cs="宋体"/>
                <w:color w:val="auto"/>
                <w:kern w:val="0"/>
                <w:sz w:val="24"/>
                <w:highlight w:val="none"/>
              </w:rPr>
            </w:pPr>
          </w:p>
        </w:tc>
      </w:tr>
      <w:tr w14:paraId="76AEEAD4">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2C4D709">
            <w:pPr>
              <w:wordWrap w:val="0"/>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D2B9CEC">
            <w:pPr>
              <w:wordWrap w:val="0"/>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6087122">
            <w:pPr>
              <w:wordWrap w:val="0"/>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2CBC5AB">
            <w:pPr>
              <w:wordWrap w:val="0"/>
              <w:spacing w:line="360" w:lineRule="auto"/>
              <w:jc w:val="center"/>
              <w:rPr>
                <w:rFonts w:ascii="宋体" w:hAnsi="宋体" w:cs="宋体"/>
                <w:color w:val="auto"/>
                <w:kern w:val="0"/>
                <w:sz w:val="24"/>
                <w:highlight w:val="none"/>
              </w:rPr>
            </w:pPr>
          </w:p>
        </w:tc>
      </w:tr>
      <w:tr w14:paraId="14AEE90C">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E4E1373">
            <w:pPr>
              <w:wordWrap w:val="0"/>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C66A92D">
            <w:pPr>
              <w:wordWrap w:val="0"/>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0978B4F">
            <w:pPr>
              <w:wordWrap w:val="0"/>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F3E78E7">
            <w:pPr>
              <w:wordWrap w:val="0"/>
              <w:spacing w:line="360" w:lineRule="auto"/>
              <w:jc w:val="center"/>
              <w:rPr>
                <w:rFonts w:ascii="宋体" w:hAnsi="宋体" w:cs="宋体"/>
                <w:color w:val="auto"/>
                <w:kern w:val="0"/>
                <w:sz w:val="24"/>
                <w:highlight w:val="none"/>
              </w:rPr>
            </w:pPr>
          </w:p>
        </w:tc>
      </w:tr>
    </w:tbl>
    <w:p w14:paraId="7C493502">
      <w:pPr>
        <w:wordWrap w:val="0"/>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注：</w:t>
      </w:r>
    </w:p>
    <w:p w14:paraId="4B06938E">
      <w:pPr>
        <w:wordWrap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1.管理关系：是指不具有出资持股关系的其他单位之间存在的管理与被管理关系，如一些上下级关系的事业单位和团体组织。</w:t>
      </w:r>
    </w:p>
    <w:p w14:paraId="46EEA0BD">
      <w:pPr>
        <w:wordWrap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pacing w:val="-6"/>
          <w:sz w:val="24"/>
          <w:highlight w:val="none"/>
        </w:rPr>
        <w:t>本表所指的管理关系仅限于直接管理关系，不包括间接的管理关系。</w:t>
      </w:r>
    </w:p>
    <w:p w14:paraId="7DB35770">
      <w:pPr>
        <w:wordWrap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3.供应商不存在直接管理关系的，则填“无”。</w:t>
      </w:r>
    </w:p>
    <w:p w14:paraId="55730150">
      <w:pPr>
        <w:wordWrap w:val="0"/>
        <w:snapToGrid w:val="0"/>
        <w:spacing w:line="360" w:lineRule="auto"/>
        <w:jc w:val="left"/>
        <w:rPr>
          <w:rFonts w:ascii="宋体" w:hAnsi="宋体" w:cs="宋体"/>
          <w:color w:val="auto"/>
          <w:sz w:val="24"/>
          <w:highlight w:val="none"/>
        </w:rPr>
      </w:pPr>
    </w:p>
    <w:p w14:paraId="7F4E1E6D">
      <w:pPr>
        <w:wordWrap w:val="0"/>
        <w:snapToGrid w:val="0"/>
        <w:spacing w:line="360" w:lineRule="auto"/>
        <w:jc w:val="left"/>
        <w:rPr>
          <w:rFonts w:ascii="宋体" w:hAnsi="宋体" w:cs="宋体"/>
          <w:color w:val="auto"/>
          <w:sz w:val="24"/>
          <w:highlight w:val="none"/>
        </w:rPr>
      </w:pPr>
    </w:p>
    <w:p w14:paraId="19CC0ABC">
      <w:pPr>
        <w:wordWrap w:val="0"/>
        <w:snapToGrid w:val="0"/>
        <w:spacing w:line="360" w:lineRule="auto"/>
        <w:jc w:val="left"/>
        <w:rPr>
          <w:rFonts w:ascii="宋体" w:hAnsi="宋体" w:cs="宋体"/>
          <w:color w:val="auto"/>
          <w:sz w:val="24"/>
          <w:highlight w:val="none"/>
        </w:rPr>
      </w:pPr>
    </w:p>
    <w:p w14:paraId="3ECAD9AC">
      <w:pPr>
        <w:wordWrap w:val="0"/>
        <w:snapToGrid w:val="0"/>
        <w:spacing w:line="360" w:lineRule="auto"/>
        <w:jc w:val="left"/>
        <w:rPr>
          <w:rFonts w:ascii="宋体" w:hAnsi="宋体" w:cs="宋体"/>
          <w:color w:val="auto"/>
          <w:sz w:val="24"/>
          <w:highlight w:val="none"/>
        </w:rPr>
      </w:pPr>
    </w:p>
    <w:p w14:paraId="6E1B1C4C">
      <w:pPr>
        <w:wordWrap w:val="0"/>
        <w:snapToGrid w:val="0"/>
        <w:spacing w:line="360" w:lineRule="auto"/>
        <w:jc w:val="left"/>
        <w:rPr>
          <w:rFonts w:ascii="宋体" w:hAnsi="宋体" w:cs="宋体"/>
          <w:color w:val="auto"/>
          <w:sz w:val="24"/>
          <w:highlight w:val="none"/>
        </w:rPr>
      </w:pPr>
    </w:p>
    <w:p w14:paraId="2B8C26E9">
      <w:pPr>
        <w:wordWrap w:val="0"/>
        <w:snapToGrid w:val="0"/>
        <w:spacing w:line="360" w:lineRule="auto"/>
        <w:jc w:val="left"/>
        <w:rPr>
          <w:rFonts w:ascii="宋体" w:hAnsi="宋体" w:cs="宋体"/>
          <w:color w:val="auto"/>
          <w:sz w:val="24"/>
          <w:highlight w:val="none"/>
        </w:rPr>
      </w:pPr>
    </w:p>
    <w:p w14:paraId="7CE205DB">
      <w:pPr>
        <w:wordWrap w:val="0"/>
        <w:snapToGrid w:val="0"/>
        <w:spacing w:line="360" w:lineRule="auto"/>
        <w:jc w:val="left"/>
        <w:rPr>
          <w:rFonts w:ascii="宋体" w:hAnsi="宋体" w:cs="宋体"/>
          <w:color w:val="auto"/>
          <w:sz w:val="24"/>
          <w:highlight w:val="none"/>
        </w:rPr>
      </w:pPr>
    </w:p>
    <w:p w14:paraId="59844795">
      <w:pPr>
        <w:wordWrap w:val="0"/>
        <w:snapToGrid w:val="0"/>
        <w:spacing w:line="360" w:lineRule="auto"/>
        <w:jc w:val="left"/>
        <w:rPr>
          <w:rFonts w:ascii="宋体" w:hAnsi="宋体" w:cs="宋体"/>
          <w:color w:val="auto"/>
          <w:sz w:val="24"/>
          <w:highlight w:val="none"/>
        </w:rPr>
      </w:pPr>
    </w:p>
    <w:p w14:paraId="2E948DD9">
      <w:pPr>
        <w:wordWrap w:val="0"/>
        <w:snapToGrid w:val="0"/>
        <w:spacing w:line="360" w:lineRule="auto"/>
        <w:ind w:firstLine="5040" w:firstLineChars="210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投标人名称(电子签章)：</w:t>
      </w:r>
    </w:p>
    <w:p w14:paraId="3AB52DBE">
      <w:pPr>
        <w:wordWrap w:val="0"/>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3AC3BB32">
      <w:pPr>
        <w:wordWrap w:val="0"/>
        <w:snapToGrid w:val="0"/>
        <w:spacing w:line="360" w:lineRule="auto"/>
        <w:jc w:val="left"/>
        <w:rPr>
          <w:rFonts w:ascii="宋体" w:hAnsi="宋体" w:cs="宋体"/>
          <w:color w:val="auto"/>
          <w:szCs w:val="21"/>
          <w:highlight w:val="none"/>
        </w:rPr>
      </w:pPr>
    </w:p>
    <w:p w14:paraId="3EE6EE2D">
      <w:pPr>
        <w:wordWrap w:val="0"/>
        <w:snapToGrid w:val="0"/>
        <w:spacing w:line="360" w:lineRule="auto"/>
        <w:jc w:val="left"/>
        <w:rPr>
          <w:rFonts w:ascii="宋体" w:hAnsi="宋体" w:cs="宋体"/>
          <w:b/>
          <w:color w:val="auto"/>
          <w:sz w:val="24"/>
          <w:szCs w:val="20"/>
          <w:highlight w:val="none"/>
        </w:rPr>
      </w:pPr>
    </w:p>
    <w:p w14:paraId="70B9F29A">
      <w:pPr>
        <w:wordWrap w:val="0"/>
        <w:snapToGrid w:val="0"/>
        <w:spacing w:line="360" w:lineRule="auto"/>
        <w:jc w:val="left"/>
        <w:rPr>
          <w:rFonts w:ascii="宋体" w:hAnsi="宋体" w:cs="宋体"/>
          <w:b/>
          <w:color w:val="auto"/>
          <w:sz w:val="24"/>
          <w:highlight w:val="none"/>
        </w:rPr>
      </w:pPr>
    </w:p>
    <w:p w14:paraId="1B82838F">
      <w:pPr>
        <w:wordWrap w:val="0"/>
        <w:snapToGrid w:val="0"/>
        <w:spacing w:line="360" w:lineRule="auto"/>
        <w:jc w:val="left"/>
        <w:rPr>
          <w:rFonts w:ascii="宋体" w:hAnsi="宋体" w:cs="宋体"/>
          <w:b/>
          <w:color w:val="auto"/>
          <w:sz w:val="24"/>
          <w:szCs w:val="20"/>
          <w:highlight w:val="none"/>
        </w:rPr>
      </w:pPr>
      <w:r>
        <w:rPr>
          <w:rFonts w:hint="eastAsia" w:ascii="宋体" w:hAnsi="宋体" w:cs="宋体"/>
          <w:b/>
          <w:color w:val="auto"/>
          <w:sz w:val="24"/>
          <w:szCs w:val="20"/>
          <w:highlight w:val="none"/>
        </w:rPr>
        <w:t xml:space="preserve"> </w:t>
      </w:r>
    </w:p>
    <w:p w14:paraId="0B55D725">
      <w:pPr>
        <w:wordWrap w:val="0"/>
        <w:snapToGrid w:val="0"/>
        <w:spacing w:line="360" w:lineRule="auto"/>
        <w:jc w:val="left"/>
        <w:rPr>
          <w:rFonts w:ascii="宋体" w:hAnsi="宋体" w:cs="宋体"/>
          <w:b/>
          <w:color w:val="auto"/>
          <w:sz w:val="24"/>
          <w:szCs w:val="20"/>
          <w:highlight w:val="none"/>
        </w:rPr>
      </w:pPr>
    </w:p>
    <w:p w14:paraId="07225563">
      <w:pPr>
        <w:wordWrap w:val="0"/>
        <w:snapToGrid w:val="0"/>
        <w:spacing w:line="360" w:lineRule="auto"/>
        <w:jc w:val="left"/>
        <w:rPr>
          <w:rFonts w:ascii="宋体" w:hAnsi="宋体" w:cs="宋体"/>
          <w:color w:val="auto"/>
          <w:highlight w:val="none"/>
        </w:rPr>
      </w:pPr>
    </w:p>
    <w:p w14:paraId="21846583">
      <w:pPr>
        <w:wordWrap w:val="0"/>
        <w:snapToGrid w:val="0"/>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六、投标资格声明函</w:t>
      </w:r>
    </w:p>
    <w:p w14:paraId="559546DF">
      <w:pPr>
        <w:tabs>
          <w:tab w:val="left" w:pos="7200"/>
        </w:tabs>
        <w:wordWrap w:val="0"/>
        <w:spacing w:line="360" w:lineRule="auto"/>
        <w:rPr>
          <w:rFonts w:ascii="宋体" w:hAnsi="宋体" w:cs="宋体"/>
          <w:color w:val="auto"/>
          <w:szCs w:val="21"/>
          <w:highlight w:val="none"/>
          <w:u w:val="single"/>
        </w:rPr>
      </w:pPr>
      <w:r>
        <w:rPr>
          <w:rFonts w:hint="eastAsia" w:ascii="宋体" w:hAnsi="宋体" w:cs="宋体"/>
          <w:color w:val="auto"/>
          <w:szCs w:val="21"/>
          <w:highlight w:val="none"/>
        </w:rPr>
        <w:t>致：</w:t>
      </w:r>
      <w:bookmarkStart w:id="279" w:name="PO_3000001866_PM031_5"/>
      <w:r>
        <w:rPr>
          <w:rFonts w:hint="eastAsia" w:ascii="宋体" w:hAnsi="宋体" w:cs="宋体"/>
          <w:color w:val="auto"/>
          <w:szCs w:val="21"/>
          <w:highlight w:val="none"/>
          <w:u w:val="single"/>
        </w:rPr>
        <w:t>广西邕政采购代理有限公司</w:t>
      </w:r>
      <w:bookmarkEnd w:id="279"/>
      <w:r>
        <w:rPr>
          <w:rFonts w:hint="eastAsia" w:ascii="宋体" w:hAnsi="宋体" w:cs="宋体"/>
          <w:color w:val="auto"/>
          <w:szCs w:val="21"/>
          <w:highlight w:val="none"/>
          <w:u w:val="single"/>
        </w:rPr>
        <w:t xml:space="preserve"> </w:t>
      </w:r>
    </w:p>
    <w:p w14:paraId="11A90023">
      <w:pPr>
        <w:wordWrap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我方愿意参加贵方组织的</w:t>
      </w:r>
      <w:r>
        <w:rPr>
          <w:rFonts w:hint="eastAsia" w:ascii="宋体" w:hAnsi="宋体" w:cs="宋体"/>
          <w:color w:val="auto"/>
          <w:szCs w:val="21"/>
          <w:highlight w:val="none"/>
          <w:u w:val="single"/>
        </w:rPr>
        <w:t xml:space="preserve">    （项目名称）          </w:t>
      </w:r>
      <w:r>
        <w:rPr>
          <w:rFonts w:hint="eastAsia" w:ascii="宋体" w:hAnsi="宋体" w:cs="宋体"/>
          <w:color w:val="auto"/>
          <w:szCs w:val="21"/>
          <w:highlight w:val="none"/>
        </w:rPr>
        <w:t>（项目编号：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）项目的投标，为便于贵方公正、择优地确定中标供应商，我方就本次投标有关事项郑重声明如下：</w:t>
      </w:r>
    </w:p>
    <w:p w14:paraId="588A8339">
      <w:pPr>
        <w:wordWrap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我方承诺已经具备《中华人民共和国政府采购法》第二十二条中规定的参加政府采购活动的供应商应当具备的条件并按本项目投标文件“第三章”“第二节投标人须知前附表”中“资格证明文件组成”完整提供证明材料。</w:t>
      </w:r>
    </w:p>
    <w:p w14:paraId="0D3069C0">
      <w:pPr>
        <w:wordWrap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 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4BD0ECB3">
      <w:pPr>
        <w:wordWrap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3.经查询，在“信用中国”和“中国政府采购网”网站我方未被列入失信被执行人、重大税收违法失信主体、政府采购严重违法失信行为记录名单。</w:t>
      </w:r>
    </w:p>
    <w:p w14:paraId="55CF1BE6">
      <w:pPr>
        <w:wordWrap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4.以上事项如有虚假或隐瞒，我方愿意承担一切后果，并不再寻求任何旨在减轻或免除法律责任的辩解。 </w:t>
      </w:r>
    </w:p>
    <w:p w14:paraId="7AF44E55">
      <w:pPr>
        <w:tabs>
          <w:tab w:val="left" w:pos="7200"/>
        </w:tabs>
        <w:wordWrap w:val="0"/>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说明：</w:t>
      </w:r>
    </w:p>
    <w:p w14:paraId="3D2C0315">
      <w:pPr>
        <w:wordWrap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1.投标人应当通过 “信用中国”（www.creditchina.gov.cn）和“中国政府采购网”网站（www.ccgp.gov.cn）查询投标人相关主体的信用记录。查询时间为本项目投标截止时间前10日至投标截止时间中任意一天。对列入失信被执行人、重大税收违法失信主体、政府采购严重违法失信行为记录名单的投标人，将被拒绝参与本项目政府采购活动。</w:t>
      </w:r>
    </w:p>
    <w:p w14:paraId="604E933C">
      <w:pPr>
        <w:wordWrap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7151536D">
      <w:pPr>
        <w:wordWrap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b/>
          <w:color w:val="auto"/>
          <w:szCs w:val="21"/>
          <w:highlight w:val="none"/>
        </w:rPr>
        <w:t xml:space="preserve">  3.如为联合体投标，盖章处须加盖联合体各方公章并由联合体各方法定代表人分别签署，否则投标无效。</w:t>
      </w:r>
    </w:p>
    <w:p w14:paraId="17C83CDD">
      <w:pPr>
        <w:wordWrap w:val="0"/>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 xml:space="preserve">                                     </w:t>
      </w:r>
    </w:p>
    <w:p w14:paraId="0BEA6531">
      <w:pPr>
        <w:wordWrap w:val="0"/>
        <w:snapToGrid w:val="0"/>
        <w:spacing w:line="360" w:lineRule="auto"/>
        <w:ind w:left="7428" w:leftChars="2223" w:hanging="2760" w:hangingChars="1150"/>
        <w:jc w:val="left"/>
        <w:rPr>
          <w:rFonts w:ascii="宋体" w:hAnsi="宋体" w:cs="宋体"/>
          <w:color w:val="auto"/>
          <w:kern w:val="0"/>
          <w:sz w:val="24"/>
          <w:highlight w:val="none"/>
          <w:lang w:val="zh-CN"/>
        </w:rPr>
      </w:pPr>
      <w:r>
        <w:rPr>
          <w:rFonts w:hint="eastAsia" w:ascii="宋体" w:hAnsi="宋体" w:cs="宋体"/>
          <w:color w:val="auto"/>
          <w:sz w:val="24"/>
          <w:highlight w:val="none"/>
        </w:rPr>
        <w:t xml:space="preserve">  </w:t>
      </w:r>
      <w:r>
        <w:rPr>
          <w:rFonts w:hint="eastAsia" w:ascii="宋体" w:hAnsi="宋体" w:cs="宋体"/>
          <w:color w:val="auto"/>
          <w:kern w:val="0"/>
          <w:sz w:val="24"/>
          <w:highlight w:val="none"/>
          <w:lang w:val="zh-CN"/>
        </w:rPr>
        <w:t>投标人名称(电子签章)：</w:t>
      </w:r>
      <w:r>
        <w:rPr>
          <w:rFonts w:hint="eastAsia" w:ascii="宋体" w:hAnsi="宋体" w:cs="宋体"/>
          <w:color w:val="auto"/>
          <w:szCs w:val="21"/>
          <w:highlight w:val="none"/>
        </w:rPr>
        <w:t xml:space="preserve">                       年    月    日</w:t>
      </w:r>
    </w:p>
    <w:p w14:paraId="3D3A3342">
      <w:pPr>
        <w:pStyle w:val="12"/>
        <w:wordWrap w:val="0"/>
        <w:spacing w:line="360" w:lineRule="auto"/>
        <w:jc w:val="center"/>
        <w:rPr>
          <w:rFonts w:hAnsi="宋体" w:cs="宋体"/>
          <w:b/>
          <w:bCs/>
          <w:color w:val="auto"/>
          <w:sz w:val="30"/>
          <w:szCs w:val="30"/>
          <w:highlight w:val="none"/>
        </w:rPr>
      </w:pPr>
    </w:p>
    <w:p w14:paraId="70ADB34F">
      <w:pPr>
        <w:widowControl/>
        <w:wordWrap w:val="0"/>
        <w:spacing w:line="360" w:lineRule="auto"/>
        <w:jc w:val="left"/>
        <w:rPr>
          <w:rFonts w:ascii="宋体" w:hAnsi="宋体" w:cs="宋体"/>
          <w:b/>
          <w:bCs/>
          <w:color w:val="auto"/>
          <w:sz w:val="30"/>
          <w:szCs w:val="30"/>
          <w:highlight w:val="none"/>
        </w:rPr>
        <w:sectPr>
          <w:pgSz w:w="11906" w:h="16838"/>
          <w:pgMar w:top="1440" w:right="1080" w:bottom="1440" w:left="1080" w:header="720" w:footer="720" w:gutter="0"/>
          <w:pgNumType w:fmt="decimal"/>
          <w:cols w:space="720" w:num="1"/>
          <w:docGrid w:type="lines" w:linePitch="331" w:charSpace="0"/>
        </w:sectPr>
      </w:pPr>
    </w:p>
    <w:p w14:paraId="6FCB2D15">
      <w:pPr>
        <w:pStyle w:val="12"/>
        <w:wordWrap w:val="0"/>
        <w:spacing w:line="360" w:lineRule="auto"/>
        <w:jc w:val="center"/>
        <w:rPr>
          <w:rFonts w:hAnsi="宋体" w:cs="宋体"/>
          <w:color w:val="auto"/>
          <w:highlight w:val="none"/>
        </w:rPr>
      </w:pPr>
      <w:r>
        <w:rPr>
          <w:rFonts w:hint="eastAsia" w:hAnsi="宋体" w:cs="宋体"/>
          <w:b/>
          <w:bCs/>
          <w:color w:val="auto"/>
          <w:sz w:val="30"/>
          <w:szCs w:val="30"/>
          <w:highlight w:val="none"/>
        </w:rPr>
        <w:t>七、联合体协议书</w:t>
      </w:r>
    </w:p>
    <w:p w14:paraId="77B3FB49">
      <w:pPr>
        <w:wordWrap w:val="0"/>
        <w:autoSpaceDE w:val="0"/>
        <w:autoSpaceDN w:val="0"/>
        <w:adjustRightInd w:val="0"/>
        <w:spacing w:line="360" w:lineRule="auto"/>
        <w:jc w:val="left"/>
        <w:rPr>
          <w:rFonts w:ascii="宋体" w:hAnsi="宋体" w:cs="宋体"/>
          <w:color w:val="auto"/>
          <w:kern w:val="0"/>
          <w:szCs w:val="21"/>
          <w:highlight w:val="none"/>
          <w:u w:val="single"/>
        </w:rPr>
      </w:pPr>
    </w:p>
    <w:p w14:paraId="410B6402">
      <w:pPr>
        <w:wordWrap w:val="0"/>
        <w:autoSpaceDE w:val="0"/>
        <w:autoSpaceDN w:val="0"/>
        <w:adjustRightIn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（所有成员单位名称）自愿组成联合体，共同参加</w:t>
      </w:r>
      <w:r>
        <w:rPr>
          <w:rFonts w:hint="eastAsia" w:ascii="宋体" w:hAnsi="宋体" w:cs="宋体"/>
          <w:color w:val="auto"/>
          <w:kern w:val="0"/>
          <w:szCs w:val="21"/>
          <w:highlight w:val="none"/>
          <w:u w:val="single"/>
        </w:rPr>
        <w:t xml:space="preserve">     </w:t>
      </w:r>
      <w:bookmarkStart w:id="280" w:name="PO_3000001866_PM031_6"/>
      <w:r>
        <w:rPr>
          <w:rFonts w:hint="eastAsia" w:ascii="宋体" w:hAnsi="宋体" w:cs="宋体"/>
          <w:color w:val="auto"/>
          <w:kern w:val="0"/>
          <w:szCs w:val="21"/>
          <w:highlight w:val="none"/>
          <w:u w:val="single"/>
        </w:rPr>
        <w:t>广西邕政采购代理有限公司</w:t>
      </w:r>
      <w:bookmarkEnd w:id="280"/>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组织的</w:t>
      </w:r>
      <w:r>
        <w:rPr>
          <w:rFonts w:hint="eastAsia" w:ascii="宋体" w:hAnsi="宋体" w:cs="宋体"/>
          <w:color w:val="auto"/>
          <w:kern w:val="0"/>
          <w:szCs w:val="21"/>
          <w:highlight w:val="none"/>
          <w:u w:val="single"/>
        </w:rPr>
        <w:t xml:space="preserve">     </w:t>
      </w:r>
      <w:r>
        <w:rPr>
          <w:rFonts w:hint="eastAsia" w:ascii="宋体" w:hAnsi="宋体" w:cs="宋体"/>
          <w:color w:val="auto"/>
          <w:szCs w:val="21"/>
          <w:highlight w:val="none"/>
          <w:u w:val="single"/>
        </w:rPr>
        <w:t xml:space="preserve">（项目名称）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（项目编号：</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）投标。现就联合体投标事宜订立如下协议：</w:t>
      </w:r>
    </w:p>
    <w:p w14:paraId="0F6D25C8">
      <w:pPr>
        <w:wordWrap w:val="0"/>
        <w:autoSpaceDE w:val="0"/>
        <w:autoSpaceDN w:val="0"/>
        <w:adjustRightIn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lang w:val="en-US" w:eastAsia="zh-CN"/>
        </w:rPr>
        <w:t>.</w:t>
      </w:r>
      <w:r>
        <w:rPr>
          <w:rFonts w:hint="eastAsia" w:ascii="宋体" w:hAnsi="宋体" w:cs="宋体"/>
          <w:color w:val="auto"/>
          <w:highlight w:val="none"/>
        </w:rPr>
        <w:t>________________________</w:t>
      </w:r>
      <w:r>
        <w:rPr>
          <w:rFonts w:hint="eastAsia" w:ascii="宋体" w:hAnsi="宋体" w:cs="宋体"/>
          <w:color w:val="auto"/>
          <w:kern w:val="0"/>
          <w:szCs w:val="21"/>
          <w:highlight w:val="none"/>
        </w:rPr>
        <w:t>（某成员单位名称）为联合体名称牵头人。</w:t>
      </w:r>
    </w:p>
    <w:p w14:paraId="07BDFB76">
      <w:pPr>
        <w:wordWrap w:val="0"/>
        <w:autoSpaceDE w:val="0"/>
        <w:autoSpaceDN w:val="0"/>
        <w:adjustRightIn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联合体牵头人合法代表联合体各成员负责本招标项目投标文件编制和合同谈判活动，并代表联合体提交和接收相关的资料、信息及指示，并处理与之有关的一切事务，负责合同实施阶段的主办、组织和协调工作。</w:t>
      </w:r>
    </w:p>
    <w:p w14:paraId="367FA56A">
      <w:pPr>
        <w:wordWrap w:val="0"/>
        <w:autoSpaceDE w:val="0"/>
        <w:autoSpaceDN w:val="0"/>
        <w:adjustRightIn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联合体牵头人在本项目中签署和盖章的一切文件和处理的一切事宜，联合体各成员均予以承认。 联合体各成员将严格按照招标文件、投标文件和合同的要求全面履行义务，并向招标人承担连带责任。</w:t>
      </w:r>
    </w:p>
    <w:p w14:paraId="1F616F32">
      <w:pPr>
        <w:wordWrap w:val="0"/>
        <w:autoSpaceDE w:val="0"/>
        <w:autoSpaceDN w:val="0"/>
        <w:adjustRightIn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4</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联合体各成员单位内部的职责分工如下</w:t>
      </w:r>
      <w:r>
        <w:rPr>
          <w:rFonts w:hint="eastAsia" w:ascii="宋体" w:hAnsi="宋体" w:cs="宋体"/>
          <w:color w:val="auto"/>
          <w:kern w:val="0"/>
          <w:szCs w:val="21"/>
          <w:highlight w:val="none"/>
          <w:u w:val="single"/>
        </w:rPr>
        <w:t>：</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rPr>
        <w:t>。</w:t>
      </w:r>
    </w:p>
    <w:p w14:paraId="7FADE831">
      <w:pPr>
        <w:pStyle w:val="12"/>
        <w:wordWrap w:val="0"/>
        <w:spacing w:line="360" w:lineRule="auto"/>
        <w:ind w:firstLine="420" w:firstLineChars="200"/>
        <w:rPr>
          <w:rFonts w:hAnsi="宋体" w:cs="宋体"/>
          <w:color w:val="auto"/>
          <w:szCs w:val="21"/>
          <w:highlight w:val="none"/>
        </w:rPr>
      </w:pPr>
      <w:r>
        <w:rPr>
          <w:rFonts w:hint="eastAsia" w:hAnsi="宋体" w:cs="宋体"/>
          <w:color w:val="auto"/>
          <w:kern w:val="0"/>
          <w:highlight w:val="none"/>
        </w:rPr>
        <w:t>5</w:t>
      </w:r>
      <w:r>
        <w:rPr>
          <w:rFonts w:hint="eastAsia" w:ascii="宋体" w:hAnsi="宋体" w:cs="宋体"/>
          <w:color w:val="auto"/>
          <w:kern w:val="0"/>
          <w:szCs w:val="21"/>
          <w:highlight w:val="none"/>
          <w:lang w:val="en-US" w:eastAsia="zh-CN"/>
        </w:rPr>
        <w:t>.</w:t>
      </w:r>
      <w:r>
        <w:rPr>
          <w:rFonts w:hint="eastAsia" w:hAnsi="宋体" w:cs="宋体"/>
          <w:color w:val="auto"/>
          <w:kern w:val="0"/>
          <w:highlight w:val="none"/>
        </w:rPr>
        <w:t>本联合体中</w:t>
      </w:r>
      <w:r>
        <w:rPr>
          <w:rFonts w:hint="eastAsia" w:hAnsi="宋体" w:cs="宋体"/>
          <w:color w:val="auto"/>
          <w:kern w:val="0"/>
          <w:highlight w:val="none"/>
          <w:u w:val="single"/>
        </w:rPr>
        <w:t>，</w:t>
      </w:r>
      <w:r>
        <w:rPr>
          <w:rFonts w:hint="eastAsia" w:hAnsi="宋体" w:cs="宋体"/>
          <w:color w:val="auto"/>
          <w:szCs w:val="21"/>
          <w:highlight w:val="none"/>
          <w:u w:val="single"/>
        </w:rPr>
        <w:t xml:space="preserve">             </w:t>
      </w:r>
      <w:r>
        <w:rPr>
          <w:rFonts w:hint="eastAsia" w:hAnsi="宋体" w:cs="宋体"/>
          <w:color w:val="auto"/>
          <w:kern w:val="0"/>
          <w:highlight w:val="none"/>
          <w:u w:val="single"/>
        </w:rPr>
        <w:t>（某成员单位名称）为</w:t>
      </w:r>
      <w:r>
        <w:rPr>
          <w:rFonts w:hint="eastAsia" w:hAnsi="宋体" w:cs="宋体"/>
          <w:color w:val="auto"/>
          <w:szCs w:val="21"/>
          <w:highlight w:val="none"/>
          <w:u w:val="single"/>
        </w:rPr>
        <w:t xml:space="preserve">             </w:t>
      </w:r>
      <w:r>
        <w:rPr>
          <w:rFonts w:hint="eastAsia" w:hAnsi="宋体" w:cs="宋体"/>
          <w:color w:val="auto"/>
          <w:highlight w:val="none"/>
        </w:rPr>
        <w:t>（请填写：中型、小型、微型）企业，其协议合同金额占联合体协议合同总金额的</w:t>
      </w:r>
      <w:r>
        <w:rPr>
          <w:rFonts w:hint="eastAsia" w:hAnsi="宋体" w:cs="宋体"/>
          <w:color w:val="auto"/>
          <w:szCs w:val="21"/>
          <w:highlight w:val="none"/>
          <w:u w:val="single"/>
        </w:rPr>
        <w:t xml:space="preserve">             </w:t>
      </w:r>
      <w:r>
        <w:rPr>
          <w:rFonts w:hint="eastAsia" w:hAnsi="宋体" w:cs="宋体"/>
          <w:color w:val="auto"/>
          <w:highlight w:val="none"/>
        </w:rPr>
        <w:t>%。【如联合体成员中有小型、微型企业的，请填写此条，否则无需填写；如联合体成员中有多个小型、微型企业的，请逐一列出。】</w:t>
      </w:r>
    </w:p>
    <w:p w14:paraId="0D682485">
      <w:pPr>
        <w:wordWrap w:val="0"/>
        <w:autoSpaceDE w:val="0"/>
        <w:autoSpaceDN w:val="0"/>
        <w:adjustRightIn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6</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本协议书自签署之日起生效，合同履行完毕后自动失效。</w:t>
      </w:r>
    </w:p>
    <w:p w14:paraId="2BFC67C3">
      <w:pPr>
        <w:wordWrap w:val="0"/>
        <w:autoSpaceDE w:val="0"/>
        <w:autoSpaceDN w:val="0"/>
        <w:adjustRightIn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7</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本协议书一式</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份，联合体成员和采购代理机构各执一份。</w:t>
      </w:r>
    </w:p>
    <w:p w14:paraId="14A746D9">
      <w:pPr>
        <w:wordWrap w:val="0"/>
        <w:autoSpaceDE w:val="0"/>
        <w:autoSpaceDN w:val="0"/>
        <w:adjustRightIn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注：本协议书由法定代表人签字的，应附法定代表人身份证明；本协议书由委托代理人签字的，应附法定代表人授权委托书。</w:t>
      </w:r>
    </w:p>
    <w:p w14:paraId="1D1472D9">
      <w:pPr>
        <w:wordWrap w:val="0"/>
        <w:autoSpaceDE w:val="0"/>
        <w:autoSpaceDN w:val="0"/>
        <w:adjustRightIn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牵头人名称：</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（公章/电子签章）</w:t>
      </w:r>
    </w:p>
    <w:p w14:paraId="2803544D">
      <w:pPr>
        <w:wordWrap w:val="0"/>
        <w:autoSpaceDE w:val="0"/>
        <w:autoSpaceDN w:val="0"/>
        <w:adjustRightIn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法定代表人或其委托代理人：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（手写签名/电子签名）</w:t>
      </w:r>
    </w:p>
    <w:p w14:paraId="143DBF2E">
      <w:pPr>
        <w:wordWrap w:val="0"/>
        <w:autoSpaceDE w:val="0"/>
        <w:autoSpaceDN w:val="0"/>
        <w:adjustRightInd w:val="0"/>
        <w:spacing w:line="360" w:lineRule="auto"/>
        <w:jc w:val="left"/>
        <w:rPr>
          <w:rFonts w:ascii="宋体" w:hAnsi="宋体" w:cs="宋体"/>
          <w:color w:val="auto"/>
          <w:kern w:val="0"/>
          <w:szCs w:val="21"/>
          <w:highlight w:val="none"/>
        </w:rPr>
      </w:pPr>
    </w:p>
    <w:p w14:paraId="781D0796">
      <w:pPr>
        <w:wordWrap w:val="0"/>
        <w:autoSpaceDE w:val="0"/>
        <w:autoSpaceDN w:val="0"/>
        <w:adjustRightIn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成员一名称：</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（公章/电子签章）</w:t>
      </w:r>
    </w:p>
    <w:p w14:paraId="7FBFAA22">
      <w:pPr>
        <w:wordWrap w:val="0"/>
        <w:autoSpaceDE w:val="0"/>
        <w:autoSpaceDN w:val="0"/>
        <w:adjustRightIn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法定代表人或其委托代理人：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（手写签名/电子签名）</w:t>
      </w:r>
    </w:p>
    <w:p w14:paraId="6DE7E96D">
      <w:pPr>
        <w:wordWrap w:val="0"/>
        <w:autoSpaceDE w:val="0"/>
        <w:autoSpaceDN w:val="0"/>
        <w:adjustRightIn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成员二名称：</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（公章/电子签章）</w:t>
      </w:r>
    </w:p>
    <w:p w14:paraId="03588D70">
      <w:pPr>
        <w:pStyle w:val="12"/>
        <w:wordWrap w:val="0"/>
        <w:spacing w:line="360" w:lineRule="auto"/>
        <w:rPr>
          <w:rFonts w:hAnsi="宋体" w:cs="宋体"/>
          <w:color w:val="auto"/>
          <w:szCs w:val="21"/>
          <w:highlight w:val="none"/>
        </w:rPr>
      </w:pPr>
      <w:r>
        <w:rPr>
          <w:rFonts w:hint="eastAsia" w:hAnsi="宋体" w:cs="宋体"/>
          <w:color w:val="auto"/>
          <w:kern w:val="0"/>
          <w:szCs w:val="21"/>
          <w:highlight w:val="none"/>
        </w:rPr>
        <w:t>法定代表人或其委托代理人：</w:t>
      </w:r>
      <w:r>
        <w:rPr>
          <w:rFonts w:hint="eastAsia" w:hAnsi="宋体" w:cs="宋体"/>
          <w:color w:val="auto"/>
          <w:kern w:val="0"/>
          <w:szCs w:val="21"/>
          <w:highlight w:val="none"/>
          <w:u w:val="single"/>
        </w:rPr>
        <w:t xml:space="preserve">                         </w:t>
      </w:r>
      <w:r>
        <w:rPr>
          <w:rFonts w:hint="eastAsia" w:hAnsi="宋体" w:cs="宋体"/>
          <w:color w:val="auto"/>
          <w:kern w:val="0"/>
          <w:szCs w:val="21"/>
          <w:highlight w:val="none"/>
        </w:rPr>
        <w:t>（手写签名/电子签名）</w:t>
      </w:r>
    </w:p>
    <w:p w14:paraId="67CB6611">
      <w:pPr>
        <w:wordWrap w:val="0"/>
        <w:spacing w:line="360" w:lineRule="auto"/>
        <w:rPr>
          <w:rFonts w:ascii="宋体" w:hAnsi="宋体" w:cs="宋体"/>
          <w:color w:val="auto"/>
          <w:highlight w:val="none"/>
        </w:rPr>
      </w:pPr>
    </w:p>
    <w:p w14:paraId="7728B6C6">
      <w:pPr>
        <w:pStyle w:val="12"/>
        <w:wordWrap w:val="0"/>
        <w:spacing w:line="360" w:lineRule="auto"/>
        <w:jc w:val="center"/>
        <w:rPr>
          <w:rFonts w:hAnsi="宋体" w:cs="宋体"/>
          <w:b/>
          <w:color w:val="auto"/>
          <w:sz w:val="30"/>
          <w:szCs w:val="30"/>
          <w:highlight w:val="none"/>
        </w:rPr>
        <w:sectPr>
          <w:pgSz w:w="11906" w:h="16838"/>
          <w:pgMar w:top="1440" w:right="1080" w:bottom="1440" w:left="1080" w:header="851" w:footer="992" w:gutter="0"/>
          <w:pgNumType w:fmt="decimal"/>
          <w:cols w:space="720" w:num="1"/>
        </w:sectPr>
      </w:pPr>
      <w:bookmarkStart w:id="281" w:name="_Toc19686838"/>
    </w:p>
    <w:p w14:paraId="6E18265D">
      <w:pPr>
        <w:rPr>
          <w:rFonts w:ascii="宋体" w:hAnsi="宋体" w:cs="宋体"/>
          <w:b/>
          <w:color w:val="auto"/>
          <w:sz w:val="32"/>
          <w:szCs w:val="32"/>
          <w:highlight w:val="none"/>
        </w:rPr>
      </w:pPr>
    </w:p>
    <w:p w14:paraId="0BB62D44">
      <w:pPr>
        <w:rPr>
          <w:rFonts w:ascii="宋体" w:hAnsi="宋体" w:cs="宋体"/>
          <w:b/>
          <w:color w:val="auto"/>
          <w:sz w:val="32"/>
          <w:szCs w:val="32"/>
          <w:highlight w:val="none"/>
        </w:rPr>
      </w:pPr>
      <w:r>
        <w:rPr>
          <w:rFonts w:hint="eastAsia" w:ascii="宋体" w:hAnsi="宋体" w:cs="宋体"/>
          <w:b/>
          <w:color w:val="auto"/>
          <w:sz w:val="32"/>
          <w:szCs w:val="32"/>
          <w:highlight w:val="none"/>
          <w:lang w:val="en-US" w:eastAsia="zh-CN"/>
        </w:rPr>
        <w:t>八</w:t>
      </w:r>
      <w:r>
        <w:rPr>
          <w:rFonts w:hint="eastAsia" w:ascii="宋体" w:hAnsi="宋体" w:cs="宋体"/>
          <w:b/>
          <w:color w:val="auto"/>
          <w:sz w:val="32"/>
          <w:szCs w:val="32"/>
          <w:highlight w:val="none"/>
        </w:rPr>
        <w:t>、除招标文件规定必须提供以外，投标人认为需要提供的其他证明材料。</w:t>
      </w:r>
    </w:p>
    <w:p w14:paraId="25F65807">
      <w:pPr>
        <w:wordWrap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（由投标人根据采购需求自行编制）</w:t>
      </w:r>
    </w:p>
    <w:p w14:paraId="264B9ACA">
      <w:pPr>
        <w:rPr>
          <w:rFonts w:ascii="宋体" w:hAnsi="宋体" w:cs="宋体"/>
          <w:b/>
          <w:bCs/>
          <w:color w:val="auto"/>
          <w:sz w:val="28"/>
          <w:szCs w:val="28"/>
          <w:highlight w:val="none"/>
        </w:rPr>
      </w:pPr>
    </w:p>
    <w:p w14:paraId="6152185C">
      <w:pPr>
        <w:rPr>
          <w:rFonts w:ascii="宋体" w:hAnsi="宋体" w:cs="宋体"/>
          <w:b/>
          <w:bCs/>
          <w:color w:val="auto"/>
          <w:sz w:val="28"/>
          <w:szCs w:val="28"/>
          <w:highlight w:val="none"/>
        </w:rPr>
      </w:pPr>
      <w:r>
        <w:rPr>
          <w:rFonts w:hint="eastAsia" w:ascii="宋体" w:hAnsi="宋体" w:cs="宋体"/>
          <w:b/>
          <w:bCs/>
          <w:color w:val="auto"/>
          <w:sz w:val="28"/>
          <w:szCs w:val="28"/>
          <w:highlight w:val="none"/>
        </w:rPr>
        <w:br w:type="page"/>
      </w:r>
    </w:p>
    <w:p w14:paraId="3992BEFA">
      <w:pPr>
        <w:pStyle w:val="12"/>
        <w:wordWrap w:val="0"/>
        <w:spacing w:line="360" w:lineRule="auto"/>
        <w:jc w:val="center"/>
        <w:outlineLvl w:val="1"/>
        <w:rPr>
          <w:rFonts w:hAnsi="宋体" w:cs="宋体"/>
          <w:b/>
          <w:bCs/>
          <w:color w:val="auto"/>
          <w:sz w:val="28"/>
          <w:szCs w:val="28"/>
          <w:highlight w:val="none"/>
        </w:rPr>
      </w:pPr>
      <w:bookmarkStart w:id="282" w:name="_Toc22407"/>
      <w:r>
        <w:rPr>
          <w:rFonts w:hint="eastAsia" w:hAnsi="宋体" w:cs="宋体"/>
          <w:b/>
          <w:bCs/>
          <w:color w:val="auto"/>
          <w:sz w:val="28"/>
          <w:szCs w:val="28"/>
          <w:highlight w:val="none"/>
        </w:rPr>
        <w:t>第三节 商务文件格式</w:t>
      </w:r>
      <w:bookmarkEnd w:id="281"/>
      <w:bookmarkEnd w:id="282"/>
    </w:p>
    <w:p w14:paraId="5860F991">
      <w:pPr>
        <w:wordWrap w:val="0"/>
        <w:snapToGrid w:val="0"/>
        <w:spacing w:line="360" w:lineRule="auto"/>
        <w:rPr>
          <w:rFonts w:ascii="宋体" w:hAnsi="宋体" w:cs="宋体"/>
          <w:color w:val="auto"/>
          <w:sz w:val="30"/>
          <w:szCs w:val="20"/>
          <w:highlight w:val="none"/>
        </w:rPr>
      </w:pPr>
    </w:p>
    <w:p w14:paraId="1F8EA203">
      <w:pPr>
        <w:wordWrap w:val="0"/>
        <w:snapToGrid w:val="0"/>
        <w:spacing w:line="360" w:lineRule="auto"/>
        <w:rPr>
          <w:rFonts w:ascii="宋体" w:hAnsi="宋体" w:cs="宋体"/>
          <w:bCs/>
          <w:color w:val="auto"/>
          <w:sz w:val="32"/>
          <w:szCs w:val="20"/>
          <w:highlight w:val="none"/>
        </w:rPr>
      </w:pPr>
      <w:r>
        <w:rPr>
          <w:rFonts w:hint="eastAsia" w:ascii="宋体" w:hAnsi="宋体" w:cs="宋体"/>
          <w:color w:val="auto"/>
          <w:sz w:val="24"/>
          <w:highlight w:val="none"/>
        </w:rPr>
        <w:t xml:space="preserve">                                                  </w:t>
      </w:r>
      <w:r>
        <w:rPr>
          <w:rFonts w:hint="eastAsia" w:ascii="宋体" w:hAnsi="宋体" w:cs="宋体"/>
          <w:bCs/>
          <w:color w:val="auto"/>
          <w:highlight w:val="none"/>
        </w:rPr>
        <w:t xml:space="preserve">             电子投标文件</w:t>
      </w:r>
    </w:p>
    <w:p w14:paraId="61CF2DE8">
      <w:pPr>
        <w:wordWrap w:val="0"/>
        <w:snapToGrid w:val="0"/>
        <w:spacing w:line="360" w:lineRule="auto"/>
        <w:rPr>
          <w:rFonts w:ascii="宋体" w:hAnsi="宋体" w:cs="宋体"/>
          <w:color w:val="auto"/>
          <w:sz w:val="24"/>
          <w:szCs w:val="20"/>
          <w:highlight w:val="none"/>
        </w:rPr>
      </w:pPr>
    </w:p>
    <w:p w14:paraId="7A693A20">
      <w:pPr>
        <w:wordWrap w:val="0"/>
        <w:snapToGrid w:val="0"/>
        <w:spacing w:line="360" w:lineRule="auto"/>
        <w:jc w:val="center"/>
        <w:rPr>
          <w:rFonts w:ascii="宋体" w:hAnsi="宋体" w:cs="宋体"/>
          <w:b/>
          <w:color w:val="auto"/>
          <w:sz w:val="24"/>
          <w:szCs w:val="20"/>
          <w:highlight w:val="none"/>
        </w:rPr>
      </w:pPr>
      <w:r>
        <w:rPr>
          <w:rFonts w:hint="eastAsia" w:ascii="宋体" w:hAnsi="宋体" w:cs="宋体"/>
          <w:b/>
          <w:color w:val="auto"/>
          <w:sz w:val="32"/>
          <w:szCs w:val="32"/>
          <w:highlight w:val="none"/>
        </w:rPr>
        <w:t>商务文件（封面）</w:t>
      </w:r>
    </w:p>
    <w:p w14:paraId="0CF076B7">
      <w:pPr>
        <w:wordWrap w:val="0"/>
        <w:snapToGrid w:val="0"/>
        <w:spacing w:line="360" w:lineRule="auto"/>
        <w:rPr>
          <w:rFonts w:ascii="宋体" w:hAnsi="宋体" w:cs="宋体"/>
          <w:bCs/>
          <w:color w:val="auto"/>
          <w:sz w:val="24"/>
          <w:szCs w:val="20"/>
          <w:highlight w:val="none"/>
        </w:rPr>
      </w:pPr>
    </w:p>
    <w:p w14:paraId="63CD350C">
      <w:pPr>
        <w:wordWrap w:val="0"/>
        <w:snapToGrid w:val="0"/>
        <w:spacing w:line="360" w:lineRule="auto"/>
        <w:ind w:firstLine="540" w:firstLineChars="225"/>
        <w:rPr>
          <w:rFonts w:ascii="宋体" w:hAnsi="宋体" w:cs="宋体"/>
          <w:bCs/>
          <w:color w:val="auto"/>
          <w:sz w:val="24"/>
          <w:highlight w:val="none"/>
        </w:rPr>
      </w:pPr>
      <w:r>
        <w:rPr>
          <w:rFonts w:hint="eastAsia" w:ascii="宋体" w:hAnsi="宋体" w:cs="宋体"/>
          <w:bCs/>
          <w:color w:val="auto"/>
          <w:sz w:val="24"/>
          <w:highlight w:val="none"/>
        </w:rPr>
        <w:t xml:space="preserve">项目名称： </w:t>
      </w:r>
    </w:p>
    <w:p w14:paraId="07E05CFF">
      <w:pPr>
        <w:wordWrap w:val="0"/>
        <w:snapToGrid w:val="0"/>
        <w:spacing w:line="360" w:lineRule="auto"/>
        <w:ind w:firstLine="540" w:firstLineChars="225"/>
        <w:rPr>
          <w:rFonts w:ascii="宋体" w:hAnsi="宋体" w:cs="宋体"/>
          <w:bCs/>
          <w:color w:val="auto"/>
          <w:sz w:val="24"/>
          <w:szCs w:val="20"/>
          <w:highlight w:val="none"/>
        </w:rPr>
      </w:pPr>
    </w:p>
    <w:p w14:paraId="58BF95F4">
      <w:pPr>
        <w:wordWrap w:val="0"/>
        <w:snapToGrid w:val="0"/>
        <w:spacing w:line="360" w:lineRule="auto"/>
        <w:ind w:firstLine="540" w:firstLineChars="225"/>
        <w:rPr>
          <w:rFonts w:ascii="宋体" w:hAnsi="宋体" w:cs="宋体"/>
          <w:bCs/>
          <w:color w:val="auto"/>
          <w:sz w:val="24"/>
          <w:highlight w:val="none"/>
        </w:rPr>
      </w:pPr>
      <w:r>
        <w:rPr>
          <w:rFonts w:hint="eastAsia" w:ascii="宋体" w:hAnsi="宋体" w:cs="宋体"/>
          <w:bCs/>
          <w:color w:val="auto"/>
          <w:sz w:val="24"/>
          <w:highlight w:val="none"/>
        </w:rPr>
        <w:t xml:space="preserve">项目编号： </w:t>
      </w:r>
      <w:r>
        <w:rPr>
          <w:rFonts w:hint="eastAsia" w:ascii="宋体" w:hAnsi="宋体" w:cs="宋体"/>
          <w:color w:val="auto"/>
          <w:sz w:val="24"/>
          <w:highlight w:val="none"/>
        </w:rPr>
        <w:t xml:space="preserve"> </w:t>
      </w:r>
    </w:p>
    <w:p w14:paraId="75547EF3">
      <w:pPr>
        <w:wordWrap w:val="0"/>
        <w:snapToGrid w:val="0"/>
        <w:spacing w:line="360" w:lineRule="auto"/>
        <w:ind w:firstLine="540" w:firstLineChars="225"/>
        <w:rPr>
          <w:rFonts w:ascii="宋体" w:hAnsi="宋体" w:cs="宋体"/>
          <w:bCs/>
          <w:color w:val="auto"/>
          <w:sz w:val="24"/>
          <w:szCs w:val="20"/>
          <w:highlight w:val="none"/>
        </w:rPr>
      </w:pPr>
      <w:r>
        <w:rPr>
          <w:rFonts w:hint="eastAsia" w:ascii="宋体" w:hAnsi="宋体" w:cs="宋体"/>
          <w:bCs/>
          <w:color w:val="auto"/>
          <w:sz w:val="24"/>
          <w:highlight w:val="none"/>
        </w:rPr>
        <w:t xml:space="preserve"> </w:t>
      </w:r>
    </w:p>
    <w:p w14:paraId="45C54B5E">
      <w:pPr>
        <w:wordWrap w:val="0"/>
        <w:snapToGrid w:val="0"/>
        <w:spacing w:line="360" w:lineRule="auto"/>
        <w:ind w:firstLine="540" w:firstLineChars="225"/>
        <w:rPr>
          <w:rFonts w:ascii="宋体" w:hAnsi="宋体" w:cs="宋体"/>
          <w:bCs/>
          <w:color w:val="auto"/>
          <w:sz w:val="24"/>
          <w:highlight w:val="none"/>
        </w:rPr>
      </w:pPr>
      <w:r>
        <w:rPr>
          <w:rFonts w:hint="eastAsia" w:ascii="宋体" w:hAnsi="宋体" w:cs="宋体"/>
          <w:bCs/>
          <w:color w:val="auto"/>
          <w:sz w:val="24"/>
          <w:highlight w:val="none"/>
        </w:rPr>
        <w:t>所投分标：</w:t>
      </w:r>
    </w:p>
    <w:p w14:paraId="67ADA4FD">
      <w:pPr>
        <w:wordWrap w:val="0"/>
        <w:snapToGrid w:val="0"/>
        <w:spacing w:line="360" w:lineRule="auto"/>
        <w:ind w:firstLine="540" w:firstLineChars="225"/>
        <w:rPr>
          <w:rFonts w:ascii="宋体" w:hAnsi="宋体" w:cs="宋体"/>
          <w:bCs/>
          <w:color w:val="auto"/>
          <w:sz w:val="24"/>
          <w:szCs w:val="20"/>
          <w:highlight w:val="none"/>
        </w:rPr>
      </w:pPr>
    </w:p>
    <w:p w14:paraId="3DFE4826">
      <w:pPr>
        <w:pStyle w:val="7"/>
        <w:wordWrap w:val="0"/>
        <w:snapToGrid w:val="0"/>
        <w:spacing w:line="360" w:lineRule="auto"/>
        <w:ind w:firstLine="540" w:firstLineChars="225"/>
        <w:rPr>
          <w:rFonts w:ascii="宋体" w:hAnsi="宋体" w:cs="宋体"/>
          <w:bCs/>
          <w:color w:val="auto"/>
          <w:sz w:val="24"/>
          <w:szCs w:val="24"/>
          <w:highlight w:val="none"/>
        </w:rPr>
      </w:pPr>
      <w:r>
        <w:rPr>
          <w:rFonts w:hint="eastAsia" w:ascii="宋体" w:hAnsi="宋体" w:cs="宋体"/>
          <w:bCs/>
          <w:color w:val="auto"/>
          <w:sz w:val="24"/>
          <w:szCs w:val="24"/>
          <w:highlight w:val="none"/>
        </w:rPr>
        <w:t>投标人名称：</w:t>
      </w:r>
    </w:p>
    <w:p w14:paraId="1861B11D">
      <w:pPr>
        <w:pStyle w:val="7"/>
        <w:wordWrap w:val="0"/>
        <w:snapToGrid w:val="0"/>
        <w:spacing w:line="360" w:lineRule="auto"/>
        <w:ind w:firstLine="540" w:firstLineChars="225"/>
        <w:rPr>
          <w:rFonts w:ascii="宋体" w:hAnsi="宋体" w:cs="宋体"/>
          <w:bCs/>
          <w:color w:val="auto"/>
          <w:sz w:val="24"/>
          <w:szCs w:val="24"/>
          <w:highlight w:val="none"/>
        </w:rPr>
      </w:pPr>
    </w:p>
    <w:p w14:paraId="113089C0">
      <w:pPr>
        <w:pStyle w:val="7"/>
        <w:wordWrap w:val="0"/>
        <w:snapToGrid w:val="0"/>
        <w:spacing w:line="360" w:lineRule="auto"/>
        <w:ind w:firstLine="540" w:firstLineChars="225"/>
        <w:rPr>
          <w:rFonts w:ascii="宋体" w:hAnsi="宋体" w:cs="宋体"/>
          <w:bCs/>
          <w:color w:val="auto"/>
          <w:sz w:val="24"/>
          <w:szCs w:val="24"/>
          <w:highlight w:val="none"/>
        </w:rPr>
      </w:pPr>
      <w:r>
        <w:rPr>
          <w:rFonts w:hint="eastAsia" w:ascii="宋体" w:hAnsi="宋体" w:cs="宋体"/>
          <w:bCs/>
          <w:color w:val="auto"/>
          <w:sz w:val="24"/>
          <w:szCs w:val="24"/>
          <w:highlight w:val="none"/>
        </w:rPr>
        <w:t>投标人地址：</w:t>
      </w:r>
    </w:p>
    <w:p w14:paraId="10B790CD">
      <w:pPr>
        <w:pStyle w:val="7"/>
        <w:wordWrap w:val="0"/>
        <w:snapToGrid w:val="0"/>
        <w:spacing w:line="360" w:lineRule="auto"/>
        <w:ind w:firstLine="960" w:firstLineChars="400"/>
        <w:rPr>
          <w:rFonts w:ascii="宋体" w:hAnsi="宋体" w:cs="宋体"/>
          <w:bCs/>
          <w:color w:val="auto"/>
          <w:sz w:val="24"/>
          <w:szCs w:val="24"/>
          <w:highlight w:val="none"/>
        </w:rPr>
      </w:pPr>
    </w:p>
    <w:p w14:paraId="67A5570F">
      <w:pPr>
        <w:wordWrap w:val="0"/>
        <w:snapToGrid w:val="0"/>
        <w:spacing w:line="360" w:lineRule="auto"/>
        <w:ind w:firstLine="645"/>
        <w:rPr>
          <w:rFonts w:ascii="宋体" w:hAnsi="宋体" w:cs="宋体"/>
          <w:color w:val="auto"/>
          <w:sz w:val="24"/>
          <w:highlight w:val="none"/>
        </w:rPr>
      </w:pPr>
      <w:r>
        <w:rPr>
          <w:rFonts w:hint="eastAsia" w:ascii="宋体" w:hAnsi="宋体" w:cs="宋体"/>
          <w:color w:val="auto"/>
          <w:sz w:val="24"/>
          <w:highlight w:val="none"/>
        </w:rPr>
        <w:t xml:space="preserve">                        年  月  日</w:t>
      </w:r>
    </w:p>
    <w:p w14:paraId="4EA3AEC5">
      <w:pPr>
        <w:wordWrap w:val="0"/>
        <w:snapToGrid w:val="0"/>
        <w:spacing w:line="360" w:lineRule="auto"/>
        <w:rPr>
          <w:rFonts w:ascii="宋体" w:hAnsi="宋体" w:cs="宋体"/>
          <w:color w:val="auto"/>
          <w:sz w:val="24"/>
          <w:szCs w:val="20"/>
          <w:highlight w:val="none"/>
        </w:rPr>
      </w:pPr>
      <w:r>
        <w:rPr>
          <w:rFonts w:hint="eastAsia" w:ascii="宋体" w:hAnsi="宋体" w:cs="宋体"/>
          <w:color w:val="auto"/>
          <w:sz w:val="24"/>
          <w:szCs w:val="20"/>
          <w:highlight w:val="none"/>
        </w:rPr>
        <w:t xml:space="preserve"> </w:t>
      </w:r>
    </w:p>
    <w:p w14:paraId="79A7F203">
      <w:pPr>
        <w:wordWrap w:val="0"/>
        <w:spacing w:line="360" w:lineRule="auto"/>
        <w:ind w:right="420"/>
        <w:rPr>
          <w:rFonts w:ascii="宋体" w:hAnsi="宋体" w:cs="宋体"/>
          <w:color w:val="auto"/>
          <w:sz w:val="24"/>
          <w:szCs w:val="20"/>
          <w:highlight w:val="none"/>
        </w:rPr>
      </w:pPr>
    </w:p>
    <w:p w14:paraId="1F0BB5FC">
      <w:pPr>
        <w:wordWrap w:val="0"/>
        <w:spacing w:line="360" w:lineRule="auto"/>
        <w:ind w:right="420"/>
        <w:rPr>
          <w:rFonts w:ascii="宋体" w:hAnsi="宋体" w:cs="宋体"/>
          <w:color w:val="auto"/>
          <w:sz w:val="24"/>
          <w:szCs w:val="20"/>
          <w:highlight w:val="none"/>
        </w:rPr>
      </w:pPr>
    </w:p>
    <w:p w14:paraId="2953D5B2">
      <w:pPr>
        <w:wordWrap w:val="0"/>
        <w:spacing w:line="360" w:lineRule="auto"/>
        <w:ind w:right="420"/>
        <w:rPr>
          <w:rFonts w:ascii="宋体" w:hAnsi="宋体" w:cs="宋体"/>
          <w:color w:val="auto"/>
          <w:sz w:val="24"/>
          <w:szCs w:val="20"/>
          <w:highlight w:val="none"/>
        </w:rPr>
      </w:pPr>
    </w:p>
    <w:p w14:paraId="53EAE7F4">
      <w:pPr>
        <w:wordWrap w:val="0"/>
        <w:spacing w:line="360" w:lineRule="auto"/>
        <w:ind w:right="420"/>
        <w:rPr>
          <w:rFonts w:ascii="宋体" w:hAnsi="宋体" w:cs="宋体"/>
          <w:color w:val="auto"/>
          <w:sz w:val="24"/>
          <w:szCs w:val="20"/>
          <w:highlight w:val="none"/>
        </w:rPr>
      </w:pPr>
    </w:p>
    <w:p w14:paraId="217E47A7">
      <w:pPr>
        <w:wordWrap w:val="0"/>
        <w:spacing w:line="360" w:lineRule="auto"/>
        <w:ind w:right="420"/>
        <w:rPr>
          <w:rFonts w:ascii="宋体" w:hAnsi="宋体" w:cs="宋体"/>
          <w:color w:val="auto"/>
          <w:sz w:val="24"/>
          <w:szCs w:val="20"/>
          <w:highlight w:val="none"/>
        </w:rPr>
      </w:pPr>
    </w:p>
    <w:p w14:paraId="63195CD2">
      <w:pPr>
        <w:wordWrap w:val="0"/>
        <w:spacing w:line="360" w:lineRule="auto"/>
        <w:ind w:right="420"/>
        <w:rPr>
          <w:rFonts w:ascii="宋体" w:hAnsi="宋体" w:cs="宋体"/>
          <w:color w:val="auto"/>
          <w:sz w:val="24"/>
          <w:szCs w:val="20"/>
          <w:highlight w:val="none"/>
        </w:rPr>
      </w:pPr>
    </w:p>
    <w:p w14:paraId="70B94796">
      <w:pPr>
        <w:wordWrap w:val="0"/>
        <w:spacing w:line="360" w:lineRule="auto"/>
        <w:ind w:right="420"/>
        <w:rPr>
          <w:rFonts w:ascii="宋体" w:hAnsi="宋体" w:cs="宋体"/>
          <w:color w:val="auto"/>
          <w:sz w:val="24"/>
          <w:szCs w:val="20"/>
          <w:highlight w:val="none"/>
        </w:rPr>
      </w:pPr>
    </w:p>
    <w:p w14:paraId="33DD2C16">
      <w:pPr>
        <w:wordWrap w:val="0"/>
        <w:spacing w:line="360" w:lineRule="auto"/>
        <w:ind w:right="420"/>
        <w:rPr>
          <w:rFonts w:ascii="宋体" w:hAnsi="宋体" w:cs="宋体"/>
          <w:color w:val="auto"/>
          <w:sz w:val="24"/>
          <w:szCs w:val="20"/>
          <w:highlight w:val="none"/>
        </w:rPr>
      </w:pPr>
    </w:p>
    <w:p w14:paraId="0FA17056">
      <w:pPr>
        <w:wordWrap w:val="0"/>
        <w:spacing w:line="360" w:lineRule="auto"/>
        <w:ind w:right="420"/>
        <w:rPr>
          <w:rFonts w:ascii="宋体" w:hAnsi="宋体" w:cs="宋体"/>
          <w:color w:val="auto"/>
          <w:sz w:val="24"/>
          <w:szCs w:val="20"/>
          <w:highlight w:val="none"/>
        </w:rPr>
      </w:pPr>
    </w:p>
    <w:p w14:paraId="68AD58BD">
      <w:pPr>
        <w:wordWrap w:val="0"/>
        <w:spacing w:line="360" w:lineRule="auto"/>
        <w:ind w:right="42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 xml:space="preserve"> </w:t>
      </w:r>
    </w:p>
    <w:p w14:paraId="1B9CC98D">
      <w:pPr>
        <w:wordWrap w:val="0"/>
        <w:spacing w:line="360" w:lineRule="auto"/>
        <w:rPr>
          <w:rFonts w:ascii="宋体" w:hAnsi="宋体" w:cs="宋体"/>
          <w:b/>
          <w:color w:val="auto"/>
          <w:kern w:val="0"/>
          <w:sz w:val="24"/>
          <w:highlight w:val="none"/>
        </w:rPr>
      </w:pPr>
    </w:p>
    <w:p w14:paraId="2B92A321">
      <w:pPr>
        <w:wordWrap w:val="0"/>
        <w:spacing w:line="360" w:lineRule="auto"/>
        <w:jc w:val="center"/>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商务文件目录</w:t>
      </w:r>
    </w:p>
    <w:p w14:paraId="44C5BBEA">
      <w:pPr>
        <w:pStyle w:val="34"/>
        <w:wordWrap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一、无串通投标行为的承诺函……………………………………………………………（页码）</w:t>
      </w:r>
    </w:p>
    <w:p w14:paraId="303A19F8">
      <w:pPr>
        <w:pStyle w:val="34"/>
        <w:wordWrap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二、法定代表人身份证明及法定代表人有效身份证正反面复印件…………………（页码）</w:t>
      </w:r>
    </w:p>
    <w:p w14:paraId="7F4865A7">
      <w:pPr>
        <w:pStyle w:val="34"/>
        <w:wordWrap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三、法定代表人授权委托书及委托代理人有效身份证正反面复印件（如有委托时）……………………………………………………………………………………………（页码）</w:t>
      </w:r>
    </w:p>
    <w:p w14:paraId="225FC58D">
      <w:pPr>
        <w:pStyle w:val="34"/>
        <w:wordWrap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四、</w:t>
      </w:r>
      <w:r>
        <w:rPr>
          <w:rFonts w:hint="eastAsia" w:ascii="宋体" w:hAnsi="宋体" w:eastAsia="宋体" w:cs="宋体"/>
          <w:color w:val="auto"/>
          <w:highlight w:val="none"/>
          <w:lang w:val="zh-CN"/>
        </w:rPr>
        <w:t>商务条款偏离表………………………………</w:t>
      </w:r>
      <w:r>
        <w:rPr>
          <w:rFonts w:hint="eastAsia" w:ascii="宋体" w:hAnsi="宋体" w:eastAsia="宋体" w:cs="宋体"/>
          <w:color w:val="auto"/>
          <w:highlight w:val="none"/>
        </w:rPr>
        <w:t>……………………………………（页码）</w:t>
      </w:r>
    </w:p>
    <w:p w14:paraId="7AF05BC4">
      <w:pPr>
        <w:pStyle w:val="34"/>
        <w:wordWrap w:val="0"/>
        <w:spacing w:line="360" w:lineRule="auto"/>
        <w:rPr>
          <w:rFonts w:hint="eastAsia" w:ascii="宋体" w:hAnsi="宋体" w:eastAsia="宋体" w:cs="宋体"/>
          <w:color w:val="auto"/>
          <w:highlight w:val="none"/>
        </w:rPr>
      </w:pPr>
      <w:bookmarkStart w:id="283" w:name="OLE_LINK6"/>
      <w:bookmarkStart w:id="284" w:name="OLE_LINK7"/>
      <w:bookmarkStart w:id="285" w:name="OLE_LINK5"/>
      <w:r>
        <w:rPr>
          <w:rFonts w:hint="eastAsia" w:ascii="宋体" w:hAnsi="宋体" w:eastAsia="宋体" w:cs="宋体"/>
          <w:color w:val="auto"/>
          <w:highlight w:val="none"/>
        </w:rPr>
        <w:t>五、投标人情况介绍</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0CD658D9">
      <w:pPr>
        <w:pStyle w:val="34"/>
        <w:wordWrap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六、投标人类似业绩的证明文件（如有要求）</w:t>
      </w:r>
      <w:r>
        <w:rPr>
          <w:rFonts w:hint="eastAsia" w:ascii="宋体" w:hAnsi="宋体" w:eastAsia="宋体" w:cs="宋体"/>
          <w:color w:val="auto"/>
          <w:highlight w:val="none"/>
          <w:lang w:val="zh-CN"/>
        </w:rPr>
        <w:t>………</w:t>
      </w:r>
      <w:r>
        <w:rPr>
          <w:rFonts w:hint="eastAsia" w:ascii="宋体" w:hAnsi="宋体" w:eastAsia="宋体" w:cs="宋体"/>
          <w:color w:val="auto"/>
          <w:highlight w:val="none"/>
        </w:rPr>
        <w:t>………</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bookmarkEnd w:id="283"/>
      <w:bookmarkEnd w:id="284"/>
    </w:p>
    <w:p w14:paraId="62562A52">
      <w:pPr>
        <w:pStyle w:val="34"/>
        <w:wordWrap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七、除招标文件规定必须提供以外，投标人认为需要提供的其他证明材料。</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bookmarkEnd w:id="285"/>
    <w:p w14:paraId="72CDCBDB">
      <w:pPr>
        <w:wordWrap w:val="0"/>
        <w:spacing w:line="360" w:lineRule="auto"/>
        <w:rPr>
          <w:rFonts w:ascii="宋体" w:hAnsi="宋体" w:cs="宋体"/>
          <w:b/>
          <w:bCs/>
          <w:color w:val="auto"/>
          <w:sz w:val="24"/>
          <w:highlight w:val="none"/>
        </w:rPr>
      </w:pPr>
      <w:r>
        <w:rPr>
          <w:rFonts w:hint="eastAsia" w:ascii="宋体" w:hAnsi="宋体" w:cs="宋体"/>
          <w:b/>
          <w:bCs/>
          <w:color w:val="auto"/>
          <w:sz w:val="24"/>
          <w:highlight w:val="none"/>
        </w:rPr>
        <w:t>注：以上目录是基本格式要求，各投标人可根据自身情况进一步向下增加内容或细化。</w:t>
      </w:r>
    </w:p>
    <w:p w14:paraId="691AA94A">
      <w:pPr>
        <w:rPr>
          <w:rFonts w:ascii="宋体" w:hAnsi="宋体" w:cs="宋体"/>
          <w:b/>
          <w:bCs/>
          <w:color w:val="auto"/>
          <w:sz w:val="30"/>
          <w:szCs w:val="30"/>
          <w:highlight w:val="none"/>
        </w:rPr>
      </w:pPr>
      <w:r>
        <w:rPr>
          <w:rFonts w:hint="eastAsia" w:ascii="宋体" w:hAnsi="宋体" w:cs="宋体"/>
          <w:b/>
          <w:bCs/>
          <w:color w:val="auto"/>
          <w:sz w:val="30"/>
          <w:szCs w:val="30"/>
          <w:highlight w:val="none"/>
        </w:rPr>
        <w:br w:type="page"/>
      </w:r>
    </w:p>
    <w:p w14:paraId="6B1486FC">
      <w:pPr>
        <w:wordWrap w:val="0"/>
        <w:snapToGrid w:val="0"/>
        <w:spacing w:line="360" w:lineRule="auto"/>
        <w:ind w:left="420"/>
        <w:jc w:val="center"/>
        <w:rPr>
          <w:rFonts w:ascii="宋体" w:hAnsi="宋体" w:cs="宋体"/>
          <w:b/>
          <w:bCs/>
          <w:color w:val="auto"/>
          <w:sz w:val="30"/>
          <w:szCs w:val="30"/>
          <w:highlight w:val="none"/>
        </w:rPr>
      </w:pPr>
      <w:r>
        <w:rPr>
          <w:rFonts w:hint="eastAsia" w:ascii="宋体" w:hAnsi="宋体" w:cs="宋体"/>
          <w:b/>
          <w:bCs/>
          <w:color w:val="auto"/>
          <w:sz w:val="30"/>
          <w:szCs w:val="30"/>
          <w:highlight w:val="none"/>
        </w:rPr>
        <w:t>一、无串通投标行为的承诺函</w:t>
      </w:r>
    </w:p>
    <w:p w14:paraId="54F587CD">
      <w:pPr>
        <w:wordWrap w:val="0"/>
        <w:snapToGrid w:val="0"/>
        <w:spacing w:line="360" w:lineRule="auto"/>
        <w:ind w:left="420"/>
        <w:jc w:val="center"/>
        <w:rPr>
          <w:rFonts w:ascii="宋体" w:hAnsi="宋体" w:cs="宋体"/>
          <w:b/>
          <w:color w:val="auto"/>
          <w:sz w:val="32"/>
          <w:szCs w:val="32"/>
          <w:highlight w:val="none"/>
        </w:rPr>
      </w:pPr>
      <w:r>
        <w:rPr>
          <w:rFonts w:hint="eastAsia" w:ascii="宋体" w:hAnsi="宋体" w:cs="宋体"/>
          <w:b/>
          <w:color w:val="auto"/>
          <w:sz w:val="32"/>
          <w:szCs w:val="32"/>
          <w:highlight w:val="none"/>
        </w:rPr>
        <w:t>投标人参加本项目无串通投标行为的承诺函</w:t>
      </w:r>
    </w:p>
    <w:p w14:paraId="020D9769">
      <w:pPr>
        <w:wordWrap w:val="0"/>
        <w:snapToGrid w:val="0"/>
        <w:spacing w:line="360" w:lineRule="auto"/>
        <w:rPr>
          <w:rFonts w:ascii="宋体" w:hAnsi="宋体" w:cs="宋体"/>
          <w:b/>
          <w:color w:val="auto"/>
          <w:szCs w:val="21"/>
          <w:highlight w:val="none"/>
        </w:rPr>
      </w:pPr>
    </w:p>
    <w:p w14:paraId="1657DCF2">
      <w:pPr>
        <w:wordWrap w:val="0"/>
        <w:snapToGrid w:val="0"/>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一、我方承诺无下列相互串通投标的情形：</w:t>
      </w:r>
    </w:p>
    <w:p w14:paraId="2BFB5922">
      <w:pPr>
        <w:wordWrap w:val="0"/>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1.不同投标人的投标文件由同一单位或者个人编制；或者不同投标人报名的IP地址一致的；或者编制标书硬件设备CPU编号、硬盘编号、网卡地址一致的情况。</w:t>
      </w:r>
    </w:p>
    <w:p w14:paraId="0C752D77">
      <w:pPr>
        <w:wordWrap w:val="0"/>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2.不同投标人委托同一单位或者个人办理投标事宜；</w:t>
      </w:r>
    </w:p>
    <w:p w14:paraId="62DD1095">
      <w:pPr>
        <w:wordWrap w:val="0"/>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3.不同的投标人的投标文件载明的项目管理员为同一个人；</w:t>
      </w:r>
    </w:p>
    <w:p w14:paraId="45A997B5">
      <w:pPr>
        <w:wordWrap w:val="0"/>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4.不同投标人的投标文件异常一致或者投标报价呈规律性差异；</w:t>
      </w:r>
    </w:p>
    <w:p w14:paraId="2DD52BCF">
      <w:pPr>
        <w:wordWrap w:val="0"/>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5.不同投标人的投标文件相互混装；</w:t>
      </w:r>
    </w:p>
    <w:p w14:paraId="728FFF13">
      <w:pPr>
        <w:wordWrap w:val="0"/>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6.不同投标人的投标保证金从同一单位或者个人账户转出。</w:t>
      </w:r>
    </w:p>
    <w:p w14:paraId="1A94C210">
      <w:pPr>
        <w:wordWrap w:val="0"/>
        <w:snapToGrid w:val="0"/>
        <w:spacing w:line="360" w:lineRule="auto"/>
        <w:jc w:val="left"/>
        <w:rPr>
          <w:rFonts w:ascii="宋体" w:hAnsi="宋体" w:cs="宋体"/>
          <w:color w:val="auto"/>
          <w:szCs w:val="21"/>
          <w:highlight w:val="none"/>
        </w:rPr>
      </w:pPr>
      <w:r>
        <w:rPr>
          <w:rFonts w:hint="eastAsia" w:ascii="宋体" w:hAnsi="宋体" w:cs="宋体"/>
          <w:b/>
          <w:color w:val="auto"/>
          <w:szCs w:val="21"/>
          <w:highlight w:val="none"/>
        </w:rPr>
        <w:t>二、我方承诺无下列恶意串通的情形：</w:t>
      </w:r>
    </w:p>
    <w:p w14:paraId="082EEC6F">
      <w:pPr>
        <w:wordWrap w:val="0"/>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1.投标人直接或者间接从采购人或者采购代理机构处获得其他投标人的相关信息并修改其投标文件或者投标文件；</w:t>
      </w:r>
    </w:p>
    <w:p w14:paraId="1BB90EAA">
      <w:pPr>
        <w:wordWrap w:val="0"/>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2.投标人按照采购人或者采购代理机构的授意撤换、修改投标文件或者投标文件；</w:t>
      </w:r>
    </w:p>
    <w:p w14:paraId="22DFFFF5">
      <w:pPr>
        <w:wordWrap w:val="0"/>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3.投标人之间协商报价、技术方案等投标文件或者投标文件的实质性内容；</w:t>
      </w:r>
    </w:p>
    <w:p w14:paraId="47E07F3A">
      <w:pPr>
        <w:wordWrap w:val="0"/>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4.属于同一集团、协会、商会等组织成员的投标人按照该组织要求协同参加政府采购活动；</w:t>
      </w:r>
    </w:p>
    <w:p w14:paraId="1E1D3FFE">
      <w:pPr>
        <w:wordWrap w:val="0"/>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5.投标人之间事先约定一致抬高或者压低投标报价，或者在招标项目中事先约定轮流以高价位或者低价位中标，或者事先约定由某一特定投标人中标，然后再参加投标；</w:t>
      </w:r>
    </w:p>
    <w:p w14:paraId="681EDA41">
      <w:pPr>
        <w:wordWrap w:val="0"/>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6.投标人之间商定部分投标人放弃参加政府采购活动或者放弃中标；</w:t>
      </w:r>
    </w:p>
    <w:p w14:paraId="7441477B">
      <w:pPr>
        <w:wordWrap w:val="0"/>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7.投标人与采购人或者采购代理机构之间、投标人相互之间，为谋求特定投标人中标或者排斥其他投标人的其他串通行为。</w:t>
      </w:r>
    </w:p>
    <w:p w14:paraId="5D54D5D1">
      <w:pPr>
        <w:wordWrap w:val="0"/>
        <w:snapToGrid w:val="0"/>
        <w:spacing w:line="360" w:lineRule="auto"/>
        <w:ind w:firstLine="413" w:firstLineChars="196"/>
        <w:jc w:val="left"/>
        <w:rPr>
          <w:rFonts w:ascii="宋体" w:hAnsi="宋体" w:cs="宋体"/>
          <w:b/>
          <w:color w:val="auto"/>
          <w:szCs w:val="21"/>
          <w:highlight w:val="none"/>
        </w:rPr>
      </w:pPr>
      <w:r>
        <w:rPr>
          <w:rFonts w:hint="eastAsia" w:ascii="宋体" w:hAnsi="宋体" w:cs="宋体"/>
          <w:b/>
          <w:color w:val="auto"/>
          <w:szCs w:val="21"/>
          <w:highlight w:val="none"/>
        </w:rPr>
        <w:t>以上情形一经核查属实，我方愿意承担一切后果，接受政府采购监管部门对我方认定存在围标串标行为，并不再寻求任何旨在减轻或者免除法律责任的辩解。</w:t>
      </w:r>
    </w:p>
    <w:p w14:paraId="1758FA0A">
      <w:pPr>
        <w:wordWrap w:val="0"/>
        <w:snapToGrid w:val="0"/>
        <w:spacing w:line="360" w:lineRule="auto"/>
        <w:ind w:firstLine="4935" w:firstLineChars="2350"/>
        <w:rPr>
          <w:rFonts w:ascii="宋体" w:hAnsi="宋体" w:cs="宋体"/>
          <w:color w:val="auto"/>
          <w:kern w:val="0"/>
          <w:sz w:val="24"/>
          <w:highlight w:val="none"/>
        </w:rPr>
      </w:pPr>
      <w:r>
        <w:rPr>
          <w:rFonts w:hint="eastAsia" w:ascii="宋体" w:hAnsi="宋体" w:cs="宋体"/>
          <w:color w:val="auto"/>
          <w:szCs w:val="21"/>
          <w:highlight w:val="none"/>
        </w:rPr>
        <w:t xml:space="preserve">  </w:t>
      </w:r>
      <w:r>
        <w:rPr>
          <w:rFonts w:hint="eastAsia" w:ascii="宋体" w:hAnsi="宋体" w:cs="宋体"/>
          <w:color w:val="auto"/>
          <w:kern w:val="0"/>
          <w:sz w:val="24"/>
          <w:highlight w:val="none"/>
          <w:lang w:val="zh-CN"/>
        </w:rPr>
        <w:t>投标人名称(电子签章)：</w:t>
      </w:r>
    </w:p>
    <w:p w14:paraId="73B623DB">
      <w:pPr>
        <w:wordWrap w:val="0"/>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2342DF1C">
      <w:pPr>
        <w:pStyle w:val="12"/>
        <w:wordWrap w:val="0"/>
        <w:snapToGrid w:val="0"/>
        <w:spacing w:line="360" w:lineRule="auto"/>
        <w:jc w:val="center"/>
        <w:rPr>
          <w:rFonts w:hAnsi="宋体" w:cs="宋体"/>
          <w:b/>
          <w:color w:val="auto"/>
          <w:sz w:val="24"/>
          <w:highlight w:val="none"/>
        </w:rPr>
      </w:pPr>
      <w:r>
        <w:rPr>
          <w:rFonts w:hint="eastAsia" w:hAnsi="宋体" w:cs="宋体"/>
          <w:b/>
          <w:color w:val="auto"/>
          <w:sz w:val="24"/>
          <w:highlight w:val="none"/>
        </w:rPr>
        <w:br w:type="page"/>
      </w:r>
      <w:r>
        <w:rPr>
          <w:rFonts w:hint="eastAsia" w:hAnsi="宋体" w:cs="宋体"/>
          <w:b/>
          <w:bCs/>
          <w:color w:val="auto"/>
          <w:sz w:val="30"/>
          <w:szCs w:val="30"/>
          <w:highlight w:val="none"/>
        </w:rPr>
        <w:t>二、法定代表人身份证明及法定代表人有效身份证正反面复印件</w:t>
      </w:r>
    </w:p>
    <w:p w14:paraId="2679DE48">
      <w:pPr>
        <w:wordWrap w:val="0"/>
        <w:spacing w:line="360" w:lineRule="auto"/>
        <w:ind w:left="540"/>
        <w:jc w:val="center"/>
        <w:rPr>
          <w:rFonts w:ascii="宋体" w:hAnsi="宋体" w:cs="宋体"/>
          <w:b/>
          <w:color w:val="auto"/>
          <w:sz w:val="32"/>
          <w:szCs w:val="32"/>
          <w:highlight w:val="none"/>
        </w:rPr>
      </w:pPr>
    </w:p>
    <w:p w14:paraId="773295A5">
      <w:pPr>
        <w:wordWrap w:val="0"/>
        <w:spacing w:line="360" w:lineRule="auto"/>
        <w:ind w:left="540"/>
        <w:jc w:val="center"/>
        <w:rPr>
          <w:rFonts w:ascii="宋体" w:hAnsi="宋体" w:cs="宋体"/>
          <w:color w:val="auto"/>
          <w:sz w:val="32"/>
          <w:szCs w:val="32"/>
          <w:highlight w:val="none"/>
        </w:rPr>
      </w:pPr>
      <w:r>
        <w:rPr>
          <w:rFonts w:hint="eastAsia" w:ascii="宋体" w:hAnsi="宋体" w:cs="宋体"/>
          <w:b/>
          <w:color w:val="auto"/>
          <w:sz w:val="32"/>
          <w:szCs w:val="32"/>
          <w:highlight w:val="none"/>
        </w:rPr>
        <w:t>法定代表人身份证明</w:t>
      </w:r>
    </w:p>
    <w:p w14:paraId="10E7AE0A">
      <w:pPr>
        <w:wordWrap w:val="0"/>
        <w:spacing w:line="360" w:lineRule="auto"/>
        <w:ind w:left="540"/>
        <w:rPr>
          <w:rFonts w:ascii="宋体" w:hAnsi="宋体" w:cs="宋体"/>
          <w:color w:val="auto"/>
          <w:sz w:val="24"/>
          <w:highlight w:val="none"/>
        </w:rPr>
      </w:pPr>
      <w:r>
        <w:rPr>
          <w:rFonts w:hint="eastAsia" w:ascii="宋体" w:hAnsi="宋体" w:cs="宋体"/>
          <w:color w:val="auto"/>
          <w:sz w:val="24"/>
          <w:highlight w:val="none"/>
        </w:rPr>
        <w:t>投 标 人：</w:t>
      </w:r>
      <w:r>
        <w:rPr>
          <w:rFonts w:hint="eastAsia" w:ascii="宋体" w:hAnsi="宋体" w:cs="宋体"/>
          <w:color w:val="auto"/>
          <w:sz w:val="24"/>
          <w:highlight w:val="none"/>
          <w:u w:val="single"/>
        </w:rPr>
        <w:t xml:space="preserve">                                                        </w:t>
      </w:r>
    </w:p>
    <w:p w14:paraId="67255618">
      <w:pPr>
        <w:wordWrap w:val="0"/>
        <w:spacing w:line="360" w:lineRule="auto"/>
        <w:ind w:left="540"/>
        <w:rPr>
          <w:rFonts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p>
    <w:p w14:paraId="0FD00E11">
      <w:pPr>
        <w:wordWrap w:val="0"/>
        <w:spacing w:line="360" w:lineRule="auto"/>
        <w:ind w:left="540"/>
        <w:rPr>
          <w:rFonts w:ascii="宋体" w:hAnsi="宋体" w:cs="宋体"/>
          <w:color w:val="auto"/>
          <w:sz w:val="24"/>
          <w:highlight w:val="none"/>
        </w:rPr>
      </w:pPr>
      <w:r>
        <w:rPr>
          <w:rFonts w:hint="eastAsia" w:ascii="宋体" w:hAnsi="宋体" w:cs="宋体"/>
          <w:color w:val="auto"/>
          <w:sz w:val="24"/>
          <w:highlight w:val="none"/>
        </w:rPr>
        <w:t>姓    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性      别：</w:t>
      </w:r>
      <w:r>
        <w:rPr>
          <w:rFonts w:hint="eastAsia" w:ascii="宋体" w:hAnsi="宋体" w:cs="宋体"/>
          <w:color w:val="auto"/>
          <w:sz w:val="24"/>
          <w:highlight w:val="none"/>
          <w:u w:val="single"/>
        </w:rPr>
        <w:t xml:space="preserve">                </w:t>
      </w:r>
    </w:p>
    <w:p w14:paraId="47BA462D">
      <w:pPr>
        <w:wordWrap w:val="0"/>
        <w:spacing w:line="360" w:lineRule="auto"/>
        <w:ind w:left="540"/>
        <w:rPr>
          <w:rFonts w:ascii="宋体" w:hAnsi="宋体" w:cs="宋体"/>
          <w:color w:val="auto"/>
          <w:sz w:val="24"/>
          <w:highlight w:val="none"/>
          <w:u w:val="single"/>
        </w:rPr>
      </w:pPr>
      <w:r>
        <w:rPr>
          <w:rFonts w:hint="eastAsia" w:ascii="宋体" w:hAnsi="宋体" w:cs="宋体"/>
          <w:color w:val="auto"/>
          <w:sz w:val="24"/>
          <w:highlight w:val="none"/>
        </w:rPr>
        <w:t>年    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      务：</w:t>
      </w:r>
      <w:r>
        <w:rPr>
          <w:rFonts w:hint="eastAsia" w:ascii="宋体" w:hAnsi="宋体" w:cs="宋体"/>
          <w:color w:val="auto"/>
          <w:sz w:val="24"/>
          <w:highlight w:val="none"/>
          <w:u w:val="single"/>
        </w:rPr>
        <w:t xml:space="preserve">                </w:t>
      </w:r>
    </w:p>
    <w:p w14:paraId="2D51C74B">
      <w:pPr>
        <w:wordWrap w:val="0"/>
        <w:spacing w:line="360" w:lineRule="auto"/>
        <w:ind w:left="540"/>
        <w:rPr>
          <w:rFonts w:ascii="宋体" w:hAnsi="宋体" w:cs="宋体"/>
          <w:color w:val="auto"/>
          <w:sz w:val="24"/>
          <w:highlight w:val="non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rPr>
        <w:t xml:space="preserve">                                 </w:t>
      </w:r>
    </w:p>
    <w:p w14:paraId="0E912F67">
      <w:pPr>
        <w:wordWrap w:val="0"/>
        <w:spacing w:line="360" w:lineRule="auto"/>
        <w:ind w:left="540"/>
        <w:rPr>
          <w:rFonts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（投标人名称）              </w:t>
      </w:r>
      <w:r>
        <w:rPr>
          <w:rFonts w:hint="eastAsia" w:ascii="宋体" w:hAnsi="宋体" w:cs="宋体"/>
          <w:color w:val="auto"/>
          <w:sz w:val="24"/>
          <w:highlight w:val="none"/>
        </w:rPr>
        <w:t>的法定代表人。</w:t>
      </w:r>
    </w:p>
    <w:p w14:paraId="51C8DC2D">
      <w:pPr>
        <w:wordWrap w:val="0"/>
        <w:spacing w:line="360" w:lineRule="auto"/>
        <w:ind w:left="540"/>
        <w:rPr>
          <w:rFonts w:ascii="宋体" w:hAnsi="宋体" w:cs="宋体"/>
          <w:color w:val="auto"/>
          <w:sz w:val="24"/>
          <w:highlight w:val="none"/>
        </w:rPr>
      </w:pPr>
      <w:r>
        <w:rPr>
          <w:rFonts w:hint="eastAsia" w:ascii="宋体" w:hAnsi="宋体" w:cs="宋体"/>
          <w:color w:val="auto"/>
          <w:sz w:val="24"/>
          <w:highlight w:val="none"/>
        </w:rPr>
        <w:t>特此证明。</w:t>
      </w:r>
    </w:p>
    <w:p w14:paraId="48BC8F1D">
      <w:pPr>
        <w:wordWrap w:val="0"/>
        <w:spacing w:line="360" w:lineRule="auto"/>
        <w:ind w:left="540"/>
        <w:rPr>
          <w:rFonts w:ascii="宋体" w:hAnsi="宋体" w:cs="宋体"/>
          <w:color w:val="auto"/>
          <w:sz w:val="24"/>
          <w:highlight w:val="none"/>
        </w:rPr>
      </w:pPr>
    </w:p>
    <w:p w14:paraId="048E2C10">
      <w:pPr>
        <w:wordWrap w:val="0"/>
        <w:spacing w:line="360" w:lineRule="auto"/>
        <w:ind w:left="540"/>
        <w:rPr>
          <w:rFonts w:ascii="宋体" w:hAnsi="宋体" w:cs="宋体"/>
          <w:color w:val="auto"/>
          <w:sz w:val="24"/>
          <w:highlight w:val="none"/>
        </w:rPr>
      </w:pPr>
    </w:p>
    <w:p w14:paraId="15F81DFB">
      <w:pPr>
        <w:wordWrap w:val="0"/>
        <w:spacing w:line="360" w:lineRule="auto"/>
        <w:ind w:left="540"/>
        <w:rPr>
          <w:rFonts w:ascii="宋体" w:hAnsi="宋体" w:cs="宋体"/>
          <w:color w:val="auto"/>
          <w:sz w:val="24"/>
          <w:highlight w:val="none"/>
        </w:rPr>
      </w:pPr>
      <w:r>
        <w:rPr>
          <w:rFonts w:hint="eastAsia" w:ascii="宋体" w:hAnsi="宋体" w:cs="宋体"/>
          <w:color w:val="auto"/>
          <w:sz w:val="24"/>
          <w:highlight w:val="none"/>
        </w:rPr>
        <w:t>附件：法定代表人有效身份证正反面复印件</w:t>
      </w:r>
    </w:p>
    <w:p w14:paraId="3323EBBB">
      <w:pPr>
        <w:wordWrap w:val="0"/>
        <w:spacing w:line="360" w:lineRule="auto"/>
        <w:ind w:left="540"/>
        <w:rPr>
          <w:rFonts w:ascii="宋体" w:hAnsi="宋体" w:cs="宋体"/>
          <w:color w:val="auto"/>
          <w:sz w:val="24"/>
          <w:highlight w:val="none"/>
        </w:rPr>
      </w:pPr>
    </w:p>
    <w:p w14:paraId="518C8462">
      <w:pPr>
        <w:wordWrap w:val="0"/>
        <w:snapToGrid w:val="0"/>
        <w:spacing w:line="360" w:lineRule="auto"/>
        <w:ind w:firstLine="4935" w:firstLineChars="2350"/>
        <w:rPr>
          <w:rFonts w:ascii="宋体" w:hAnsi="宋体" w:cs="宋体"/>
          <w:color w:val="auto"/>
          <w:kern w:val="0"/>
          <w:sz w:val="24"/>
          <w:highlight w:val="none"/>
        </w:rPr>
      </w:pPr>
      <w:r>
        <w:rPr>
          <w:rFonts w:hint="eastAsia" w:ascii="宋体" w:hAnsi="宋体" w:cs="宋体"/>
          <w:color w:val="auto"/>
          <w:szCs w:val="21"/>
          <w:highlight w:val="none"/>
        </w:rPr>
        <w:t xml:space="preserve">  </w:t>
      </w:r>
      <w:r>
        <w:rPr>
          <w:rFonts w:hint="eastAsia" w:ascii="宋体" w:hAnsi="宋体" w:cs="宋体"/>
          <w:color w:val="auto"/>
          <w:kern w:val="0"/>
          <w:sz w:val="24"/>
          <w:highlight w:val="none"/>
          <w:lang w:val="zh-CN"/>
        </w:rPr>
        <w:t>投标人名称(电子签章)：</w:t>
      </w:r>
    </w:p>
    <w:p w14:paraId="2BDD142D">
      <w:pPr>
        <w:wordWrap w:val="0"/>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44339A11">
      <w:pPr>
        <w:wordWrap w:val="0"/>
        <w:snapToGrid w:val="0"/>
        <w:spacing w:line="360" w:lineRule="auto"/>
        <w:jc w:val="center"/>
        <w:rPr>
          <w:rFonts w:ascii="宋体" w:hAnsi="宋体" w:cs="宋体"/>
          <w:b/>
          <w:color w:val="auto"/>
          <w:sz w:val="24"/>
          <w:highlight w:val="none"/>
        </w:rPr>
      </w:pPr>
    </w:p>
    <w:p w14:paraId="370D47BF">
      <w:pPr>
        <w:wordWrap w:val="0"/>
        <w:snapToGrid w:val="0"/>
        <w:spacing w:line="360" w:lineRule="auto"/>
        <w:ind w:firstLine="600" w:firstLineChars="250"/>
        <w:jc w:val="left"/>
        <w:rPr>
          <w:rFonts w:ascii="宋体" w:hAnsi="宋体" w:cs="宋体"/>
          <w:color w:val="auto"/>
          <w:sz w:val="24"/>
          <w:highlight w:val="none"/>
        </w:rPr>
      </w:pPr>
      <w:r>
        <w:rPr>
          <w:rFonts w:hint="eastAsia" w:ascii="宋体" w:hAnsi="宋体" w:cs="宋体"/>
          <w:color w:val="auto"/>
          <w:sz w:val="24"/>
          <w:highlight w:val="none"/>
        </w:rPr>
        <w:t>注：自然人投标的无需提供</w:t>
      </w:r>
    </w:p>
    <w:p w14:paraId="149B194A">
      <w:pPr>
        <w:wordWrap w:val="0"/>
        <w:snapToGrid w:val="0"/>
        <w:spacing w:line="360" w:lineRule="auto"/>
        <w:ind w:firstLine="600" w:firstLineChars="250"/>
        <w:jc w:val="left"/>
        <w:rPr>
          <w:rFonts w:ascii="宋体" w:hAnsi="宋体" w:cs="宋体"/>
          <w:color w:val="auto"/>
          <w:sz w:val="24"/>
          <w:highlight w:val="none"/>
        </w:rPr>
      </w:pPr>
    </w:p>
    <w:p w14:paraId="27B350CB">
      <w:pPr>
        <w:wordWrap w:val="0"/>
        <w:snapToGrid w:val="0"/>
        <w:spacing w:line="360" w:lineRule="auto"/>
        <w:ind w:firstLine="602" w:firstLineChars="250"/>
        <w:jc w:val="left"/>
        <w:rPr>
          <w:rFonts w:ascii="宋体" w:hAnsi="宋体" w:cs="宋体"/>
          <w:b/>
          <w:color w:val="auto"/>
          <w:sz w:val="24"/>
          <w:szCs w:val="20"/>
          <w:highlight w:val="none"/>
        </w:rPr>
      </w:pPr>
    </w:p>
    <w:tbl>
      <w:tblPr>
        <w:tblStyle w:val="22"/>
        <w:tblpPr w:leftFromText="180" w:rightFromText="180" w:vertAnchor="text" w:horzAnchor="margin" w:tblpY="1169"/>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14:paraId="33179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0" w:type="dxa"/>
            <w:tcBorders>
              <w:top w:val="single" w:color="auto" w:sz="4" w:space="0"/>
              <w:left w:val="single" w:color="auto" w:sz="4" w:space="0"/>
              <w:bottom w:val="single" w:color="auto" w:sz="4" w:space="0"/>
              <w:right w:val="single" w:color="auto" w:sz="4" w:space="0"/>
            </w:tcBorders>
          </w:tcPr>
          <w:p w14:paraId="0F85308A">
            <w:pPr>
              <w:wordWrap w:val="0"/>
              <w:spacing w:line="360" w:lineRule="auto"/>
              <w:rPr>
                <w:rFonts w:ascii="宋体" w:hAnsi="宋体" w:cs="宋体"/>
                <w:b/>
                <w:color w:val="auto"/>
                <w:sz w:val="24"/>
                <w:highlight w:val="none"/>
              </w:rPr>
            </w:pPr>
          </w:p>
          <w:p w14:paraId="7E3CA2E9">
            <w:pPr>
              <w:wordWrap w:val="0"/>
              <w:spacing w:line="360" w:lineRule="auto"/>
              <w:rPr>
                <w:rFonts w:ascii="宋体" w:hAnsi="宋体" w:cs="宋体"/>
                <w:b/>
                <w:color w:val="auto"/>
                <w:sz w:val="24"/>
                <w:highlight w:val="none"/>
              </w:rPr>
            </w:pPr>
            <w:r>
              <w:rPr>
                <w:rFonts w:hint="eastAsia" w:ascii="宋体" w:hAnsi="宋体" w:cs="宋体"/>
                <w:b/>
                <w:color w:val="auto"/>
                <w:sz w:val="24"/>
                <w:highlight w:val="none"/>
              </w:rPr>
              <w:t>法定代表身份证复印件粘帖处（正、反面）</w:t>
            </w:r>
          </w:p>
        </w:tc>
      </w:tr>
    </w:tbl>
    <w:p w14:paraId="24485F45">
      <w:pPr>
        <w:pStyle w:val="12"/>
        <w:wordWrap w:val="0"/>
        <w:snapToGrid w:val="0"/>
        <w:spacing w:line="360" w:lineRule="auto"/>
        <w:jc w:val="left"/>
        <w:rPr>
          <w:rFonts w:hAnsi="宋体" w:cs="宋体"/>
          <w:b/>
          <w:color w:val="auto"/>
          <w:sz w:val="24"/>
          <w:highlight w:val="none"/>
        </w:rPr>
      </w:pPr>
      <w:r>
        <w:rPr>
          <w:rFonts w:hint="eastAsia" w:hAnsi="宋体" w:cs="宋体"/>
          <w:b/>
          <w:color w:val="auto"/>
          <w:sz w:val="24"/>
          <w:highlight w:val="none"/>
        </w:rPr>
        <w:t>附件：</w:t>
      </w:r>
      <w:r>
        <w:rPr>
          <w:rFonts w:hint="eastAsia" w:hAnsi="宋体" w:cs="宋体"/>
          <w:b/>
          <w:color w:val="auto"/>
          <w:sz w:val="24"/>
          <w:highlight w:val="none"/>
        </w:rPr>
        <w:br w:type="page"/>
      </w:r>
      <w:r>
        <w:rPr>
          <w:rFonts w:hint="eastAsia" w:hAnsi="宋体" w:cs="宋体"/>
          <w:b/>
          <w:bCs/>
          <w:color w:val="auto"/>
          <w:sz w:val="30"/>
          <w:szCs w:val="30"/>
          <w:highlight w:val="none"/>
        </w:rPr>
        <w:t>三、法定代表人授权委托书及委托代理人有效身份证正反面复印件（如有委托时）</w:t>
      </w:r>
    </w:p>
    <w:p w14:paraId="6A1AF9E1">
      <w:pPr>
        <w:wordWrap w:val="0"/>
        <w:snapToGrid w:val="0"/>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法定代表人授权委托书</w:t>
      </w:r>
    </w:p>
    <w:p w14:paraId="6FDDC558">
      <w:pPr>
        <w:wordWrap w:val="0"/>
        <w:snapToGrid w:val="0"/>
        <w:spacing w:line="360" w:lineRule="auto"/>
        <w:jc w:val="center"/>
        <w:rPr>
          <w:rFonts w:ascii="宋体" w:hAnsi="宋体" w:cs="宋体"/>
          <w:b/>
          <w:color w:val="auto"/>
          <w:sz w:val="24"/>
          <w:highlight w:val="none"/>
        </w:rPr>
      </w:pPr>
    </w:p>
    <w:p w14:paraId="6AC3C0CC">
      <w:pPr>
        <w:pStyle w:val="12"/>
        <w:wordWrap w:val="0"/>
        <w:spacing w:line="360" w:lineRule="auto"/>
        <w:ind w:firstLine="420" w:firstLineChars="200"/>
        <w:rPr>
          <w:rFonts w:hAnsi="宋体" w:cs="宋体"/>
          <w:color w:val="auto"/>
          <w:highlight w:val="none"/>
        </w:rPr>
      </w:pPr>
      <w:r>
        <w:rPr>
          <w:rFonts w:hint="eastAsia" w:hAnsi="宋体" w:cs="宋体"/>
          <w:color w:val="auto"/>
          <w:highlight w:val="none"/>
        </w:rPr>
        <w:t>致：</w:t>
      </w:r>
      <w:r>
        <w:rPr>
          <w:rFonts w:hint="eastAsia" w:hAnsi="宋体" w:cs="宋体"/>
          <w:color w:val="auto"/>
          <w:highlight w:val="none"/>
          <w:u w:val="single"/>
        </w:rPr>
        <w:t xml:space="preserve"> </w:t>
      </w:r>
      <w:bookmarkStart w:id="286" w:name="PO_3000001866_PM031_7"/>
      <w:r>
        <w:rPr>
          <w:rFonts w:hint="eastAsia" w:hAnsi="宋体" w:cs="宋体"/>
          <w:color w:val="auto"/>
          <w:highlight w:val="none"/>
          <w:u w:val="single"/>
        </w:rPr>
        <w:t>广西邕政采购代理有限公司</w:t>
      </w:r>
      <w:bookmarkEnd w:id="286"/>
      <w:r>
        <w:rPr>
          <w:rFonts w:hint="eastAsia" w:hAnsi="宋体" w:cs="宋体"/>
          <w:color w:val="auto"/>
          <w:highlight w:val="none"/>
          <w:u w:val="single"/>
        </w:rPr>
        <w:t xml:space="preserve"> </w:t>
      </w:r>
    </w:p>
    <w:p w14:paraId="0DCDD527">
      <w:pPr>
        <w:pStyle w:val="12"/>
        <w:wordWrap w:val="0"/>
        <w:spacing w:line="360" w:lineRule="auto"/>
        <w:ind w:firstLine="420" w:firstLineChars="200"/>
        <w:rPr>
          <w:rFonts w:hAnsi="宋体" w:cs="宋体"/>
          <w:color w:val="auto"/>
          <w:highlight w:val="none"/>
        </w:rPr>
      </w:pPr>
      <w:r>
        <w:rPr>
          <w:rFonts w:hint="eastAsia" w:hAnsi="宋体" w:cs="宋体"/>
          <w:color w:val="auto"/>
          <w:highlight w:val="none"/>
        </w:rPr>
        <w:t>本人</w:t>
      </w:r>
      <w:r>
        <w:rPr>
          <w:rFonts w:hint="eastAsia" w:hAnsi="宋体" w:cs="宋体"/>
          <w:color w:val="auto"/>
          <w:highlight w:val="none"/>
          <w:u w:val="single"/>
        </w:rPr>
        <w:t xml:space="preserve">        </w:t>
      </w:r>
      <w:r>
        <w:rPr>
          <w:rFonts w:hint="eastAsia" w:hAnsi="宋体" w:cs="宋体"/>
          <w:color w:val="auto"/>
          <w:highlight w:val="none"/>
        </w:rPr>
        <w:t>（姓名）系</w:t>
      </w:r>
      <w:r>
        <w:rPr>
          <w:rFonts w:hint="eastAsia" w:hAnsi="宋体" w:cs="宋体"/>
          <w:color w:val="auto"/>
          <w:highlight w:val="none"/>
          <w:u w:val="single"/>
        </w:rPr>
        <w:t xml:space="preserve">                 </w:t>
      </w:r>
      <w:r>
        <w:rPr>
          <w:rFonts w:hint="eastAsia" w:hAnsi="宋体" w:cs="宋体"/>
          <w:color w:val="auto"/>
          <w:highlight w:val="none"/>
        </w:rPr>
        <w:t>（投标人名称）的法定代表人，现授权我单位在职正式员工</w:t>
      </w:r>
      <w:r>
        <w:rPr>
          <w:rFonts w:hint="eastAsia" w:hAnsi="宋体" w:cs="宋体"/>
          <w:color w:val="auto"/>
          <w:highlight w:val="none"/>
          <w:u w:val="single"/>
        </w:rPr>
        <w:t xml:space="preserve">        </w:t>
      </w:r>
      <w:r>
        <w:rPr>
          <w:rFonts w:hint="eastAsia" w:hAnsi="宋体" w:cs="宋体"/>
          <w:color w:val="auto"/>
          <w:highlight w:val="none"/>
        </w:rPr>
        <w:t>（姓名和职务）为我方代理人。代理人根据授权，以我方名义签署、澄清、说明、补正、递交、撤回、修改贵方组织的</w:t>
      </w:r>
      <w:r>
        <w:rPr>
          <w:rFonts w:hint="eastAsia" w:hAnsi="宋体" w:cs="宋体"/>
          <w:color w:val="auto"/>
          <w:highlight w:val="none"/>
          <w:u w:val="single"/>
        </w:rPr>
        <w:t xml:space="preserve"> </w:t>
      </w:r>
      <w:r>
        <w:rPr>
          <w:rFonts w:hint="eastAsia" w:hAnsi="宋体" w:cs="宋体"/>
          <w:color w:val="auto"/>
          <w:szCs w:val="21"/>
          <w:highlight w:val="none"/>
          <w:u w:val="single"/>
        </w:rPr>
        <w:t xml:space="preserve">（项目名称） </w:t>
      </w:r>
      <w:r>
        <w:rPr>
          <w:rFonts w:hint="eastAsia" w:hAnsi="宋体" w:cs="宋体"/>
          <w:color w:val="auto"/>
          <w:highlight w:val="none"/>
          <w:u w:val="single"/>
        </w:rPr>
        <w:t xml:space="preserve"> </w:t>
      </w:r>
      <w:r>
        <w:rPr>
          <w:rFonts w:hint="eastAsia" w:hAnsi="宋体" w:cs="宋体"/>
          <w:color w:val="auto"/>
          <w:highlight w:val="none"/>
        </w:rPr>
        <w:t>项目（项目编号</w:t>
      </w:r>
      <w:r>
        <w:rPr>
          <w:rFonts w:hint="eastAsia" w:hAnsi="宋体" w:cs="宋体"/>
          <w:color w:val="auto"/>
          <w:highlight w:val="none"/>
          <w:u w:val="single"/>
        </w:rPr>
        <w:t xml:space="preserve">：             </w:t>
      </w:r>
      <w:r>
        <w:rPr>
          <w:rFonts w:hint="eastAsia" w:hAnsi="宋体" w:cs="宋体"/>
          <w:color w:val="auto"/>
          <w:highlight w:val="none"/>
        </w:rPr>
        <w:t>）的投标文件、签订合同和处理一切有关事宜，其法律后果由我方承担。</w:t>
      </w:r>
    </w:p>
    <w:p w14:paraId="00EF4079">
      <w:pPr>
        <w:pStyle w:val="12"/>
        <w:wordWrap w:val="0"/>
        <w:spacing w:line="360" w:lineRule="auto"/>
        <w:ind w:firstLine="420" w:firstLineChars="200"/>
        <w:rPr>
          <w:rFonts w:hAnsi="宋体" w:cs="宋体"/>
          <w:color w:val="auto"/>
          <w:highlight w:val="none"/>
        </w:rPr>
      </w:pPr>
      <w:r>
        <w:rPr>
          <w:rFonts w:hint="eastAsia" w:hAnsi="宋体" w:cs="宋体"/>
          <w:color w:val="auto"/>
          <w:highlight w:val="none"/>
        </w:rPr>
        <w:t>本授权书于</w:t>
      </w:r>
      <w:r>
        <w:rPr>
          <w:rFonts w:hint="eastAsia" w:hAnsi="宋体" w:cs="宋体"/>
          <w:color w:val="auto"/>
          <w:spacing w:val="10"/>
          <w:sz w:val="24"/>
          <w:highlight w:val="none"/>
          <w:u w:val="single"/>
        </w:rPr>
        <w:t xml:space="preserve">    </w:t>
      </w:r>
      <w:r>
        <w:rPr>
          <w:rFonts w:hint="eastAsia" w:hAnsi="宋体" w:cs="宋体"/>
          <w:color w:val="auto"/>
          <w:highlight w:val="none"/>
        </w:rPr>
        <w:t>年</w:t>
      </w:r>
      <w:r>
        <w:rPr>
          <w:rFonts w:hint="eastAsia" w:hAnsi="宋体" w:cs="宋体"/>
          <w:color w:val="auto"/>
          <w:spacing w:val="10"/>
          <w:sz w:val="24"/>
          <w:highlight w:val="none"/>
          <w:u w:val="single"/>
        </w:rPr>
        <w:t xml:space="preserve">    </w:t>
      </w:r>
      <w:r>
        <w:rPr>
          <w:rFonts w:hint="eastAsia" w:hAnsi="宋体" w:cs="宋体"/>
          <w:color w:val="auto"/>
          <w:highlight w:val="none"/>
        </w:rPr>
        <w:t>月</w:t>
      </w:r>
      <w:r>
        <w:rPr>
          <w:rFonts w:hint="eastAsia" w:hAnsi="宋体" w:cs="宋体"/>
          <w:color w:val="auto"/>
          <w:spacing w:val="10"/>
          <w:sz w:val="24"/>
          <w:highlight w:val="none"/>
          <w:u w:val="single"/>
        </w:rPr>
        <w:t xml:space="preserve">    </w:t>
      </w:r>
      <w:r>
        <w:rPr>
          <w:rFonts w:hint="eastAsia" w:hAnsi="宋体" w:cs="宋体"/>
          <w:color w:val="auto"/>
          <w:highlight w:val="none"/>
        </w:rPr>
        <w:t>日签字生效，委托期限：</w:t>
      </w:r>
      <w:r>
        <w:rPr>
          <w:rFonts w:hint="eastAsia" w:hAnsi="宋体" w:cs="宋体"/>
          <w:color w:val="auto"/>
          <w:spacing w:val="10"/>
          <w:sz w:val="24"/>
          <w:highlight w:val="none"/>
          <w:u w:val="single"/>
        </w:rPr>
        <w:t xml:space="preserve">    </w:t>
      </w:r>
      <w:r>
        <w:rPr>
          <w:rFonts w:hint="eastAsia" w:hAnsi="宋体" w:cs="宋体"/>
          <w:color w:val="auto"/>
          <w:highlight w:val="none"/>
        </w:rPr>
        <w:t>。</w:t>
      </w:r>
    </w:p>
    <w:p w14:paraId="41F5A236">
      <w:pPr>
        <w:pStyle w:val="12"/>
        <w:wordWrap w:val="0"/>
        <w:spacing w:line="360" w:lineRule="auto"/>
        <w:ind w:firstLine="420"/>
        <w:rPr>
          <w:rFonts w:hAnsi="宋体" w:cs="宋体"/>
          <w:color w:val="auto"/>
          <w:highlight w:val="none"/>
        </w:rPr>
      </w:pPr>
      <w:r>
        <w:rPr>
          <w:rFonts w:hint="eastAsia" w:hAnsi="宋体" w:cs="宋体"/>
          <w:color w:val="auto"/>
          <w:highlight w:val="none"/>
        </w:rPr>
        <w:t>代理人无转委托权。</w:t>
      </w:r>
    </w:p>
    <w:p w14:paraId="196162D5">
      <w:pPr>
        <w:pStyle w:val="12"/>
        <w:wordWrap w:val="0"/>
        <w:spacing w:line="360" w:lineRule="auto"/>
        <w:ind w:firstLine="420"/>
        <w:rPr>
          <w:rFonts w:hAnsi="宋体" w:cs="宋体"/>
          <w:color w:val="auto"/>
          <w:highlight w:val="none"/>
        </w:rPr>
      </w:pPr>
    </w:p>
    <w:p w14:paraId="58A09823">
      <w:pPr>
        <w:pStyle w:val="12"/>
        <w:wordWrap w:val="0"/>
        <w:spacing w:line="360" w:lineRule="auto"/>
        <w:ind w:firstLine="420"/>
        <w:rPr>
          <w:rFonts w:hAnsi="宋体" w:cs="宋体"/>
          <w:color w:val="auto"/>
          <w:highlight w:val="none"/>
          <w:u w:val="single"/>
        </w:rPr>
      </w:pPr>
      <w:r>
        <w:rPr>
          <w:rFonts w:hint="eastAsia" w:hAnsi="宋体" w:cs="宋体"/>
          <w:color w:val="auto"/>
          <w:highlight w:val="none"/>
        </w:rPr>
        <w:t>投标人（或联合体投标</w:t>
      </w:r>
      <w:r>
        <w:rPr>
          <w:rFonts w:hint="eastAsia" w:hAnsi="宋体" w:cs="宋体"/>
          <w:color w:val="auto"/>
          <w:kern w:val="0"/>
          <w:szCs w:val="21"/>
          <w:highlight w:val="none"/>
        </w:rPr>
        <w:t>牵头人名称</w:t>
      </w:r>
      <w:r>
        <w:rPr>
          <w:rFonts w:hint="eastAsia" w:hAnsi="宋体" w:cs="宋体"/>
          <w:color w:val="auto"/>
          <w:highlight w:val="none"/>
        </w:rPr>
        <w:t>）（盖单位公章）：</w:t>
      </w:r>
      <w:r>
        <w:rPr>
          <w:rFonts w:hint="eastAsia" w:hAnsi="宋体" w:cs="宋体"/>
          <w:color w:val="auto"/>
          <w:highlight w:val="none"/>
          <w:u w:val="single"/>
        </w:rPr>
        <w:t xml:space="preserve">                                    </w:t>
      </w:r>
    </w:p>
    <w:p w14:paraId="06E29B6B">
      <w:pPr>
        <w:pStyle w:val="12"/>
        <w:wordWrap w:val="0"/>
        <w:spacing w:line="360" w:lineRule="auto"/>
        <w:ind w:firstLine="420"/>
        <w:rPr>
          <w:rFonts w:hAnsi="宋体" w:cs="宋体"/>
          <w:color w:val="auto"/>
          <w:highlight w:val="none"/>
          <w:u w:val="single"/>
        </w:rPr>
      </w:pPr>
      <w:r>
        <w:rPr>
          <w:rFonts w:hint="eastAsia" w:hAnsi="宋体" w:cs="宋体"/>
          <w:color w:val="auto"/>
          <w:highlight w:val="none"/>
        </w:rPr>
        <w:t>法定代表人（签字或盖章）：</w:t>
      </w:r>
      <w:r>
        <w:rPr>
          <w:rFonts w:hint="eastAsia" w:hAnsi="宋体" w:cs="宋体"/>
          <w:color w:val="auto"/>
          <w:highlight w:val="none"/>
          <w:u w:val="single"/>
        </w:rPr>
        <w:t xml:space="preserve">                                </w:t>
      </w:r>
    </w:p>
    <w:p w14:paraId="2C14D042">
      <w:pPr>
        <w:pStyle w:val="12"/>
        <w:wordWrap w:val="0"/>
        <w:spacing w:line="360" w:lineRule="auto"/>
        <w:ind w:firstLine="420"/>
        <w:rPr>
          <w:rFonts w:hAnsi="宋体" w:cs="宋体"/>
          <w:color w:val="auto"/>
          <w:highlight w:val="none"/>
          <w:u w:val="single"/>
        </w:rPr>
      </w:pPr>
      <w:r>
        <w:rPr>
          <w:rFonts w:hint="eastAsia" w:hAnsi="宋体" w:cs="宋体"/>
          <w:color w:val="auto"/>
          <w:highlight w:val="none"/>
        </w:rPr>
        <w:t>法定代表人身份证号码：</w:t>
      </w:r>
      <w:r>
        <w:rPr>
          <w:rFonts w:hint="eastAsia" w:hAnsi="宋体" w:cs="宋体"/>
          <w:color w:val="auto"/>
          <w:highlight w:val="none"/>
          <w:u w:val="single"/>
        </w:rPr>
        <w:t xml:space="preserve">                                   </w:t>
      </w:r>
    </w:p>
    <w:p w14:paraId="566B0AFA">
      <w:pPr>
        <w:pStyle w:val="12"/>
        <w:wordWrap w:val="0"/>
        <w:spacing w:line="360" w:lineRule="auto"/>
        <w:ind w:firstLine="420" w:firstLineChars="200"/>
        <w:rPr>
          <w:rFonts w:hAnsi="宋体" w:cs="宋体"/>
          <w:color w:val="auto"/>
          <w:highlight w:val="none"/>
        </w:rPr>
      </w:pPr>
      <w:r>
        <w:rPr>
          <w:rFonts w:hint="eastAsia" w:hAnsi="宋体" w:cs="宋体"/>
          <w:color w:val="auto"/>
          <w:highlight w:val="none"/>
        </w:rPr>
        <w:t>委托代理人（签字或盖章）：</w:t>
      </w:r>
      <w:r>
        <w:rPr>
          <w:rFonts w:hint="eastAsia" w:hAnsi="宋体" w:cs="宋体"/>
          <w:color w:val="auto"/>
          <w:highlight w:val="none"/>
          <w:u w:val="single"/>
        </w:rPr>
        <w:t xml:space="preserve">                                </w:t>
      </w:r>
    </w:p>
    <w:p w14:paraId="57FA74E1">
      <w:pPr>
        <w:pStyle w:val="12"/>
        <w:wordWrap w:val="0"/>
        <w:spacing w:line="360" w:lineRule="auto"/>
        <w:ind w:firstLine="420"/>
        <w:rPr>
          <w:rFonts w:hAnsi="宋体" w:cs="宋体"/>
          <w:color w:val="auto"/>
          <w:highlight w:val="none"/>
          <w:u w:val="single"/>
        </w:rPr>
      </w:pPr>
      <w:r>
        <w:rPr>
          <w:rFonts w:hint="eastAsia" w:hAnsi="宋体" w:cs="宋体"/>
          <w:color w:val="auto"/>
          <w:highlight w:val="none"/>
        </w:rPr>
        <w:t>委托代理人身份证号码：</w:t>
      </w:r>
      <w:r>
        <w:rPr>
          <w:rFonts w:hint="eastAsia" w:hAnsi="宋体" w:cs="宋体"/>
          <w:color w:val="auto"/>
          <w:highlight w:val="none"/>
          <w:u w:val="single"/>
        </w:rPr>
        <w:t xml:space="preserve">                                   </w:t>
      </w:r>
    </w:p>
    <w:p w14:paraId="0EE6C5F0">
      <w:pPr>
        <w:pStyle w:val="12"/>
        <w:wordWrap w:val="0"/>
        <w:spacing w:line="360" w:lineRule="auto"/>
        <w:ind w:firstLine="420"/>
        <w:rPr>
          <w:rFonts w:hAnsi="宋体" w:cs="宋体"/>
          <w:color w:val="auto"/>
          <w:highlight w:val="none"/>
          <w:u w:val="single"/>
        </w:rPr>
      </w:pPr>
    </w:p>
    <w:p w14:paraId="4937660C">
      <w:pPr>
        <w:pStyle w:val="12"/>
        <w:wordWrap w:val="0"/>
        <w:spacing w:line="360" w:lineRule="auto"/>
        <w:ind w:firstLine="420"/>
        <w:rPr>
          <w:rFonts w:hAnsi="宋体" w:cs="宋体"/>
          <w:color w:val="auto"/>
          <w:highlight w:val="none"/>
          <w:u w:val="single"/>
        </w:rPr>
      </w:pPr>
      <w:r>
        <w:rPr>
          <w:rFonts w:hint="eastAsia" w:hAnsi="宋体" w:cs="宋体"/>
          <w:color w:val="auto"/>
          <w:kern w:val="0"/>
          <w:szCs w:val="21"/>
          <w:highlight w:val="none"/>
        </w:rPr>
        <w:t>成员一名称：</w:t>
      </w:r>
      <w:r>
        <w:rPr>
          <w:rFonts w:hint="eastAsia" w:hAnsi="宋体" w:cs="宋体"/>
          <w:color w:val="auto"/>
          <w:highlight w:val="none"/>
        </w:rPr>
        <w:t>（盖单位公章）：</w:t>
      </w:r>
      <w:r>
        <w:rPr>
          <w:rFonts w:hint="eastAsia" w:hAnsi="宋体" w:cs="宋体"/>
          <w:color w:val="auto"/>
          <w:highlight w:val="none"/>
          <w:u w:val="single"/>
        </w:rPr>
        <w:t xml:space="preserve">                                    </w:t>
      </w:r>
    </w:p>
    <w:p w14:paraId="42630A4F">
      <w:pPr>
        <w:pStyle w:val="12"/>
        <w:wordWrap w:val="0"/>
        <w:spacing w:line="360" w:lineRule="auto"/>
        <w:ind w:firstLine="420"/>
        <w:rPr>
          <w:rFonts w:hAnsi="宋体" w:cs="宋体"/>
          <w:color w:val="auto"/>
          <w:highlight w:val="none"/>
          <w:u w:val="single"/>
        </w:rPr>
      </w:pPr>
      <w:r>
        <w:rPr>
          <w:rFonts w:hint="eastAsia" w:hAnsi="宋体" w:cs="宋体"/>
          <w:color w:val="auto"/>
          <w:highlight w:val="none"/>
        </w:rPr>
        <w:t>法定代表人（签字或盖章）：</w:t>
      </w:r>
      <w:r>
        <w:rPr>
          <w:rFonts w:hint="eastAsia" w:hAnsi="宋体" w:cs="宋体"/>
          <w:color w:val="auto"/>
          <w:highlight w:val="none"/>
          <w:u w:val="single"/>
        </w:rPr>
        <w:t xml:space="preserve">                                </w:t>
      </w:r>
    </w:p>
    <w:p w14:paraId="3F72241A">
      <w:pPr>
        <w:pStyle w:val="12"/>
        <w:wordWrap w:val="0"/>
        <w:spacing w:line="360" w:lineRule="auto"/>
        <w:ind w:firstLine="420"/>
        <w:rPr>
          <w:rFonts w:hAnsi="宋体" w:cs="宋体"/>
          <w:color w:val="auto"/>
          <w:highlight w:val="none"/>
          <w:u w:val="single"/>
        </w:rPr>
      </w:pPr>
    </w:p>
    <w:p w14:paraId="3DAAE6FA">
      <w:pPr>
        <w:wordWrap w:val="0"/>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成员二名称：</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（盖单位公章）</w:t>
      </w:r>
    </w:p>
    <w:p w14:paraId="14F8A6FF">
      <w:pPr>
        <w:wordWrap w:val="0"/>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法定代表人或其委托代理人：</w:t>
      </w:r>
      <w:r>
        <w:rPr>
          <w:rFonts w:hint="eastAsia" w:ascii="宋体" w:hAnsi="宋体" w:cs="宋体"/>
          <w:color w:val="auto"/>
          <w:kern w:val="0"/>
          <w:szCs w:val="21"/>
          <w:highlight w:val="none"/>
          <w:u w:val="single"/>
        </w:rPr>
        <w:t xml:space="preserve">                         </w:t>
      </w:r>
      <w:r>
        <w:rPr>
          <w:rFonts w:hint="eastAsia" w:ascii="宋体" w:hAnsi="宋体" w:cs="宋体"/>
          <w:color w:val="auto"/>
          <w:highlight w:val="none"/>
        </w:rPr>
        <w:t>（签字或盖章）</w:t>
      </w:r>
    </w:p>
    <w:p w14:paraId="7AE4D694">
      <w:pPr>
        <w:pStyle w:val="12"/>
        <w:wordWrap w:val="0"/>
        <w:spacing w:line="360" w:lineRule="auto"/>
        <w:ind w:firstLine="420" w:firstLineChars="200"/>
        <w:rPr>
          <w:rFonts w:hAnsi="宋体" w:cs="宋体"/>
          <w:color w:val="auto"/>
          <w:highlight w:val="none"/>
        </w:rPr>
      </w:pPr>
      <w:r>
        <w:rPr>
          <w:rFonts w:hint="eastAsia" w:hAnsi="宋体" w:cs="宋体"/>
          <w:color w:val="auto"/>
          <w:highlight w:val="none"/>
        </w:rPr>
        <w:t>......</w:t>
      </w:r>
    </w:p>
    <w:p w14:paraId="7BEBA1DE">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注：</w:t>
      </w:r>
    </w:p>
    <w:p w14:paraId="6B51F320">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1.法定代表人和委托代理人必须在授权委托书上</w:t>
      </w:r>
      <w:r>
        <w:rPr>
          <w:rFonts w:hint="eastAsia" w:ascii="宋体" w:hAnsi="宋体" w:cs="宋体"/>
          <w:color w:val="auto"/>
          <w:highlight w:val="none"/>
        </w:rPr>
        <w:t>签字或盖章</w:t>
      </w:r>
      <w:r>
        <w:rPr>
          <w:rFonts w:hint="eastAsia" w:ascii="宋体" w:hAnsi="宋体" w:cs="宋体"/>
          <w:color w:val="auto"/>
          <w:szCs w:val="21"/>
          <w:highlight w:val="none"/>
        </w:rPr>
        <w:t>，</w:t>
      </w:r>
      <w:r>
        <w:rPr>
          <w:rFonts w:hint="eastAsia" w:ascii="宋体" w:hAnsi="宋体" w:cs="宋体"/>
          <w:b/>
          <w:bCs/>
          <w:color w:val="auto"/>
          <w:szCs w:val="21"/>
          <w:highlight w:val="none"/>
        </w:rPr>
        <w:t>否则作无效投标处理</w:t>
      </w:r>
      <w:r>
        <w:rPr>
          <w:rFonts w:hint="eastAsia" w:ascii="宋体" w:hAnsi="宋体" w:cs="宋体"/>
          <w:color w:val="auto"/>
          <w:szCs w:val="21"/>
          <w:highlight w:val="none"/>
        </w:rPr>
        <w:t>；</w:t>
      </w:r>
    </w:p>
    <w:p w14:paraId="15C96ABC">
      <w:pPr>
        <w:wordWrap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2.以联合体形式投标的，本授权委托书应由联合体牵头人的法定代表人按上述规定签署。</w:t>
      </w:r>
    </w:p>
    <w:p w14:paraId="05464C45">
      <w:pPr>
        <w:wordWrap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3. 供应商为其他组织或者自然人时，本招标文件规定的法定代表人指负责人或者自然人。本招标文件所称负责人是指参加投标的其他组织营业执照上的负责人，本招标文件所称自然人指参与投标的自然人本人。</w:t>
      </w:r>
    </w:p>
    <w:p w14:paraId="18C9038D">
      <w:pPr>
        <w:wordWrap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4. 若为联合体投标须各方签字或盖章。</w:t>
      </w:r>
    </w:p>
    <w:p w14:paraId="0D47A115">
      <w:pPr>
        <w:wordWrap w:val="0"/>
        <w:spacing w:line="360" w:lineRule="auto"/>
        <w:rPr>
          <w:rFonts w:ascii="宋体" w:hAnsi="宋体" w:cs="宋体"/>
          <w:b/>
          <w:color w:val="auto"/>
          <w:sz w:val="24"/>
          <w:highlight w:val="none"/>
        </w:rPr>
      </w:pPr>
    </w:p>
    <w:p w14:paraId="44EDC551">
      <w:pPr>
        <w:wordWrap w:val="0"/>
        <w:spacing w:line="360" w:lineRule="auto"/>
        <w:rPr>
          <w:rFonts w:hint="eastAsia" w:ascii="宋体" w:hAnsi="宋体" w:cs="宋体"/>
          <w:b/>
          <w:color w:val="auto"/>
          <w:sz w:val="24"/>
          <w:highlight w:val="none"/>
        </w:rPr>
      </w:pPr>
    </w:p>
    <w:p w14:paraId="6438B497">
      <w:pPr>
        <w:wordWrap w:val="0"/>
        <w:spacing w:line="360" w:lineRule="auto"/>
        <w:rPr>
          <w:rFonts w:ascii="宋体" w:hAnsi="宋体" w:cs="宋体"/>
          <w:b/>
          <w:color w:val="auto"/>
          <w:sz w:val="24"/>
          <w:highlight w:val="none"/>
        </w:rPr>
      </w:pPr>
      <w:r>
        <w:rPr>
          <w:rFonts w:hint="eastAsia" w:ascii="宋体" w:hAnsi="宋体" w:cs="宋体"/>
          <w:b/>
          <w:color w:val="auto"/>
          <w:sz w:val="24"/>
          <w:highlight w:val="none"/>
        </w:rPr>
        <w:t>附件：</w:t>
      </w:r>
    </w:p>
    <w:tbl>
      <w:tblPr>
        <w:tblStyle w:val="22"/>
        <w:tblpPr w:leftFromText="180" w:rightFromText="180" w:vertAnchor="text" w:horzAnchor="margin" w:tblpY="263"/>
        <w:tblW w:w="79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0"/>
      </w:tblGrid>
      <w:tr w14:paraId="36C22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0" w:hRule="atLeast"/>
        </w:trPr>
        <w:tc>
          <w:tcPr>
            <w:tcW w:w="7990" w:type="dxa"/>
            <w:tcBorders>
              <w:top w:val="single" w:color="auto" w:sz="4" w:space="0"/>
              <w:left w:val="single" w:color="auto" w:sz="4" w:space="0"/>
              <w:bottom w:val="single" w:color="auto" w:sz="4" w:space="0"/>
              <w:right w:val="single" w:color="auto" w:sz="4" w:space="0"/>
            </w:tcBorders>
          </w:tcPr>
          <w:p w14:paraId="154A40FD">
            <w:pPr>
              <w:wordWrap w:val="0"/>
              <w:spacing w:line="360" w:lineRule="auto"/>
              <w:rPr>
                <w:rFonts w:ascii="宋体" w:hAnsi="宋体" w:cs="宋体"/>
                <w:b/>
                <w:color w:val="auto"/>
                <w:sz w:val="24"/>
                <w:highlight w:val="none"/>
              </w:rPr>
            </w:pPr>
          </w:p>
          <w:p w14:paraId="6774C7B9">
            <w:pPr>
              <w:wordWrap w:val="0"/>
              <w:spacing w:line="360" w:lineRule="auto"/>
              <w:rPr>
                <w:rFonts w:ascii="宋体" w:hAnsi="宋体" w:cs="宋体"/>
                <w:b/>
                <w:color w:val="auto"/>
                <w:sz w:val="24"/>
                <w:highlight w:val="none"/>
              </w:rPr>
            </w:pPr>
            <w:r>
              <w:rPr>
                <w:rFonts w:hint="eastAsia" w:ascii="宋体" w:hAnsi="宋体" w:cs="宋体"/>
                <w:b/>
                <w:color w:val="auto"/>
                <w:sz w:val="24"/>
                <w:highlight w:val="none"/>
              </w:rPr>
              <w:t>全权代表身份证复印件粘帖处（正、反面）</w:t>
            </w:r>
          </w:p>
        </w:tc>
      </w:tr>
    </w:tbl>
    <w:p w14:paraId="34E20B91">
      <w:pPr>
        <w:wordWrap w:val="0"/>
        <w:snapToGrid w:val="0"/>
        <w:spacing w:line="360" w:lineRule="auto"/>
        <w:jc w:val="left"/>
        <w:rPr>
          <w:rFonts w:ascii="宋体" w:hAnsi="宋体" w:cs="宋体"/>
          <w:color w:val="auto"/>
          <w:szCs w:val="21"/>
          <w:highlight w:val="none"/>
        </w:rPr>
      </w:pPr>
    </w:p>
    <w:p w14:paraId="7C9A7B75">
      <w:pPr>
        <w:wordWrap w:val="0"/>
        <w:snapToGrid w:val="0"/>
        <w:spacing w:line="360" w:lineRule="auto"/>
        <w:ind w:firstLine="566" w:firstLineChars="236"/>
        <w:jc w:val="center"/>
        <w:rPr>
          <w:rFonts w:ascii="宋体" w:hAnsi="宋体" w:cs="宋体"/>
          <w:color w:val="auto"/>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rPr>
        <w:br w:type="page"/>
      </w:r>
    </w:p>
    <w:p w14:paraId="69260E68">
      <w:pPr>
        <w:wordWrap w:val="0"/>
        <w:spacing w:line="360" w:lineRule="auto"/>
        <w:jc w:val="center"/>
        <w:rPr>
          <w:rFonts w:ascii="宋体" w:hAnsi="宋体" w:cs="宋体"/>
          <w:b/>
          <w:bCs/>
          <w:color w:val="auto"/>
          <w:sz w:val="30"/>
          <w:szCs w:val="30"/>
          <w:highlight w:val="none"/>
        </w:rPr>
      </w:pPr>
      <w:r>
        <w:rPr>
          <w:rFonts w:hint="eastAsia" w:ascii="宋体" w:hAnsi="宋体" w:cs="宋体"/>
          <w:b/>
          <w:bCs/>
          <w:color w:val="auto"/>
          <w:sz w:val="30"/>
          <w:szCs w:val="30"/>
          <w:highlight w:val="none"/>
        </w:rPr>
        <w:t>四、商务条款偏离表</w:t>
      </w:r>
    </w:p>
    <w:p w14:paraId="11D82D60">
      <w:pPr>
        <w:wordWrap w:val="0"/>
        <w:spacing w:line="360" w:lineRule="auto"/>
        <w:jc w:val="center"/>
        <w:rPr>
          <w:rFonts w:ascii="宋体" w:hAnsi="宋体" w:cs="宋体"/>
          <w:b/>
          <w:color w:val="auto"/>
          <w:sz w:val="24"/>
          <w:szCs w:val="20"/>
          <w:highlight w:val="none"/>
        </w:rPr>
      </w:pPr>
      <w:r>
        <w:rPr>
          <w:rFonts w:hint="eastAsia" w:ascii="宋体" w:hAnsi="宋体" w:cs="宋体"/>
          <w:color w:val="auto"/>
          <w:sz w:val="30"/>
          <w:szCs w:val="20"/>
          <w:highlight w:val="none"/>
        </w:rPr>
        <w:t>(注：按项目需求表具体项目修改)</w:t>
      </w:r>
    </w:p>
    <w:p w14:paraId="6A3A0247">
      <w:pPr>
        <w:wordWrap w:val="0"/>
        <w:snapToGrid w:val="0"/>
        <w:spacing w:line="360" w:lineRule="auto"/>
        <w:jc w:val="left"/>
        <w:rPr>
          <w:rFonts w:ascii="宋体" w:hAnsi="宋体" w:cs="宋体"/>
          <w:color w:val="auto"/>
          <w:sz w:val="24"/>
          <w:highlight w:val="none"/>
        </w:rPr>
      </w:pPr>
    </w:p>
    <w:p w14:paraId="63F2D415">
      <w:pPr>
        <w:pStyle w:val="12"/>
        <w:wordWrap w:val="0"/>
        <w:spacing w:line="360" w:lineRule="auto"/>
        <w:ind w:left="-424" w:leftChars="-202" w:firstLine="846"/>
        <w:rPr>
          <w:rFonts w:hAnsi="宋体" w:cs="宋体"/>
          <w:color w:val="auto"/>
          <w:sz w:val="24"/>
          <w:szCs w:val="24"/>
          <w:highlight w:val="none"/>
        </w:rPr>
      </w:pPr>
      <w:r>
        <w:rPr>
          <w:rFonts w:hint="eastAsia" w:hAnsi="宋体" w:cs="宋体"/>
          <w:color w:val="auto"/>
          <w:highlight w:val="none"/>
        </w:rPr>
        <w:t>请</w:t>
      </w:r>
      <w:r>
        <w:rPr>
          <w:rFonts w:hint="eastAsia" w:hAnsi="宋体" w:cs="宋体"/>
          <w:b/>
          <w:bCs/>
          <w:color w:val="auto"/>
          <w:highlight w:val="none"/>
        </w:rPr>
        <w:t>逐条对应</w:t>
      </w:r>
      <w:r>
        <w:rPr>
          <w:rFonts w:hint="eastAsia" w:hAnsi="宋体" w:cs="宋体"/>
          <w:color w:val="auto"/>
          <w:highlight w:val="none"/>
        </w:rPr>
        <w:t>本项目招标文件第二章“服务需求一览表”中“商务条款”的要求，详细填写相应的具体内容。“偏离说明”一栏应当选择“正偏离”、“负偏离”或“无偏离”进行填写。</w:t>
      </w:r>
    </w:p>
    <w:tbl>
      <w:tblPr>
        <w:tblStyle w:val="22"/>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757"/>
        <w:gridCol w:w="2516"/>
        <w:gridCol w:w="2516"/>
      </w:tblGrid>
      <w:tr w14:paraId="07316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tcBorders>
              <w:top w:val="single" w:color="auto" w:sz="4" w:space="0"/>
              <w:left w:val="single" w:color="auto" w:sz="4" w:space="0"/>
              <w:right w:val="single" w:color="auto" w:sz="4" w:space="0"/>
            </w:tcBorders>
            <w:noWrap/>
          </w:tcPr>
          <w:p w14:paraId="5FE3679E">
            <w:pPr>
              <w:wordWrap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项号</w:t>
            </w:r>
          </w:p>
        </w:tc>
        <w:tc>
          <w:tcPr>
            <w:tcW w:w="3757" w:type="dxa"/>
            <w:tcBorders>
              <w:top w:val="single" w:color="auto" w:sz="4" w:space="0"/>
              <w:left w:val="single" w:color="auto" w:sz="4" w:space="0"/>
              <w:bottom w:val="single" w:color="auto" w:sz="4" w:space="0"/>
              <w:right w:val="single" w:color="auto" w:sz="4" w:space="0"/>
            </w:tcBorders>
            <w:noWrap/>
          </w:tcPr>
          <w:p w14:paraId="751489C1">
            <w:pPr>
              <w:wordWrap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招标文件的商务需求</w:t>
            </w:r>
          </w:p>
        </w:tc>
        <w:tc>
          <w:tcPr>
            <w:tcW w:w="2516" w:type="dxa"/>
            <w:tcBorders>
              <w:top w:val="single" w:color="auto" w:sz="4" w:space="0"/>
              <w:left w:val="single" w:color="auto" w:sz="4" w:space="0"/>
              <w:right w:val="single" w:color="auto" w:sz="4" w:space="0"/>
            </w:tcBorders>
          </w:tcPr>
          <w:p w14:paraId="2BEF6FEC">
            <w:pPr>
              <w:wordWrap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投标文件承诺的商务条款</w:t>
            </w:r>
          </w:p>
        </w:tc>
        <w:tc>
          <w:tcPr>
            <w:tcW w:w="2516" w:type="dxa"/>
            <w:tcBorders>
              <w:top w:val="single" w:color="auto" w:sz="4" w:space="0"/>
              <w:left w:val="single" w:color="auto" w:sz="4" w:space="0"/>
              <w:right w:val="single" w:color="auto" w:sz="4" w:space="0"/>
            </w:tcBorders>
          </w:tcPr>
          <w:p w14:paraId="2E6C0A2F">
            <w:pPr>
              <w:wordWrap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偏离说明</w:t>
            </w:r>
          </w:p>
        </w:tc>
      </w:tr>
      <w:tr w14:paraId="64820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right w:val="single" w:color="auto" w:sz="4" w:space="0"/>
            </w:tcBorders>
            <w:noWrap/>
          </w:tcPr>
          <w:p w14:paraId="7D0931F4">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一</w:t>
            </w:r>
          </w:p>
        </w:tc>
        <w:tc>
          <w:tcPr>
            <w:tcW w:w="3757" w:type="dxa"/>
            <w:tcBorders>
              <w:top w:val="single" w:color="auto" w:sz="4" w:space="0"/>
              <w:left w:val="single" w:color="auto" w:sz="4" w:space="0"/>
              <w:bottom w:val="single" w:color="auto" w:sz="4" w:space="0"/>
              <w:right w:val="single" w:color="auto" w:sz="4" w:space="0"/>
            </w:tcBorders>
            <w:noWrap/>
          </w:tcPr>
          <w:p w14:paraId="19E339E5">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1  ……</w:t>
            </w:r>
          </w:p>
        </w:tc>
        <w:tc>
          <w:tcPr>
            <w:tcW w:w="2516" w:type="dxa"/>
            <w:tcBorders>
              <w:top w:val="single" w:color="auto" w:sz="4" w:space="0"/>
              <w:left w:val="single" w:color="auto" w:sz="4" w:space="0"/>
              <w:right w:val="single" w:color="auto" w:sz="4" w:space="0"/>
            </w:tcBorders>
          </w:tcPr>
          <w:p w14:paraId="58369150">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1  ……</w:t>
            </w:r>
          </w:p>
        </w:tc>
        <w:tc>
          <w:tcPr>
            <w:tcW w:w="2516" w:type="dxa"/>
            <w:tcBorders>
              <w:top w:val="single" w:color="auto" w:sz="4" w:space="0"/>
              <w:left w:val="single" w:color="auto" w:sz="4" w:space="0"/>
              <w:right w:val="single" w:color="auto" w:sz="4" w:space="0"/>
            </w:tcBorders>
          </w:tcPr>
          <w:p w14:paraId="6635FF53">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正偏离（负偏离或无偏离）</w:t>
            </w:r>
          </w:p>
          <w:p w14:paraId="35BB8ACD">
            <w:pPr>
              <w:wordWrap w:val="0"/>
              <w:spacing w:line="360" w:lineRule="auto"/>
              <w:rPr>
                <w:rFonts w:ascii="宋体" w:hAnsi="宋体" w:cs="宋体"/>
                <w:color w:val="auto"/>
                <w:szCs w:val="21"/>
                <w:highlight w:val="none"/>
              </w:rPr>
            </w:pPr>
          </w:p>
        </w:tc>
      </w:tr>
      <w:tr w14:paraId="3FDCA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tcPr>
          <w:p w14:paraId="443B1D17">
            <w:pPr>
              <w:wordWrap w:val="0"/>
              <w:spacing w:line="360" w:lineRule="auto"/>
              <w:rPr>
                <w:rFonts w:ascii="宋体" w:hAnsi="宋体" w:cs="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14:paraId="42614362">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2  ……</w:t>
            </w:r>
          </w:p>
          <w:p w14:paraId="199F9ED9">
            <w:pPr>
              <w:wordWrap w:val="0"/>
              <w:spacing w:line="360" w:lineRule="auto"/>
              <w:rPr>
                <w:rFonts w:ascii="宋体" w:hAnsi="宋体" w:cs="宋体"/>
                <w:color w:val="auto"/>
                <w:szCs w:val="21"/>
                <w:highlight w:val="none"/>
              </w:rPr>
            </w:pPr>
          </w:p>
        </w:tc>
        <w:tc>
          <w:tcPr>
            <w:tcW w:w="2516" w:type="dxa"/>
            <w:tcBorders>
              <w:left w:val="single" w:color="auto" w:sz="4" w:space="0"/>
              <w:right w:val="single" w:color="auto" w:sz="4" w:space="0"/>
            </w:tcBorders>
          </w:tcPr>
          <w:p w14:paraId="75112E55">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2  ……</w:t>
            </w:r>
          </w:p>
          <w:p w14:paraId="10EB62E9">
            <w:pPr>
              <w:wordWrap w:val="0"/>
              <w:spacing w:line="360" w:lineRule="auto"/>
              <w:rPr>
                <w:rFonts w:ascii="宋体" w:hAnsi="宋体" w:cs="宋体"/>
                <w:color w:val="auto"/>
                <w:szCs w:val="21"/>
                <w:highlight w:val="none"/>
              </w:rPr>
            </w:pPr>
          </w:p>
        </w:tc>
        <w:tc>
          <w:tcPr>
            <w:tcW w:w="2516" w:type="dxa"/>
            <w:tcBorders>
              <w:left w:val="single" w:color="auto" w:sz="4" w:space="0"/>
              <w:right w:val="single" w:color="auto" w:sz="4" w:space="0"/>
            </w:tcBorders>
          </w:tcPr>
          <w:p w14:paraId="38D8788C">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正偏离（负偏离或无偏离）</w:t>
            </w:r>
          </w:p>
          <w:p w14:paraId="08D34179">
            <w:pPr>
              <w:wordWrap w:val="0"/>
              <w:spacing w:line="360" w:lineRule="auto"/>
              <w:rPr>
                <w:rFonts w:ascii="宋体" w:hAnsi="宋体" w:cs="宋体"/>
                <w:color w:val="auto"/>
                <w:szCs w:val="21"/>
                <w:highlight w:val="none"/>
              </w:rPr>
            </w:pPr>
          </w:p>
        </w:tc>
      </w:tr>
      <w:tr w14:paraId="4EF65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tcPr>
          <w:p w14:paraId="3277F6E4">
            <w:pPr>
              <w:wordWrap w:val="0"/>
              <w:spacing w:line="360" w:lineRule="auto"/>
              <w:rPr>
                <w:rFonts w:ascii="宋体" w:hAnsi="宋体" w:cs="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14:paraId="4BE4D659">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3  ……</w:t>
            </w:r>
          </w:p>
          <w:p w14:paraId="6914E383">
            <w:pPr>
              <w:wordWrap w:val="0"/>
              <w:spacing w:line="360" w:lineRule="auto"/>
              <w:rPr>
                <w:rFonts w:ascii="宋体" w:hAnsi="宋体" w:cs="宋体"/>
                <w:color w:val="auto"/>
                <w:szCs w:val="21"/>
                <w:highlight w:val="none"/>
              </w:rPr>
            </w:pPr>
          </w:p>
        </w:tc>
        <w:tc>
          <w:tcPr>
            <w:tcW w:w="2516" w:type="dxa"/>
            <w:tcBorders>
              <w:left w:val="single" w:color="auto" w:sz="4" w:space="0"/>
              <w:right w:val="single" w:color="auto" w:sz="4" w:space="0"/>
            </w:tcBorders>
          </w:tcPr>
          <w:p w14:paraId="723AB7E3">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3  ……</w:t>
            </w:r>
          </w:p>
          <w:p w14:paraId="4401961B">
            <w:pPr>
              <w:wordWrap w:val="0"/>
              <w:spacing w:line="360" w:lineRule="auto"/>
              <w:rPr>
                <w:rFonts w:ascii="宋体" w:hAnsi="宋体" w:cs="宋体"/>
                <w:color w:val="auto"/>
                <w:szCs w:val="21"/>
                <w:highlight w:val="none"/>
              </w:rPr>
            </w:pPr>
          </w:p>
        </w:tc>
        <w:tc>
          <w:tcPr>
            <w:tcW w:w="2516" w:type="dxa"/>
            <w:tcBorders>
              <w:left w:val="single" w:color="auto" w:sz="4" w:space="0"/>
              <w:right w:val="single" w:color="auto" w:sz="4" w:space="0"/>
            </w:tcBorders>
          </w:tcPr>
          <w:p w14:paraId="7B63892F">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正偏离（负偏离或无偏离）</w:t>
            </w:r>
          </w:p>
          <w:p w14:paraId="2E26F380">
            <w:pPr>
              <w:wordWrap w:val="0"/>
              <w:spacing w:line="360" w:lineRule="auto"/>
              <w:rPr>
                <w:rFonts w:ascii="宋体" w:hAnsi="宋体" w:cs="宋体"/>
                <w:color w:val="auto"/>
                <w:szCs w:val="21"/>
                <w:highlight w:val="none"/>
              </w:rPr>
            </w:pPr>
          </w:p>
        </w:tc>
      </w:tr>
      <w:tr w14:paraId="3D03C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bottom w:val="single" w:color="auto" w:sz="4" w:space="0"/>
              <w:right w:val="single" w:color="auto" w:sz="4" w:space="0"/>
            </w:tcBorders>
            <w:noWrap/>
          </w:tcPr>
          <w:p w14:paraId="29561DD9">
            <w:pPr>
              <w:wordWrap w:val="0"/>
              <w:spacing w:line="360" w:lineRule="auto"/>
              <w:rPr>
                <w:rFonts w:ascii="宋体" w:hAnsi="宋体" w:cs="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14:paraId="31C0BFB7">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w:t>
            </w:r>
          </w:p>
        </w:tc>
        <w:tc>
          <w:tcPr>
            <w:tcW w:w="2516" w:type="dxa"/>
            <w:tcBorders>
              <w:left w:val="single" w:color="auto" w:sz="4" w:space="0"/>
              <w:bottom w:val="single" w:color="auto" w:sz="4" w:space="0"/>
              <w:right w:val="single" w:color="auto" w:sz="4" w:space="0"/>
            </w:tcBorders>
          </w:tcPr>
          <w:p w14:paraId="7FBBD039">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w:t>
            </w:r>
          </w:p>
        </w:tc>
        <w:tc>
          <w:tcPr>
            <w:tcW w:w="2516" w:type="dxa"/>
            <w:tcBorders>
              <w:left w:val="single" w:color="auto" w:sz="4" w:space="0"/>
              <w:bottom w:val="single" w:color="auto" w:sz="4" w:space="0"/>
              <w:right w:val="single" w:color="auto" w:sz="4" w:space="0"/>
            </w:tcBorders>
          </w:tcPr>
          <w:p w14:paraId="0DD3E1CE">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正偏离（负偏离或无偏离）</w:t>
            </w:r>
          </w:p>
          <w:p w14:paraId="4A3E580F">
            <w:pPr>
              <w:wordWrap w:val="0"/>
              <w:spacing w:line="360" w:lineRule="auto"/>
              <w:rPr>
                <w:rFonts w:ascii="宋体" w:hAnsi="宋体" w:cs="宋体"/>
                <w:color w:val="auto"/>
                <w:szCs w:val="21"/>
                <w:highlight w:val="none"/>
              </w:rPr>
            </w:pPr>
          </w:p>
        </w:tc>
      </w:tr>
      <w:tr w14:paraId="5C8FB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right w:val="single" w:color="auto" w:sz="4" w:space="0"/>
            </w:tcBorders>
            <w:noWrap/>
          </w:tcPr>
          <w:p w14:paraId="0831361C">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二</w:t>
            </w:r>
          </w:p>
        </w:tc>
        <w:tc>
          <w:tcPr>
            <w:tcW w:w="3757" w:type="dxa"/>
            <w:tcBorders>
              <w:top w:val="single" w:color="auto" w:sz="4" w:space="0"/>
              <w:left w:val="single" w:color="auto" w:sz="4" w:space="0"/>
              <w:bottom w:val="single" w:color="auto" w:sz="4" w:space="0"/>
              <w:right w:val="single" w:color="auto" w:sz="4" w:space="0"/>
            </w:tcBorders>
            <w:noWrap/>
          </w:tcPr>
          <w:p w14:paraId="127152E7">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1  ……</w:t>
            </w:r>
          </w:p>
        </w:tc>
        <w:tc>
          <w:tcPr>
            <w:tcW w:w="2516" w:type="dxa"/>
            <w:tcBorders>
              <w:top w:val="single" w:color="auto" w:sz="4" w:space="0"/>
              <w:left w:val="single" w:color="auto" w:sz="4" w:space="0"/>
              <w:right w:val="single" w:color="auto" w:sz="4" w:space="0"/>
            </w:tcBorders>
          </w:tcPr>
          <w:p w14:paraId="064751AD">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1  ……</w:t>
            </w:r>
          </w:p>
        </w:tc>
        <w:tc>
          <w:tcPr>
            <w:tcW w:w="2516" w:type="dxa"/>
            <w:tcBorders>
              <w:top w:val="single" w:color="auto" w:sz="4" w:space="0"/>
              <w:left w:val="single" w:color="auto" w:sz="4" w:space="0"/>
              <w:right w:val="single" w:color="auto" w:sz="4" w:space="0"/>
            </w:tcBorders>
          </w:tcPr>
          <w:p w14:paraId="007F7C01">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正偏离（负偏离或无偏离）</w:t>
            </w:r>
          </w:p>
          <w:p w14:paraId="520222B8">
            <w:pPr>
              <w:wordWrap w:val="0"/>
              <w:spacing w:line="360" w:lineRule="auto"/>
              <w:rPr>
                <w:rFonts w:ascii="宋体" w:hAnsi="宋体" w:cs="宋体"/>
                <w:color w:val="auto"/>
                <w:szCs w:val="21"/>
                <w:highlight w:val="none"/>
              </w:rPr>
            </w:pPr>
          </w:p>
        </w:tc>
      </w:tr>
      <w:tr w14:paraId="39023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tcPr>
          <w:p w14:paraId="5AE8503C">
            <w:pPr>
              <w:wordWrap w:val="0"/>
              <w:spacing w:line="360" w:lineRule="auto"/>
              <w:rPr>
                <w:rFonts w:ascii="宋体" w:hAnsi="宋体" w:cs="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14:paraId="1A3F4498">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2  ……</w:t>
            </w:r>
          </w:p>
          <w:p w14:paraId="2FFF8FD7">
            <w:pPr>
              <w:wordWrap w:val="0"/>
              <w:spacing w:line="360" w:lineRule="auto"/>
              <w:rPr>
                <w:rFonts w:ascii="宋体" w:hAnsi="宋体" w:cs="宋体"/>
                <w:color w:val="auto"/>
                <w:szCs w:val="21"/>
                <w:highlight w:val="none"/>
              </w:rPr>
            </w:pPr>
          </w:p>
        </w:tc>
        <w:tc>
          <w:tcPr>
            <w:tcW w:w="2516" w:type="dxa"/>
            <w:tcBorders>
              <w:left w:val="single" w:color="auto" w:sz="4" w:space="0"/>
              <w:right w:val="single" w:color="auto" w:sz="4" w:space="0"/>
            </w:tcBorders>
          </w:tcPr>
          <w:p w14:paraId="38D5D369">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2  ……</w:t>
            </w:r>
          </w:p>
          <w:p w14:paraId="640EF30E">
            <w:pPr>
              <w:wordWrap w:val="0"/>
              <w:spacing w:line="360" w:lineRule="auto"/>
              <w:rPr>
                <w:rFonts w:ascii="宋体" w:hAnsi="宋体" w:cs="宋体"/>
                <w:color w:val="auto"/>
                <w:szCs w:val="21"/>
                <w:highlight w:val="none"/>
              </w:rPr>
            </w:pPr>
          </w:p>
        </w:tc>
        <w:tc>
          <w:tcPr>
            <w:tcW w:w="2516" w:type="dxa"/>
            <w:tcBorders>
              <w:left w:val="single" w:color="auto" w:sz="4" w:space="0"/>
              <w:right w:val="single" w:color="auto" w:sz="4" w:space="0"/>
            </w:tcBorders>
          </w:tcPr>
          <w:p w14:paraId="61FA3582">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正偏离（负偏离或无偏离）</w:t>
            </w:r>
          </w:p>
          <w:p w14:paraId="5F4F6218">
            <w:pPr>
              <w:wordWrap w:val="0"/>
              <w:spacing w:line="360" w:lineRule="auto"/>
              <w:rPr>
                <w:rFonts w:ascii="宋体" w:hAnsi="宋体" w:cs="宋体"/>
                <w:color w:val="auto"/>
                <w:szCs w:val="21"/>
                <w:highlight w:val="none"/>
              </w:rPr>
            </w:pPr>
          </w:p>
        </w:tc>
      </w:tr>
      <w:tr w14:paraId="7AE9D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tcPr>
          <w:p w14:paraId="23C91904">
            <w:pPr>
              <w:wordWrap w:val="0"/>
              <w:spacing w:line="360" w:lineRule="auto"/>
              <w:rPr>
                <w:rFonts w:ascii="宋体" w:hAnsi="宋体" w:cs="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14:paraId="22839E4B">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3  ……</w:t>
            </w:r>
          </w:p>
          <w:p w14:paraId="74BCE2C8">
            <w:pPr>
              <w:wordWrap w:val="0"/>
              <w:spacing w:line="360" w:lineRule="auto"/>
              <w:rPr>
                <w:rFonts w:ascii="宋体" w:hAnsi="宋体" w:cs="宋体"/>
                <w:color w:val="auto"/>
                <w:szCs w:val="21"/>
                <w:highlight w:val="none"/>
              </w:rPr>
            </w:pPr>
          </w:p>
        </w:tc>
        <w:tc>
          <w:tcPr>
            <w:tcW w:w="2516" w:type="dxa"/>
            <w:tcBorders>
              <w:left w:val="single" w:color="auto" w:sz="4" w:space="0"/>
              <w:right w:val="single" w:color="auto" w:sz="4" w:space="0"/>
            </w:tcBorders>
          </w:tcPr>
          <w:p w14:paraId="69E13CF1">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3  ……</w:t>
            </w:r>
          </w:p>
          <w:p w14:paraId="070A53F7">
            <w:pPr>
              <w:wordWrap w:val="0"/>
              <w:spacing w:line="360" w:lineRule="auto"/>
              <w:rPr>
                <w:rFonts w:ascii="宋体" w:hAnsi="宋体" w:cs="宋体"/>
                <w:color w:val="auto"/>
                <w:szCs w:val="21"/>
                <w:highlight w:val="none"/>
              </w:rPr>
            </w:pPr>
          </w:p>
        </w:tc>
        <w:tc>
          <w:tcPr>
            <w:tcW w:w="2516" w:type="dxa"/>
            <w:tcBorders>
              <w:left w:val="single" w:color="auto" w:sz="4" w:space="0"/>
              <w:right w:val="single" w:color="auto" w:sz="4" w:space="0"/>
            </w:tcBorders>
          </w:tcPr>
          <w:p w14:paraId="6E7190AF">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正偏离（负偏离或无偏离）</w:t>
            </w:r>
          </w:p>
          <w:p w14:paraId="1200DC7F">
            <w:pPr>
              <w:wordWrap w:val="0"/>
              <w:spacing w:line="360" w:lineRule="auto"/>
              <w:rPr>
                <w:rFonts w:ascii="宋体" w:hAnsi="宋体" w:cs="宋体"/>
                <w:color w:val="auto"/>
                <w:szCs w:val="21"/>
                <w:highlight w:val="none"/>
              </w:rPr>
            </w:pPr>
          </w:p>
        </w:tc>
      </w:tr>
      <w:tr w14:paraId="6A686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bottom w:val="single" w:color="auto" w:sz="4" w:space="0"/>
              <w:right w:val="single" w:color="auto" w:sz="4" w:space="0"/>
            </w:tcBorders>
            <w:noWrap/>
          </w:tcPr>
          <w:p w14:paraId="2EDD84E6">
            <w:pPr>
              <w:wordWrap w:val="0"/>
              <w:spacing w:line="360" w:lineRule="auto"/>
              <w:rPr>
                <w:rFonts w:ascii="宋体" w:hAnsi="宋体" w:cs="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14:paraId="7178B353">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w:t>
            </w:r>
          </w:p>
        </w:tc>
        <w:tc>
          <w:tcPr>
            <w:tcW w:w="2516" w:type="dxa"/>
            <w:tcBorders>
              <w:left w:val="single" w:color="auto" w:sz="4" w:space="0"/>
              <w:bottom w:val="single" w:color="auto" w:sz="4" w:space="0"/>
              <w:right w:val="single" w:color="auto" w:sz="4" w:space="0"/>
            </w:tcBorders>
          </w:tcPr>
          <w:p w14:paraId="6DE854AC">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w:t>
            </w:r>
          </w:p>
        </w:tc>
        <w:tc>
          <w:tcPr>
            <w:tcW w:w="2516" w:type="dxa"/>
            <w:tcBorders>
              <w:left w:val="single" w:color="auto" w:sz="4" w:space="0"/>
              <w:bottom w:val="single" w:color="auto" w:sz="4" w:space="0"/>
              <w:right w:val="single" w:color="auto" w:sz="4" w:space="0"/>
            </w:tcBorders>
          </w:tcPr>
          <w:p w14:paraId="644E21A1">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正偏离（负偏离或无偏离）</w:t>
            </w:r>
          </w:p>
          <w:p w14:paraId="0EEF01A8">
            <w:pPr>
              <w:wordWrap w:val="0"/>
              <w:spacing w:line="360" w:lineRule="auto"/>
              <w:rPr>
                <w:rFonts w:ascii="宋体" w:hAnsi="宋体" w:cs="宋体"/>
                <w:color w:val="auto"/>
                <w:szCs w:val="21"/>
                <w:highlight w:val="none"/>
              </w:rPr>
            </w:pPr>
          </w:p>
        </w:tc>
      </w:tr>
      <w:tr w14:paraId="20038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right w:val="single" w:color="auto" w:sz="4" w:space="0"/>
            </w:tcBorders>
            <w:noWrap/>
          </w:tcPr>
          <w:p w14:paraId="6165CB91">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w:t>
            </w:r>
          </w:p>
        </w:tc>
        <w:tc>
          <w:tcPr>
            <w:tcW w:w="3757" w:type="dxa"/>
            <w:tcBorders>
              <w:top w:val="single" w:color="auto" w:sz="4" w:space="0"/>
              <w:left w:val="single" w:color="auto" w:sz="4" w:space="0"/>
              <w:bottom w:val="single" w:color="auto" w:sz="4" w:space="0"/>
              <w:right w:val="single" w:color="auto" w:sz="4" w:space="0"/>
            </w:tcBorders>
            <w:noWrap/>
          </w:tcPr>
          <w:p w14:paraId="2A650986">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1  ……</w:t>
            </w:r>
          </w:p>
        </w:tc>
        <w:tc>
          <w:tcPr>
            <w:tcW w:w="2516" w:type="dxa"/>
            <w:tcBorders>
              <w:top w:val="single" w:color="auto" w:sz="4" w:space="0"/>
              <w:left w:val="single" w:color="auto" w:sz="4" w:space="0"/>
              <w:right w:val="single" w:color="auto" w:sz="4" w:space="0"/>
            </w:tcBorders>
          </w:tcPr>
          <w:p w14:paraId="2A138926">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1  ……</w:t>
            </w:r>
          </w:p>
        </w:tc>
        <w:tc>
          <w:tcPr>
            <w:tcW w:w="2516" w:type="dxa"/>
            <w:tcBorders>
              <w:top w:val="single" w:color="auto" w:sz="4" w:space="0"/>
              <w:left w:val="single" w:color="auto" w:sz="4" w:space="0"/>
              <w:right w:val="single" w:color="auto" w:sz="4" w:space="0"/>
            </w:tcBorders>
          </w:tcPr>
          <w:p w14:paraId="100F1F42">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正偏离（负偏离或无偏离）</w:t>
            </w:r>
          </w:p>
          <w:p w14:paraId="7ADD7626">
            <w:pPr>
              <w:wordWrap w:val="0"/>
              <w:spacing w:line="360" w:lineRule="auto"/>
              <w:rPr>
                <w:rFonts w:ascii="宋体" w:hAnsi="宋体" w:cs="宋体"/>
                <w:color w:val="auto"/>
                <w:szCs w:val="21"/>
                <w:highlight w:val="none"/>
              </w:rPr>
            </w:pPr>
          </w:p>
        </w:tc>
      </w:tr>
      <w:tr w14:paraId="1EC30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tcPr>
          <w:p w14:paraId="38A44E08">
            <w:pPr>
              <w:wordWrap w:val="0"/>
              <w:spacing w:line="360" w:lineRule="auto"/>
              <w:rPr>
                <w:rFonts w:ascii="宋体" w:hAnsi="宋体" w:cs="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14:paraId="7BF2E84C">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2  ……</w:t>
            </w:r>
          </w:p>
          <w:p w14:paraId="4021221E">
            <w:pPr>
              <w:wordWrap w:val="0"/>
              <w:spacing w:line="360" w:lineRule="auto"/>
              <w:rPr>
                <w:rFonts w:ascii="宋体" w:hAnsi="宋体" w:cs="宋体"/>
                <w:color w:val="auto"/>
                <w:szCs w:val="21"/>
                <w:highlight w:val="none"/>
              </w:rPr>
            </w:pPr>
          </w:p>
        </w:tc>
        <w:tc>
          <w:tcPr>
            <w:tcW w:w="2516" w:type="dxa"/>
            <w:tcBorders>
              <w:left w:val="single" w:color="auto" w:sz="4" w:space="0"/>
              <w:right w:val="single" w:color="auto" w:sz="4" w:space="0"/>
            </w:tcBorders>
          </w:tcPr>
          <w:p w14:paraId="6734408E">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2  ……</w:t>
            </w:r>
          </w:p>
          <w:p w14:paraId="026C064D">
            <w:pPr>
              <w:wordWrap w:val="0"/>
              <w:spacing w:line="360" w:lineRule="auto"/>
              <w:rPr>
                <w:rFonts w:ascii="宋体" w:hAnsi="宋体" w:cs="宋体"/>
                <w:color w:val="auto"/>
                <w:szCs w:val="21"/>
                <w:highlight w:val="none"/>
              </w:rPr>
            </w:pPr>
          </w:p>
        </w:tc>
        <w:tc>
          <w:tcPr>
            <w:tcW w:w="2516" w:type="dxa"/>
            <w:tcBorders>
              <w:left w:val="single" w:color="auto" w:sz="4" w:space="0"/>
              <w:right w:val="single" w:color="auto" w:sz="4" w:space="0"/>
            </w:tcBorders>
          </w:tcPr>
          <w:p w14:paraId="7D558649">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正偏离（负偏离或无偏离）</w:t>
            </w:r>
          </w:p>
          <w:p w14:paraId="495F8B1D">
            <w:pPr>
              <w:wordWrap w:val="0"/>
              <w:spacing w:line="360" w:lineRule="auto"/>
              <w:rPr>
                <w:rFonts w:ascii="宋体" w:hAnsi="宋体" w:cs="宋体"/>
                <w:color w:val="auto"/>
                <w:szCs w:val="21"/>
                <w:highlight w:val="none"/>
              </w:rPr>
            </w:pPr>
          </w:p>
        </w:tc>
      </w:tr>
      <w:tr w14:paraId="4E90E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tcPr>
          <w:p w14:paraId="68F7E14D">
            <w:pPr>
              <w:wordWrap w:val="0"/>
              <w:spacing w:line="360" w:lineRule="auto"/>
              <w:rPr>
                <w:rFonts w:ascii="宋体" w:hAnsi="宋体" w:cs="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14:paraId="623ED711">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3  ……</w:t>
            </w:r>
          </w:p>
          <w:p w14:paraId="77CC152A">
            <w:pPr>
              <w:wordWrap w:val="0"/>
              <w:spacing w:line="360" w:lineRule="auto"/>
              <w:rPr>
                <w:rFonts w:ascii="宋体" w:hAnsi="宋体" w:cs="宋体"/>
                <w:color w:val="auto"/>
                <w:szCs w:val="21"/>
                <w:highlight w:val="none"/>
              </w:rPr>
            </w:pPr>
          </w:p>
        </w:tc>
        <w:tc>
          <w:tcPr>
            <w:tcW w:w="2516" w:type="dxa"/>
            <w:tcBorders>
              <w:left w:val="single" w:color="auto" w:sz="4" w:space="0"/>
              <w:right w:val="single" w:color="auto" w:sz="4" w:space="0"/>
            </w:tcBorders>
          </w:tcPr>
          <w:p w14:paraId="0E132B59">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3  ……</w:t>
            </w:r>
          </w:p>
          <w:p w14:paraId="0EA50FAA">
            <w:pPr>
              <w:wordWrap w:val="0"/>
              <w:spacing w:line="360" w:lineRule="auto"/>
              <w:rPr>
                <w:rFonts w:ascii="宋体" w:hAnsi="宋体" w:cs="宋体"/>
                <w:color w:val="auto"/>
                <w:szCs w:val="21"/>
                <w:highlight w:val="none"/>
              </w:rPr>
            </w:pPr>
          </w:p>
        </w:tc>
        <w:tc>
          <w:tcPr>
            <w:tcW w:w="2516" w:type="dxa"/>
            <w:tcBorders>
              <w:left w:val="single" w:color="auto" w:sz="4" w:space="0"/>
              <w:right w:val="single" w:color="auto" w:sz="4" w:space="0"/>
            </w:tcBorders>
          </w:tcPr>
          <w:p w14:paraId="725BBC76">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正偏离（负偏离或无偏离）</w:t>
            </w:r>
          </w:p>
          <w:p w14:paraId="4ECE8522">
            <w:pPr>
              <w:wordWrap w:val="0"/>
              <w:spacing w:line="360" w:lineRule="auto"/>
              <w:rPr>
                <w:rFonts w:ascii="宋体" w:hAnsi="宋体" w:cs="宋体"/>
                <w:color w:val="auto"/>
                <w:szCs w:val="21"/>
                <w:highlight w:val="none"/>
              </w:rPr>
            </w:pPr>
          </w:p>
        </w:tc>
      </w:tr>
      <w:tr w14:paraId="1437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bottom w:val="single" w:color="auto" w:sz="4" w:space="0"/>
              <w:right w:val="single" w:color="auto" w:sz="4" w:space="0"/>
            </w:tcBorders>
            <w:noWrap/>
          </w:tcPr>
          <w:p w14:paraId="32748380">
            <w:pPr>
              <w:wordWrap w:val="0"/>
              <w:spacing w:line="360" w:lineRule="auto"/>
              <w:rPr>
                <w:rFonts w:ascii="宋体" w:hAnsi="宋体" w:cs="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14:paraId="2B5BE660">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w:t>
            </w:r>
          </w:p>
        </w:tc>
        <w:tc>
          <w:tcPr>
            <w:tcW w:w="2516" w:type="dxa"/>
            <w:tcBorders>
              <w:left w:val="single" w:color="auto" w:sz="4" w:space="0"/>
              <w:bottom w:val="single" w:color="auto" w:sz="4" w:space="0"/>
              <w:right w:val="single" w:color="auto" w:sz="4" w:space="0"/>
            </w:tcBorders>
          </w:tcPr>
          <w:p w14:paraId="3689167F">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w:t>
            </w:r>
          </w:p>
        </w:tc>
        <w:tc>
          <w:tcPr>
            <w:tcW w:w="2516" w:type="dxa"/>
            <w:tcBorders>
              <w:left w:val="single" w:color="auto" w:sz="4" w:space="0"/>
              <w:bottom w:val="single" w:color="auto" w:sz="4" w:space="0"/>
              <w:right w:val="single" w:color="auto" w:sz="4" w:space="0"/>
            </w:tcBorders>
          </w:tcPr>
          <w:p w14:paraId="4257F38F">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正偏离（负偏离或无偏离）</w:t>
            </w:r>
          </w:p>
          <w:p w14:paraId="3A68F047">
            <w:pPr>
              <w:wordWrap w:val="0"/>
              <w:spacing w:line="360" w:lineRule="auto"/>
              <w:rPr>
                <w:rFonts w:ascii="宋体" w:hAnsi="宋体" w:cs="宋体"/>
                <w:color w:val="auto"/>
                <w:szCs w:val="21"/>
                <w:highlight w:val="none"/>
              </w:rPr>
            </w:pPr>
          </w:p>
        </w:tc>
      </w:tr>
      <w:tr w14:paraId="1A787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9480" w:type="dxa"/>
            <w:gridSpan w:val="4"/>
            <w:tcBorders>
              <w:top w:val="single" w:color="auto" w:sz="4" w:space="0"/>
              <w:left w:val="single" w:color="auto" w:sz="4" w:space="0"/>
              <w:bottom w:val="single" w:color="auto" w:sz="4" w:space="0"/>
              <w:right w:val="single" w:color="auto" w:sz="4" w:space="0"/>
            </w:tcBorders>
            <w:noWrap/>
          </w:tcPr>
          <w:p w14:paraId="65126008">
            <w:pPr>
              <w:wordWrap w:val="0"/>
              <w:spacing w:line="360" w:lineRule="auto"/>
              <w:rPr>
                <w:rFonts w:ascii="宋体" w:hAnsi="宋体" w:cs="宋体"/>
                <w:color w:val="auto"/>
                <w:szCs w:val="21"/>
                <w:highlight w:val="none"/>
              </w:rPr>
            </w:pPr>
            <w:r>
              <w:rPr>
                <w:rFonts w:hint="eastAsia" w:ascii="宋体" w:hAnsi="宋体" w:cs="宋体"/>
                <w:color w:val="auto"/>
                <w:szCs w:val="21"/>
                <w:highlight w:val="none"/>
                <w:u w:val="single"/>
              </w:rPr>
              <w:t>　　</w:t>
            </w:r>
            <w:r>
              <w:rPr>
                <w:rFonts w:hint="eastAsia" w:ascii="宋体" w:hAnsi="宋体" w:cs="宋体"/>
                <w:color w:val="auto"/>
                <w:szCs w:val="21"/>
                <w:highlight w:val="none"/>
              </w:rPr>
              <w:t>分标（此处有分标时填写具体分标号，无分标时填写“无”）</w:t>
            </w:r>
          </w:p>
        </w:tc>
      </w:tr>
    </w:tbl>
    <w:p w14:paraId="2BF1137D">
      <w:pPr>
        <w:pStyle w:val="12"/>
        <w:wordWrap w:val="0"/>
        <w:spacing w:line="360" w:lineRule="auto"/>
        <w:ind w:left="-708" w:leftChars="-337"/>
        <w:rPr>
          <w:rFonts w:hAnsi="宋体" w:cs="宋体"/>
          <w:color w:val="auto"/>
          <w:highlight w:val="none"/>
        </w:rPr>
      </w:pPr>
    </w:p>
    <w:p w14:paraId="5D3F307C">
      <w:pPr>
        <w:pStyle w:val="12"/>
        <w:wordWrap w:val="0"/>
        <w:spacing w:line="360" w:lineRule="auto"/>
        <w:ind w:left="-708" w:leftChars="-337"/>
        <w:rPr>
          <w:rFonts w:hAnsi="宋体" w:cs="宋体"/>
          <w:color w:val="auto"/>
          <w:highlight w:val="none"/>
        </w:rPr>
      </w:pPr>
      <w:r>
        <w:rPr>
          <w:rFonts w:hint="eastAsia" w:hAnsi="宋体" w:cs="宋体"/>
          <w:color w:val="auto"/>
          <w:highlight w:val="none"/>
        </w:rPr>
        <w:t>注：</w:t>
      </w:r>
    </w:p>
    <w:p w14:paraId="5DDA2197">
      <w:pPr>
        <w:pStyle w:val="12"/>
        <w:wordWrap w:val="0"/>
        <w:spacing w:line="360" w:lineRule="auto"/>
        <w:ind w:left="-708" w:leftChars="-337" w:firstLine="420" w:firstLineChars="200"/>
        <w:rPr>
          <w:rFonts w:hAnsi="宋体" w:cs="宋体"/>
          <w:color w:val="auto"/>
          <w:highlight w:val="none"/>
        </w:rPr>
      </w:pPr>
      <w:r>
        <w:rPr>
          <w:rFonts w:hint="eastAsia" w:hAnsi="宋体" w:cs="宋体"/>
          <w:color w:val="auto"/>
          <w:highlight w:val="none"/>
        </w:rPr>
        <w:t>1.表格内容均需按要求填写并盖章，不得留空，否则按投标无效处理。</w:t>
      </w:r>
    </w:p>
    <w:p w14:paraId="20DC25BE">
      <w:pPr>
        <w:pStyle w:val="12"/>
        <w:wordWrap w:val="0"/>
        <w:spacing w:line="360" w:lineRule="auto"/>
        <w:ind w:left="-603" w:leftChars="-287" w:firstLine="316" w:firstLineChars="150"/>
        <w:rPr>
          <w:rFonts w:hAnsi="宋体" w:cs="宋体"/>
          <w:color w:val="auto"/>
          <w:highlight w:val="none"/>
        </w:rPr>
      </w:pPr>
      <w:r>
        <w:rPr>
          <w:rFonts w:hint="eastAsia" w:hAnsi="宋体" w:cs="宋体"/>
          <w:b/>
          <w:bCs/>
          <w:color w:val="auto"/>
          <w:highlight w:val="none"/>
        </w:rPr>
        <w:t>2.如果招标文件需求为小于或大于某个数值标准时，投标文件承诺不得直接复制招标文件需求，投标文件承诺内容应当写明投标货物具体参数或商务响应承诺的具体数值，否则按投标无效处理。</w:t>
      </w:r>
      <w:r>
        <w:rPr>
          <w:rFonts w:hint="eastAsia" w:hAnsi="宋体" w:cs="宋体"/>
          <w:color w:val="auto"/>
          <w:highlight w:val="none"/>
        </w:rPr>
        <w:t>如该采购需求属于不能明确具体数值的，采购人应在此采购需求的数值后标注◆号，对标注◆号的采购需求不适用上述“投标无效”条款。</w:t>
      </w:r>
    </w:p>
    <w:p w14:paraId="325B97DB">
      <w:pPr>
        <w:pStyle w:val="12"/>
        <w:wordWrap w:val="0"/>
        <w:spacing w:line="360" w:lineRule="auto"/>
        <w:ind w:left="-603" w:leftChars="-287" w:firstLine="315" w:firstLineChars="150"/>
        <w:rPr>
          <w:rFonts w:hAnsi="宋体" w:cs="宋体"/>
          <w:color w:val="auto"/>
          <w:highlight w:val="none"/>
        </w:rPr>
      </w:pPr>
      <w:r>
        <w:rPr>
          <w:rFonts w:hint="eastAsia" w:hAnsi="宋体" w:cs="宋体"/>
          <w:color w:val="auto"/>
          <w:highlight w:val="none"/>
        </w:rPr>
        <w:t>3.当投标文件的商务内容低于招标文件要求时，投标人应当如实写明“负偏离”，否则视为虚假应标。</w:t>
      </w:r>
    </w:p>
    <w:p w14:paraId="173AA72E">
      <w:pPr>
        <w:pStyle w:val="12"/>
        <w:wordWrap w:val="0"/>
        <w:spacing w:line="360" w:lineRule="auto"/>
        <w:ind w:left="-708" w:leftChars="-337" w:firstLine="420" w:firstLineChars="200"/>
        <w:rPr>
          <w:rFonts w:hAnsi="宋体" w:cs="宋体"/>
          <w:color w:val="auto"/>
          <w:highlight w:val="none"/>
        </w:rPr>
      </w:pPr>
      <w:r>
        <w:rPr>
          <w:rFonts w:hint="eastAsia" w:hAnsi="宋体" w:cs="宋体"/>
          <w:color w:val="auto"/>
          <w:szCs w:val="21"/>
          <w:highlight w:val="none"/>
        </w:rPr>
        <w:t>4.采购需求中带“▲”及“★”的条款，也要分别在本表“投标文件的商务需求”、“投标文件承诺的商务条款”中标记。</w:t>
      </w:r>
    </w:p>
    <w:p w14:paraId="351E7172">
      <w:pPr>
        <w:wordWrap w:val="0"/>
        <w:snapToGrid w:val="0"/>
        <w:spacing w:line="360" w:lineRule="auto"/>
        <w:rPr>
          <w:rFonts w:ascii="宋体" w:hAnsi="宋体" w:cs="宋体"/>
          <w:color w:val="auto"/>
          <w:sz w:val="24"/>
          <w:highlight w:val="none"/>
        </w:rPr>
      </w:pPr>
    </w:p>
    <w:p w14:paraId="2C9D97A7">
      <w:pPr>
        <w:wordWrap w:val="0"/>
        <w:snapToGrid w:val="0"/>
        <w:spacing w:line="360" w:lineRule="auto"/>
        <w:ind w:firstLine="4935" w:firstLineChars="2350"/>
        <w:rPr>
          <w:rFonts w:ascii="宋体" w:hAnsi="宋体" w:cs="宋体"/>
          <w:color w:val="auto"/>
          <w:kern w:val="0"/>
          <w:sz w:val="24"/>
          <w:highlight w:val="none"/>
        </w:rPr>
      </w:pPr>
      <w:r>
        <w:rPr>
          <w:rFonts w:hint="eastAsia" w:ascii="宋体" w:hAnsi="宋体" w:cs="宋体"/>
          <w:color w:val="auto"/>
          <w:szCs w:val="21"/>
          <w:highlight w:val="none"/>
        </w:rPr>
        <w:t xml:space="preserve">  </w:t>
      </w:r>
      <w:r>
        <w:rPr>
          <w:rFonts w:hint="eastAsia" w:ascii="宋体" w:hAnsi="宋体" w:cs="宋体"/>
          <w:color w:val="auto"/>
          <w:kern w:val="0"/>
          <w:sz w:val="24"/>
          <w:highlight w:val="none"/>
          <w:lang w:val="zh-CN"/>
        </w:rPr>
        <w:t>投标人名称(电子签章)：</w:t>
      </w:r>
    </w:p>
    <w:p w14:paraId="68A83201">
      <w:pPr>
        <w:wordWrap w:val="0"/>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5821BE09">
      <w:pPr>
        <w:widowControl/>
        <w:wordWrap w:val="0"/>
        <w:spacing w:line="360" w:lineRule="auto"/>
        <w:jc w:val="left"/>
        <w:rPr>
          <w:rFonts w:ascii="宋体" w:hAnsi="宋体" w:cs="宋体"/>
          <w:color w:val="auto"/>
          <w:szCs w:val="21"/>
          <w:highlight w:val="none"/>
        </w:rPr>
        <w:sectPr>
          <w:pgSz w:w="11906" w:h="16838"/>
          <w:pgMar w:top="1440" w:right="1080" w:bottom="1440" w:left="1080" w:header="851" w:footer="992" w:gutter="0"/>
          <w:pgNumType w:fmt="decimal"/>
          <w:cols w:space="720" w:num="1"/>
        </w:sectPr>
      </w:pPr>
    </w:p>
    <w:p w14:paraId="6B882F47">
      <w:pPr>
        <w:wordWrap w:val="0"/>
        <w:snapToGrid w:val="0"/>
        <w:spacing w:line="360" w:lineRule="auto"/>
        <w:ind w:firstLine="602" w:firstLineChars="200"/>
        <w:jc w:val="center"/>
        <w:rPr>
          <w:rFonts w:ascii="宋体" w:hAnsi="宋体" w:cs="宋体"/>
          <w:b/>
          <w:bCs/>
          <w:color w:val="auto"/>
          <w:sz w:val="30"/>
          <w:szCs w:val="30"/>
          <w:highlight w:val="none"/>
        </w:rPr>
      </w:pPr>
      <w:r>
        <w:rPr>
          <w:rFonts w:hint="eastAsia" w:ascii="宋体" w:hAnsi="宋体" w:cs="宋体"/>
          <w:b/>
          <w:bCs/>
          <w:color w:val="auto"/>
          <w:sz w:val="30"/>
          <w:szCs w:val="30"/>
          <w:highlight w:val="none"/>
        </w:rPr>
        <w:t>五、投标人情况介绍</w:t>
      </w:r>
    </w:p>
    <w:p w14:paraId="0CC187CD">
      <w:pPr>
        <w:wordWrap w:val="0"/>
        <w:spacing w:line="360" w:lineRule="auto"/>
        <w:ind w:firstLine="4048" w:firstLineChars="1687"/>
        <w:rPr>
          <w:rFonts w:ascii="宋体" w:hAnsi="宋体" w:cs="宋体"/>
          <w:color w:val="auto"/>
          <w:kern w:val="0"/>
          <w:sz w:val="24"/>
          <w:highlight w:val="none"/>
        </w:rPr>
      </w:pPr>
      <w:r>
        <w:rPr>
          <w:rFonts w:hint="eastAsia" w:ascii="宋体" w:hAnsi="宋体" w:cs="宋体"/>
          <w:color w:val="auto"/>
          <w:sz w:val="24"/>
          <w:highlight w:val="none"/>
        </w:rPr>
        <w:t>（格式自拟）</w:t>
      </w:r>
    </w:p>
    <w:p w14:paraId="59C4C058">
      <w:pPr>
        <w:wordWrap w:val="0"/>
        <w:snapToGrid w:val="0"/>
        <w:spacing w:line="360" w:lineRule="auto"/>
        <w:ind w:firstLine="4935" w:firstLineChars="2350"/>
        <w:rPr>
          <w:rFonts w:ascii="宋体" w:hAnsi="宋体" w:cs="宋体"/>
          <w:color w:val="auto"/>
          <w:szCs w:val="21"/>
          <w:highlight w:val="none"/>
        </w:rPr>
      </w:pPr>
      <w:r>
        <w:rPr>
          <w:rFonts w:hint="eastAsia" w:ascii="宋体" w:hAnsi="宋体" w:cs="宋体"/>
          <w:color w:val="auto"/>
          <w:szCs w:val="21"/>
          <w:highlight w:val="none"/>
        </w:rPr>
        <w:t xml:space="preserve"> </w:t>
      </w:r>
    </w:p>
    <w:p w14:paraId="070496A5">
      <w:pPr>
        <w:wordWrap w:val="0"/>
        <w:snapToGrid w:val="0"/>
        <w:spacing w:line="360" w:lineRule="auto"/>
        <w:ind w:firstLine="4935" w:firstLineChars="2350"/>
        <w:rPr>
          <w:rFonts w:ascii="宋体" w:hAnsi="宋体" w:cs="宋体"/>
          <w:color w:val="auto"/>
          <w:szCs w:val="21"/>
          <w:highlight w:val="none"/>
        </w:rPr>
      </w:pPr>
    </w:p>
    <w:p w14:paraId="140307CD">
      <w:pPr>
        <w:wordWrap w:val="0"/>
        <w:snapToGrid w:val="0"/>
        <w:spacing w:line="360" w:lineRule="auto"/>
        <w:ind w:firstLine="4935" w:firstLineChars="2350"/>
        <w:rPr>
          <w:rFonts w:ascii="宋体" w:hAnsi="宋体" w:cs="宋体"/>
          <w:color w:val="auto"/>
          <w:szCs w:val="21"/>
          <w:highlight w:val="none"/>
        </w:rPr>
      </w:pPr>
    </w:p>
    <w:p w14:paraId="200BCA28">
      <w:pPr>
        <w:wordWrap w:val="0"/>
        <w:snapToGrid w:val="0"/>
        <w:spacing w:line="360" w:lineRule="auto"/>
        <w:ind w:firstLine="4935" w:firstLineChars="2350"/>
        <w:rPr>
          <w:rFonts w:ascii="宋体" w:hAnsi="宋体" w:cs="宋体"/>
          <w:color w:val="auto"/>
          <w:szCs w:val="21"/>
          <w:highlight w:val="none"/>
        </w:rPr>
      </w:pPr>
    </w:p>
    <w:p w14:paraId="75ACC784">
      <w:pPr>
        <w:wordWrap w:val="0"/>
        <w:snapToGrid w:val="0"/>
        <w:spacing w:line="360" w:lineRule="auto"/>
        <w:ind w:firstLine="4935" w:firstLineChars="2350"/>
        <w:rPr>
          <w:rFonts w:ascii="宋体" w:hAnsi="宋体" w:cs="宋体"/>
          <w:color w:val="auto"/>
          <w:kern w:val="0"/>
          <w:sz w:val="24"/>
          <w:highlight w:val="none"/>
        </w:rPr>
      </w:pPr>
      <w:r>
        <w:rPr>
          <w:rFonts w:hint="eastAsia" w:ascii="宋体" w:hAnsi="宋体" w:cs="宋体"/>
          <w:color w:val="auto"/>
          <w:szCs w:val="21"/>
          <w:highlight w:val="none"/>
        </w:rPr>
        <w:t xml:space="preserve">  </w:t>
      </w:r>
      <w:r>
        <w:rPr>
          <w:rFonts w:hint="eastAsia" w:ascii="宋体" w:hAnsi="宋体" w:cs="宋体"/>
          <w:color w:val="auto"/>
          <w:kern w:val="0"/>
          <w:sz w:val="24"/>
          <w:highlight w:val="none"/>
          <w:lang w:val="zh-CN"/>
        </w:rPr>
        <w:t>投标人名称(电子签章)：</w:t>
      </w:r>
    </w:p>
    <w:p w14:paraId="29FD0EAF">
      <w:pPr>
        <w:wordWrap w:val="0"/>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35417188">
      <w:pPr>
        <w:wordWrap w:val="0"/>
        <w:snapToGrid w:val="0"/>
        <w:spacing w:line="360" w:lineRule="auto"/>
        <w:ind w:firstLine="602" w:firstLineChars="200"/>
        <w:jc w:val="center"/>
        <w:rPr>
          <w:rFonts w:ascii="宋体" w:hAnsi="宋体" w:cs="宋体"/>
          <w:b/>
          <w:bCs/>
          <w:color w:val="auto"/>
          <w:sz w:val="30"/>
          <w:szCs w:val="30"/>
          <w:highlight w:val="none"/>
        </w:rPr>
      </w:pPr>
    </w:p>
    <w:p w14:paraId="0E03E687">
      <w:pPr>
        <w:widowControl/>
        <w:wordWrap w:val="0"/>
        <w:spacing w:line="360" w:lineRule="auto"/>
        <w:jc w:val="left"/>
        <w:rPr>
          <w:rFonts w:ascii="宋体" w:hAnsi="宋体" w:cs="宋体"/>
          <w:b/>
          <w:bCs/>
          <w:color w:val="auto"/>
          <w:sz w:val="30"/>
          <w:szCs w:val="30"/>
          <w:highlight w:val="none"/>
        </w:rPr>
        <w:sectPr>
          <w:pgSz w:w="11906" w:h="16838"/>
          <w:pgMar w:top="1440" w:right="1080" w:bottom="1440" w:left="1080" w:header="720" w:footer="720" w:gutter="0"/>
          <w:pgNumType w:fmt="decimal"/>
          <w:cols w:space="720" w:num="1"/>
          <w:docGrid w:type="lines" w:linePitch="331" w:charSpace="0"/>
        </w:sectPr>
      </w:pPr>
    </w:p>
    <w:p w14:paraId="086CFAFF">
      <w:pPr>
        <w:wordWrap w:val="0"/>
        <w:snapToGrid w:val="0"/>
        <w:spacing w:line="360" w:lineRule="auto"/>
        <w:ind w:firstLine="602" w:firstLineChars="200"/>
        <w:jc w:val="center"/>
        <w:rPr>
          <w:rFonts w:ascii="宋体" w:hAnsi="宋体" w:cs="宋体"/>
          <w:b/>
          <w:bCs/>
          <w:color w:val="auto"/>
          <w:sz w:val="30"/>
          <w:szCs w:val="30"/>
          <w:highlight w:val="none"/>
        </w:rPr>
      </w:pPr>
      <w:r>
        <w:rPr>
          <w:rFonts w:hint="eastAsia" w:ascii="宋体" w:hAnsi="宋体" w:cs="宋体"/>
          <w:b/>
          <w:bCs/>
          <w:color w:val="auto"/>
          <w:sz w:val="30"/>
          <w:szCs w:val="30"/>
          <w:highlight w:val="none"/>
        </w:rPr>
        <w:t>六、投标人类似的业绩证明文件（如有要求）</w:t>
      </w:r>
    </w:p>
    <w:p w14:paraId="591C35AB">
      <w:pPr>
        <w:pStyle w:val="17"/>
        <w:wordWrap w:val="0"/>
        <w:snapToGrid w:val="0"/>
        <w:spacing w:line="360" w:lineRule="auto"/>
        <w:ind w:left="0" w:firstLine="0" w:firstLineChars="0"/>
        <w:rPr>
          <w:rFonts w:ascii="宋体" w:hAnsi="宋体" w:cs="宋体"/>
          <w:color w:val="auto"/>
          <w:sz w:val="24"/>
          <w:highlight w:val="none"/>
        </w:rPr>
      </w:pPr>
    </w:p>
    <w:p w14:paraId="3EEB6DEA">
      <w:pPr>
        <w:wordWrap w:val="0"/>
        <w:autoSpaceDE w:val="0"/>
        <w:autoSpaceDN w:val="0"/>
        <w:spacing w:line="360" w:lineRule="auto"/>
        <w:ind w:firstLine="120"/>
        <w:rPr>
          <w:rFonts w:ascii="宋体" w:hAnsi="宋体" w:cs="宋体"/>
          <w:color w:val="auto"/>
          <w:sz w:val="24"/>
          <w:highlight w:val="none"/>
        </w:rPr>
      </w:pPr>
      <w:r>
        <w:rPr>
          <w:rFonts w:hint="eastAsia" w:ascii="宋体" w:hAnsi="宋体" w:cs="宋体"/>
          <w:b/>
          <w:color w:val="auto"/>
          <w:sz w:val="24"/>
          <w:highlight w:val="none"/>
        </w:rPr>
        <w:t>附表 :相关项目业绩一览表（投标人同类项目合同复印件/中标（或成交）通知书、用户验收报告（如有）、用户评价意见（如有）格式自拟）</w:t>
      </w:r>
    </w:p>
    <w:tbl>
      <w:tblPr>
        <w:tblStyle w:val="22"/>
        <w:tblW w:w="14567" w:type="dxa"/>
        <w:tblInd w:w="11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28"/>
        <w:gridCol w:w="3420"/>
        <w:gridCol w:w="1715"/>
        <w:gridCol w:w="1559"/>
        <w:gridCol w:w="1559"/>
        <w:gridCol w:w="1418"/>
        <w:gridCol w:w="2268"/>
      </w:tblGrid>
      <w:tr w14:paraId="3FDF1B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2628" w:type="dxa"/>
            <w:vMerge w:val="restart"/>
            <w:tcBorders>
              <w:top w:val="single" w:color="auto" w:sz="4" w:space="0"/>
              <w:left w:val="single" w:color="auto" w:sz="4" w:space="0"/>
              <w:bottom w:val="single" w:color="auto" w:sz="4" w:space="0"/>
              <w:right w:val="single" w:color="auto" w:sz="4" w:space="0"/>
            </w:tcBorders>
            <w:vAlign w:val="center"/>
          </w:tcPr>
          <w:p w14:paraId="6A478A5B">
            <w:pPr>
              <w:wordWrap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采购人名称</w:t>
            </w:r>
          </w:p>
        </w:tc>
        <w:tc>
          <w:tcPr>
            <w:tcW w:w="3420" w:type="dxa"/>
            <w:vMerge w:val="restart"/>
            <w:tcBorders>
              <w:top w:val="single" w:color="auto" w:sz="4" w:space="0"/>
              <w:left w:val="single" w:color="auto" w:sz="4" w:space="0"/>
              <w:bottom w:val="single" w:color="auto" w:sz="4" w:space="0"/>
              <w:right w:val="single" w:color="auto" w:sz="4" w:space="0"/>
            </w:tcBorders>
            <w:vAlign w:val="center"/>
          </w:tcPr>
          <w:p w14:paraId="2821556B">
            <w:pPr>
              <w:wordWrap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项目名称</w:t>
            </w:r>
          </w:p>
        </w:tc>
        <w:tc>
          <w:tcPr>
            <w:tcW w:w="1715" w:type="dxa"/>
            <w:vMerge w:val="restart"/>
            <w:tcBorders>
              <w:top w:val="single" w:color="auto" w:sz="4" w:space="0"/>
              <w:left w:val="single" w:color="auto" w:sz="4" w:space="0"/>
              <w:bottom w:val="single" w:color="auto" w:sz="4" w:space="0"/>
              <w:right w:val="single" w:color="auto" w:sz="4" w:space="0"/>
            </w:tcBorders>
            <w:vAlign w:val="center"/>
          </w:tcPr>
          <w:p w14:paraId="135EE1AE">
            <w:pPr>
              <w:wordWrap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合同</w:t>
            </w:r>
          </w:p>
          <w:p w14:paraId="5203884F">
            <w:pPr>
              <w:wordWrap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金额</w:t>
            </w:r>
          </w:p>
          <w:p w14:paraId="032ED2A9">
            <w:pPr>
              <w:wordWrap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（万元）</w:t>
            </w:r>
          </w:p>
        </w:tc>
        <w:tc>
          <w:tcPr>
            <w:tcW w:w="4536" w:type="dxa"/>
            <w:gridSpan w:val="3"/>
            <w:tcBorders>
              <w:top w:val="single" w:color="auto" w:sz="4" w:space="0"/>
              <w:left w:val="single" w:color="auto" w:sz="4" w:space="0"/>
              <w:bottom w:val="single" w:color="auto" w:sz="4" w:space="0"/>
              <w:right w:val="single" w:color="auto" w:sz="4" w:space="0"/>
            </w:tcBorders>
            <w:vAlign w:val="center"/>
          </w:tcPr>
          <w:p w14:paraId="3E12545D">
            <w:pPr>
              <w:wordWrap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附件在投标文件中页码</w:t>
            </w:r>
          </w:p>
        </w:tc>
        <w:tc>
          <w:tcPr>
            <w:tcW w:w="2268" w:type="dxa"/>
            <w:vMerge w:val="restart"/>
            <w:tcBorders>
              <w:top w:val="single" w:color="auto" w:sz="4" w:space="0"/>
              <w:left w:val="single" w:color="auto" w:sz="4" w:space="0"/>
              <w:bottom w:val="single" w:color="auto" w:sz="4" w:space="0"/>
              <w:right w:val="single" w:color="auto" w:sz="4" w:space="0"/>
            </w:tcBorders>
            <w:vAlign w:val="center"/>
          </w:tcPr>
          <w:p w14:paraId="175BAD30">
            <w:pPr>
              <w:wordWrap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采购人联系人及</w:t>
            </w:r>
          </w:p>
          <w:p w14:paraId="09BE0FBB">
            <w:pPr>
              <w:wordWrap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联系电话</w:t>
            </w:r>
          </w:p>
        </w:tc>
      </w:tr>
      <w:tr w14:paraId="1F1BF8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2628" w:type="dxa"/>
            <w:vMerge w:val="continue"/>
            <w:tcBorders>
              <w:top w:val="single" w:color="auto" w:sz="4" w:space="0"/>
              <w:left w:val="single" w:color="auto" w:sz="4" w:space="0"/>
              <w:bottom w:val="single" w:color="auto" w:sz="4" w:space="0"/>
              <w:right w:val="single" w:color="auto" w:sz="4" w:space="0"/>
            </w:tcBorders>
            <w:vAlign w:val="center"/>
          </w:tcPr>
          <w:p w14:paraId="613170B1">
            <w:pPr>
              <w:widowControl/>
              <w:wordWrap w:val="0"/>
              <w:spacing w:line="360" w:lineRule="auto"/>
              <w:jc w:val="left"/>
              <w:rPr>
                <w:rFonts w:ascii="宋体" w:hAnsi="宋体" w:cs="宋体"/>
                <w:color w:val="auto"/>
                <w:sz w:val="24"/>
                <w:highlight w:val="none"/>
              </w:rPr>
            </w:pPr>
          </w:p>
        </w:tc>
        <w:tc>
          <w:tcPr>
            <w:tcW w:w="3420" w:type="dxa"/>
            <w:vMerge w:val="continue"/>
            <w:tcBorders>
              <w:top w:val="single" w:color="auto" w:sz="4" w:space="0"/>
              <w:left w:val="single" w:color="auto" w:sz="4" w:space="0"/>
              <w:bottom w:val="single" w:color="auto" w:sz="4" w:space="0"/>
              <w:right w:val="single" w:color="auto" w:sz="4" w:space="0"/>
            </w:tcBorders>
            <w:vAlign w:val="center"/>
          </w:tcPr>
          <w:p w14:paraId="59AD2AF8">
            <w:pPr>
              <w:widowControl/>
              <w:wordWrap w:val="0"/>
              <w:spacing w:line="360" w:lineRule="auto"/>
              <w:jc w:val="left"/>
              <w:rPr>
                <w:rFonts w:ascii="宋体" w:hAnsi="宋体" w:cs="宋体"/>
                <w:color w:val="auto"/>
                <w:sz w:val="24"/>
                <w:highlight w:val="none"/>
              </w:rPr>
            </w:pPr>
          </w:p>
        </w:tc>
        <w:tc>
          <w:tcPr>
            <w:tcW w:w="1715" w:type="dxa"/>
            <w:vMerge w:val="continue"/>
            <w:tcBorders>
              <w:top w:val="single" w:color="auto" w:sz="4" w:space="0"/>
              <w:left w:val="single" w:color="auto" w:sz="4" w:space="0"/>
              <w:bottom w:val="single" w:color="auto" w:sz="4" w:space="0"/>
              <w:right w:val="single" w:color="auto" w:sz="4" w:space="0"/>
            </w:tcBorders>
            <w:vAlign w:val="center"/>
          </w:tcPr>
          <w:p w14:paraId="5E583C82">
            <w:pPr>
              <w:widowControl/>
              <w:wordWrap w:val="0"/>
              <w:spacing w:line="360" w:lineRule="auto"/>
              <w:jc w:val="left"/>
              <w:rPr>
                <w:rFonts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513614B6">
            <w:pPr>
              <w:wordWrap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合同</w:t>
            </w:r>
          </w:p>
        </w:tc>
        <w:tc>
          <w:tcPr>
            <w:tcW w:w="1559" w:type="dxa"/>
            <w:tcBorders>
              <w:top w:val="single" w:color="auto" w:sz="4" w:space="0"/>
              <w:left w:val="single" w:color="auto" w:sz="4" w:space="0"/>
              <w:bottom w:val="single" w:color="auto" w:sz="4" w:space="0"/>
              <w:right w:val="single" w:color="auto" w:sz="4" w:space="0"/>
            </w:tcBorders>
            <w:vAlign w:val="center"/>
          </w:tcPr>
          <w:p w14:paraId="46C42F77">
            <w:pPr>
              <w:wordWrap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验收报告</w:t>
            </w:r>
          </w:p>
        </w:tc>
        <w:tc>
          <w:tcPr>
            <w:tcW w:w="1418" w:type="dxa"/>
            <w:tcBorders>
              <w:top w:val="single" w:color="auto" w:sz="4" w:space="0"/>
              <w:left w:val="single" w:color="auto" w:sz="4" w:space="0"/>
              <w:bottom w:val="single" w:color="auto" w:sz="4" w:space="0"/>
              <w:right w:val="single" w:color="auto" w:sz="4" w:space="0"/>
            </w:tcBorders>
            <w:vAlign w:val="center"/>
          </w:tcPr>
          <w:p w14:paraId="49E6C8F1">
            <w:pPr>
              <w:wordWrap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用户评价</w:t>
            </w:r>
          </w:p>
        </w:tc>
        <w:tc>
          <w:tcPr>
            <w:tcW w:w="2268" w:type="dxa"/>
            <w:vMerge w:val="continue"/>
            <w:tcBorders>
              <w:top w:val="single" w:color="auto" w:sz="4" w:space="0"/>
              <w:left w:val="single" w:color="auto" w:sz="4" w:space="0"/>
              <w:bottom w:val="single" w:color="auto" w:sz="4" w:space="0"/>
              <w:right w:val="single" w:color="auto" w:sz="4" w:space="0"/>
            </w:tcBorders>
            <w:vAlign w:val="center"/>
          </w:tcPr>
          <w:p w14:paraId="15040C09">
            <w:pPr>
              <w:widowControl/>
              <w:wordWrap w:val="0"/>
              <w:spacing w:line="360" w:lineRule="auto"/>
              <w:jc w:val="left"/>
              <w:rPr>
                <w:rFonts w:ascii="宋体" w:hAnsi="宋体" w:cs="宋体"/>
                <w:color w:val="auto"/>
                <w:sz w:val="24"/>
                <w:highlight w:val="none"/>
              </w:rPr>
            </w:pPr>
          </w:p>
        </w:tc>
      </w:tr>
      <w:tr w14:paraId="1F75C2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2628" w:type="dxa"/>
            <w:tcBorders>
              <w:top w:val="single" w:color="auto" w:sz="4" w:space="0"/>
              <w:left w:val="single" w:color="auto" w:sz="4" w:space="0"/>
              <w:bottom w:val="single" w:color="auto" w:sz="4" w:space="0"/>
              <w:right w:val="single" w:color="auto" w:sz="4" w:space="0"/>
            </w:tcBorders>
          </w:tcPr>
          <w:p w14:paraId="48341FA9">
            <w:pPr>
              <w:wordWrap w:val="0"/>
              <w:snapToGrid w:val="0"/>
              <w:spacing w:line="360" w:lineRule="auto"/>
              <w:jc w:val="left"/>
              <w:rPr>
                <w:rFonts w:ascii="宋体" w:hAnsi="宋体" w:cs="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tcPr>
          <w:p w14:paraId="4C6C1C56">
            <w:pPr>
              <w:wordWrap w:val="0"/>
              <w:snapToGrid w:val="0"/>
              <w:spacing w:line="360" w:lineRule="auto"/>
              <w:jc w:val="left"/>
              <w:rPr>
                <w:rFonts w:ascii="宋体" w:hAnsi="宋体" w:cs="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tcPr>
          <w:p w14:paraId="4A1230A5">
            <w:pPr>
              <w:wordWrap w:val="0"/>
              <w:snapToGrid w:val="0"/>
              <w:spacing w:line="360" w:lineRule="auto"/>
              <w:jc w:val="left"/>
              <w:rPr>
                <w:rFonts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00B41781">
            <w:pPr>
              <w:wordWrap w:val="0"/>
              <w:snapToGrid w:val="0"/>
              <w:spacing w:line="360" w:lineRule="auto"/>
              <w:jc w:val="left"/>
              <w:rPr>
                <w:rFonts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761FDD65">
            <w:pPr>
              <w:wordWrap w:val="0"/>
              <w:snapToGrid w:val="0"/>
              <w:spacing w:line="360" w:lineRule="auto"/>
              <w:jc w:val="left"/>
              <w:rPr>
                <w:rFonts w:ascii="宋体" w:hAnsi="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tcPr>
          <w:p w14:paraId="6437241A">
            <w:pPr>
              <w:wordWrap w:val="0"/>
              <w:snapToGrid w:val="0"/>
              <w:spacing w:line="360" w:lineRule="auto"/>
              <w:jc w:val="left"/>
              <w:rPr>
                <w:rFonts w:ascii="宋体" w:hAnsi="宋体" w:cs="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tcPr>
          <w:p w14:paraId="5D98E25A">
            <w:pPr>
              <w:wordWrap w:val="0"/>
              <w:snapToGrid w:val="0"/>
              <w:spacing w:line="360" w:lineRule="auto"/>
              <w:jc w:val="left"/>
              <w:rPr>
                <w:rFonts w:ascii="宋体" w:hAnsi="宋体" w:cs="宋体"/>
                <w:color w:val="auto"/>
                <w:sz w:val="24"/>
                <w:highlight w:val="none"/>
              </w:rPr>
            </w:pPr>
          </w:p>
        </w:tc>
      </w:tr>
      <w:tr w14:paraId="535EF2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tcPr>
          <w:p w14:paraId="09437575">
            <w:pPr>
              <w:wordWrap w:val="0"/>
              <w:snapToGrid w:val="0"/>
              <w:spacing w:line="360" w:lineRule="auto"/>
              <w:jc w:val="left"/>
              <w:rPr>
                <w:rFonts w:ascii="宋体" w:hAnsi="宋体" w:cs="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tcPr>
          <w:p w14:paraId="6CFB1B6B">
            <w:pPr>
              <w:wordWrap w:val="0"/>
              <w:snapToGrid w:val="0"/>
              <w:spacing w:line="360" w:lineRule="auto"/>
              <w:jc w:val="left"/>
              <w:rPr>
                <w:rFonts w:ascii="宋体" w:hAnsi="宋体" w:cs="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tcPr>
          <w:p w14:paraId="48EDF5CB">
            <w:pPr>
              <w:wordWrap w:val="0"/>
              <w:snapToGrid w:val="0"/>
              <w:spacing w:line="360" w:lineRule="auto"/>
              <w:jc w:val="left"/>
              <w:rPr>
                <w:rFonts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311CBFC0">
            <w:pPr>
              <w:wordWrap w:val="0"/>
              <w:snapToGrid w:val="0"/>
              <w:spacing w:line="360" w:lineRule="auto"/>
              <w:jc w:val="left"/>
              <w:rPr>
                <w:rFonts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42C7221F">
            <w:pPr>
              <w:wordWrap w:val="0"/>
              <w:snapToGrid w:val="0"/>
              <w:spacing w:line="360" w:lineRule="auto"/>
              <w:jc w:val="left"/>
              <w:rPr>
                <w:rFonts w:ascii="宋体" w:hAnsi="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tcPr>
          <w:p w14:paraId="2BE1F80F">
            <w:pPr>
              <w:wordWrap w:val="0"/>
              <w:snapToGrid w:val="0"/>
              <w:spacing w:line="360" w:lineRule="auto"/>
              <w:jc w:val="left"/>
              <w:rPr>
                <w:rFonts w:ascii="宋体" w:hAnsi="宋体" w:cs="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tcPr>
          <w:p w14:paraId="74099BB0">
            <w:pPr>
              <w:wordWrap w:val="0"/>
              <w:snapToGrid w:val="0"/>
              <w:spacing w:line="360" w:lineRule="auto"/>
              <w:jc w:val="left"/>
              <w:rPr>
                <w:rFonts w:ascii="宋体" w:hAnsi="宋体" w:cs="宋体"/>
                <w:color w:val="auto"/>
                <w:sz w:val="24"/>
                <w:highlight w:val="none"/>
              </w:rPr>
            </w:pPr>
          </w:p>
        </w:tc>
      </w:tr>
      <w:tr w14:paraId="210146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2628" w:type="dxa"/>
            <w:tcBorders>
              <w:top w:val="single" w:color="auto" w:sz="4" w:space="0"/>
              <w:left w:val="single" w:color="auto" w:sz="4" w:space="0"/>
              <w:bottom w:val="single" w:color="auto" w:sz="4" w:space="0"/>
              <w:right w:val="single" w:color="auto" w:sz="4" w:space="0"/>
            </w:tcBorders>
          </w:tcPr>
          <w:p w14:paraId="4CAF3AF0">
            <w:pPr>
              <w:wordWrap w:val="0"/>
              <w:snapToGrid w:val="0"/>
              <w:spacing w:line="360" w:lineRule="auto"/>
              <w:jc w:val="left"/>
              <w:rPr>
                <w:rFonts w:ascii="宋体" w:hAnsi="宋体" w:cs="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tcPr>
          <w:p w14:paraId="5128EA35">
            <w:pPr>
              <w:wordWrap w:val="0"/>
              <w:snapToGrid w:val="0"/>
              <w:spacing w:line="360" w:lineRule="auto"/>
              <w:jc w:val="left"/>
              <w:rPr>
                <w:rFonts w:ascii="宋体" w:hAnsi="宋体" w:cs="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tcPr>
          <w:p w14:paraId="23C3E7A4">
            <w:pPr>
              <w:wordWrap w:val="0"/>
              <w:snapToGrid w:val="0"/>
              <w:spacing w:line="360" w:lineRule="auto"/>
              <w:jc w:val="left"/>
              <w:rPr>
                <w:rFonts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18267407">
            <w:pPr>
              <w:wordWrap w:val="0"/>
              <w:snapToGrid w:val="0"/>
              <w:spacing w:line="360" w:lineRule="auto"/>
              <w:jc w:val="left"/>
              <w:rPr>
                <w:rFonts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69E536BE">
            <w:pPr>
              <w:wordWrap w:val="0"/>
              <w:snapToGrid w:val="0"/>
              <w:spacing w:line="360" w:lineRule="auto"/>
              <w:jc w:val="left"/>
              <w:rPr>
                <w:rFonts w:ascii="宋体" w:hAnsi="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tcPr>
          <w:p w14:paraId="0F403099">
            <w:pPr>
              <w:wordWrap w:val="0"/>
              <w:snapToGrid w:val="0"/>
              <w:spacing w:line="360" w:lineRule="auto"/>
              <w:jc w:val="left"/>
              <w:rPr>
                <w:rFonts w:ascii="宋体" w:hAnsi="宋体" w:cs="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tcPr>
          <w:p w14:paraId="047128BF">
            <w:pPr>
              <w:wordWrap w:val="0"/>
              <w:snapToGrid w:val="0"/>
              <w:spacing w:line="360" w:lineRule="auto"/>
              <w:jc w:val="left"/>
              <w:rPr>
                <w:rFonts w:ascii="宋体" w:hAnsi="宋体" w:cs="宋体"/>
                <w:color w:val="auto"/>
                <w:sz w:val="24"/>
                <w:highlight w:val="none"/>
              </w:rPr>
            </w:pPr>
          </w:p>
        </w:tc>
      </w:tr>
      <w:tr w14:paraId="7E4CE2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tcPr>
          <w:p w14:paraId="39865BE4">
            <w:pPr>
              <w:wordWrap w:val="0"/>
              <w:snapToGrid w:val="0"/>
              <w:spacing w:line="360" w:lineRule="auto"/>
              <w:jc w:val="left"/>
              <w:rPr>
                <w:rFonts w:ascii="宋体" w:hAnsi="宋体" w:cs="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tcPr>
          <w:p w14:paraId="5D964537">
            <w:pPr>
              <w:wordWrap w:val="0"/>
              <w:snapToGrid w:val="0"/>
              <w:spacing w:line="360" w:lineRule="auto"/>
              <w:jc w:val="left"/>
              <w:rPr>
                <w:rFonts w:ascii="宋体" w:hAnsi="宋体" w:cs="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tcPr>
          <w:p w14:paraId="5CAF3FA5">
            <w:pPr>
              <w:wordWrap w:val="0"/>
              <w:snapToGrid w:val="0"/>
              <w:spacing w:line="360" w:lineRule="auto"/>
              <w:jc w:val="left"/>
              <w:rPr>
                <w:rFonts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57FFB2D0">
            <w:pPr>
              <w:wordWrap w:val="0"/>
              <w:snapToGrid w:val="0"/>
              <w:spacing w:line="360" w:lineRule="auto"/>
              <w:jc w:val="left"/>
              <w:rPr>
                <w:rFonts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11B9E6E0">
            <w:pPr>
              <w:wordWrap w:val="0"/>
              <w:snapToGrid w:val="0"/>
              <w:spacing w:line="360" w:lineRule="auto"/>
              <w:jc w:val="left"/>
              <w:rPr>
                <w:rFonts w:ascii="宋体" w:hAnsi="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tcPr>
          <w:p w14:paraId="46AE7AA4">
            <w:pPr>
              <w:wordWrap w:val="0"/>
              <w:snapToGrid w:val="0"/>
              <w:spacing w:line="360" w:lineRule="auto"/>
              <w:jc w:val="left"/>
              <w:rPr>
                <w:rFonts w:ascii="宋体" w:hAnsi="宋体" w:cs="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tcPr>
          <w:p w14:paraId="01BE253B">
            <w:pPr>
              <w:wordWrap w:val="0"/>
              <w:snapToGrid w:val="0"/>
              <w:spacing w:line="360" w:lineRule="auto"/>
              <w:jc w:val="left"/>
              <w:rPr>
                <w:rFonts w:ascii="宋体" w:hAnsi="宋体" w:cs="宋体"/>
                <w:color w:val="auto"/>
                <w:sz w:val="24"/>
                <w:highlight w:val="none"/>
              </w:rPr>
            </w:pPr>
          </w:p>
        </w:tc>
      </w:tr>
      <w:tr w14:paraId="6C4859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tcPr>
          <w:p w14:paraId="69AC343E">
            <w:pPr>
              <w:wordWrap w:val="0"/>
              <w:snapToGrid w:val="0"/>
              <w:spacing w:line="360" w:lineRule="auto"/>
              <w:jc w:val="left"/>
              <w:rPr>
                <w:rFonts w:ascii="宋体" w:hAnsi="宋体" w:cs="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tcPr>
          <w:p w14:paraId="7B8597B3">
            <w:pPr>
              <w:wordWrap w:val="0"/>
              <w:snapToGrid w:val="0"/>
              <w:spacing w:line="360" w:lineRule="auto"/>
              <w:jc w:val="left"/>
              <w:rPr>
                <w:rFonts w:ascii="宋体" w:hAnsi="宋体" w:cs="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tcPr>
          <w:p w14:paraId="3EDFCCA0">
            <w:pPr>
              <w:wordWrap w:val="0"/>
              <w:snapToGrid w:val="0"/>
              <w:spacing w:line="360" w:lineRule="auto"/>
              <w:jc w:val="left"/>
              <w:rPr>
                <w:rFonts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674A66FE">
            <w:pPr>
              <w:wordWrap w:val="0"/>
              <w:snapToGrid w:val="0"/>
              <w:spacing w:line="360" w:lineRule="auto"/>
              <w:jc w:val="left"/>
              <w:rPr>
                <w:rFonts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5B48E2B5">
            <w:pPr>
              <w:wordWrap w:val="0"/>
              <w:snapToGrid w:val="0"/>
              <w:spacing w:line="360" w:lineRule="auto"/>
              <w:jc w:val="left"/>
              <w:rPr>
                <w:rFonts w:ascii="宋体" w:hAnsi="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tcPr>
          <w:p w14:paraId="0B4169DA">
            <w:pPr>
              <w:wordWrap w:val="0"/>
              <w:snapToGrid w:val="0"/>
              <w:spacing w:line="360" w:lineRule="auto"/>
              <w:jc w:val="left"/>
              <w:rPr>
                <w:rFonts w:ascii="宋体" w:hAnsi="宋体" w:cs="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tcPr>
          <w:p w14:paraId="285765EB">
            <w:pPr>
              <w:wordWrap w:val="0"/>
              <w:snapToGrid w:val="0"/>
              <w:spacing w:line="360" w:lineRule="auto"/>
              <w:jc w:val="left"/>
              <w:rPr>
                <w:rFonts w:ascii="宋体" w:hAnsi="宋体" w:cs="宋体"/>
                <w:color w:val="auto"/>
                <w:sz w:val="24"/>
                <w:highlight w:val="none"/>
              </w:rPr>
            </w:pPr>
          </w:p>
        </w:tc>
      </w:tr>
    </w:tbl>
    <w:p w14:paraId="1FF4598C">
      <w:pPr>
        <w:pStyle w:val="12"/>
        <w:wordWrap w:val="0"/>
        <w:spacing w:line="360" w:lineRule="auto"/>
        <w:ind w:left="72"/>
        <w:rPr>
          <w:rFonts w:hAnsi="宋体" w:cs="宋体"/>
          <w:color w:val="auto"/>
          <w:highlight w:val="none"/>
        </w:rPr>
      </w:pPr>
      <w:r>
        <w:rPr>
          <w:rFonts w:hint="eastAsia" w:hAnsi="宋体" w:cs="宋体"/>
          <w:color w:val="auto"/>
          <w:highlight w:val="none"/>
        </w:rPr>
        <w:t>注：投标人可按上述的格式自行编制，须随表提交相应的同类项目合同复印件/中标（或成交）通知书和用户单位验收证明（如有）并注明所在投标人商务技术文件页码。</w:t>
      </w:r>
    </w:p>
    <w:p w14:paraId="1BCCBBFD">
      <w:pPr>
        <w:wordWrap w:val="0"/>
        <w:snapToGrid w:val="0"/>
        <w:spacing w:line="360" w:lineRule="auto"/>
        <w:ind w:firstLine="4935" w:firstLineChars="2350"/>
        <w:rPr>
          <w:rFonts w:ascii="宋体" w:hAnsi="宋体" w:cs="宋体"/>
          <w:color w:val="auto"/>
          <w:szCs w:val="21"/>
          <w:highlight w:val="none"/>
        </w:rPr>
      </w:pPr>
      <w:r>
        <w:rPr>
          <w:rFonts w:hint="eastAsia" w:ascii="宋体" w:hAnsi="宋体" w:cs="宋体"/>
          <w:color w:val="auto"/>
          <w:szCs w:val="21"/>
          <w:highlight w:val="none"/>
        </w:rPr>
        <w:t xml:space="preserve"> </w:t>
      </w:r>
    </w:p>
    <w:p w14:paraId="7C66FB72">
      <w:pPr>
        <w:wordWrap w:val="0"/>
        <w:snapToGrid w:val="0"/>
        <w:spacing w:line="360" w:lineRule="auto"/>
        <w:ind w:firstLine="4935" w:firstLineChars="2350"/>
        <w:rPr>
          <w:rFonts w:ascii="宋体" w:hAnsi="宋体" w:cs="宋体"/>
          <w:color w:val="auto"/>
          <w:szCs w:val="21"/>
          <w:highlight w:val="none"/>
        </w:rPr>
      </w:pPr>
    </w:p>
    <w:p w14:paraId="1214A8B7">
      <w:pPr>
        <w:wordWrap w:val="0"/>
        <w:snapToGrid w:val="0"/>
        <w:spacing w:line="360" w:lineRule="auto"/>
        <w:ind w:firstLine="10080" w:firstLineChars="4800"/>
        <w:rPr>
          <w:rFonts w:ascii="宋体" w:hAnsi="宋体" w:cs="宋体"/>
          <w:color w:val="auto"/>
          <w:kern w:val="0"/>
          <w:sz w:val="24"/>
          <w:highlight w:val="none"/>
        </w:rPr>
      </w:pPr>
      <w:r>
        <w:rPr>
          <w:rFonts w:hint="eastAsia" w:ascii="宋体" w:hAnsi="宋体" w:cs="宋体"/>
          <w:color w:val="auto"/>
          <w:szCs w:val="21"/>
          <w:highlight w:val="none"/>
        </w:rPr>
        <w:t xml:space="preserve"> </w:t>
      </w:r>
      <w:r>
        <w:rPr>
          <w:rFonts w:hint="eastAsia" w:ascii="宋体" w:hAnsi="宋体" w:cs="宋体"/>
          <w:color w:val="auto"/>
          <w:kern w:val="0"/>
          <w:sz w:val="24"/>
          <w:highlight w:val="none"/>
          <w:lang w:val="zh-CN"/>
        </w:rPr>
        <w:t>投标人名称(电子签章)：</w:t>
      </w:r>
    </w:p>
    <w:p w14:paraId="010D4290">
      <w:pPr>
        <w:wordWrap w:val="0"/>
        <w:snapToGrid w:val="0"/>
        <w:spacing w:line="360" w:lineRule="auto"/>
        <w:ind w:firstLine="10080" w:firstLineChars="4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55FE4F02">
      <w:pPr>
        <w:widowControl/>
        <w:wordWrap w:val="0"/>
        <w:spacing w:line="360" w:lineRule="auto"/>
        <w:jc w:val="left"/>
        <w:rPr>
          <w:rFonts w:ascii="宋体" w:hAnsi="宋体" w:cs="宋体"/>
          <w:color w:val="auto"/>
          <w:kern w:val="0"/>
          <w:sz w:val="24"/>
          <w:highlight w:val="none"/>
          <w:lang w:val="zh-CN"/>
        </w:rPr>
        <w:sectPr>
          <w:pgSz w:w="16838" w:h="11906" w:orient="landscape"/>
          <w:pgMar w:top="1440" w:right="1080" w:bottom="1440" w:left="1080" w:header="720" w:footer="720" w:gutter="0"/>
          <w:pgNumType w:fmt="decimal"/>
          <w:cols w:space="720" w:num="1"/>
          <w:docGrid w:type="lines" w:linePitch="331" w:charSpace="0"/>
        </w:sectPr>
      </w:pPr>
    </w:p>
    <w:p w14:paraId="59E7F06F">
      <w:pPr>
        <w:wordWrap w:val="0"/>
        <w:spacing w:line="360" w:lineRule="auto"/>
        <w:jc w:val="left"/>
        <w:rPr>
          <w:rFonts w:ascii="宋体" w:hAnsi="宋体" w:cs="宋体"/>
          <w:b/>
          <w:color w:val="auto"/>
          <w:sz w:val="30"/>
          <w:szCs w:val="30"/>
          <w:highlight w:val="none"/>
        </w:rPr>
      </w:pPr>
      <w:bookmarkStart w:id="287" w:name="_Toc19686839"/>
      <w:r>
        <w:rPr>
          <w:rFonts w:hint="eastAsia" w:ascii="宋体" w:hAnsi="宋体" w:cs="宋体"/>
          <w:b/>
          <w:color w:val="auto"/>
          <w:sz w:val="30"/>
          <w:szCs w:val="30"/>
          <w:highlight w:val="none"/>
        </w:rPr>
        <w:t>七、除招标文件规定必须提供以外，投标人认为需要提供的其他证明材料。</w:t>
      </w:r>
    </w:p>
    <w:p w14:paraId="49B367AE">
      <w:pPr>
        <w:wordWrap w:val="0"/>
        <w:spacing w:line="360" w:lineRule="auto"/>
        <w:jc w:val="center"/>
        <w:rPr>
          <w:rFonts w:ascii="宋体" w:hAnsi="宋体" w:cs="宋体"/>
          <w:color w:val="auto"/>
          <w:sz w:val="30"/>
          <w:szCs w:val="30"/>
          <w:highlight w:val="none"/>
        </w:rPr>
      </w:pPr>
      <w:r>
        <w:rPr>
          <w:rFonts w:hint="eastAsia" w:ascii="宋体" w:hAnsi="宋体" w:cs="宋体"/>
          <w:color w:val="auto"/>
          <w:sz w:val="30"/>
          <w:szCs w:val="30"/>
          <w:highlight w:val="none"/>
        </w:rPr>
        <w:t>（由投标人根据采购需求自行编制）</w:t>
      </w:r>
    </w:p>
    <w:p w14:paraId="64FE9093">
      <w:pPr>
        <w:numPr>
          <w:ilvl w:val="0"/>
          <w:numId w:val="4"/>
        </w:numPr>
        <w:rPr>
          <w:rFonts w:ascii="宋体" w:hAnsi="宋体" w:cs="宋体"/>
          <w:b/>
          <w:bCs/>
          <w:color w:val="auto"/>
          <w:sz w:val="28"/>
          <w:szCs w:val="28"/>
          <w:highlight w:val="none"/>
        </w:rPr>
      </w:pPr>
      <w:r>
        <w:rPr>
          <w:rFonts w:hint="eastAsia" w:ascii="宋体" w:hAnsi="宋体" w:cs="宋体"/>
          <w:b/>
          <w:bCs/>
          <w:color w:val="auto"/>
          <w:sz w:val="28"/>
          <w:szCs w:val="28"/>
          <w:highlight w:val="none"/>
        </w:rPr>
        <w:br w:type="page"/>
      </w:r>
    </w:p>
    <w:p w14:paraId="7601A927">
      <w:pPr>
        <w:pStyle w:val="12"/>
        <w:wordWrap w:val="0"/>
        <w:spacing w:line="360" w:lineRule="auto"/>
        <w:jc w:val="center"/>
        <w:outlineLvl w:val="1"/>
        <w:rPr>
          <w:rFonts w:hAnsi="宋体" w:cs="宋体"/>
          <w:b/>
          <w:bCs/>
          <w:color w:val="auto"/>
          <w:sz w:val="28"/>
          <w:szCs w:val="28"/>
          <w:highlight w:val="none"/>
        </w:rPr>
      </w:pPr>
      <w:bookmarkStart w:id="288" w:name="_Toc24361"/>
      <w:r>
        <w:rPr>
          <w:rFonts w:hint="eastAsia" w:hAnsi="宋体" w:cs="宋体"/>
          <w:b/>
          <w:bCs/>
          <w:color w:val="auto"/>
          <w:sz w:val="28"/>
          <w:szCs w:val="28"/>
          <w:highlight w:val="none"/>
        </w:rPr>
        <w:t>第四节 技术文件格式</w:t>
      </w:r>
      <w:bookmarkEnd w:id="287"/>
      <w:bookmarkEnd w:id="288"/>
    </w:p>
    <w:p w14:paraId="7497A644">
      <w:pPr>
        <w:wordWrap w:val="0"/>
        <w:snapToGrid w:val="0"/>
        <w:spacing w:line="360" w:lineRule="auto"/>
        <w:rPr>
          <w:rFonts w:ascii="宋体" w:hAnsi="宋体" w:cs="宋体"/>
          <w:bCs/>
          <w:color w:val="auto"/>
          <w:sz w:val="32"/>
          <w:szCs w:val="20"/>
          <w:highlight w:val="none"/>
        </w:rPr>
      </w:pPr>
      <w:r>
        <w:rPr>
          <w:rFonts w:hint="eastAsia" w:ascii="宋体" w:hAnsi="宋体" w:cs="宋体"/>
          <w:color w:val="auto"/>
          <w:sz w:val="24"/>
          <w:highlight w:val="none"/>
        </w:rPr>
        <w:t xml:space="preserve">                                                  </w:t>
      </w:r>
      <w:r>
        <w:rPr>
          <w:rFonts w:hint="eastAsia" w:ascii="宋体" w:hAnsi="宋体" w:cs="宋体"/>
          <w:bCs/>
          <w:color w:val="auto"/>
          <w:highlight w:val="none"/>
        </w:rPr>
        <w:t>电子投标文件</w:t>
      </w:r>
    </w:p>
    <w:p w14:paraId="6C0677BC">
      <w:pPr>
        <w:wordWrap w:val="0"/>
        <w:snapToGrid w:val="0"/>
        <w:spacing w:line="360" w:lineRule="auto"/>
        <w:rPr>
          <w:rFonts w:ascii="宋体" w:hAnsi="宋体" w:cs="宋体"/>
          <w:color w:val="auto"/>
          <w:sz w:val="24"/>
          <w:szCs w:val="20"/>
          <w:highlight w:val="none"/>
        </w:rPr>
      </w:pPr>
    </w:p>
    <w:p w14:paraId="3F7F297D">
      <w:pPr>
        <w:wordWrap w:val="0"/>
        <w:snapToGrid w:val="0"/>
        <w:spacing w:line="360" w:lineRule="auto"/>
        <w:jc w:val="center"/>
        <w:rPr>
          <w:rFonts w:ascii="宋体" w:hAnsi="宋体" w:cs="宋体"/>
          <w:b/>
          <w:bCs/>
          <w:color w:val="auto"/>
          <w:sz w:val="32"/>
          <w:szCs w:val="32"/>
          <w:highlight w:val="none"/>
        </w:rPr>
      </w:pPr>
    </w:p>
    <w:p w14:paraId="691B5CF7">
      <w:pPr>
        <w:wordWrap w:val="0"/>
        <w:snapToGrid w:val="0"/>
        <w:spacing w:line="360" w:lineRule="auto"/>
        <w:jc w:val="center"/>
        <w:rPr>
          <w:rFonts w:ascii="宋体" w:hAnsi="宋体" w:cs="宋体"/>
          <w:b/>
          <w:bCs/>
          <w:color w:val="auto"/>
          <w:sz w:val="32"/>
          <w:szCs w:val="32"/>
          <w:highlight w:val="none"/>
        </w:rPr>
      </w:pPr>
    </w:p>
    <w:p w14:paraId="29252739">
      <w:pPr>
        <w:wordWrap w:val="0"/>
        <w:snapToGrid w:val="0"/>
        <w:spacing w:line="360" w:lineRule="auto"/>
        <w:jc w:val="center"/>
        <w:rPr>
          <w:rFonts w:ascii="宋体" w:hAnsi="宋体" w:cs="宋体"/>
          <w:b/>
          <w:bCs/>
          <w:color w:val="auto"/>
          <w:sz w:val="32"/>
          <w:szCs w:val="32"/>
          <w:highlight w:val="none"/>
        </w:rPr>
      </w:pPr>
    </w:p>
    <w:p w14:paraId="73F8DAC6">
      <w:pPr>
        <w:wordWrap w:val="0"/>
        <w:snapToGrid w:val="0"/>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技术文件（封面）</w:t>
      </w:r>
    </w:p>
    <w:p w14:paraId="37FD1CD5">
      <w:pPr>
        <w:wordWrap w:val="0"/>
        <w:snapToGrid w:val="0"/>
        <w:spacing w:line="360" w:lineRule="auto"/>
        <w:rPr>
          <w:rFonts w:ascii="宋体" w:hAnsi="宋体" w:cs="宋体"/>
          <w:bCs/>
          <w:color w:val="auto"/>
          <w:sz w:val="24"/>
          <w:szCs w:val="20"/>
          <w:highlight w:val="none"/>
        </w:rPr>
      </w:pPr>
    </w:p>
    <w:p w14:paraId="20C06EE5">
      <w:pPr>
        <w:wordWrap w:val="0"/>
        <w:snapToGrid w:val="0"/>
        <w:spacing w:line="360" w:lineRule="auto"/>
        <w:ind w:firstLine="360" w:firstLineChars="150"/>
        <w:rPr>
          <w:rFonts w:ascii="宋体" w:hAnsi="宋体" w:cs="宋体"/>
          <w:bCs/>
          <w:color w:val="auto"/>
          <w:sz w:val="24"/>
          <w:highlight w:val="none"/>
        </w:rPr>
      </w:pPr>
      <w:r>
        <w:rPr>
          <w:rFonts w:hint="eastAsia" w:ascii="宋体" w:hAnsi="宋体" w:cs="宋体"/>
          <w:bCs/>
          <w:color w:val="auto"/>
          <w:sz w:val="24"/>
          <w:highlight w:val="none"/>
        </w:rPr>
        <w:t xml:space="preserve">项目名称：  </w:t>
      </w:r>
    </w:p>
    <w:p w14:paraId="755B7E20">
      <w:pPr>
        <w:wordWrap w:val="0"/>
        <w:snapToGrid w:val="0"/>
        <w:spacing w:line="360" w:lineRule="auto"/>
        <w:ind w:firstLine="360" w:firstLineChars="150"/>
        <w:rPr>
          <w:rFonts w:ascii="宋体" w:hAnsi="宋体" w:cs="宋体"/>
          <w:bCs/>
          <w:color w:val="auto"/>
          <w:sz w:val="24"/>
          <w:highlight w:val="none"/>
        </w:rPr>
      </w:pPr>
    </w:p>
    <w:p w14:paraId="71778080">
      <w:pPr>
        <w:wordWrap w:val="0"/>
        <w:snapToGrid w:val="0"/>
        <w:spacing w:line="360" w:lineRule="auto"/>
        <w:ind w:firstLine="360" w:firstLineChars="150"/>
        <w:rPr>
          <w:rFonts w:ascii="宋体" w:hAnsi="宋体" w:cs="宋体"/>
          <w:bCs/>
          <w:color w:val="auto"/>
          <w:sz w:val="24"/>
          <w:highlight w:val="none"/>
        </w:rPr>
      </w:pPr>
      <w:r>
        <w:rPr>
          <w:rFonts w:hint="eastAsia" w:ascii="宋体" w:hAnsi="宋体" w:cs="宋体"/>
          <w:bCs/>
          <w:color w:val="auto"/>
          <w:sz w:val="24"/>
          <w:highlight w:val="none"/>
        </w:rPr>
        <w:t xml:space="preserve">项目编号： </w:t>
      </w:r>
      <w:r>
        <w:rPr>
          <w:rFonts w:hint="eastAsia" w:ascii="宋体" w:hAnsi="宋体" w:cs="宋体"/>
          <w:color w:val="auto"/>
          <w:sz w:val="24"/>
          <w:highlight w:val="none"/>
        </w:rPr>
        <w:t xml:space="preserve"> </w:t>
      </w:r>
    </w:p>
    <w:p w14:paraId="6D104BA7">
      <w:pPr>
        <w:wordWrap w:val="0"/>
        <w:snapToGrid w:val="0"/>
        <w:spacing w:line="360" w:lineRule="auto"/>
        <w:ind w:firstLine="360" w:firstLineChars="150"/>
        <w:rPr>
          <w:rFonts w:ascii="宋体" w:hAnsi="宋体" w:cs="宋体"/>
          <w:bCs/>
          <w:color w:val="auto"/>
          <w:sz w:val="24"/>
          <w:highlight w:val="none"/>
        </w:rPr>
      </w:pPr>
    </w:p>
    <w:p w14:paraId="05D8CEEA">
      <w:pPr>
        <w:wordWrap w:val="0"/>
        <w:snapToGrid w:val="0"/>
        <w:spacing w:line="360" w:lineRule="auto"/>
        <w:ind w:firstLine="360" w:firstLineChars="150"/>
        <w:rPr>
          <w:rFonts w:ascii="宋体" w:hAnsi="宋体" w:cs="宋体"/>
          <w:bCs/>
          <w:color w:val="auto"/>
          <w:sz w:val="24"/>
          <w:highlight w:val="none"/>
        </w:rPr>
      </w:pPr>
      <w:r>
        <w:rPr>
          <w:rFonts w:hint="eastAsia" w:ascii="宋体" w:hAnsi="宋体" w:cs="宋体"/>
          <w:bCs/>
          <w:color w:val="auto"/>
          <w:sz w:val="24"/>
          <w:highlight w:val="none"/>
        </w:rPr>
        <w:t>所投分标：</w:t>
      </w:r>
    </w:p>
    <w:p w14:paraId="14885261">
      <w:pPr>
        <w:wordWrap w:val="0"/>
        <w:snapToGrid w:val="0"/>
        <w:spacing w:line="360" w:lineRule="auto"/>
        <w:ind w:firstLine="360" w:firstLineChars="150"/>
        <w:rPr>
          <w:rFonts w:ascii="宋体" w:hAnsi="宋体" w:cs="宋体"/>
          <w:bCs/>
          <w:color w:val="auto"/>
          <w:sz w:val="24"/>
          <w:highlight w:val="none"/>
        </w:rPr>
      </w:pPr>
    </w:p>
    <w:p w14:paraId="7B00F22C">
      <w:pPr>
        <w:wordWrap w:val="0"/>
        <w:snapToGrid w:val="0"/>
        <w:spacing w:line="360" w:lineRule="auto"/>
        <w:ind w:firstLine="360" w:firstLineChars="150"/>
        <w:rPr>
          <w:rFonts w:ascii="宋体" w:hAnsi="宋体" w:cs="宋体"/>
          <w:bCs/>
          <w:color w:val="auto"/>
          <w:sz w:val="24"/>
          <w:highlight w:val="none"/>
        </w:rPr>
      </w:pPr>
      <w:r>
        <w:rPr>
          <w:rFonts w:hint="eastAsia" w:ascii="宋体" w:hAnsi="宋体" w:cs="宋体"/>
          <w:bCs/>
          <w:color w:val="auto"/>
          <w:sz w:val="24"/>
          <w:highlight w:val="none"/>
        </w:rPr>
        <w:t>投标人名称：</w:t>
      </w:r>
    </w:p>
    <w:p w14:paraId="44D1C7D7">
      <w:pPr>
        <w:wordWrap w:val="0"/>
        <w:snapToGrid w:val="0"/>
        <w:spacing w:line="360" w:lineRule="auto"/>
        <w:ind w:firstLine="360" w:firstLineChars="150"/>
        <w:rPr>
          <w:rFonts w:ascii="宋体" w:hAnsi="宋体" w:cs="宋体"/>
          <w:bCs/>
          <w:color w:val="auto"/>
          <w:sz w:val="24"/>
          <w:highlight w:val="none"/>
        </w:rPr>
      </w:pPr>
    </w:p>
    <w:p w14:paraId="1E837E76">
      <w:pPr>
        <w:wordWrap w:val="0"/>
        <w:snapToGrid w:val="0"/>
        <w:spacing w:line="360" w:lineRule="auto"/>
        <w:ind w:firstLine="360" w:firstLineChars="150"/>
        <w:rPr>
          <w:rFonts w:ascii="宋体" w:hAnsi="宋体" w:cs="宋体"/>
          <w:bCs/>
          <w:color w:val="auto"/>
          <w:sz w:val="24"/>
          <w:highlight w:val="none"/>
        </w:rPr>
      </w:pPr>
      <w:r>
        <w:rPr>
          <w:rFonts w:hint="eastAsia" w:ascii="宋体" w:hAnsi="宋体" w:cs="宋体"/>
          <w:bCs/>
          <w:color w:val="auto"/>
          <w:sz w:val="24"/>
          <w:highlight w:val="none"/>
        </w:rPr>
        <w:t>投标人地址：</w:t>
      </w:r>
    </w:p>
    <w:p w14:paraId="674DF482">
      <w:pPr>
        <w:pStyle w:val="7"/>
        <w:wordWrap w:val="0"/>
        <w:snapToGrid w:val="0"/>
        <w:spacing w:line="360" w:lineRule="auto"/>
        <w:ind w:firstLine="960" w:firstLineChars="400"/>
        <w:rPr>
          <w:rFonts w:ascii="宋体" w:hAnsi="宋体" w:cs="宋体"/>
          <w:bCs/>
          <w:color w:val="auto"/>
          <w:sz w:val="24"/>
          <w:szCs w:val="24"/>
          <w:highlight w:val="none"/>
        </w:rPr>
      </w:pPr>
    </w:p>
    <w:p w14:paraId="14395508">
      <w:pPr>
        <w:wordWrap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                                                       年  月  日</w:t>
      </w:r>
    </w:p>
    <w:p w14:paraId="1823489C">
      <w:pPr>
        <w:wordWrap w:val="0"/>
        <w:snapToGrid w:val="0"/>
        <w:spacing w:line="360" w:lineRule="auto"/>
        <w:ind w:firstLine="645"/>
        <w:jc w:val="center"/>
        <w:rPr>
          <w:rFonts w:ascii="宋体" w:hAnsi="宋体" w:cs="宋体"/>
          <w:color w:val="auto"/>
          <w:sz w:val="24"/>
          <w:szCs w:val="20"/>
          <w:highlight w:val="none"/>
        </w:rPr>
      </w:pPr>
    </w:p>
    <w:p w14:paraId="757AD2B2">
      <w:pPr>
        <w:wordWrap w:val="0"/>
        <w:spacing w:line="360" w:lineRule="auto"/>
        <w:jc w:val="center"/>
        <w:rPr>
          <w:rFonts w:ascii="宋体" w:hAnsi="宋体" w:cs="宋体"/>
          <w:b/>
          <w:color w:val="auto"/>
          <w:kern w:val="0"/>
          <w:sz w:val="28"/>
          <w:szCs w:val="28"/>
          <w:highlight w:val="none"/>
        </w:rPr>
      </w:pPr>
      <w:r>
        <w:rPr>
          <w:rFonts w:hint="eastAsia" w:ascii="宋体" w:hAnsi="宋体" w:cs="宋体"/>
          <w:b/>
          <w:bCs/>
          <w:color w:val="auto"/>
          <w:sz w:val="24"/>
          <w:highlight w:val="none"/>
        </w:rPr>
        <w:br w:type="page"/>
      </w:r>
      <w:r>
        <w:rPr>
          <w:rFonts w:hint="eastAsia" w:ascii="宋体" w:hAnsi="宋体" w:cs="宋体"/>
          <w:b/>
          <w:color w:val="auto"/>
          <w:kern w:val="0"/>
          <w:sz w:val="28"/>
          <w:szCs w:val="28"/>
          <w:highlight w:val="none"/>
        </w:rPr>
        <w:t>技术文件目录</w:t>
      </w:r>
    </w:p>
    <w:p w14:paraId="4D306FB2">
      <w:pPr>
        <w:pStyle w:val="34"/>
        <w:wordWrap w:val="0"/>
        <w:spacing w:line="360" w:lineRule="auto"/>
        <w:rPr>
          <w:rFonts w:ascii="宋体" w:hAnsi="宋体" w:eastAsia="宋体" w:cs="宋体"/>
          <w:color w:val="auto"/>
          <w:highlight w:val="none"/>
        </w:rPr>
      </w:pPr>
      <w:r>
        <w:rPr>
          <w:rFonts w:hint="eastAsia" w:ascii="宋体" w:hAnsi="宋体" w:eastAsia="宋体" w:cs="宋体"/>
          <w:color w:val="auto"/>
          <w:highlight w:val="none"/>
        </w:rPr>
        <w:t>一、服务需求、技术需求偏离表…………………………………………………（页码）</w:t>
      </w:r>
    </w:p>
    <w:p w14:paraId="02722989">
      <w:pPr>
        <w:pStyle w:val="34"/>
        <w:wordWrap w:val="0"/>
        <w:spacing w:line="360" w:lineRule="auto"/>
        <w:rPr>
          <w:rFonts w:ascii="宋体" w:hAnsi="宋体" w:eastAsia="宋体" w:cs="宋体"/>
          <w:color w:val="auto"/>
          <w:highlight w:val="none"/>
        </w:rPr>
      </w:pPr>
      <w:r>
        <w:rPr>
          <w:rFonts w:hint="eastAsia" w:ascii="宋体" w:hAnsi="宋体" w:eastAsia="宋体" w:cs="宋体"/>
          <w:color w:val="auto"/>
          <w:highlight w:val="none"/>
        </w:rPr>
        <w:t>二、组织服务方案…………………………………………………………………（页码）</w:t>
      </w:r>
    </w:p>
    <w:p w14:paraId="7D931865">
      <w:pPr>
        <w:pStyle w:val="34"/>
        <w:wordWrap w:val="0"/>
        <w:spacing w:line="360" w:lineRule="auto"/>
        <w:rPr>
          <w:rFonts w:ascii="宋体" w:hAnsi="宋体" w:eastAsia="宋体" w:cs="宋体"/>
          <w:color w:val="auto"/>
          <w:highlight w:val="none"/>
        </w:rPr>
      </w:pPr>
      <w:r>
        <w:rPr>
          <w:rFonts w:hint="eastAsia" w:ascii="宋体" w:hAnsi="宋体" w:eastAsia="宋体" w:cs="宋体"/>
          <w:color w:val="auto"/>
          <w:highlight w:val="none"/>
        </w:rPr>
        <w:t>三、售后服务方案 ………………………………</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790DF67B">
      <w:pPr>
        <w:pStyle w:val="34"/>
        <w:wordWrap w:val="0"/>
        <w:spacing w:line="360" w:lineRule="auto"/>
        <w:rPr>
          <w:rFonts w:ascii="宋体" w:hAnsi="宋体" w:eastAsia="宋体" w:cs="宋体"/>
          <w:color w:val="auto"/>
          <w:highlight w:val="none"/>
        </w:rPr>
      </w:pPr>
      <w:r>
        <w:rPr>
          <w:rFonts w:hint="eastAsia" w:ascii="宋体" w:hAnsi="宋体" w:eastAsia="宋体" w:cs="宋体"/>
          <w:color w:val="auto"/>
          <w:highlight w:val="none"/>
        </w:rPr>
        <w:t>四、</w:t>
      </w:r>
      <w:r>
        <w:rPr>
          <w:rFonts w:hint="eastAsia" w:ascii="宋体" w:hAnsi="宋体" w:eastAsia="宋体" w:cs="宋体"/>
          <w:color w:val="auto"/>
          <w:highlight w:val="none"/>
          <w:lang w:val="zh-CN"/>
        </w:rPr>
        <w:t>项目实施人员一览表 ………………………………</w:t>
      </w:r>
      <w:r>
        <w:rPr>
          <w:rFonts w:hint="eastAsia" w:ascii="宋体" w:hAnsi="宋体" w:eastAsia="宋体" w:cs="宋体"/>
          <w:color w:val="auto"/>
          <w:highlight w:val="none"/>
        </w:rPr>
        <w:t>………………………（页码）</w:t>
      </w:r>
    </w:p>
    <w:p w14:paraId="2A6346BA">
      <w:pPr>
        <w:pStyle w:val="34"/>
        <w:wordWrap w:val="0"/>
        <w:spacing w:line="360" w:lineRule="auto"/>
        <w:rPr>
          <w:rFonts w:ascii="宋体" w:hAnsi="宋体" w:eastAsia="宋体" w:cs="宋体"/>
          <w:color w:val="auto"/>
          <w:highlight w:val="none"/>
        </w:rPr>
      </w:pPr>
      <w:r>
        <w:rPr>
          <w:rFonts w:hint="eastAsia" w:ascii="宋体" w:hAnsi="宋体" w:eastAsia="宋体" w:cs="宋体"/>
          <w:color w:val="auto"/>
          <w:highlight w:val="none"/>
        </w:rPr>
        <w:t>五、投标人对项目的合理化建议和改进措施</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00A4A9F6">
      <w:pPr>
        <w:pStyle w:val="34"/>
        <w:wordWrap w:val="0"/>
        <w:spacing w:line="360" w:lineRule="auto"/>
        <w:rPr>
          <w:rFonts w:ascii="宋体" w:hAnsi="宋体" w:eastAsia="宋体" w:cs="宋体"/>
          <w:color w:val="auto"/>
          <w:highlight w:val="none"/>
        </w:rPr>
      </w:pPr>
      <w:r>
        <w:rPr>
          <w:rFonts w:hint="eastAsia" w:ascii="宋体" w:hAnsi="宋体" w:eastAsia="宋体" w:cs="宋体"/>
          <w:color w:val="auto"/>
          <w:highlight w:val="none"/>
        </w:rPr>
        <w:t>六、优惠条件及特殊承诺（如有）</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54288EE3">
      <w:pPr>
        <w:pStyle w:val="34"/>
        <w:wordWrap w:val="0"/>
        <w:spacing w:line="360" w:lineRule="auto"/>
        <w:rPr>
          <w:rFonts w:ascii="宋体" w:hAnsi="宋体" w:eastAsia="宋体" w:cs="宋体"/>
          <w:color w:val="auto"/>
          <w:highlight w:val="none"/>
        </w:rPr>
      </w:pPr>
      <w:r>
        <w:rPr>
          <w:rFonts w:hint="eastAsia" w:ascii="宋体" w:hAnsi="宋体" w:eastAsia="宋体" w:cs="宋体"/>
          <w:color w:val="auto"/>
          <w:highlight w:val="none"/>
        </w:rPr>
        <w:t>七、备品备件及供选择的配套零部件清单（如有）</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3F3C7C94">
      <w:pPr>
        <w:pStyle w:val="34"/>
        <w:wordWrap w:val="0"/>
        <w:spacing w:line="360" w:lineRule="auto"/>
        <w:rPr>
          <w:rFonts w:ascii="宋体" w:hAnsi="宋体" w:eastAsia="宋体" w:cs="宋体"/>
          <w:color w:val="auto"/>
          <w:highlight w:val="none"/>
        </w:rPr>
      </w:pPr>
      <w:r>
        <w:rPr>
          <w:rFonts w:hint="eastAsia" w:ascii="宋体" w:hAnsi="宋体" w:eastAsia="宋体" w:cs="宋体"/>
          <w:color w:val="auto"/>
          <w:highlight w:val="none"/>
        </w:rPr>
        <w:t>八、培训计划（如有）</w:t>
      </w:r>
      <w:r>
        <w:rPr>
          <w:rFonts w:hint="eastAsia" w:ascii="宋体" w:hAnsi="宋体" w:eastAsia="宋体" w:cs="宋体"/>
          <w:color w:val="auto"/>
          <w:highlight w:val="none"/>
          <w:lang w:val="zh-CN"/>
        </w:rPr>
        <w:t>………………………………………………………</w:t>
      </w:r>
      <w:r>
        <w:rPr>
          <w:rFonts w:hint="eastAsia" w:ascii="宋体" w:hAnsi="宋体" w:eastAsia="宋体" w:cs="宋体"/>
          <w:color w:val="auto"/>
          <w:highlight w:val="none"/>
        </w:rPr>
        <w:t>……</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383B668F">
      <w:pPr>
        <w:pStyle w:val="34"/>
        <w:wordWrap w:val="0"/>
        <w:spacing w:line="360" w:lineRule="auto"/>
        <w:rPr>
          <w:rFonts w:ascii="宋体" w:hAnsi="宋体" w:eastAsia="宋体" w:cs="宋体"/>
          <w:color w:val="auto"/>
          <w:highlight w:val="none"/>
        </w:rPr>
      </w:pPr>
      <w:r>
        <w:rPr>
          <w:rFonts w:hint="eastAsia" w:ascii="宋体" w:hAnsi="宋体" w:eastAsia="宋体" w:cs="宋体"/>
          <w:color w:val="auto"/>
          <w:highlight w:val="none"/>
        </w:rPr>
        <w:t>九、认为需要的其他技术文件或说明（如有）</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28B35AA8">
      <w:pPr>
        <w:wordWrap w:val="0"/>
        <w:spacing w:line="360" w:lineRule="auto"/>
        <w:rPr>
          <w:rFonts w:ascii="宋体" w:hAnsi="宋体" w:cs="宋体"/>
          <w:b/>
          <w:bCs/>
          <w:color w:val="auto"/>
          <w:sz w:val="24"/>
          <w:highlight w:val="none"/>
        </w:rPr>
      </w:pPr>
      <w:r>
        <w:rPr>
          <w:rFonts w:hint="eastAsia" w:ascii="宋体" w:hAnsi="宋体" w:cs="宋体"/>
          <w:b/>
          <w:bCs/>
          <w:color w:val="auto"/>
          <w:sz w:val="24"/>
          <w:highlight w:val="none"/>
        </w:rPr>
        <w:t>注：以上目录是基本格式要求，各投标人可根据自身情况进一步向下增加内容或细化。</w:t>
      </w:r>
    </w:p>
    <w:p w14:paraId="06699DF5">
      <w:pPr>
        <w:wordWrap w:val="0"/>
        <w:snapToGrid w:val="0"/>
        <w:spacing w:line="360" w:lineRule="auto"/>
        <w:ind w:left="143" w:leftChars="68" w:firstLine="472" w:firstLineChars="196"/>
        <w:jc w:val="left"/>
        <w:rPr>
          <w:rFonts w:ascii="宋体" w:hAnsi="宋体" w:cs="宋体"/>
          <w:b/>
          <w:color w:val="auto"/>
          <w:sz w:val="24"/>
          <w:highlight w:val="none"/>
        </w:rPr>
      </w:pPr>
    </w:p>
    <w:p w14:paraId="3068F23D">
      <w:pPr>
        <w:wordWrap w:val="0"/>
        <w:snapToGrid w:val="0"/>
        <w:spacing w:line="360" w:lineRule="auto"/>
        <w:ind w:left="143" w:leftChars="68" w:firstLine="472" w:firstLineChars="196"/>
        <w:jc w:val="left"/>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 xml:space="preserve"> </w:t>
      </w:r>
    </w:p>
    <w:p w14:paraId="54CB2AE2">
      <w:pPr>
        <w:pStyle w:val="12"/>
        <w:wordWrap w:val="0"/>
        <w:spacing w:line="360" w:lineRule="auto"/>
        <w:jc w:val="center"/>
        <w:rPr>
          <w:rFonts w:hAnsi="宋体" w:cs="宋体"/>
          <w:color w:val="auto"/>
          <w:highlight w:val="none"/>
        </w:rPr>
      </w:pPr>
      <w:r>
        <w:rPr>
          <w:rFonts w:hint="eastAsia" w:hAnsi="宋体" w:cs="宋体"/>
          <w:b/>
          <w:bCs/>
          <w:color w:val="auto"/>
          <w:sz w:val="30"/>
          <w:szCs w:val="30"/>
          <w:highlight w:val="none"/>
        </w:rPr>
        <w:t>一、服务需求、技术需求偏离表</w:t>
      </w:r>
    </w:p>
    <w:p w14:paraId="0ECF58A7">
      <w:pPr>
        <w:pStyle w:val="12"/>
        <w:wordWrap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请根据所投服务的实际技术参数，</w:t>
      </w:r>
      <w:r>
        <w:rPr>
          <w:rFonts w:hint="eastAsia" w:hAnsi="宋体" w:cs="宋体"/>
          <w:b/>
          <w:color w:val="auto"/>
          <w:sz w:val="28"/>
          <w:szCs w:val="28"/>
          <w:highlight w:val="none"/>
        </w:rPr>
        <w:t>逐条对应</w:t>
      </w:r>
      <w:r>
        <w:rPr>
          <w:rFonts w:hint="eastAsia" w:hAnsi="宋体" w:cs="宋体"/>
          <w:color w:val="auto"/>
          <w:sz w:val="24"/>
          <w:szCs w:val="24"/>
          <w:highlight w:val="none"/>
        </w:rPr>
        <w:t>本项目招标文件第二章“服务需求一览表”中的</w:t>
      </w:r>
      <w:r>
        <w:rPr>
          <w:rFonts w:hint="eastAsia" w:hAnsi="宋体" w:cs="宋体"/>
          <w:b/>
          <w:color w:val="auto"/>
          <w:sz w:val="28"/>
          <w:szCs w:val="28"/>
          <w:highlight w:val="none"/>
        </w:rPr>
        <w:t>采购清单及服务参数</w:t>
      </w:r>
      <w:r>
        <w:rPr>
          <w:rFonts w:hint="eastAsia" w:hAnsi="宋体" w:cs="宋体"/>
          <w:color w:val="auto"/>
          <w:sz w:val="24"/>
          <w:szCs w:val="24"/>
          <w:highlight w:val="none"/>
        </w:rPr>
        <w:t>详细填写相应的具体内容。“偏离说明”一栏应当选择“正偏离”、“负偏离”或“无偏离”进行填写。</w:t>
      </w:r>
    </w:p>
    <w:tbl>
      <w:tblPr>
        <w:tblStyle w:val="22"/>
        <w:tblW w:w="10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1260"/>
        <w:gridCol w:w="2310"/>
        <w:gridCol w:w="1516"/>
        <w:gridCol w:w="3297"/>
        <w:gridCol w:w="1168"/>
      </w:tblGrid>
      <w:tr w14:paraId="79C42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634" w:type="dxa"/>
            <w:vMerge w:val="restart"/>
            <w:tcBorders>
              <w:top w:val="single" w:color="auto" w:sz="4" w:space="0"/>
              <w:left w:val="single" w:color="auto" w:sz="4" w:space="0"/>
              <w:bottom w:val="single" w:color="auto" w:sz="4" w:space="0"/>
              <w:right w:val="single" w:color="auto" w:sz="4" w:space="0"/>
            </w:tcBorders>
            <w:vAlign w:val="center"/>
          </w:tcPr>
          <w:p w14:paraId="0B601C27">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项号</w:t>
            </w:r>
          </w:p>
        </w:tc>
        <w:tc>
          <w:tcPr>
            <w:tcW w:w="3570" w:type="dxa"/>
            <w:gridSpan w:val="2"/>
            <w:tcBorders>
              <w:top w:val="single" w:color="auto" w:sz="4" w:space="0"/>
              <w:left w:val="single" w:color="auto" w:sz="4" w:space="0"/>
              <w:bottom w:val="single" w:color="auto" w:sz="4" w:space="0"/>
              <w:right w:val="single" w:color="auto" w:sz="4" w:space="0"/>
            </w:tcBorders>
            <w:vAlign w:val="center"/>
          </w:tcPr>
          <w:p w14:paraId="320C64DF">
            <w:pPr>
              <w:wordWrap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招标文件需求</w:t>
            </w:r>
          </w:p>
        </w:tc>
        <w:tc>
          <w:tcPr>
            <w:tcW w:w="4813" w:type="dxa"/>
            <w:gridSpan w:val="2"/>
            <w:tcBorders>
              <w:top w:val="single" w:color="auto" w:sz="4" w:space="0"/>
              <w:left w:val="single" w:color="auto" w:sz="4" w:space="0"/>
              <w:bottom w:val="single" w:color="auto" w:sz="4" w:space="0"/>
              <w:right w:val="single" w:color="auto" w:sz="4" w:space="0"/>
            </w:tcBorders>
            <w:vAlign w:val="center"/>
          </w:tcPr>
          <w:p w14:paraId="304FD260">
            <w:pPr>
              <w:wordWrap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投标文件承诺</w:t>
            </w:r>
          </w:p>
        </w:tc>
        <w:tc>
          <w:tcPr>
            <w:tcW w:w="1168" w:type="dxa"/>
            <w:vMerge w:val="restart"/>
            <w:tcBorders>
              <w:top w:val="single" w:color="auto" w:sz="4" w:space="0"/>
              <w:left w:val="single" w:color="auto" w:sz="4" w:space="0"/>
              <w:bottom w:val="single" w:color="auto" w:sz="4" w:space="0"/>
              <w:right w:val="single" w:color="auto" w:sz="4" w:space="0"/>
            </w:tcBorders>
            <w:vAlign w:val="center"/>
          </w:tcPr>
          <w:p w14:paraId="6A4E2FBF">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偏离说明</w:t>
            </w:r>
          </w:p>
        </w:tc>
      </w:tr>
      <w:tr w14:paraId="12E08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634" w:type="dxa"/>
            <w:vMerge w:val="continue"/>
            <w:tcBorders>
              <w:top w:val="single" w:color="auto" w:sz="4" w:space="0"/>
              <w:left w:val="single" w:color="auto" w:sz="4" w:space="0"/>
              <w:bottom w:val="single" w:color="auto" w:sz="4" w:space="0"/>
              <w:right w:val="single" w:color="auto" w:sz="4" w:space="0"/>
            </w:tcBorders>
            <w:vAlign w:val="center"/>
          </w:tcPr>
          <w:p w14:paraId="02ECBC28">
            <w:pPr>
              <w:widowControl/>
              <w:wordWrap w:val="0"/>
              <w:spacing w:line="360" w:lineRule="auto"/>
              <w:jc w:val="left"/>
              <w:rPr>
                <w:rFonts w:ascii="宋体" w:hAnsi="宋体" w:cs="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13AE2D3F">
            <w:pPr>
              <w:wordWrap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服务名称</w:t>
            </w:r>
          </w:p>
        </w:tc>
        <w:tc>
          <w:tcPr>
            <w:tcW w:w="2310" w:type="dxa"/>
            <w:tcBorders>
              <w:top w:val="single" w:color="auto" w:sz="4" w:space="0"/>
              <w:left w:val="single" w:color="auto" w:sz="4" w:space="0"/>
              <w:bottom w:val="single" w:color="auto" w:sz="4" w:space="0"/>
              <w:right w:val="single" w:color="auto" w:sz="4" w:space="0"/>
            </w:tcBorders>
            <w:vAlign w:val="center"/>
          </w:tcPr>
          <w:p w14:paraId="4C30103A">
            <w:pPr>
              <w:wordWrap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服务参数</w:t>
            </w:r>
          </w:p>
        </w:tc>
        <w:tc>
          <w:tcPr>
            <w:tcW w:w="1516" w:type="dxa"/>
            <w:tcBorders>
              <w:top w:val="single" w:color="auto" w:sz="4" w:space="0"/>
              <w:left w:val="single" w:color="auto" w:sz="4" w:space="0"/>
              <w:bottom w:val="single" w:color="auto" w:sz="4" w:space="0"/>
              <w:right w:val="single" w:color="auto" w:sz="4" w:space="0"/>
            </w:tcBorders>
            <w:vAlign w:val="center"/>
          </w:tcPr>
          <w:p w14:paraId="5A5F4DE1">
            <w:pPr>
              <w:wordWrap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服务名称</w:t>
            </w:r>
          </w:p>
        </w:tc>
        <w:tc>
          <w:tcPr>
            <w:tcW w:w="3297" w:type="dxa"/>
            <w:tcBorders>
              <w:top w:val="single" w:color="auto" w:sz="4" w:space="0"/>
              <w:left w:val="single" w:color="auto" w:sz="4" w:space="0"/>
              <w:bottom w:val="single" w:color="auto" w:sz="4" w:space="0"/>
              <w:right w:val="single" w:color="auto" w:sz="4" w:space="0"/>
            </w:tcBorders>
            <w:vAlign w:val="center"/>
          </w:tcPr>
          <w:p w14:paraId="05F63F74">
            <w:pPr>
              <w:wordWrap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所提供服务的内容</w:t>
            </w:r>
          </w:p>
        </w:tc>
        <w:tc>
          <w:tcPr>
            <w:tcW w:w="1168" w:type="dxa"/>
            <w:vMerge w:val="continue"/>
            <w:tcBorders>
              <w:top w:val="single" w:color="auto" w:sz="4" w:space="0"/>
              <w:left w:val="single" w:color="auto" w:sz="4" w:space="0"/>
              <w:bottom w:val="single" w:color="auto" w:sz="4" w:space="0"/>
              <w:right w:val="single" w:color="auto" w:sz="4" w:space="0"/>
            </w:tcBorders>
            <w:vAlign w:val="center"/>
          </w:tcPr>
          <w:p w14:paraId="21BA5499">
            <w:pPr>
              <w:widowControl/>
              <w:wordWrap w:val="0"/>
              <w:spacing w:line="360" w:lineRule="auto"/>
              <w:jc w:val="left"/>
              <w:rPr>
                <w:rFonts w:ascii="宋体" w:hAnsi="宋体" w:cs="宋体"/>
                <w:color w:val="auto"/>
                <w:szCs w:val="21"/>
                <w:highlight w:val="none"/>
              </w:rPr>
            </w:pPr>
          </w:p>
        </w:tc>
      </w:tr>
      <w:tr w14:paraId="588F9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vAlign w:val="center"/>
          </w:tcPr>
          <w:p w14:paraId="177DE574">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1</w:t>
            </w:r>
          </w:p>
        </w:tc>
        <w:tc>
          <w:tcPr>
            <w:tcW w:w="1260" w:type="dxa"/>
            <w:tcBorders>
              <w:top w:val="single" w:color="auto" w:sz="4" w:space="0"/>
              <w:left w:val="single" w:color="auto" w:sz="4" w:space="0"/>
              <w:bottom w:val="single" w:color="auto" w:sz="4" w:space="0"/>
              <w:right w:val="single" w:color="auto" w:sz="4" w:space="0"/>
            </w:tcBorders>
            <w:vAlign w:val="center"/>
          </w:tcPr>
          <w:p w14:paraId="6B6898AD">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w:t>
            </w:r>
          </w:p>
        </w:tc>
        <w:tc>
          <w:tcPr>
            <w:tcW w:w="2310" w:type="dxa"/>
            <w:tcBorders>
              <w:top w:val="single" w:color="auto" w:sz="4" w:space="0"/>
              <w:left w:val="single" w:color="auto" w:sz="4" w:space="0"/>
              <w:bottom w:val="single" w:color="auto" w:sz="4" w:space="0"/>
              <w:right w:val="single" w:color="auto" w:sz="4" w:space="0"/>
            </w:tcBorders>
            <w:vAlign w:val="center"/>
          </w:tcPr>
          <w:p w14:paraId="513EDA2F">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1  ……</w:t>
            </w:r>
          </w:p>
          <w:p w14:paraId="6C63B738">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2  ……</w:t>
            </w:r>
          </w:p>
          <w:p w14:paraId="783D32B7">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3  ……</w:t>
            </w:r>
          </w:p>
          <w:p w14:paraId="5A8BB48F">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w:t>
            </w:r>
          </w:p>
        </w:tc>
        <w:tc>
          <w:tcPr>
            <w:tcW w:w="1516" w:type="dxa"/>
            <w:tcBorders>
              <w:top w:val="single" w:color="auto" w:sz="4" w:space="0"/>
              <w:left w:val="single" w:color="auto" w:sz="4" w:space="0"/>
              <w:bottom w:val="single" w:color="auto" w:sz="4" w:space="0"/>
              <w:right w:val="single" w:color="auto" w:sz="4" w:space="0"/>
            </w:tcBorders>
            <w:vAlign w:val="center"/>
          </w:tcPr>
          <w:p w14:paraId="07B33CDB">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w:t>
            </w:r>
          </w:p>
        </w:tc>
        <w:tc>
          <w:tcPr>
            <w:tcW w:w="3297" w:type="dxa"/>
            <w:tcBorders>
              <w:top w:val="single" w:color="auto" w:sz="4" w:space="0"/>
              <w:left w:val="single" w:color="auto" w:sz="4" w:space="0"/>
              <w:bottom w:val="single" w:color="auto" w:sz="4" w:space="0"/>
              <w:right w:val="single" w:color="auto" w:sz="4" w:space="0"/>
            </w:tcBorders>
            <w:vAlign w:val="center"/>
          </w:tcPr>
          <w:p w14:paraId="58955964">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1  ……</w:t>
            </w:r>
          </w:p>
          <w:p w14:paraId="68A9091D">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2  ……</w:t>
            </w:r>
          </w:p>
          <w:p w14:paraId="76D94CE8">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3  ……</w:t>
            </w:r>
          </w:p>
          <w:p w14:paraId="21CB88CE">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w:t>
            </w:r>
          </w:p>
        </w:tc>
        <w:tc>
          <w:tcPr>
            <w:tcW w:w="1168" w:type="dxa"/>
            <w:tcBorders>
              <w:top w:val="single" w:color="auto" w:sz="4" w:space="0"/>
              <w:left w:val="single" w:color="auto" w:sz="4" w:space="0"/>
              <w:bottom w:val="single" w:color="auto" w:sz="4" w:space="0"/>
              <w:right w:val="single" w:color="auto" w:sz="4" w:space="0"/>
            </w:tcBorders>
            <w:vAlign w:val="center"/>
          </w:tcPr>
          <w:p w14:paraId="5829EB78">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正偏离（负偏离或无偏离）</w:t>
            </w:r>
          </w:p>
        </w:tc>
      </w:tr>
      <w:tr w14:paraId="76AD1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vAlign w:val="center"/>
          </w:tcPr>
          <w:p w14:paraId="78FE7CD2">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2</w:t>
            </w:r>
          </w:p>
        </w:tc>
        <w:tc>
          <w:tcPr>
            <w:tcW w:w="1260" w:type="dxa"/>
            <w:tcBorders>
              <w:top w:val="single" w:color="auto" w:sz="4" w:space="0"/>
              <w:left w:val="single" w:color="auto" w:sz="4" w:space="0"/>
              <w:bottom w:val="single" w:color="auto" w:sz="4" w:space="0"/>
              <w:right w:val="single" w:color="auto" w:sz="4" w:space="0"/>
            </w:tcBorders>
            <w:vAlign w:val="center"/>
          </w:tcPr>
          <w:p w14:paraId="01DF67F0">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w:t>
            </w:r>
          </w:p>
        </w:tc>
        <w:tc>
          <w:tcPr>
            <w:tcW w:w="2310" w:type="dxa"/>
            <w:tcBorders>
              <w:top w:val="single" w:color="auto" w:sz="4" w:space="0"/>
              <w:left w:val="single" w:color="auto" w:sz="4" w:space="0"/>
              <w:bottom w:val="single" w:color="auto" w:sz="4" w:space="0"/>
              <w:right w:val="single" w:color="auto" w:sz="4" w:space="0"/>
            </w:tcBorders>
            <w:vAlign w:val="center"/>
          </w:tcPr>
          <w:p w14:paraId="797BB5BF">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1  ……</w:t>
            </w:r>
          </w:p>
          <w:p w14:paraId="0A204FA2">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2  ……</w:t>
            </w:r>
          </w:p>
          <w:p w14:paraId="067D013F">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3  ……</w:t>
            </w:r>
          </w:p>
          <w:p w14:paraId="15EFAE92">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w:t>
            </w:r>
          </w:p>
        </w:tc>
        <w:tc>
          <w:tcPr>
            <w:tcW w:w="1516" w:type="dxa"/>
            <w:tcBorders>
              <w:top w:val="single" w:color="auto" w:sz="4" w:space="0"/>
              <w:left w:val="single" w:color="auto" w:sz="4" w:space="0"/>
              <w:bottom w:val="single" w:color="auto" w:sz="4" w:space="0"/>
              <w:right w:val="single" w:color="auto" w:sz="4" w:space="0"/>
            </w:tcBorders>
            <w:vAlign w:val="center"/>
          </w:tcPr>
          <w:p w14:paraId="7829A76A">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w:t>
            </w:r>
          </w:p>
        </w:tc>
        <w:tc>
          <w:tcPr>
            <w:tcW w:w="3297" w:type="dxa"/>
            <w:tcBorders>
              <w:top w:val="single" w:color="auto" w:sz="4" w:space="0"/>
              <w:left w:val="single" w:color="auto" w:sz="4" w:space="0"/>
              <w:bottom w:val="single" w:color="auto" w:sz="4" w:space="0"/>
              <w:right w:val="single" w:color="auto" w:sz="4" w:space="0"/>
            </w:tcBorders>
            <w:vAlign w:val="center"/>
          </w:tcPr>
          <w:p w14:paraId="7A8BE890">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1  ……</w:t>
            </w:r>
          </w:p>
          <w:p w14:paraId="6D18E456">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2  ……</w:t>
            </w:r>
          </w:p>
          <w:p w14:paraId="74B33D84">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3  ……</w:t>
            </w:r>
          </w:p>
          <w:p w14:paraId="49BA69B1">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w:t>
            </w:r>
          </w:p>
        </w:tc>
        <w:tc>
          <w:tcPr>
            <w:tcW w:w="1168" w:type="dxa"/>
            <w:tcBorders>
              <w:top w:val="single" w:color="auto" w:sz="4" w:space="0"/>
              <w:left w:val="single" w:color="auto" w:sz="4" w:space="0"/>
              <w:bottom w:val="single" w:color="auto" w:sz="4" w:space="0"/>
              <w:right w:val="single" w:color="auto" w:sz="4" w:space="0"/>
            </w:tcBorders>
            <w:vAlign w:val="center"/>
          </w:tcPr>
          <w:p w14:paraId="3A64E312">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正偏离（负偏离或无偏离）</w:t>
            </w:r>
          </w:p>
        </w:tc>
      </w:tr>
      <w:tr w14:paraId="486AA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vAlign w:val="center"/>
          </w:tcPr>
          <w:p w14:paraId="79684B25">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w:t>
            </w:r>
          </w:p>
        </w:tc>
        <w:tc>
          <w:tcPr>
            <w:tcW w:w="1260" w:type="dxa"/>
            <w:tcBorders>
              <w:top w:val="single" w:color="auto" w:sz="4" w:space="0"/>
              <w:left w:val="single" w:color="auto" w:sz="4" w:space="0"/>
              <w:bottom w:val="single" w:color="auto" w:sz="4" w:space="0"/>
              <w:right w:val="single" w:color="auto" w:sz="4" w:space="0"/>
            </w:tcBorders>
            <w:vAlign w:val="center"/>
          </w:tcPr>
          <w:p w14:paraId="3BC8267C">
            <w:pPr>
              <w:wordWrap w:val="0"/>
              <w:spacing w:line="360" w:lineRule="auto"/>
              <w:rPr>
                <w:rFonts w:ascii="宋体" w:hAnsi="宋体" w:cs="宋体"/>
                <w:color w:val="auto"/>
                <w:szCs w:val="21"/>
                <w:highlight w:val="none"/>
              </w:rPr>
            </w:pPr>
          </w:p>
        </w:tc>
        <w:tc>
          <w:tcPr>
            <w:tcW w:w="2310" w:type="dxa"/>
            <w:tcBorders>
              <w:top w:val="single" w:color="auto" w:sz="4" w:space="0"/>
              <w:left w:val="single" w:color="auto" w:sz="4" w:space="0"/>
              <w:bottom w:val="single" w:color="auto" w:sz="4" w:space="0"/>
              <w:right w:val="single" w:color="auto" w:sz="4" w:space="0"/>
            </w:tcBorders>
            <w:vAlign w:val="center"/>
          </w:tcPr>
          <w:p w14:paraId="629ECADA">
            <w:pPr>
              <w:wordWrap w:val="0"/>
              <w:spacing w:line="360" w:lineRule="auto"/>
              <w:rPr>
                <w:rFonts w:ascii="宋体" w:hAnsi="宋体" w:cs="宋体"/>
                <w:color w:val="auto"/>
                <w:szCs w:val="21"/>
                <w:highlight w:val="none"/>
              </w:rPr>
            </w:pPr>
          </w:p>
        </w:tc>
        <w:tc>
          <w:tcPr>
            <w:tcW w:w="1516" w:type="dxa"/>
            <w:tcBorders>
              <w:top w:val="single" w:color="auto" w:sz="4" w:space="0"/>
              <w:left w:val="single" w:color="auto" w:sz="4" w:space="0"/>
              <w:bottom w:val="single" w:color="auto" w:sz="4" w:space="0"/>
              <w:right w:val="single" w:color="auto" w:sz="4" w:space="0"/>
            </w:tcBorders>
            <w:vAlign w:val="center"/>
          </w:tcPr>
          <w:p w14:paraId="6AB8B2AD">
            <w:pPr>
              <w:wordWrap w:val="0"/>
              <w:spacing w:line="360" w:lineRule="auto"/>
              <w:rPr>
                <w:rFonts w:ascii="宋体" w:hAnsi="宋体" w:cs="宋体"/>
                <w:color w:val="auto"/>
                <w:szCs w:val="21"/>
                <w:highlight w:val="none"/>
              </w:rPr>
            </w:pPr>
          </w:p>
        </w:tc>
        <w:tc>
          <w:tcPr>
            <w:tcW w:w="3297" w:type="dxa"/>
            <w:tcBorders>
              <w:top w:val="single" w:color="auto" w:sz="4" w:space="0"/>
              <w:left w:val="single" w:color="auto" w:sz="4" w:space="0"/>
              <w:bottom w:val="single" w:color="auto" w:sz="4" w:space="0"/>
              <w:right w:val="single" w:color="auto" w:sz="4" w:space="0"/>
            </w:tcBorders>
            <w:vAlign w:val="center"/>
          </w:tcPr>
          <w:p w14:paraId="63D76D50">
            <w:pPr>
              <w:wordWrap w:val="0"/>
              <w:spacing w:line="360" w:lineRule="auto"/>
              <w:rPr>
                <w:rFonts w:ascii="宋体" w:hAnsi="宋体" w:cs="宋体"/>
                <w:color w:val="auto"/>
                <w:szCs w:val="21"/>
                <w:highlight w:val="none"/>
              </w:rPr>
            </w:pPr>
          </w:p>
        </w:tc>
        <w:tc>
          <w:tcPr>
            <w:tcW w:w="1168" w:type="dxa"/>
            <w:tcBorders>
              <w:top w:val="single" w:color="auto" w:sz="4" w:space="0"/>
              <w:left w:val="single" w:color="auto" w:sz="4" w:space="0"/>
              <w:bottom w:val="single" w:color="auto" w:sz="4" w:space="0"/>
              <w:right w:val="single" w:color="auto" w:sz="4" w:space="0"/>
            </w:tcBorders>
            <w:vAlign w:val="center"/>
          </w:tcPr>
          <w:p w14:paraId="67D9BE03">
            <w:pPr>
              <w:wordWrap w:val="0"/>
              <w:spacing w:line="360" w:lineRule="auto"/>
              <w:rPr>
                <w:rFonts w:ascii="宋体" w:hAnsi="宋体" w:cs="宋体"/>
                <w:color w:val="auto"/>
                <w:szCs w:val="21"/>
                <w:highlight w:val="none"/>
              </w:rPr>
            </w:pPr>
          </w:p>
        </w:tc>
      </w:tr>
      <w:tr w14:paraId="1BA5B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0185" w:type="dxa"/>
            <w:gridSpan w:val="6"/>
            <w:tcBorders>
              <w:top w:val="single" w:color="auto" w:sz="4" w:space="0"/>
              <w:left w:val="single" w:color="auto" w:sz="4" w:space="0"/>
              <w:bottom w:val="single" w:color="auto" w:sz="4" w:space="0"/>
              <w:right w:val="single" w:color="auto" w:sz="4" w:space="0"/>
            </w:tcBorders>
            <w:vAlign w:val="center"/>
          </w:tcPr>
          <w:p w14:paraId="73A93652">
            <w:pPr>
              <w:wordWrap w:val="0"/>
              <w:spacing w:line="360" w:lineRule="auto"/>
              <w:rPr>
                <w:rFonts w:ascii="宋体" w:hAnsi="宋体" w:cs="宋体"/>
                <w:color w:val="auto"/>
                <w:szCs w:val="21"/>
                <w:highlight w:val="none"/>
              </w:rPr>
            </w:pPr>
            <w:r>
              <w:rPr>
                <w:rFonts w:hint="eastAsia" w:ascii="宋体" w:hAnsi="宋体" w:cs="宋体"/>
                <w:color w:val="auto"/>
                <w:szCs w:val="21"/>
                <w:highlight w:val="none"/>
                <w:u w:val="single"/>
              </w:rPr>
              <w:t>　　</w:t>
            </w:r>
            <w:r>
              <w:rPr>
                <w:rFonts w:hint="eastAsia" w:ascii="宋体" w:hAnsi="宋体" w:cs="宋体"/>
                <w:color w:val="auto"/>
                <w:szCs w:val="21"/>
                <w:highlight w:val="none"/>
              </w:rPr>
              <w:t>分标（此处有分标时填写具体分标号，无分标时填写“无”）</w:t>
            </w:r>
          </w:p>
        </w:tc>
      </w:tr>
    </w:tbl>
    <w:p w14:paraId="13A9E496">
      <w:pPr>
        <w:pStyle w:val="12"/>
        <w:wordWrap w:val="0"/>
        <w:spacing w:line="360" w:lineRule="auto"/>
        <w:rPr>
          <w:rFonts w:hAnsi="宋体" w:cs="宋体"/>
          <w:color w:val="auto"/>
          <w:szCs w:val="21"/>
          <w:highlight w:val="none"/>
        </w:rPr>
      </w:pPr>
      <w:r>
        <w:rPr>
          <w:rFonts w:hint="eastAsia" w:hAnsi="宋体" w:cs="宋体"/>
          <w:color w:val="auto"/>
          <w:szCs w:val="21"/>
          <w:highlight w:val="none"/>
        </w:rPr>
        <w:t>注：</w:t>
      </w:r>
    </w:p>
    <w:p w14:paraId="3BB21E1E">
      <w:pPr>
        <w:pStyle w:val="12"/>
        <w:wordWrap w:val="0"/>
        <w:spacing w:line="360" w:lineRule="auto"/>
        <w:rPr>
          <w:rFonts w:hAnsi="宋体" w:cs="宋体"/>
          <w:color w:val="auto"/>
          <w:szCs w:val="21"/>
          <w:highlight w:val="none"/>
        </w:rPr>
      </w:pPr>
      <w:r>
        <w:rPr>
          <w:rFonts w:hint="eastAsia" w:hAnsi="宋体" w:cs="宋体"/>
          <w:color w:val="auto"/>
          <w:szCs w:val="21"/>
          <w:highlight w:val="none"/>
        </w:rPr>
        <w:t>1.表格内容均需按要求填写并盖章，不得留空，</w:t>
      </w:r>
      <w:r>
        <w:rPr>
          <w:rFonts w:hint="eastAsia" w:hAnsi="宋体" w:cs="宋体"/>
          <w:bCs/>
          <w:color w:val="auto"/>
          <w:szCs w:val="21"/>
          <w:highlight w:val="none"/>
        </w:rPr>
        <w:t>否则按投标无效处理</w:t>
      </w:r>
      <w:r>
        <w:rPr>
          <w:rFonts w:hint="eastAsia" w:hAnsi="宋体" w:cs="宋体"/>
          <w:color w:val="auto"/>
          <w:szCs w:val="21"/>
          <w:highlight w:val="none"/>
        </w:rPr>
        <w:t>。</w:t>
      </w:r>
    </w:p>
    <w:p w14:paraId="36F85142">
      <w:pPr>
        <w:pStyle w:val="12"/>
        <w:wordWrap w:val="0"/>
        <w:spacing w:line="360" w:lineRule="auto"/>
        <w:rPr>
          <w:rFonts w:hAnsi="宋体" w:cs="宋体"/>
          <w:color w:val="auto"/>
          <w:szCs w:val="21"/>
          <w:highlight w:val="none"/>
        </w:rPr>
      </w:pPr>
      <w:r>
        <w:rPr>
          <w:rFonts w:hint="eastAsia" w:hAnsi="宋体" w:cs="宋体"/>
          <w:bCs/>
          <w:color w:val="auto"/>
          <w:szCs w:val="21"/>
          <w:highlight w:val="none"/>
        </w:rPr>
        <w:t>2.当投标文件的服务内容低于招标文件要求时，投标人应当如实写明“负偏离”，否则视为虚假应标。</w:t>
      </w:r>
    </w:p>
    <w:p w14:paraId="3418472E">
      <w:pPr>
        <w:pStyle w:val="12"/>
        <w:wordWrap w:val="0"/>
        <w:spacing w:line="360" w:lineRule="auto"/>
        <w:rPr>
          <w:rFonts w:hAnsi="宋体" w:cs="宋体"/>
          <w:color w:val="auto"/>
          <w:highlight w:val="none"/>
        </w:rPr>
      </w:pPr>
      <w:r>
        <w:rPr>
          <w:rFonts w:hint="eastAsia" w:hAnsi="宋体" w:cs="宋体"/>
          <w:color w:val="auto"/>
          <w:highlight w:val="none"/>
        </w:rPr>
        <w:t>3.</w:t>
      </w:r>
      <w:r>
        <w:rPr>
          <w:rFonts w:hint="eastAsia" w:hAnsi="宋体" w:cs="宋体"/>
          <w:color w:val="auto"/>
          <w:szCs w:val="21"/>
          <w:highlight w:val="none"/>
        </w:rPr>
        <w:t>采购需求中带“▲”及“★”的条款，也要分别在本表“服务参数”、“所提供服务的内容”中标记。</w:t>
      </w:r>
    </w:p>
    <w:p w14:paraId="049F2AB5">
      <w:pPr>
        <w:wordWrap w:val="0"/>
        <w:snapToGrid w:val="0"/>
        <w:spacing w:line="360" w:lineRule="auto"/>
        <w:ind w:firstLine="5640" w:firstLineChars="2350"/>
        <w:rPr>
          <w:rFonts w:ascii="宋体" w:hAnsi="宋体" w:cs="宋体"/>
          <w:color w:val="auto"/>
          <w:kern w:val="0"/>
          <w:sz w:val="24"/>
          <w:highlight w:val="none"/>
          <w:lang w:val="zh-CN"/>
        </w:rPr>
      </w:pPr>
    </w:p>
    <w:p w14:paraId="0D7BD4CE">
      <w:pPr>
        <w:wordWrap w:val="0"/>
        <w:snapToGrid w:val="0"/>
        <w:spacing w:line="360" w:lineRule="auto"/>
        <w:ind w:firstLine="5640" w:firstLineChars="235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投标人名称(电子签章)：</w:t>
      </w:r>
    </w:p>
    <w:p w14:paraId="16099D40">
      <w:pPr>
        <w:wordWrap w:val="0"/>
        <w:snapToGrid w:val="0"/>
        <w:spacing w:line="360" w:lineRule="auto"/>
        <w:ind w:firstLine="5640" w:firstLineChars="23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4EF7DE6C">
      <w:pPr>
        <w:widowControl/>
        <w:wordWrap w:val="0"/>
        <w:spacing w:line="360" w:lineRule="auto"/>
        <w:jc w:val="left"/>
        <w:rPr>
          <w:rFonts w:ascii="宋体" w:hAnsi="宋体" w:cs="宋体"/>
          <w:color w:val="auto"/>
          <w:sz w:val="30"/>
          <w:szCs w:val="20"/>
          <w:highlight w:val="none"/>
        </w:rPr>
        <w:sectPr>
          <w:pgSz w:w="11906" w:h="16838"/>
          <w:pgMar w:top="1440" w:right="1080" w:bottom="1440" w:left="1080" w:header="720" w:footer="720" w:gutter="0"/>
          <w:pgNumType w:fmt="decimal"/>
          <w:cols w:space="720" w:num="1"/>
          <w:docGrid w:type="lines" w:linePitch="331" w:charSpace="0"/>
        </w:sectPr>
      </w:pPr>
    </w:p>
    <w:p w14:paraId="6515F168">
      <w:pPr>
        <w:wordWrap w:val="0"/>
        <w:snapToGrid w:val="0"/>
        <w:spacing w:line="360" w:lineRule="auto"/>
        <w:jc w:val="center"/>
        <w:rPr>
          <w:rFonts w:ascii="宋体" w:hAnsi="宋体" w:cs="宋体"/>
          <w:b/>
          <w:bCs/>
          <w:color w:val="auto"/>
          <w:sz w:val="30"/>
          <w:szCs w:val="30"/>
          <w:highlight w:val="none"/>
        </w:rPr>
      </w:pPr>
      <w:r>
        <w:rPr>
          <w:rFonts w:hint="eastAsia" w:ascii="宋体" w:hAnsi="宋体" w:cs="宋体"/>
          <w:b/>
          <w:bCs/>
          <w:color w:val="auto"/>
          <w:sz w:val="30"/>
          <w:szCs w:val="30"/>
          <w:highlight w:val="none"/>
        </w:rPr>
        <w:t>二、组织服务方案</w:t>
      </w:r>
    </w:p>
    <w:p w14:paraId="589D1869">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（由投标人根据采购需求及招标文件要求编制）</w:t>
      </w:r>
    </w:p>
    <w:p w14:paraId="712D3251">
      <w:pPr>
        <w:wordWrap w:val="0"/>
        <w:spacing w:line="360" w:lineRule="auto"/>
        <w:rPr>
          <w:rFonts w:ascii="宋体" w:hAnsi="宋体" w:cs="宋体"/>
          <w:b/>
          <w:bCs/>
          <w:color w:val="auto"/>
          <w:kern w:val="0"/>
          <w:sz w:val="24"/>
          <w:highlight w:val="none"/>
          <w:lang w:val="zh-CN"/>
        </w:rPr>
      </w:pPr>
    </w:p>
    <w:p w14:paraId="0E38E764">
      <w:pPr>
        <w:wordWrap w:val="0"/>
        <w:spacing w:line="360" w:lineRule="auto"/>
        <w:rPr>
          <w:rFonts w:ascii="宋体" w:hAnsi="宋体" w:cs="宋体"/>
          <w:b/>
          <w:bCs/>
          <w:color w:val="auto"/>
          <w:kern w:val="0"/>
          <w:sz w:val="24"/>
          <w:highlight w:val="none"/>
          <w:lang w:val="zh-CN"/>
        </w:rPr>
      </w:pPr>
    </w:p>
    <w:p w14:paraId="1E0CF804">
      <w:pPr>
        <w:wordWrap w:val="0"/>
        <w:spacing w:line="360" w:lineRule="auto"/>
        <w:rPr>
          <w:rFonts w:ascii="宋体" w:hAnsi="宋体" w:cs="宋体"/>
          <w:b/>
          <w:bCs/>
          <w:color w:val="auto"/>
          <w:kern w:val="0"/>
          <w:sz w:val="24"/>
          <w:highlight w:val="none"/>
          <w:lang w:val="zh-CN"/>
        </w:rPr>
      </w:pPr>
      <w:bookmarkStart w:id="289" w:name="_Toc78473822"/>
      <w:r>
        <w:rPr>
          <w:rFonts w:hint="eastAsia" w:ascii="宋体" w:hAnsi="宋体" w:cs="宋体"/>
          <w:b/>
          <w:bCs/>
          <w:color w:val="auto"/>
          <w:kern w:val="0"/>
          <w:sz w:val="24"/>
          <w:highlight w:val="none"/>
          <w:lang w:val="zh-CN"/>
        </w:rPr>
        <w:t>附表:项目实施进度计划表</w:t>
      </w:r>
      <w:r>
        <w:rPr>
          <w:rFonts w:hint="eastAsia" w:ascii="宋体" w:hAnsi="宋体" w:cs="宋体"/>
          <w:b/>
          <w:color w:val="auto"/>
          <w:sz w:val="24"/>
          <w:highlight w:val="none"/>
        </w:rPr>
        <w:t>(以生效日算起)</w:t>
      </w:r>
      <w:bookmarkEnd w:id="289"/>
      <w:r>
        <w:rPr>
          <w:rFonts w:hint="eastAsia" w:ascii="宋体" w:hAnsi="宋体" w:cs="宋体"/>
          <w:b/>
          <w:color w:val="auto"/>
          <w:sz w:val="24"/>
          <w:highlight w:val="none"/>
        </w:rPr>
        <w:t xml:space="preserve"> </w:t>
      </w:r>
    </w:p>
    <w:tbl>
      <w:tblPr>
        <w:tblStyle w:val="22"/>
        <w:tblW w:w="1003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552"/>
        <w:gridCol w:w="552"/>
        <w:gridCol w:w="552"/>
        <w:gridCol w:w="552"/>
        <w:gridCol w:w="552"/>
        <w:gridCol w:w="552"/>
        <w:gridCol w:w="553"/>
        <w:gridCol w:w="553"/>
        <w:gridCol w:w="553"/>
        <w:gridCol w:w="553"/>
        <w:gridCol w:w="553"/>
        <w:gridCol w:w="553"/>
        <w:gridCol w:w="553"/>
        <w:gridCol w:w="553"/>
        <w:gridCol w:w="553"/>
        <w:gridCol w:w="553"/>
      </w:tblGrid>
      <w:tr w14:paraId="2E4EA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1188" w:type="dxa"/>
            <w:tcBorders>
              <w:top w:val="single" w:color="auto" w:sz="4" w:space="0"/>
              <w:left w:val="single" w:color="auto" w:sz="4" w:space="0"/>
              <w:bottom w:val="single" w:color="auto" w:sz="4" w:space="0"/>
              <w:right w:val="single" w:color="auto" w:sz="4" w:space="0"/>
            </w:tcBorders>
            <w:vAlign w:val="center"/>
          </w:tcPr>
          <w:p w14:paraId="5C42C61E">
            <w:pPr>
              <w:wordWrap w:val="0"/>
              <w:spacing w:line="360" w:lineRule="auto"/>
              <w:rPr>
                <w:rFonts w:ascii="宋体" w:hAnsi="宋体" w:cs="宋体"/>
                <w:color w:val="auto"/>
                <w:sz w:val="24"/>
                <w:highlight w:val="none"/>
              </w:rPr>
            </w:pPr>
            <w:r>
              <w:rPr>
                <w:rFonts w:hint="eastAsia" w:ascii="宋体" w:hAnsi="宋体" w:cs="宋体"/>
                <w:color w:val="auto"/>
                <w:highlight w:val="none"/>
              </w:rPr>
              <mc:AlternateContent>
                <mc:Choice Requires="wpg">
                  <w:drawing>
                    <wp:anchor distT="0" distB="0" distL="114300" distR="114300" simplePos="0" relativeHeight="251660288" behindDoc="0" locked="0" layoutInCell="1" allowOverlap="1">
                      <wp:simplePos x="0" y="0"/>
                      <wp:positionH relativeFrom="column">
                        <wp:posOffset>-65405</wp:posOffset>
                      </wp:positionH>
                      <wp:positionV relativeFrom="paragraph">
                        <wp:posOffset>0</wp:posOffset>
                      </wp:positionV>
                      <wp:extent cx="748030" cy="1181100"/>
                      <wp:effectExtent l="3810" t="2540" r="10160" b="16510"/>
                      <wp:wrapNone/>
                      <wp:docPr id="10" name="组合 10"/>
                      <wp:cNvGraphicFramePr/>
                      <a:graphic xmlns:a="http://schemas.openxmlformats.org/drawingml/2006/main">
                        <a:graphicData uri="http://schemas.microsoft.com/office/word/2010/wordprocessingGroup">
                          <wpg:wgp>
                            <wpg:cNvGrpSpPr/>
                            <wpg:grpSpPr>
                              <a:xfrm>
                                <a:off x="0" y="0"/>
                                <a:ext cx="748030" cy="1181100"/>
                                <a:chOff x="0" y="0"/>
                                <a:chExt cx="1178" cy="1860"/>
                              </a:xfrm>
                              <a:effectLst/>
                            </wpg:grpSpPr>
                            <wps:wsp>
                              <wps:cNvPr id="11" name="__TH_L2"/>
                              <wps:cNvCnPr/>
                              <wps:spPr bwMode="auto">
                                <a:xfrm>
                                  <a:off x="0" y="0"/>
                                  <a:ext cx="1178" cy="1860"/>
                                </a:xfrm>
                                <a:prstGeom prst="line">
                                  <a:avLst/>
                                </a:prstGeom>
                                <a:noFill/>
                                <a:ln w="6350">
                                  <a:solidFill>
                                    <a:srgbClr val="000000"/>
                                  </a:solidFill>
                                  <a:round/>
                                </a:ln>
                                <a:effectLst/>
                              </wps:spPr>
                              <wps:bodyPr/>
                            </wps:wsp>
                            <wps:wsp>
                              <wps:cNvPr id="12" name="__TH_B113"/>
                              <wps:cNvSpPr txBox="1">
                                <a:spLocks noChangeArrowheads="1"/>
                              </wps:cNvSpPr>
                              <wps:spPr bwMode="auto">
                                <a:xfrm>
                                  <a:off x="455" y="122"/>
                                  <a:ext cx="253" cy="263"/>
                                </a:xfrm>
                                <a:prstGeom prst="rect">
                                  <a:avLst/>
                                </a:prstGeom>
                                <a:noFill/>
                                <a:ln>
                                  <a:noFill/>
                                </a:ln>
                                <a:effectLst/>
                              </wps:spPr>
                              <wps:txbx>
                                <w:txbxContent>
                                  <w:p w14:paraId="62F918EC">
                                    <w:pPr>
                                      <w:snapToGrid w:val="0"/>
                                      <w:rPr>
                                        <w:sz w:val="24"/>
                                      </w:rPr>
                                    </w:pPr>
                                    <w:r>
                                      <w:rPr>
                                        <w:rFonts w:hint="eastAsia"/>
                                        <w:sz w:val="24"/>
                                      </w:rPr>
                                      <w:t>工</w:t>
                                    </w:r>
                                  </w:p>
                                </w:txbxContent>
                              </wps:txbx>
                              <wps:bodyPr rot="0" vert="horz" wrap="square" lIns="0" tIns="0" rIns="0" bIns="0" anchor="t" anchorCtr="0" upright="1">
                                <a:noAutofit/>
                              </wps:bodyPr>
                            </wps:wsp>
                            <wps:wsp>
                              <wps:cNvPr id="13" name="__TH_B124"/>
                              <wps:cNvSpPr txBox="1">
                                <a:spLocks noChangeArrowheads="1"/>
                              </wps:cNvSpPr>
                              <wps:spPr bwMode="auto">
                                <a:xfrm>
                                  <a:off x="643" y="419"/>
                                  <a:ext cx="253" cy="263"/>
                                </a:xfrm>
                                <a:prstGeom prst="rect">
                                  <a:avLst/>
                                </a:prstGeom>
                                <a:noFill/>
                                <a:ln>
                                  <a:noFill/>
                                </a:ln>
                                <a:effectLst/>
                              </wps:spPr>
                              <wps:txbx>
                                <w:txbxContent>
                                  <w:p w14:paraId="50BC414C">
                                    <w:pPr>
                                      <w:snapToGrid w:val="0"/>
                                      <w:rPr>
                                        <w:sz w:val="24"/>
                                      </w:rPr>
                                    </w:pPr>
                                    <w:r>
                                      <w:rPr>
                                        <w:rFonts w:hint="eastAsia"/>
                                        <w:sz w:val="24"/>
                                      </w:rPr>
                                      <w:t>作</w:t>
                                    </w:r>
                                  </w:p>
                                </w:txbxContent>
                              </wps:txbx>
                              <wps:bodyPr rot="0" vert="horz" wrap="square" lIns="0" tIns="0" rIns="0" bIns="0" anchor="t" anchorCtr="0" upright="1">
                                <a:noAutofit/>
                              </wps:bodyPr>
                            </wps:wsp>
                            <wps:wsp>
                              <wps:cNvPr id="14" name="__TH_B135"/>
                              <wps:cNvSpPr txBox="1">
                                <a:spLocks noChangeArrowheads="1"/>
                              </wps:cNvSpPr>
                              <wps:spPr bwMode="auto">
                                <a:xfrm>
                                  <a:off x="831" y="717"/>
                                  <a:ext cx="253" cy="262"/>
                                </a:xfrm>
                                <a:prstGeom prst="rect">
                                  <a:avLst/>
                                </a:prstGeom>
                                <a:noFill/>
                                <a:ln>
                                  <a:noFill/>
                                </a:ln>
                                <a:effectLst/>
                              </wps:spPr>
                              <wps:txbx>
                                <w:txbxContent>
                                  <w:p w14:paraId="65DF1ECE">
                                    <w:pPr>
                                      <w:snapToGrid w:val="0"/>
                                      <w:rPr>
                                        <w:sz w:val="24"/>
                                      </w:rPr>
                                    </w:pPr>
                                    <w:r>
                                      <w:rPr>
                                        <w:rFonts w:hint="eastAsia"/>
                                        <w:sz w:val="24"/>
                                      </w:rPr>
                                      <w:t>日</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5.15pt;margin-top:0pt;height:93pt;width:58.9pt;z-index:251660288;mso-width-relative:page;mso-height-relative:page;" coordsize="1178,1860" o:gfxdata="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">
                      <o:lock v:ext="edit" aspectratio="f"/>
                      <v:line id="__TH_L2" o:spid="_x0000_s1026" o:spt="20" style="position:absolute;left:0;top:0;height:1860;width:1178;" filled="f" stroked="t" coordsize="21600,21600" o:gfxdata="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h9fiCLgAAADbAAAA&#10;DwAAAAAAAAABACAAAAAiAAAAZHJzL2Rvd25yZXYueG1sUEsBAhQAFAAAAAgAh07iQDMvBZ47AAAA&#10;OQAAABAAAAAAAAAAAQAgAAAABwEAAGRycy9zaGFwZXhtbC54bWxQSwUGAAAAAAYABgBbAQAAsQMA&#10;AAAA&#10;">
                        <v:fill on="f" focussize="0,0"/>
                        <v:stroke weight="0.5pt" color="#000000" joinstyle="round"/>
                        <v:imagedata o:title=""/>
                        <o:lock v:ext="edit" aspectratio="f"/>
                      </v:line>
                      <v:shape id="__TH_B113" o:spid="_x0000_s1026" o:spt="202" type="#_x0000_t202" style="position:absolute;left:455;top:122;height:263;width:253;"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62F918EC">
                              <w:pPr>
                                <w:snapToGrid w:val="0"/>
                                <w:rPr>
                                  <w:sz w:val="24"/>
                                </w:rPr>
                              </w:pPr>
                              <w:r>
                                <w:rPr>
                                  <w:rFonts w:hint="eastAsia"/>
                                  <w:sz w:val="24"/>
                                </w:rPr>
                                <w:t>工</w:t>
                              </w:r>
                            </w:p>
                          </w:txbxContent>
                        </v:textbox>
                      </v:shape>
                      <v:shape id="__TH_B124" o:spid="_x0000_s1026" o:spt="202" type="#_x0000_t202" style="position:absolute;left:643;top:419;height:263;width:253;" filled="f" stroked="f" coordsize="21600,21600" o:gfxdata="UEsDBAoAAAAAAIdO4kAAAAAAAAAAAAAAAAAEAAAAZHJzL1BLAwQUAAAACACHTuJA+thvz7wAAADb&#10;AAAADwAAAGRycy9kb3ducmV2LnhtbEVP32vCMBB+F/Y/hBv4pokT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Yb8+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50BC414C">
                              <w:pPr>
                                <w:snapToGrid w:val="0"/>
                                <w:rPr>
                                  <w:sz w:val="24"/>
                                </w:rPr>
                              </w:pPr>
                              <w:r>
                                <w:rPr>
                                  <w:rFonts w:hint="eastAsia"/>
                                  <w:sz w:val="24"/>
                                </w:rPr>
                                <w:t>作</w:t>
                              </w:r>
                            </w:p>
                          </w:txbxContent>
                        </v:textbox>
                      </v:shape>
                      <v:shape id="__TH_B135" o:spid="_x0000_s1026" o:spt="202" type="#_x0000_t202" style="position:absolute;left:831;top:717;height:262;width:253;" filled="f" stroked="f" coordsize="21600,21600" o:gfxdata="UEsDBAoAAAAAAIdO4kAAAAAAAAAAAAAAAAAEAAAAZHJzL1BLAwQUAAAACACHTuJAdTH3u7wAAADb&#10;AAAADwAAAGRycy9kb3ducmV2LnhtbEVP32vCMBB+F/Y/hBv4polD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Ux97u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65DF1ECE">
                              <w:pPr>
                                <w:snapToGrid w:val="0"/>
                                <w:rPr>
                                  <w:sz w:val="24"/>
                                </w:rPr>
                              </w:pPr>
                              <w:r>
                                <w:rPr>
                                  <w:rFonts w:hint="eastAsia"/>
                                  <w:sz w:val="24"/>
                                </w:rPr>
                                <w:t>日</w:t>
                              </w:r>
                            </w:p>
                          </w:txbxContent>
                        </v:textbox>
                      </v:shape>
                    </v:group>
                  </w:pict>
                </mc:Fallback>
              </mc:AlternateContent>
            </w:r>
          </w:p>
          <w:p w14:paraId="790C374F">
            <w:pPr>
              <w:wordWrap w:val="0"/>
              <w:spacing w:line="360" w:lineRule="auto"/>
              <w:rPr>
                <w:rFonts w:ascii="宋体" w:hAnsi="宋体" w:cs="宋体"/>
                <w:color w:val="auto"/>
                <w:sz w:val="24"/>
                <w:highlight w:val="none"/>
              </w:rPr>
            </w:pPr>
          </w:p>
          <w:p w14:paraId="33D1A2E3">
            <w:pPr>
              <w:wordWrap w:val="0"/>
              <w:spacing w:line="360" w:lineRule="auto"/>
              <w:rPr>
                <w:rFonts w:ascii="宋体" w:hAnsi="宋体" w:cs="宋体"/>
                <w:color w:val="auto"/>
                <w:sz w:val="24"/>
                <w:highlight w:val="none"/>
              </w:rPr>
            </w:pPr>
          </w:p>
          <w:p w14:paraId="7935BF3E">
            <w:pPr>
              <w:wordWrap w:val="0"/>
              <w:spacing w:line="360" w:lineRule="auto"/>
              <w:rPr>
                <w:rFonts w:ascii="宋体" w:hAnsi="宋体" w:cs="宋体"/>
                <w:color w:val="auto"/>
                <w:sz w:val="24"/>
                <w:highlight w:val="none"/>
              </w:rPr>
            </w:pPr>
            <w:r>
              <w:rPr>
                <w:rFonts w:hint="eastAsia" w:ascii="宋体" w:hAnsi="宋体" w:cs="宋体"/>
                <w:color w:val="auto"/>
                <w:sz w:val="24"/>
                <w:highlight w:val="none"/>
              </w:rPr>
              <w:t>内容</w:t>
            </w:r>
          </w:p>
        </w:tc>
        <w:tc>
          <w:tcPr>
            <w:tcW w:w="552" w:type="dxa"/>
            <w:tcBorders>
              <w:top w:val="single" w:color="auto" w:sz="4" w:space="0"/>
              <w:left w:val="single" w:color="auto" w:sz="4" w:space="0"/>
              <w:bottom w:val="single" w:color="auto" w:sz="4" w:space="0"/>
              <w:right w:val="single" w:color="auto" w:sz="4" w:space="0"/>
            </w:tcBorders>
            <w:vAlign w:val="center"/>
          </w:tcPr>
          <w:p w14:paraId="644B4855">
            <w:pPr>
              <w:wordWrap w:val="0"/>
              <w:spacing w:line="360" w:lineRule="auto"/>
              <w:rPr>
                <w:rFonts w:ascii="宋体" w:hAnsi="宋体" w:cs="宋体"/>
                <w:color w:val="auto"/>
                <w:sz w:val="24"/>
                <w:highlight w:val="none"/>
              </w:rPr>
            </w:pPr>
            <w:r>
              <w:rPr>
                <w:rFonts w:hint="eastAsia" w:ascii="宋体" w:hAnsi="宋体" w:cs="宋体"/>
                <w:color w:val="auto"/>
                <w:sz w:val="24"/>
                <w:highlight w:val="none"/>
              </w:rPr>
              <w:t>1</w:t>
            </w:r>
          </w:p>
        </w:tc>
        <w:tc>
          <w:tcPr>
            <w:tcW w:w="552" w:type="dxa"/>
            <w:tcBorders>
              <w:top w:val="single" w:color="auto" w:sz="4" w:space="0"/>
              <w:left w:val="single" w:color="auto" w:sz="4" w:space="0"/>
              <w:bottom w:val="single" w:color="auto" w:sz="4" w:space="0"/>
              <w:right w:val="single" w:color="auto" w:sz="4" w:space="0"/>
            </w:tcBorders>
            <w:vAlign w:val="center"/>
          </w:tcPr>
          <w:p w14:paraId="5C7A781C">
            <w:pPr>
              <w:wordWrap w:val="0"/>
              <w:spacing w:line="360" w:lineRule="auto"/>
              <w:rPr>
                <w:rFonts w:ascii="宋体" w:hAnsi="宋体" w:cs="宋体"/>
                <w:color w:val="auto"/>
                <w:sz w:val="24"/>
                <w:highlight w:val="none"/>
              </w:rPr>
            </w:pPr>
            <w:r>
              <w:rPr>
                <w:rFonts w:hint="eastAsia" w:ascii="宋体" w:hAnsi="宋体" w:cs="宋体"/>
                <w:color w:val="auto"/>
                <w:sz w:val="24"/>
                <w:highlight w:val="none"/>
              </w:rPr>
              <w:t>2</w:t>
            </w:r>
          </w:p>
        </w:tc>
        <w:tc>
          <w:tcPr>
            <w:tcW w:w="552" w:type="dxa"/>
            <w:tcBorders>
              <w:top w:val="single" w:color="auto" w:sz="4" w:space="0"/>
              <w:left w:val="single" w:color="auto" w:sz="4" w:space="0"/>
              <w:bottom w:val="single" w:color="auto" w:sz="4" w:space="0"/>
              <w:right w:val="single" w:color="auto" w:sz="4" w:space="0"/>
            </w:tcBorders>
            <w:vAlign w:val="center"/>
          </w:tcPr>
          <w:p w14:paraId="7627898D">
            <w:pPr>
              <w:wordWrap w:val="0"/>
              <w:spacing w:line="360" w:lineRule="auto"/>
              <w:rPr>
                <w:rFonts w:ascii="宋体" w:hAnsi="宋体" w:cs="宋体"/>
                <w:color w:val="auto"/>
                <w:sz w:val="24"/>
                <w:highlight w:val="none"/>
              </w:rPr>
            </w:pPr>
            <w:r>
              <w:rPr>
                <w:rFonts w:hint="eastAsia" w:ascii="宋体" w:hAnsi="宋体" w:cs="宋体"/>
                <w:color w:val="auto"/>
                <w:sz w:val="24"/>
                <w:highlight w:val="none"/>
              </w:rPr>
              <w:t>3</w:t>
            </w:r>
          </w:p>
        </w:tc>
        <w:tc>
          <w:tcPr>
            <w:tcW w:w="552" w:type="dxa"/>
            <w:tcBorders>
              <w:top w:val="single" w:color="auto" w:sz="4" w:space="0"/>
              <w:left w:val="single" w:color="auto" w:sz="4" w:space="0"/>
              <w:bottom w:val="single" w:color="auto" w:sz="4" w:space="0"/>
              <w:right w:val="single" w:color="auto" w:sz="4" w:space="0"/>
            </w:tcBorders>
            <w:vAlign w:val="center"/>
          </w:tcPr>
          <w:p w14:paraId="06341F93">
            <w:pPr>
              <w:wordWrap w:val="0"/>
              <w:spacing w:line="360" w:lineRule="auto"/>
              <w:rPr>
                <w:rFonts w:ascii="宋体" w:hAnsi="宋体" w:cs="宋体"/>
                <w:color w:val="auto"/>
                <w:sz w:val="24"/>
                <w:highlight w:val="none"/>
              </w:rPr>
            </w:pPr>
            <w:r>
              <w:rPr>
                <w:rFonts w:hint="eastAsia" w:ascii="宋体" w:hAnsi="宋体" w:cs="宋体"/>
                <w:color w:val="auto"/>
                <w:sz w:val="24"/>
                <w:highlight w:val="none"/>
              </w:rPr>
              <w:t>4</w:t>
            </w:r>
          </w:p>
        </w:tc>
        <w:tc>
          <w:tcPr>
            <w:tcW w:w="552" w:type="dxa"/>
            <w:tcBorders>
              <w:top w:val="single" w:color="auto" w:sz="4" w:space="0"/>
              <w:left w:val="single" w:color="auto" w:sz="4" w:space="0"/>
              <w:bottom w:val="single" w:color="auto" w:sz="4" w:space="0"/>
              <w:right w:val="single" w:color="auto" w:sz="4" w:space="0"/>
            </w:tcBorders>
            <w:vAlign w:val="center"/>
          </w:tcPr>
          <w:p w14:paraId="47FEA3DD">
            <w:pPr>
              <w:wordWrap w:val="0"/>
              <w:spacing w:line="360" w:lineRule="auto"/>
              <w:rPr>
                <w:rFonts w:ascii="宋体" w:hAnsi="宋体" w:cs="宋体"/>
                <w:color w:val="auto"/>
                <w:sz w:val="24"/>
                <w:highlight w:val="none"/>
              </w:rPr>
            </w:pPr>
            <w:r>
              <w:rPr>
                <w:rFonts w:hint="eastAsia" w:ascii="宋体" w:hAnsi="宋体" w:cs="宋体"/>
                <w:color w:val="auto"/>
                <w:sz w:val="24"/>
                <w:highlight w:val="none"/>
              </w:rPr>
              <w:t>5</w:t>
            </w:r>
          </w:p>
        </w:tc>
        <w:tc>
          <w:tcPr>
            <w:tcW w:w="552" w:type="dxa"/>
            <w:tcBorders>
              <w:top w:val="single" w:color="auto" w:sz="4" w:space="0"/>
              <w:left w:val="single" w:color="auto" w:sz="4" w:space="0"/>
              <w:bottom w:val="single" w:color="auto" w:sz="4" w:space="0"/>
              <w:right w:val="single" w:color="auto" w:sz="4" w:space="0"/>
            </w:tcBorders>
            <w:vAlign w:val="center"/>
          </w:tcPr>
          <w:p w14:paraId="1BDF2C5D">
            <w:pPr>
              <w:wordWrap w:val="0"/>
              <w:spacing w:line="360" w:lineRule="auto"/>
              <w:rPr>
                <w:rFonts w:ascii="宋体" w:hAnsi="宋体" w:cs="宋体"/>
                <w:color w:val="auto"/>
                <w:sz w:val="24"/>
                <w:highlight w:val="none"/>
              </w:rPr>
            </w:pPr>
            <w:r>
              <w:rPr>
                <w:rFonts w:hint="eastAsia" w:ascii="宋体" w:hAnsi="宋体" w:cs="宋体"/>
                <w:color w:val="auto"/>
                <w:sz w:val="24"/>
                <w:highlight w:val="none"/>
              </w:rPr>
              <w:t>6</w:t>
            </w:r>
          </w:p>
        </w:tc>
        <w:tc>
          <w:tcPr>
            <w:tcW w:w="553" w:type="dxa"/>
            <w:tcBorders>
              <w:top w:val="single" w:color="auto" w:sz="4" w:space="0"/>
              <w:left w:val="single" w:color="auto" w:sz="4" w:space="0"/>
              <w:bottom w:val="single" w:color="auto" w:sz="4" w:space="0"/>
              <w:right w:val="single" w:color="auto" w:sz="4" w:space="0"/>
            </w:tcBorders>
            <w:vAlign w:val="center"/>
          </w:tcPr>
          <w:p w14:paraId="6FE087D7">
            <w:pPr>
              <w:wordWrap w:val="0"/>
              <w:spacing w:line="360" w:lineRule="auto"/>
              <w:rPr>
                <w:rFonts w:ascii="宋体" w:hAnsi="宋体" w:cs="宋体"/>
                <w:color w:val="auto"/>
                <w:sz w:val="24"/>
                <w:highlight w:val="none"/>
              </w:rPr>
            </w:pPr>
            <w:r>
              <w:rPr>
                <w:rFonts w:hint="eastAsia" w:ascii="宋体" w:hAnsi="宋体" w:cs="宋体"/>
                <w:color w:val="auto"/>
                <w:sz w:val="24"/>
                <w:highlight w:val="none"/>
              </w:rPr>
              <w:t>7</w:t>
            </w:r>
          </w:p>
        </w:tc>
        <w:tc>
          <w:tcPr>
            <w:tcW w:w="553" w:type="dxa"/>
            <w:tcBorders>
              <w:top w:val="single" w:color="auto" w:sz="4" w:space="0"/>
              <w:left w:val="single" w:color="auto" w:sz="4" w:space="0"/>
              <w:bottom w:val="single" w:color="auto" w:sz="4" w:space="0"/>
              <w:right w:val="single" w:color="auto" w:sz="4" w:space="0"/>
            </w:tcBorders>
            <w:vAlign w:val="center"/>
          </w:tcPr>
          <w:p w14:paraId="62EB022B">
            <w:pPr>
              <w:wordWrap w:val="0"/>
              <w:spacing w:line="360" w:lineRule="auto"/>
              <w:rPr>
                <w:rFonts w:ascii="宋体" w:hAnsi="宋体" w:cs="宋体"/>
                <w:color w:val="auto"/>
                <w:sz w:val="24"/>
                <w:highlight w:val="none"/>
              </w:rPr>
            </w:pPr>
            <w:r>
              <w:rPr>
                <w:rFonts w:hint="eastAsia" w:ascii="宋体" w:hAnsi="宋体" w:cs="宋体"/>
                <w:color w:val="auto"/>
                <w:sz w:val="24"/>
                <w:highlight w:val="none"/>
              </w:rPr>
              <w:t>8</w:t>
            </w:r>
          </w:p>
        </w:tc>
        <w:tc>
          <w:tcPr>
            <w:tcW w:w="553" w:type="dxa"/>
            <w:tcBorders>
              <w:top w:val="single" w:color="auto" w:sz="4" w:space="0"/>
              <w:left w:val="single" w:color="auto" w:sz="4" w:space="0"/>
              <w:bottom w:val="single" w:color="auto" w:sz="4" w:space="0"/>
              <w:right w:val="single" w:color="auto" w:sz="4" w:space="0"/>
            </w:tcBorders>
            <w:vAlign w:val="center"/>
          </w:tcPr>
          <w:p w14:paraId="4DAB24F1">
            <w:pPr>
              <w:wordWrap w:val="0"/>
              <w:spacing w:line="360" w:lineRule="auto"/>
              <w:rPr>
                <w:rFonts w:ascii="宋体" w:hAnsi="宋体" w:cs="宋体"/>
                <w:color w:val="auto"/>
                <w:sz w:val="24"/>
                <w:highlight w:val="none"/>
              </w:rPr>
            </w:pPr>
            <w:r>
              <w:rPr>
                <w:rFonts w:hint="eastAsia" w:ascii="宋体" w:hAnsi="宋体" w:cs="宋体"/>
                <w:color w:val="auto"/>
                <w:sz w:val="24"/>
                <w:highlight w:val="none"/>
              </w:rPr>
              <w:t>9</w:t>
            </w:r>
          </w:p>
        </w:tc>
        <w:tc>
          <w:tcPr>
            <w:tcW w:w="553" w:type="dxa"/>
            <w:tcBorders>
              <w:top w:val="single" w:color="auto" w:sz="4" w:space="0"/>
              <w:left w:val="single" w:color="auto" w:sz="4" w:space="0"/>
              <w:bottom w:val="single" w:color="auto" w:sz="4" w:space="0"/>
              <w:right w:val="single" w:color="auto" w:sz="4" w:space="0"/>
            </w:tcBorders>
            <w:vAlign w:val="center"/>
          </w:tcPr>
          <w:p w14:paraId="5173781E">
            <w:pPr>
              <w:wordWrap w:val="0"/>
              <w:spacing w:line="360" w:lineRule="auto"/>
              <w:rPr>
                <w:rFonts w:ascii="宋体" w:hAnsi="宋体" w:cs="宋体"/>
                <w:color w:val="auto"/>
                <w:sz w:val="24"/>
                <w:highlight w:val="none"/>
              </w:rPr>
            </w:pPr>
            <w:r>
              <w:rPr>
                <w:rFonts w:hint="eastAsia" w:ascii="宋体" w:hAnsi="宋体" w:cs="宋体"/>
                <w:color w:val="auto"/>
                <w:sz w:val="24"/>
                <w:highlight w:val="none"/>
              </w:rPr>
              <w:t>10</w:t>
            </w:r>
          </w:p>
        </w:tc>
        <w:tc>
          <w:tcPr>
            <w:tcW w:w="553" w:type="dxa"/>
            <w:tcBorders>
              <w:top w:val="single" w:color="auto" w:sz="4" w:space="0"/>
              <w:left w:val="single" w:color="auto" w:sz="4" w:space="0"/>
              <w:bottom w:val="single" w:color="auto" w:sz="4" w:space="0"/>
              <w:right w:val="single" w:color="auto" w:sz="4" w:space="0"/>
            </w:tcBorders>
            <w:vAlign w:val="center"/>
          </w:tcPr>
          <w:p w14:paraId="3BE57B3E">
            <w:pPr>
              <w:wordWrap w:val="0"/>
              <w:spacing w:line="360" w:lineRule="auto"/>
              <w:rPr>
                <w:rFonts w:ascii="宋体" w:hAnsi="宋体" w:cs="宋体"/>
                <w:color w:val="auto"/>
                <w:sz w:val="24"/>
                <w:highlight w:val="none"/>
              </w:rPr>
            </w:pPr>
            <w:r>
              <w:rPr>
                <w:rFonts w:hint="eastAsia" w:ascii="宋体" w:hAnsi="宋体" w:cs="宋体"/>
                <w:color w:val="auto"/>
                <w:sz w:val="24"/>
                <w:highlight w:val="none"/>
              </w:rPr>
              <w:t>11</w:t>
            </w:r>
          </w:p>
        </w:tc>
        <w:tc>
          <w:tcPr>
            <w:tcW w:w="553" w:type="dxa"/>
            <w:tcBorders>
              <w:top w:val="single" w:color="auto" w:sz="4" w:space="0"/>
              <w:left w:val="single" w:color="auto" w:sz="4" w:space="0"/>
              <w:bottom w:val="single" w:color="auto" w:sz="4" w:space="0"/>
              <w:right w:val="single" w:color="auto" w:sz="4" w:space="0"/>
            </w:tcBorders>
            <w:vAlign w:val="center"/>
          </w:tcPr>
          <w:p w14:paraId="7BD83240">
            <w:pPr>
              <w:wordWrap w:val="0"/>
              <w:spacing w:line="360" w:lineRule="auto"/>
              <w:rPr>
                <w:rFonts w:ascii="宋体" w:hAnsi="宋体" w:cs="宋体"/>
                <w:color w:val="auto"/>
                <w:sz w:val="24"/>
                <w:highlight w:val="none"/>
              </w:rPr>
            </w:pPr>
            <w:r>
              <w:rPr>
                <w:rFonts w:hint="eastAsia" w:ascii="宋体" w:hAnsi="宋体" w:cs="宋体"/>
                <w:color w:val="auto"/>
                <w:sz w:val="24"/>
                <w:highlight w:val="none"/>
              </w:rPr>
              <w:t>12</w:t>
            </w:r>
          </w:p>
        </w:tc>
        <w:tc>
          <w:tcPr>
            <w:tcW w:w="553" w:type="dxa"/>
            <w:tcBorders>
              <w:top w:val="single" w:color="auto" w:sz="4" w:space="0"/>
              <w:left w:val="single" w:color="auto" w:sz="4" w:space="0"/>
              <w:bottom w:val="single" w:color="auto" w:sz="4" w:space="0"/>
              <w:right w:val="single" w:color="auto" w:sz="4" w:space="0"/>
            </w:tcBorders>
            <w:vAlign w:val="center"/>
          </w:tcPr>
          <w:p w14:paraId="1DD27228">
            <w:pPr>
              <w:wordWrap w:val="0"/>
              <w:spacing w:line="360" w:lineRule="auto"/>
              <w:rPr>
                <w:rFonts w:ascii="宋体" w:hAnsi="宋体" w:cs="宋体"/>
                <w:color w:val="auto"/>
                <w:sz w:val="24"/>
                <w:highlight w:val="none"/>
              </w:rPr>
            </w:pPr>
            <w:r>
              <w:rPr>
                <w:rFonts w:hint="eastAsia" w:ascii="宋体" w:hAnsi="宋体" w:cs="宋体"/>
                <w:color w:val="auto"/>
                <w:sz w:val="24"/>
                <w:highlight w:val="none"/>
              </w:rPr>
              <w:t>13</w:t>
            </w:r>
          </w:p>
        </w:tc>
        <w:tc>
          <w:tcPr>
            <w:tcW w:w="553" w:type="dxa"/>
            <w:tcBorders>
              <w:top w:val="single" w:color="auto" w:sz="4" w:space="0"/>
              <w:left w:val="single" w:color="auto" w:sz="4" w:space="0"/>
              <w:bottom w:val="single" w:color="auto" w:sz="4" w:space="0"/>
              <w:right w:val="single" w:color="auto" w:sz="4" w:space="0"/>
            </w:tcBorders>
            <w:vAlign w:val="center"/>
          </w:tcPr>
          <w:p w14:paraId="24880271">
            <w:pPr>
              <w:wordWrap w:val="0"/>
              <w:spacing w:line="360" w:lineRule="auto"/>
              <w:rPr>
                <w:rFonts w:ascii="宋体" w:hAnsi="宋体" w:cs="宋体"/>
                <w:color w:val="auto"/>
                <w:sz w:val="24"/>
                <w:highlight w:val="none"/>
              </w:rPr>
            </w:pPr>
            <w:r>
              <w:rPr>
                <w:rFonts w:hint="eastAsia" w:ascii="宋体" w:hAnsi="宋体" w:cs="宋体"/>
                <w:color w:val="auto"/>
                <w:sz w:val="24"/>
                <w:highlight w:val="none"/>
              </w:rPr>
              <w:t>14</w:t>
            </w:r>
          </w:p>
        </w:tc>
        <w:tc>
          <w:tcPr>
            <w:tcW w:w="553" w:type="dxa"/>
            <w:tcBorders>
              <w:top w:val="single" w:color="auto" w:sz="4" w:space="0"/>
              <w:left w:val="single" w:color="auto" w:sz="4" w:space="0"/>
              <w:bottom w:val="single" w:color="auto" w:sz="4" w:space="0"/>
              <w:right w:val="single" w:color="auto" w:sz="4" w:space="0"/>
            </w:tcBorders>
            <w:vAlign w:val="center"/>
          </w:tcPr>
          <w:p w14:paraId="7C6CC055">
            <w:pPr>
              <w:wordWrap w:val="0"/>
              <w:spacing w:line="360" w:lineRule="auto"/>
              <w:rPr>
                <w:rFonts w:ascii="宋体" w:hAnsi="宋体" w:cs="宋体"/>
                <w:color w:val="auto"/>
                <w:sz w:val="24"/>
                <w:highlight w:val="none"/>
              </w:rPr>
            </w:pPr>
            <w:r>
              <w:rPr>
                <w:rFonts w:hint="eastAsia" w:ascii="宋体" w:hAnsi="宋体" w:cs="宋体"/>
                <w:color w:val="auto"/>
                <w:sz w:val="24"/>
                <w:highlight w:val="none"/>
              </w:rPr>
              <w:t>15</w:t>
            </w:r>
          </w:p>
        </w:tc>
        <w:tc>
          <w:tcPr>
            <w:tcW w:w="553" w:type="dxa"/>
            <w:tcBorders>
              <w:top w:val="single" w:color="auto" w:sz="4" w:space="0"/>
              <w:left w:val="single" w:color="auto" w:sz="4" w:space="0"/>
              <w:bottom w:val="single" w:color="auto" w:sz="4" w:space="0"/>
              <w:right w:val="single" w:color="auto" w:sz="4" w:space="0"/>
            </w:tcBorders>
            <w:vAlign w:val="center"/>
          </w:tcPr>
          <w:p w14:paraId="1AE7A42E">
            <w:pPr>
              <w:wordWrap w:val="0"/>
              <w:spacing w:line="360" w:lineRule="auto"/>
              <w:rPr>
                <w:rFonts w:ascii="宋体" w:hAnsi="宋体" w:cs="宋体"/>
                <w:color w:val="auto"/>
                <w:sz w:val="24"/>
                <w:highlight w:val="none"/>
              </w:rPr>
            </w:pPr>
            <w:r>
              <w:rPr>
                <w:rFonts w:hint="eastAsia" w:ascii="宋体" w:hAnsi="宋体" w:cs="宋体"/>
                <w:color w:val="auto"/>
                <w:sz w:val="24"/>
                <w:highlight w:val="none"/>
              </w:rPr>
              <w:t>…</w:t>
            </w:r>
          </w:p>
        </w:tc>
      </w:tr>
      <w:tr w14:paraId="363BE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568FDB31">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E43A753">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DE94A65">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BF0BA56">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DD47E71">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650AC1C">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2752C37A">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08ED6A1">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306CDBC">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ABFD59F">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B9CF80C">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90F0BF3">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6E5FA57">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DA5C5F3">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7076609">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18E25C5">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13CD124">
            <w:pPr>
              <w:wordWrap w:val="0"/>
              <w:spacing w:line="360" w:lineRule="auto"/>
              <w:rPr>
                <w:rFonts w:ascii="宋体" w:hAnsi="宋体" w:cs="宋体"/>
                <w:color w:val="auto"/>
                <w:sz w:val="24"/>
                <w:highlight w:val="none"/>
              </w:rPr>
            </w:pPr>
          </w:p>
        </w:tc>
      </w:tr>
      <w:tr w14:paraId="4DFF7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1063C90A">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0F82484">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795375C">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2DE75AB">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42BBF04">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B5C278B">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238C11B">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5DC5C96">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01EEDDB">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2C65EC2">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9B256F3">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A77D469">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CEF285D">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1BFC7A4">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60499FE">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EDCC5C1">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37D8103">
            <w:pPr>
              <w:wordWrap w:val="0"/>
              <w:spacing w:line="360" w:lineRule="auto"/>
              <w:rPr>
                <w:rFonts w:ascii="宋体" w:hAnsi="宋体" w:cs="宋体"/>
                <w:color w:val="auto"/>
                <w:sz w:val="24"/>
                <w:highlight w:val="none"/>
              </w:rPr>
            </w:pPr>
          </w:p>
        </w:tc>
      </w:tr>
      <w:tr w14:paraId="18864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35D976A7">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CC19BD1">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E96170D">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AD56682">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A0A6907">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473B8B7">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7DDDDB4">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4530C97">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9C8BA60">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209337A">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01EB6AB">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FD6BBBF">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9F4E378">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ABABA09">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57DA336">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2F4DD02">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81F2BAE">
            <w:pPr>
              <w:wordWrap w:val="0"/>
              <w:spacing w:line="360" w:lineRule="auto"/>
              <w:rPr>
                <w:rFonts w:ascii="宋体" w:hAnsi="宋体" w:cs="宋体"/>
                <w:color w:val="auto"/>
                <w:sz w:val="24"/>
                <w:highlight w:val="none"/>
              </w:rPr>
            </w:pPr>
          </w:p>
        </w:tc>
      </w:tr>
      <w:tr w14:paraId="3F523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6182C09F">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A5C37E1">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83ECDA6">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681C13A">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B3EF153">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684D3C5">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3EC4E53">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2F1F151">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BE0A29E">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743524B">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F432991">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3211C5B">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61EE960">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2156DE6">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C973F0C">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4DEAF13">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B76ED2A">
            <w:pPr>
              <w:wordWrap w:val="0"/>
              <w:spacing w:line="360" w:lineRule="auto"/>
              <w:rPr>
                <w:rFonts w:ascii="宋体" w:hAnsi="宋体" w:cs="宋体"/>
                <w:color w:val="auto"/>
                <w:sz w:val="24"/>
                <w:highlight w:val="none"/>
              </w:rPr>
            </w:pPr>
          </w:p>
        </w:tc>
      </w:tr>
      <w:tr w14:paraId="2E32E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056DF0B3">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214FFC2">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1410B10">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E3E0333">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25185C86">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8014805">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F251CED">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38E048D">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A73B290">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46716ED">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77FA460">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6825D83">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4DC08BB">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BA810D4">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8AAC26B">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3E4115D">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367F874">
            <w:pPr>
              <w:wordWrap w:val="0"/>
              <w:spacing w:line="360" w:lineRule="auto"/>
              <w:rPr>
                <w:rFonts w:ascii="宋体" w:hAnsi="宋体" w:cs="宋体"/>
                <w:color w:val="auto"/>
                <w:sz w:val="24"/>
                <w:highlight w:val="none"/>
              </w:rPr>
            </w:pPr>
          </w:p>
        </w:tc>
      </w:tr>
      <w:tr w14:paraId="451D5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5DD09B09">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28215B2">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79776DF">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26C2570">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19BC42B">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22FB39E">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A7D3EBC">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2B19EDE">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DCEE460">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753221F">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9C3EC09">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C6F4AAE">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9342A93">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62772E4">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CE94400">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297450C">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F183C9C">
            <w:pPr>
              <w:wordWrap w:val="0"/>
              <w:spacing w:line="360" w:lineRule="auto"/>
              <w:rPr>
                <w:rFonts w:ascii="宋体" w:hAnsi="宋体" w:cs="宋体"/>
                <w:color w:val="auto"/>
                <w:sz w:val="24"/>
                <w:highlight w:val="none"/>
              </w:rPr>
            </w:pPr>
          </w:p>
        </w:tc>
      </w:tr>
      <w:tr w14:paraId="42EC3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72B266B6">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3EB1F98">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6528AFB">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2F57CE5C">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8D6CA70">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2C928E77">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8934FD0">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F5E3A16">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7A51547">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33F310F">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F8CC3DE">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9049BF8">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4022F04">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E8C424C">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9EF027C">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D16A88E">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C72418C">
            <w:pPr>
              <w:wordWrap w:val="0"/>
              <w:spacing w:line="360" w:lineRule="auto"/>
              <w:rPr>
                <w:rFonts w:ascii="宋体" w:hAnsi="宋体" w:cs="宋体"/>
                <w:color w:val="auto"/>
                <w:sz w:val="24"/>
                <w:highlight w:val="none"/>
              </w:rPr>
            </w:pPr>
          </w:p>
        </w:tc>
      </w:tr>
      <w:tr w14:paraId="2D359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7E013FB1">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D795D91">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0531A5D">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861613F">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4B9B7A7">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29C9256F">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C5D229A">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DFFFE31">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022113B">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742207C">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11F2795">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364391D">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7F0EFEA">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16ADA99">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589CDCB">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88465DD">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7D71BC0">
            <w:pPr>
              <w:wordWrap w:val="0"/>
              <w:spacing w:line="360" w:lineRule="auto"/>
              <w:rPr>
                <w:rFonts w:ascii="宋体" w:hAnsi="宋体" w:cs="宋体"/>
                <w:color w:val="auto"/>
                <w:sz w:val="24"/>
                <w:highlight w:val="none"/>
              </w:rPr>
            </w:pPr>
          </w:p>
        </w:tc>
      </w:tr>
      <w:tr w14:paraId="1758A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285C8CD0">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25F15766">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C3168B5">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8C3542E">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39B96D3">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2F8CEDBC">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2A69410">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E183D5B">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CE44E94">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63E152B">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B4FAAB5">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9871889">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AD2C7D5">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2D43072">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E5E88C6">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B77EFFC">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C4D366B">
            <w:pPr>
              <w:wordWrap w:val="0"/>
              <w:spacing w:line="360" w:lineRule="auto"/>
              <w:rPr>
                <w:rFonts w:ascii="宋体" w:hAnsi="宋体" w:cs="宋体"/>
                <w:color w:val="auto"/>
                <w:sz w:val="24"/>
                <w:highlight w:val="none"/>
              </w:rPr>
            </w:pPr>
          </w:p>
        </w:tc>
      </w:tr>
    </w:tbl>
    <w:p w14:paraId="62784F86">
      <w:pPr>
        <w:wordWrap w:val="0"/>
        <w:autoSpaceDE w:val="0"/>
        <w:autoSpaceDN w:val="0"/>
        <w:spacing w:line="360" w:lineRule="auto"/>
        <w:rPr>
          <w:rFonts w:ascii="宋体" w:hAnsi="宋体" w:cs="宋体"/>
          <w:color w:val="auto"/>
          <w:kern w:val="0"/>
          <w:sz w:val="24"/>
          <w:highlight w:val="none"/>
        </w:rPr>
      </w:pPr>
      <w:r>
        <w:rPr>
          <w:rFonts w:hint="eastAsia" w:ascii="宋体" w:hAnsi="宋体" w:cs="宋体"/>
          <w:b/>
          <w:color w:val="auto"/>
          <w:sz w:val="24"/>
          <w:highlight w:val="none"/>
        </w:rPr>
        <w:t>注：投标人可按上述时间表的格式自行编制切合实际的具体时间表。</w:t>
      </w:r>
    </w:p>
    <w:p w14:paraId="2AA23EE7">
      <w:pPr>
        <w:wordWrap w:val="0"/>
        <w:autoSpaceDE w:val="0"/>
        <w:autoSpaceDN w:val="0"/>
        <w:spacing w:line="360" w:lineRule="auto"/>
        <w:ind w:firstLine="4440" w:firstLineChars="1850"/>
        <w:rPr>
          <w:rFonts w:ascii="宋体" w:hAnsi="宋体" w:cs="宋体"/>
          <w:color w:val="auto"/>
          <w:kern w:val="0"/>
          <w:sz w:val="24"/>
          <w:highlight w:val="none"/>
        </w:rPr>
      </w:pPr>
      <w:r>
        <w:rPr>
          <w:rFonts w:hint="eastAsia" w:ascii="宋体" w:hAnsi="宋体" w:cs="宋体"/>
          <w:color w:val="auto"/>
          <w:kern w:val="0"/>
          <w:sz w:val="24"/>
          <w:highlight w:val="none"/>
        </w:rPr>
        <w:t>投标人名称（电子签章）：</w:t>
      </w:r>
    </w:p>
    <w:p w14:paraId="5B244FB3">
      <w:pPr>
        <w:wordWrap w:val="0"/>
        <w:autoSpaceDE w:val="0"/>
        <w:autoSpaceDN w:val="0"/>
        <w:spacing w:line="360" w:lineRule="auto"/>
        <w:rPr>
          <w:rFonts w:ascii="宋体" w:hAnsi="宋体" w:cs="宋体"/>
          <w:b/>
          <w:bCs/>
          <w:color w:val="auto"/>
          <w:sz w:val="32"/>
          <w:szCs w:val="32"/>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日期：  年  月   日</w:t>
      </w:r>
    </w:p>
    <w:p w14:paraId="64E31EE8">
      <w:pPr>
        <w:wordWrap w:val="0"/>
        <w:snapToGrid w:val="0"/>
        <w:spacing w:line="360" w:lineRule="auto"/>
        <w:ind w:firstLine="4935" w:firstLineChars="2350"/>
        <w:rPr>
          <w:rFonts w:ascii="宋体" w:hAnsi="宋体" w:cs="宋体"/>
          <w:color w:val="auto"/>
          <w:szCs w:val="21"/>
          <w:highlight w:val="none"/>
        </w:rPr>
      </w:pPr>
      <w:r>
        <w:rPr>
          <w:rFonts w:hint="eastAsia" w:ascii="宋体" w:hAnsi="宋体" w:cs="宋体"/>
          <w:color w:val="auto"/>
          <w:szCs w:val="21"/>
          <w:highlight w:val="none"/>
        </w:rPr>
        <w:t xml:space="preserve"> </w:t>
      </w:r>
    </w:p>
    <w:p w14:paraId="4669A405">
      <w:pPr>
        <w:wordWrap w:val="0"/>
        <w:snapToGrid w:val="0"/>
        <w:spacing w:line="360" w:lineRule="auto"/>
        <w:jc w:val="center"/>
        <w:rPr>
          <w:rFonts w:ascii="宋体" w:hAnsi="宋体" w:cs="宋体"/>
          <w:b/>
          <w:bCs/>
          <w:color w:val="auto"/>
          <w:sz w:val="30"/>
          <w:szCs w:val="30"/>
          <w:highlight w:val="none"/>
        </w:rPr>
      </w:pPr>
      <w:r>
        <w:rPr>
          <w:rFonts w:hint="eastAsia" w:ascii="宋体" w:hAnsi="宋体" w:cs="宋体"/>
          <w:b/>
          <w:bCs/>
          <w:color w:val="auto"/>
          <w:sz w:val="30"/>
          <w:szCs w:val="30"/>
          <w:highlight w:val="none"/>
        </w:rPr>
        <w:t>三、售后服务方案</w:t>
      </w:r>
    </w:p>
    <w:p w14:paraId="7B8D3504">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（由投标人根据采购需求及招标文件要求编制）</w:t>
      </w:r>
    </w:p>
    <w:p w14:paraId="33C88AD2">
      <w:pPr>
        <w:wordWrap w:val="0"/>
        <w:snapToGrid w:val="0"/>
        <w:spacing w:line="360" w:lineRule="auto"/>
        <w:ind w:left="142"/>
        <w:jc w:val="center"/>
        <w:rPr>
          <w:rFonts w:ascii="宋体" w:hAnsi="宋体" w:cs="宋体"/>
          <w:b/>
          <w:color w:val="auto"/>
          <w:sz w:val="32"/>
          <w:szCs w:val="32"/>
          <w:highlight w:val="none"/>
        </w:rPr>
      </w:pPr>
      <w:r>
        <w:rPr>
          <w:rFonts w:hint="eastAsia" w:ascii="宋体" w:hAnsi="宋体" w:cs="宋体"/>
          <w:b/>
          <w:color w:val="auto"/>
          <w:sz w:val="32"/>
          <w:szCs w:val="32"/>
          <w:highlight w:val="none"/>
        </w:rPr>
        <w:t>1、售后服务承诺</w:t>
      </w:r>
    </w:p>
    <w:p w14:paraId="2604929E">
      <w:pPr>
        <w:wordWrap w:val="0"/>
        <w:autoSpaceDE w:val="0"/>
        <w:autoSpaceDN w:val="0"/>
        <w:spacing w:line="360" w:lineRule="auto"/>
        <w:rPr>
          <w:rFonts w:ascii="宋体" w:hAnsi="宋体" w:cs="宋体"/>
          <w:b/>
          <w:color w:val="auto"/>
          <w:sz w:val="24"/>
          <w:highlight w:val="none"/>
        </w:rPr>
      </w:pPr>
      <w:r>
        <w:rPr>
          <w:rFonts w:hint="eastAsia" w:ascii="宋体" w:hAnsi="宋体" w:cs="宋体"/>
          <w:b/>
          <w:color w:val="auto"/>
          <w:sz w:val="24"/>
          <w:highlight w:val="none"/>
        </w:rPr>
        <w:t>附表A:售后服务机构情况表</w:t>
      </w:r>
      <w:r>
        <w:rPr>
          <w:rFonts w:hint="eastAsia" w:ascii="宋体" w:hAnsi="宋体" w:cs="宋体"/>
          <w:color w:val="auto"/>
          <w:sz w:val="24"/>
          <w:highlight w:val="none"/>
        </w:rPr>
        <w:t>（按此格式自制）</w:t>
      </w:r>
    </w:p>
    <w:tbl>
      <w:tblPr>
        <w:tblStyle w:val="22"/>
        <w:tblW w:w="874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340"/>
        <w:gridCol w:w="1095"/>
        <w:gridCol w:w="1245"/>
        <w:gridCol w:w="1980"/>
        <w:gridCol w:w="1260"/>
      </w:tblGrid>
      <w:tr w14:paraId="49054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14:paraId="3FF8CDDA">
            <w:pPr>
              <w:wordWrap w:val="0"/>
              <w:autoSpaceDE w:val="0"/>
              <w:autoSpaceDN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2340" w:type="dxa"/>
            <w:tcBorders>
              <w:top w:val="single" w:color="auto" w:sz="4" w:space="0"/>
              <w:left w:val="single" w:color="auto" w:sz="4" w:space="0"/>
              <w:bottom w:val="single" w:color="auto" w:sz="4" w:space="0"/>
              <w:right w:val="single" w:color="auto" w:sz="4" w:space="0"/>
            </w:tcBorders>
          </w:tcPr>
          <w:p w14:paraId="1CA5EF2E">
            <w:pPr>
              <w:wordWrap w:val="0"/>
              <w:autoSpaceDE w:val="0"/>
              <w:autoSpaceDN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机构名称</w:t>
            </w:r>
          </w:p>
        </w:tc>
        <w:tc>
          <w:tcPr>
            <w:tcW w:w="1095" w:type="dxa"/>
            <w:tcBorders>
              <w:top w:val="single" w:color="auto" w:sz="4" w:space="0"/>
              <w:left w:val="single" w:color="auto" w:sz="4" w:space="0"/>
              <w:bottom w:val="single" w:color="auto" w:sz="4" w:space="0"/>
              <w:right w:val="single" w:color="auto" w:sz="4" w:space="0"/>
            </w:tcBorders>
          </w:tcPr>
          <w:p w14:paraId="3F6192EB">
            <w:pPr>
              <w:wordWrap w:val="0"/>
              <w:autoSpaceDE w:val="0"/>
              <w:autoSpaceDN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机构性质</w:t>
            </w:r>
          </w:p>
        </w:tc>
        <w:tc>
          <w:tcPr>
            <w:tcW w:w="1245" w:type="dxa"/>
            <w:tcBorders>
              <w:top w:val="single" w:color="auto" w:sz="4" w:space="0"/>
              <w:left w:val="single" w:color="auto" w:sz="4" w:space="0"/>
              <w:bottom w:val="single" w:color="auto" w:sz="4" w:space="0"/>
              <w:right w:val="single" w:color="auto" w:sz="4" w:space="0"/>
            </w:tcBorders>
          </w:tcPr>
          <w:p w14:paraId="1E2B5D77">
            <w:pPr>
              <w:wordWrap w:val="0"/>
              <w:autoSpaceDE w:val="0"/>
              <w:autoSpaceDN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注册地址</w:t>
            </w:r>
          </w:p>
        </w:tc>
        <w:tc>
          <w:tcPr>
            <w:tcW w:w="1980" w:type="dxa"/>
            <w:tcBorders>
              <w:top w:val="single" w:color="auto" w:sz="4" w:space="0"/>
              <w:left w:val="single" w:color="auto" w:sz="4" w:space="0"/>
              <w:bottom w:val="single" w:color="auto" w:sz="4" w:space="0"/>
              <w:right w:val="single" w:color="auto" w:sz="4" w:space="0"/>
            </w:tcBorders>
          </w:tcPr>
          <w:p w14:paraId="28206C2D">
            <w:pPr>
              <w:wordWrap w:val="0"/>
              <w:autoSpaceDE w:val="0"/>
              <w:autoSpaceDN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服务技术人员数量</w:t>
            </w:r>
          </w:p>
        </w:tc>
        <w:tc>
          <w:tcPr>
            <w:tcW w:w="1260" w:type="dxa"/>
            <w:tcBorders>
              <w:top w:val="single" w:color="auto" w:sz="4" w:space="0"/>
              <w:left w:val="single" w:color="auto" w:sz="4" w:space="0"/>
              <w:bottom w:val="single" w:color="auto" w:sz="4" w:space="0"/>
              <w:right w:val="single" w:color="auto" w:sz="4" w:space="0"/>
            </w:tcBorders>
          </w:tcPr>
          <w:p w14:paraId="0D7610F8">
            <w:pPr>
              <w:wordWrap w:val="0"/>
              <w:autoSpaceDE w:val="0"/>
              <w:autoSpaceDN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联系电话</w:t>
            </w:r>
          </w:p>
        </w:tc>
      </w:tr>
      <w:tr w14:paraId="7D1DE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14:paraId="2E5AE49A">
            <w:pPr>
              <w:wordWrap w:val="0"/>
              <w:autoSpaceDE w:val="0"/>
              <w:autoSpaceDN w:val="0"/>
              <w:spacing w:line="360" w:lineRule="auto"/>
              <w:jc w:val="center"/>
              <w:rPr>
                <w:rFonts w:ascii="宋体" w:hAnsi="宋体" w:cs="宋体"/>
                <w:color w:val="auto"/>
                <w:sz w:val="24"/>
                <w:highlight w:val="none"/>
              </w:rPr>
            </w:pPr>
          </w:p>
        </w:tc>
        <w:tc>
          <w:tcPr>
            <w:tcW w:w="2340" w:type="dxa"/>
            <w:tcBorders>
              <w:top w:val="single" w:color="auto" w:sz="4" w:space="0"/>
              <w:left w:val="single" w:color="auto" w:sz="4" w:space="0"/>
              <w:bottom w:val="single" w:color="auto" w:sz="4" w:space="0"/>
              <w:right w:val="single" w:color="auto" w:sz="4" w:space="0"/>
            </w:tcBorders>
          </w:tcPr>
          <w:p w14:paraId="3C466248">
            <w:pPr>
              <w:wordWrap w:val="0"/>
              <w:autoSpaceDE w:val="0"/>
              <w:autoSpaceDN w:val="0"/>
              <w:spacing w:line="360" w:lineRule="auto"/>
              <w:jc w:val="center"/>
              <w:rPr>
                <w:rFonts w:ascii="宋体" w:hAnsi="宋体" w:cs="宋体"/>
                <w:color w:val="auto"/>
                <w:sz w:val="24"/>
                <w:highlight w:val="none"/>
              </w:rPr>
            </w:pPr>
          </w:p>
        </w:tc>
        <w:tc>
          <w:tcPr>
            <w:tcW w:w="1095" w:type="dxa"/>
            <w:tcBorders>
              <w:top w:val="single" w:color="auto" w:sz="4" w:space="0"/>
              <w:left w:val="single" w:color="auto" w:sz="4" w:space="0"/>
              <w:bottom w:val="single" w:color="auto" w:sz="4" w:space="0"/>
              <w:right w:val="single" w:color="auto" w:sz="4" w:space="0"/>
            </w:tcBorders>
          </w:tcPr>
          <w:p w14:paraId="238FF24F">
            <w:pPr>
              <w:wordWrap w:val="0"/>
              <w:autoSpaceDE w:val="0"/>
              <w:autoSpaceDN w:val="0"/>
              <w:spacing w:line="360" w:lineRule="auto"/>
              <w:jc w:val="center"/>
              <w:rPr>
                <w:rFonts w:ascii="宋体" w:hAnsi="宋体" w:cs="宋体"/>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tcPr>
          <w:p w14:paraId="7234A6A5">
            <w:pPr>
              <w:wordWrap w:val="0"/>
              <w:autoSpaceDE w:val="0"/>
              <w:autoSpaceDN w:val="0"/>
              <w:spacing w:line="360" w:lineRule="auto"/>
              <w:jc w:val="center"/>
              <w:rPr>
                <w:rFonts w:ascii="宋体" w:hAnsi="宋体" w:cs="宋体"/>
                <w:color w:val="auto"/>
                <w:sz w:val="24"/>
                <w:highlight w:val="none"/>
              </w:rPr>
            </w:pPr>
          </w:p>
        </w:tc>
        <w:tc>
          <w:tcPr>
            <w:tcW w:w="1980" w:type="dxa"/>
            <w:tcBorders>
              <w:top w:val="single" w:color="auto" w:sz="4" w:space="0"/>
              <w:left w:val="single" w:color="auto" w:sz="4" w:space="0"/>
              <w:bottom w:val="single" w:color="auto" w:sz="4" w:space="0"/>
              <w:right w:val="single" w:color="auto" w:sz="4" w:space="0"/>
            </w:tcBorders>
          </w:tcPr>
          <w:p w14:paraId="737EAFD9">
            <w:pPr>
              <w:wordWrap w:val="0"/>
              <w:autoSpaceDE w:val="0"/>
              <w:autoSpaceDN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tcPr>
          <w:p w14:paraId="1B908179">
            <w:pPr>
              <w:wordWrap w:val="0"/>
              <w:autoSpaceDE w:val="0"/>
              <w:autoSpaceDN w:val="0"/>
              <w:spacing w:line="360" w:lineRule="auto"/>
              <w:jc w:val="center"/>
              <w:rPr>
                <w:rFonts w:ascii="宋体" w:hAnsi="宋体" w:cs="宋体"/>
                <w:color w:val="auto"/>
                <w:sz w:val="24"/>
                <w:highlight w:val="none"/>
              </w:rPr>
            </w:pPr>
          </w:p>
        </w:tc>
      </w:tr>
      <w:tr w14:paraId="5521F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14:paraId="2E4ED003">
            <w:pPr>
              <w:wordWrap w:val="0"/>
              <w:autoSpaceDE w:val="0"/>
              <w:autoSpaceDN w:val="0"/>
              <w:spacing w:line="360" w:lineRule="auto"/>
              <w:jc w:val="center"/>
              <w:rPr>
                <w:rFonts w:ascii="宋体" w:hAnsi="宋体" w:cs="宋体"/>
                <w:color w:val="auto"/>
                <w:sz w:val="24"/>
                <w:highlight w:val="none"/>
              </w:rPr>
            </w:pPr>
          </w:p>
        </w:tc>
        <w:tc>
          <w:tcPr>
            <w:tcW w:w="2340" w:type="dxa"/>
            <w:tcBorders>
              <w:top w:val="single" w:color="auto" w:sz="4" w:space="0"/>
              <w:left w:val="single" w:color="auto" w:sz="4" w:space="0"/>
              <w:bottom w:val="single" w:color="auto" w:sz="4" w:space="0"/>
              <w:right w:val="single" w:color="auto" w:sz="4" w:space="0"/>
            </w:tcBorders>
          </w:tcPr>
          <w:p w14:paraId="2236A9C6">
            <w:pPr>
              <w:wordWrap w:val="0"/>
              <w:autoSpaceDE w:val="0"/>
              <w:autoSpaceDN w:val="0"/>
              <w:spacing w:line="360" w:lineRule="auto"/>
              <w:jc w:val="center"/>
              <w:rPr>
                <w:rFonts w:ascii="宋体" w:hAnsi="宋体" w:cs="宋体"/>
                <w:color w:val="auto"/>
                <w:sz w:val="24"/>
                <w:highlight w:val="none"/>
              </w:rPr>
            </w:pPr>
          </w:p>
        </w:tc>
        <w:tc>
          <w:tcPr>
            <w:tcW w:w="1095" w:type="dxa"/>
            <w:tcBorders>
              <w:top w:val="single" w:color="auto" w:sz="4" w:space="0"/>
              <w:left w:val="single" w:color="auto" w:sz="4" w:space="0"/>
              <w:bottom w:val="single" w:color="auto" w:sz="4" w:space="0"/>
              <w:right w:val="single" w:color="auto" w:sz="4" w:space="0"/>
            </w:tcBorders>
          </w:tcPr>
          <w:p w14:paraId="712EAB52">
            <w:pPr>
              <w:wordWrap w:val="0"/>
              <w:autoSpaceDE w:val="0"/>
              <w:autoSpaceDN w:val="0"/>
              <w:spacing w:line="360" w:lineRule="auto"/>
              <w:jc w:val="center"/>
              <w:rPr>
                <w:rFonts w:ascii="宋体" w:hAnsi="宋体" w:cs="宋体"/>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tcPr>
          <w:p w14:paraId="3A9AF289">
            <w:pPr>
              <w:wordWrap w:val="0"/>
              <w:autoSpaceDE w:val="0"/>
              <w:autoSpaceDN w:val="0"/>
              <w:spacing w:line="360" w:lineRule="auto"/>
              <w:jc w:val="center"/>
              <w:rPr>
                <w:rFonts w:ascii="宋体" w:hAnsi="宋体" w:cs="宋体"/>
                <w:color w:val="auto"/>
                <w:sz w:val="24"/>
                <w:highlight w:val="none"/>
              </w:rPr>
            </w:pPr>
          </w:p>
        </w:tc>
        <w:tc>
          <w:tcPr>
            <w:tcW w:w="1980" w:type="dxa"/>
            <w:tcBorders>
              <w:top w:val="single" w:color="auto" w:sz="4" w:space="0"/>
              <w:left w:val="single" w:color="auto" w:sz="4" w:space="0"/>
              <w:bottom w:val="single" w:color="auto" w:sz="4" w:space="0"/>
              <w:right w:val="single" w:color="auto" w:sz="4" w:space="0"/>
            </w:tcBorders>
          </w:tcPr>
          <w:p w14:paraId="1C991DCD">
            <w:pPr>
              <w:wordWrap w:val="0"/>
              <w:autoSpaceDE w:val="0"/>
              <w:autoSpaceDN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tcPr>
          <w:p w14:paraId="6535928A">
            <w:pPr>
              <w:wordWrap w:val="0"/>
              <w:autoSpaceDE w:val="0"/>
              <w:autoSpaceDN w:val="0"/>
              <w:spacing w:line="360" w:lineRule="auto"/>
              <w:jc w:val="center"/>
              <w:rPr>
                <w:rFonts w:ascii="宋体" w:hAnsi="宋体" w:cs="宋体"/>
                <w:color w:val="auto"/>
                <w:sz w:val="24"/>
                <w:highlight w:val="none"/>
              </w:rPr>
            </w:pPr>
          </w:p>
        </w:tc>
      </w:tr>
      <w:tr w14:paraId="0D7BA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14:paraId="30578945">
            <w:pPr>
              <w:wordWrap w:val="0"/>
              <w:autoSpaceDE w:val="0"/>
              <w:autoSpaceDN w:val="0"/>
              <w:spacing w:line="360" w:lineRule="auto"/>
              <w:jc w:val="center"/>
              <w:rPr>
                <w:rFonts w:ascii="宋体" w:hAnsi="宋体" w:cs="宋体"/>
                <w:color w:val="auto"/>
                <w:sz w:val="24"/>
                <w:highlight w:val="none"/>
              </w:rPr>
            </w:pPr>
          </w:p>
        </w:tc>
        <w:tc>
          <w:tcPr>
            <w:tcW w:w="2340" w:type="dxa"/>
            <w:tcBorders>
              <w:top w:val="single" w:color="auto" w:sz="4" w:space="0"/>
              <w:left w:val="single" w:color="auto" w:sz="4" w:space="0"/>
              <w:bottom w:val="single" w:color="auto" w:sz="4" w:space="0"/>
              <w:right w:val="single" w:color="auto" w:sz="4" w:space="0"/>
            </w:tcBorders>
          </w:tcPr>
          <w:p w14:paraId="07CC08BD">
            <w:pPr>
              <w:wordWrap w:val="0"/>
              <w:autoSpaceDE w:val="0"/>
              <w:autoSpaceDN w:val="0"/>
              <w:spacing w:line="360" w:lineRule="auto"/>
              <w:jc w:val="center"/>
              <w:rPr>
                <w:rFonts w:ascii="宋体" w:hAnsi="宋体" w:cs="宋体"/>
                <w:color w:val="auto"/>
                <w:sz w:val="24"/>
                <w:highlight w:val="none"/>
              </w:rPr>
            </w:pPr>
          </w:p>
        </w:tc>
        <w:tc>
          <w:tcPr>
            <w:tcW w:w="1095" w:type="dxa"/>
            <w:tcBorders>
              <w:top w:val="single" w:color="auto" w:sz="4" w:space="0"/>
              <w:left w:val="single" w:color="auto" w:sz="4" w:space="0"/>
              <w:bottom w:val="single" w:color="auto" w:sz="4" w:space="0"/>
              <w:right w:val="single" w:color="auto" w:sz="4" w:space="0"/>
            </w:tcBorders>
          </w:tcPr>
          <w:p w14:paraId="49614F6C">
            <w:pPr>
              <w:wordWrap w:val="0"/>
              <w:autoSpaceDE w:val="0"/>
              <w:autoSpaceDN w:val="0"/>
              <w:spacing w:line="360" w:lineRule="auto"/>
              <w:jc w:val="center"/>
              <w:rPr>
                <w:rFonts w:ascii="宋体" w:hAnsi="宋体" w:cs="宋体"/>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tcPr>
          <w:p w14:paraId="75A207A6">
            <w:pPr>
              <w:wordWrap w:val="0"/>
              <w:autoSpaceDE w:val="0"/>
              <w:autoSpaceDN w:val="0"/>
              <w:spacing w:line="360" w:lineRule="auto"/>
              <w:jc w:val="center"/>
              <w:rPr>
                <w:rFonts w:ascii="宋体" w:hAnsi="宋体" w:cs="宋体"/>
                <w:color w:val="auto"/>
                <w:sz w:val="24"/>
                <w:highlight w:val="none"/>
              </w:rPr>
            </w:pPr>
          </w:p>
        </w:tc>
        <w:tc>
          <w:tcPr>
            <w:tcW w:w="1980" w:type="dxa"/>
            <w:tcBorders>
              <w:top w:val="single" w:color="auto" w:sz="4" w:space="0"/>
              <w:left w:val="single" w:color="auto" w:sz="4" w:space="0"/>
              <w:bottom w:val="single" w:color="auto" w:sz="4" w:space="0"/>
              <w:right w:val="single" w:color="auto" w:sz="4" w:space="0"/>
            </w:tcBorders>
          </w:tcPr>
          <w:p w14:paraId="3621A3EE">
            <w:pPr>
              <w:wordWrap w:val="0"/>
              <w:autoSpaceDE w:val="0"/>
              <w:autoSpaceDN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tcPr>
          <w:p w14:paraId="14767E9E">
            <w:pPr>
              <w:wordWrap w:val="0"/>
              <w:autoSpaceDE w:val="0"/>
              <w:autoSpaceDN w:val="0"/>
              <w:spacing w:line="360" w:lineRule="auto"/>
              <w:jc w:val="center"/>
              <w:rPr>
                <w:rFonts w:ascii="宋体" w:hAnsi="宋体" w:cs="宋体"/>
                <w:color w:val="auto"/>
                <w:sz w:val="24"/>
                <w:highlight w:val="none"/>
              </w:rPr>
            </w:pPr>
          </w:p>
        </w:tc>
      </w:tr>
    </w:tbl>
    <w:p w14:paraId="5FAC2716">
      <w:pPr>
        <w:wordWrap w:val="0"/>
        <w:autoSpaceDE w:val="0"/>
        <w:autoSpaceDN w:val="0"/>
        <w:spacing w:line="360" w:lineRule="auto"/>
        <w:rPr>
          <w:rFonts w:ascii="宋体" w:hAnsi="宋体" w:cs="宋体"/>
          <w:b/>
          <w:color w:val="auto"/>
          <w:sz w:val="24"/>
          <w:highlight w:val="none"/>
        </w:rPr>
      </w:pPr>
      <w:r>
        <w:rPr>
          <w:rFonts w:hint="eastAsia" w:ascii="宋体" w:hAnsi="宋体" w:cs="宋体"/>
          <w:b/>
          <w:color w:val="auto"/>
          <w:sz w:val="24"/>
          <w:highlight w:val="none"/>
        </w:rPr>
        <w:t>注：关于项目涉及的所有售后服务机构均在本表注明，包括投标人本单位和符合条件的第三方服务机构；</w:t>
      </w:r>
    </w:p>
    <w:p w14:paraId="09CEBA05">
      <w:pPr>
        <w:wordWrap w:val="0"/>
        <w:autoSpaceDE w:val="0"/>
        <w:autoSpaceDN w:val="0"/>
        <w:spacing w:line="360" w:lineRule="auto"/>
        <w:rPr>
          <w:rFonts w:ascii="宋体" w:hAnsi="宋体" w:cs="宋体"/>
          <w:color w:val="auto"/>
          <w:kern w:val="0"/>
          <w:sz w:val="24"/>
          <w:highlight w:val="none"/>
        </w:rPr>
      </w:pPr>
    </w:p>
    <w:p w14:paraId="57DE4FB3">
      <w:pPr>
        <w:wordWrap w:val="0"/>
        <w:autoSpaceDE w:val="0"/>
        <w:autoSpaceDN w:val="0"/>
        <w:spacing w:line="360" w:lineRule="auto"/>
        <w:rPr>
          <w:rFonts w:ascii="宋体" w:hAnsi="宋体" w:cs="宋体"/>
          <w:color w:val="auto"/>
          <w:kern w:val="0"/>
          <w:sz w:val="24"/>
          <w:highlight w:val="none"/>
        </w:rPr>
      </w:pPr>
      <w:r>
        <w:rPr>
          <w:rFonts w:hint="eastAsia" w:ascii="宋体" w:hAnsi="宋体" w:cs="宋体"/>
          <w:b/>
          <w:color w:val="auto"/>
          <w:kern w:val="0"/>
          <w:sz w:val="24"/>
          <w:highlight w:val="none"/>
        </w:rPr>
        <w:t>附表B：售后服务人员情况表</w:t>
      </w:r>
      <w:r>
        <w:rPr>
          <w:rFonts w:hint="eastAsia" w:ascii="宋体" w:hAnsi="宋体" w:cs="宋体"/>
          <w:color w:val="auto"/>
          <w:sz w:val="24"/>
          <w:highlight w:val="none"/>
        </w:rPr>
        <w:t>（按此格式自制）</w:t>
      </w:r>
    </w:p>
    <w:tbl>
      <w:tblPr>
        <w:tblStyle w:val="22"/>
        <w:tblW w:w="10002" w:type="dxa"/>
        <w:jc w:val="center"/>
        <w:tblLayout w:type="fixed"/>
        <w:tblCellMar>
          <w:top w:w="0" w:type="dxa"/>
          <w:left w:w="108" w:type="dxa"/>
          <w:bottom w:w="0" w:type="dxa"/>
          <w:right w:w="108" w:type="dxa"/>
        </w:tblCellMar>
      </w:tblPr>
      <w:tblGrid>
        <w:gridCol w:w="646"/>
        <w:gridCol w:w="746"/>
        <w:gridCol w:w="787"/>
        <w:gridCol w:w="412"/>
        <w:gridCol w:w="900"/>
        <w:gridCol w:w="1080"/>
        <w:gridCol w:w="1080"/>
        <w:gridCol w:w="1080"/>
        <w:gridCol w:w="1260"/>
        <w:gridCol w:w="900"/>
        <w:gridCol w:w="1111"/>
      </w:tblGrid>
      <w:tr w14:paraId="2F380642">
        <w:tblPrEx>
          <w:tblCellMar>
            <w:top w:w="0" w:type="dxa"/>
            <w:left w:w="108" w:type="dxa"/>
            <w:bottom w:w="0" w:type="dxa"/>
            <w:right w:w="108" w:type="dxa"/>
          </w:tblCellMar>
        </w:tblPrEx>
        <w:trPr>
          <w:jc w:val="center"/>
        </w:trPr>
        <w:tc>
          <w:tcPr>
            <w:tcW w:w="646" w:type="dxa"/>
            <w:tcBorders>
              <w:top w:val="single" w:color="auto" w:sz="6" w:space="0"/>
              <w:left w:val="single" w:color="auto" w:sz="6" w:space="0"/>
              <w:bottom w:val="single" w:color="auto" w:sz="6" w:space="0"/>
              <w:right w:val="single" w:color="auto" w:sz="4" w:space="0"/>
            </w:tcBorders>
            <w:vAlign w:val="center"/>
          </w:tcPr>
          <w:p w14:paraId="3E0479C1">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序号</w:t>
            </w:r>
          </w:p>
          <w:p w14:paraId="6A6A0023">
            <w:pPr>
              <w:wordWrap w:val="0"/>
              <w:autoSpaceDE w:val="0"/>
              <w:autoSpaceDN w:val="0"/>
              <w:spacing w:line="360" w:lineRule="auto"/>
              <w:jc w:val="center"/>
              <w:rPr>
                <w:rFonts w:ascii="宋体" w:hAnsi="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vAlign w:val="center"/>
          </w:tcPr>
          <w:p w14:paraId="50590E9B">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类别</w:t>
            </w:r>
          </w:p>
        </w:tc>
        <w:tc>
          <w:tcPr>
            <w:tcW w:w="787" w:type="dxa"/>
            <w:tcBorders>
              <w:top w:val="single" w:color="auto" w:sz="6" w:space="0"/>
              <w:left w:val="single" w:color="auto" w:sz="6" w:space="0"/>
              <w:bottom w:val="single" w:color="auto" w:sz="6" w:space="0"/>
              <w:right w:val="single" w:color="auto" w:sz="6" w:space="0"/>
            </w:tcBorders>
            <w:vAlign w:val="center"/>
          </w:tcPr>
          <w:p w14:paraId="110E9E5E">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416B1141">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性别</w:t>
            </w:r>
          </w:p>
        </w:tc>
        <w:tc>
          <w:tcPr>
            <w:tcW w:w="900" w:type="dxa"/>
            <w:tcBorders>
              <w:top w:val="single" w:color="auto" w:sz="6" w:space="0"/>
              <w:left w:val="single" w:color="auto" w:sz="6" w:space="0"/>
              <w:bottom w:val="single" w:color="auto" w:sz="6" w:space="0"/>
              <w:right w:val="single" w:color="auto" w:sz="6" w:space="0"/>
            </w:tcBorders>
            <w:vAlign w:val="center"/>
          </w:tcPr>
          <w:p w14:paraId="6DB68065">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年龄</w:t>
            </w:r>
          </w:p>
        </w:tc>
        <w:tc>
          <w:tcPr>
            <w:tcW w:w="1080" w:type="dxa"/>
            <w:tcBorders>
              <w:top w:val="single" w:color="auto" w:sz="6" w:space="0"/>
              <w:left w:val="single" w:color="auto" w:sz="6" w:space="0"/>
              <w:bottom w:val="single" w:color="auto" w:sz="6" w:space="0"/>
              <w:right w:val="single" w:color="auto" w:sz="6" w:space="0"/>
            </w:tcBorders>
            <w:vAlign w:val="center"/>
          </w:tcPr>
          <w:p w14:paraId="62C1907F">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学历</w:t>
            </w:r>
          </w:p>
        </w:tc>
        <w:tc>
          <w:tcPr>
            <w:tcW w:w="1080" w:type="dxa"/>
            <w:tcBorders>
              <w:top w:val="single" w:color="auto" w:sz="6" w:space="0"/>
              <w:left w:val="single" w:color="auto" w:sz="6" w:space="0"/>
              <w:bottom w:val="single" w:color="auto" w:sz="6" w:space="0"/>
              <w:right w:val="single" w:color="auto" w:sz="6" w:space="0"/>
            </w:tcBorders>
            <w:vAlign w:val="center"/>
          </w:tcPr>
          <w:p w14:paraId="70374744">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专业</w:t>
            </w:r>
          </w:p>
        </w:tc>
        <w:tc>
          <w:tcPr>
            <w:tcW w:w="1080" w:type="dxa"/>
            <w:tcBorders>
              <w:top w:val="single" w:color="auto" w:sz="6" w:space="0"/>
              <w:left w:val="single" w:color="auto" w:sz="6" w:space="0"/>
              <w:bottom w:val="single" w:color="auto" w:sz="6" w:space="0"/>
              <w:right w:val="single" w:color="auto" w:sz="6" w:space="0"/>
            </w:tcBorders>
            <w:vAlign w:val="center"/>
          </w:tcPr>
          <w:p w14:paraId="6733E451">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职称</w:t>
            </w:r>
          </w:p>
        </w:tc>
        <w:tc>
          <w:tcPr>
            <w:tcW w:w="1260" w:type="dxa"/>
            <w:tcBorders>
              <w:top w:val="single" w:color="auto" w:sz="6" w:space="0"/>
              <w:left w:val="single" w:color="auto" w:sz="6" w:space="0"/>
              <w:bottom w:val="single" w:color="auto" w:sz="6" w:space="0"/>
              <w:right w:val="single" w:color="auto" w:sz="6" w:space="0"/>
            </w:tcBorders>
            <w:vAlign w:val="center"/>
          </w:tcPr>
          <w:p w14:paraId="6826F806">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12C78738">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响应时间</w:t>
            </w:r>
          </w:p>
        </w:tc>
        <w:tc>
          <w:tcPr>
            <w:tcW w:w="1111" w:type="dxa"/>
            <w:tcBorders>
              <w:top w:val="single" w:color="auto" w:sz="6" w:space="0"/>
              <w:left w:val="single" w:color="auto" w:sz="6" w:space="0"/>
              <w:bottom w:val="single" w:color="auto" w:sz="6" w:space="0"/>
              <w:right w:val="single" w:color="auto" w:sz="6" w:space="0"/>
            </w:tcBorders>
            <w:vAlign w:val="center"/>
          </w:tcPr>
          <w:p w14:paraId="4251812A">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到达现场时间</w:t>
            </w:r>
          </w:p>
        </w:tc>
      </w:tr>
      <w:tr w14:paraId="33BD9095">
        <w:tblPrEx>
          <w:tblCellMar>
            <w:top w:w="0" w:type="dxa"/>
            <w:left w:w="108" w:type="dxa"/>
            <w:bottom w:w="0" w:type="dxa"/>
            <w:right w:w="108" w:type="dxa"/>
          </w:tblCellMar>
        </w:tblPrEx>
        <w:trPr>
          <w:trHeight w:val="607" w:hRule="atLeast"/>
          <w:jc w:val="center"/>
        </w:trPr>
        <w:tc>
          <w:tcPr>
            <w:tcW w:w="646" w:type="dxa"/>
            <w:tcBorders>
              <w:top w:val="single" w:color="auto" w:sz="6" w:space="0"/>
              <w:left w:val="single" w:color="auto" w:sz="6" w:space="0"/>
              <w:bottom w:val="single" w:color="auto" w:sz="6" w:space="0"/>
              <w:right w:val="single" w:color="auto" w:sz="4" w:space="0"/>
            </w:tcBorders>
          </w:tcPr>
          <w:p w14:paraId="7AA68745">
            <w:pPr>
              <w:wordWrap w:val="0"/>
              <w:autoSpaceDE w:val="0"/>
              <w:autoSpaceDN w:val="0"/>
              <w:spacing w:line="360" w:lineRule="auto"/>
              <w:jc w:val="center"/>
              <w:rPr>
                <w:rFonts w:ascii="宋体" w:hAnsi="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13545303">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总协调人</w:t>
            </w:r>
          </w:p>
        </w:tc>
        <w:tc>
          <w:tcPr>
            <w:tcW w:w="787" w:type="dxa"/>
            <w:tcBorders>
              <w:top w:val="single" w:color="auto" w:sz="6" w:space="0"/>
              <w:left w:val="single" w:color="auto" w:sz="6" w:space="0"/>
              <w:bottom w:val="single" w:color="auto" w:sz="6" w:space="0"/>
              <w:right w:val="single" w:color="auto" w:sz="6" w:space="0"/>
            </w:tcBorders>
          </w:tcPr>
          <w:p w14:paraId="6831D00C">
            <w:pPr>
              <w:wordWrap w:val="0"/>
              <w:autoSpaceDE w:val="0"/>
              <w:autoSpaceDN w:val="0"/>
              <w:spacing w:line="360" w:lineRule="auto"/>
              <w:rPr>
                <w:rFonts w:ascii="宋体" w:hAnsi="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5E149083">
            <w:pPr>
              <w:wordWrap w:val="0"/>
              <w:autoSpaceDE w:val="0"/>
              <w:autoSpaceDN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36FB00D8">
            <w:pPr>
              <w:wordWrap w:val="0"/>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3FD92FFA">
            <w:pPr>
              <w:wordWrap w:val="0"/>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344DA31E">
            <w:pPr>
              <w:wordWrap w:val="0"/>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4B4FCEF8">
            <w:pPr>
              <w:wordWrap w:val="0"/>
              <w:autoSpaceDE w:val="0"/>
              <w:autoSpaceDN w:val="0"/>
              <w:spacing w:line="360" w:lineRule="auto"/>
              <w:rPr>
                <w:rFonts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7D23F1F0">
            <w:pPr>
              <w:wordWrap w:val="0"/>
              <w:autoSpaceDE w:val="0"/>
              <w:autoSpaceDN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0231463B">
            <w:pPr>
              <w:wordWrap w:val="0"/>
              <w:autoSpaceDE w:val="0"/>
              <w:autoSpaceDN w:val="0"/>
              <w:spacing w:line="360" w:lineRule="auto"/>
              <w:rPr>
                <w:rFonts w:ascii="宋体" w:hAnsi="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701095C5">
            <w:pPr>
              <w:wordWrap w:val="0"/>
              <w:autoSpaceDE w:val="0"/>
              <w:autoSpaceDN w:val="0"/>
              <w:spacing w:line="360" w:lineRule="auto"/>
              <w:rPr>
                <w:rFonts w:ascii="宋体" w:hAnsi="宋体" w:cs="宋体"/>
                <w:color w:val="auto"/>
                <w:sz w:val="24"/>
                <w:highlight w:val="none"/>
              </w:rPr>
            </w:pPr>
          </w:p>
        </w:tc>
      </w:tr>
      <w:tr w14:paraId="4A394881">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14:paraId="580EA5B3">
            <w:pPr>
              <w:wordWrap w:val="0"/>
              <w:autoSpaceDE w:val="0"/>
              <w:autoSpaceDN w:val="0"/>
              <w:spacing w:line="360" w:lineRule="auto"/>
              <w:jc w:val="center"/>
              <w:rPr>
                <w:rFonts w:ascii="宋体" w:hAnsi="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1621D5F8">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售后人员</w:t>
            </w:r>
          </w:p>
        </w:tc>
        <w:tc>
          <w:tcPr>
            <w:tcW w:w="787" w:type="dxa"/>
            <w:tcBorders>
              <w:top w:val="single" w:color="auto" w:sz="6" w:space="0"/>
              <w:left w:val="single" w:color="auto" w:sz="6" w:space="0"/>
              <w:bottom w:val="single" w:color="auto" w:sz="6" w:space="0"/>
              <w:right w:val="single" w:color="auto" w:sz="6" w:space="0"/>
            </w:tcBorders>
          </w:tcPr>
          <w:p w14:paraId="0CA3380E">
            <w:pPr>
              <w:wordWrap w:val="0"/>
              <w:autoSpaceDE w:val="0"/>
              <w:autoSpaceDN w:val="0"/>
              <w:spacing w:line="360" w:lineRule="auto"/>
              <w:rPr>
                <w:rFonts w:ascii="宋体" w:hAnsi="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4D9326E4">
            <w:pPr>
              <w:wordWrap w:val="0"/>
              <w:autoSpaceDE w:val="0"/>
              <w:autoSpaceDN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60C29D65">
            <w:pPr>
              <w:wordWrap w:val="0"/>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0AA4A4D8">
            <w:pPr>
              <w:wordWrap w:val="0"/>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332530C1">
            <w:pPr>
              <w:wordWrap w:val="0"/>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3B150CFA">
            <w:pPr>
              <w:wordWrap w:val="0"/>
              <w:autoSpaceDE w:val="0"/>
              <w:autoSpaceDN w:val="0"/>
              <w:spacing w:line="360" w:lineRule="auto"/>
              <w:rPr>
                <w:rFonts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07345170">
            <w:pPr>
              <w:wordWrap w:val="0"/>
              <w:autoSpaceDE w:val="0"/>
              <w:autoSpaceDN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2ECEEBEC">
            <w:pPr>
              <w:wordWrap w:val="0"/>
              <w:autoSpaceDE w:val="0"/>
              <w:autoSpaceDN w:val="0"/>
              <w:spacing w:line="360" w:lineRule="auto"/>
              <w:rPr>
                <w:rFonts w:ascii="宋体" w:hAnsi="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60C3A91C">
            <w:pPr>
              <w:wordWrap w:val="0"/>
              <w:autoSpaceDE w:val="0"/>
              <w:autoSpaceDN w:val="0"/>
              <w:spacing w:line="360" w:lineRule="auto"/>
              <w:rPr>
                <w:rFonts w:ascii="宋体" w:hAnsi="宋体" w:cs="宋体"/>
                <w:color w:val="auto"/>
                <w:sz w:val="24"/>
                <w:highlight w:val="none"/>
              </w:rPr>
            </w:pPr>
          </w:p>
        </w:tc>
      </w:tr>
      <w:tr w14:paraId="2CBC5E97">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14:paraId="7965D839">
            <w:pPr>
              <w:wordWrap w:val="0"/>
              <w:autoSpaceDE w:val="0"/>
              <w:autoSpaceDN w:val="0"/>
              <w:spacing w:line="360" w:lineRule="auto"/>
              <w:jc w:val="center"/>
              <w:rPr>
                <w:rFonts w:ascii="宋体" w:hAnsi="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42ACF177">
            <w:pPr>
              <w:wordWrap w:val="0"/>
              <w:autoSpaceDE w:val="0"/>
              <w:autoSpaceDN w:val="0"/>
              <w:spacing w:line="360" w:lineRule="auto"/>
              <w:jc w:val="center"/>
              <w:rPr>
                <w:rFonts w:ascii="宋体" w:hAnsi="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19595ADB">
            <w:pPr>
              <w:wordWrap w:val="0"/>
              <w:autoSpaceDE w:val="0"/>
              <w:autoSpaceDN w:val="0"/>
              <w:spacing w:line="360" w:lineRule="auto"/>
              <w:rPr>
                <w:rFonts w:ascii="宋体" w:hAnsi="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449318A4">
            <w:pPr>
              <w:wordWrap w:val="0"/>
              <w:autoSpaceDE w:val="0"/>
              <w:autoSpaceDN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23C26667">
            <w:pPr>
              <w:wordWrap w:val="0"/>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208ECDB7">
            <w:pPr>
              <w:wordWrap w:val="0"/>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4E343AD4">
            <w:pPr>
              <w:wordWrap w:val="0"/>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125D371D">
            <w:pPr>
              <w:wordWrap w:val="0"/>
              <w:autoSpaceDE w:val="0"/>
              <w:autoSpaceDN w:val="0"/>
              <w:spacing w:line="360" w:lineRule="auto"/>
              <w:rPr>
                <w:rFonts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0E95CAFD">
            <w:pPr>
              <w:wordWrap w:val="0"/>
              <w:autoSpaceDE w:val="0"/>
              <w:autoSpaceDN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00BB21E2">
            <w:pPr>
              <w:wordWrap w:val="0"/>
              <w:autoSpaceDE w:val="0"/>
              <w:autoSpaceDN w:val="0"/>
              <w:spacing w:line="360" w:lineRule="auto"/>
              <w:rPr>
                <w:rFonts w:ascii="宋体" w:hAnsi="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77035DC3">
            <w:pPr>
              <w:wordWrap w:val="0"/>
              <w:autoSpaceDE w:val="0"/>
              <w:autoSpaceDN w:val="0"/>
              <w:spacing w:line="360" w:lineRule="auto"/>
              <w:rPr>
                <w:rFonts w:ascii="宋体" w:hAnsi="宋体" w:cs="宋体"/>
                <w:color w:val="auto"/>
                <w:sz w:val="24"/>
                <w:highlight w:val="none"/>
              </w:rPr>
            </w:pPr>
          </w:p>
        </w:tc>
      </w:tr>
      <w:tr w14:paraId="5F6F3C6E">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14:paraId="0F2DA5C3">
            <w:pPr>
              <w:wordWrap w:val="0"/>
              <w:autoSpaceDE w:val="0"/>
              <w:autoSpaceDN w:val="0"/>
              <w:spacing w:line="360" w:lineRule="auto"/>
              <w:jc w:val="center"/>
              <w:rPr>
                <w:rFonts w:ascii="宋体" w:hAnsi="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3AE2F5FE">
            <w:pPr>
              <w:wordWrap w:val="0"/>
              <w:autoSpaceDE w:val="0"/>
              <w:autoSpaceDN w:val="0"/>
              <w:spacing w:line="360" w:lineRule="auto"/>
              <w:jc w:val="center"/>
              <w:rPr>
                <w:rFonts w:ascii="宋体" w:hAnsi="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6EC82AD9">
            <w:pPr>
              <w:wordWrap w:val="0"/>
              <w:autoSpaceDE w:val="0"/>
              <w:autoSpaceDN w:val="0"/>
              <w:spacing w:line="360" w:lineRule="auto"/>
              <w:rPr>
                <w:rFonts w:ascii="宋体" w:hAnsi="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7857F48F">
            <w:pPr>
              <w:wordWrap w:val="0"/>
              <w:autoSpaceDE w:val="0"/>
              <w:autoSpaceDN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71779112">
            <w:pPr>
              <w:wordWrap w:val="0"/>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7D2FF0ED">
            <w:pPr>
              <w:wordWrap w:val="0"/>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760E6351">
            <w:pPr>
              <w:wordWrap w:val="0"/>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2BF82378">
            <w:pPr>
              <w:wordWrap w:val="0"/>
              <w:autoSpaceDE w:val="0"/>
              <w:autoSpaceDN w:val="0"/>
              <w:spacing w:line="360" w:lineRule="auto"/>
              <w:rPr>
                <w:rFonts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6D9D0C9C">
            <w:pPr>
              <w:wordWrap w:val="0"/>
              <w:autoSpaceDE w:val="0"/>
              <w:autoSpaceDN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01414CAE">
            <w:pPr>
              <w:wordWrap w:val="0"/>
              <w:autoSpaceDE w:val="0"/>
              <w:autoSpaceDN w:val="0"/>
              <w:spacing w:line="360" w:lineRule="auto"/>
              <w:rPr>
                <w:rFonts w:ascii="宋体" w:hAnsi="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5D4DFA36">
            <w:pPr>
              <w:wordWrap w:val="0"/>
              <w:autoSpaceDE w:val="0"/>
              <w:autoSpaceDN w:val="0"/>
              <w:spacing w:line="360" w:lineRule="auto"/>
              <w:rPr>
                <w:rFonts w:ascii="宋体" w:hAnsi="宋体" w:cs="宋体"/>
                <w:color w:val="auto"/>
                <w:sz w:val="24"/>
                <w:highlight w:val="none"/>
              </w:rPr>
            </w:pPr>
          </w:p>
        </w:tc>
      </w:tr>
    </w:tbl>
    <w:p w14:paraId="3136515B">
      <w:pPr>
        <w:wordWrap w:val="0"/>
        <w:snapToGrid w:val="0"/>
        <w:spacing w:line="360" w:lineRule="auto"/>
        <w:ind w:left="142"/>
        <w:jc w:val="center"/>
        <w:rPr>
          <w:rFonts w:ascii="宋体" w:hAnsi="宋体" w:cs="宋体"/>
          <w:b/>
          <w:color w:val="auto"/>
          <w:sz w:val="32"/>
          <w:szCs w:val="32"/>
          <w:highlight w:val="none"/>
        </w:rPr>
      </w:pPr>
    </w:p>
    <w:p w14:paraId="1D65B476">
      <w:pPr>
        <w:wordWrap w:val="0"/>
        <w:snapToGrid w:val="0"/>
        <w:spacing w:line="360" w:lineRule="auto"/>
        <w:ind w:right="480" w:firstLine="3967" w:firstLineChars="1653"/>
        <w:rPr>
          <w:rFonts w:ascii="宋体" w:hAnsi="宋体" w:cs="宋体"/>
          <w:color w:val="auto"/>
          <w:sz w:val="24"/>
          <w:highlight w:val="none"/>
        </w:rPr>
      </w:pPr>
    </w:p>
    <w:p w14:paraId="4C53A835">
      <w:pPr>
        <w:wordWrap w:val="0"/>
        <w:snapToGrid w:val="0"/>
        <w:spacing w:line="360" w:lineRule="auto"/>
        <w:ind w:firstLine="5160" w:firstLineChars="215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投标人名称(电子签章)：</w:t>
      </w:r>
    </w:p>
    <w:p w14:paraId="3637A97E">
      <w:pPr>
        <w:wordWrap w:val="0"/>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5FD9DD9E">
      <w:pPr>
        <w:widowControl/>
        <w:wordWrap w:val="0"/>
        <w:spacing w:line="360" w:lineRule="auto"/>
        <w:jc w:val="left"/>
        <w:rPr>
          <w:rFonts w:ascii="宋体" w:hAnsi="宋体" w:cs="宋体"/>
          <w:color w:val="auto"/>
          <w:sz w:val="24"/>
          <w:highlight w:val="none"/>
        </w:rPr>
        <w:sectPr>
          <w:pgSz w:w="11906" w:h="16838"/>
          <w:pgMar w:top="1440" w:right="1080" w:bottom="1440" w:left="1080" w:header="720" w:footer="720" w:gutter="0"/>
          <w:pgNumType w:fmt="decimal"/>
          <w:cols w:space="720" w:num="1"/>
          <w:docGrid w:type="lines" w:linePitch="331" w:charSpace="0"/>
        </w:sectPr>
      </w:pPr>
    </w:p>
    <w:p w14:paraId="56E5730F">
      <w:pPr>
        <w:wordWrap w:val="0"/>
        <w:spacing w:line="360" w:lineRule="auto"/>
        <w:jc w:val="center"/>
        <w:rPr>
          <w:rFonts w:ascii="宋体" w:hAnsi="宋体" w:cs="宋体"/>
          <w:b/>
          <w:color w:val="auto"/>
          <w:sz w:val="30"/>
          <w:szCs w:val="30"/>
          <w:highlight w:val="none"/>
        </w:rPr>
      </w:pPr>
      <w:r>
        <w:rPr>
          <w:rFonts w:hint="eastAsia" w:ascii="宋体" w:hAnsi="宋体" w:cs="宋体"/>
          <w:b/>
          <w:color w:val="auto"/>
          <w:sz w:val="30"/>
          <w:szCs w:val="30"/>
          <w:highlight w:val="none"/>
        </w:rPr>
        <w:t>四、项目实施人员一览表</w:t>
      </w:r>
    </w:p>
    <w:p w14:paraId="26ED07D0">
      <w:pPr>
        <w:wordWrap w:val="0"/>
        <w:spacing w:line="360" w:lineRule="auto"/>
        <w:jc w:val="center"/>
        <w:rPr>
          <w:rFonts w:ascii="宋体" w:hAnsi="宋体" w:cs="宋体"/>
          <w:b/>
          <w:bCs/>
          <w:color w:val="auto"/>
          <w:sz w:val="24"/>
          <w:highlight w:val="none"/>
        </w:rPr>
      </w:pPr>
      <w:r>
        <w:rPr>
          <w:rFonts w:hint="eastAsia" w:ascii="宋体" w:hAnsi="宋体" w:cs="宋体"/>
          <w:color w:val="auto"/>
          <w:sz w:val="24"/>
          <w:highlight w:val="none"/>
        </w:rPr>
        <w:t>（由投标人根据采购需求及招标文件要求编制）</w:t>
      </w:r>
    </w:p>
    <w:p w14:paraId="11B42001">
      <w:pPr>
        <w:pStyle w:val="12"/>
        <w:wordWrap w:val="0"/>
        <w:spacing w:line="360" w:lineRule="auto"/>
        <w:rPr>
          <w:rFonts w:hAnsi="宋体" w:cs="宋体"/>
          <w:color w:val="auto"/>
          <w:sz w:val="24"/>
          <w:szCs w:val="24"/>
          <w:highlight w:val="none"/>
        </w:rPr>
      </w:pPr>
      <w:r>
        <w:rPr>
          <w:rFonts w:hint="eastAsia" w:hAnsi="宋体" w:cs="宋体"/>
          <w:color w:val="auto"/>
          <w:sz w:val="24"/>
          <w:szCs w:val="24"/>
          <w:highlight w:val="none"/>
        </w:rPr>
        <w:t>所投分标：</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分标</w:t>
      </w:r>
    </w:p>
    <w:p w14:paraId="1B1C12A0">
      <w:pPr>
        <w:keepNext/>
        <w:wordWrap w:val="0"/>
        <w:autoSpaceDE w:val="0"/>
        <w:autoSpaceDN w:val="0"/>
        <w:spacing w:line="360" w:lineRule="auto"/>
        <w:ind w:firstLine="477"/>
        <w:rPr>
          <w:rFonts w:ascii="宋体" w:hAnsi="宋体" w:cs="宋体"/>
          <w:b/>
          <w:color w:val="auto"/>
          <w:sz w:val="24"/>
          <w:highlight w:val="none"/>
        </w:rPr>
      </w:pPr>
      <w:r>
        <w:rPr>
          <w:rFonts w:hint="eastAsia" w:ascii="宋体" w:hAnsi="宋体" w:cs="宋体"/>
          <w:b/>
          <w:color w:val="auto"/>
          <w:sz w:val="24"/>
          <w:highlight w:val="none"/>
        </w:rPr>
        <w:t>附表A:本项目的项目经理情况表</w:t>
      </w:r>
    </w:p>
    <w:tbl>
      <w:tblPr>
        <w:tblStyle w:val="22"/>
        <w:tblW w:w="8755" w:type="dxa"/>
        <w:tblInd w:w="116" w:type="dxa"/>
        <w:tblLayout w:type="fixed"/>
        <w:tblCellMar>
          <w:top w:w="0" w:type="dxa"/>
          <w:left w:w="108" w:type="dxa"/>
          <w:bottom w:w="0" w:type="dxa"/>
          <w:right w:w="108" w:type="dxa"/>
        </w:tblCellMar>
      </w:tblPr>
      <w:tblGrid>
        <w:gridCol w:w="2061"/>
        <w:gridCol w:w="1287"/>
        <w:gridCol w:w="1260"/>
        <w:gridCol w:w="4147"/>
      </w:tblGrid>
      <w:tr w14:paraId="46B13D31">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vAlign w:val="center"/>
          </w:tcPr>
          <w:p w14:paraId="11A2AEA9">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姓名</w:t>
            </w:r>
          </w:p>
        </w:tc>
        <w:tc>
          <w:tcPr>
            <w:tcW w:w="1287" w:type="dxa"/>
            <w:tcBorders>
              <w:top w:val="single" w:color="auto" w:sz="6" w:space="0"/>
              <w:left w:val="single" w:color="auto" w:sz="6" w:space="0"/>
              <w:bottom w:val="single" w:color="auto" w:sz="6" w:space="0"/>
              <w:right w:val="single" w:color="auto" w:sz="4" w:space="0"/>
            </w:tcBorders>
            <w:vAlign w:val="center"/>
          </w:tcPr>
          <w:p w14:paraId="34992848">
            <w:pPr>
              <w:wordWrap w:val="0"/>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20A049CB">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页码</w:t>
            </w:r>
          </w:p>
        </w:tc>
        <w:tc>
          <w:tcPr>
            <w:tcW w:w="4147" w:type="dxa"/>
            <w:tcBorders>
              <w:top w:val="single" w:color="auto" w:sz="6" w:space="0"/>
              <w:left w:val="single" w:color="auto" w:sz="6" w:space="0"/>
              <w:bottom w:val="single" w:color="auto" w:sz="6" w:space="0"/>
              <w:right w:val="single" w:color="auto" w:sz="6" w:space="0"/>
            </w:tcBorders>
            <w:vAlign w:val="center"/>
          </w:tcPr>
          <w:p w14:paraId="15C556E8">
            <w:pPr>
              <w:wordWrap w:val="0"/>
              <w:autoSpaceDE w:val="0"/>
              <w:autoSpaceDN w:val="0"/>
              <w:spacing w:line="360" w:lineRule="auto"/>
              <w:rPr>
                <w:rFonts w:ascii="宋体" w:hAnsi="宋体" w:cs="宋体"/>
                <w:color w:val="auto"/>
                <w:sz w:val="24"/>
                <w:highlight w:val="none"/>
              </w:rPr>
            </w:pPr>
            <w:r>
              <w:rPr>
                <w:rFonts w:hint="eastAsia" w:ascii="宋体" w:hAnsi="宋体" w:cs="宋体"/>
                <w:color w:val="auto"/>
                <w:sz w:val="24"/>
                <w:highlight w:val="none"/>
              </w:rPr>
              <w:t>投标截止时间前三年业绩及承担的主要工作情况，曾担任项目经理的项目应列明细</w:t>
            </w:r>
          </w:p>
        </w:tc>
      </w:tr>
      <w:tr w14:paraId="24FD1E6A">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45DB8304">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性别</w:t>
            </w:r>
          </w:p>
        </w:tc>
        <w:tc>
          <w:tcPr>
            <w:tcW w:w="1287" w:type="dxa"/>
            <w:tcBorders>
              <w:top w:val="single" w:color="auto" w:sz="6" w:space="0"/>
              <w:left w:val="single" w:color="auto" w:sz="6" w:space="0"/>
              <w:bottom w:val="single" w:color="auto" w:sz="6" w:space="0"/>
              <w:right w:val="single" w:color="auto" w:sz="4" w:space="0"/>
            </w:tcBorders>
            <w:vAlign w:val="center"/>
          </w:tcPr>
          <w:p w14:paraId="63728A6D">
            <w:pPr>
              <w:wordWrap w:val="0"/>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69BEA97E">
            <w:pPr>
              <w:wordWrap w:val="0"/>
              <w:autoSpaceDE w:val="0"/>
              <w:autoSpaceDN w:val="0"/>
              <w:spacing w:line="360" w:lineRule="auto"/>
              <w:jc w:val="center"/>
              <w:rPr>
                <w:rFonts w:ascii="宋体" w:hAnsi="宋体" w:cs="宋体"/>
                <w:color w:val="auto"/>
                <w:sz w:val="24"/>
                <w:highlight w:val="none"/>
              </w:rPr>
            </w:pPr>
          </w:p>
        </w:tc>
        <w:tc>
          <w:tcPr>
            <w:tcW w:w="4147" w:type="dxa"/>
            <w:vMerge w:val="restart"/>
            <w:tcBorders>
              <w:top w:val="single" w:color="auto" w:sz="6" w:space="0"/>
              <w:left w:val="single" w:color="auto" w:sz="6" w:space="0"/>
              <w:bottom w:val="single" w:color="auto" w:sz="6" w:space="0"/>
              <w:right w:val="single" w:color="auto" w:sz="6" w:space="0"/>
            </w:tcBorders>
            <w:vAlign w:val="center"/>
          </w:tcPr>
          <w:p w14:paraId="00F7EC16">
            <w:pPr>
              <w:wordWrap w:val="0"/>
              <w:autoSpaceDE w:val="0"/>
              <w:autoSpaceDN w:val="0"/>
              <w:spacing w:line="360" w:lineRule="auto"/>
              <w:jc w:val="center"/>
              <w:rPr>
                <w:rFonts w:ascii="宋体" w:hAnsi="宋体" w:cs="宋体"/>
                <w:color w:val="auto"/>
                <w:sz w:val="24"/>
                <w:highlight w:val="none"/>
              </w:rPr>
            </w:pPr>
          </w:p>
        </w:tc>
      </w:tr>
      <w:tr w14:paraId="407FBE03">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vAlign w:val="center"/>
          </w:tcPr>
          <w:p w14:paraId="357862F8">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年龄</w:t>
            </w:r>
          </w:p>
        </w:tc>
        <w:tc>
          <w:tcPr>
            <w:tcW w:w="1287" w:type="dxa"/>
            <w:tcBorders>
              <w:top w:val="single" w:color="auto" w:sz="6" w:space="0"/>
              <w:left w:val="single" w:color="auto" w:sz="6" w:space="0"/>
              <w:bottom w:val="single" w:color="auto" w:sz="6" w:space="0"/>
              <w:right w:val="single" w:color="auto" w:sz="4" w:space="0"/>
            </w:tcBorders>
            <w:vAlign w:val="center"/>
          </w:tcPr>
          <w:p w14:paraId="6B4DF653">
            <w:pPr>
              <w:wordWrap w:val="0"/>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71A3B3B8">
            <w:pPr>
              <w:wordWrap w:val="0"/>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3D0A0E6C">
            <w:pPr>
              <w:widowControl/>
              <w:wordWrap w:val="0"/>
              <w:spacing w:line="360" w:lineRule="auto"/>
              <w:jc w:val="left"/>
              <w:rPr>
                <w:rFonts w:ascii="宋体" w:hAnsi="宋体" w:cs="宋体"/>
                <w:color w:val="auto"/>
                <w:sz w:val="24"/>
                <w:highlight w:val="none"/>
              </w:rPr>
            </w:pPr>
          </w:p>
        </w:tc>
      </w:tr>
      <w:tr w14:paraId="5E938833">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7E9409D9">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职称</w:t>
            </w:r>
          </w:p>
        </w:tc>
        <w:tc>
          <w:tcPr>
            <w:tcW w:w="1287" w:type="dxa"/>
            <w:tcBorders>
              <w:top w:val="single" w:color="auto" w:sz="6" w:space="0"/>
              <w:left w:val="single" w:color="auto" w:sz="6" w:space="0"/>
              <w:bottom w:val="single" w:color="auto" w:sz="6" w:space="0"/>
              <w:right w:val="single" w:color="auto" w:sz="4" w:space="0"/>
            </w:tcBorders>
            <w:vAlign w:val="center"/>
          </w:tcPr>
          <w:p w14:paraId="65B1345C">
            <w:pPr>
              <w:wordWrap w:val="0"/>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4D4DEADB">
            <w:pPr>
              <w:wordWrap w:val="0"/>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1397B90E">
            <w:pPr>
              <w:widowControl/>
              <w:wordWrap w:val="0"/>
              <w:spacing w:line="360" w:lineRule="auto"/>
              <w:jc w:val="left"/>
              <w:rPr>
                <w:rFonts w:ascii="宋体" w:hAnsi="宋体" w:cs="宋体"/>
                <w:color w:val="auto"/>
                <w:sz w:val="24"/>
                <w:highlight w:val="none"/>
              </w:rPr>
            </w:pPr>
          </w:p>
        </w:tc>
      </w:tr>
      <w:tr w14:paraId="6D60AB94">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1D156933">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毕业时间</w:t>
            </w:r>
          </w:p>
        </w:tc>
        <w:tc>
          <w:tcPr>
            <w:tcW w:w="1287" w:type="dxa"/>
            <w:tcBorders>
              <w:top w:val="single" w:color="auto" w:sz="6" w:space="0"/>
              <w:left w:val="single" w:color="auto" w:sz="6" w:space="0"/>
              <w:bottom w:val="single" w:color="auto" w:sz="6" w:space="0"/>
              <w:right w:val="single" w:color="auto" w:sz="4" w:space="0"/>
            </w:tcBorders>
            <w:vAlign w:val="center"/>
          </w:tcPr>
          <w:p w14:paraId="7EB5E2DC">
            <w:pPr>
              <w:wordWrap w:val="0"/>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1C7F247A">
            <w:pPr>
              <w:wordWrap w:val="0"/>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079DD054">
            <w:pPr>
              <w:widowControl/>
              <w:wordWrap w:val="0"/>
              <w:spacing w:line="360" w:lineRule="auto"/>
              <w:jc w:val="left"/>
              <w:rPr>
                <w:rFonts w:ascii="宋体" w:hAnsi="宋体" w:cs="宋体"/>
                <w:color w:val="auto"/>
                <w:sz w:val="24"/>
                <w:highlight w:val="none"/>
              </w:rPr>
            </w:pPr>
          </w:p>
        </w:tc>
      </w:tr>
      <w:tr w14:paraId="19F9FEE3">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vAlign w:val="center"/>
          </w:tcPr>
          <w:p w14:paraId="74E7FE58">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所学专业</w:t>
            </w:r>
          </w:p>
        </w:tc>
        <w:tc>
          <w:tcPr>
            <w:tcW w:w="1287" w:type="dxa"/>
            <w:tcBorders>
              <w:top w:val="single" w:color="auto" w:sz="6" w:space="0"/>
              <w:left w:val="single" w:color="auto" w:sz="6" w:space="0"/>
              <w:bottom w:val="single" w:color="auto" w:sz="6" w:space="0"/>
              <w:right w:val="single" w:color="auto" w:sz="4" w:space="0"/>
            </w:tcBorders>
            <w:vAlign w:val="center"/>
          </w:tcPr>
          <w:p w14:paraId="3BE23E21">
            <w:pPr>
              <w:wordWrap w:val="0"/>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07009BE0">
            <w:pPr>
              <w:wordWrap w:val="0"/>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06CD3856">
            <w:pPr>
              <w:widowControl/>
              <w:wordWrap w:val="0"/>
              <w:spacing w:line="360" w:lineRule="auto"/>
              <w:jc w:val="left"/>
              <w:rPr>
                <w:rFonts w:ascii="宋体" w:hAnsi="宋体" w:cs="宋体"/>
                <w:color w:val="auto"/>
                <w:sz w:val="24"/>
                <w:highlight w:val="none"/>
              </w:rPr>
            </w:pPr>
          </w:p>
        </w:tc>
      </w:tr>
      <w:tr w14:paraId="2E030851">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vAlign w:val="center"/>
          </w:tcPr>
          <w:p w14:paraId="07292A18">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学历</w:t>
            </w:r>
          </w:p>
        </w:tc>
        <w:tc>
          <w:tcPr>
            <w:tcW w:w="1287" w:type="dxa"/>
            <w:tcBorders>
              <w:top w:val="single" w:color="auto" w:sz="6" w:space="0"/>
              <w:left w:val="single" w:color="auto" w:sz="6" w:space="0"/>
              <w:bottom w:val="single" w:color="auto" w:sz="6" w:space="0"/>
              <w:right w:val="single" w:color="auto" w:sz="4" w:space="0"/>
            </w:tcBorders>
            <w:vAlign w:val="center"/>
          </w:tcPr>
          <w:p w14:paraId="5834CCEF">
            <w:pPr>
              <w:wordWrap w:val="0"/>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1387B174">
            <w:pPr>
              <w:wordWrap w:val="0"/>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35096BFE">
            <w:pPr>
              <w:widowControl/>
              <w:wordWrap w:val="0"/>
              <w:spacing w:line="360" w:lineRule="auto"/>
              <w:jc w:val="left"/>
              <w:rPr>
                <w:rFonts w:ascii="宋体" w:hAnsi="宋体" w:cs="宋体"/>
                <w:color w:val="auto"/>
                <w:sz w:val="24"/>
                <w:highlight w:val="none"/>
              </w:rPr>
            </w:pPr>
          </w:p>
        </w:tc>
      </w:tr>
      <w:tr w14:paraId="4CD326B2">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vAlign w:val="center"/>
          </w:tcPr>
          <w:p w14:paraId="797B21B9">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资质证书编号</w:t>
            </w:r>
          </w:p>
        </w:tc>
        <w:tc>
          <w:tcPr>
            <w:tcW w:w="1287" w:type="dxa"/>
            <w:tcBorders>
              <w:top w:val="single" w:color="auto" w:sz="6" w:space="0"/>
              <w:left w:val="single" w:color="auto" w:sz="6" w:space="0"/>
              <w:bottom w:val="single" w:color="auto" w:sz="6" w:space="0"/>
              <w:right w:val="single" w:color="auto" w:sz="4" w:space="0"/>
            </w:tcBorders>
            <w:vAlign w:val="center"/>
          </w:tcPr>
          <w:p w14:paraId="502A056E">
            <w:pPr>
              <w:wordWrap w:val="0"/>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121C9EE9">
            <w:pPr>
              <w:wordWrap w:val="0"/>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558760FC">
            <w:pPr>
              <w:widowControl/>
              <w:wordWrap w:val="0"/>
              <w:spacing w:line="360" w:lineRule="auto"/>
              <w:jc w:val="left"/>
              <w:rPr>
                <w:rFonts w:ascii="宋体" w:hAnsi="宋体" w:cs="宋体"/>
                <w:color w:val="auto"/>
                <w:sz w:val="24"/>
                <w:highlight w:val="none"/>
              </w:rPr>
            </w:pPr>
          </w:p>
        </w:tc>
      </w:tr>
      <w:tr w14:paraId="4BBB70F3">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vAlign w:val="center"/>
          </w:tcPr>
          <w:p w14:paraId="03098C21">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其他资质情况</w:t>
            </w:r>
          </w:p>
        </w:tc>
        <w:tc>
          <w:tcPr>
            <w:tcW w:w="1287" w:type="dxa"/>
            <w:tcBorders>
              <w:top w:val="single" w:color="auto" w:sz="6" w:space="0"/>
              <w:left w:val="single" w:color="auto" w:sz="6" w:space="0"/>
              <w:bottom w:val="single" w:color="auto" w:sz="6" w:space="0"/>
              <w:right w:val="single" w:color="auto" w:sz="4" w:space="0"/>
            </w:tcBorders>
            <w:vAlign w:val="center"/>
          </w:tcPr>
          <w:p w14:paraId="52AD87AB">
            <w:pPr>
              <w:wordWrap w:val="0"/>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4BB3D1DD">
            <w:pPr>
              <w:wordWrap w:val="0"/>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4F7E04F3">
            <w:pPr>
              <w:widowControl/>
              <w:wordWrap w:val="0"/>
              <w:spacing w:line="360" w:lineRule="auto"/>
              <w:jc w:val="left"/>
              <w:rPr>
                <w:rFonts w:ascii="宋体" w:hAnsi="宋体" w:cs="宋体"/>
                <w:color w:val="auto"/>
                <w:sz w:val="24"/>
                <w:highlight w:val="none"/>
              </w:rPr>
            </w:pPr>
          </w:p>
        </w:tc>
      </w:tr>
      <w:tr w14:paraId="5D63F5E0">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vAlign w:val="center"/>
          </w:tcPr>
          <w:p w14:paraId="5D4BBF1D">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联系电话</w:t>
            </w:r>
          </w:p>
        </w:tc>
        <w:tc>
          <w:tcPr>
            <w:tcW w:w="1287" w:type="dxa"/>
            <w:tcBorders>
              <w:top w:val="single" w:color="auto" w:sz="6" w:space="0"/>
              <w:left w:val="single" w:color="auto" w:sz="6" w:space="0"/>
              <w:bottom w:val="single" w:color="auto" w:sz="6" w:space="0"/>
              <w:right w:val="single" w:color="auto" w:sz="4" w:space="0"/>
            </w:tcBorders>
            <w:vAlign w:val="center"/>
          </w:tcPr>
          <w:p w14:paraId="05BFAD1C">
            <w:pPr>
              <w:wordWrap w:val="0"/>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2E0F443A">
            <w:pPr>
              <w:wordWrap w:val="0"/>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4D869E90">
            <w:pPr>
              <w:widowControl/>
              <w:wordWrap w:val="0"/>
              <w:spacing w:line="360" w:lineRule="auto"/>
              <w:jc w:val="left"/>
              <w:rPr>
                <w:rFonts w:ascii="宋体" w:hAnsi="宋体" w:cs="宋体"/>
                <w:color w:val="auto"/>
                <w:sz w:val="24"/>
                <w:highlight w:val="none"/>
              </w:rPr>
            </w:pPr>
          </w:p>
        </w:tc>
      </w:tr>
    </w:tbl>
    <w:p w14:paraId="33385B32">
      <w:pPr>
        <w:wordWrap w:val="0"/>
        <w:autoSpaceDE w:val="0"/>
        <w:autoSpaceDN w:val="0"/>
        <w:spacing w:line="360" w:lineRule="auto"/>
        <w:rPr>
          <w:rFonts w:ascii="宋体" w:hAnsi="宋体" w:cs="宋体"/>
          <w:b/>
          <w:color w:val="auto"/>
          <w:sz w:val="24"/>
          <w:highlight w:val="none"/>
        </w:rPr>
      </w:pPr>
      <w:r>
        <w:rPr>
          <w:rFonts w:hint="eastAsia" w:ascii="宋体" w:hAnsi="宋体" w:cs="宋体"/>
          <w:b/>
          <w:color w:val="auto"/>
          <w:sz w:val="24"/>
          <w:highlight w:val="none"/>
        </w:rPr>
        <w:t>注：须随表提交相应的证书复印件并注明所在投标技术文件页码。</w:t>
      </w:r>
    </w:p>
    <w:p w14:paraId="387618D4">
      <w:pPr>
        <w:wordWrap w:val="0"/>
        <w:autoSpaceDE w:val="0"/>
        <w:autoSpaceDN w:val="0"/>
        <w:spacing w:line="360" w:lineRule="auto"/>
        <w:rPr>
          <w:rFonts w:ascii="宋体" w:hAnsi="宋体" w:cs="宋体"/>
          <w:b/>
          <w:color w:val="auto"/>
          <w:sz w:val="24"/>
          <w:highlight w:val="none"/>
        </w:rPr>
      </w:pPr>
      <w:r>
        <w:rPr>
          <w:rFonts w:hint="eastAsia" w:ascii="宋体" w:hAnsi="宋体" w:cs="宋体"/>
          <w:b/>
          <w:color w:val="auto"/>
          <w:sz w:val="24"/>
          <w:highlight w:val="none"/>
        </w:rPr>
        <w:t>附表B:本项目的项目小组人员情况表</w:t>
      </w:r>
      <w:r>
        <w:rPr>
          <w:rFonts w:hint="eastAsia" w:ascii="宋体" w:hAnsi="宋体" w:cs="宋体"/>
          <w:color w:val="auto"/>
          <w:sz w:val="24"/>
          <w:highlight w:val="none"/>
        </w:rPr>
        <w:t>（按此格式自制）</w:t>
      </w:r>
    </w:p>
    <w:tbl>
      <w:tblPr>
        <w:tblStyle w:val="22"/>
        <w:tblW w:w="9030" w:type="dxa"/>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1ABFFF83">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vAlign w:val="center"/>
          </w:tcPr>
          <w:p w14:paraId="0C58AB74">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序号</w:t>
            </w:r>
          </w:p>
        </w:tc>
        <w:tc>
          <w:tcPr>
            <w:tcW w:w="787" w:type="dxa"/>
            <w:tcBorders>
              <w:top w:val="single" w:color="auto" w:sz="6" w:space="0"/>
              <w:left w:val="single" w:color="auto" w:sz="6" w:space="0"/>
              <w:bottom w:val="single" w:color="auto" w:sz="6" w:space="0"/>
              <w:right w:val="single" w:color="auto" w:sz="6" w:space="0"/>
            </w:tcBorders>
            <w:vAlign w:val="center"/>
          </w:tcPr>
          <w:p w14:paraId="3296ECFA">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541F56A4">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性别</w:t>
            </w:r>
          </w:p>
        </w:tc>
        <w:tc>
          <w:tcPr>
            <w:tcW w:w="586" w:type="dxa"/>
            <w:tcBorders>
              <w:top w:val="single" w:color="auto" w:sz="6" w:space="0"/>
              <w:left w:val="single" w:color="auto" w:sz="6" w:space="0"/>
              <w:bottom w:val="single" w:color="auto" w:sz="6" w:space="0"/>
              <w:right w:val="single" w:color="auto" w:sz="6" w:space="0"/>
            </w:tcBorders>
            <w:vAlign w:val="center"/>
          </w:tcPr>
          <w:p w14:paraId="408525A7">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年龄</w:t>
            </w:r>
          </w:p>
        </w:tc>
        <w:tc>
          <w:tcPr>
            <w:tcW w:w="1035" w:type="dxa"/>
            <w:tcBorders>
              <w:top w:val="single" w:color="auto" w:sz="6" w:space="0"/>
              <w:left w:val="single" w:color="auto" w:sz="6" w:space="0"/>
              <w:bottom w:val="single" w:color="auto" w:sz="6" w:space="0"/>
              <w:right w:val="single" w:color="auto" w:sz="6" w:space="0"/>
            </w:tcBorders>
            <w:vAlign w:val="center"/>
          </w:tcPr>
          <w:p w14:paraId="5B16FFFE">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学历</w:t>
            </w:r>
          </w:p>
          <w:p w14:paraId="5CAF86CD">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75A7C294">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专业</w:t>
            </w:r>
          </w:p>
          <w:p w14:paraId="186C5813">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06E5FA83">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职称</w:t>
            </w:r>
          </w:p>
          <w:p w14:paraId="0912E123">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(页码)</w:t>
            </w:r>
          </w:p>
        </w:tc>
        <w:tc>
          <w:tcPr>
            <w:tcW w:w="1260" w:type="dxa"/>
            <w:tcBorders>
              <w:top w:val="single" w:color="auto" w:sz="6" w:space="0"/>
              <w:left w:val="single" w:color="auto" w:sz="6" w:space="0"/>
              <w:bottom w:val="single" w:color="auto" w:sz="6" w:space="0"/>
              <w:right w:val="single" w:color="auto" w:sz="6" w:space="0"/>
            </w:tcBorders>
            <w:vAlign w:val="center"/>
          </w:tcPr>
          <w:p w14:paraId="1B760A06">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7141D4C1">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项目经历</w:t>
            </w:r>
          </w:p>
        </w:tc>
        <w:tc>
          <w:tcPr>
            <w:tcW w:w="1470" w:type="dxa"/>
            <w:tcBorders>
              <w:top w:val="single" w:color="auto" w:sz="6" w:space="0"/>
              <w:left w:val="single" w:color="auto" w:sz="6" w:space="0"/>
              <w:bottom w:val="single" w:color="auto" w:sz="6" w:space="0"/>
              <w:right w:val="single" w:color="auto" w:sz="6" w:space="0"/>
            </w:tcBorders>
            <w:vAlign w:val="center"/>
          </w:tcPr>
          <w:p w14:paraId="33B1C84B">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参与本项目的到位情况</w:t>
            </w:r>
          </w:p>
        </w:tc>
      </w:tr>
      <w:tr w14:paraId="2596280D">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tcPr>
          <w:p w14:paraId="1249B0AF">
            <w:pPr>
              <w:wordWrap w:val="0"/>
              <w:autoSpaceDE w:val="0"/>
              <w:autoSpaceDN w:val="0"/>
              <w:spacing w:line="360" w:lineRule="auto"/>
              <w:jc w:val="center"/>
              <w:rPr>
                <w:rFonts w:ascii="宋体" w:hAnsi="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22C407E1">
            <w:pPr>
              <w:wordWrap w:val="0"/>
              <w:autoSpaceDE w:val="0"/>
              <w:autoSpaceDN w:val="0"/>
              <w:spacing w:line="360" w:lineRule="auto"/>
              <w:rPr>
                <w:rFonts w:ascii="宋体" w:hAnsi="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6FD3006C">
            <w:pPr>
              <w:wordWrap w:val="0"/>
              <w:autoSpaceDE w:val="0"/>
              <w:autoSpaceDN w:val="0"/>
              <w:spacing w:line="360" w:lineRule="auto"/>
              <w:rPr>
                <w:rFonts w:ascii="宋体" w:hAnsi="宋体" w:cs="宋体"/>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340104AE">
            <w:pPr>
              <w:wordWrap w:val="0"/>
              <w:autoSpaceDE w:val="0"/>
              <w:autoSpaceDN w:val="0"/>
              <w:spacing w:line="360" w:lineRule="auto"/>
              <w:rPr>
                <w:rFonts w:ascii="宋体" w:hAnsi="宋体" w:cs="宋体"/>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013E71E4">
            <w:pPr>
              <w:wordWrap w:val="0"/>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71025CAD">
            <w:pPr>
              <w:wordWrap w:val="0"/>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46AC2651">
            <w:pPr>
              <w:wordWrap w:val="0"/>
              <w:autoSpaceDE w:val="0"/>
              <w:autoSpaceDN w:val="0"/>
              <w:spacing w:line="360" w:lineRule="auto"/>
              <w:rPr>
                <w:rFonts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48DDE732">
            <w:pPr>
              <w:wordWrap w:val="0"/>
              <w:autoSpaceDE w:val="0"/>
              <w:autoSpaceDN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17A647D6">
            <w:pPr>
              <w:wordWrap w:val="0"/>
              <w:autoSpaceDE w:val="0"/>
              <w:autoSpaceDN w:val="0"/>
              <w:spacing w:line="360" w:lineRule="auto"/>
              <w:rPr>
                <w:rFonts w:ascii="宋体" w:hAnsi="宋体" w:cs="宋体"/>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0072D683">
            <w:pPr>
              <w:wordWrap w:val="0"/>
              <w:autoSpaceDE w:val="0"/>
              <w:autoSpaceDN w:val="0"/>
              <w:spacing w:line="360" w:lineRule="auto"/>
              <w:rPr>
                <w:rFonts w:ascii="宋体" w:hAnsi="宋体" w:cs="宋体"/>
                <w:color w:val="auto"/>
                <w:sz w:val="24"/>
                <w:highlight w:val="none"/>
              </w:rPr>
            </w:pPr>
          </w:p>
        </w:tc>
      </w:tr>
      <w:tr w14:paraId="1E2FB33A">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tcPr>
          <w:p w14:paraId="1A2DBF27">
            <w:pPr>
              <w:wordWrap w:val="0"/>
              <w:autoSpaceDE w:val="0"/>
              <w:autoSpaceDN w:val="0"/>
              <w:spacing w:line="360" w:lineRule="auto"/>
              <w:jc w:val="center"/>
              <w:rPr>
                <w:rFonts w:ascii="宋体" w:hAnsi="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193E5E84">
            <w:pPr>
              <w:wordWrap w:val="0"/>
              <w:autoSpaceDE w:val="0"/>
              <w:autoSpaceDN w:val="0"/>
              <w:spacing w:line="360" w:lineRule="auto"/>
              <w:rPr>
                <w:rFonts w:ascii="宋体" w:hAnsi="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3FCA23C5">
            <w:pPr>
              <w:wordWrap w:val="0"/>
              <w:autoSpaceDE w:val="0"/>
              <w:autoSpaceDN w:val="0"/>
              <w:spacing w:line="360" w:lineRule="auto"/>
              <w:rPr>
                <w:rFonts w:ascii="宋体" w:hAnsi="宋体" w:cs="宋体"/>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62F35992">
            <w:pPr>
              <w:wordWrap w:val="0"/>
              <w:autoSpaceDE w:val="0"/>
              <w:autoSpaceDN w:val="0"/>
              <w:spacing w:line="360" w:lineRule="auto"/>
              <w:rPr>
                <w:rFonts w:ascii="宋体" w:hAnsi="宋体" w:cs="宋体"/>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5F9C5C1C">
            <w:pPr>
              <w:wordWrap w:val="0"/>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660B1156">
            <w:pPr>
              <w:wordWrap w:val="0"/>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01F79E6A">
            <w:pPr>
              <w:wordWrap w:val="0"/>
              <w:autoSpaceDE w:val="0"/>
              <w:autoSpaceDN w:val="0"/>
              <w:spacing w:line="360" w:lineRule="auto"/>
              <w:rPr>
                <w:rFonts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183B3C7F">
            <w:pPr>
              <w:wordWrap w:val="0"/>
              <w:autoSpaceDE w:val="0"/>
              <w:autoSpaceDN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0A583426">
            <w:pPr>
              <w:wordWrap w:val="0"/>
              <w:autoSpaceDE w:val="0"/>
              <w:autoSpaceDN w:val="0"/>
              <w:spacing w:line="360" w:lineRule="auto"/>
              <w:rPr>
                <w:rFonts w:ascii="宋体" w:hAnsi="宋体" w:cs="宋体"/>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218F3FCF">
            <w:pPr>
              <w:wordWrap w:val="0"/>
              <w:autoSpaceDE w:val="0"/>
              <w:autoSpaceDN w:val="0"/>
              <w:spacing w:line="360" w:lineRule="auto"/>
              <w:rPr>
                <w:rFonts w:ascii="宋体" w:hAnsi="宋体" w:cs="宋体"/>
                <w:color w:val="auto"/>
                <w:sz w:val="24"/>
                <w:highlight w:val="none"/>
              </w:rPr>
            </w:pPr>
          </w:p>
        </w:tc>
      </w:tr>
    </w:tbl>
    <w:p w14:paraId="5D476F52">
      <w:pPr>
        <w:wordWrap w:val="0"/>
        <w:spacing w:line="360" w:lineRule="auto"/>
        <w:rPr>
          <w:rFonts w:ascii="宋体" w:hAnsi="宋体" w:cs="宋体"/>
          <w:b/>
          <w:bCs/>
          <w:color w:val="auto"/>
          <w:sz w:val="24"/>
          <w:highlight w:val="none"/>
        </w:rPr>
      </w:pPr>
      <w:r>
        <w:rPr>
          <w:rFonts w:hint="eastAsia" w:ascii="宋体" w:hAnsi="宋体" w:cs="宋体"/>
          <w:b/>
          <w:color w:val="auto"/>
          <w:sz w:val="24"/>
          <w:highlight w:val="none"/>
        </w:rPr>
        <w:t>注：投标人可按上述的格式自行编制，须随表提交相应的证书复印件并注明所在投标技术文件页码。</w:t>
      </w:r>
    </w:p>
    <w:p w14:paraId="7183CB48">
      <w:pPr>
        <w:wordWrap w:val="0"/>
        <w:snapToGrid w:val="0"/>
        <w:spacing w:line="360" w:lineRule="auto"/>
        <w:ind w:firstLine="4320" w:firstLineChars="180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投标人名称(电子签章)：</w:t>
      </w:r>
    </w:p>
    <w:p w14:paraId="24764510">
      <w:pPr>
        <w:wordWrap w:val="0"/>
        <w:autoSpaceDE w:val="0"/>
        <w:autoSpaceDN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日期：  年  月   日</w:t>
      </w:r>
    </w:p>
    <w:p w14:paraId="3B00666C">
      <w:pPr>
        <w:wordWrap w:val="0"/>
        <w:snapToGrid w:val="0"/>
        <w:spacing w:line="360" w:lineRule="auto"/>
        <w:rPr>
          <w:rFonts w:ascii="宋体" w:hAnsi="宋体" w:cs="宋体"/>
          <w:color w:val="auto"/>
          <w:sz w:val="24"/>
          <w:highlight w:val="none"/>
        </w:rPr>
      </w:pPr>
    </w:p>
    <w:p w14:paraId="120405B8">
      <w:pPr>
        <w:wordWrap w:val="0"/>
        <w:snapToGrid w:val="0"/>
        <w:spacing w:line="360" w:lineRule="auto"/>
        <w:jc w:val="left"/>
        <w:rPr>
          <w:rFonts w:ascii="宋体" w:hAnsi="宋体" w:cs="宋体"/>
          <w:color w:val="auto"/>
          <w:sz w:val="24"/>
          <w:highlight w:val="none"/>
        </w:rPr>
      </w:pPr>
      <w:r>
        <w:rPr>
          <w:rFonts w:hint="eastAsia" w:ascii="宋体" w:hAnsi="宋体" w:cs="宋体"/>
          <w:b/>
          <w:color w:val="auto"/>
          <w:sz w:val="24"/>
          <w:highlight w:val="none"/>
        </w:rPr>
        <w:br w:type="page"/>
      </w:r>
      <w:r>
        <w:rPr>
          <w:rFonts w:hint="eastAsia" w:ascii="宋体" w:hAnsi="宋体" w:cs="宋体"/>
          <w:color w:val="auto"/>
          <w:sz w:val="24"/>
          <w:highlight w:val="none"/>
        </w:rPr>
        <w:t xml:space="preserve"> </w:t>
      </w:r>
    </w:p>
    <w:p w14:paraId="1AE493B4">
      <w:pPr>
        <w:wordWrap w:val="0"/>
        <w:spacing w:line="360" w:lineRule="auto"/>
        <w:jc w:val="left"/>
        <w:rPr>
          <w:rFonts w:ascii="宋体" w:hAnsi="宋体" w:cs="宋体"/>
          <w:b/>
          <w:color w:val="auto"/>
          <w:sz w:val="30"/>
          <w:szCs w:val="30"/>
          <w:highlight w:val="none"/>
        </w:rPr>
      </w:pPr>
      <w:r>
        <w:rPr>
          <w:rFonts w:hint="eastAsia" w:ascii="宋体" w:hAnsi="宋体" w:cs="宋体"/>
          <w:b/>
          <w:color w:val="auto"/>
          <w:sz w:val="30"/>
          <w:szCs w:val="30"/>
          <w:highlight w:val="none"/>
        </w:rPr>
        <w:t>五、投标人对项目的合理化建议和改进措施</w:t>
      </w:r>
    </w:p>
    <w:p w14:paraId="421AB8C4">
      <w:pPr>
        <w:wordWrap w:val="0"/>
        <w:spacing w:line="360" w:lineRule="auto"/>
        <w:ind w:firstLine="4048" w:firstLineChars="1687"/>
        <w:rPr>
          <w:rFonts w:ascii="宋体" w:hAnsi="宋体" w:cs="宋体"/>
          <w:color w:val="auto"/>
          <w:sz w:val="24"/>
          <w:highlight w:val="none"/>
        </w:rPr>
      </w:pPr>
      <w:r>
        <w:rPr>
          <w:rFonts w:hint="eastAsia" w:ascii="宋体" w:hAnsi="宋体" w:cs="宋体"/>
          <w:color w:val="auto"/>
          <w:sz w:val="24"/>
          <w:highlight w:val="none"/>
        </w:rPr>
        <w:t>（格式自拟）</w:t>
      </w:r>
    </w:p>
    <w:p w14:paraId="7CF04BC2">
      <w:pPr>
        <w:wordWrap w:val="0"/>
        <w:snapToGrid w:val="0"/>
        <w:spacing w:line="360" w:lineRule="auto"/>
        <w:ind w:firstLine="4935" w:firstLineChars="2350"/>
        <w:rPr>
          <w:rFonts w:ascii="宋体" w:hAnsi="宋体" w:cs="宋体"/>
          <w:color w:val="auto"/>
          <w:szCs w:val="21"/>
          <w:highlight w:val="none"/>
        </w:rPr>
      </w:pPr>
      <w:r>
        <w:rPr>
          <w:rFonts w:hint="eastAsia" w:ascii="宋体" w:hAnsi="宋体" w:cs="宋体"/>
          <w:color w:val="auto"/>
          <w:szCs w:val="21"/>
          <w:highlight w:val="none"/>
        </w:rPr>
        <w:t xml:space="preserve"> </w:t>
      </w:r>
    </w:p>
    <w:p w14:paraId="1181528D">
      <w:pPr>
        <w:wordWrap w:val="0"/>
        <w:snapToGrid w:val="0"/>
        <w:spacing w:line="360" w:lineRule="auto"/>
        <w:ind w:firstLine="4935" w:firstLineChars="2350"/>
        <w:rPr>
          <w:rFonts w:ascii="宋体" w:hAnsi="宋体" w:cs="宋体"/>
          <w:color w:val="auto"/>
          <w:szCs w:val="21"/>
          <w:highlight w:val="none"/>
        </w:rPr>
      </w:pPr>
    </w:p>
    <w:p w14:paraId="1FB2EB78">
      <w:pPr>
        <w:wordWrap w:val="0"/>
        <w:snapToGrid w:val="0"/>
        <w:spacing w:line="360" w:lineRule="auto"/>
        <w:ind w:firstLine="4935" w:firstLineChars="2350"/>
        <w:rPr>
          <w:rFonts w:ascii="宋体" w:hAnsi="宋体" w:cs="宋体"/>
          <w:color w:val="auto"/>
          <w:szCs w:val="21"/>
          <w:highlight w:val="none"/>
        </w:rPr>
      </w:pPr>
    </w:p>
    <w:p w14:paraId="5492CDFE">
      <w:pPr>
        <w:wordWrap w:val="0"/>
        <w:snapToGrid w:val="0"/>
        <w:spacing w:line="360" w:lineRule="auto"/>
        <w:ind w:firstLine="4935" w:firstLineChars="2350"/>
        <w:rPr>
          <w:rFonts w:ascii="宋体" w:hAnsi="宋体" w:cs="宋体"/>
          <w:color w:val="auto"/>
          <w:szCs w:val="21"/>
          <w:highlight w:val="none"/>
        </w:rPr>
      </w:pPr>
    </w:p>
    <w:p w14:paraId="65769574">
      <w:pPr>
        <w:wordWrap w:val="0"/>
        <w:snapToGrid w:val="0"/>
        <w:spacing w:line="360" w:lineRule="auto"/>
        <w:ind w:firstLine="4935" w:firstLineChars="2350"/>
        <w:rPr>
          <w:rFonts w:ascii="宋体" w:hAnsi="宋体" w:cs="宋体"/>
          <w:color w:val="auto"/>
          <w:kern w:val="0"/>
          <w:sz w:val="24"/>
          <w:highlight w:val="none"/>
        </w:rPr>
      </w:pPr>
      <w:r>
        <w:rPr>
          <w:rFonts w:hint="eastAsia" w:ascii="宋体" w:hAnsi="宋体" w:cs="宋体"/>
          <w:color w:val="auto"/>
          <w:szCs w:val="21"/>
          <w:highlight w:val="none"/>
        </w:rPr>
        <w:t xml:space="preserve">  </w:t>
      </w:r>
      <w:r>
        <w:rPr>
          <w:rFonts w:hint="eastAsia" w:ascii="宋体" w:hAnsi="宋体" w:cs="宋体"/>
          <w:color w:val="auto"/>
          <w:kern w:val="0"/>
          <w:sz w:val="24"/>
          <w:highlight w:val="none"/>
          <w:lang w:val="zh-CN"/>
        </w:rPr>
        <w:t>投标人名称(电子签章)：</w:t>
      </w:r>
    </w:p>
    <w:p w14:paraId="12E179FB">
      <w:pPr>
        <w:wordWrap w:val="0"/>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41569BAE">
      <w:pPr>
        <w:wordWrap w:val="0"/>
        <w:spacing w:line="360" w:lineRule="auto"/>
        <w:jc w:val="left"/>
        <w:rPr>
          <w:rFonts w:ascii="宋体" w:hAnsi="宋体" w:cs="宋体"/>
          <w:b/>
          <w:color w:val="auto"/>
          <w:sz w:val="30"/>
          <w:szCs w:val="30"/>
          <w:highlight w:val="none"/>
        </w:rPr>
      </w:pPr>
      <w:r>
        <w:rPr>
          <w:rFonts w:hint="eastAsia" w:ascii="宋体" w:hAnsi="宋体" w:cs="宋体"/>
          <w:b/>
          <w:color w:val="auto"/>
          <w:sz w:val="30"/>
          <w:szCs w:val="30"/>
          <w:highlight w:val="none"/>
        </w:rPr>
        <w:t>六、优惠条件及特殊承诺</w:t>
      </w:r>
    </w:p>
    <w:p w14:paraId="53556312">
      <w:pPr>
        <w:wordWrap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（由投标人根据采购需求自行编制）</w:t>
      </w:r>
    </w:p>
    <w:p w14:paraId="30940026">
      <w:pPr>
        <w:wordWrap w:val="0"/>
        <w:spacing w:line="360" w:lineRule="auto"/>
        <w:jc w:val="center"/>
        <w:rPr>
          <w:rFonts w:ascii="宋体" w:hAnsi="宋体" w:cs="宋体"/>
          <w:color w:val="auto"/>
          <w:sz w:val="18"/>
          <w:szCs w:val="18"/>
          <w:highlight w:val="none"/>
        </w:rPr>
      </w:pPr>
    </w:p>
    <w:p w14:paraId="53C15ECB">
      <w:pPr>
        <w:wordWrap w:val="0"/>
        <w:snapToGrid w:val="0"/>
        <w:spacing w:line="360" w:lineRule="auto"/>
        <w:ind w:firstLine="5040" w:firstLineChars="210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投标人名称(电子签章)：</w:t>
      </w:r>
    </w:p>
    <w:p w14:paraId="2DF74C76">
      <w:pPr>
        <w:wordWrap w:val="0"/>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60078B73">
      <w:pPr>
        <w:wordWrap w:val="0"/>
        <w:spacing w:line="360" w:lineRule="auto"/>
        <w:jc w:val="left"/>
        <w:rPr>
          <w:rFonts w:ascii="宋体" w:hAnsi="宋体" w:cs="宋体"/>
          <w:b/>
          <w:color w:val="auto"/>
          <w:sz w:val="30"/>
          <w:szCs w:val="30"/>
          <w:highlight w:val="none"/>
        </w:rPr>
      </w:pPr>
      <w:r>
        <w:rPr>
          <w:rFonts w:hint="eastAsia" w:ascii="宋体" w:hAnsi="宋体" w:cs="宋体"/>
          <w:b/>
          <w:color w:val="auto"/>
          <w:sz w:val="30"/>
          <w:szCs w:val="30"/>
          <w:highlight w:val="none"/>
        </w:rPr>
        <w:t>七、备品备件及供选择的配套零部件清单</w:t>
      </w:r>
    </w:p>
    <w:p w14:paraId="6F1529DD">
      <w:pPr>
        <w:wordWrap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（由投标人根据采购需求自行编制）</w:t>
      </w:r>
    </w:p>
    <w:p w14:paraId="6965F1B6">
      <w:pPr>
        <w:wordWrap w:val="0"/>
        <w:autoSpaceDE w:val="0"/>
        <w:autoSpaceDN w:val="0"/>
        <w:spacing w:line="360" w:lineRule="auto"/>
        <w:ind w:firstLine="4440" w:firstLineChars="1850"/>
        <w:rPr>
          <w:rFonts w:ascii="宋体" w:hAnsi="宋体" w:cs="宋体"/>
          <w:color w:val="auto"/>
          <w:kern w:val="0"/>
          <w:sz w:val="24"/>
          <w:highlight w:val="none"/>
        </w:rPr>
      </w:pPr>
    </w:p>
    <w:p w14:paraId="0D36D315">
      <w:pPr>
        <w:wordWrap w:val="0"/>
        <w:autoSpaceDE w:val="0"/>
        <w:autoSpaceDN w:val="0"/>
        <w:spacing w:line="360" w:lineRule="auto"/>
        <w:ind w:firstLine="4440" w:firstLineChars="1850"/>
        <w:rPr>
          <w:rFonts w:ascii="宋体" w:hAnsi="宋体" w:cs="宋体"/>
          <w:color w:val="auto"/>
          <w:kern w:val="0"/>
          <w:sz w:val="24"/>
          <w:highlight w:val="none"/>
        </w:rPr>
      </w:pPr>
      <w:r>
        <w:rPr>
          <w:rFonts w:hint="eastAsia" w:ascii="宋体" w:hAnsi="宋体" w:cs="宋体"/>
          <w:color w:val="auto"/>
          <w:kern w:val="0"/>
          <w:sz w:val="24"/>
          <w:highlight w:val="none"/>
        </w:rPr>
        <w:t>投标人名称（</w:t>
      </w:r>
      <w:r>
        <w:rPr>
          <w:rFonts w:hint="eastAsia" w:ascii="宋体" w:hAnsi="宋体" w:cs="宋体"/>
          <w:color w:val="auto"/>
          <w:kern w:val="0"/>
          <w:sz w:val="24"/>
          <w:highlight w:val="none"/>
          <w:lang w:val="zh-CN"/>
        </w:rPr>
        <w:t>电子签章</w:t>
      </w:r>
      <w:r>
        <w:rPr>
          <w:rFonts w:hint="eastAsia" w:ascii="宋体" w:hAnsi="宋体" w:cs="宋体"/>
          <w:color w:val="auto"/>
          <w:kern w:val="0"/>
          <w:sz w:val="24"/>
          <w:highlight w:val="none"/>
        </w:rPr>
        <w:t>）：</w:t>
      </w:r>
    </w:p>
    <w:p w14:paraId="46C68273">
      <w:pPr>
        <w:wordWrap w:val="0"/>
        <w:autoSpaceDE w:val="0"/>
        <w:autoSpaceDN w:val="0"/>
        <w:spacing w:line="360" w:lineRule="auto"/>
        <w:rPr>
          <w:rFonts w:ascii="宋体" w:hAnsi="宋体" w:cs="宋体"/>
          <w:b/>
          <w:bCs/>
          <w:color w:val="auto"/>
          <w:sz w:val="18"/>
          <w:szCs w:val="18"/>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日期：  年  月   日</w:t>
      </w:r>
    </w:p>
    <w:p w14:paraId="367E45C8">
      <w:pPr>
        <w:wordWrap w:val="0"/>
        <w:spacing w:line="360" w:lineRule="auto"/>
        <w:jc w:val="left"/>
        <w:rPr>
          <w:rFonts w:ascii="宋体" w:hAnsi="宋体" w:cs="宋体"/>
          <w:b/>
          <w:color w:val="auto"/>
          <w:sz w:val="30"/>
          <w:szCs w:val="30"/>
          <w:highlight w:val="none"/>
        </w:rPr>
      </w:pPr>
      <w:r>
        <w:rPr>
          <w:rFonts w:hint="eastAsia" w:ascii="宋体" w:hAnsi="宋体" w:cs="宋体"/>
          <w:b/>
          <w:color w:val="auto"/>
          <w:sz w:val="30"/>
          <w:szCs w:val="30"/>
          <w:highlight w:val="none"/>
        </w:rPr>
        <w:t>八、培训计划</w:t>
      </w:r>
    </w:p>
    <w:p w14:paraId="298771E1">
      <w:pPr>
        <w:wordWrap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（由投标人根据采购需求自行编制）</w:t>
      </w:r>
    </w:p>
    <w:p w14:paraId="6231EEB4">
      <w:pPr>
        <w:keepNext/>
        <w:wordWrap w:val="0"/>
        <w:autoSpaceDE w:val="0"/>
        <w:autoSpaceDN w:val="0"/>
        <w:spacing w:line="360" w:lineRule="auto"/>
        <w:ind w:firstLine="477"/>
        <w:jc w:val="left"/>
        <w:rPr>
          <w:rFonts w:ascii="宋体" w:hAnsi="宋体" w:cs="宋体"/>
          <w:b/>
          <w:color w:val="auto"/>
          <w:sz w:val="24"/>
          <w:highlight w:val="none"/>
        </w:rPr>
      </w:pPr>
      <w:r>
        <w:rPr>
          <w:rFonts w:hint="eastAsia" w:ascii="宋体" w:hAnsi="宋体" w:cs="宋体"/>
          <w:b/>
          <w:color w:val="auto"/>
          <w:sz w:val="24"/>
          <w:highlight w:val="none"/>
        </w:rPr>
        <w:t>附表: 培训日程及费用</w:t>
      </w:r>
    </w:p>
    <w:tbl>
      <w:tblPr>
        <w:tblStyle w:val="22"/>
        <w:tblW w:w="9000" w:type="dxa"/>
        <w:tblInd w:w="120" w:type="dxa"/>
        <w:tblLayout w:type="fixed"/>
        <w:tblCellMar>
          <w:top w:w="0" w:type="dxa"/>
          <w:left w:w="120" w:type="dxa"/>
          <w:bottom w:w="0" w:type="dxa"/>
          <w:right w:w="120" w:type="dxa"/>
        </w:tblCellMar>
      </w:tblPr>
      <w:tblGrid>
        <w:gridCol w:w="1806"/>
        <w:gridCol w:w="1254"/>
        <w:gridCol w:w="930"/>
        <w:gridCol w:w="953"/>
        <w:gridCol w:w="997"/>
        <w:gridCol w:w="1440"/>
        <w:gridCol w:w="1620"/>
      </w:tblGrid>
      <w:tr w14:paraId="2245F3AA">
        <w:tblPrEx>
          <w:tblCellMar>
            <w:top w:w="0" w:type="dxa"/>
            <w:left w:w="120" w:type="dxa"/>
            <w:bottom w:w="0" w:type="dxa"/>
            <w:right w:w="120" w:type="dxa"/>
          </w:tblCellMar>
        </w:tblPrEx>
        <w:trPr>
          <w:trHeight w:val="764" w:hRule="atLeast"/>
        </w:trPr>
        <w:tc>
          <w:tcPr>
            <w:tcW w:w="1806" w:type="dxa"/>
            <w:tcBorders>
              <w:top w:val="single" w:color="auto" w:sz="6" w:space="0"/>
              <w:left w:val="single" w:color="auto" w:sz="6" w:space="0"/>
              <w:bottom w:val="nil"/>
              <w:right w:val="nil"/>
            </w:tcBorders>
            <w:shd w:val="pct10" w:color="auto" w:fill="auto"/>
            <w:vAlign w:val="center"/>
          </w:tcPr>
          <w:p w14:paraId="0F5F5F3B">
            <w:pPr>
              <w:tabs>
                <w:tab w:val="center" w:pos="1690"/>
              </w:tabs>
              <w:suppressAutoHyphens/>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课程名称</w:t>
            </w:r>
          </w:p>
        </w:tc>
        <w:tc>
          <w:tcPr>
            <w:tcW w:w="1254" w:type="dxa"/>
            <w:tcBorders>
              <w:top w:val="single" w:color="auto" w:sz="6" w:space="0"/>
              <w:left w:val="single" w:color="auto" w:sz="6" w:space="0"/>
              <w:bottom w:val="nil"/>
              <w:right w:val="single" w:color="auto" w:sz="6" w:space="0"/>
            </w:tcBorders>
            <w:shd w:val="pct10" w:color="auto" w:fill="auto"/>
          </w:tcPr>
          <w:p w14:paraId="2DCADE4D">
            <w:pPr>
              <w:tabs>
                <w:tab w:val="center" w:pos="595"/>
              </w:tabs>
              <w:suppressAutoHyphens/>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提供的资料</w:t>
            </w:r>
          </w:p>
        </w:tc>
        <w:tc>
          <w:tcPr>
            <w:tcW w:w="930" w:type="dxa"/>
            <w:tcBorders>
              <w:top w:val="single" w:color="auto" w:sz="6" w:space="0"/>
              <w:left w:val="single" w:color="auto" w:sz="6" w:space="0"/>
              <w:bottom w:val="nil"/>
              <w:right w:val="nil"/>
            </w:tcBorders>
            <w:shd w:val="pct10" w:color="auto" w:fill="auto"/>
            <w:vAlign w:val="center"/>
          </w:tcPr>
          <w:p w14:paraId="441765B2">
            <w:pPr>
              <w:tabs>
                <w:tab w:val="center" w:pos="595"/>
              </w:tabs>
              <w:suppressAutoHyphens/>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持续时间</w:t>
            </w:r>
          </w:p>
        </w:tc>
        <w:tc>
          <w:tcPr>
            <w:tcW w:w="953" w:type="dxa"/>
            <w:tcBorders>
              <w:top w:val="single" w:color="auto" w:sz="6" w:space="0"/>
              <w:left w:val="single" w:color="auto" w:sz="6" w:space="0"/>
              <w:bottom w:val="nil"/>
              <w:right w:val="nil"/>
            </w:tcBorders>
            <w:shd w:val="pct10" w:color="auto" w:fill="auto"/>
            <w:vAlign w:val="center"/>
          </w:tcPr>
          <w:p w14:paraId="767B2496">
            <w:pPr>
              <w:tabs>
                <w:tab w:val="center" w:pos="1028"/>
              </w:tabs>
              <w:suppressAutoHyphens/>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授课教师</w:t>
            </w:r>
          </w:p>
        </w:tc>
        <w:tc>
          <w:tcPr>
            <w:tcW w:w="997" w:type="dxa"/>
            <w:tcBorders>
              <w:top w:val="single" w:color="auto" w:sz="6" w:space="0"/>
              <w:left w:val="single" w:color="auto" w:sz="6" w:space="0"/>
              <w:bottom w:val="nil"/>
              <w:right w:val="nil"/>
            </w:tcBorders>
            <w:shd w:val="pct10" w:color="auto" w:fill="auto"/>
            <w:vAlign w:val="center"/>
          </w:tcPr>
          <w:p w14:paraId="5648F8A4">
            <w:pPr>
              <w:tabs>
                <w:tab w:val="center" w:pos="595"/>
              </w:tabs>
              <w:suppressAutoHyphens/>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培训对象</w:t>
            </w:r>
          </w:p>
        </w:tc>
        <w:tc>
          <w:tcPr>
            <w:tcW w:w="1440" w:type="dxa"/>
            <w:tcBorders>
              <w:top w:val="single" w:color="auto" w:sz="6" w:space="0"/>
              <w:left w:val="single" w:color="auto" w:sz="6" w:space="0"/>
              <w:bottom w:val="nil"/>
              <w:right w:val="nil"/>
            </w:tcBorders>
            <w:shd w:val="pct10" w:color="auto" w:fill="auto"/>
            <w:vAlign w:val="center"/>
          </w:tcPr>
          <w:p w14:paraId="58C8E107">
            <w:pPr>
              <w:tabs>
                <w:tab w:val="center" w:pos="520"/>
              </w:tabs>
              <w:suppressAutoHyphens/>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培训地点</w:t>
            </w:r>
          </w:p>
        </w:tc>
        <w:tc>
          <w:tcPr>
            <w:tcW w:w="1620" w:type="dxa"/>
            <w:tcBorders>
              <w:top w:val="single" w:color="auto" w:sz="6" w:space="0"/>
              <w:left w:val="single" w:color="auto" w:sz="6" w:space="0"/>
              <w:bottom w:val="nil"/>
              <w:right w:val="single" w:color="auto" w:sz="6" w:space="0"/>
            </w:tcBorders>
            <w:shd w:val="pct10" w:color="auto" w:fill="auto"/>
            <w:vAlign w:val="center"/>
          </w:tcPr>
          <w:p w14:paraId="70411C17">
            <w:pPr>
              <w:suppressAutoHyphens/>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课程费用</w:t>
            </w:r>
          </w:p>
        </w:tc>
      </w:tr>
      <w:tr w14:paraId="0BE4BDE6">
        <w:tblPrEx>
          <w:tblCellMar>
            <w:top w:w="0" w:type="dxa"/>
            <w:left w:w="120" w:type="dxa"/>
            <w:bottom w:w="0" w:type="dxa"/>
            <w:right w:w="120" w:type="dxa"/>
          </w:tblCellMar>
        </w:tblPrEx>
        <w:trPr>
          <w:trHeight w:val="281" w:hRule="atLeast"/>
        </w:trPr>
        <w:tc>
          <w:tcPr>
            <w:tcW w:w="1806" w:type="dxa"/>
            <w:tcBorders>
              <w:top w:val="single" w:color="auto" w:sz="6" w:space="0"/>
              <w:left w:val="single" w:color="auto" w:sz="6" w:space="0"/>
              <w:bottom w:val="nil"/>
              <w:right w:val="nil"/>
            </w:tcBorders>
          </w:tcPr>
          <w:p w14:paraId="73EF66D6">
            <w:pPr>
              <w:tabs>
                <w:tab w:val="left" w:pos="589"/>
                <w:tab w:val="left" w:pos="1303"/>
                <w:tab w:val="left" w:pos="2017"/>
                <w:tab w:val="left" w:pos="2731"/>
                <w:tab w:val="left" w:pos="3445"/>
                <w:tab w:val="left" w:pos="4159"/>
                <w:tab w:val="left" w:pos="4873"/>
              </w:tabs>
              <w:suppressAutoHyphens/>
              <w:wordWrap w:val="0"/>
              <w:autoSpaceDE w:val="0"/>
              <w:autoSpaceDN w:val="0"/>
              <w:spacing w:line="360" w:lineRule="auto"/>
              <w:rPr>
                <w:rFonts w:ascii="宋体" w:hAnsi="宋体" w:cs="宋体"/>
                <w:color w:val="auto"/>
                <w:sz w:val="24"/>
                <w:highlight w:val="none"/>
              </w:rPr>
            </w:pPr>
          </w:p>
        </w:tc>
        <w:tc>
          <w:tcPr>
            <w:tcW w:w="1254" w:type="dxa"/>
            <w:tcBorders>
              <w:top w:val="single" w:color="auto" w:sz="6" w:space="0"/>
              <w:left w:val="single" w:color="auto" w:sz="6" w:space="0"/>
              <w:bottom w:val="nil"/>
              <w:right w:val="single" w:color="auto" w:sz="6" w:space="0"/>
            </w:tcBorders>
          </w:tcPr>
          <w:p w14:paraId="38F40018">
            <w:pPr>
              <w:tabs>
                <w:tab w:val="left" w:pos="556"/>
                <w:tab w:val="left" w:pos="1270"/>
                <w:tab w:val="left" w:pos="1984"/>
                <w:tab w:val="left" w:pos="2698"/>
                <w:tab w:val="left" w:pos="3412"/>
                <w:tab w:val="left" w:pos="4126"/>
                <w:tab w:val="left" w:pos="4840"/>
                <w:tab w:val="left" w:pos="5622"/>
                <w:tab w:val="left" w:pos="6054"/>
              </w:tabs>
              <w:suppressAutoHyphens/>
              <w:wordWrap w:val="0"/>
              <w:autoSpaceDE w:val="0"/>
              <w:autoSpaceDN w:val="0"/>
              <w:spacing w:line="360" w:lineRule="auto"/>
              <w:rPr>
                <w:rFonts w:ascii="宋体" w:hAnsi="宋体" w:cs="宋体"/>
                <w:color w:val="auto"/>
                <w:sz w:val="24"/>
                <w:highlight w:val="none"/>
              </w:rPr>
            </w:pPr>
          </w:p>
        </w:tc>
        <w:tc>
          <w:tcPr>
            <w:tcW w:w="930" w:type="dxa"/>
            <w:tcBorders>
              <w:top w:val="single" w:color="auto" w:sz="6" w:space="0"/>
              <w:left w:val="single" w:color="auto" w:sz="6" w:space="0"/>
              <w:bottom w:val="nil"/>
              <w:right w:val="nil"/>
            </w:tcBorders>
          </w:tcPr>
          <w:p w14:paraId="773B8E61">
            <w:pPr>
              <w:tabs>
                <w:tab w:val="left" w:pos="556"/>
                <w:tab w:val="left" w:pos="1270"/>
                <w:tab w:val="left" w:pos="1984"/>
                <w:tab w:val="left" w:pos="2698"/>
                <w:tab w:val="left" w:pos="3412"/>
                <w:tab w:val="left" w:pos="4126"/>
                <w:tab w:val="left" w:pos="4840"/>
                <w:tab w:val="left" w:pos="5622"/>
                <w:tab w:val="left" w:pos="6054"/>
              </w:tabs>
              <w:suppressAutoHyphens/>
              <w:wordWrap w:val="0"/>
              <w:autoSpaceDE w:val="0"/>
              <w:autoSpaceDN w:val="0"/>
              <w:spacing w:line="360" w:lineRule="auto"/>
              <w:rPr>
                <w:rFonts w:ascii="宋体" w:hAnsi="宋体" w:cs="宋体"/>
                <w:color w:val="auto"/>
                <w:sz w:val="24"/>
                <w:highlight w:val="none"/>
              </w:rPr>
            </w:pPr>
          </w:p>
        </w:tc>
        <w:tc>
          <w:tcPr>
            <w:tcW w:w="953" w:type="dxa"/>
            <w:tcBorders>
              <w:top w:val="single" w:color="auto" w:sz="6" w:space="0"/>
              <w:left w:val="single" w:color="auto" w:sz="6" w:space="0"/>
              <w:bottom w:val="nil"/>
              <w:right w:val="nil"/>
            </w:tcBorders>
          </w:tcPr>
          <w:p w14:paraId="12DCB955">
            <w:pPr>
              <w:tabs>
                <w:tab w:val="left" w:pos="573"/>
                <w:tab w:val="left" w:pos="1287"/>
                <w:tab w:val="left" w:pos="2001"/>
                <w:tab w:val="left" w:pos="2715"/>
                <w:tab w:val="left" w:pos="3429"/>
                <w:tab w:val="left" w:pos="4211"/>
                <w:tab w:val="left" w:pos="4643"/>
              </w:tabs>
              <w:suppressAutoHyphens/>
              <w:wordWrap w:val="0"/>
              <w:autoSpaceDE w:val="0"/>
              <w:autoSpaceDN w:val="0"/>
              <w:spacing w:line="360" w:lineRule="auto"/>
              <w:rPr>
                <w:rFonts w:ascii="宋体" w:hAnsi="宋体" w:cs="宋体"/>
                <w:color w:val="auto"/>
                <w:sz w:val="24"/>
                <w:highlight w:val="none"/>
              </w:rPr>
            </w:pPr>
          </w:p>
        </w:tc>
        <w:tc>
          <w:tcPr>
            <w:tcW w:w="997" w:type="dxa"/>
            <w:tcBorders>
              <w:top w:val="single" w:color="auto" w:sz="6" w:space="0"/>
              <w:left w:val="single" w:color="auto" w:sz="6" w:space="0"/>
              <w:bottom w:val="nil"/>
              <w:right w:val="nil"/>
            </w:tcBorders>
          </w:tcPr>
          <w:p w14:paraId="1702FDF2">
            <w:pPr>
              <w:tabs>
                <w:tab w:val="left" w:pos="440"/>
                <w:tab w:val="left" w:pos="1154"/>
                <w:tab w:val="left" w:pos="1936"/>
                <w:tab w:val="left" w:pos="2368"/>
              </w:tabs>
              <w:suppressAutoHyphens/>
              <w:wordWrap w:val="0"/>
              <w:autoSpaceDE w:val="0"/>
              <w:autoSpaceDN w:val="0"/>
              <w:spacing w:line="360" w:lineRule="auto"/>
              <w:rPr>
                <w:rFonts w:ascii="宋体" w:hAnsi="宋体" w:cs="宋体"/>
                <w:color w:val="auto"/>
                <w:sz w:val="24"/>
                <w:highlight w:val="none"/>
              </w:rPr>
            </w:pPr>
          </w:p>
        </w:tc>
        <w:tc>
          <w:tcPr>
            <w:tcW w:w="1440" w:type="dxa"/>
            <w:tcBorders>
              <w:top w:val="single" w:color="auto" w:sz="6" w:space="0"/>
              <w:left w:val="single" w:color="auto" w:sz="6" w:space="0"/>
              <w:bottom w:val="nil"/>
              <w:right w:val="nil"/>
            </w:tcBorders>
          </w:tcPr>
          <w:p w14:paraId="4957A016">
            <w:pPr>
              <w:tabs>
                <w:tab w:val="left" w:pos="589"/>
                <w:tab w:val="left" w:pos="1303"/>
                <w:tab w:val="left" w:pos="2017"/>
                <w:tab w:val="left" w:pos="2731"/>
                <w:tab w:val="left" w:pos="3445"/>
                <w:tab w:val="left" w:pos="4159"/>
                <w:tab w:val="left" w:pos="4873"/>
              </w:tabs>
              <w:suppressAutoHyphens/>
              <w:wordWrap w:val="0"/>
              <w:autoSpaceDE w:val="0"/>
              <w:autoSpaceDN w:val="0"/>
              <w:spacing w:line="360" w:lineRule="auto"/>
              <w:rPr>
                <w:rFonts w:ascii="宋体" w:hAnsi="宋体" w:cs="宋体"/>
                <w:color w:val="auto"/>
                <w:sz w:val="24"/>
                <w:highlight w:val="none"/>
              </w:rPr>
            </w:pPr>
          </w:p>
        </w:tc>
        <w:tc>
          <w:tcPr>
            <w:tcW w:w="1620" w:type="dxa"/>
            <w:tcBorders>
              <w:top w:val="single" w:color="auto" w:sz="6" w:space="0"/>
              <w:left w:val="single" w:color="auto" w:sz="6" w:space="0"/>
              <w:bottom w:val="nil"/>
              <w:right w:val="single" w:color="auto" w:sz="6" w:space="0"/>
            </w:tcBorders>
          </w:tcPr>
          <w:p w14:paraId="6E6435AF">
            <w:pPr>
              <w:suppressAutoHyphens/>
              <w:wordWrap w:val="0"/>
              <w:autoSpaceDE w:val="0"/>
              <w:autoSpaceDN w:val="0"/>
              <w:spacing w:line="360" w:lineRule="auto"/>
              <w:rPr>
                <w:rFonts w:ascii="宋体" w:hAnsi="宋体" w:cs="宋体"/>
                <w:color w:val="auto"/>
                <w:sz w:val="24"/>
                <w:highlight w:val="none"/>
              </w:rPr>
            </w:pPr>
          </w:p>
        </w:tc>
      </w:tr>
      <w:tr w14:paraId="2F5269D3">
        <w:tblPrEx>
          <w:tblCellMar>
            <w:top w:w="0" w:type="dxa"/>
            <w:left w:w="120" w:type="dxa"/>
            <w:bottom w:w="0" w:type="dxa"/>
            <w:right w:w="120" w:type="dxa"/>
          </w:tblCellMar>
        </w:tblPrEx>
        <w:trPr>
          <w:trHeight w:val="273" w:hRule="atLeast"/>
        </w:trPr>
        <w:tc>
          <w:tcPr>
            <w:tcW w:w="1806" w:type="dxa"/>
            <w:tcBorders>
              <w:top w:val="single" w:color="auto" w:sz="6" w:space="0"/>
              <w:left w:val="single" w:color="auto" w:sz="6" w:space="0"/>
              <w:bottom w:val="nil"/>
              <w:right w:val="nil"/>
            </w:tcBorders>
          </w:tcPr>
          <w:p w14:paraId="783429BE">
            <w:pPr>
              <w:tabs>
                <w:tab w:val="left" w:pos="589"/>
                <w:tab w:val="left" w:pos="1303"/>
                <w:tab w:val="left" w:pos="2017"/>
                <w:tab w:val="left" w:pos="2731"/>
                <w:tab w:val="left" w:pos="3445"/>
                <w:tab w:val="left" w:pos="4159"/>
                <w:tab w:val="left" w:pos="4873"/>
              </w:tabs>
              <w:suppressAutoHyphens/>
              <w:wordWrap w:val="0"/>
              <w:autoSpaceDE w:val="0"/>
              <w:autoSpaceDN w:val="0"/>
              <w:spacing w:line="360" w:lineRule="auto"/>
              <w:rPr>
                <w:rFonts w:ascii="宋体" w:hAnsi="宋体" w:cs="宋体"/>
                <w:color w:val="auto"/>
                <w:sz w:val="24"/>
                <w:highlight w:val="none"/>
              </w:rPr>
            </w:pPr>
          </w:p>
        </w:tc>
        <w:tc>
          <w:tcPr>
            <w:tcW w:w="1254" w:type="dxa"/>
            <w:tcBorders>
              <w:top w:val="single" w:color="auto" w:sz="6" w:space="0"/>
              <w:left w:val="single" w:color="auto" w:sz="6" w:space="0"/>
              <w:bottom w:val="nil"/>
              <w:right w:val="single" w:color="auto" w:sz="6" w:space="0"/>
            </w:tcBorders>
          </w:tcPr>
          <w:p w14:paraId="0669D449">
            <w:pPr>
              <w:tabs>
                <w:tab w:val="left" w:pos="556"/>
                <w:tab w:val="left" w:pos="1270"/>
                <w:tab w:val="left" w:pos="1984"/>
                <w:tab w:val="left" w:pos="2698"/>
                <w:tab w:val="left" w:pos="3412"/>
                <w:tab w:val="left" w:pos="4126"/>
                <w:tab w:val="left" w:pos="4840"/>
                <w:tab w:val="left" w:pos="5622"/>
                <w:tab w:val="left" w:pos="6054"/>
              </w:tabs>
              <w:suppressAutoHyphens/>
              <w:wordWrap w:val="0"/>
              <w:autoSpaceDE w:val="0"/>
              <w:autoSpaceDN w:val="0"/>
              <w:spacing w:line="360" w:lineRule="auto"/>
              <w:rPr>
                <w:rFonts w:ascii="宋体" w:hAnsi="宋体" w:cs="宋体"/>
                <w:color w:val="auto"/>
                <w:sz w:val="24"/>
                <w:highlight w:val="none"/>
              </w:rPr>
            </w:pPr>
          </w:p>
        </w:tc>
        <w:tc>
          <w:tcPr>
            <w:tcW w:w="930" w:type="dxa"/>
            <w:tcBorders>
              <w:top w:val="single" w:color="auto" w:sz="6" w:space="0"/>
              <w:left w:val="single" w:color="auto" w:sz="6" w:space="0"/>
              <w:bottom w:val="nil"/>
              <w:right w:val="nil"/>
            </w:tcBorders>
          </w:tcPr>
          <w:p w14:paraId="2714B384">
            <w:pPr>
              <w:tabs>
                <w:tab w:val="left" w:pos="556"/>
                <w:tab w:val="left" w:pos="1270"/>
                <w:tab w:val="left" w:pos="1984"/>
                <w:tab w:val="left" w:pos="2698"/>
                <w:tab w:val="left" w:pos="3412"/>
                <w:tab w:val="left" w:pos="4126"/>
                <w:tab w:val="left" w:pos="4840"/>
                <w:tab w:val="left" w:pos="5622"/>
                <w:tab w:val="left" w:pos="6054"/>
              </w:tabs>
              <w:suppressAutoHyphens/>
              <w:wordWrap w:val="0"/>
              <w:autoSpaceDE w:val="0"/>
              <w:autoSpaceDN w:val="0"/>
              <w:spacing w:line="360" w:lineRule="auto"/>
              <w:rPr>
                <w:rFonts w:ascii="宋体" w:hAnsi="宋体" w:cs="宋体"/>
                <w:color w:val="auto"/>
                <w:sz w:val="24"/>
                <w:highlight w:val="none"/>
              </w:rPr>
            </w:pPr>
          </w:p>
        </w:tc>
        <w:tc>
          <w:tcPr>
            <w:tcW w:w="953" w:type="dxa"/>
            <w:tcBorders>
              <w:top w:val="single" w:color="auto" w:sz="6" w:space="0"/>
              <w:left w:val="single" w:color="auto" w:sz="6" w:space="0"/>
              <w:bottom w:val="nil"/>
              <w:right w:val="nil"/>
            </w:tcBorders>
          </w:tcPr>
          <w:p w14:paraId="436701DE">
            <w:pPr>
              <w:tabs>
                <w:tab w:val="left" w:pos="573"/>
                <w:tab w:val="left" w:pos="1287"/>
                <w:tab w:val="left" w:pos="2001"/>
                <w:tab w:val="left" w:pos="2715"/>
                <w:tab w:val="left" w:pos="3429"/>
                <w:tab w:val="left" w:pos="4211"/>
                <w:tab w:val="left" w:pos="4643"/>
              </w:tabs>
              <w:suppressAutoHyphens/>
              <w:wordWrap w:val="0"/>
              <w:autoSpaceDE w:val="0"/>
              <w:autoSpaceDN w:val="0"/>
              <w:spacing w:line="360" w:lineRule="auto"/>
              <w:rPr>
                <w:rFonts w:ascii="宋体" w:hAnsi="宋体" w:cs="宋体"/>
                <w:color w:val="auto"/>
                <w:sz w:val="24"/>
                <w:highlight w:val="none"/>
              </w:rPr>
            </w:pPr>
          </w:p>
        </w:tc>
        <w:tc>
          <w:tcPr>
            <w:tcW w:w="997" w:type="dxa"/>
            <w:tcBorders>
              <w:top w:val="single" w:color="auto" w:sz="6" w:space="0"/>
              <w:left w:val="single" w:color="auto" w:sz="6" w:space="0"/>
              <w:bottom w:val="nil"/>
              <w:right w:val="nil"/>
            </w:tcBorders>
          </w:tcPr>
          <w:p w14:paraId="4776D3D0">
            <w:pPr>
              <w:tabs>
                <w:tab w:val="left" w:pos="440"/>
                <w:tab w:val="left" w:pos="1154"/>
                <w:tab w:val="left" w:pos="1936"/>
                <w:tab w:val="left" w:pos="2368"/>
              </w:tabs>
              <w:suppressAutoHyphens/>
              <w:wordWrap w:val="0"/>
              <w:autoSpaceDE w:val="0"/>
              <w:autoSpaceDN w:val="0"/>
              <w:spacing w:line="360" w:lineRule="auto"/>
              <w:rPr>
                <w:rFonts w:ascii="宋体" w:hAnsi="宋体" w:cs="宋体"/>
                <w:color w:val="auto"/>
                <w:sz w:val="24"/>
                <w:highlight w:val="none"/>
              </w:rPr>
            </w:pPr>
          </w:p>
        </w:tc>
        <w:tc>
          <w:tcPr>
            <w:tcW w:w="1440" w:type="dxa"/>
            <w:tcBorders>
              <w:top w:val="single" w:color="auto" w:sz="6" w:space="0"/>
              <w:left w:val="single" w:color="auto" w:sz="6" w:space="0"/>
              <w:bottom w:val="nil"/>
              <w:right w:val="nil"/>
            </w:tcBorders>
          </w:tcPr>
          <w:p w14:paraId="1EF9859F">
            <w:pPr>
              <w:tabs>
                <w:tab w:val="left" w:pos="7"/>
              </w:tabs>
              <w:suppressAutoHyphens/>
              <w:wordWrap w:val="0"/>
              <w:autoSpaceDE w:val="0"/>
              <w:autoSpaceDN w:val="0"/>
              <w:spacing w:line="360" w:lineRule="auto"/>
              <w:rPr>
                <w:rFonts w:ascii="宋体" w:hAnsi="宋体" w:cs="宋体"/>
                <w:color w:val="auto"/>
                <w:sz w:val="24"/>
                <w:highlight w:val="none"/>
              </w:rPr>
            </w:pPr>
          </w:p>
        </w:tc>
        <w:tc>
          <w:tcPr>
            <w:tcW w:w="1620" w:type="dxa"/>
            <w:tcBorders>
              <w:top w:val="single" w:color="auto" w:sz="6" w:space="0"/>
              <w:left w:val="single" w:color="auto" w:sz="6" w:space="0"/>
              <w:bottom w:val="nil"/>
              <w:right w:val="single" w:color="auto" w:sz="6" w:space="0"/>
            </w:tcBorders>
          </w:tcPr>
          <w:p w14:paraId="57078871">
            <w:pPr>
              <w:suppressAutoHyphens/>
              <w:wordWrap w:val="0"/>
              <w:autoSpaceDE w:val="0"/>
              <w:autoSpaceDN w:val="0"/>
              <w:spacing w:line="360" w:lineRule="auto"/>
              <w:rPr>
                <w:rFonts w:ascii="宋体" w:hAnsi="宋体" w:cs="宋体"/>
                <w:color w:val="auto"/>
                <w:sz w:val="24"/>
                <w:highlight w:val="none"/>
              </w:rPr>
            </w:pPr>
          </w:p>
        </w:tc>
      </w:tr>
      <w:tr w14:paraId="3555DA87">
        <w:tblPrEx>
          <w:tblCellMar>
            <w:top w:w="0" w:type="dxa"/>
            <w:left w:w="120" w:type="dxa"/>
            <w:bottom w:w="0" w:type="dxa"/>
            <w:right w:w="120" w:type="dxa"/>
          </w:tblCellMar>
        </w:tblPrEx>
        <w:trPr>
          <w:trHeight w:val="110" w:hRule="atLeast"/>
        </w:trPr>
        <w:tc>
          <w:tcPr>
            <w:tcW w:w="1806" w:type="dxa"/>
            <w:tcBorders>
              <w:top w:val="single" w:color="auto" w:sz="6" w:space="0"/>
              <w:left w:val="single" w:color="auto" w:sz="6" w:space="0"/>
              <w:bottom w:val="single" w:color="auto" w:sz="6" w:space="0"/>
              <w:right w:val="single" w:color="auto" w:sz="6" w:space="0"/>
            </w:tcBorders>
            <w:vAlign w:val="center"/>
          </w:tcPr>
          <w:p w14:paraId="1321734D">
            <w:pPr>
              <w:tabs>
                <w:tab w:val="left" w:pos="589"/>
                <w:tab w:val="left" w:pos="1303"/>
                <w:tab w:val="left" w:pos="2017"/>
                <w:tab w:val="left" w:pos="2731"/>
                <w:tab w:val="left" w:pos="3445"/>
                <w:tab w:val="left" w:pos="4159"/>
                <w:tab w:val="left" w:pos="4873"/>
              </w:tabs>
              <w:suppressAutoHyphens/>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费用总计</w:t>
            </w:r>
          </w:p>
        </w:tc>
        <w:tc>
          <w:tcPr>
            <w:tcW w:w="1254" w:type="dxa"/>
            <w:tcBorders>
              <w:top w:val="single" w:color="auto" w:sz="6" w:space="0"/>
              <w:left w:val="single" w:color="auto" w:sz="6" w:space="0"/>
              <w:bottom w:val="single" w:color="auto" w:sz="6" w:space="0"/>
              <w:right w:val="single" w:color="auto" w:sz="6" w:space="0"/>
            </w:tcBorders>
          </w:tcPr>
          <w:p w14:paraId="63AFAE64">
            <w:pPr>
              <w:tabs>
                <w:tab w:val="left" w:pos="556"/>
                <w:tab w:val="left" w:pos="1270"/>
                <w:tab w:val="left" w:pos="1984"/>
                <w:tab w:val="left" w:pos="2698"/>
                <w:tab w:val="left" w:pos="3412"/>
                <w:tab w:val="left" w:pos="4126"/>
                <w:tab w:val="left" w:pos="4840"/>
                <w:tab w:val="left" w:pos="5622"/>
                <w:tab w:val="left" w:pos="6054"/>
              </w:tabs>
              <w:suppressAutoHyphens/>
              <w:wordWrap w:val="0"/>
              <w:autoSpaceDE w:val="0"/>
              <w:autoSpaceDN w:val="0"/>
              <w:spacing w:line="360" w:lineRule="auto"/>
              <w:rPr>
                <w:rFonts w:ascii="宋体" w:hAnsi="宋体" w:cs="宋体"/>
                <w:color w:val="auto"/>
                <w:sz w:val="24"/>
                <w:highlight w:val="none"/>
              </w:rPr>
            </w:pPr>
          </w:p>
        </w:tc>
        <w:tc>
          <w:tcPr>
            <w:tcW w:w="930" w:type="dxa"/>
            <w:tcBorders>
              <w:top w:val="single" w:color="auto" w:sz="6" w:space="0"/>
              <w:left w:val="single" w:color="auto" w:sz="6" w:space="0"/>
              <w:bottom w:val="single" w:color="auto" w:sz="6" w:space="0"/>
              <w:right w:val="single" w:color="auto" w:sz="6" w:space="0"/>
            </w:tcBorders>
          </w:tcPr>
          <w:p w14:paraId="54ABCDFC">
            <w:pPr>
              <w:tabs>
                <w:tab w:val="left" w:pos="556"/>
                <w:tab w:val="left" w:pos="1270"/>
                <w:tab w:val="left" w:pos="1984"/>
                <w:tab w:val="left" w:pos="2698"/>
                <w:tab w:val="left" w:pos="3412"/>
                <w:tab w:val="left" w:pos="4126"/>
                <w:tab w:val="left" w:pos="4840"/>
                <w:tab w:val="left" w:pos="5622"/>
                <w:tab w:val="left" w:pos="6054"/>
              </w:tabs>
              <w:suppressAutoHyphens/>
              <w:wordWrap w:val="0"/>
              <w:autoSpaceDE w:val="0"/>
              <w:autoSpaceDN w:val="0"/>
              <w:spacing w:line="360" w:lineRule="auto"/>
              <w:rPr>
                <w:rFonts w:ascii="宋体" w:hAnsi="宋体" w:cs="宋体"/>
                <w:color w:val="auto"/>
                <w:sz w:val="24"/>
                <w:highlight w:val="none"/>
              </w:rPr>
            </w:pPr>
          </w:p>
        </w:tc>
        <w:tc>
          <w:tcPr>
            <w:tcW w:w="953" w:type="dxa"/>
            <w:tcBorders>
              <w:top w:val="single" w:color="auto" w:sz="6" w:space="0"/>
              <w:left w:val="single" w:color="auto" w:sz="6" w:space="0"/>
              <w:bottom w:val="single" w:color="auto" w:sz="6" w:space="0"/>
              <w:right w:val="single" w:color="auto" w:sz="6" w:space="0"/>
            </w:tcBorders>
          </w:tcPr>
          <w:p w14:paraId="6D026B82">
            <w:pPr>
              <w:tabs>
                <w:tab w:val="left" w:pos="573"/>
                <w:tab w:val="left" w:pos="1287"/>
                <w:tab w:val="left" w:pos="2001"/>
                <w:tab w:val="left" w:pos="2715"/>
                <w:tab w:val="left" w:pos="3429"/>
                <w:tab w:val="left" w:pos="4211"/>
                <w:tab w:val="left" w:pos="4643"/>
              </w:tabs>
              <w:suppressAutoHyphens/>
              <w:wordWrap w:val="0"/>
              <w:autoSpaceDE w:val="0"/>
              <w:autoSpaceDN w:val="0"/>
              <w:spacing w:line="360" w:lineRule="auto"/>
              <w:rPr>
                <w:rFonts w:ascii="宋体" w:hAnsi="宋体" w:cs="宋体"/>
                <w:color w:val="auto"/>
                <w:sz w:val="24"/>
                <w:highlight w:val="none"/>
              </w:rPr>
            </w:pPr>
          </w:p>
        </w:tc>
        <w:tc>
          <w:tcPr>
            <w:tcW w:w="997" w:type="dxa"/>
            <w:tcBorders>
              <w:top w:val="single" w:color="auto" w:sz="6" w:space="0"/>
              <w:left w:val="single" w:color="auto" w:sz="6" w:space="0"/>
              <w:bottom w:val="single" w:color="auto" w:sz="6" w:space="0"/>
              <w:right w:val="single" w:color="auto" w:sz="6" w:space="0"/>
            </w:tcBorders>
          </w:tcPr>
          <w:p w14:paraId="1BF78259">
            <w:pPr>
              <w:tabs>
                <w:tab w:val="left" w:pos="440"/>
                <w:tab w:val="left" w:pos="1154"/>
                <w:tab w:val="left" w:pos="1936"/>
                <w:tab w:val="left" w:pos="2368"/>
              </w:tabs>
              <w:suppressAutoHyphens/>
              <w:wordWrap w:val="0"/>
              <w:autoSpaceDE w:val="0"/>
              <w:autoSpaceDN w:val="0"/>
              <w:spacing w:line="360" w:lineRule="auto"/>
              <w:rPr>
                <w:rFonts w:ascii="宋体" w:hAnsi="宋体" w:cs="宋体"/>
                <w:color w:val="auto"/>
                <w:sz w:val="24"/>
                <w:highlight w:val="none"/>
              </w:rPr>
            </w:pPr>
          </w:p>
        </w:tc>
        <w:tc>
          <w:tcPr>
            <w:tcW w:w="1440" w:type="dxa"/>
            <w:tcBorders>
              <w:top w:val="single" w:color="auto" w:sz="6" w:space="0"/>
              <w:left w:val="single" w:color="auto" w:sz="6" w:space="0"/>
              <w:bottom w:val="single" w:color="auto" w:sz="6" w:space="0"/>
              <w:right w:val="single" w:color="auto" w:sz="6" w:space="0"/>
            </w:tcBorders>
          </w:tcPr>
          <w:p w14:paraId="31088485">
            <w:pPr>
              <w:tabs>
                <w:tab w:val="left" w:pos="7"/>
              </w:tabs>
              <w:suppressAutoHyphens/>
              <w:wordWrap w:val="0"/>
              <w:autoSpaceDE w:val="0"/>
              <w:autoSpaceDN w:val="0"/>
              <w:spacing w:line="360" w:lineRule="auto"/>
              <w:rPr>
                <w:rFonts w:ascii="宋体" w:hAnsi="宋体" w:cs="宋体"/>
                <w:color w:val="auto"/>
                <w:sz w:val="24"/>
                <w:highlight w:val="none"/>
              </w:rPr>
            </w:pPr>
          </w:p>
        </w:tc>
        <w:tc>
          <w:tcPr>
            <w:tcW w:w="1620" w:type="dxa"/>
            <w:tcBorders>
              <w:top w:val="single" w:color="auto" w:sz="6" w:space="0"/>
              <w:left w:val="single" w:color="auto" w:sz="6" w:space="0"/>
              <w:bottom w:val="single" w:color="auto" w:sz="6" w:space="0"/>
              <w:right w:val="single" w:color="auto" w:sz="6" w:space="0"/>
            </w:tcBorders>
          </w:tcPr>
          <w:p w14:paraId="33CCCE53">
            <w:pPr>
              <w:suppressAutoHyphens/>
              <w:wordWrap w:val="0"/>
              <w:autoSpaceDE w:val="0"/>
              <w:autoSpaceDN w:val="0"/>
              <w:spacing w:line="360" w:lineRule="auto"/>
              <w:rPr>
                <w:rFonts w:ascii="宋体" w:hAnsi="宋体" w:cs="宋体"/>
                <w:color w:val="auto"/>
                <w:sz w:val="24"/>
                <w:highlight w:val="none"/>
              </w:rPr>
            </w:pPr>
          </w:p>
        </w:tc>
      </w:tr>
    </w:tbl>
    <w:p w14:paraId="69782787">
      <w:pPr>
        <w:tabs>
          <w:tab w:val="left" w:pos="709"/>
          <w:tab w:val="left" w:pos="1005"/>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wordWrap w:val="0"/>
        <w:autoSpaceDE w:val="0"/>
        <w:autoSpaceDN w:val="0"/>
        <w:spacing w:line="360" w:lineRule="auto"/>
        <w:rPr>
          <w:rFonts w:ascii="宋体" w:hAnsi="宋体" w:cs="宋体"/>
          <w:color w:val="auto"/>
          <w:sz w:val="24"/>
          <w:highlight w:val="none"/>
        </w:rPr>
      </w:pPr>
      <w:r>
        <w:rPr>
          <w:rFonts w:hint="eastAsia" w:ascii="宋体" w:hAnsi="宋体" w:cs="宋体"/>
          <w:color w:val="auto"/>
          <w:sz w:val="24"/>
          <w:highlight w:val="none"/>
        </w:rPr>
        <w:t>注解:A</w:t>
      </w:r>
      <w:r>
        <w:rPr>
          <w:rFonts w:hint="eastAsia" w:ascii="宋体" w:hAnsi="宋体" w:cs="宋体"/>
          <w:color w:val="auto"/>
          <w:sz w:val="24"/>
          <w:highlight w:val="none"/>
        </w:rPr>
        <w:tab/>
      </w:r>
      <w:r>
        <w:rPr>
          <w:rFonts w:hint="eastAsia" w:ascii="宋体" w:hAnsi="宋体" w:cs="宋体"/>
          <w:color w:val="auto"/>
          <w:sz w:val="24"/>
          <w:highlight w:val="none"/>
        </w:rPr>
        <w:t>课程清单按时间顺序排列，并提供以下详细资料：</w:t>
      </w:r>
    </w:p>
    <w:p w14:paraId="6792ED7D">
      <w:p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wordWrap w:val="0"/>
        <w:autoSpaceDE w:val="0"/>
        <w:autoSpaceDN w:val="0"/>
        <w:adjustRightInd w:val="0"/>
        <w:spacing w:line="360" w:lineRule="auto"/>
        <w:ind w:left="1069" w:hanging="420"/>
        <w:rPr>
          <w:rFonts w:ascii="宋体" w:hAnsi="宋体" w:cs="宋体"/>
          <w:color w:val="auto"/>
          <w:sz w:val="24"/>
          <w:highlight w:val="none"/>
        </w:rPr>
      </w:pPr>
      <w:r>
        <w:rPr>
          <w:rFonts w:hint="eastAsia" w:ascii="宋体" w:hAnsi="宋体" w:cs="宋体"/>
          <w:color w:val="auto"/>
          <w:sz w:val="24"/>
          <w:highlight w:val="none"/>
        </w:rPr>
        <w:t>（1）课程概要</w:t>
      </w:r>
    </w:p>
    <w:p w14:paraId="0D26F22D">
      <w:p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wordWrap w:val="0"/>
        <w:autoSpaceDE w:val="0"/>
        <w:autoSpaceDN w:val="0"/>
        <w:adjustRightInd w:val="0"/>
        <w:spacing w:line="360" w:lineRule="auto"/>
        <w:ind w:left="1069" w:hanging="420"/>
        <w:rPr>
          <w:rFonts w:ascii="宋体" w:hAnsi="宋体" w:cs="宋体"/>
          <w:color w:val="auto"/>
          <w:sz w:val="24"/>
          <w:highlight w:val="none"/>
        </w:rPr>
      </w:pPr>
      <w:r>
        <w:rPr>
          <w:rFonts w:hint="eastAsia" w:ascii="宋体" w:hAnsi="宋体" w:cs="宋体"/>
          <w:color w:val="auto"/>
          <w:sz w:val="24"/>
          <w:highlight w:val="none"/>
        </w:rPr>
        <w:t>（2）课程目的</w:t>
      </w:r>
    </w:p>
    <w:p w14:paraId="081F8861">
      <w:p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wordWrap w:val="0"/>
        <w:autoSpaceDE w:val="0"/>
        <w:autoSpaceDN w:val="0"/>
        <w:adjustRightInd w:val="0"/>
        <w:spacing w:line="360" w:lineRule="auto"/>
        <w:ind w:left="1069" w:hanging="420"/>
        <w:rPr>
          <w:rFonts w:ascii="宋体" w:hAnsi="宋体" w:cs="宋体"/>
          <w:color w:val="auto"/>
          <w:sz w:val="24"/>
          <w:highlight w:val="none"/>
        </w:rPr>
      </w:pPr>
      <w:r>
        <w:rPr>
          <w:rFonts w:hint="eastAsia" w:ascii="宋体" w:hAnsi="宋体" w:cs="宋体"/>
          <w:color w:val="auto"/>
          <w:sz w:val="24"/>
          <w:highlight w:val="none"/>
        </w:rPr>
        <w:t>（3）教学方式</w:t>
      </w:r>
    </w:p>
    <w:p w14:paraId="764A7C72">
      <w:p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wordWrap w:val="0"/>
        <w:autoSpaceDE w:val="0"/>
        <w:autoSpaceDN w:val="0"/>
        <w:adjustRightInd w:val="0"/>
        <w:spacing w:line="360" w:lineRule="auto"/>
        <w:ind w:left="1069" w:hanging="420"/>
        <w:rPr>
          <w:rFonts w:ascii="宋体" w:hAnsi="宋体" w:cs="宋体"/>
          <w:color w:val="auto"/>
          <w:sz w:val="24"/>
          <w:highlight w:val="none"/>
        </w:rPr>
      </w:pPr>
      <w:r>
        <w:rPr>
          <w:rFonts w:hint="eastAsia" w:ascii="宋体" w:hAnsi="宋体" w:cs="宋体"/>
          <w:color w:val="auto"/>
          <w:sz w:val="24"/>
          <w:highlight w:val="none"/>
        </w:rPr>
        <w:t>（4）先决条件</w:t>
      </w:r>
    </w:p>
    <w:p w14:paraId="24469032">
      <w:p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wordWrap w:val="0"/>
        <w:autoSpaceDE w:val="0"/>
        <w:autoSpaceDN w:val="0"/>
        <w:adjustRightInd w:val="0"/>
        <w:spacing w:line="360" w:lineRule="auto"/>
        <w:ind w:left="1069" w:hanging="420"/>
        <w:rPr>
          <w:rFonts w:ascii="宋体" w:hAnsi="宋体" w:cs="宋体"/>
          <w:color w:val="auto"/>
          <w:sz w:val="24"/>
          <w:highlight w:val="none"/>
        </w:rPr>
      </w:pPr>
      <w:r>
        <w:rPr>
          <w:rFonts w:hint="eastAsia" w:ascii="宋体" w:hAnsi="宋体" w:cs="宋体"/>
          <w:color w:val="auto"/>
          <w:sz w:val="24"/>
          <w:highlight w:val="none"/>
        </w:rPr>
        <w:t>（5）教材目录</w:t>
      </w:r>
    </w:p>
    <w:p w14:paraId="2C0F317B">
      <w:pPr>
        <w:wordWrap w:val="0"/>
        <w:autoSpaceDE w:val="0"/>
        <w:autoSpaceDN w:val="0"/>
        <w:spacing w:line="360" w:lineRule="auto"/>
        <w:rPr>
          <w:rFonts w:ascii="宋体" w:hAnsi="宋体" w:cs="宋体"/>
          <w:color w:val="auto"/>
          <w:sz w:val="24"/>
          <w:highlight w:val="none"/>
        </w:rPr>
      </w:pPr>
      <w:r>
        <w:rPr>
          <w:rFonts w:hint="eastAsia" w:ascii="宋体" w:hAnsi="宋体" w:cs="宋体"/>
          <w:color w:val="auto"/>
          <w:sz w:val="24"/>
          <w:highlight w:val="none"/>
        </w:rPr>
        <w:t>B  按照附表A提供授课教师的简历</w:t>
      </w:r>
    </w:p>
    <w:p w14:paraId="46E088F4">
      <w:pPr>
        <w:wordWrap w:val="0"/>
        <w:autoSpaceDE w:val="0"/>
        <w:autoSpaceDN w:val="0"/>
        <w:spacing w:line="360" w:lineRule="auto"/>
        <w:rPr>
          <w:rFonts w:ascii="宋体" w:hAnsi="宋体" w:cs="宋体"/>
          <w:b/>
          <w:color w:val="auto"/>
          <w:sz w:val="24"/>
          <w:highlight w:val="none"/>
        </w:rPr>
      </w:pPr>
      <w:r>
        <w:rPr>
          <w:rFonts w:hint="eastAsia" w:ascii="宋体" w:hAnsi="宋体" w:cs="宋体"/>
          <w:b/>
          <w:color w:val="auto"/>
          <w:sz w:val="24"/>
          <w:highlight w:val="none"/>
        </w:rPr>
        <w:t>注：须随表提交相应的证书复印件并注明所在投标技术文件页码。</w:t>
      </w:r>
    </w:p>
    <w:p w14:paraId="54ECA1F7">
      <w:pPr>
        <w:wordWrap w:val="0"/>
        <w:autoSpaceDE w:val="0"/>
        <w:autoSpaceDN w:val="0"/>
        <w:spacing w:line="360" w:lineRule="auto"/>
        <w:ind w:firstLine="4800" w:firstLineChars="2000"/>
        <w:rPr>
          <w:rFonts w:ascii="宋体" w:hAnsi="宋体" w:cs="宋体"/>
          <w:color w:val="auto"/>
          <w:sz w:val="24"/>
          <w:highlight w:val="none"/>
        </w:rPr>
      </w:pPr>
      <w:r>
        <w:rPr>
          <w:rFonts w:hint="eastAsia" w:ascii="宋体" w:hAnsi="宋体" w:cs="宋体"/>
          <w:color w:val="auto"/>
          <w:kern w:val="0"/>
          <w:sz w:val="24"/>
          <w:highlight w:val="none"/>
        </w:rPr>
        <w:t>投标人名称（</w:t>
      </w:r>
      <w:r>
        <w:rPr>
          <w:rFonts w:hint="eastAsia" w:ascii="宋体" w:hAnsi="宋体" w:cs="宋体"/>
          <w:color w:val="auto"/>
          <w:kern w:val="0"/>
          <w:sz w:val="24"/>
          <w:highlight w:val="none"/>
          <w:lang w:val="zh-CN"/>
        </w:rPr>
        <w:t>电子签章</w:t>
      </w:r>
      <w:r>
        <w:rPr>
          <w:rFonts w:hint="eastAsia" w:ascii="宋体" w:hAnsi="宋体" w:cs="宋体"/>
          <w:color w:val="auto"/>
          <w:kern w:val="0"/>
          <w:sz w:val="24"/>
          <w:highlight w:val="none"/>
        </w:rPr>
        <w:t xml:space="preserve">）：                       </w:t>
      </w:r>
    </w:p>
    <w:p w14:paraId="240A9912">
      <w:pPr>
        <w:wordWrap w:val="0"/>
        <w:autoSpaceDE w:val="0"/>
        <w:autoSpaceDN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日期：  年  月   日</w:t>
      </w:r>
    </w:p>
    <w:p w14:paraId="237A5AAF">
      <w:pPr>
        <w:wordWrap w:val="0"/>
        <w:autoSpaceDE w:val="0"/>
        <w:autoSpaceDN w:val="0"/>
        <w:spacing w:line="360" w:lineRule="auto"/>
        <w:ind w:firstLine="120"/>
        <w:rPr>
          <w:rFonts w:ascii="宋体" w:hAnsi="宋体" w:cs="宋体"/>
          <w:color w:val="auto"/>
          <w:sz w:val="24"/>
          <w:highlight w:val="none"/>
        </w:rPr>
      </w:pPr>
    </w:p>
    <w:p w14:paraId="6AD9E03F">
      <w:pPr>
        <w:wordWrap w:val="0"/>
        <w:spacing w:line="360" w:lineRule="auto"/>
        <w:jc w:val="left"/>
        <w:rPr>
          <w:rFonts w:ascii="宋体" w:hAnsi="宋体" w:cs="宋体"/>
          <w:b/>
          <w:color w:val="auto"/>
          <w:sz w:val="30"/>
          <w:szCs w:val="30"/>
          <w:highlight w:val="none"/>
        </w:rPr>
      </w:pPr>
      <w:r>
        <w:rPr>
          <w:rFonts w:hint="eastAsia" w:ascii="宋体" w:hAnsi="宋体" w:cs="宋体"/>
          <w:b/>
          <w:color w:val="auto"/>
          <w:sz w:val="30"/>
          <w:szCs w:val="30"/>
          <w:highlight w:val="none"/>
        </w:rPr>
        <w:t>九、认为需要的其他技术文件或说明</w:t>
      </w:r>
    </w:p>
    <w:p w14:paraId="689A382C">
      <w:pPr>
        <w:wordWrap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（由投标人根据采购需求自行编制）</w:t>
      </w:r>
    </w:p>
    <w:p w14:paraId="08E9D37F">
      <w:pPr>
        <w:wordWrap w:val="0"/>
        <w:spacing w:line="360" w:lineRule="auto"/>
        <w:jc w:val="center"/>
        <w:rPr>
          <w:rFonts w:ascii="宋体" w:hAnsi="宋体" w:cs="宋体"/>
          <w:color w:val="auto"/>
          <w:sz w:val="24"/>
          <w:highlight w:val="none"/>
        </w:rPr>
      </w:pPr>
    </w:p>
    <w:p w14:paraId="673ED776">
      <w:pPr>
        <w:wordWrap w:val="0"/>
        <w:autoSpaceDE w:val="0"/>
        <w:autoSpaceDN w:val="0"/>
        <w:spacing w:line="360" w:lineRule="auto"/>
        <w:ind w:firstLine="4800" w:firstLineChars="2000"/>
        <w:rPr>
          <w:rFonts w:ascii="宋体" w:hAnsi="宋体" w:cs="宋体"/>
          <w:color w:val="auto"/>
          <w:sz w:val="24"/>
          <w:highlight w:val="none"/>
        </w:rPr>
      </w:pPr>
      <w:r>
        <w:rPr>
          <w:rFonts w:hint="eastAsia" w:ascii="宋体" w:hAnsi="宋体" w:cs="宋体"/>
          <w:color w:val="auto"/>
          <w:kern w:val="0"/>
          <w:sz w:val="24"/>
          <w:highlight w:val="none"/>
        </w:rPr>
        <w:t>投标人名称（电子</w:t>
      </w:r>
      <w:r>
        <w:rPr>
          <w:rFonts w:hint="eastAsia" w:ascii="宋体" w:hAnsi="宋体" w:cs="宋体"/>
          <w:color w:val="auto"/>
          <w:kern w:val="0"/>
          <w:sz w:val="24"/>
          <w:highlight w:val="none"/>
          <w:lang w:val="zh-CN"/>
        </w:rPr>
        <w:t>签章</w:t>
      </w:r>
      <w:r>
        <w:rPr>
          <w:rFonts w:hint="eastAsia" w:ascii="宋体" w:hAnsi="宋体" w:cs="宋体"/>
          <w:color w:val="auto"/>
          <w:kern w:val="0"/>
          <w:sz w:val="24"/>
          <w:highlight w:val="none"/>
        </w:rPr>
        <w:t xml:space="preserve">）：                       </w:t>
      </w:r>
    </w:p>
    <w:p w14:paraId="2D4F8689">
      <w:pPr>
        <w:wordWrap w:val="0"/>
        <w:autoSpaceDE w:val="0"/>
        <w:autoSpaceDN w:val="0"/>
        <w:spacing w:line="360" w:lineRule="auto"/>
        <w:rPr>
          <w:rFonts w:ascii="宋体" w:hAnsi="宋体" w:cs="宋体"/>
          <w:b/>
          <w:bCs/>
          <w:color w:val="auto"/>
          <w:sz w:val="30"/>
          <w:szCs w:val="30"/>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日期：  年  月   日</w:t>
      </w:r>
    </w:p>
    <w:p w14:paraId="3E9C3C4C">
      <w:pPr>
        <w:widowControl/>
        <w:wordWrap w:val="0"/>
        <w:spacing w:line="360" w:lineRule="auto"/>
        <w:jc w:val="left"/>
        <w:rPr>
          <w:rFonts w:ascii="宋体" w:hAnsi="宋体" w:cs="宋体"/>
          <w:b/>
          <w:bCs/>
          <w:color w:val="auto"/>
          <w:sz w:val="24"/>
          <w:highlight w:val="none"/>
        </w:rPr>
        <w:sectPr>
          <w:pgSz w:w="11906" w:h="16838"/>
          <w:pgMar w:top="1440" w:right="1080" w:bottom="1440" w:left="1080" w:header="720" w:footer="720" w:gutter="0"/>
          <w:pgNumType w:fmt="decimal"/>
          <w:cols w:space="720" w:num="1"/>
          <w:docGrid w:type="lines" w:linePitch="331" w:charSpace="0"/>
        </w:sectPr>
      </w:pPr>
    </w:p>
    <w:p w14:paraId="3DC5EED5">
      <w:pPr>
        <w:pStyle w:val="12"/>
        <w:wordWrap w:val="0"/>
        <w:spacing w:line="360" w:lineRule="auto"/>
        <w:jc w:val="center"/>
        <w:outlineLvl w:val="1"/>
        <w:rPr>
          <w:rFonts w:hAnsi="宋体" w:cs="宋体"/>
          <w:b/>
          <w:bCs/>
          <w:color w:val="auto"/>
          <w:sz w:val="28"/>
          <w:szCs w:val="28"/>
          <w:highlight w:val="none"/>
        </w:rPr>
      </w:pPr>
      <w:bookmarkStart w:id="290" w:name="_Toc24408"/>
      <w:r>
        <w:rPr>
          <w:rFonts w:hint="eastAsia" w:hAnsi="宋体" w:cs="宋体"/>
          <w:b/>
          <w:bCs/>
          <w:color w:val="auto"/>
          <w:sz w:val="28"/>
          <w:szCs w:val="28"/>
          <w:highlight w:val="none"/>
        </w:rPr>
        <w:t>第五节 报价文件格式</w:t>
      </w:r>
      <w:bookmarkEnd w:id="290"/>
    </w:p>
    <w:p w14:paraId="2FEAA016">
      <w:pPr>
        <w:wordWrap w:val="0"/>
        <w:snapToGrid w:val="0"/>
        <w:spacing w:line="360" w:lineRule="auto"/>
        <w:rPr>
          <w:rFonts w:ascii="宋体" w:hAnsi="宋体" w:cs="宋体"/>
          <w:bCs/>
          <w:color w:val="auto"/>
          <w:sz w:val="32"/>
          <w:szCs w:val="20"/>
          <w:highlight w:val="none"/>
        </w:rPr>
      </w:pPr>
      <w:r>
        <w:rPr>
          <w:rFonts w:hint="eastAsia" w:ascii="宋体" w:hAnsi="宋体" w:cs="宋体"/>
          <w:color w:val="auto"/>
          <w:sz w:val="24"/>
          <w:highlight w:val="none"/>
        </w:rPr>
        <w:t xml:space="preserve">                                                            </w:t>
      </w:r>
      <w:r>
        <w:rPr>
          <w:rFonts w:hint="eastAsia" w:ascii="宋体" w:hAnsi="宋体" w:cs="宋体"/>
          <w:bCs/>
          <w:color w:val="auto"/>
          <w:highlight w:val="none"/>
        </w:rPr>
        <w:t>电子投标文件</w:t>
      </w:r>
    </w:p>
    <w:p w14:paraId="298FDEFE">
      <w:pPr>
        <w:wordWrap w:val="0"/>
        <w:snapToGrid w:val="0"/>
        <w:spacing w:line="360" w:lineRule="auto"/>
        <w:jc w:val="center"/>
        <w:rPr>
          <w:rFonts w:ascii="宋体" w:hAnsi="宋体" w:cs="宋体"/>
          <w:bCs/>
          <w:color w:val="auto"/>
          <w:sz w:val="24"/>
          <w:szCs w:val="20"/>
          <w:highlight w:val="none"/>
        </w:rPr>
      </w:pPr>
    </w:p>
    <w:p w14:paraId="671A41ED">
      <w:pPr>
        <w:wordWrap w:val="0"/>
        <w:snapToGrid w:val="0"/>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报价文件（封面）</w:t>
      </w:r>
    </w:p>
    <w:p w14:paraId="350F5E11">
      <w:pPr>
        <w:wordWrap w:val="0"/>
        <w:snapToGrid w:val="0"/>
        <w:spacing w:line="360" w:lineRule="auto"/>
        <w:rPr>
          <w:rFonts w:ascii="宋体" w:hAnsi="宋体" w:cs="宋体"/>
          <w:bCs/>
          <w:color w:val="auto"/>
          <w:sz w:val="24"/>
          <w:szCs w:val="20"/>
          <w:highlight w:val="none"/>
        </w:rPr>
      </w:pPr>
    </w:p>
    <w:p w14:paraId="47D53751">
      <w:pPr>
        <w:wordWrap w:val="0"/>
        <w:snapToGrid w:val="0"/>
        <w:spacing w:line="360" w:lineRule="auto"/>
        <w:rPr>
          <w:rFonts w:ascii="宋体" w:hAnsi="宋体" w:cs="宋体"/>
          <w:bCs/>
          <w:color w:val="auto"/>
          <w:sz w:val="24"/>
          <w:szCs w:val="20"/>
          <w:highlight w:val="none"/>
        </w:rPr>
      </w:pPr>
    </w:p>
    <w:p w14:paraId="4B1BE263">
      <w:pPr>
        <w:wordWrap w:val="0"/>
        <w:snapToGrid w:val="0"/>
        <w:spacing w:line="360" w:lineRule="auto"/>
        <w:rPr>
          <w:rFonts w:ascii="宋体" w:hAnsi="宋体" w:cs="宋体"/>
          <w:bCs/>
          <w:color w:val="auto"/>
          <w:sz w:val="24"/>
          <w:szCs w:val="20"/>
          <w:highlight w:val="none"/>
        </w:rPr>
      </w:pPr>
    </w:p>
    <w:p w14:paraId="5AF9CF4B">
      <w:pPr>
        <w:wordWrap w:val="0"/>
        <w:snapToGrid w:val="0"/>
        <w:spacing w:line="360" w:lineRule="auto"/>
        <w:rPr>
          <w:rFonts w:ascii="宋体" w:hAnsi="宋体" w:cs="宋体"/>
          <w:bCs/>
          <w:color w:val="auto"/>
          <w:sz w:val="24"/>
          <w:szCs w:val="20"/>
          <w:highlight w:val="none"/>
        </w:rPr>
      </w:pPr>
    </w:p>
    <w:p w14:paraId="769502B3">
      <w:pPr>
        <w:wordWrap w:val="0"/>
        <w:snapToGrid w:val="0"/>
        <w:spacing w:line="360" w:lineRule="auto"/>
        <w:ind w:firstLine="360" w:firstLineChars="150"/>
        <w:rPr>
          <w:rFonts w:ascii="宋体" w:hAnsi="宋体" w:cs="宋体"/>
          <w:bCs/>
          <w:color w:val="auto"/>
          <w:sz w:val="24"/>
          <w:highlight w:val="none"/>
        </w:rPr>
      </w:pPr>
      <w:r>
        <w:rPr>
          <w:rFonts w:hint="eastAsia" w:ascii="宋体" w:hAnsi="宋体" w:cs="宋体"/>
          <w:bCs/>
          <w:color w:val="auto"/>
          <w:sz w:val="24"/>
          <w:highlight w:val="none"/>
        </w:rPr>
        <w:t xml:space="preserve">项目名称：  </w:t>
      </w:r>
    </w:p>
    <w:p w14:paraId="0FA02FFC">
      <w:pPr>
        <w:wordWrap w:val="0"/>
        <w:snapToGrid w:val="0"/>
        <w:spacing w:line="360" w:lineRule="auto"/>
        <w:ind w:firstLine="360" w:firstLineChars="150"/>
        <w:rPr>
          <w:rFonts w:ascii="宋体" w:hAnsi="宋体" w:cs="宋体"/>
          <w:bCs/>
          <w:color w:val="auto"/>
          <w:sz w:val="24"/>
          <w:highlight w:val="none"/>
        </w:rPr>
      </w:pPr>
    </w:p>
    <w:p w14:paraId="46210A4D">
      <w:pPr>
        <w:wordWrap w:val="0"/>
        <w:snapToGrid w:val="0"/>
        <w:spacing w:line="360" w:lineRule="auto"/>
        <w:ind w:firstLine="360" w:firstLineChars="150"/>
        <w:rPr>
          <w:rFonts w:ascii="宋体" w:hAnsi="宋体" w:cs="宋体"/>
          <w:bCs/>
          <w:color w:val="auto"/>
          <w:sz w:val="24"/>
          <w:highlight w:val="none"/>
        </w:rPr>
      </w:pPr>
      <w:r>
        <w:rPr>
          <w:rFonts w:hint="eastAsia" w:ascii="宋体" w:hAnsi="宋体" w:cs="宋体"/>
          <w:bCs/>
          <w:color w:val="auto"/>
          <w:sz w:val="24"/>
          <w:highlight w:val="none"/>
        </w:rPr>
        <w:t xml:space="preserve">项目编号： </w:t>
      </w:r>
      <w:r>
        <w:rPr>
          <w:rFonts w:hint="eastAsia" w:ascii="宋体" w:hAnsi="宋体" w:cs="宋体"/>
          <w:color w:val="auto"/>
          <w:sz w:val="24"/>
          <w:highlight w:val="none"/>
        </w:rPr>
        <w:t xml:space="preserve"> </w:t>
      </w:r>
    </w:p>
    <w:p w14:paraId="06FF1479">
      <w:pPr>
        <w:wordWrap w:val="0"/>
        <w:snapToGrid w:val="0"/>
        <w:spacing w:line="360" w:lineRule="auto"/>
        <w:ind w:firstLine="360" w:firstLineChars="150"/>
        <w:rPr>
          <w:rFonts w:ascii="宋体" w:hAnsi="宋体" w:cs="宋体"/>
          <w:bCs/>
          <w:color w:val="auto"/>
          <w:sz w:val="24"/>
          <w:highlight w:val="none"/>
        </w:rPr>
      </w:pPr>
    </w:p>
    <w:p w14:paraId="17643A8A">
      <w:pPr>
        <w:wordWrap w:val="0"/>
        <w:snapToGrid w:val="0"/>
        <w:spacing w:line="360" w:lineRule="auto"/>
        <w:ind w:firstLine="360" w:firstLineChars="150"/>
        <w:rPr>
          <w:rFonts w:ascii="宋体" w:hAnsi="宋体" w:cs="宋体"/>
          <w:bCs/>
          <w:color w:val="auto"/>
          <w:sz w:val="24"/>
          <w:highlight w:val="none"/>
        </w:rPr>
      </w:pPr>
      <w:r>
        <w:rPr>
          <w:rFonts w:hint="eastAsia" w:ascii="宋体" w:hAnsi="宋体" w:cs="宋体"/>
          <w:bCs/>
          <w:color w:val="auto"/>
          <w:sz w:val="24"/>
          <w:highlight w:val="none"/>
        </w:rPr>
        <w:t>所投分标：</w:t>
      </w:r>
    </w:p>
    <w:p w14:paraId="7DE92E0D">
      <w:pPr>
        <w:wordWrap w:val="0"/>
        <w:snapToGrid w:val="0"/>
        <w:spacing w:line="360" w:lineRule="auto"/>
        <w:ind w:firstLine="360" w:firstLineChars="150"/>
        <w:rPr>
          <w:rFonts w:ascii="宋体" w:hAnsi="宋体" w:cs="宋体"/>
          <w:bCs/>
          <w:color w:val="auto"/>
          <w:sz w:val="24"/>
          <w:highlight w:val="none"/>
        </w:rPr>
      </w:pPr>
    </w:p>
    <w:p w14:paraId="140EB4C4">
      <w:pPr>
        <w:wordWrap w:val="0"/>
        <w:snapToGrid w:val="0"/>
        <w:spacing w:line="360" w:lineRule="auto"/>
        <w:ind w:firstLine="360" w:firstLineChars="150"/>
        <w:rPr>
          <w:rFonts w:ascii="宋体" w:hAnsi="宋体" w:cs="宋体"/>
          <w:bCs/>
          <w:color w:val="auto"/>
          <w:sz w:val="24"/>
          <w:highlight w:val="none"/>
        </w:rPr>
      </w:pPr>
      <w:r>
        <w:rPr>
          <w:rFonts w:hint="eastAsia" w:ascii="宋体" w:hAnsi="宋体" w:cs="宋体"/>
          <w:bCs/>
          <w:color w:val="auto"/>
          <w:sz w:val="24"/>
          <w:highlight w:val="none"/>
        </w:rPr>
        <w:t>投标人名称：</w:t>
      </w:r>
    </w:p>
    <w:p w14:paraId="4C224FC2">
      <w:pPr>
        <w:wordWrap w:val="0"/>
        <w:snapToGrid w:val="0"/>
        <w:spacing w:line="360" w:lineRule="auto"/>
        <w:ind w:firstLine="360" w:firstLineChars="150"/>
        <w:rPr>
          <w:rFonts w:ascii="宋体" w:hAnsi="宋体" w:cs="宋体"/>
          <w:bCs/>
          <w:color w:val="auto"/>
          <w:sz w:val="24"/>
          <w:highlight w:val="none"/>
        </w:rPr>
      </w:pPr>
    </w:p>
    <w:p w14:paraId="6E3800A4">
      <w:pPr>
        <w:wordWrap w:val="0"/>
        <w:snapToGrid w:val="0"/>
        <w:spacing w:line="360" w:lineRule="auto"/>
        <w:ind w:firstLine="360" w:firstLineChars="150"/>
        <w:rPr>
          <w:rFonts w:ascii="宋体" w:hAnsi="宋体" w:cs="宋体"/>
          <w:bCs/>
          <w:color w:val="auto"/>
          <w:sz w:val="24"/>
          <w:highlight w:val="none"/>
        </w:rPr>
      </w:pPr>
      <w:r>
        <w:rPr>
          <w:rFonts w:hint="eastAsia" w:ascii="宋体" w:hAnsi="宋体" w:cs="宋体"/>
          <w:bCs/>
          <w:color w:val="auto"/>
          <w:sz w:val="24"/>
          <w:highlight w:val="none"/>
        </w:rPr>
        <w:t>投标人地址：</w:t>
      </w:r>
    </w:p>
    <w:p w14:paraId="13E94525">
      <w:pPr>
        <w:pStyle w:val="7"/>
        <w:wordWrap w:val="0"/>
        <w:snapToGrid w:val="0"/>
        <w:spacing w:line="360" w:lineRule="auto"/>
        <w:ind w:firstLine="960" w:firstLineChars="400"/>
        <w:rPr>
          <w:rFonts w:ascii="宋体" w:hAnsi="宋体" w:cs="宋体"/>
          <w:bCs/>
          <w:color w:val="auto"/>
          <w:sz w:val="24"/>
          <w:szCs w:val="24"/>
          <w:highlight w:val="none"/>
        </w:rPr>
      </w:pPr>
    </w:p>
    <w:p w14:paraId="3B561780">
      <w:pPr>
        <w:wordWrap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                                                       年  月  日</w:t>
      </w:r>
    </w:p>
    <w:p w14:paraId="0E13F431">
      <w:pPr>
        <w:widowControl/>
        <w:wordWrap w:val="0"/>
        <w:spacing w:line="360" w:lineRule="auto"/>
        <w:jc w:val="left"/>
        <w:rPr>
          <w:rFonts w:ascii="宋体" w:hAnsi="宋体" w:cs="宋体"/>
          <w:color w:val="auto"/>
          <w:sz w:val="24"/>
          <w:highlight w:val="none"/>
        </w:rPr>
        <w:sectPr>
          <w:pgSz w:w="11906" w:h="16838"/>
          <w:pgMar w:top="1440" w:right="1080" w:bottom="1440" w:left="1080" w:header="720" w:footer="720" w:gutter="0"/>
          <w:pgNumType w:fmt="decimal"/>
          <w:cols w:space="720" w:num="1"/>
          <w:docGrid w:type="lines" w:linePitch="331" w:charSpace="0"/>
        </w:sectPr>
      </w:pPr>
    </w:p>
    <w:p w14:paraId="5DCDD1DD">
      <w:pPr>
        <w:wordWrap w:val="0"/>
        <w:spacing w:line="360" w:lineRule="auto"/>
        <w:rPr>
          <w:rFonts w:ascii="宋体" w:hAnsi="宋体" w:cs="宋体"/>
          <w:color w:val="auto"/>
          <w:highlight w:val="none"/>
        </w:rPr>
      </w:pPr>
    </w:p>
    <w:p w14:paraId="770A6AD4">
      <w:pPr>
        <w:wordWrap w:val="0"/>
        <w:snapToGrid w:val="0"/>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报价文件目录</w:t>
      </w:r>
    </w:p>
    <w:p w14:paraId="05C3C341">
      <w:pPr>
        <w:wordWrap w:val="0"/>
        <w:spacing w:line="360" w:lineRule="auto"/>
        <w:rPr>
          <w:rFonts w:ascii="宋体" w:hAnsi="宋体" w:cs="宋体"/>
          <w:color w:val="auto"/>
          <w:highlight w:val="none"/>
        </w:rPr>
      </w:pPr>
    </w:p>
    <w:p w14:paraId="2016A2C9">
      <w:pPr>
        <w:wordWrap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一、投标函…………………………………………………………………………（页码）</w:t>
      </w:r>
    </w:p>
    <w:p w14:paraId="7B8795FE">
      <w:pPr>
        <w:wordWrap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二、开标一览表……………………………………………………………………（页码）</w:t>
      </w:r>
    </w:p>
    <w:p w14:paraId="66E91C7A">
      <w:pPr>
        <w:wordWrap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三、中小企业声明函</w:t>
      </w:r>
      <w:r>
        <w:rPr>
          <w:rFonts w:hint="eastAsia" w:ascii="宋体" w:hAnsi="宋体" w:eastAsia="宋体" w:cs="宋体"/>
          <w:color w:val="auto"/>
          <w:kern w:val="0"/>
          <w:sz w:val="24"/>
          <w:highlight w:val="none"/>
          <w:lang w:val="en-US" w:eastAsia="zh-CN"/>
        </w:rPr>
        <w:t>或</w:t>
      </w:r>
      <w:r>
        <w:rPr>
          <w:rFonts w:hint="eastAsia" w:ascii="宋体" w:hAnsi="宋体" w:eastAsia="宋体" w:cs="宋体"/>
          <w:color w:val="auto"/>
          <w:kern w:val="0"/>
          <w:sz w:val="24"/>
          <w:highlight w:val="none"/>
        </w:rPr>
        <w:t>残疾人福利性单位声明函</w:t>
      </w:r>
      <w:r>
        <w:rPr>
          <w:rFonts w:hint="eastAsia" w:ascii="宋体" w:hAnsi="宋体" w:eastAsia="宋体" w:cs="宋体"/>
          <w:color w:val="auto"/>
          <w:kern w:val="0"/>
          <w:sz w:val="24"/>
          <w:highlight w:val="none"/>
          <w:lang w:val="en-US" w:eastAsia="zh-CN"/>
        </w:rPr>
        <w:t>或</w:t>
      </w:r>
      <w:r>
        <w:rPr>
          <w:rFonts w:hint="eastAsia" w:ascii="宋体" w:hAnsi="宋体" w:eastAsia="宋体" w:cs="宋体"/>
          <w:color w:val="auto"/>
          <w:kern w:val="0"/>
          <w:sz w:val="24"/>
          <w:highlight w:val="none"/>
        </w:rPr>
        <w:t>监狱企业声明函等………（页码）</w:t>
      </w:r>
    </w:p>
    <w:p w14:paraId="5121F128">
      <w:pPr>
        <w:wordWrap w:val="0"/>
        <w:spacing w:line="360" w:lineRule="auto"/>
        <w:rPr>
          <w:rFonts w:hint="eastAsia" w:ascii="宋体" w:hAnsi="宋体" w:eastAsia="宋体" w:cs="宋体"/>
          <w:color w:val="auto"/>
          <w:kern w:val="0"/>
          <w:sz w:val="24"/>
          <w:highlight w:val="none"/>
        </w:rPr>
        <w:sectPr>
          <w:pgSz w:w="11906" w:h="16838"/>
          <w:pgMar w:top="1440" w:right="1080" w:bottom="1440" w:left="1080" w:header="720" w:footer="720" w:gutter="0"/>
          <w:pgNumType w:fmt="decimal"/>
          <w:cols w:space="720" w:num="1"/>
          <w:docGrid w:type="lines" w:linePitch="331" w:charSpace="0"/>
        </w:sectPr>
      </w:pPr>
      <w:r>
        <w:rPr>
          <w:rFonts w:hint="eastAsia" w:ascii="宋体" w:hAnsi="宋体" w:eastAsia="宋体" w:cs="宋体"/>
          <w:color w:val="auto"/>
          <w:kern w:val="0"/>
          <w:sz w:val="24"/>
          <w:highlight w:val="none"/>
        </w:rPr>
        <w:t>四、投标人针对报价需要说明的其他文件和说明………………………………（页码）</w:t>
      </w:r>
    </w:p>
    <w:p w14:paraId="53CB185E">
      <w:pPr>
        <w:pStyle w:val="12"/>
        <w:wordWrap w:val="0"/>
        <w:spacing w:line="360" w:lineRule="auto"/>
        <w:jc w:val="center"/>
        <w:rPr>
          <w:rFonts w:hAnsi="宋体" w:cs="宋体"/>
          <w:b/>
          <w:bCs/>
          <w:color w:val="auto"/>
          <w:sz w:val="30"/>
          <w:szCs w:val="30"/>
          <w:highlight w:val="none"/>
        </w:rPr>
      </w:pPr>
      <w:r>
        <w:rPr>
          <w:rFonts w:hint="eastAsia" w:hAnsi="宋体" w:cs="宋体"/>
          <w:b/>
          <w:bCs/>
          <w:color w:val="auto"/>
          <w:sz w:val="30"/>
          <w:szCs w:val="30"/>
          <w:highlight w:val="none"/>
        </w:rPr>
        <w:t>一、投标函</w:t>
      </w:r>
    </w:p>
    <w:p w14:paraId="532E0AEB">
      <w:pPr>
        <w:pStyle w:val="12"/>
        <w:wordWrap w:val="0"/>
        <w:spacing w:line="360" w:lineRule="auto"/>
        <w:ind w:firstLine="420" w:firstLineChars="200"/>
        <w:rPr>
          <w:rFonts w:hAnsi="宋体" w:cs="宋体"/>
          <w:color w:val="auto"/>
          <w:highlight w:val="none"/>
        </w:rPr>
      </w:pPr>
      <w:r>
        <w:rPr>
          <w:rFonts w:hint="eastAsia" w:hAnsi="宋体" w:cs="宋体"/>
          <w:color w:val="auto"/>
          <w:highlight w:val="none"/>
        </w:rPr>
        <w:t>致：</w:t>
      </w:r>
      <w:bookmarkStart w:id="291" w:name="PO_3000001866_PM031_4"/>
      <w:r>
        <w:rPr>
          <w:rFonts w:hint="eastAsia" w:hAnsi="宋体" w:cs="宋体"/>
          <w:color w:val="auto"/>
          <w:highlight w:val="none"/>
          <w:u w:val="single"/>
        </w:rPr>
        <w:t>广西邕政采购代理有限公司</w:t>
      </w:r>
      <w:bookmarkEnd w:id="291"/>
    </w:p>
    <w:p w14:paraId="10278EEF">
      <w:pPr>
        <w:pStyle w:val="12"/>
        <w:wordWrap w:val="0"/>
        <w:spacing w:line="360" w:lineRule="auto"/>
        <w:ind w:firstLine="420" w:firstLineChars="200"/>
        <w:rPr>
          <w:rFonts w:hAnsi="宋体" w:cs="宋体"/>
          <w:color w:val="auto"/>
          <w:highlight w:val="none"/>
        </w:rPr>
      </w:pPr>
      <w:r>
        <w:rPr>
          <w:rFonts w:hint="eastAsia" w:hAnsi="宋体" w:cs="宋体"/>
          <w:color w:val="auto"/>
          <w:highlight w:val="none"/>
        </w:rPr>
        <w:t>我方已仔细阅读了贵方组织的</w:t>
      </w:r>
      <w:r>
        <w:rPr>
          <w:rFonts w:hint="eastAsia" w:hAnsi="宋体" w:cs="宋体"/>
          <w:color w:val="auto"/>
          <w:szCs w:val="21"/>
          <w:highlight w:val="none"/>
          <w:u w:val="single"/>
        </w:rPr>
        <w:t xml:space="preserve">（项目名称） </w:t>
      </w:r>
      <w:r>
        <w:rPr>
          <w:rFonts w:hint="eastAsia" w:hAnsi="宋体" w:cs="宋体"/>
          <w:color w:val="auto"/>
          <w:highlight w:val="none"/>
          <w:u w:val="single"/>
        </w:rPr>
        <w:t xml:space="preserve"> </w:t>
      </w:r>
      <w:r>
        <w:rPr>
          <w:rFonts w:hint="eastAsia" w:hAnsi="宋体" w:cs="宋体"/>
          <w:color w:val="auto"/>
          <w:highlight w:val="none"/>
        </w:rPr>
        <w:t>项目（项目编号：</w:t>
      </w:r>
      <w:r>
        <w:rPr>
          <w:rFonts w:hint="eastAsia" w:hAnsi="宋体" w:cs="宋体"/>
          <w:color w:val="auto"/>
          <w:highlight w:val="none"/>
          <w:u w:val="single"/>
        </w:rPr>
        <w:t xml:space="preserve">         </w:t>
      </w:r>
      <w:r>
        <w:rPr>
          <w:rFonts w:hint="eastAsia" w:hAnsi="宋体" w:cs="宋体"/>
          <w:color w:val="auto"/>
          <w:highlight w:val="none"/>
        </w:rPr>
        <w:t>）的招标文件的全部内容，授权</w:t>
      </w:r>
      <w:r>
        <w:rPr>
          <w:rFonts w:hint="eastAsia" w:hAnsi="宋体" w:cs="宋体"/>
          <w:color w:val="auto"/>
          <w:highlight w:val="none"/>
          <w:u w:val="single"/>
        </w:rPr>
        <w:t xml:space="preserve">                      </w:t>
      </w:r>
      <w:r>
        <w:rPr>
          <w:rFonts w:hint="eastAsia" w:hAnsi="宋体" w:cs="宋体"/>
          <w:color w:val="auto"/>
          <w:highlight w:val="none"/>
        </w:rPr>
        <w:t>(全权代表姓名)</w:t>
      </w:r>
      <w:r>
        <w:rPr>
          <w:rFonts w:hint="eastAsia" w:hAnsi="宋体" w:cs="宋体"/>
          <w:color w:val="auto"/>
          <w:highlight w:val="none"/>
          <w:u w:val="single"/>
        </w:rPr>
        <w:t xml:space="preserve">          </w:t>
      </w:r>
      <w:r>
        <w:rPr>
          <w:rFonts w:hint="eastAsia" w:hAnsi="宋体" w:cs="宋体"/>
          <w:color w:val="auto"/>
          <w:highlight w:val="none"/>
        </w:rPr>
        <w:t xml:space="preserve"> (职务、职称)为全权代表，现正式递交下述文件参加贵方组织的本次政府采购活动： </w:t>
      </w:r>
    </w:p>
    <w:p w14:paraId="578432CB">
      <w:pPr>
        <w:pStyle w:val="12"/>
        <w:wordWrap w:val="0"/>
        <w:spacing w:line="360" w:lineRule="auto"/>
        <w:ind w:firstLine="420" w:firstLineChars="200"/>
        <w:rPr>
          <w:rFonts w:hAnsi="宋体" w:cs="宋体"/>
          <w:color w:val="auto"/>
          <w:highlight w:val="none"/>
        </w:rPr>
      </w:pPr>
      <w:r>
        <w:rPr>
          <w:rFonts w:hint="eastAsia" w:hAnsi="宋体" w:cs="宋体"/>
          <w:color w:val="auto"/>
          <w:highlight w:val="none"/>
        </w:rPr>
        <w:t>一、报价文件电子版一份（包含按投标人须知前附表要求提交的全部文件）；</w:t>
      </w:r>
    </w:p>
    <w:p w14:paraId="0420F517">
      <w:pPr>
        <w:pStyle w:val="12"/>
        <w:wordWrap w:val="0"/>
        <w:spacing w:line="360" w:lineRule="auto"/>
        <w:ind w:firstLine="420" w:firstLineChars="200"/>
        <w:rPr>
          <w:rFonts w:hAnsi="宋体" w:cs="宋体"/>
          <w:color w:val="auto"/>
          <w:highlight w:val="none"/>
        </w:rPr>
      </w:pPr>
      <w:r>
        <w:rPr>
          <w:rFonts w:hint="eastAsia" w:hAnsi="宋体" w:cs="宋体"/>
          <w:color w:val="auto"/>
          <w:highlight w:val="none"/>
        </w:rPr>
        <w:t>二、资格文件电子版一份（包含按投标人须知前附表要求提交的全部文件）；</w:t>
      </w:r>
    </w:p>
    <w:p w14:paraId="0B71579C">
      <w:pPr>
        <w:pStyle w:val="12"/>
        <w:wordWrap w:val="0"/>
        <w:spacing w:line="360" w:lineRule="auto"/>
        <w:ind w:firstLine="420" w:firstLineChars="200"/>
        <w:rPr>
          <w:rFonts w:hAnsi="宋体" w:cs="宋体"/>
          <w:color w:val="auto"/>
          <w:highlight w:val="none"/>
        </w:rPr>
      </w:pPr>
      <w:r>
        <w:rPr>
          <w:rFonts w:hint="eastAsia" w:hAnsi="宋体" w:cs="宋体"/>
          <w:color w:val="auto"/>
          <w:highlight w:val="none"/>
        </w:rPr>
        <w:t>三、商务文件和技术文件按顺序合并生成电子版一份（包含按投标人须知前附表要求提交的全部文件）；</w:t>
      </w:r>
    </w:p>
    <w:p w14:paraId="32F39C58">
      <w:pPr>
        <w:pStyle w:val="12"/>
        <w:wordWrap w:val="0"/>
        <w:spacing w:line="360" w:lineRule="auto"/>
        <w:ind w:firstLine="420" w:firstLineChars="200"/>
        <w:rPr>
          <w:rFonts w:hAnsi="宋体" w:cs="宋体"/>
          <w:color w:val="auto"/>
          <w:highlight w:val="none"/>
        </w:rPr>
      </w:pPr>
      <w:r>
        <w:rPr>
          <w:rFonts w:hint="eastAsia" w:hAnsi="宋体" w:cs="宋体"/>
          <w:color w:val="auto"/>
          <w:highlight w:val="none"/>
        </w:rPr>
        <w:t>据此函，签字人兹宣布：</w:t>
      </w:r>
    </w:p>
    <w:p w14:paraId="364115ED">
      <w:pPr>
        <w:pStyle w:val="12"/>
        <w:wordWrap w:val="0"/>
        <w:spacing w:line="360" w:lineRule="auto"/>
        <w:ind w:firstLine="420" w:firstLineChars="200"/>
        <w:rPr>
          <w:rFonts w:hAnsi="宋体" w:cs="宋体"/>
          <w:color w:val="auto"/>
          <w:highlight w:val="none"/>
        </w:rPr>
      </w:pPr>
      <w:r>
        <w:rPr>
          <w:rFonts w:hint="eastAsia" w:hAnsi="宋体" w:cs="宋体"/>
          <w:color w:val="auto"/>
          <w:highlight w:val="none"/>
        </w:rPr>
        <w:t>1.我方愿意以（大写）人民币</w:t>
      </w:r>
      <w:r>
        <w:rPr>
          <w:rFonts w:hint="eastAsia" w:hAnsi="宋体" w:cs="宋体"/>
          <w:color w:val="auto"/>
          <w:highlight w:val="none"/>
          <w:u w:val="single"/>
        </w:rPr>
        <w:t xml:space="preserve">              </w:t>
      </w:r>
      <w:r>
        <w:rPr>
          <w:rFonts w:hint="eastAsia" w:hAnsi="宋体" w:cs="宋体"/>
          <w:color w:val="auto"/>
          <w:highlight w:val="none"/>
        </w:rPr>
        <w:t>元 (¥</w:t>
      </w:r>
      <w:r>
        <w:rPr>
          <w:rFonts w:hint="eastAsia" w:hAnsi="宋体" w:cs="宋体"/>
          <w:color w:val="auto"/>
          <w:highlight w:val="none"/>
          <w:u w:val="single"/>
        </w:rPr>
        <w:t xml:space="preserve">          </w:t>
      </w:r>
      <w:r>
        <w:rPr>
          <w:rFonts w:hint="eastAsia" w:hAnsi="宋体" w:cs="宋体"/>
          <w:color w:val="auto"/>
          <w:highlight w:val="none"/>
        </w:rPr>
        <w:t>)的投标总报价，服务时间（无分标时填写）：</w:t>
      </w:r>
      <w:r>
        <w:rPr>
          <w:rFonts w:hint="eastAsia" w:hAnsi="宋体" w:cs="宋体"/>
          <w:color w:val="auto"/>
          <w:highlight w:val="none"/>
          <w:u w:val="single"/>
        </w:rPr>
        <w:t xml:space="preserve">          </w:t>
      </w:r>
      <w:r>
        <w:rPr>
          <w:rFonts w:hint="eastAsia" w:hAnsi="宋体" w:cs="宋体"/>
          <w:color w:val="auto"/>
          <w:highlight w:val="none"/>
          <w:u w:val="single"/>
          <w:lang w:eastAsia="zh-CN"/>
        </w:rPr>
        <w:t>；</w:t>
      </w:r>
      <w:r>
        <w:rPr>
          <w:rFonts w:hint="eastAsia" w:hAnsi="宋体" w:cs="宋体"/>
          <w:color w:val="auto"/>
          <w:highlight w:val="none"/>
        </w:rPr>
        <w:t>提供本项目招标文件第二章“服务需求”中的相应的采购内容。</w:t>
      </w:r>
    </w:p>
    <w:p w14:paraId="5B970A92">
      <w:pPr>
        <w:pStyle w:val="12"/>
        <w:wordWrap w:val="0"/>
        <w:spacing w:line="360" w:lineRule="auto"/>
        <w:ind w:firstLine="420" w:firstLineChars="200"/>
        <w:rPr>
          <w:rFonts w:hAnsi="宋体" w:cs="宋体"/>
          <w:color w:val="auto"/>
          <w:highlight w:val="none"/>
        </w:rPr>
      </w:pPr>
      <w:r>
        <w:rPr>
          <w:rFonts w:hint="eastAsia" w:hAnsi="宋体" w:cs="宋体"/>
          <w:color w:val="auto"/>
          <w:highlight w:val="none"/>
        </w:rPr>
        <w:t>其中（有分标时填写）：</w:t>
      </w:r>
    </w:p>
    <w:p w14:paraId="00BD197D">
      <w:pPr>
        <w:pStyle w:val="12"/>
        <w:wordWrap w:val="0"/>
        <w:spacing w:line="360" w:lineRule="auto"/>
        <w:ind w:firstLine="420" w:firstLineChars="200"/>
        <w:rPr>
          <w:rFonts w:hAnsi="宋体" w:cs="宋体"/>
          <w:color w:val="auto"/>
          <w:highlight w:val="none"/>
          <w:u w:val="single"/>
        </w:rPr>
      </w:pPr>
      <w:r>
        <w:rPr>
          <w:rFonts w:hint="eastAsia" w:hAnsi="宋体" w:cs="宋体"/>
          <w:color w:val="auto"/>
          <w:highlight w:val="none"/>
          <w:u w:val="single"/>
        </w:rPr>
        <w:t xml:space="preserve">  </w:t>
      </w:r>
      <w:r>
        <w:rPr>
          <w:rFonts w:hint="eastAsia" w:hAnsi="宋体" w:cs="宋体"/>
          <w:color w:val="auto"/>
          <w:highlight w:val="none"/>
        </w:rPr>
        <w:t>分标报价为（大写）人民币</w:t>
      </w:r>
      <w:r>
        <w:rPr>
          <w:rFonts w:hint="eastAsia" w:hAnsi="宋体" w:cs="宋体"/>
          <w:color w:val="auto"/>
          <w:highlight w:val="none"/>
          <w:u w:val="single"/>
        </w:rPr>
        <w:t xml:space="preserve">              </w:t>
      </w:r>
      <w:r>
        <w:rPr>
          <w:rFonts w:hint="eastAsia" w:hAnsi="宋体" w:cs="宋体"/>
          <w:color w:val="auto"/>
          <w:highlight w:val="none"/>
        </w:rPr>
        <w:t>元 (¥</w:t>
      </w:r>
      <w:r>
        <w:rPr>
          <w:rFonts w:hint="eastAsia" w:hAnsi="宋体" w:cs="宋体"/>
          <w:color w:val="auto"/>
          <w:highlight w:val="none"/>
          <w:u w:val="single"/>
        </w:rPr>
        <w:t xml:space="preserve">          </w:t>
      </w:r>
      <w:r>
        <w:rPr>
          <w:rFonts w:hint="eastAsia" w:hAnsi="宋体" w:cs="宋体"/>
          <w:color w:val="auto"/>
          <w:highlight w:val="none"/>
        </w:rPr>
        <w:t>)，服务时间：</w:t>
      </w:r>
      <w:r>
        <w:rPr>
          <w:rFonts w:hint="eastAsia" w:hAnsi="宋体" w:cs="宋体"/>
          <w:color w:val="auto"/>
          <w:highlight w:val="none"/>
          <w:u w:val="single"/>
        </w:rPr>
        <w:t xml:space="preserve">          </w:t>
      </w:r>
      <w:r>
        <w:rPr>
          <w:rFonts w:hint="eastAsia" w:hAnsi="宋体" w:cs="宋体"/>
          <w:color w:val="auto"/>
          <w:highlight w:val="none"/>
        </w:rPr>
        <w:t>；</w:t>
      </w:r>
    </w:p>
    <w:p w14:paraId="0DBDB6EA">
      <w:pPr>
        <w:pStyle w:val="12"/>
        <w:wordWrap w:val="0"/>
        <w:spacing w:line="360" w:lineRule="auto"/>
        <w:ind w:firstLine="420" w:firstLineChars="200"/>
        <w:rPr>
          <w:rFonts w:hAnsi="宋体" w:cs="宋体"/>
          <w:color w:val="auto"/>
          <w:highlight w:val="none"/>
          <w:u w:val="single"/>
        </w:rPr>
      </w:pPr>
      <w:r>
        <w:rPr>
          <w:rFonts w:hint="eastAsia" w:hAnsi="宋体" w:cs="宋体"/>
          <w:color w:val="auto"/>
          <w:highlight w:val="none"/>
          <w:u w:val="single"/>
        </w:rPr>
        <w:t xml:space="preserve">  </w:t>
      </w:r>
      <w:r>
        <w:rPr>
          <w:rFonts w:hint="eastAsia" w:hAnsi="宋体" w:cs="宋体"/>
          <w:color w:val="auto"/>
          <w:highlight w:val="none"/>
        </w:rPr>
        <w:t>分标报价为（大写）人民币</w:t>
      </w:r>
      <w:r>
        <w:rPr>
          <w:rFonts w:hint="eastAsia" w:hAnsi="宋体" w:cs="宋体"/>
          <w:color w:val="auto"/>
          <w:highlight w:val="none"/>
          <w:u w:val="single"/>
        </w:rPr>
        <w:t xml:space="preserve">              </w:t>
      </w:r>
      <w:r>
        <w:rPr>
          <w:rFonts w:hint="eastAsia" w:hAnsi="宋体" w:cs="宋体"/>
          <w:color w:val="auto"/>
          <w:highlight w:val="none"/>
        </w:rPr>
        <w:t>元 (¥</w:t>
      </w:r>
      <w:r>
        <w:rPr>
          <w:rFonts w:hint="eastAsia" w:hAnsi="宋体" w:cs="宋体"/>
          <w:color w:val="auto"/>
          <w:highlight w:val="none"/>
          <w:u w:val="single"/>
        </w:rPr>
        <w:t xml:space="preserve">          </w:t>
      </w:r>
      <w:r>
        <w:rPr>
          <w:rFonts w:hint="eastAsia" w:hAnsi="宋体" w:cs="宋体"/>
          <w:color w:val="auto"/>
          <w:highlight w:val="none"/>
        </w:rPr>
        <w:t>)，服务时间：</w:t>
      </w:r>
      <w:r>
        <w:rPr>
          <w:rFonts w:hint="eastAsia" w:hAnsi="宋体" w:cs="宋体"/>
          <w:color w:val="auto"/>
          <w:highlight w:val="none"/>
          <w:u w:val="single"/>
        </w:rPr>
        <w:t xml:space="preserve">          </w:t>
      </w:r>
      <w:r>
        <w:rPr>
          <w:rFonts w:hint="eastAsia" w:hAnsi="宋体" w:cs="宋体"/>
          <w:color w:val="auto"/>
          <w:highlight w:val="none"/>
        </w:rPr>
        <w:t>；</w:t>
      </w:r>
    </w:p>
    <w:p w14:paraId="0E320BCD">
      <w:pPr>
        <w:pStyle w:val="12"/>
        <w:wordWrap w:val="0"/>
        <w:spacing w:line="360" w:lineRule="auto"/>
        <w:ind w:firstLine="420" w:firstLineChars="200"/>
        <w:rPr>
          <w:rFonts w:hAnsi="宋体" w:cs="宋体"/>
          <w:color w:val="auto"/>
          <w:highlight w:val="none"/>
          <w:u w:val="single"/>
        </w:rPr>
      </w:pPr>
      <w:r>
        <w:rPr>
          <w:rFonts w:hint="eastAsia" w:hAnsi="宋体" w:cs="宋体"/>
          <w:color w:val="auto"/>
          <w:highlight w:val="none"/>
        </w:rPr>
        <w:t>......</w:t>
      </w:r>
    </w:p>
    <w:p w14:paraId="381A2003">
      <w:pPr>
        <w:pStyle w:val="12"/>
        <w:wordWrap w:val="0"/>
        <w:spacing w:line="360" w:lineRule="auto"/>
        <w:ind w:firstLine="420" w:firstLineChars="200"/>
        <w:rPr>
          <w:rFonts w:hAnsi="宋体" w:cs="宋体"/>
          <w:color w:val="auto"/>
          <w:highlight w:val="none"/>
          <w:u w:val="single"/>
        </w:rPr>
      </w:pPr>
      <w:r>
        <w:rPr>
          <w:rFonts w:hint="eastAsia" w:hAnsi="宋体" w:cs="宋体"/>
          <w:color w:val="auto"/>
          <w:highlight w:val="none"/>
        </w:rPr>
        <w:t>2.我方同意自本项目招标文件“第三章 投标人须知”第一节 投标人须知前附表 第21.2项规定的投标截止时间（开标时间）起遵循本投标函，并承诺在“投标人须知前附表”第17.2项规定的投标有效期内不修改、撤销投标文件。</w:t>
      </w:r>
    </w:p>
    <w:p w14:paraId="1B4D3FBC">
      <w:pPr>
        <w:pStyle w:val="12"/>
        <w:wordWrap w:val="0"/>
        <w:spacing w:line="360" w:lineRule="auto"/>
        <w:ind w:firstLine="420" w:firstLineChars="200"/>
        <w:rPr>
          <w:rFonts w:hAnsi="宋体" w:cs="宋体"/>
          <w:color w:val="auto"/>
          <w:highlight w:val="none"/>
          <w:u w:val="single"/>
        </w:rPr>
      </w:pPr>
      <w:r>
        <w:rPr>
          <w:rFonts w:hint="eastAsia" w:hAnsi="宋体" w:cs="宋体"/>
          <w:color w:val="auto"/>
          <w:highlight w:val="none"/>
        </w:rPr>
        <w:t>3.我方所递交的投标文件及有关资料都是内容完整、真实和准确的。</w:t>
      </w:r>
    </w:p>
    <w:p w14:paraId="756BA3BC">
      <w:pPr>
        <w:pStyle w:val="12"/>
        <w:wordWrap w:val="0"/>
        <w:spacing w:line="360" w:lineRule="auto"/>
        <w:ind w:firstLine="482"/>
        <w:rPr>
          <w:rFonts w:hAnsi="宋体" w:cs="宋体"/>
          <w:color w:val="auto"/>
          <w:highlight w:val="none"/>
        </w:rPr>
      </w:pPr>
      <w:r>
        <w:rPr>
          <w:rFonts w:hint="eastAsia" w:hAnsi="宋体" w:cs="宋体"/>
          <w:color w:val="auto"/>
          <w:highlight w:val="none"/>
        </w:rPr>
        <w:t>4.</w:t>
      </w:r>
      <w:r>
        <w:rPr>
          <w:rFonts w:hint="eastAsia" w:hAnsi="宋体" w:cs="宋体"/>
          <w:color w:val="auto"/>
          <w:szCs w:val="21"/>
          <w:highlight w:val="none"/>
        </w:rPr>
        <w:t>如本项目采购内容涉及须符合国家强制规定的，我方承诺我方本次投标（包括资格条件和所投产品）均符合国家有关强制规定。</w:t>
      </w:r>
    </w:p>
    <w:p w14:paraId="076E3FB8">
      <w:pPr>
        <w:pStyle w:val="12"/>
        <w:wordWrap w:val="0"/>
        <w:spacing w:line="360" w:lineRule="auto"/>
        <w:ind w:firstLine="420" w:firstLineChars="200"/>
        <w:rPr>
          <w:rFonts w:hAnsi="宋体" w:cs="宋体"/>
          <w:color w:val="auto"/>
          <w:highlight w:val="none"/>
        </w:rPr>
      </w:pPr>
      <w:r>
        <w:rPr>
          <w:rFonts w:hint="eastAsia" w:hAnsi="宋体" w:cs="宋体"/>
          <w:color w:val="auto"/>
          <w:highlight w:val="none"/>
        </w:rPr>
        <w:t>5.如我方中标，我方承诺在收到中标通知书后，在中标通知书规定的期限内，根据招标文件、我方的投标文件及有关澄清承诺书的要求按第五章“拟签订的合同文本”与采购人订立书面合同，并按照合同约定承担完成合同的责任和义务。</w:t>
      </w:r>
    </w:p>
    <w:p w14:paraId="6C46BB9F">
      <w:pPr>
        <w:pStyle w:val="12"/>
        <w:wordWrap w:val="0"/>
        <w:spacing w:line="360" w:lineRule="auto"/>
        <w:ind w:firstLine="420" w:firstLineChars="200"/>
        <w:rPr>
          <w:rFonts w:hAnsi="宋体" w:cs="宋体"/>
          <w:color w:val="auto"/>
          <w:highlight w:val="none"/>
        </w:rPr>
      </w:pPr>
      <w:r>
        <w:rPr>
          <w:rFonts w:hint="eastAsia" w:hAnsi="宋体" w:cs="宋体"/>
          <w:color w:val="auto"/>
          <w:highlight w:val="none"/>
        </w:rPr>
        <w:t>6.我方已详细审核招标文件，我方知道必须放弃提出含糊不清或误解问题的权利。</w:t>
      </w:r>
    </w:p>
    <w:p w14:paraId="285B79C1">
      <w:pPr>
        <w:pStyle w:val="12"/>
        <w:wordWrap w:val="0"/>
        <w:spacing w:line="360" w:lineRule="auto"/>
        <w:ind w:firstLine="420" w:firstLineChars="200"/>
        <w:rPr>
          <w:rFonts w:hAnsi="宋体" w:cs="宋体"/>
          <w:color w:val="auto"/>
          <w:highlight w:val="none"/>
        </w:rPr>
      </w:pPr>
      <w:r>
        <w:rPr>
          <w:rFonts w:hint="eastAsia" w:hAnsi="宋体" w:cs="宋体"/>
          <w:color w:val="auto"/>
          <w:highlight w:val="none"/>
        </w:rPr>
        <w:t>7.我方同意应贵方要求提供与本投标有关的任何数据或资料。若贵方需要，我方愿意提供我方作出的一切承诺的证明材料。</w:t>
      </w:r>
    </w:p>
    <w:p w14:paraId="022BDBBF">
      <w:pPr>
        <w:pStyle w:val="12"/>
        <w:wordWrap w:val="0"/>
        <w:spacing w:line="360" w:lineRule="auto"/>
        <w:ind w:firstLine="420" w:firstLineChars="200"/>
        <w:rPr>
          <w:rFonts w:hAnsi="宋体" w:cs="宋体"/>
          <w:color w:val="auto"/>
          <w:highlight w:val="none"/>
        </w:rPr>
      </w:pPr>
      <w:r>
        <w:rPr>
          <w:rFonts w:hint="eastAsia" w:hAnsi="宋体" w:cs="宋体"/>
          <w:color w:val="auto"/>
          <w:highlight w:val="none"/>
        </w:rPr>
        <w:t>8.我方完全理解贵方不一定接受投标报价最低的投标人为中标供应商的行为。</w:t>
      </w:r>
    </w:p>
    <w:p w14:paraId="48716364">
      <w:pPr>
        <w:pStyle w:val="12"/>
        <w:wordWrap w:val="0"/>
        <w:spacing w:line="360" w:lineRule="auto"/>
        <w:ind w:firstLine="420" w:firstLineChars="200"/>
        <w:rPr>
          <w:rFonts w:hAnsi="宋体" w:cs="宋体"/>
          <w:color w:val="auto"/>
          <w:highlight w:val="none"/>
        </w:rPr>
      </w:pPr>
      <w:r>
        <w:rPr>
          <w:rFonts w:hint="eastAsia" w:hAnsi="宋体" w:cs="宋体"/>
          <w:color w:val="auto"/>
          <w:highlight w:val="none"/>
        </w:rPr>
        <w:t>9.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4DED7060">
      <w:pPr>
        <w:pStyle w:val="12"/>
        <w:wordWrap w:val="0"/>
        <w:spacing w:line="360" w:lineRule="auto"/>
        <w:ind w:left="1140" w:hanging="720"/>
        <w:rPr>
          <w:rFonts w:hAnsi="宋体" w:cs="宋体"/>
          <w:color w:val="auto"/>
          <w:highlight w:val="none"/>
        </w:rPr>
      </w:pPr>
      <w:r>
        <w:rPr>
          <w:rFonts w:hint="eastAsia" w:hAnsi="宋体" w:cs="宋体"/>
          <w:color w:val="auto"/>
          <w:highlight w:val="none"/>
        </w:rPr>
        <w:t>（1）提供虚假材料谋取中标、成交的；</w:t>
      </w:r>
    </w:p>
    <w:p w14:paraId="2EE9076D">
      <w:pPr>
        <w:pStyle w:val="12"/>
        <w:wordWrap w:val="0"/>
        <w:spacing w:line="360" w:lineRule="auto"/>
        <w:ind w:left="1140" w:hanging="720"/>
        <w:rPr>
          <w:rFonts w:hAnsi="宋体" w:cs="宋体"/>
          <w:color w:val="auto"/>
          <w:highlight w:val="none"/>
        </w:rPr>
      </w:pPr>
      <w:r>
        <w:rPr>
          <w:rFonts w:hint="eastAsia" w:hAnsi="宋体" w:cs="宋体"/>
          <w:color w:val="auto"/>
          <w:highlight w:val="none"/>
        </w:rPr>
        <w:t>（2）采取不正当手段诋毁、排挤其他供应商的；</w:t>
      </w:r>
    </w:p>
    <w:p w14:paraId="604276A2">
      <w:pPr>
        <w:pStyle w:val="12"/>
        <w:wordWrap w:val="0"/>
        <w:spacing w:line="360" w:lineRule="auto"/>
        <w:ind w:left="1140" w:hanging="720"/>
        <w:rPr>
          <w:rFonts w:hAnsi="宋体" w:cs="宋体"/>
          <w:color w:val="auto"/>
          <w:highlight w:val="none"/>
        </w:rPr>
      </w:pPr>
      <w:r>
        <w:rPr>
          <w:rFonts w:hint="eastAsia" w:hAnsi="宋体" w:cs="宋体"/>
          <w:color w:val="auto"/>
          <w:highlight w:val="none"/>
        </w:rPr>
        <w:t>（3）与采购人、其他供应商或者采购代理机构恶意串通的；</w:t>
      </w:r>
    </w:p>
    <w:p w14:paraId="72BA1E07">
      <w:pPr>
        <w:pStyle w:val="12"/>
        <w:wordWrap w:val="0"/>
        <w:spacing w:line="360" w:lineRule="auto"/>
        <w:ind w:left="1140" w:hanging="720"/>
        <w:rPr>
          <w:rFonts w:hAnsi="宋体" w:cs="宋体"/>
          <w:color w:val="auto"/>
          <w:highlight w:val="none"/>
        </w:rPr>
      </w:pPr>
      <w:r>
        <w:rPr>
          <w:rFonts w:hint="eastAsia" w:hAnsi="宋体" w:cs="宋体"/>
          <w:color w:val="auto"/>
          <w:highlight w:val="none"/>
        </w:rPr>
        <w:t>（4）向采购人、采购代理机构行贿或者提供其他不正当利益的；</w:t>
      </w:r>
    </w:p>
    <w:p w14:paraId="62B0A57D">
      <w:pPr>
        <w:pStyle w:val="12"/>
        <w:wordWrap w:val="0"/>
        <w:spacing w:line="360" w:lineRule="auto"/>
        <w:ind w:left="1140" w:hanging="720"/>
        <w:rPr>
          <w:rFonts w:hAnsi="宋体" w:cs="宋体"/>
          <w:color w:val="auto"/>
          <w:highlight w:val="none"/>
        </w:rPr>
      </w:pPr>
      <w:r>
        <w:rPr>
          <w:rFonts w:hint="eastAsia" w:hAnsi="宋体" w:cs="宋体"/>
          <w:color w:val="auto"/>
          <w:highlight w:val="none"/>
        </w:rPr>
        <w:t>（5）在招标采购过程中与采购人进行协商谈判的；</w:t>
      </w:r>
    </w:p>
    <w:p w14:paraId="4201F534">
      <w:pPr>
        <w:pStyle w:val="12"/>
        <w:wordWrap w:val="0"/>
        <w:spacing w:line="360" w:lineRule="auto"/>
        <w:ind w:left="1140" w:hanging="720"/>
        <w:rPr>
          <w:rFonts w:hAnsi="宋体" w:cs="宋体"/>
          <w:color w:val="auto"/>
          <w:highlight w:val="none"/>
        </w:rPr>
      </w:pPr>
      <w:r>
        <w:rPr>
          <w:rFonts w:hint="eastAsia" w:hAnsi="宋体" w:cs="宋体"/>
          <w:color w:val="auto"/>
          <w:highlight w:val="none"/>
        </w:rPr>
        <w:t>（6）拒绝有关部门监督检查或提供虚假情况的。</w:t>
      </w:r>
    </w:p>
    <w:p w14:paraId="636C5028">
      <w:pPr>
        <w:pStyle w:val="12"/>
        <w:wordWrap w:val="0"/>
        <w:spacing w:line="360" w:lineRule="auto"/>
        <w:ind w:left="420"/>
        <w:rPr>
          <w:rFonts w:hAnsi="宋体" w:cs="宋体"/>
          <w:color w:val="auto"/>
          <w:highlight w:val="none"/>
        </w:rPr>
      </w:pPr>
      <w:r>
        <w:rPr>
          <w:rFonts w:hint="eastAsia" w:hAnsi="宋体" w:cs="宋体"/>
          <w:color w:val="auto"/>
          <w:highlight w:val="none"/>
        </w:rPr>
        <w:t>10.我方及由本人担任法定代表人的其他机构最近三年内被处罚的违法行为有：</w:t>
      </w:r>
      <w:r>
        <w:rPr>
          <w:rFonts w:hint="eastAsia" w:hAnsi="宋体" w:cs="宋体"/>
          <w:color w:val="auto"/>
          <w:highlight w:val="none"/>
          <w:u w:val="single"/>
        </w:rPr>
        <w:t xml:space="preserve">         </w:t>
      </w:r>
    </w:p>
    <w:p w14:paraId="0E10BC6B">
      <w:pPr>
        <w:pStyle w:val="12"/>
        <w:wordWrap w:val="0"/>
        <w:spacing w:line="360" w:lineRule="auto"/>
        <w:ind w:firstLine="420"/>
        <w:rPr>
          <w:rFonts w:hAnsi="宋体" w:cs="宋体"/>
          <w:color w:val="auto"/>
          <w:highlight w:val="none"/>
        </w:rPr>
      </w:pPr>
      <w:r>
        <w:rPr>
          <w:rFonts w:hint="eastAsia" w:hAnsi="宋体" w:cs="宋体"/>
          <w:color w:val="auto"/>
          <w:highlight w:val="none"/>
        </w:rPr>
        <w:t>11.以上事项如有虚假或隐瞒，我方愿意承担一切后果，并不再寻求任何旨在减轻或免除法律责任的辩解。</w:t>
      </w:r>
    </w:p>
    <w:p w14:paraId="05110C58">
      <w:pPr>
        <w:pStyle w:val="12"/>
        <w:wordWrap w:val="0"/>
        <w:spacing w:line="360" w:lineRule="auto"/>
        <w:ind w:firstLine="420"/>
        <w:rPr>
          <w:rFonts w:hAnsi="宋体" w:cs="宋体"/>
          <w:color w:val="auto"/>
          <w:highlight w:val="none"/>
        </w:rPr>
      </w:pPr>
      <w:r>
        <w:rPr>
          <w:rFonts w:hint="eastAsia" w:hAnsi="宋体" w:cs="宋体"/>
          <w:color w:val="auto"/>
          <w:highlight w:val="none"/>
        </w:rPr>
        <w:t>12.与本投标有关的一切正式往来信函请寄：</w:t>
      </w:r>
    </w:p>
    <w:p w14:paraId="20B9504F">
      <w:pPr>
        <w:pStyle w:val="12"/>
        <w:wordWrap w:val="0"/>
        <w:spacing w:line="360" w:lineRule="auto"/>
        <w:ind w:firstLine="420"/>
        <w:rPr>
          <w:rFonts w:hAnsi="宋体" w:cs="宋体"/>
          <w:color w:val="auto"/>
          <w:highlight w:val="none"/>
        </w:rPr>
      </w:pPr>
      <w:r>
        <w:rPr>
          <w:rFonts w:hint="eastAsia" w:hAnsi="宋体" w:cs="宋体"/>
          <w:color w:val="auto"/>
          <w:highlight w:val="none"/>
        </w:rPr>
        <w:t>地址：</w:t>
      </w:r>
      <w:r>
        <w:rPr>
          <w:rFonts w:hint="eastAsia" w:hAnsi="宋体" w:cs="宋体"/>
          <w:color w:val="auto"/>
          <w:highlight w:val="none"/>
          <w:u w:val="single"/>
        </w:rPr>
        <w:t xml:space="preserve">                                                        </w:t>
      </w:r>
      <w:r>
        <w:rPr>
          <w:rFonts w:hint="eastAsia" w:hAnsi="宋体" w:cs="宋体"/>
          <w:color w:val="auto"/>
          <w:highlight w:val="none"/>
        </w:rPr>
        <w:t xml:space="preserve"> </w:t>
      </w:r>
    </w:p>
    <w:p w14:paraId="711C3932">
      <w:pPr>
        <w:pStyle w:val="12"/>
        <w:wordWrap w:val="0"/>
        <w:spacing w:line="360" w:lineRule="auto"/>
        <w:ind w:firstLine="420"/>
        <w:rPr>
          <w:rFonts w:hAnsi="宋体" w:cs="宋体"/>
          <w:color w:val="auto"/>
          <w:highlight w:val="none"/>
          <w:u w:val="single"/>
        </w:rPr>
      </w:pPr>
      <w:r>
        <w:rPr>
          <w:rFonts w:hint="eastAsia" w:hAnsi="宋体" w:cs="宋体"/>
          <w:color w:val="auto"/>
          <w:highlight w:val="none"/>
        </w:rPr>
        <w:t>电话：</w:t>
      </w:r>
      <w:r>
        <w:rPr>
          <w:rFonts w:hint="eastAsia" w:hAnsi="宋体" w:cs="宋体"/>
          <w:color w:val="auto"/>
          <w:highlight w:val="none"/>
          <w:u w:val="single"/>
        </w:rPr>
        <w:t xml:space="preserve">                                      　　　　　　　　　</w:t>
      </w:r>
    </w:p>
    <w:p w14:paraId="051AABBC">
      <w:pPr>
        <w:pStyle w:val="12"/>
        <w:wordWrap w:val="0"/>
        <w:spacing w:line="360" w:lineRule="auto"/>
        <w:ind w:firstLine="420"/>
        <w:rPr>
          <w:rFonts w:hAnsi="宋体" w:cs="宋体"/>
          <w:color w:val="auto"/>
          <w:highlight w:val="none"/>
        </w:rPr>
      </w:pPr>
      <w:r>
        <w:rPr>
          <w:rFonts w:hint="eastAsia" w:hAnsi="宋体" w:cs="宋体"/>
          <w:color w:val="auto"/>
          <w:highlight w:val="none"/>
        </w:rPr>
        <w:t>传真：</w:t>
      </w:r>
      <w:r>
        <w:rPr>
          <w:rFonts w:hint="eastAsia" w:hAnsi="宋体" w:cs="宋体"/>
          <w:color w:val="auto"/>
          <w:highlight w:val="none"/>
          <w:u w:val="single"/>
        </w:rPr>
        <w:t>　　　　　　　　　　　　　　　　　　　　　　　　　　　　</w:t>
      </w:r>
    </w:p>
    <w:p w14:paraId="068BCF96">
      <w:pPr>
        <w:pStyle w:val="12"/>
        <w:wordWrap w:val="0"/>
        <w:spacing w:line="360" w:lineRule="auto"/>
        <w:ind w:firstLine="420"/>
        <w:rPr>
          <w:rFonts w:hAnsi="宋体" w:cs="宋体"/>
          <w:color w:val="auto"/>
          <w:highlight w:val="none"/>
          <w:u w:val="single"/>
        </w:rPr>
      </w:pPr>
      <w:r>
        <w:rPr>
          <w:rFonts w:hint="eastAsia" w:hAnsi="宋体" w:cs="宋体"/>
          <w:color w:val="auto"/>
          <w:highlight w:val="none"/>
        </w:rPr>
        <w:t>邮政编码：</w:t>
      </w:r>
      <w:r>
        <w:rPr>
          <w:rFonts w:hint="eastAsia" w:hAnsi="宋体" w:cs="宋体"/>
          <w:color w:val="auto"/>
          <w:highlight w:val="none"/>
          <w:u w:val="single"/>
        </w:rPr>
        <w:t xml:space="preserve">                                                    </w:t>
      </w:r>
    </w:p>
    <w:p w14:paraId="639BA400">
      <w:pPr>
        <w:pStyle w:val="12"/>
        <w:wordWrap w:val="0"/>
        <w:spacing w:line="360" w:lineRule="auto"/>
        <w:ind w:firstLine="420"/>
        <w:rPr>
          <w:rFonts w:hAnsi="宋体" w:cs="宋体"/>
          <w:color w:val="auto"/>
          <w:highlight w:val="none"/>
          <w:u w:val="single"/>
        </w:rPr>
      </w:pPr>
      <w:r>
        <w:rPr>
          <w:rFonts w:hint="eastAsia" w:hAnsi="宋体" w:cs="宋体"/>
          <w:color w:val="auto"/>
          <w:highlight w:val="none"/>
        </w:rPr>
        <w:t>开户名称：</w:t>
      </w:r>
      <w:r>
        <w:rPr>
          <w:rFonts w:hint="eastAsia" w:hAnsi="宋体" w:cs="宋体"/>
          <w:color w:val="auto"/>
          <w:highlight w:val="none"/>
          <w:u w:val="single"/>
        </w:rPr>
        <w:t xml:space="preserve">                                                    </w:t>
      </w:r>
    </w:p>
    <w:p w14:paraId="5F64CFAC">
      <w:pPr>
        <w:pStyle w:val="12"/>
        <w:wordWrap w:val="0"/>
        <w:spacing w:line="360" w:lineRule="auto"/>
        <w:ind w:firstLine="420"/>
        <w:rPr>
          <w:rFonts w:hAnsi="宋体" w:cs="宋体"/>
          <w:color w:val="auto"/>
          <w:highlight w:val="none"/>
          <w:u w:val="single"/>
        </w:rPr>
      </w:pPr>
      <w:r>
        <w:rPr>
          <w:rFonts w:hint="eastAsia" w:hAnsi="宋体" w:cs="宋体"/>
          <w:color w:val="auto"/>
          <w:highlight w:val="none"/>
        </w:rPr>
        <w:t>开户银行：</w:t>
      </w:r>
      <w:r>
        <w:rPr>
          <w:rFonts w:hint="eastAsia" w:hAnsi="宋体" w:cs="宋体"/>
          <w:color w:val="auto"/>
          <w:highlight w:val="none"/>
          <w:u w:val="single"/>
        </w:rPr>
        <w:t xml:space="preserve">                                                    </w:t>
      </w:r>
    </w:p>
    <w:p w14:paraId="0A0190BE">
      <w:pPr>
        <w:pStyle w:val="12"/>
        <w:wordWrap w:val="0"/>
        <w:spacing w:line="360" w:lineRule="auto"/>
        <w:ind w:firstLine="420"/>
        <w:rPr>
          <w:rFonts w:hAnsi="宋体" w:cs="宋体"/>
          <w:color w:val="auto"/>
          <w:highlight w:val="none"/>
          <w:u w:val="single"/>
        </w:rPr>
      </w:pPr>
      <w:r>
        <w:rPr>
          <w:rFonts w:hint="eastAsia" w:hAnsi="宋体" w:cs="宋体"/>
          <w:color w:val="auto"/>
          <w:highlight w:val="none"/>
        </w:rPr>
        <w:t>银行账号：</w:t>
      </w:r>
      <w:r>
        <w:rPr>
          <w:rFonts w:hint="eastAsia" w:hAnsi="宋体" w:cs="宋体"/>
          <w:color w:val="auto"/>
          <w:highlight w:val="none"/>
          <w:u w:val="single"/>
        </w:rPr>
        <w:t xml:space="preserve">                                                    </w:t>
      </w:r>
    </w:p>
    <w:p w14:paraId="5E3BB672">
      <w:pPr>
        <w:wordWrap w:val="0"/>
        <w:snapToGrid w:val="0"/>
        <w:spacing w:line="360" w:lineRule="auto"/>
        <w:ind w:firstLine="5040" w:firstLineChars="210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投标人名称(电子签章)：</w:t>
      </w:r>
    </w:p>
    <w:p w14:paraId="0F27C61A">
      <w:pPr>
        <w:wordWrap w:val="0"/>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252BD548">
      <w:pPr>
        <w:widowControl/>
        <w:wordWrap w:val="0"/>
        <w:spacing w:line="360" w:lineRule="auto"/>
        <w:jc w:val="left"/>
        <w:rPr>
          <w:rFonts w:ascii="宋体" w:hAnsi="宋体" w:cs="宋体"/>
          <w:color w:val="auto"/>
          <w:kern w:val="0"/>
          <w:sz w:val="24"/>
          <w:highlight w:val="none"/>
          <w:lang w:val="zh-CN"/>
        </w:rPr>
        <w:sectPr>
          <w:pgSz w:w="11906" w:h="16838"/>
          <w:pgMar w:top="1440" w:right="1080" w:bottom="1440" w:left="1080" w:header="720" w:footer="720" w:gutter="0"/>
          <w:pgNumType w:fmt="decimal"/>
          <w:cols w:space="720" w:num="1"/>
          <w:docGrid w:type="lines" w:linePitch="331" w:charSpace="0"/>
        </w:sectPr>
      </w:pPr>
    </w:p>
    <w:p w14:paraId="467B9282">
      <w:pPr>
        <w:pStyle w:val="12"/>
        <w:wordWrap w:val="0"/>
        <w:spacing w:line="360" w:lineRule="auto"/>
        <w:jc w:val="center"/>
        <w:rPr>
          <w:rFonts w:hAnsi="宋体" w:cs="宋体"/>
          <w:b/>
          <w:color w:val="auto"/>
          <w:sz w:val="30"/>
          <w:szCs w:val="30"/>
          <w:highlight w:val="none"/>
        </w:rPr>
      </w:pPr>
      <w:r>
        <w:rPr>
          <w:rFonts w:hint="eastAsia" w:hAnsi="宋体" w:cs="宋体"/>
          <w:b/>
          <w:color w:val="auto"/>
          <w:sz w:val="30"/>
          <w:szCs w:val="30"/>
          <w:highlight w:val="none"/>
        </w:rPr>
        <w:t>二、开标一览表</w:t>
      </w:r>
      <w:r>
        <w:rPr>
          <w:rFonts w:hint="eastAsia" w:hAnsi="宋体" w:cs="宋体"/>
          <w:b/>
          <w:color w:val="auto"/>
          <w:sz w:val="30"/>
          <w:szCs w:val="30"/>
          <w:highlight w:val="none"/>
          <w:lang w:val="zh-CN"/>
        </w:rPr>
        <w:t>(单位均为人民币元)</w:t>
      </w:r>
    </w:p>
    <w:p w14:paraId="49FFBE51">
      <w:pPr>
        <w:wordWrap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项目名称：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498BBD2B">
      <w:pPr>
        <w:wordWrap w:val="0"/>
        <w:snapToGrid w:val="0"/>
        <w:spacing w:line="360" w:lineRule="auto"/>
        <w:rPr>
          <w:rFonts w:ascii="宋体" w:hAnsi="宋体" w:cs="宋体"/>
          <w:color w:val="auto"/>
          <w:szCs w:val="21"/>
          <w:highlight w:val="none"/>
          <w:u w:val="single"/>
        </w:rPr>
      </w:pPr>
      <w:r>
        <w:rPr>
          <w:rFonts w:hint="eastAsia" w:ascii="宋体" w:hAnsi="宋体" w:cs="宋体"/>
          <w:color w:val="auto"/>
          <w:szCs w:val="21"/>
          <w:highlight w:val="none"/>
        </w:rPr>
        <w:t>项目编号：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分标：</w:t>
      </w:r>
      <w:r>
        <w:rPr>
          <w:rFonts w:hint="eastAsia" w:ascii="宋体" w:hAnsi="宋体" w:cs="宋体"/>
          <w:color w:val="auto"/>
          <w:szCs w:val="21"/>
          <w:highlight w:val="none"/>
          <w:u w:val="single"/>
        </w:rPr>
        <w:t xml:space="preserve">           </w:t>
      </w:r>
    </w:p>
    <w:p w14:paraId="2044891C">
      <w:pPr>
        <w:pStyle w:val="12"/>
        <w:wordWrap w:val="0"/>
        <w:spacing w:line="360" w:lineRule="auto"/>
        <w:rPr>
          <w:rFonts w:hAnsi="宋体" w:cs="宋体"/>
          <w:b/>
          <w:color w:val="auto"/>
          <w:szCs w:val="21"/>
          <w:highlight w:val="none"/>
        </w:rPr>
      </w:pPr>
      <w:r>
        <w:rPr>
          <w:rFonts w:hint="eastAsia" w:hAnsi="宋体" w:cs="宋体"/>
          <w:color w:val="auto"/>
          <w:szCs w:val="21"/>
          <w:highlight w:val="none"/>
        </w:rPr>
        <w:t>投标人名称：</w:t>
      </w:r>
      <w:r>
        <w:rPr>
          <w:rFonts w:hint="eastAsia" w:hAnsi="宋体" w:cs="宋体"/>
          <w:color w:val="auto"/>
          <w:szCs w:val="21"/>
          <w:highlight w:val="none"/>
          <w:u w:val="single"/>
        </w:rPr>
        <w:t xml:space="preserve">                     </w:t>
      </w:r>
      <w:r>
        <w:rPr>
          <w:rFonts w:hint="eastAsia" w:hAnsi="宋体" w:cs="宋体"/>
          <w:color w:val="auto"/>
          <w:szCs w:val="21"/>
          <w:highlight w:val="none"/>
        </w:rPr>
        <w:t xml:space="preserve">   </w:t>
      </w:r>
    </w:p>
    <w:tbl>
      <w:tblPr>
        <w:tblStyle w:val="22"/>
        <w:tblW w:w="10395" w:type="dxa"/>
        <w:tblInd w:w="-2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1897"/>
        <w:gridCol w:w="2497"/>
        <w:gridCol w:w="1068"/>
        <w:gridCol w:w="888"/>
        <w:gridCol w:w="2269"/>
        <w:gridCol w:w="1092"/>
      </w:tblGrid>
      <w:tr w14:paraId="5071C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trPr>
        <w:tc>
          <w:tcPr>
            <w:tcW w:w="684" w:type="dxa"/>
            <w:tcBorders>
              <w:top w:val="single" w:color="auto" w:sz="4" w:space="0"/>
              <w:left w:val="single" w:color="auto" w:sz="4" w:space="0"/>
              <w:bottom w:val="single" w:color="auto" w:sz="4" w:space="0"/>
              <w:right w:val="single" w:color="auto" w:sz="4" w:space="0"/>
            </w:tcBorders>
            <w:vAlign w:val="center"/>
          </w:tcPr>
          <w:p w14:paraId="69580A1A">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序号</w:t>
            </w:r>
          </w:p>
        </w:tc>
        <w:tc>
          <w:tcPr>
            <w:tcW w:w="1897" w:type="dxa"/>
            <w:tcBorders>
              <w:top w:val="single" w:color="auto" w:sz="4" w:space="0"/>
              <w:left w:val="single" w:color="auto" w:sz="4" w:space="0"/>
              <w:bottom w:val="single" w:color="auto" w:sz="4" w:space="0"/>
              <w:right w:val="single" w:color="auto" w:sz="4" w:space="0"/>
            </w:tcBorders>
            <w:vAlign w:val="center"/>
          </w:tcPr>
          <w:p w14:paraId="50026C61">
            <w:pPr>
              <w:wordWrap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服务名称</w:t>
            </w:r>
          </w:p>
        </w:tc>
        <w:tc>
          <w:tcPr>
            <w:tcW w:w="2497" w:type="dxa"/>
            <w:tcBorders>
              <w:top w:val="single" w:color="auto" w:sz="4" w:space="0"/>
              <w:left w:val="single" w:color="auto" w:sz="4" w:space="0"/>
              <w:bottom w:val="single" w:color="auto" w:sz="4" w:space="0"/>
              <w:right w:val="single" w:color="auto" w:sz="4" w:space="0"/>
            </w:tcBorders>
            <w:vAlign w:val="center"/>
          </w:tcPr>
          <w:p w14:paraId="0D6B5B76">
            <w:pPr>
              <w:wordWrap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具体服务内容</w:t>
            </w:r>
          </w:p>
        </w:tc>
        <w:tc>
          <w:tcPr>
            <w:tcW w:w="1068" w:type="dxa"/>
            <w:tcBorders>
              <w:top w:val="single" w:color="auto" w:sz="4" w:space="0"/>
              <w:left w:val="single" w:color="auto" w:sz="4" w:space="0"/>
              <w:bottom w:val="single" w:color="auto" w:sz="4" w:space="0"/>
              <w:right w:val="single" w:color="auto" w:sz="4" w:space="0"/>
            </w:tcBorders>
            <w:vAlign w:val="center"/>
          </w:tcPr>
          <w:p w14:paraId="3236B024">
            <w:pPr>
              <w:wordWrap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数量①</w:t>
            </w:r>
          </w:p>
        </w:tc>
        <w:tc>
          <w:tcPr>
            <w:tcW w:w="888" w:type="dxa"/>
            <w:tcBorders>
              <w:top w:val="single" w:color="auto" w:sz="4" w:space="0"/>
              <w:left w:val="single" w:color="auto" w:sz="4" w:space="0"/>
              <w:bottom w:val="single" w:color="auto" w:sz="4" w:space="0"/>
              <w:right w:val="single" w:color="auto" w:sz="4" w:space="0"/>
            </w:tcBorders>
            <w:vAlign w:val="center"/>
          </w:tcPr>
          <w:p w14:paraId="37D45F12">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单价(元)②</w:t>
            </w:r>
          </w:p>
        </w:tc>
        <w:tc>
          <w:tcPr>
            <w:tcW w:w="2269" w:type="dxa"/>
            <w:tcBorders>
              <w:top w:val="single" w:color="auto" w:sz="4" w:space="0"/>
              <w:left w:val="single" w:color="auto" w:sz="4" w:space="0"/>
              <w:bottom w:val="single" w:color="auto" w:sz="4" w:space="0"/>
              <w:right w:val="single" w:color="auto" w:sz="4" w:space="0"/>
            </w:tcBorders>
            <w:vAlign w:val="center"/>
          </w:tcPr>
          <w:p w14:paraId="1AAE099B">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单项合价（元）</w:t>
            </w:r>
          </w:p>
          <w:p w14:paraId="1476F5EB">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③＝①×②</w:t>
            </w:r>
          </w:p>
        </w:tc>
        <w:tc>
          <w:tcPr>
            <w:tcW w:w="1092" w:type="dxa"/>
            <w:tcBorders>
              <w:top w:val="single" w:color="auto" w:sz="4" w:space="0"/>
              <w:left w:val="single" w:color="auto" w:sz="4" w:space="0"/>
              <w:bottom w:val="single" w:color="auto" w:sz="4" w:space="0"/>
              <w:right w:val="single" w:color="auto" w:sz="4" w:space="0"/>
            </w:tcBorders>
            <w:vAlign w:val="center"/>
          </w:tcPr>
          <w:p w14:paraId="5447F52B">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备注</w:t>
            </w:r>
          </w:p>
        </w:tc>
      </w:tr>
      <w:tr w14:paraId="5B882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684" w:type="dxa"/>
            <w:tcBorders>
              <w:top w:val="single" w:color="auto" w:sz="4" w:space="0"/>
              <w:left w:val="single" w:color="auto" w:sz="4" w:space="0"/>
              <w:bottom w:val="single" w:color="auto" w:sz="4" w:space="0"/>
              <w:right w:val="single" w:color="auto" w:sz="4" w:space="0"/>
            </w:tcBorders>
            <w:vAlign w:val="center"/>
          </w:tcPr>
          <w:p w14:paraId="2D83BB04">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1</w:t>
            </w:r>
          </w:p>
        </w:tc>
        <w:tc>
          <w:tcPr>
            <w:tcW w:w="1897" w:type="dxa"/>
            <w:tcBorders>
              <w:top w:val="single" w:color="auto" w:sz="4" w:space="0"/>
              <w:left w:val="single" w:color="auto" w:sz="4" w:space="0"/>
              <w:bottom w:val="single" w:color="auto" w:sz="4" w:space="0"/>
              <w:right w:val="single" w:color="auto" w:sz="4" w:space="0"/>
            </w:tcBorders>
            <w:vAlign w:val="center"/>
          </w:tcPr>
          <w:p w14:paraId="480F5096">
            <w:pPr>
              <w:wordWrap w:val="0"/>
              <w:spacing w:line="360" w:lineRule="auto"/>
              <w:rPr>
                <w:rFonts w:ascii="宋体" w:hAnsi="宋体" w:cs="宋体"/>
                <w:color w:val="auto"/>
                <w:szCs w:val="21"/>
                <w:highlight w:val="none"/>
              </w:rPr>
            </w:pPr>
          </w:p>
        </w:tc>
        <w:tc>
          <w:tcPr>
            <w:tcW w:w="2497" w:type="dxa"/>
            <w:tcBorders>
              <w:top w:val="single" w:color="auto" w:sz="4" w:space="0"/>
              <w:left w:val="single" w:color="auto" w:sz="4" w:space="0"/>
              <w:bottom w:val="single" w:color="auto" w:sz="4" w:space="0"/>
              <w:right w:val="single" w:color="auto" w:sz="4" w:space="0"/>
            </w:tcBorders>
            <w:vAlign w:val="center"/>
          </w:tcPr>
          <w:p w14:paraId="209166C8">
            <w:pPr>
              <w:wordWrap w:val="0"/>
              <w:spacing w:line="360" w:lineRule="auto"/>
              <w:rPr>
                <w:rFonts w:ascii="宋体" w:hAnsi="宋体" w:cs="宋体"/>
                <w:color w:val="auto"/>
                <w:szCs w:val="21"/>
                <w:highlight w:val="none"/>
              </w:rPr>
            </w:pPr>
          </w:p>
        </w:tc>
        <w:tc>
          <w:tcPr>
            <w:tcW w:w="1068" w:type="dxa"/>
            <w:tcBorders>
              <w:top w:val="single" w:color="auto" w:sz="4" w:space="0"/>
              <w:left w:val="single" w:color="auto" w:sz="4" w:space="0"/>
              <w:bottom w:val="single" w:color="auto" w:sz="4" w:space="0"/>
              <w:right w:val="single" w:color="auto" w:sz="4" w:space="0"/>
            </w:tcBorders>
            <w:vAlign w:val="center"/>
          </w:tcPr>
          <w:p w14:paraId="115458F3">
            <w:pPr>
              <w:wordWrap w:val="0"/>
              <w:spacing w:line="360" w:lineRule="auto"/>
              <w:rPr>
                <w:rFonts w:ascii="宋体" w:hAnsi="宋体" w:cs="宋体"/>
                <w:color w:val="auto"/>
                <w:szCs w:val="21"/>
                <w:highlight w:val="none"/>
              </w:rPr>
            </w:pPr>
          </w:p>
        </w:tc>
        <w:tc>
          <w:tcPr>
            <w:tcW w:w="888" w:type="dxa"/>
            <w:tcBorders>
              <w:top w:val="single" w:color="auto" w:sz="4" w:space="0"/>
              <w:left w:val="single" w:color="auto" w:sz="4" w:space="0"/>
              <w:bottom w:val="single" w:color="auto" w:sz="4" w:space="0"/>
              <w:right w:val="single" w:color="auto" w:sz="4" w:space="0"/>
            </w:tcBorders>
            <w:vAlign w:val="center"/>
          </w:tcPr>
          <w:p w14:paraId="206D803A">
            <w:pPr>
              <w:wordWrap w:val="0"/>
              <w:spacing w:line="360" w:lineRule="auto"/>
              <w:rPr>
                <w:rFonts w:ascii="宋体" w:hAnsi="宋体" w:cs="宋体"/>
                <w:color w:val="auto"/>
                <w:szCs w:val="21"/>
                <w:highlight w:val="none"/>
              </w:rPr>
            </w:pPr>
          </w:p>
        </w:tc>
        <w:tc>
          <w:tcPr>
            <w:tcW w:w="2269" w:type="dxa"/>
            <w:tcBorders>
              <w:top w:val="single" w:color="auto" w:sz="4" w:space="0"/>
              <w:left w:val="single" w:color="auto" w:sz="4" w:space="0"/>
              <w:bottom w:val="single" w:color="auto" w:sz="4" w:space="0"/>
              <w:right w:val="single" w:color="auto" w:sz="4" w:space="0"/>
            </w:tcBorders>
            <w:vAlign w:val="center"/>
          </w:tcPr>
          <w:p w14:paraId="45CA0551">
            <w:pPr>
              <w:wordWrap w:val="0"/>
              <w:spacing w:line="360" w:lineRule="auto"/>
              <w:rPr>
                <w:rFonts w:ascii="宋体" w:hAnsi="宋体" w:cs="宋体"/>
                <w:color w:val="auto"/>
                <w:szCs w:val="21"/>
                <w:highlight w:val="none"/>
              </w:rPr>
            </w:pPr>
          </w:p>
        </w:tc>
        <w:tc>
          <w:tcPr>
            <w:tcW w:w="1092" w:type="dxa"/>
            <w:tcBorders>
              <w:top w:val="single" w:color="auto" w:sz="4" w:space="0"/>
              <w:left w:val="single" w:color="auto" w:sz="4" w:space="0"/>
              <w:bottom w:val="single" w:color="auto" w:sz="4" w:space="0"/>
              <w:right w:val="single" w:color="auto" w:sz="4" w:space="0"/>
            </w:tcBorders>
            <w:vAlign w:val="center"/>
          </w:tcPr>
          <w:p w14:paraId="52E929BB">
            <w:pPr>
              <w:wordWrap w:val="0"/>
              <w:spacing w:line="360" w:lineRule="auto"/>
              <w:rPr>
                <w:rFonts w:ascii="宋体" w:hAnsi="宋体" w:cs="宋体"/>
                <w:color w:val="auto"/>
                <w:szCs w:val="21"/>
                <w:highlight w:val="none"/>
              </w:rPr>
            </w:pPr>
          </w:p>
        </w:tc>
      </w:tr>
      <w:tr w14:paraId="442F6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684" w:type="dxa"/>
            <w:tcBorders>
              <w:top w:val="single" w:color="auto" w:sz="4" w:space="0"/>
              <w:left w:val="single" w:color="auto" w:sz="4" w:space="0"/>
              <w:bottom w:val="single" w:color="auto" w:sz="4" w:space="0"/>
              <w:right w:val="single" w:color="auto" w:sz="4" w:space="0"/>
            </w:tcBorders>
            <w:vAlign w:val="center"/>
          </w:tcPr>
          <w:p w14:paraId="18EF2658">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2</w:t>
            </w:r>
          </w:p>
        </w:tc>
        <w:tc>
          <w:tcPr>
            <w:tcW w:w="1897" w:type="dxa"/>
            <w:tcBorders>
              <w:top w:val="single" w:color="auto" w:sz="4" w:space="0"/>
              <w:left w:val="single" w:color="auto" w:sz="4" w:space="0"/>
              <w:bottom w:val="single" w:color="auto" w:sz="4" w:space="0"/>
              <w:right w:val="single" w:color="auto" w:sz="4" w:space="0"/>
            </w:tcBorders>
            <w:vAlign w:val="center"/>
          </w:tcPr>
          <w:p w14:paraId="70AAFEB4">
            <w:pPr>
              <w:wordWrap w:val="0"/>
              <w:spacing w:line="360" w:lineRule="auto"/>
              <w:rPr>
                <w:rFonts w:ascii="宋体" w:hAnsi="宋体" w:cs="宋体"/>
                <w:color w:val="auto"/>
                <w:szCs w:val="21"/>
                <w:highlight w:val="none"/>
              </w:rPr>
            </w:pPr>
          </w:p>
        </w:tc>
        <w:tc>
          <w:tcPr>
            <w:tcW w:w="2497" w:type="dxa"/>
            <w:tcBorders>
              <w:top w:val="single" w:color="auto" w:sz="4" w:space="0"/>
              <w:left w:val="single" w:color="auto" w:sz="4" w:space="0"/>
              <w:bottom w:val="single" w:color="auto" w:sz="4" w:space="0"/>
              <w:right w:val="single" w:color="auto" w:sz="4" w:space="0"/>
            </w:tcBorders>
            <w:vAlign w:val="center"/>
          </w:tcPr>
          <w:p w14:paraId="0A1C2510">
            <w:pPr>
              <w:wordWrap w:val="0"/>
              <w:spacing w:line="360" w:lineRule="auto"/>
              <w:rPr>
                <w:rFonts w:ascii="宋体" w:hAnsi="宋体" w:cs="宋体"/>
                <w:color w:val="auto"/>
                <w:szCs w:val="21"/>
                <w:highlight w:val="none"/>
              </w:rPr>
            </w:pPr>
          </w:p>
        </w:tc>
        <w:tc>
          <w:tcPr>
            <w:tcW w:w="1068" w:type="dxa"/>
            <w:tcBorders>
              <w:top w:val="single" w:color="auto" w:sz="4" w:space="0"/>
              <w:left w:val="single" w:color="auto" w:sz="4" w:space="0"/>
              <w:bottom w:val="single" w:color="auto" w:sz="4" w:space="0"/>
              <w:right w:val="single" w:color="auto" w:sz="4" w:space="0"/>
            </w:tcBorders>
            <w:vAlign w:val="center"/>
          </w:tcPr>
          <w:p w14:paraId="3BAC0CAB">
            <w:pPr>
              <w:wordWrap w:val="0"/>
              <w:spacing w:line="360" w:lineRule="auto"/>
              <w:rPr>
                <w:rFonts w:ascii="宋体" w:hAnsi="宋体" w:cs="宋体"/>
                <w:color w:val="auto"/>
                <w:szCs w:val="21"/>
                <w:highlight w:val="none"/>
              </w:rPr>
            </w:pPr>
          </w:p>
        </w:tc>
        <w:tc>
          <w:tcPr>
            <w:tcW w:w="888" w:type="dxa"/>
            <w:tcBorders>
              <w:top w:val="single" w:color="auto" w:sz="4" w:space="0"/>
              <w:left w:val="single" w:color="auto" w:sz="4" w:space="0"/>
              <w:bottom w:val="single" w:color="auto" w:sz="4" w:space="0"/>
              <w:right w:val="single" w:color="auto" w:sz="4" w:space="0"/>
            </w:tcBorders>
            <w:vAlign w:val="center"/>
          </w:tcPr>
          <w:p w14:paraId="55112612">
            <w:pPr>
              <w:wordWrap w:val="0"/>
              <w:spacing w:line="360" w:lineRule="auto"/>
              <w:rPr>
                <w:rFonts w:ascii="宋体" w:hAnsi="宋体" w:cs="宋体"/>
                <w:color w:val="auto"/>
                <w:szCs w:val="21"/>
                <w:highlight w:val="none"/>
              </w:rPr>
            </w:pPr>
          </w:p>
        </w:tc>
        <w:tc>
          <w:tcPr>
            <w:tcW w:w="2269" w:type="dxa"/>
            <w:tcBorders>
              <w:top w:val="single" w:color="auto" w:sz="4" w:space="0"/>
              <w:left w:val="single" w:color="auto" w:sz="4" w:space="0"/>
              <w:bottom w:val="single" w:color="auto" w:sz="4" w:space="0"/>
              <w:right w:val="single" w:color="auto" w:sz="4" w:space="0"/>
            </w:tcBorders>
            <w:vAlign w:val="center"/>
          </w:tcPr>
          <w:p w14:paraId="5208CCE6">
            <w:pPr>
              <w:wordWrap w:val="0"/>
              <w:spacing w:line="360" w:lineRule="auto"/>
              <w:rPr>
                <w:rFonts w:ascii="宋体" w:hAnsi="宋体" w:cs="宋体"/>
                <w:color w:val="auto"/>
                <w:szCs w:val="21"/>
                <w:highlight w:val="none"/>
              </w:rPr>
            </w:pPr>
          </w:p>
        </w:tc>
        <w:tc>
          <w:tcPr>
            <w:tcW w:w="1092" w:type="dxa"/>
            <w:tcBorders>
              <w:top w:val="single" w:color="auto" w:sz="4" w:space="0"/>
              <w:left w:val="single" w:color="auto" w:sz="4" w:space="0"/>
              <w:bottom w:val="single" w:color="auto" w:sz="4" w:space="0"/>
              <w:right w:val="single" w:color="auto" w:sz="4" w:space="0"/>
            </w:tcBorders>
            <w:vAlign w:val="center"/>
          </w:tcPr>
          <w:p w14:paraId="00E32BF5">
            <w:pPr>
              <w:wordWrap w:val="0"/>
              <w:spacing w:line="360" w:lineRule="auto"/>
              <w:rPr>
                <w:rFonts w:ascii="宋体" w:hAnsi="宋体" w:cs="宋体"/>
                <w:color w:val="auto"/>
                <w:szCs w:val="21"/>
                <w:highlight w:val="none"/>
              </w:rPr>
            </w:pPr>
          </w:p>
        </w:tc>
      </w:tr>
      <w:tr w14:paraId="26B0D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684" w:type="dxa"/>
            <w:tcBorders>
              <w:top w:val="single" w:color="auto" w:sz="4" w:space="0"/>
              <w:left w:val="single" w:color="auto" w:sz="4" w:space="0"/>
              <w:bottom w:val="single" w:color="auto" w:sz="4" w:space="0"/>
              <w:right w:val="single" w:color="auto" w:sz="4" w:space="0"/>
            </w:tcBorders>
            <w:vAlign w:val="center"/>
          </w:tcPr>
          <w:p w14:paraId="427B20C7">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w:t>
            </w:r>
          </w:p>
        </w:tc>
        <w:tc>
          <w:tcPr>
            <w:tcW w:w="1897" w:type="dxa"/>
            <w:tcBorders>
              <w:top w:val="single" w:color="auto" w:sz="4" w:space="0"/>
              <w:left w:val="single" w:color="auto" w:sz="4" w:space="0"/>
              <w:bottom w:val="single" w:color="auto" w:sz="4" w:space="0"/>
              <w:right w:val="single" w:color="auto" w:sz="4" w:space="0"/>
            </w:tcBorders>
            <w:vAlign w:val="center"/>
          </w:tcPr>
          <w:p w14:paraId="7CF30850">
            <w:pPr>
              <w:wordWrap w:val="0"/>
              <w:spacing w:line="360" w:lineRule="auto"/>
              <w:rPr>
                <w:rFonts w:ascii="宋体" w:hAnsi="宋体" w:cs="宋体"/>
                <w:color w:val="auto"/>
                <w:szCs w:val="21"/>
                <w:highlight w:val="none"/>
              </w:rPr>
            </w:pPr>
          </w:p>
        </w:tc>
        <w:tc>
          <w:tcPr>
            <w:tcW w:w="2497" w:type="dxa"/>
            <w:tcBorders>
              <w:top w:val="single" w:color="auto" w:sz="4" w:space="0"/>
              <w:left w:val="single" w:color="auto" w:sz="4" w:space="0"/>
              <w:bottom w:val="single" w:color="auto" w:sz="4" w:space="0"/>
              <w:right w:val="single" w:color="auto" w:sz="4" w:space="0"/>
            </w:tcBorders>
            <w:vAlign w:val="center"/>
          </w:tcPr>
          <w:p w14:paraId="13DB0718">
            <w:pPr>
              <w:wordWrap w:val="0"/>
              <w:spacing w:line="360" w:lineRule="auto"/>
              <w:rPr>
                <w:rFonts w:ascii="宋体" w:hAnsi="宋体" w:cs="宋体"/>
                <w:color w:val="auto"/>
                <w:szCs w:val="21"/>
                <w:highlight w:val="none"/>
              </w:rPr>
            </w:pPr>
          </w:p>
        </w:tc>
        <w:tc>
          <w:tcPr>
            <w:tcW w:w="1068" w:type="dxa"/>
            <w:tcBorders>
              <w:top w:val="single" w:color="auto" w:sz="4" w:space="0"/>
              <w:left w:val="single" w:color="auto" w:sz="4" w:space="0"/>
              <w:bottom w:val="single" w:color="auto" w:sz="4" w:space="0"/>
              <w:right w:val="single" w:color="auto" w:sz="4" w:space="0"/>
            </w:tcBorders>
            <w:vAlign w:val="center"/>
          </w:tcPr>
          <w:p w14:paraId="33659A81">
            <w:pPr>
              <w:wordWrap w:val="0"/>
              <w:spacing w:line="360" w:lineRule="auto"/>
              <w:rPr>
                <w:rFonts w:ascii="宋体" w:hAnsi="宋体" w:cs="宋体"/>
                <w:color w:val="auto"/>
                <w:szCs w:val="21"/>
                <w:highlight w:val="none"/>
              </w:rPr>
            </w:pPr>
          </w:p>
        </w:tc>
        <w:tc>
          <w:tcPr>
            <w:tcW w:w="888" w:type="dxa"/>
            <w:tcBorders>
              <w:top w:val="single" w:color="auto" w:sz="4" w:space="0"/>
              <w:left w:val="single" w:color="auto" w:sz="4" w:space="0"/>
              <w:bottom w:val="single" w:color="auto" w:sz="4" w:space="0"/>
              <w:right w:val="single" w:color="auto" w:sz="4" w:space="0"/>
            </w:tcBorders>
            <w:vAlign w:val="center"/>
          </w:tcPr>
          <w:p w14:paraId="1BE63D84">
            <w:pPr>
              <w:wordWrap w:val="0"/>
              <w:spacing w:line="360" w:lineRule="auto"/>
              <w:rPr>
                <w:rFonts w:ascii="宋体" w:hAnsi="宋体" w:cs="宋体"/>
                <w:color w:val="auto"/>
                <w:szCs w:val="21"/>
                <w:highlight w:val="none"/>
              </w:rPr>
            </w:pPr>
          </w:p>
        </w:tc>
        <w:tc>
          <w:tcPr>
            <w:tcW w:w="2269" w:type="dxa"/>
            <w:tcBorders>
              <w:top w:val="single" w:color="auto" w:sz="4" w:space="0"/>
              <w:left w:val="single" w:color="auto" w:sz="4" w:space="0"/>
              <w:bottom w:val="single" w:color="auto" w:sz="4" w:space="0"/>
              <w:right w:val="single" w:color="auto" w:sz="4" w:space="0"/>
            </w:tcBorders>
            <w:vAlign w:val="center"/>
          </w:tcPr>
          <w:p w14:paraId="529B84B4">
            <w:pPr>
              <w:wordWrap w:val="0"/>
              <w:spacing w:line="360" w:lineRule="auto"/>
              <w:rPr>
                <w:rFonts w:ascii="宋体" w:hAnsi="宋体" w:cs="宋体"/>
                <w:color w:val="auto"/>
                <w:szCs w:val="21"/>
                <w:highlight w:val="none"/>
              </w:rPr>
            </w:pPr>
          </w:p>
        </w:tc>
        <w:tc>
          <w:tcPr>
            <w:tcW w:w="1092" w:type="dxa"/>
            <w:tcBorders>
              <w:top w:val="single" w:color="auto" w:sz="4" w:space="0"/>
              <w:left w:val="single" w:color="auto" w:sz="4" w:space="0"/>
              <w:bottom w:val="single" w:color="auto" w:sz="4" w:space="0"/>
              <w:right w:val="single" w:color="auto" w:sz="4" w:space="0"/>
            </w:tcBorders>
            <w:vAlign w:val="center"/>
          </w:tcPr>
          <w:p w14:paraId="69D2236B">
            <w:pPr>
              <w:wordWrap w:val="0"/>
              <w:spacing w:line="360" w:lineRule="auto"/>
              <w:rPr>
                <w:rFonts w:ascii="宋体" w:hAnsi="宋体" w:cs="宋体"/>
                <w:color w:val="auto"/>
                <w:szCs w:val="21"/>
                <w:highlight w:val="none"/>
              </w:rPr>
            </w:pPr>
          </w:p>
        </w:tc>
      </w:tr>
      <w:tr w14:paraId="2C31A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10395" w:type="dxa"/>
            <w:gridSpan w:val="7"/>
            <w:tcBorders>
              <w:top w:val="single" w:color="auto" w:sz="4" w:space="0"/>
              <w:left w:val="single" w:color="auto" w:sz="4" w:space="0"/>
              <w:bottom w:val="single" w:color="auto" w:sz="4" w:space="0"/>
              <w:right w:val="single" w:color="auto" w:sz="4" w:space="0"/>
            </w:tcBorders>
          </w:tcPr>
          <w:p w14:paraId="7B5BB710">
            <w:pPr>
              <w:wordWrap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报价合计（包含税费等所有费用）：（大写）人民币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tc>
      </w:tr>
      <w:tr w14:paraId="72A2F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10395" w:type="dxa"/>
            <w:gridSpan w:val="7"/>
            <w:tcBorders>
              <w:top w:val="single" w:color="auto" w:sz="4" w:space="0"/>
              <w:left w:val="single" w:color="auto" w:sz="4" w:space="0"/>
              <w:bottom w:val="single" w:color="auto" w:sz="4" w:space="0"/>
              <w:right w:val="single" w:color="auto" w:sz="4" w:space="0"/>
            </w:tcBorders>
          </w:tcPr>
          <w:p w14:paraId="7F0BA692">
            <w:pPr>
              <w:wordWrap w:val="0"/>
              <w:spacing w:line="360" w:lineRule="auto"/>
              <w:rPr>
                <w:rFonts w:ascii="宋体" w:hAnsi="宋体" w:cs="宋体"/>
                <w:color w:val="auto"/>
                <w:szCs w:val="21"/>
                <w:highlight w:val="none"/>
                <w:u w:val="single"/>
              </w:rPr>
            </w:pPr>
            <w:r>
              <w:rPr>
                <w:rFonts w:hint="eastAsia" w:ascii="宋体" w:hAnsi="宋体" w:cs="宋体"/>
                <w:color w:val="auto"/>
                <w:szCs w:val="21"/>
                <w:highlight w:val="none"/>
                <w:u w:val="single"/>
              </w:rPr>
              <w:t>　　</w:t>
            </w:r>
            <w:r>
              <w:rPr>
                <w:rFonts w:hint="eastAsia" w:ascii="宋体" w:hAnsi="宋体" w:cs="宋体"/>
                <w:color w:val="auto"/>
                <w:szCs w:val="21"/>
                <w:highlight w:val="none"/>
              </w:rPr>
              <w:t>分标（此处有分标时填写具体分标号，无分标时填写“无”）</w:t>
            </w:r>
          </w:p>
        </w:tc>
      </w:tr>
      <w:tr w14:paraId="0ABAF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10395" w:type="dxa"/>
            <w:gridSpan w:val="7"/>
            <w:tcBorders>
              <w:top w:val="single" w:color="auto" w:sz="4" w:space="0"/>
              <w:left w:val="single" w:color="auto" w:sz="4" w:space="0"/>
              <w:bottom w:val="single" w:color="auto" w:sz="4" w:space="0"/>
              <w:right w:val="single" w:color="auto" w:sz="4" w:space="0"/>
            </w:tcBorders>
          </w:tcPr>
          <w:p w14:paraId="7DE2137B">
            <w:pPr>
              <w:wordWrap w:val="0"/>
              <w:spacing w:line="360" w:lineRule="auto"/>
              <w:rPr>
                <w:rFonts w:ascii="宋体" w:hAnsi="宋体" w:cs="宋体"/>
                <w:color w:val="auto"/>
                <w:szCs w:val="21"/>
                <w:highlight w:val="none"/>
                <w:u w:val="single"/>
              </w:rPr>
            </w:pPr>
            <w:r>
              <w:rPr>
                <w:rFonts w:hint="eastAsia" w:ascii="宋体" w:hAnsi="宋体" w:cs="宋体"/>
                <w:color w:val="auto"/>
                <w:szCs w:val="21"/>
                <w:highlight w:val="none"/>
              </w:rPr>
              <w:t>服务</w:t>
            </w:r>
            <w:r>
              <w:rPr>
                <w:rFonts w:hint="eastAsia" w:ascii="宋体" w:hAnsi="宋体" w:cs="宋体"/>
                <w:color w:val="auto"/>
                <w:szCs w:val="21"/>
                <w:highlight w:val="none"/>
                <w:lang w:val="en-US" w:eastAsia="zh-CN"/>
              </w:rPr>
              <w:t>时间</w:t>
            </w:r>
            <w:r>
              <w:rPr>
                <w:rFonts w:hint="eastAsia" w:ascii="宋体" w:hAnsi="宋体" w:cs="宋体"/>
                <w:color w:val="auto"/>
                <w:szCs w:val="21"/>
                <w:highlight w:val="none"/>
              </w:rPr>
              <w:t>：</w:t>
            </w:r>
          </w:p>
        </w:tc>
      </w:tr>
      <w:tr w14:paraId="5BBA8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10395" w:type="dxa"/>
            <w:gridSpan w:val="7"/>
            <w:tcBorders>
              <w:top w:val="single" w:color="auto" w:sz="4" w:space="0"/>
              <w:left w:val="single" w:color="auto" w:sz="4" w:space="0"/>
              <w:bottom w:val="single" w:color="auto" w:sz="4" w:space="0"/>
              <w:right w:val="single" w:color="auto" w:sz="4" w:space="0"/>
            </w:tcBorders>
          </w:tcPr>
          <w:p w14:paraId="5A591A03">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验收标准：</w:t>
            </w:r>
          </w:p>
        </w:tc>
      </w:tr>
      <w:tr w14:paraId="20D18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10395" w:type="dxa"/>
            <w:gridSpan w:val="7"/>
            <w:tcBorders>
              <w:top w:val="single" w:color="auto" w:sz="4" w:space="0"/>
              <w:left w:val="single" w:color="auto" w:sz="4" w:space="0"/>
              <w:bottom w:val="single" w:color="auto" w:sz="4" w:space="0"/>
              <w:right w:val="single" w:color="auto" w:sz="4" w:space="0"/>
            </w:tcBorders>
          </w:tcPr>
          <w:p w14:paraId="2088E2A9">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优惠及其它：</w:t>
            </w:r>
          </w:p>
        </w:tc>
      </w:tr>
    </w:tbl>
    <w:p w14:paraId="43624E30">
      <w:pPr>
        <w:wordWrap w:val="0"/>
        <w:snapToGri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 xml:space="preserve">注： </w:t>
      </w:r>
    </w:p>
    <w:p w14:paraId="16EC66D0">
      <w:pPr>
        <w:wordWrap w:val="0"/>
        <w:snapToGri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zh-CN"/>
        </w:rPr>
        <w:t>投标人需按本表格式填写，不得自行更改，也不得留空（备注</w:t>
      </w:r>
      <w:r>
        <w:rPr>
          <w:rFonts w:hint="eastAsia" w:ascii="宋体" w:hAnsi="宋体" w:cs="宋体"/>
          <w:color w:val="auto"/>
          <w:kern w:val="0"/>
          <w:szCs w:val="21"/>
          <w:highlight w:val="none"/>
        </w:rPr>
        <w:t>除外</w:t>
      </w:r>
      <w:r>
        <w:rPr>
          <w:rFonts w:hint="eastAsia" w:ascii="宋体" w:hAnsi="宋体" w:cs="宋体"/>
          <w:color w:val="auto"/>
          <w:kern w:val="0"/>
          <w:szCs w:val="21"/>
          <w:highlight w:val="none"/>
          <w:lang w:val="zh-CN"/>
        </w:rPr>
        <w:t>）, 如有多分标，按分标分别提供开标一览表，必须加盖投标人有效电子公章，</w:t>
      </w:r>
      <w:r>
        <w:rPr>
          <w:rFonts w:hint="eastAsia" w:ascii="宋体" w:hAnsi="宋体" w:cs="宋体"/>
          <w:b/>
          <w:color w:val="auto"/>
          <w:kern w:val="0"/>
          <w:szCs w:val="21"/>
          <w:highlight w:val="none"/>
          <w:lang w:val="zh-CN"/>
        </w:rPr>
        <w:t>否则其投标作无效标处理。</w:t>
      </w:r>
    </w:p>
    <w:p w14:paraId="527EBE73">
      <w:pPr>
        <w:wordWrap w:val="0"/>
        <w:snapToGri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2</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zh-CN"/>
        </w:rPr>
        <w:t>本表内容均不能涂改，</w:t>
      </w:r>
      <w:r>
        <w:rPr>
          <w:rFonts w:hint="eastAsia" w:ascii="宋体" w:hAnsi="宋体" w:cs="宋体"/>
          <w:b/>
          <w:color w:val="auto"/>
          <w:kern w:val="0"/>
          <w:szCs w:val="21"/>
          <w:highlight w:val="none"/>
          <w:lang w:val="zh-CN"/>
        </w:rPr>
        <w:t>否则其投标作无效标处理。</w:t>
      </w:r>
    </w:p>
    <w:p w14:paraId="483B7DBE">
      <w:pPr>
        <w:wordWrap w:val="0"/>
        <w:snapToGrid w:val="0"/>
        <w:spacing w:line="360" w:lineRule="auto"/>
        <w:ind w:firstLine="420" w:firstLineChars="200"/>
        <w:jc w:val="left"/>
        <w:rPr>
          <w:rFonts w:ascii="宋体" w:hAnsi="宋体" w:cs="宋体"/>
          <w:b/>
          <w:color w:val="auto"/>
          <w:kern w:val="0"/>
          <w:szCs w:val="21"/>
          <w:highlight w:val="none"/>
          <w:lang w:val="zh-CN"/>
        </w:rPr>
      </w:pPr>
      <w:r>
        <w:rPr>
          <w:rFonts w:hint="eastAsia" w:ascii="宋体" w:hAnsi="宋体" w:cs="宋体"/>
          <w:color w:val="auto"/>
          <w:kern w:val="0"/>
          <w:szCs w:val="21"/>
          <w:highlight w:val="none"/>
          <w:lang w:val="zh-CN"/>
        </w:rPr>
        <w:t>3</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zh-CN"/>
        </w:rPr>
        <w:t>如为联合体投标，“投标人名称”处必须列明联合体各方名称，并标注联合体牵头人名称，且盖章处须加盖联合体各方公章，</w:t>
      </w:r>
      <w:r>
        <w:rPr>
          <w:rFonts w:hint="eastAsia" w:ascii="宋体" w:hAnsi="宋体" w:cs="宋体"/>
          <w:b/>
          <w:color w:val="auto"/>
          <w:kern w:val="0"/>
          <w:szCs w:val="21"/>
          <w:highlight w:val="none"/>
          <w:lang w:val="zh-CN"/>
        </w:rPr>
        <w:t>否则其投标作无效标处理。</w:t>
      </w:r>
    </w:p>
    <w:p w14:paraId="19CEC273">
      <w:pPr>
        <w:wordWrap w:val="0"/>
        <w:snapToGri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4</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zh-CN"/>
        </w:rPr>
        <w:t>以上表格要求细分项目及报价，在“具体服务内容”一栏中，填写具体服务范围、服务时间、服务标准，</w:t>
      </w:r>
      <w:r>
        <w:rPr>
          <w:rFonts w:hint="eastAsia" w:ascii="宋体" w:hAnsi="宋体" w:cs="宋体"/>
          <w:b/>
          <w:color w:val="auto"/>
          <w:kern w:val="0"/>
          <w:szCs w:val="21"/>
          <w:highlight w:val="none"/>
          <w:lang w:val="zh-CN"/>
        </w:rPr>
        <w:t>否则其投标作无效</w:t>
      </w:r>
      <w:r>
        <w:rPr>
          <w:rFonts w:hint="eastAsia" w:ascii="宋体" w:hAnsi="宋体" w:cs="宋体"/>
          <w:b/>
          <w:color w:val="auto"/>
          <w:kern w:val="0"/>
          <w:szCs w:val="21"/>
          <w:highlight w:val="none"/>
        </w:rPr>
        <w:t>投</w:t>
      </w:r>
      <w:r>
        <w:rPr>
          <w:rFonts w:hint="eastAsia" w:ascii="宋体" w:hAnsi="宋体" w:cs="宋体"/>
          <w:b/>
          <w:color w:val="auto"/>
          <w:kern w:val="0"/>
          <w:szCs w:val="21"/>
          <w:highlight w:val="none"/>
          <w:lang w:val="zh-CN"/>
        </w:rPr>
        <w:t>标处理。</w:t>
      </w:r>
    </w:p>
    <w:p w14:paraId="338E09A1">
      <w:pPr>
        <w:wordWrap w:val="0"/>
        <w:snapToGri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5</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zh-CN"/>
        </w:rPr>
        <w:t>特别提示：采购机构将对项目名称和项目编号，中标供应商名称、地址和中标金额，主要中标标的的名称、服务范围、服务要求、服务时间、服务标准等予以公示。</w:t>
      </w:r>
    </w:p>
    <w:p w14:paraId="09BBF739">
      <w:pPr>
        <w:wordWrap w:val="0"/>
        <w:snapToGri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6</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zh-CN"/>
        </w:rPr>
        <w:t>符合招标文件中列明的可享受</w:t>
      </w:r>
      <w:r>
        <w:rPr>
          <w:rFonts w:hint="eastAsia" w:ascii="宋体" w:hAnsi="宋体" w:cs="宋体"/>
          <w:color w:val="auto"/>
          <w:kern w:val="0"/>
          <w:szCs w:val="21"/>
          <w:highlight w:val="none"/>
        </w:rPr>
        <w:t>中小</w:t>
      </w:r>
      <w:r>
        <w:rPr>
          <w:rFonts w:hint="eastAsia" w:ascii="宋体" w:hAnsi="宋体" w:cs="宋体"/>
          <w:color w:val="auto"/>
          <w:kern w:val="0"/>
          <w:szCs w:val="21"/>
          <w:highlight w:val="none"/>
          <w:lang w:val="zh-CN"/>
        </w:rPr>
        <w:t>企业扶持政策的投标人，请填写《中小企业声明函》。注：投标人提供的《中小企业声明函》内容不实的，属于提供虚假材料谋取中标、成交，依照《中华人民共和国政府采购法》等国家有关规定追究相应责任。</w:t>
      </w:r>
    </w:p>
    <w:p w14:paraId="7121923D">
      <w:pPr>
        <w:wordWrap w:val="0"/>
        <w:snapToGrid w:val="0"/>
        <w:spacing w:line="360" w:lineRule="auto"/>
        <w:ind w:firstLine="4620" w:firstLineChars="2100"/>
        <w:rPr>
          <w:rFonts w:ascii="宋体" w:hAnsi="宋体" w:cs="宋体"/>
          <w:color w:val="auto"/>
          <w:kern w:val="0"/>
          <w:sz w:val="22"/>
          <w:szCs w:val="22"/>
          <w:highlight w:val="none"/>
        </w:rPr>
      </w:pPr>
      <w:r>
        <w:rPr>
          <w:rFonts w:hint="eastAsia" w:ascii="宋体" w:hAnsi="宋体" w:cs="宋体"/>
          <w:color w:val="auto"/>
          <w:kern w:val="0"/>
          <w:sz w:val="22"/>
          <w:szCs w:val="22"/>
          <w:highlight w:val="none"/>
          <w:lang w:val="zh-CN"/>
        </w:rPr>
        <w:t>投标人名称(电子签章)：</w:t>
      </w:r>
    </w:p>
    <w:p w14:paraId="197F52A0">
      <w:pPr>
        <w:wordWrap w:val="0"/>
        <w:snapToGrid w:val="0"/>
        <w:spacing w:line="360" w:lineRule="auto"/>
        <w:ind w:firstLine="4730" w:firstLineChars="2150"/>
        <w:rPr>
          <w:rFonts w:ascii="宋体" w:hAnsi="宋体" w:cs="宋体"/>
          <w:color w:val="auto"/>
          <w:kern w:val="0"/>
          <w:sz w:val="24"/>
          <w:highlight w:val="none"/>
          <w:lang w:val="zh-CN"/>
        </w:rPr>
      </w:pPr>
      <w:r>
        <w:rPr>
          <w:rFonts w:hint="eastAsia" w:ascii="宋体" w:hAnsi="宋体" w:cs="宋体"/>
          <w:color w:val="auto"/>
          <w:kern w:val="0"/>
          <w:sz w:val="22"/>
          <w:szCs w:val="22"/>
          <w:highlight w:val="none"/>
          <w:lang w:val="zh-CN"/>
        </w:rPr>
        <w:t>日期</w:t>
      </w:r>
      <w:r>
        <w:rPr>
          <w:rFonts w:hint="eastAsia" w:ascii="宋体" w:hAnsi="宋体" w:cs="宋体"/>
          <w:color w:val="auto"/>
          <w:kern w:val="0"/>
          <w:sz w:val="22"/>
          <w:szCs w:val="22"/>
          <w:highlight w:val="none"/>
        </w:rPr>
        <w:t xml:space="preserve">：  年  </w:t>
      </w:r>
      <w:r>
        <w:rPr>
          <w:rFonts w:hint="eastAsia" w:ascii="宋体" w:hAnsi="宋体" w:cs="宋体"/>
          <w:color w:val="auto"/>
          <w:kern w:val="0"/>
          <w:sz w:val="22"/>
          <w:szCs w:val="22"/>
          <w:highlight w:val="none"/>
          <w:lang w:val="zh-CN"/>
        </w:rPr>
        <w:t>月</w:t>
      </w:r>
      <w:r>
        <w:rPr>
          <w:rFonts w:hint="eastAsia" w:ascii="宋体" w:hAnsi="宋体" w:cs="宋体"/>
          <w:color w:val="auto"/>
          <w:kern w:val="0"/>
          <w:sz w:val="22"/>
          <w:szCs w:val="22"/>
          <w:highlight w:val="none"/>
        </w:rPr>
        <w:t xml:space="preserve">   </w:t>
      </w:r>
      <w:r>
        <w:rPr>
          <w:rFonts w:hint="eastAsia" w:ascii="宋体" w:hAnsi="宋体" w:cs="宋体"/>
          <w:color w:val="auto"/>
          <w:kern w:val="0"/>
          <w:sz w:val="22"/>
          <w:szCs w:val="22"/>
          <w:highlight w:val="none"/>
          <w:lang w:val="zh-CN"/>
        </w:rPr>
        <w:t>日</w:t>
      </w:r>
    </w:p>
    <w:p w14:paraId="44C81425">
      <w:pPr>
        <w:rPr>
          <w:rFonts w:ascii="宋体" w:hAnsi="宋体" w:cs="宋体"/>
          <w:b/>
          <w:bCs/>
          <w:color w:val="auto"/>
          <w:sz w:val="28"/>
          <w:szCs w:val="28"/>
          <w:highlight w:val="none"/>
        </w:rPr>
      </w:pPr>
      <w:r>
        <w:rPr>
          <w:rFonts w:hint="eastAsia" w:ascii="宋体" w:hAnsi="宋体" w:cs="宋体"/>
          <w:b/>
          <w:bCs/>
          <w:color w:val="auto"/>
          <w:sz w:val="28"/>
          <w:szCs w:val="28"/>
          <w:highlight w:val="none"/>
        </w:rPr>
        <w:br w:type="page"/>
      </w:r>
    </w:p>
    <w:p w14:paraId="3C3BF213">
      <w:pPr>
        <w:wordWrap w:val="0"/>
        <w:spacing w:line="360" w:lineRule="auto"/>
        <w:rPr>
          <w:rFonts w:ascii="宋体" w:hAnsi="宋体" w:cs="宋体"/>
          <w:b/>
          <w:color w:val="auto"/>
          <w:sz w:val="30"/>
          <w:szCs w:val="30"/>
          <w:highlight w:val="none"/>
        </w:rPr>
      </w:pPr>
      <w:r>
        <w:rPr>
          <w:rFonts w:hint="eastAsia" w:ascii="宋体" w:hAnsi="宋体" w:cs="宋体"/>
          <w:b/>
          <w:color w:val="auto"/>
          <w:sz w:val="30"/>
          <w:szCs w:val="30"/>
          <w:highlight w:val="none"/>
        </w:rPr>
        <w:t>三、</w:t>
      </w:r>
      <w:r>
        <w:rPr>
          <w:rFonts w:hint="eastAsia" w:ascii="宋体" w:hAnsi="宋体" w:cs="宋体"/>
          <w:b/>
          <w:color w:val="auto"/>
          <w:sz w:val="30"/>
          <w:szCs w:val="30"/>
          <w:highlight w:val="none"/>
          <w:lang w:val="en-US" w:eastAsia="zh-CN"/>
        </w:rPr>
        <w:t>或</w:t>
      </w:r>
      <w:r>
        <w:rPr>
          <w:rFonts w:hint="eastAsia" w:ascii="宋体" w:hAnsi="宋体" w:cs="宋体"/>
          <w:b/>
          <w:color w:val="auto"/>
          <w:sz w:val="30"/>
          <w:szCs w:val="30"/>
          <w:highlight w:val="none"/>
        </w:rPr>
        <w:t>残疾人福利性单位声明函</w:t>
      </w:r>
      <w:r>
        <w:rPr>
          <w:rFonts w:hint="eastAsia" w:ascii="宋体" w:hAnsi="宋体" w:cs="宋体"/>
          <w:b/>
          <w:color w:val="auto"/>
          <w:sz w:val="30"/>
          <w:szCs w:val="30"/>
          <w:highlight w:val="none"/>
          <w:lang w:val="en-US" w:eastAsia="zh-CN"/>
        </w:rPr>
        <w:t>或</w:t>
      </w:r>
      <w:r>
        <w:rPr>
          <w:rFonts w:hint="eastAsia" w:ascii="宋体" w:hAnsi="宋体" w:cs="宋体"/>
          <w:b/>
          <w:color w:val="auto"/>
          <w:sz w:val="30"/>
          <w:szCs w:val="30"/>
          <w:highlight w:val="none"/>
        </w:rPr>
        <w:t>监狱企业声明函等</w:t>
      </w:r>
    </w:p>
    <w:p w14:paraId="63B254D4">
      <w:pPr>
        <w:pStyle w:val="12"/>
        <w:wordWrap w:val="0"/>
        <w:spacing w:line="360" w:lineRule="auto"/>
        <w:jc w:val="both"/>
        <w:rPr>
          <w:rFonts w:hAnsi="宋体" w:cs="宋体"/>
          <w:b/>
          <w:color w:val="auto"/>
          <w:sz w:val="30"/>
          <w:szCs w:val="30"/>
          <w:highlight w:val="none"/>
        </w:rPr>
      </w:pPr>
    </w:p>
    <w:p w14:paraId="4B4E29D0">
      <w:pPr>
        <w:pStyle w:val="12"/>
        <w:wordWrap w:val="0"/>
        <w:spacing w:line="360" w:lineRule="auto"/>
        <w:jc w:val="center"/>
        <w:rPr>
          <w:rFonts w:hAnsi="宋体" w:cs="宋体"/>
          <w:b/>
          <w:color w:val="auto"/>
          <w:sz w:val="30"/>
          <w:szCs w:val="30"/>
          <w:highlight w:val="none"/>
        </w:rPr>
      </w:pPr>
      <w:r>
        <w:rPr>
          <w:rFonts w:hint="eastAsia" w:hAnsi="宋体" w:cs="宋体"/>
          <w:b/>
          <w:color w:val="auto"/>
          <w:sz w:val="30"/>
          <w:szCs w:val="30"/>
          <w:highlight w:val="none"/>
        </w:rPr>
        <w:t>中小企业声明函</w:t>
      </w:r>
    </w:p>
    <w:p w14:paraId="3259610C">
      <w:pPr>
        <w:pStyle w:val="10"/>
        <w:wordWrap w:val="0"/>
        <w:spacing w:line="360" w:lineRule="auto"/>
        <w:ind w:firstLine="0"/>
        <w:rPr>
          <w:rFonts w:hAnsi="宋体" w:cs="宋体"/>
          <w:color w:val="auto"/>
          <w:sz w:val="21"/>
          <w:szCs w:val="21"/>
          <w:highlight w:val="none"/>
        </w:rPr>
      </w:pPr>
      <w:r>
        <w:rPr>
          <w:rFonts w:hint="eastAsia" w:hAnsi="宋体" w:cs="宋体"/>
          <w:color w:val="auto"/>
          <w:sz w:val="21"/>
          <w:szCs w:val="21"/>
          <w:highlight w:val="none"/>
        </w:rPr>
        <w:t>说明：</w:t>
      </w:r>
    </w:p>
    <w:p w14:paraId="146411E9">
      <w:pPr>
        <w:pStyle w:val="10"/>
        <w:wordWrap w:val="0"/>
        <w:spacing w:line="360" w:lineRule="auto"/>
        <w:ind w:firstLine="404" w:firstLineChars="200"/>
        <w:rPr>
          <w:rFonts w:hAnsi="宋体" w:cs="宋体"/>
          <w:color w:val="auto"/>
          <w:sz w:val="21"/>
          <w:szCs w:val="21"/>
          <w:highlight w:val="none"/>
        </w:rPr>
      </w:pPr>
      <w:r>
        <w:rPr>
          <w:rFonts w:hint="eastAsia" w:hAnsi="宋体" w:cs="宋体"/>
          <w:color w:val="auto"/>
          <w:sz w:val="21"/>
          <w:szCs w:val="21"/>
          <w:highlight w:val="none"/>
        </w:rPr>
        <w:t>1.本声明函主要供参加政府采购活动的中小企业填写，非中小企业无需填写。</w:t>
      </w:r>
    </w:p>
    <w:p w14:paraId="1B195B5A">
      <w:pPr>
        <w:pStyle w:val="10"/>
        <w:wordWrap w:val="0"/>
        <w:spacing w:line="360" w:lineRule="auto"/>
        <w:ind w:firstLine="404" w:firstLineChars="200"/>
        <w:rPr>
          <w:rFonts w:hAnsi="宋体" w:cs="宋体"/>
          <w:color w:val="auto"/>
          <w:sz w:val="21"/>
          <w:szCs w:val="21"/>
          <w:highlight w:val="none"/>
        </w:rPr>
      </w:pPr>
      <w:r>
        <w:rPr>
          <w:rFonts w:hint="eastAsia" w:hAnsi="宋体" w:cs="宋体"/>
          <w:color w:val="auto"/>
          <w:sz w:val="21"/>
          <w:szCs w:val="21"/>
          <w:highlight w:val="none"/>
        </w:rPr>
        <w:t>2.小型、微型企业提供中型企业提供的服务的，视同为中型企业。</w:t>
      </w:r>
    </w:p>
    <w:p w14:paraId="5D704964">
      <w:pPr>
        <w:pStyle w:val="10"/>
        <w:wordWrap w:val="0"/>
        <w:spacing w:line="360" w:lineRule="auto"/>
        <w:ind w:firstLine="404" w:firstLineChars="200"/>
        <w:rPr>
          <w:rFonts w:hAnsi="宋体" w:cs="宋体"/>
          <w:color w:val="auto"/>
          <w:sz w:val="21"/>
          <w:szCs w:val="21"/>
          <w:highlight w:val="none"/>
        </w:rPr>
      </w:pPr>
    </w:p>
    <w:p w14:paraId="29E4C545">
      <w:pPr>
        <w:pStyle w:val="9"/>
        <w:wordWrap w:val="0"/>
        <w:spacing w:after="0" w:line="360" w:lineRule="auto"/>
        <w:ind w:right="142" w:firstLine="420" w:firstLineChars="200"/>
        <w:rPr>
          <w:rFonts w:ascii="宋体" w:hAnsi="宋体" w:cs="宋体"/>
          <w:color w:val="auto"/>
          <w:highlight w:val="none"/>
        </w:rPr>
      </w:pPr>
      <w:r>
        <w:rPr>
          <w:rFonts w:hint="eastAsia" w:ascii="宋体" w:hAnsi="宋体" w:cs="宋体"/>
          <w:color w:val="auto"/>
          <w:highlight w:val="none"/>
        </w:rPr>
        <w:t>本公司（联合体）郑重声明，根据《政府采购促进中小企业发展管理办法》（财库﹝2020﹞46号）的规定，本公司（联合体）参加</w:t>
      </w:r>
      <w:r>
        <w:rPr>
          <w:rFonts w:hint="eastAsia" w:ascii="宋体" w:hAnsi="宋体" w:cs="宋体"/>
          <w:color w:val="auto"/>
          <w:highlight w:val="none"/>
          <w:u w:val="single"/>
        </w:rPr>
        <w:t xml:space="preserve">   （采购人名称）           </w:t>
      </w:r>
      <w:r>
        <w:rPr>
          <w:rFonts w:hint="eastAsia" w:ascii="宋体" w:hAnsi="宋体" w:cs="宋体"/>
          <w:color w:val="auto"/>
          <w:highlight w:val="none"/>
        </w:rPr>
        <w:t>的</w:t>
      </w:r>
      <w:r>
        <w:rPr>
          <w:rFonts w:hint="eastAsia" w:ascii="宋体" w:hAnsi="宋体" w:cs="宋体"/>
          <w:color w:val="auto"/>
          <w:highlight w:val="none"/>
          <w:u w:val="single"/>
        </w:rPr>
        <w:t>（项目名称）</w:t>
      </w:r>
      <w:r>
        <w:rPr>
          <w:rFonts w:hint="eastAsia" w:ascii="宋体" w:hAnsi="宋体" w:cs="宋体"/>
          <w:color w:val="auto"/>
          <w:highlight w:val="none"/>
        </w:rPr>
        <w:t>采购活动，服务全部由符合政策要求的中小企业承接。相关企业（含联合体中的中小企业、签订分包意向协议的中小企业）的具体情况如下：</w:t>
      </w:r>
    </w:p>
    <w:p w14:paraId="65D4C229">
      <w:pPr>
        <w:tabs>
          <w:tab w:val="left" w:pos="1384"/>
          <w:tab w:val="left" w:pos="4562"/>
          <w:tab w:val="left" w:pos="6803"/>
        </w:tabs>
        <w:wordWrap w:val="0"/>
        <w:spacing w:line="360" w:lineRule="auto"/>
        <w:ind w:right="142" w:firstLine="630" w:firstLineChars="300"/>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u w:val="single"/>
        </w:rPr>
        <w:t xml:space="preserve">（标的名称）    </w:t>
      </w:r>
      <w:r>
        <w:rPr>
          <w:rFonts w:hint="eastAsia" w:ascii="宋体" w:hAnsi="宋体" w:cs="宋体"/>
          <w:color w:val="auto"/>
          <w:szCs w:val="21"/>
          <w:highlight w:val="none"/>
        </w:rPr>
        <w:t>，属于</w:t>
      </w:r>
      <w:r>
        <w:rPr>
          <w:rFonts w:hint="eastAsia" w:ascii="宋体" w:hAnsi="宋体" w:cs="宋体"/>
          <w:color w:val="auto"/>
          <w:szCs w:val="21"/>
          <w:highlight w:val="none"/>
          <w:u w:val="single"/>
        </w:rPr>
        <w:t xml:space="preserve">（采购文件中明确的所属行业） </w:t>
      </w:r>
      <w:r>
        <w:rPr>
          <w:rFonts w:hint="eastAsia" w:ascii="宋体" w:hAnsi="宋体" w:cs="宋体"/>
          <w:color w:val="auto"/>
          <w:szCs w:val="21"/>
          <w:highlight w:val="none"/>
        </w:rPr>
        <w:t>；承接企业为</w:t>
      </w:r>
      <w:r>
        <w:rPr>
          <w:rFonts w:hint="eastAsia" w:ascii="宋体" w:hAnsi="宋体" w:cs="宋体"/>
          <w:color w:val="auto"/>
          <w:szCs w:val="21"/>
          <w:highlight w:val="none"/>
          <w:u w:val="single"/>
        </w:rPr>
        <w:t>（企业名称）</w:t>
      </w:r>
      <w:r>
        <w:rPr>
          <w:rFonts w:hint="eastAsia" w:ascii="宋体" w:hAnsi="宋体" w:cs="宋体"/>
          <w:color w:val="auto"/>
          <w:szCs w:val="21"/>
          <w:highlight w:val="none"/>
        </w:rPr>
        <w:t>，从业人员</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人，营业收入为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万元，资产总额为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万元，属于</w:t>
      </w:r>
      <w:r>
        <w:rPr>
          <w:rFonts w:hint="eastAsia" w:ascii="宋体" w:hAnsi="宋体" w:cs="宋体"/>
          <w:color w:val="auto"/>
          <w:szCs w:val="21"/>
          <w:highlight w:val="none"/>
          <w:u w:val="single"/>
        </w:rPr>
        <w:t xml:space="preserve">  （中型企业、小型企业、微型企业）</w:t>
      </w:r>
      <w:r>
        <w:rPr>
          <w:rFonts w:hint="eastAsia" w:ascii="宋体" w:hAnsi="宋体" w:cs="宋体"/>
          <w:color w:val="auto"/>
          <w:szCs w:val="21"/>
          <w:highlight w:val="none"/>
        </w:rPr>
        <w:t>；</w:t>
      </w:r>
    </w:p>
    <w:p w14:paraId="78E6533E">
      <w:pPr>
        <w:tabs>
          <w:tab w:val="left" w:pos="1065"/>
          <w:tab w:val="left" w:pos="4262"/>
          <w:tab w:val="left" w:pos="6477"/>
        </w:tabs>
        <w:wordWrap w:val="0"/>
        <w:spacing w:line="360" w:lineRule="auto"/>
        <w:ind w:left="420" w:leftChars="200" w:right="84" w:firstLine="178" w:firstLineChars="85"/>
        <w:rPr>
          <w:rFonts w:ascii="宋体" w:hAnsi="宋体" w:cs="宋体"/>
          <w:color w:val="auto"/>
          <w:szCs w:val="21"/>
          <w:highlight w:val="none"/>
          <w:u w:val="single"/>
        </w:rPr>
      </w:pPr>
      <w:r>
        <w:rPr>
          <w:rFonts w:hint="eastAsia" w:ascii="宋体" w:hAnsi="宋体" w:cs="宋体"/>
          <w:color w:val="auto"/>
          <w:szCs w:val="21"/>
          <w:highlight w:val="none"/>
        </w:rPr>
        <w:t>2.</w:t>
      </w:r>
      <w:r>
        <w:rPr>
          <w:rFonts w:hint="eastAsia" w:ascii="宋体" w:hAnsi="宋体" w:cs="宋体"/>
          <w:color w:val="auto"/>
          <w:szCs w:val="21"/>
          <w:highlight w:val="none"/>
          <w:u w:val="single"/>
        </w:rPr>
        <w:t xml:space="preserve">（标的名称）   </w:t>
      </w:r>
      <w:r>
        <w:rPr>
          <w:rFonts w:hint="eastAsia" w:ascii="宋体" w:hAnsi="宋体" w:cs="宋体"/>
          <w:color w:val="auto"/>
          <w:szCs w:val="21"/>
          <w:highlight w:val="none"/>
        </w:rPr>
        <w:t>，属于</w:t>
      </w:r>
      <w:r>
        <w:rPr>
          <w:rFonts w:hint="eastAsia" w:ascii="宋体" w:hAnsi="宋体" w:cs="宋体"/>
          <w:color w:val="auto"/>
          <w:szCs w:val="21"/>
          <w:highlight w:val="none"/>
          <w:u w:val="single"/>
        </w:rPr>
        <w:t>（采购文件中明确的所属行业）</w:t>
      </w:r>
      <w:r>
        <w:rPr>
          <w:rFonts w:hint="eastAsia" w:ascii="宋体" w:hAnsi="宋体" w:cs="宋体"/>
          <w:color w:val="auto"/>
          <w:szCs w:val="21"/>
          <w:highlight w:val="none"/>
        </w:rPr>
        <w:t>；承接企业为</w:t>
      </w:r>
      <w:r>
        <w:rPr>
          <w:rFonts w:hint="eastAsia" w:ascii="宋体" w:hAnsi="宋体" w:cs="宋体"/>
          <w:color w:val="auto"/>
          <w:szCs w:val="21"/>
          <w:highlight w:val="none"/>
          <w:u w:val="single"/>
        </w:rPr>
        <w:t>（企业名称）</w:t>
      </w:r>
      <w:r>
        <w:rPr>
          <w:rFonts w:hint="eastAsia" w:ascii="宋体" w:hAnsi="宋体" w:cs="宋体"/>
          <w:color w:val="auto"/>
          <w:szCs w:val="21"/>
          <w:highlight w:val="none"/>
        </w:rPr>
        <w:t>，从业人员</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人，营业收入为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万元，资产总额为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万元，属于</w:t>
      </w:r>
      <w:r>
        <w:rPr>
          <w:rFonts w:hint="eastAsia" w:ascii="宋体" w:hAnsi="宋体" w:cs="宋体"/>
          <w:color w:val="auto"/>
          <w:szCs w:val="21"/>
          <w:highlight w:val="none"/>
          <w:u w:val="single"/>
        </w:rPr>
        <w:t>（中型企业、小型企业、微型企业）</w:t>
      </w:r>
      <w:r>
        <w:rPr>
          <w:rFonts w:hint="eastAsia" w:ascii="宋体" w:hAnsi="宋体" w:cs="宋体"/>
          <w:color w:val="auto"/>
          <w:szCs w:val="21"/>
          <w:highlight w:val="none"/>
        </w:rPr>
        <w:t>；</w:t>
      </w:r>
    </w:p>
    <w:p w14:paraId="132EA539">
      <w:pPr>
        <w:pStyle w:val="9"/>
        <w:wordWrap w:val="0"/>
        <w:spacing w:after="0" w:line="360" w:lineRule="auto"/>
        <w:ind w:left="765" w:right="142" w:hanging="5"/>
        <w:rPr>
          <w:rFonts w:ascii="宋体" w:hAnsi="宋体" w:cs="宋体"/>
          <w:color w:val="auto"/>
          <w:highlight w:val="none"/>
        </w:rPr>
      </w:pPr>
      <w:r>
        <w:rPr>
          <w:rFonts w:hint="eastAsia" w:ascii="宋体" w:hAnsi="宋体" w:cs="宋体"/>
          <w:color w:val="auto"/>
          <w:highlight w:val="none"/>
        </w:rPr>
        <w:t xml:space="preserve">…… </w:t>
      </w:r>
    </w:p>
    <w:p w14:paraId="5A685B34">
      <w:pPr>
        <w:pStyle w:val="9"/>
        <w:wordWrap w:val="0"/>
        <w:spacing w:after="0" w:line="360" w:lineRule="auto"/>
        <w:ind w:right="142" w:firstLine="420" w:firstLineChars="200"/>
        <w:rPr>
          <w:rFonts w:ascii="宋体" w:hAnsi="宋体" w:cs="宋体"/>
          <w:color w:val="auto"/>
          <w:highlight w:val="none"/>
        </w:rPr>
      </w:pPr>
      <w:r>
        <w:rPr>
          <w:rFonts w:hint="eastAsia" w:ascii="宋体" w:hAnsi="宋体" w:cs="宋体"/>
          <w:color w:val="auto"/>
          <w:highlight w:val="none"/>
        </w:rPr>
        <w:t>以上企业，不属于大企业的分支机构，不存在控股股东为大企业的情形，也不存在与大企业的负责人为同一人的情形。</w:t>
      </w:r>
    </w:p>
    <w:p w14:paraId="61BBC504">
      <w:pPr>
        <w:pStyle w:val="9"/>
        <w:wordWrap w:val="0"/>
        <w:spacing w:after="0" w:line="360" w:lineRule="auto"/>
        <w:ind w:right="142" w:firstLine="420" w:firstLineChars="200"/>
        <w:rPr>
          <w:rFonts w:ascii="宋体" w:hAnsi="宋体" w:cs="宋体"/>
          <w:color w:val="auto"/>
          <w:szCs w:val="21"/>
          <w:highlight w:val="none"/>
        </w:rPr>
      </w:pPr>
      <w:r>
        <w:rPr>
          <w:rFonts w:hint="eastAsia" w:ascii="宋体" w:hAnsi="宋体" w:cs="宋体"/>
          <w:color w:val="auto"/>
          <w:highlight w:val="none"/>
        </w:rPr>
        <w:t>本企业对上述声明内容的真实性负责。如有虚假，将依法承担相应责任。</w:t>
      </w:r>
    </w:p>
    <w:p w14:paraId="512C5A3A">
      <w:pPr>
        <w:pStyle w:val="12"/>
        <w:wordWrap w:val="0"/>
        <w:spacing w:line="360" w:lineRule="auto"/>
        <w:ind w:firstLine="420" w:firstLineChars="200"/>
        <w:rPr>
          <w:rFonts w:hAnsi="宋体" w:cs="宋体"/>
          <w:color w:val="auto"/>
          <w:szCs w:val="21"/>
          <w:highlight w:val="none"/>
        </w:rPr>
      </w:pPr>
    </w:p>
    <w:p w14:paraId="55C43EB4">
      <w:pPr>
        <w:wordWrap w:val="0"/>
        <w:snapToGrid w:val="0"/>
        <w:spacing w:line="360" w:lineRule="auto"/>
        <w:ind w:firstLine="5040" w:firstLineChars="210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投标人名称(电子签章)：</w:t>
      </w:r>
    </w:p>
    <w:p w14:paraId="1391415F">
      <w:pPr>
        <w:wordWrap w:val="0"/>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3C33C357">
      <w:pPr>
        <w:pStyle w:val="12"/>
        <w:wordWrap w:val="0"/>
        <w:spacing w:line="360" w:lineRule="auto"/>
        <w:ind w:firstLine="420" w:firstLineChars="200"/>
        <w:rPr>
          <w:rFonts w:hAnsi="宋体" w:cs="宋体"/>
          <w:color w:val="auto"/>
          <w:szCs w:val="21"/>
          <w:highlight w:val="none"/>
        </w:rPr>
      </w:pPr>
    </w:p>
    <w:p w14:paraId="24A235B9">
      <w:pPr>
        <w:wordWrap w:val="0"/>
        <w:snapToGrid w:val="0"/>
        <w:spacing w:line="360" w:lineRule="auto"/>
        <w:jc w:val="left"/>
        <w:rPr>
          <w:rFonts w:ascii="宋体" w:hAnsi="宋体" w:cs="宋体"/>
          <w:color w:val="auto"/>
          <w:sz w:val="20"/>
          <w:highlight w:val="none"/>
        </w:rPr>
      </w:pPr>
      <w:r>
        <w:rPr>
          <w:rFonts w:hint="eastAsia" w:ascii="宋体" w:hAnsi="宋体" w:cs="宋体"/>
          <w:color w:val="auto"/>
          <w:sz w:val="20"/>
          <w:highlight w:val="none"/>
        </w:rPr>
        <w:t>注：</w:t>
      </w:r>
    </w:p>
    <w:p w14:paraId="51EFC49F">
      <w:pPr>
        <w:pStyle w:val="10"/>
        <w:wordWrap w:val="0"/>
        <w:spacing w:line="360" w:lineRule="auto"/>
        <w:ind w:firstLine="404" w:firstLineChars="200"/>
        <w:rPr>
          <w:rFonts w:hAnsi="宋体" w:cs="宋体"/>
          <w:color w:val="auto"/>
          <w:sz w:val="21"/>
          <w:szCs w:val="21"/>
          <w:highlight w:val="none"/>
        </w:rPr>
      </w:pPr>
      <w:r>
        <w:rPr>
          <w:rFonts w:hint="eastAsia" w:hAnsi="宋体" w:cs="宋体"/>
          <w:color w:val="auto"/>
          <w:sz w:val="21"/>
          <w:szCs w:val="21"/>
          <w:highlight w:val="none"/>
        </w:rPr>
        <w:t>1.从业人员、营业收入、资产总额填报上一年度数据，无上一年度数据的新成立企业可不填报。</w:t>
      </w:r>
    </w:p>
    <w:p w14:paraId="5F0711A0">
      <w:pPr>
        <w:pStyle w:val="10"/>
        <w:wordWrap w:val="0"/>
        <w:spacing w:line="360" w:lineRule="auto"/>
        <w:ind w:firstLine="404" w:firstLineChars="200"/>
        <w:rPr>
          <w:rFonts w:hAnsi="宋体" w:cs="宋体"/>
          <w:b/>
          <w:bCs/>
          <w:color w:val="auto"/>
          <w:sz w:val="28"/>
          <w:szCs w:val="28"/>
          <w:highlight w:val="none"/>
        </w:rPr>
      </w:pPr>
      <w:r>
        <w:rPr>
          <w:rFonts w:hint="eastAsia" w:hAnsi="宋体" w:cs="宋体"/>
          <w:color w:val="auto"/>
          <w:sz w:val="21"/>
          <w:szCs w:val="21"/>
          <w:highlight w:val="none"/>
        </w:rPr>
        <w:t>2.请根据自己的真实情况出具《中小企业声明函》。依法享受中小企业优惠政策的，采购人或者采购代理机构在公告中标结果时，同时公告其《中小企业声明函》，接受社会监督。</w:t>
      </w:r>
      <w:r>
        <w:rPr>
          <w:rFonts w:hint="eastAsia" w:hAnsi="宋体" w:cs="宋体"/>
          <w:b/>
          <w:bCs/>
          <w:color w:val="auto"/>
          <w:sz w:val="28"/>
          <w:szCs w:val="28"/>
          <w:highlight w:val="none"/>
        </w:rPr>
        <w:br w:type="page"/>
      </w:r>
    </w:p>
    <w:p w14:paraId="5B0298BB">
      <w:pPr>
        <w:widowControl/>
        <w:spacing w:line="360" w:lineRule="auto"/>
        <w:jc w:val="center"/>
        <w:rPr>
          <w:rFonts w:ascii="宋体" w:hAnsi="宋体" w:cs="宋体"/>
          <w:b/>
          <w:color w:val="auto"/>
          <w:sz w:val="30"/>
          <w:szCs w:val="30"/>
          <w:highlight w:val="none"/>
        </w:rPr>
      </w:pPr>
      <w:r>
        <w:rPr>
          <w:rFonts w:hint="eastAsia" w:ascii="宋体" w:hAnsi="宋体" w:cs="宋体"/>
          <w:b/>
          <w:color w:val="auto"/>
          <w:sz w:val="30"/>
          <w:szCs w:val="30"/>
          <w:highlight w:val="none"/>
        </w:rPr>
        <w:t>残疾人福利性单位声明函（格式）</w:t>
      </w:r>
    </w:p>
    <w:p w14:paraId="6BE17A47">
      <w:pPr>
        <w:widowControl/>
        <w:spacing w:line="360" w:lineRule="auto"/>
        <w:jc w:val="center"/>
        <w:rPr>
          <w:rFonts w:ascii="宋体" w:hAnsi="宋体" w:cs="宋体"/>
          <w:b/>
          <w:color w:val="auto"/>
          <w:sz w:val="30"/>
          <w:szCs w:val="30"/>
          <w:highlight w:val="none"/>
        </w:rPr>
      </w:pPr>
    </w:p>
    <w:p w14:paraId="57AE3EA2">
      <w:pPr>
        <w:widowControl/>
        <w:spacing w:line="360" w:lineRule="auto"/>
        <w:jc w:val="left"/>
        <w:rPr>
          <w:rFonts w:ascii="宋体" w:hAnsi="宋体" w:cs="宋体"/>
          <w:color w:val="auto"/>
          <w:szCs w:val="21"/>
          <w:highlight w:val="none"/>
        </w:rPr>
      </w:pPr>
      <w:r>
        <w:rPr>
          <w:rFonts w:hint="eastAsia" w:ascii="宋体" w:hAnsi="宋体" w:cs="宋体"/>
          <w:color w:val="auto"/>
          <w:sz w:val="30"/>
          <w:szCs w:val="30"/>
          <w:highlight w:val="none"/>
        </w:rPr>
        <w:t xml:space="preserve">  </w:t>
      </w:r>
      <w:r>
        <w:rPr>
          <w:rFonts w:hint="eastAsia" w:ascii="宋体" w:hAnsi="宋体" w:cs="宋体"/>
          <w:color w:val="auto"/>
          <w:szCs w:val="21"/>
          <w:highlight w:val="none"/>
        </w:rPr>
        <w:t xml:space="preserve"> 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项目采购活动提供本单位制造的货物（由本单位承担工程/提供服务），或者提供其他残疾人福利性单位制造的货物（不包括使用非残疾人福利性单位注册商标的货物）。</w:t>
      </w:r>
    </w:p>
    <w:p w14:paraId="0B8BE27C">
      <w:pPr>
        <w:widowControl/>
        <w:spacing w:line="360" w:lineRule="auto"/>
        <w:jc w:val="left"/>
        <w:rPr>
          <w:rFonts w:ascii="宋体" w:hAnsi="宋体" w:cs="宋体"/>
          <w:b/>
          <w:color w:val="auto"/>
          <w:szCs w:val="21"/>
          <w:highlight w:val="none"/>
        </w:rPr>
      </w:pPr>
      <w:r>
        <w:rPr>
          <w:rFonts w:hint="eastAsia" w:ascii="宋体" w:hAnsi="宋体" w:cs="宋体"/>
          <w:color w:val="auto"/>
          <w:szCs w:val="21"/>
          <w:highlight w:val="none"/>
        </w:rPr>
        <w:t xml:space="preserve">  </w:t>
      </w:r>
    </w:p>
    <w:p w14:paraId="5A318117">
      <w:pPr>
        <w:widowControl/>
        <w:spacing w:line="360" w:lineRule="auto"/>
        <w:jc w:val="left"/>
        <w:rPr>
          <w:rFonts w:ascii="宋体" w:hAnsi="宋体" w:cs="宋体"/>
          <w:b/>
          <w:color w:val="auto"/>
          <w:szCs w:val="21"/>
          <w:highlight w:val="none"/>
        </w:rPr>
      </w:pPr>
    </w:p>
    <w:p w14:paraId="134F49D0">
      <w:pPr>
        <w:snapToGrid w:val="0"/>
        <w:spacing w:line="360" w:lineRule="auto"/>
        <w:ind w:left="5385" w:leftChars="1736" w:hanging="1739" w:hangingChars="825"/>
        <w:rPr>
          <w:rFonts w:ascii="宋体" w:hAnsi="宋体" w:cs="宋体"/>
          <w:color w:val="auto"/>
          <w:kern w:val="0"/>
          <w:szCs w:val="21"/>
          <w:highlight w:val="none"/>
        </w:rPr>
      </w:pPr>
      <w:r>
        <w:rPr>
          <w:rFonts w:hint="eastAsia" w:ascii="宋体" w:hAnsi="宋体" w:cs="宋体"/>
          <w:b/>
          <w:color w:val="auto"/>
          <w:szCs w:val="21"/>
          <w:highlight w:val="none"/>
          <w:lang w:bidi="ar"/>
        </w:rPr>
        <w:t xml:space="preserve">                                                                    </w:t>
      </w:r>
      <w:r>
        <w:rPr>
          <w:rFonts w:hint="eastAsia" w:ascii="宋体" w:hAnsi="宋体" w:cs="宋体"/>
          <w:color w:val="auto"/>
          <w:kern w:val="0"/>
          <w:szCs w:val="21"/>
          <w:highlight w:val="none"/>
          <w:lang w:val="zh-CN" w:bidi="ar"/>
        </w:rPr>
        <w:t>投标人名称（电子签章）：</w:t>
      </w:r>
    </w:p>
    <w:p w14:paraId="704321B0">
      <w:pPr>
        <w:snapToGrid w:val="0"/>
        <w:spacing w:line="360" w:lineRule="auto"/>
        <w:ind w:firstLine="5985" w:firstLineChars="285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bidi="ar"/>
        </w:rPr>
        <w:t>日期</w:t>
      </w:r>
      <w:r>
        <w:rPr>
          <w:rFonts w:hint="eastAsia" w:ascii="宋体" w:hAnsi="宋体" w:cs="宋体"/>
          <w:color w:val="auto"/>
          <w:kern w:val="0"/>
          <w:szCs w:val="21"/>
          <w:highlight w:val="none"/>
          <w:lang w:bidi="ar"/>
        </w:rPr>
        <w:t xml:space="preserve">：  年  </w:t>
      </w:r>
      <w:r>
        <w:rPr>
          <w:rFonts w:hint="eastAsia" w:ascii="宋体" w:hAnsi="宋体" w:cs="宋体"/>
          <w:color w:val="auto"/>
          <w:kern w:val="0"/>
          <w:szCs w:val="21"/>
          <w:highlight w:val="none"/>
          <w:lang w:val="zh-CN" w:bidi="ar"/>
        </w:rPr>
        <w:t>月</w:t>
      </w:r>
      <w:r>
        <w:rPr>
          <w:rFonts w:hint="eastAsia" w:ascii="宋体" w:hAnsi="宋体" w:cs="宋体"/>
          <w:color w:val="auto"/>
          <w:kern w:val="0"/>
          <w:szCs w:val="21"/>
          <w:highlight w:val="none"/>
          <w:lang w:bidi="ar"/>
        </w:rPr>
        <w:t xml:space="preserve">   </w:t>
      </w:r>
      <w:r>
        <w:rPr>
          <w:rFonts w:hint="eastAsia" w:ascii="宋体" w:hAnsi="宋体" w:cs="宋体"/>
          <w:color w:val="auto"/>
          <w:kern w:val="0"/>
          <w:szCs w:val="21"/>
          <w:highlight w:val="none"/>
          <w:lang w:val="zh-CN" w:bidi="ar"/>
        </w:rPr>
        <w:t>日</w:t>
      </w:r>
    </w:p>
    <w:p w14:paraId="5F7220C6">
      <w:pPr>
        <w:widowControl/>
        <w:spacing w:line="360" w:lineRule="auto"/>
        <w:ind w:left="5180" w:leftChars="1979" w:hanging="1024" w:hangingChars="488"/>
        <w:rPr>
          <w:rFonts w:ascii="宋体" w:hAnsi="宋体" w:cs="宋体"/>
          <w:color w:val="auto"/>
          <w:szCs w:val="21"/>
          <w:highlight w:val="none"/>
        </w:rPr>
      </w:pPr>
    </w:p>
    <w:p w14:paraId="0EA8328F">
      <w:pPr>
        <w:spacing w:line="360" w:lineRule="auto"/>
        <w:ind w:right="420" w:firstLine="420" w:firstLineChars="200"/>
        <w:rPr>
          <w:rFonts w:ascii="宋体" w:hAnsi="宋体" w:cs="宋体"/>
          <w:color w:val="auto"/>
          <w:szCs w:val="21"/>
          <w:highlight w:val="none"/>
        </w:rPr>
      </w:pPr>
      <w:r>
        <w:rPr>
          <w:rFonts w:hint="eastAsia" w:ascii="宋体" w:hAnsi="宋体" w:cs="宋体"/>
          <w:color w:val="auto"/>
          <w:szCs w:val="21"/>
          <w:highlight w:val="none"/>
          <w:lang w:bidi="ar"/>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[2014]68号）的规定，投标人提供由省级以上监狱管理局、戒毒管理局（含新疆生产建设兵团）出具的属于监狱企业证明文件的，视同为小型和微型企业。</w:t>
      </w:r>
    </w:p>
    <w:p w14:paraId="6745B84E">
      <w:pPr>
        <w:pStyle w:val="9"/>
        <w:wordWrap w:val="0"/>
        <w:spacing w:after="0" w:line="360" w:lineRule="auto"/>
        <w:rPr>
          <w:rFonts w:ascii="宋体" w:hAnsi="宋体" w:cs="宋体"/>
          <w:color w:val="auto"/>
          <w:highlight w:val="none"/>
        </w:rPr>
      </w:pPr>
    </w:p>
    <w:p w14:paraId="251FAEAB">
      <w:pPr>
        <w:rPr>
          <w:rFonts w:ascii="宋体" w:hAnsi="宋体" w:cs="宋体"/>
          <w:b/>
          <w:bCs/>
          <w:color w:val="auto"/>
          <w:sz w:val="28"/>
          <w:szCs w:val="28"/>
          <w:highlight w:val="none"/>
        </w:rPr>
      </w:pPr>
      <w:bookmarkStart w:id="292" w:name="_Toc19686840"/>
    </w:p>
    <w:p w14:paraId="336AAF1E">
      <w:pPr>
        <w:rPr>
          <w:rFonts w:ascii="宋体" w:hAnsi="宋体" w:cs="宋体"/>
          <w:b/>
          <w:bCs/>
          <w:color w:val="auto"/>
          <w:sz w:val="28"/>
          <w:szCs w:val="28"/>
          <w:highlight w:val="none"/>
        </w:rPr>
      </w:pPr>
      <w:r>
        <w:rPr>
          <w:rFonts w:hint="eastAsia" w:ascii="宋体" w:hAnsi="宋体" w:cs="宋体"/>
          <w:b/>
          <w:bCs/>
          <w:color w:val="auto"/>
          <w:sz w:val="28"/>
          <w:szCs w:val="28"/>
          <w:highlight w:val="none"/>
        </w:rPr>
        <w:t>四、投标人针对报价需要说明的其他文件和说明。</w:t>
      </w:r>
    </w:p>
    <w:p w14:paraId="2FF7DD40">
      <w:pPr>
        <w:jc w:val="left"/>
        <w:rPr>
          <w:rFonts w:ascii="宋体" w:hAnsi="宋体" w:cs="宋体"/>
          <w:b/>
          <w:bCs/>
          <w:color w:val="auto"/>
          <w:sz w:val="28"/>
          <w:szCs w:val="28"/>
          <w:highlight w:val="none"/>
        </w:rPr>
      </w:pPr>
      <w:r>
        <w:rPr>
          <w:rFonts w:hint="eastAsia" w:ascii="宋体" w:hAnsi="宋体" w:cs="宋体"/>
          <w:b/>
          <w:bCs/>
          <w:color w:val="auto"/>
          <w:sz w:val="28"/>
          <w:szCs w:val="28"/>
          <w:highlight w:val="none"/>
        </w:rPr>
        <w:br w:type="page"/>
      </w:r>
    </w:p>
    <w:p w14:paraId="7A421BF6">
      <w:pPr>
        <w:wordWrap w:val="0"/>
        <w:snapToGrid w:val="0"/>
        <w:spacing w:line="360" w:lineRule="auto"/>
        <w:jc w:val="center"/>
        <w:outlineLvl w:val="1"/>
        <w:rPr>
          <w:rFonts w:ascii="宋体" w:hAnsi="宋体" w:cs="宋体"/>
          <w:b/>
          <w:bCs/>
          <w:color w:val="auto"/>
          <w:sz w:val="28"/>
          <w:szCs w:val="28"/>
          <w:highlight w:val="none"/>
        </w:rPr>
      </w:pPr>
      <w:bookmarkStart w:id="293" w:name="_Toc18362"/>
      <w:r>
        <w:rPr>
          <w:rFonts w:hint="eastAsia" w:ascii="宋体" w:hAnsi="宋体" w:cs="宋体"/>
          <w:b/>
          <w:bCs/>
          <w:color w:val="auto"/>
          <w:sz w:val="28"/>
          <w:szCs w:val="28"/>
          <w:highlight w:val="none"/>
        </w:rPr>
        <w:t>第六节 其他文书、文件格式</w:t>
      </w:r>
      <w:bookmarkEnd w:id="292"/>
      <w:bookmarkEnd w:id="293"/>
    </w:p>
    <w:p w14:paraId="2A655674">
      <w:pPr>
        <w:wordWrap w:val="0"/>
        <w:spacing w:line="360" w:lineRule="auto"/>
        <w:jc w:val="center"/>
        <w:rPr>
          <w:rFonts w:ascii="宋体" w:hAnsi="宋体" w:cs="宋体"/>
          <w:b/>
          <w:bCs/>
          <w:color w:val="auto"/>
          <w:sz w:val="32"/>
          <w:szCs w:val="32"/>
          <w:highlight w:val="none"/>
          <w:lang w:val="en"/>
        </w:rPr>
      </w:pPr>
    </w:p>
    <w:p w14:paraId="67699629">
      <w:pPr>
        <w:wordWrap w:val="0"/>
        <w:spacing w:line="360" w:lineRule="auto"/>
        <w:jc w:val="center"/>
        <w:rPr>
          <w:rFonts w:ascii="宋体" w:hAnsi="宋体" w:cs="宋体"/>
          <w:b/>
          <w:bCs/>
          <w:color w:val="auto"/>
          <w:sz w:val="32"/>
          <w:szCs w:val="32"/>
          <w:highlight w:val="none"/>
          <w:lang w:val="en"/>
        </w:rPr>
      </w:pPr>
      <w:r>
        <w:rPr>
          <w:rFonts w:hint="eastAsia" w:ascii="宋体" w:hAnsi="宋体" w:cs="宋体"/>
          <w:b/>
          <w:bCs/>
          <w:color w:val="auto"/>
          <w:sz w:val="32"/>
          <w:szCs w:val="32"/>
          <w:highlight w:val="none"/>
          <w:lang w:val="en"/>
        </w:rPr>
        <w:t>知识产权合规性声明</w:t>
      </w:r>
    </w:p>
    <w:p w14:paraId="6C5D774E">
      <w:pPr>
        <w:wordWrap w:val="0"/>
        <w:spacing w:line="360" w:lineRule="auto"/>
        <w:rPr>
          <w:rFonts w:ascii="宋体" w:hAnsi="宋体" w:cs="宋体"/>
          <w:color w:val="auto"/>
          <w:sz w:val="30"/>
          <w:szCs w:val="30"/>
          <w:highlight w:val="none"/>
        </w:rPr>
      </w:pPr>
      <w:r>
        <w:rPr>
          <w:rFonts w:hint="eastAsia" w:ascii="宋体" w:hAnsi="宋体" w:cs="宋体"/>
          <w:color w:val="auto"/>
          <w:sz w:val="30"/>
          <w:szCs w:val="30"/>
          <w:highlight w:val="none"/>
        </w:rPr>
        <w:t xml:space="preserve">    </w:t>
      </w:r>
    </w:p>
    <w:p w14:paraId="6C37D7DA">
      <w:pPr>
        <w:wordWrap w:val="0"/>
        <w:spacing w:line="360" w:lineRule="auto"/>
        <w:rPr>
          <w:rFonts w:ascii="宋体" w:hAnsi="宋体" w:cs="宋体"/>
          <w:color w:val="auto"/>
          <w:sz w:val="30"/>
          <w:szCs w:val="30"/>
          <w:highlight w:val="none"/>
          <w:lang w:val="en"/>
        </w:rPr>
      </w:pPr>
      <w:r>
        <w:rPr>
          <w:rFonts w:hint="eastAsia" w:ascii="宋体" w:hAnsi="宋体" w:cs="宋体"/>
          <w:color w:val="auto"/>
          <w:sz w:val="30"/>
          <w:szCs w:val="30"/>
          <w:highlight w:val="none"/>
        </w:rPr>
        <w:t xml:space="preserve">    本</w:t>
      </w:r>
      <w:r>
        <w:rPr>
          <w:rFonts w:hint="eastAsia" w:ascii="宋体" w:hAnsi="宋体" w:cs="宋体"/>
          <w:color w:val="auto"/>
          <w:sz w:val="30"/>
          <w:szCs w:val="30"/>
          <w:highlight w:val="none"/>
          <w:lang w:val="en"/>
        </w:rPr>
        <w:t>企业自愿参与政府投资政府采购的</w:t>
      </w:r>
      <w:r>
        <w:rPr>
          <w:rFonts w:hint="eastAsia" w:ascii="宋体" w:hAnsi="宋体" w:cs="宋体"/>
          <w:color w:val="auto"/>
          <w:sz w:val="30"/>
          <w:szCs w:val="30"/>
          <w:highlight w:val="none"/>
          <w:u w:val="single"/>
          <w:lang w:val="en"/>
        </w:rPr>
        <w:t>（</w:t>
      </w:r>
      <w:r>
        <w:rPr>
          <w:rFonts w:hint="eastAsia" w:ascii="宋体" w:hAnsi="宋体" w:cs="宋体"/>
          <w:color w:val="auto"/>
          <w:sz w:val="30"/>
          <w:szCs w:val="30"/>
          <w:highlight w:val="none"/>
          <w:u w:val="single"/>
        </w:rPr>
        <w:t>项目名称</w:t>
      </w:r>
      <w:r>
        <w:rPr>
          <w:rFonts w:hint="eastAsia" w:ascii="宋体" w:hAnsi="宋体" w:cs="宋体"/>
          <w:color w:val="auto"/>
          <w:sz w:val="30"/>
          <w:szCs w:val="30"/>
          <w:highlight w:val="none"/>
          <w:u w:val="single"/>
          <w:lang w:val="en"/>
        </w:rPr>
        <w:t>）</w:t>
      </w:r>
      <w:r>
        <w:rPr>
          <w:rFonts w:hint="eastAsia" w:ascii="宋体" w:hAnsi="宋体" w:cs="宋体"/>
          <w:color w:val="auto"/>
          <w:sz w:val="30"/>
          <w:szCs w:val="30"/>
          <w:highlight w:val="none"/>
          <w:lang w:val="en"/>
        </w:rPr>
        <w:t>项目，</w:t>
      </w:r>
      <w:r>
        <w:rPr>
          <w:rFonts w:hint="eastAsia" w:ascii="宋体" w:hAnsi="宋体" w:cs="宋体"/>
          <w:b/>
          <w:bCs/>
          <w:color w:val="auto"/>
          <w:sz w:val="30"/>
          <w:szCs w:val="30"/>
          <w:highlight w:val="none"/>
          <w:lang w:val="en"/>
        </w:rPr>
        <w:t>在此郑重承诺：</w:t>
      </w:r>
      <w:r>
        <w:rPr>
          <w:rFonts w:hint="eastAsia" w:ascii="宋体" w:hAnsi="宋体" w:cs="宋体"/>
          <w:color w:val="auto"/>
          <w:sz w:val="30"/>
          <w:szCs w:val="30"/>
          <w:highlight w:val="none"/>
          <w:lang w:val="en"/>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将承担由此产生的全部责任。</w:t>
      </w:r>
    </w:p>
    <w:p w14:paraId="3C96869C">
      <w:pPr>
        <w:wordWrap w:val="0"/>
        <w:snapToGrid w:val="0"/>
        <w:spacing w:line="360" w:lineRule="auto"/>
        <w:ind w:left="5137" w:leftChars="1736" w:hanging="1491" w:hangingChars="825"/>
        <w:rPr>
          <w:rFonts w:ascii="宋体" w:hAnsi="宋体" w:cs="宋体"/>
          <w:b/>
          <w:color w:val="auto"/>
          <w:sz w:val="18"/>
          <w:szCs w:val="18"/>
          <w:highlight w:val="none"/>
        </w:rPr>
      </w:pPr>
      <w:r>
        <w:rPr>
          <w:rFonts w:hint="eastAsia" w:ascii="宋体" w:hAnsi="宋体" w:cs="宋体"/>
          <w:b/>
          <w:color w:val="auto"/>
          <w:sz w:val="18"/>
          <w:szCs w:val="18"/>
          <w:highlight w:val="none"/>
        </w:rPr>
        <w:t xml:space="preserve">           </w:t>
      </w:r>
    </w:p>
    <w:p w14:paraId="307E39C6">
      <w:pPr>
        <w:wordWrap w:val="0"/>
        <w:snapToGrid w:val="0"/>
        <w:spacing w:line="360" w:lineRule="auto"/>
        <w:ind w:left="5137" w:leftChars="1736" w:hanging="1491" w:hangingChars="825"/>
        <w:rPr>
          <w:rFonts w:ascii="宋体" w:hAnsi="宋体" w:cs="宋体"/>
          <w:b/>
          <w:color w:val="auto"/>
          <w:sz w:val="18"/>
          <w:szCs w:val="18"/>
          <w:highlight w:val="none"/>
        </w:rPr>
      </w:pPr>
    </w:p>
    <w:p w14:paraId="64DAC6DC">
      <w:pPr>
        <w:wordWrap w:val="0"/>
        <w:snapToGrid w:val="0"/>
        <w:spacing w:line="360" w:lineRule="auto"/>
        <w:ind w:left="5137" w:leftChars="1736" w:hanging="1491" w:hangingChars="825"/>
        <w:rPr>
          <w:rFonts w:ascii="宋体" w:hAnsi="宋体" w:cs="宋体"/>
          <w:b/>
          <w:color w:val="auto"/>
          <w:sz w:val="18"/>
          <w:szCs w:val="18"/>
          <w:highlight w:val="none"/>
        </w:rPr>
      </w:pPr>
    </w:p>
    <w:p w14:paraId="6F8EF930">
      <w:pPr>
        <w:wordWrap w:val="0"/>
        <w:snapToGrid w:val="0"/>
        <w:spacing w:line="360" w:lineRule="auto"/>
        <w:ind w:left="5137" w:leftChars="1736" w:hanging="1491" w:hangingChars="825"/>
        <w:rPr>
          <w:rFonts w:ascii="宋体" w:hAnsi="宋体" w:cs="宋体"/>
          <w:b/>
          <w:color w:val="auto"/>
          <w:sz w:val="18"/>
          <w:szCs w:val="18"/>
          <w:highlight w:val="none"/>
        </w:rPr>
      </w:pPr>
    </w:p>
    <w:p w14:paraId="5B6F5F86">
      <w:pPr>
        <w:wordWrap w:val="0"/>
        <w:snapToGrid w:val="0"/>
        <w:spacing w:line="360" w:lineRule="auto"/>
        <w:ind w:left="5137" w:leftChars="1736" w:hanging="1491" w:hangingChars="825"/>
        <w:rPr>
          <w:rFonts w:ascii="宋体" w:hAnsi="宋体" w:cs="宋体"/>
          <w:color w:val="auto"/>
          <w:kern w:val="0"/>
          <w:sz w:val="24"/>
          <w:highlight w:val="none"/>
        </w:rPr>
      </w:pPr>
      <w:r>
        <w:rPr>
          <w:rFonts w:hint="eastAsia" w:ascii="宋体" w:hAnsi="宋体" w:cs="宋体"/>
          <w:b/>
          <w:color w:val="auto"/>
          <w:sz w:val="18"/>
          <w:szCs w:val="18"/>
          <w:highlight w:val="none"/>
        </w:rPr>
        <w:t xml:space="preserve">      </w:t>
      </w:r>
      <w:r>
        <w:rPr>
          <w:rFonts w:hint="eastAsia" w:ascii="宋体" w:hAnsi="宋体" w:cs="宋体"/>
          <w:color w:val="auto"/>
          <w:kern w:val="0"/>
          <w:sz w:val="24"/>
          <w:highlight w:val="none"/>
          <w:lang w:val="zh-CN"/>
        </w:rPr>
        <w:t>投标人名称(电子签章)：</w:t>
      </w:r>
    </w:p>
    <w:p w14:paraId="32549745">
      <w:pPr>
        <w:wordWrap w:val="0"/>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05030586">
      <w:pPr>
        <w:wordWrap w:val="0"/>
        <w:spacing w:line="360" w:lineRule="auto"/>
        <w:ind w:right="420" w:firstLine="602" w:firstLineChars="200"/>
        <w:rPr>
          <w:rFonts w:ascii="宋体" w:hAnsi="宋体" w:cs="宋体"/>
          <w:color w:val="auto"/>
          <w:sz w:val="20"/>
          <w:highlight w:val="none"/>
        </w:rPr>
        <w:sectPr>
          <w:pgSz w:w="11906" w:h="16838"/>
          <w:pgMar w:top="1440" w:right="1080" w:bottom="1440" w:left="1080" w:header="720" w:footer="720" w:gutter="0"/>
          <w:pgNumType w:fmt="decimal"/>
          <w:cols w:space="720" w:num="1"/>
          <w:docGrid w:type="lines" w:linePitch="331" w:charSpace="0"/>
        </w:sectPr>
      </w:pPr>
      <w:r>
        <w:rPr>
          <w:rFonts w:hint="eastAsia" w:ascii="宋体" w:hAnsi="宋体" w:cs="宋体"/>
          <w:b/>
          <w:color w:val="auto"/>
          <w:sz w:val="30"/>
          <w:szCs w:val="30"/>
          <w:highlight w:val="none"/>
        </w:rPr>
        <w:br w:type="page"/>
      </w:r>
    </w:p>
    <w:p w14:paraId="460C2054">
      <w:pPr>
        <w:pStyle w:val="12"/>
        <w:tabs>
          <w:tab w:val="left" w:pos="2472"/>
        </w:tabs>
        <w:wordWrap w:val="0"/>
        <w:spacing w:line="360" w:lineRule="auto"/>
        <w:rPr>
          <w:rFonts w:hAnsi="宋体" w:cs="宋体"/>
          <w:b/>
          <w:color w:val="auto"/>
          <w:sz w:val="36"/>
          <w:highlight w:val="none"/>
        </w:rPr>
      </w:pPr>
    </w:p>
    <w:p w14:paraId="5F1037AB">
      <w:pPr>
        <w:pStyle w:val="12"/>
        <w:tabs>
          <w:tab w:val="left" w:pos="2472"/>
        </w:tabs>
        <w:wordWrap w:val="0"/>
        <w:spacing w:line="360" w:lineRule="auto"/>
        <w:jc w:val="center"/>
        <w:rPr>
          <w:rFonts w:hAnsi="宋体" w:cs="宋体"/>
          <w:b/>
          <w:color w:val="auto"/>
          <w:sz w:val="36"/>
          <w:highlight w:val="none"/>
        </w:rPr>
      </w:pPr>
    </w:p>
    <w:p w14:paraId="45E9FE72">
      <w:pPr>
        <w:pStyle w:val="12"/>
        <w:tabs>
          <w:tab w:val="left" w:pos="2472"/>
        </w:tabs>
        <w:wordWrap w:val="0"/>
        <w:spacing w:line="360" w:lineRule="auto"/>
        <w:jc w:val="center"/>
        <w:rPr>
          <w:rFonts w:hAnsi="宋体" w:cs="宋体"/>
          <w:b/>
          <w:color w:val="auto"/>
          <w:sz w:val="36"/>
          <w:highlight w:val="none"/>
        </w:rPr>
      </w:pPr>
    </w:p>
    <w:p w14:paraId="293D4758">
      <w:pPr>
        <w:pStyle w:val="12"/>
        <w:tabs>
          <w:tab w:val="left" w:pos="2472"/>
        </w:tabs>
        <w:wordWrap w:val="0"/>
        <w:spacing w:line="360" w:lineRule="auto"/>
        <w:jc w:val="center"/>
        <w:rPr>
          <w:rFonts w:hAnsi="宋体" w:cs="宋体"/>
          <w:b/>
          <w:color w:val="auto"/>
          <w:sz w:val="36"/>
          <w:highlight w:val="none"/>
        </w:rPr>
      </w:pPr>
    </w:p>
    <w:p w14:paraId="40803FED">
      <w:pPr>
        <w:pStyle w:val="12"/>
        <w:tabs>
          <w:tab w:val="left" w:pos="2472"/>
        </w:tabs>
        <w:wordWrap w:val="0"/>
        <w:spacing w:line="360" w:lineRule="auto"/>
        <w:jc w:val="center"/>
        <w:rPr>
          <w:rFonts w:hAnsi="宋体" w:cs="宋体"/>
          <w:b/>
          <w:color w:val="auto"/>
          <w:sz w:val="36"/>
          <w:highlight w:val="none"/>
        </w:rPr>
      </w:pPr>
    </w:p>
    <w:p w14:paraId="5C6F313F">
      <w:pPr>
        <w:pStyle w:val="12"/>
        <w:tabs>
          <w:tab w:val="left" w:pos="2472"/>
        </w:tabs>
        <w:wordWrap w:val="0"/>
        <w:spacing w:line="360" w:lineRule="auto"/>
        <w:jc w:val="center"/>
        <w:rPr>
          <w:rFonts w:hAnsi="宋体" w:cs="宋体"/>
          <w:b/>
          <w:color w:val="auto"/>
          <w:sz w:val="36"/>
          <w:highlight w:val="none"/>
        </w:rPr>
      </w:pPr>
    </w:p>
    <w:p w14:paraId="58463C49">
      <w:pPr>
        <w:pStyle w:val="12"/>
        <w:tabs>
          <w:tab w:val="left" w:pos="2472"/>
        </w:tabs>
        <w:wordWrap w:val="0"/>
        <w:spacing w:line="360" w:lineRule="auto"/>
        <w:jc w:val="center"/>
        <w:rPr>
          <w:rFonts w:hAnsi="宋体" w:cs="宋体"/>
          <w:b/>
          <w:color w:val="auto"/>
          <w:sz w:val="36"/>
          <w:highlight w:val="none"/>
        </w:rPr>
      </w:pPr>
    </w:p>
    <w:p w14:paraId="2AD9D660">
      <w:pPr>
        <w:pStyle w:val="12"/>
        <w:tabs>
          <w:tab w:val="left" w:pos="2472"/>
        </w:tabs>
        <w:wordWrap w:val="0"/>
        <w:spacing w:line="360" w:lineRule="auto"/>
        <w:jc w:val="center"/>
        <w:rPr>
          <w:rFonts w:hAnsi="宋体" w:cs="宋体"/>
          <w:b/>
          <w:color w:val="auto"/>
          <w:sz w:val="36"/>
          <w:highlight w:val="none"/>
        </w:rPr>
      </w:pPr>
    </w:p>
    <w:p w14:paraId="3E7FC7D9">
      <w:pPr>
        <w:pStyle w:val="12"/>
        <w:tabs>
          <w:tab w:val="left" w:pos="2472"/>
        </w:tabs>
        <w:wordWrap w:val="0"/>
        <w:spacing w:line="360" w:lineRule="auto"/>
        <w:jc w:val="center"/>
        <w:rPr>
          <w:rFonts w:hAnsi="宋体" w:cs="宋体"/>
          <w:b/>
          <w:color w:val="auto"/>
          <w:sz w:val="36"/>
          <w:highlight w:val="none"/>
        </w:rPr>
      </w:pPr>
    </w:p>
    <w:p w14:paraId="3129CFB3">
      <w:pPr>
        <w:pStyle w:val="12"/>
        <w:tabs>
          <w:tab w:val="left" w:pos="2472"/>
        </w:tabs>
        <w:wordWrap w:val="0"/>
        <w:spacing w:line="360" w:lineRule="auto"/>
        <w:jc w:val="center"/>
        <w:rPr>
          <w:rFonts w:hAnsi="宋体" w:cs="宋体"/>
          <w:b/>
          <w:color w:val="auto"/>
          <w:sz w:val="36"/>
          <w:highlight w:val="none"/>
        </w:rPr>
      </w:pPr>
    </w:p>
    <w:p w14:paraId="65125085">
      <w:pPr>
        <w:pStyle w:val="12"/>
        <w:tabs>
          <w:tab w:val="left" w:pos="2472"/>
        </w:tabs>
        <w:wordWrap w:val="0"/>
        <w:spacing w:line="360" w:lineRule="auto"/>
        <w:jc w:val="center"/>
        <w:rPr>
          <w:rFonts w:hAnsi="宋体" w:cs="宋体"/>
          <w:b/>
          <w:color w:val="auto"/>
          <w:sz w:val="36"/>
          <w:highlight w:val="none"/>
        </w:rPr>
      </w:pPr>
    </w:p>
    <w:p w14:paraId="7619D973">
      <w:pPr>
        <w:pStyle w:val="12"/>
        <w:tabs>
          <w:tab w:val="left" w:pos="2472"/>
        </w:tabs>
        <w:wordWrap w:val="0"/>
        <w:spacing w:line="360" w:lineRule="auto"/>
        <w:jc w:val="center"/>
        <w:outlineLvl w:val="0"/>
        <w:rPr>
          <w:rFonts w:hAnsi="宋体" w:cs="宋体"/>
          <w:b/>
          <w:color w:val="auto"/>
          <w:sz w:val="36"/>
          <w:highlight w:val="none"/>
        </w:rPr>
      </w:pPr>
      <w:bookmarkStart w:id="294" w:name="_Toc2360"/>
      <w:r>
        <w:rPr>
          <w:rFonts w:hint="eastAsia" w:hAnsi="宋体" w:cs="宋体"/>
          <w:b/>
          <w:color w:val="auto"/>
          <w:sz w:val="36"/>
          <w:highlight w:val="none"/>
        </w:rPr>
        <w:t>第七章 质疑、投诉证明材料格式</w:t>
      </w:r>
      <w:bookmarkEnd w:id="294"/>
    </w:p>
    <w:p w14:paraId="18B1D3D5">
      <w:pPr>
        <w:widowControl/>
        <w:wordWrap w:val="0"/>
        <w:spacing w:line="360" w:lineRule="auto"/>
        <w:jc w:val="left"/>
        <w:rPr>
          <w:rFonts w:ascii="宋体" w:hAnsi="宋体" w:cs="宋体"/>
          <w:color w:val="auto"/>
          <w:sz w:val="20"/>
          <w:highlight w:val="none"/>
        </w:rPr>
        <w:sectPr>
          <w:pgSz w:w="11906" w:h="16838"/>
          <w:pgMar w:top="1440" w:right="1080" w:bottom="1440" w:left="1080" w:header="720" w:footer="720" w:gutter="0"/>
          <w:pgNumType w:fmt="decimal"/>
          <w:cols w:space="720" w:num="1"/>
          <w:docGrid w:type="lines" w:linePitch="331" w:charSpace="0"/>
        </w:sectPr>
      </w:pPr>
    </w:p>
    <w:p w14:paraId="3526CB2A">
      <w:pPr>
        <w:pStyle w:val="3"/>
        <w:pageBreakBefore w:val="0"/>
        <w:wordWrap w:val="0"/>
        <w:overflowPunct/>
        <w:topLinePunct w:val="0"/>
        <w:bidi w:val="0"/>
        <w:spacing w:before="0" w:after="0" w:line="360" w:lineRule="auto"/>
        <w:jc w:val="center"/>
        <w:rPr>
          <w:rFonts w:ascii="宋体" w:hAnsi="宋体" w:eastAsia="宋体" w:cs="宋体"/>
          <w:b w:val="0"/>
          <w:bCs w:val="0"/>
          <w:color w:val="auto"/>
          <w:highlight w:val="none"/>
        </w:rPr>
      </w:pPr>
      <w:bookmarkStart w:id="295" w:name="_Toc24445"/>
      <w:bookmarkStart w:id="296" w:name="_Toc29826"/>
      <w:r>
        <w:rPr>
          <w:rFonts w:hint="eastAsia" w:ascii="宋体" w:hAnsi="宋体" w:eastAsia="宋体" w:cs="宋体"/>
          <w:b w:val="0"/>
          <w:bCs w:val="0"/>
          <w:color w:val="auto"/>
          <w:highlight w:val="none"/>
        </w:rPr>
        <w:t>第一节 质疑函（格式）</w:t>
      </w:r>
      <w:bookmarkEnd w:id="295"/>
      <w:bookmarkEnd w:id="296"/>
    </w:p>
    <w:p w14:paraId="3C5AB88B">
      <w:pPr>
        <w:pageBreakBefore w:val="0"/>
        <w:wordWrap w:val="0"/>
        <w:overflowPunct/>
        <w:topLinePunct w:val="0"/>
        <w:bidi w:val="0"/>
        <w:spacing w:line="360" w:lineRule="auto"/>
        <w:jc w:val="center"/>
        <w:rPr>
          <w:rFonts w:ascii="宋体" w:hAnsi="宋体" w:cs="宋体"/>
          <w:b/>
          <w:bCs/>
          <w:color w:val="auto"/>
          <w:sz w:val="44"/>
          <w:szCs w:val="44"/>
          <w:highlight w:val="none"/>
        </w:rPr>
      </w:pPr>
      <w:r>
        <w:rPr>
          <w:rFonts w:hint="eastAsia" w:ascii="宋体" w:hAnsi="宋体" w:cs="宋体"/>
          <w:b/>
          <w:bCs/>
          <w:color w:val="auto"/>
          <w:sz w:val="44"/>
          <w:szCs w:val="44"/>
          <w:highlight w:val="none"/>
        </w:rPr>
        <w:t>质疑函范本</w:t>
      </w:r>
    </w:p>
    <w:p w14:paraId="4B055AEE">
      <w:pPr>
        <w:pageBreakBefore w:val="0"/>
        <w:wordWrap w:val="0"/>
        <w:overflowPunct/>
        <w:topLinePunct w:val="0"/>
        <w:bidi w:val="0"/>
        <w:adjustRightInd w:val="0"/>
        <w:snapToGrid w:val="0"/>
        <w:spacing w:line="360" w:lineRule="auto"/>
        <w:rPr>
          <w:rFonts w:ascii="宋体" w:hAnsi="宋体" w:cs="宋体"/>
          <w:bCs/>
          <w:color w:val="auto"/>
          <w:sz w:val="32"/>
          <w:szCs w:val="32"/>
          <w:highlight w:val="none"/>
        </w:rPr>
      </w:pPr>
      <w:r>
        <w:rPr>
          <w:rFonts w:hint="eastAsia" w:ascii="宋体" w:hAnsi="宋体" w:cs="宋体"/>
          <w:bCs/>
          <w:color w:val="auto"/>
          <w:sz w:val="32"/>
          <w:szCs w:val="32"/>
          <w:highlight w:val="none"/>
        </w:rPr>
        <w:t>一、质疑供应商基本信息</w:t>
      </w:r>
    </w:p>
    <w:p w14:paraId="5A912E7C">
      <w:pPr>
        <w:pageBreakBefore w:val="0"/>
        <w:wordWrap w:val="0"/>
        <w:overflowPunct/>
        <w:topLinePunct w:val="0"/>
        <w:bidi w:val="0"/>
        <w:adjustRightInd w:val="0"/>
        <w:snapToGrid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rPr>
        <w:t>质疑供应商：</w:t>
      </w:r>
      <w:r>
        <w:rPr>
          <w:rFonts w:hint="eastAsia" w:ascii="宋体" w:hAnsi="宋体" w:cs="宋体"/>
          <w:color w:val="auto"/>
          <w:sz w:val="32"/>
          <w:szCs w:val="32"/>
          <w:highlight w:val="none"/>
          <w:u w:val="dotted"/>
        </w:rPr>
        <w:t xml:space="preserve">                                        </w:t>
      </w:r>
    </w:p>
    <w:p w14:paraId="470B3326">
      <w:pPr>
        <w:pageBreakBefore w:val="0"/>
        <w:wordWrap w:val="0"/>
        <w:overflowPunct/>
        <w:topLinePunct w:val="0"/>
        <w:bidi w:val="0"/>
        <w:adjustRightInd w:val="0"/>
        <w:snapToGrid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地址：</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邮编：</w:t>
      </w:r>
      <w:r>
        <w:rPr>
          <w:rFonts w:hint="eastAsia" w:ascii="宋体" w:hAnsi="宋体" w:cs="宋体"/>
          <w:color w:val="auto"/>
          <w:sz w:val="32"/>
          <w:szCs w:val="32"/>
          <w:highlight w:val="none"/>
          <w:u w:val="dotted"/>
        </w:rPr>
        <w:t xml:space="preserve">             </w:t>
      </w:r>
    </w:p>
    <w:p w14:paraId="28F7B0A0">
      <w:pPr>
        <w:pageBreakBefore w:val="0"/>
        <w:wordWrap w:val="0"/>
        <w:overflowPunct/>
        <w:topLinePunct w:val="0"/>
        <w:bidi w:val="0"/>
        <w:adjustRightInd w:val="0"/>
        <w:snapToGrid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联系人：</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联系电话：</w:t>
      </w:r>
      <w:r>
        <w:rPr>
          <w:rFonts w:hint="eastAsia" w:ascii="宋体" w:hAnsi="宋体" w:cs="宋体"/>
          <w:color w:val="auto"/>
          <w:sz w:val="32"/>
          <w:szCs w:val="32"/>
          <w:highlight w:val="none"/>
          <w:u w:val="dotted"/>
        </w:rPr>
        <w:t xml:space="preserve">           </w:t>
      </w:r>
    </w:p>
    <w:p w14:paraId="140C0AC2">
      <w:pPr>
        <w:pageBreakBefore w:val="0"/>
        <w:wordWrap w:val="0"/>
        <w:overflowPunct/>
        <w:topLinePunct w:val="0"/>
        <w:bidi w:val="0"/>
        <w:adjustRightInd w:val="0"/>
        <w:snapToGrid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rPr>
        <w:t>授权代表：</w:t>
      </w:r>
      <w:r>
        <w:rPr>
          <w:rFonts w:hint="eastAsia" w:ascii="宋体" w:hAnsi="宋体" w:cs="宋体"/>
          <w:color w:val="auto"/>
          <w:sz w:val="32"/>
          <w:szCs w:val="32"/>
          <w:highlight w:val="none"/>
          <w:u w:val="dotted"/>
        </w:rPr>
        <w:t xml:space="preserve">                                          </w:t>
      </w:r>
    </w:p>
    <w:p w14:paraId="79473C0B">
      <w:pPr>
        <w:pageBreakBefore w:val="0"/>
        <w:wordWrap w:val="0"/>
        <w:overflowPunct/>
        <w:topLinePunct w:val="0"/>
        <w:bidi w:val="0"/>
        <w:adjustRightInd w:val="0"/>
        <w:snapToGrid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联系电话：</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 xml:space="preserve"> </w:t>
      </w:r>
    </w:p>
    <w:p w14:paraId="2AA43691">
      <w:pPr>
        <w:pageBreakBefore w:val="0"/>
        <w:wordWrap w:val="0"/>
        <w:overflowPunct/>
        <w:topLinePunct w:val="0"/>
        <w:bidi w:val="0"/>
        <w:adjustRightInd w:val="0"/>
        <w:snapToGrid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 xml:space="preserve">地址： </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邮编：</w:t>
      </w:r>
      <w:r>
        <w:rPr>
          <w:rFonts w:hint="eastAsia" w:ascii="宋体" w:hAnsi="宋体" w:cs="宋体"/>
          <w:color w:val="auto"/>
          <w:sz w:val="32"/>
          <w:szCs w:val="32"/>
          <w:highlight w:val="none"/>
          <w:u w:val="dotted"/>
        </w:rPr>
        <w:t xml:space="preserve">                </w:t>
      </w:r>
    </w:p>
    <w:p w14:paraId="52A95A4A">
      <w:pPr>
        <w:pageBreakBefore w:val="0"/>
        <w:wordWrap w:val="0"/>
        <w:overflowPunct/>
        <w:topLinePunct w:val="0"/>
        <w:bidi w:val="0"/>
        <w:adjustRightInd w:val="0"/>
        <w:snapToGrid w:val="0"/>
        <w:spacing w:line="360" w:lineRule="auto"/>
        <w:rPr>
          <w:rFonts w:ascii="宋体" w:hAnsi="宋体" w:cs="宋体"/>
          <w:bCs/>
          <w:color w:val="auto"/>
          <w:sz w:val="32"/>
          <w:szCs w:val="32"/>
          <w:highlight w:val="none"/>
        </w:rPr>
      </w:pPr>
      <w:r>
        <w:rPr>
          <w:rFonts w:hint="eastAsia" w:ascii="宋体" w:hAnsi="宋体" w:cs="宋体"/>
          <w:bCs/>
          <w:color w:val="auto"/>
          <w:sz w:val="32"/>
          <w:szCs w:val="32"/>
          <w:highlight w:val="none"/>
        </w:rPr>
        <w:t>二、质疑项目基本情况</w:t>
      </w:r>
    </w:p>
    <w:p w14:paraId="78495925">
      <w:pPr>
        <w:pageBreakBefore w:val="0"/>
        <w:wordWrap w:val="0"/>
        <w:overflowPunct/>
        <w:topLinePunct w:val="0"/>
        <w:bidi w:val="0"/>
        <w:adjustRightInd w:val="0"/>
        <w:snapToGrid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质疑项目的名称：</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u w:val="dotted"/>
          <w:lang w:val="en-US" w:eastAsia="zh-CN"/>
        </w:rPr>
        <w:t xml:space="preserve">                              </w:t>
      </w:r>
      <w:r>
        <w:rPr>
          <w:rFonts w:hint="eastAsia" w:ascii="宋体" w:hAnsi="宋体" w:cs="宋体"/>
          <w:color w:val="auto"/>
          <w:sz w:val="32"/>
          <w:szCs w:val="32"/>
          <w:highlight w:val="none"/>
          <w:u w:val="dotted"/>
        </w:rPr>
        <w:t xml:space="preserve">    </w:t>
      </w:r>
    </w:p>
    <w:p w14:paraId="46C24D23">
      <w:pPr>
        <w:pageBreakBefore w:val="0"/>
        <w:wordWrap w:val="0"/>
        <w:overflowPunct/>
        <w:topLinePunct w:val="0"/>
        <w:bidi w:val="0"/>
        <w:adjustRightInd w:val="0"/>
        <w:snapToGrid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质疑项目的编号：</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包号：</w:t>
      </w:r>
      <w:r>
        <w:rPr>
          <w:rFonts w:hint="eastAsia" w:ascii="宋体" w:hAnsi="宋体" w:cs="宋体"/>
          <w:color w:val="auto"/>
          <w:sz w:val="32"/>
          <w:szCs w:val="32"/>
          <w:highlight w:val="none"/>
          <w:u w:val="dotted"/>
        </w:rPr>
        <w:t xml:space="preserve">                 </w:t>
      </w:r>
    </w:p>
    <w:p w14:paraId="22B92C76">
      <w:pPr>
        <w:pageBreakBefore w:val="0"/>
        <w:wordWrap w:val="0"/>
        <w:overflowPunct/>
        <w:topLinePunct w:val="0"/>
        <w:bidi w:val="0"/>
        <w:adjustRightInd w:val="0"/>
        <w:snapToGrid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rPr>
        <w:t>采购人名称：</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u w:val="dotted"/>
          <w:lang w:val="en-US" w:eastAsia="zh-CN"/>
        </w:rPr>
        <w:t xml:space="preserve">                                   </w:t>
      </w:r>
      <w:r>
        <w:rPr>
          <w:rFonts w:hint="eastAsia" w:ascii="宋体" w:hAnsi="宋体" w:cs="宋体"/>
          <w:color w:val="auto"/>
          <w:sz w:val="32"/>
          <w:szCs w:val="32"/>
          <w:highlight w:val="none"/>
          <w:u w:val="dotted"/>
        </w:rPr>
        <w:t xml:space="preserve">  </w:t>
      </w:r>
    </w:p>
    <w:p w14:paraId="39923672">
      <w:pPr>
        <w:pageBreakBefore w:val="0"/>
        <w:wordWrap w:val="0"/>
        <w:overflowPunct/>
        <w:topLinePunct w:val="0"/>
        <w:bidi w:val="0"/>
        <w:adjustRightInd w:val="0"/>
        <w:snapToGrid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采购文件获取日期：</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u w:val="dotted"/>
          <w:lang w:val="en-US" w:eastAsia="zh-CN"/>
        </w:rPr>
        <w:t xml:space="preserve">     </w:t>
      </w:r>
      <w:r>
        <w:rPr>
          <w:rFonts w:hint="eastAsia" w:ascii="宋体" w:hAnsi="宋体" w:cs="宋体"/>
          <w:color w:val="auto"/>
          <w:sz w:val="32"/>
          <w:szCs w:val="32"/>
          <w:highlight w:val="none"/>
          <w:u w:val="dotted"/>
        </w:rPr>
        <w:t xml:space="preserve">     </w:t>
      </w:r>
    </w:p>
    <w:p w14:paraId="731317DF">
      <w:pPr>
        <w:pageBreakBefore w:val="0"/>
        <w:wordWrap w:val="0"/>
        <w:overflowPunct/>
        <w:topLinePunct w:val="0"/>
        <w:bidi w:val="0"/>
        <w:adjustRightInd w:val="0"/>
        <w:snapToGrid w:val="0"/>
        <w:spacing w:line="360" w:lineRule="auto"/>
        <w:rPr>
          <w:rFonts w:ascii="宋体" w:hAnsi="宋体" w:cs="宋体"/>
          <w:bCs/>
          <w:color w:val="auto"/>
          <w:sz w:val="32"/>
          <w:szCs w:val="32"/>
          <w:highlight w:val="none"/>
        </w:rPr>
      </w:pPr>
      <w:r>
        <w:rPr>
          <w:rFonts w:hint="eastAsia" w:ascii="宋体" w:hAnsi="宋体" w:cs="宋体"/>
          <w:bCs/>
          <w:color w:val="auto"/>
          <w:sz w:val="32"/>
          <w:szCs w:val="32"/>
          <w:highlight w:val="none"/>
        </w:rPr>
        <w:t>三、质疑事项具体内容</w:t>
      </w:r>
    </w:p>
    <w:p w14:paraId="50556B5B">
      <w:pPr>
        <w:pageBreakBefore w:val="0"/>
        <w:wordWrap w:val="0"/>
        <w:overflowPunct/>
        <w:topLinePunct w:val="0"/>
        <w:bidi w:val="0"/>
        <w:adjustRightInd w:val="0"/>
        <w:snapToGrid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rPr>
        <w:t>质疑事项1：</w:t>
      </w:r>
      <w:r>
        <w:rPr>
          <w:rFonts w:hint="eastAsia" w:ascii="宋体" w:hAnsi="宋体" w:cs="宋体"/>
          <w:color w:val="auto"/>
          <w:sz w:val="32"/>
          <w:szCs w:val="32"/>
          <w:highlight w:val="none"/>
          <w:u w:val="dotted"/>
        </w:rPr>
        <w:t xml:space="preserve">                                         </w:t>
      </w:r>
    </w:p>
    <w:p w14:paraId="7D686B5B">
      <w:pPr>
        <w:pageBreakBefore w:val="0"/>
        <w:wordWrap w:val="0"/>
        <w:overflowPunct/>
        <w:topLinePunct w:val="0"/>
        <w:bidi w:val="0"/>
        <w:adjustRightInd w:val="0"/>
        <w:snapToGrid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事实依据：</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u w:val="dotted"/>
          <w:lang w:val="en-US" w:eastAsia="zh-CN"/>
        </w:rPr>
        <w:t xml:space="preserve"> </w:t>
      </w:r>
      <w:r>
        <w:rPr>
          <w:rFonts w:hint="eastAsia" w:ascii="宋体" w:hAnsi="宋体" w:cs="宋体"/>
          <w:color w:val="auto"/>
          <w:sz w:val="32"/>
          <w:szCs w:val="32"/>
          <w:highlight w:val="none"/>
          <w:u w:val="dotted"/>
        </w:rPr>
        <w:t xml:space="preserve">    </w:t>
      </w:r>
    </w:p>
    <w:p w14:paraId="3AFEFF8F">
      <w:pPr>
        <w:pageBreakBefore w:val="0"/>
        <w:wordWrap w:val="0"/>
        <w:overflowPunct/>
        <w:topLinePunct w:val="0"/>
        <w:bidi w:val="0"/>
        <w:adjustRightInd w:val="0"/>
        <w:snapToGrid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rPr>
        <w:t>法律依据：</w:t>
      </w:r>
      <w:r>
        <w:rPr>
          <w:rFonts w:hint="eastAsia" w:ascii="宋体" w:hAnsi="宋体" w:cs="宋体"/>
          <w:color w:val="auto"/>
          <w:sz w:val="32"/>
          <w:szCs w:val="32"/>
          <w:highlight w:val="none"/>
          <w:u w:val="dotted"/>
        </w:rPr>
        <w:t xml:space="preserve">                                           </w:t>
      </w:r>
    </w:p>
    <w:p w14:paraId="3489B5C0">
      <w:pPr>
        <w:pageBreakBefore w:val="0"/>
        <w:wordWrap w:val="0"/>
        <w:overflowPunct/>
        <w:topLinePunct w:val="0"/>
        <w:bidi w:val="0"/>
        <w:adjustRightInd w:val="0"/>
        <w:snapToGrid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rPr>
        <w:t>质疑事项2</w:t>
      </w:r>
    </w:p>
    <w:p w14:paraId="24B7469E">
      <w:pPr>
        <w:pageBreakBefore w:val="0"/>
        <w:wordWrap w:val="0"/>
        <w:overflowPunct/>
        <w:topLinePunct w:val="0"/>
        <w:bidi w:val="0"/>
        <w:adjustRightInd w:val="0"/>
        <w:snapToGrid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w:t>
      </w:r>
    </w:p>
    <w:p w14:paraId="5E14B7E8">
      <w:pPr>
        <w:pageBreakBefore w:val="0"/>
        <w:wordWrap w:val="0"/>
        <w:overflowPunct/>
        <w:topLinePunct w:val="0"/>
        <w:bidi w:val="0"/>
        <w:adjustRightInd w:val="0"/>
        <w:snapToGrid w:val="0"/>
        <w:spacing w:line="360" w:lineRule="auto"/>
        <w:rPr>
          <w:rFonts w:ascii="宋体" w:hAnsi="宋体" w:cs="宋体"/>
          <w:bCs/>
          <w:color w:val="auto"/>
          <w:sz w:val="32"/>
          <w:szCs w:val="32"/>
          <w:highlight w:val="none"/>
        </w:rPr>
      </w:pPr>
      <w:r>
        <w:rPr>
          <w:rFonts w:hint="eastAsia" w:ascii="宋体" w:hAnsi="宋体" w:cs="宋体"/>
          <w:bCs/>
          <w:color w:val="auto"/>
          <w:sz w:val="32"/>
          <w:szCs w:val="32"/>
          <w:highlight w:val="none"/>
        </w:rPr>
        <w:t>四、与质疑事项相关的质疑请求</w:t>
      </w:r>
    </w:p>
    <w:p w14:paraId="3F23FDF1">
      <w:pPr>
        <w:pageBreakBefore w:val="0"/>
        <w:wordWrap w:val="0"/>
        <w:overflowPunct/>
        <w:topLinePunct w:val="0"/>
        <w:bidi w:val="0"/>
        <w:adjustRightInd w:val="0"/>
        <w:snapToGrid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rPr>
        <w:t>请求：</w:t>
      </w:r>
      <w:r>
        <w:rPr>
          <w:rFonts w:hint="eastAsia" w:ascii="宋体" w:hAnsi="宋体" w:cs="宋体"/>
          <w:color w:val="auto"/>
          <w:sz w:val="32"/>
          <w:szCs w:val="32"/>
          <w:highlight w:val="none"/>
          <w:u w:val="dotted"/>
        </w:rPr>
        <w:t xml:space="preserve">                                               </w:t>
      </w:r>
    </w:p>
    <w:p w14:paraId="4E37ED8D">
      <w:pPr>
        <w:pageBreakBefore w:val="0"/>
        <w:wordWrap w:val="0"/>
        <w:overflowPunct/>
        <w:topLinePunct w:val="0"/>
        <w:bidi w:val="0"/>
        <w:spacing w:line="360" w:lineRule="auto"/>
        <w:rPr>
          <w:rFonts w:ascii="宋体" w:hAnsi="宋体" w:cs="宋体"/>
          <w:color w:val="auto"/>
          <w:sz w:val="30"/>
          <w:szCs w:val="30"/>
          <w:highlight w:val="none"/>
        </w:rPr>
      </w:pPr>
      <w:r>
        <w:rPr>
          <w:rFonts w:hint="eastAsia" w:ascii="宋体" w:hAnsi="宋体" w:cs="宋体"/>
          <w:color w:val="auto"/>
          <w:sz w:val="30"/>
          <w:szCs w:val="30"/>
          <w:highlight w:val="none"/>
        </w:rPr>
        <w:t xml:space="preserve">签字(签章)：                   公章：                      </w:t>
      </w:r>
    </w:p>
    <w:p w14:paraId="20427B28">
      <w:pPr>
        <w:pageBreakBefore w:val="0"/>
        <w:wordWrap w:val="0"/>
        <w:overflowPunct/>
        <w:topLinePunct w:val="0"/>
        <w:bidi w:val="0"/>
        <w:spacing w:line="360" w:lineRule="auto"/>
        <w:rPr>
          <w:rFonts w:ascii="宋体" w:hAnsi="宋体" w:cs="宋体"/>
          <w:color w:val="auto"/>
          <w:sz w:val="30"/>
          <w:szCs w:val="30"/>
          <w:highlight w:val="none"/>
        </w:rPr>
      </w:pPr>
      <w:r>
        <w:rPr>
          <w:rFonts w:hint="eastAsia" w:ascii="宋体" w:hAnsi="宋体" w:cs="宋体"/>
          <w:color w:val="auto"/>
          <w:sz w:val="30"/>
          <w:szCs w:val="30"/>
          <w:highlight w:val="none"/>
        </w:rPr>
        <w:t xml:space="preserve">日期：    </w:t>
      </w:r>
    </w:p>
    <w:p w14:paraId="41529692">
      <w:pPr>
        <w:pageBreakBefore w:val="0"/>
        <w:wordWrap w:val="0"/>
        <w:overflowPunct/>
        <w:topLinePunct w:val="0"/>
        <w:bidi w:val="0"/>
        <w:adjustRightInd w:val="0"/>
        <w:snapToGrid w:val="0"/>
        <w:spacing w:line="360" w:lineRule="auto"/>
        <w:rPr>
          <w:rFonts w:ascii="宋体" w:hAnsi="宋体" w:cs="宋体"/>
          <w:color w:val="auto"/>
          <w:sz w:val="32"/>
          <w:szCs w:val="32"/>
          <w:highlight w:val="none"/>
        </w:rPr>
      </w:pPr>
    </w:p>
    <w:p w14:paraId="75E35A8C">
      <w:pPr>
        <w:pageBreakBefore w:val="0"/>
        <w:wordWrap w:val="0"/>
        <w:overflowPunct/>
        <w:topLinePunct w:val="0"/>
        <w:bidi w:val="0"/>
        <w:spacing w:line="360" w:lineRule="auto"/>
        <w:rPr>
          <w:rFonts w:ascii="宋体" w:hAnsi="宋体" w:cs="宋体"/>
          <w:b/>
          <w:color w:val="auto"/>
          <w:sz w:val="32"/>
          <w:szCs w:val="32"/>
          <w:highlight w:val="none"/>
        </w:rPr>
      </w:pPr>
      <w:r>
        <w:rPr>
          <w:rFonts w:hint="eastAsia" w:ascii="宋体" w:hAnsi="宋体" w:cs="宋体"/>
          <w:b/>
          <w:color w:val="auto"/>
          <w:sz w:val="32"/>
          <w:szCs w:val="32"/>
          <w:highlight w:val="none"/>
        </w:rPr>
        <w:t>质疑函制作说明：</w:t>
      </w:r>
    </w:p>
    <w:p w14:paraId="271548A8">
      <w:pPr>
        <w:pageBreakBefore w:val="0"/>
        <w:widowControl/>
        <w:wordWrap w:val="0"/>
        <w:overflowPunct/>
        <w:topLinePunct w:val="0"/>
        <w:bidi w:val="0"/>
        <w:spacing w:line="360" w:lineRule="auto"/>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1.供应商提出质疑时，应提交质疑函和必要的证明材料。</w:t>
      </w:r>
    </w:p>
    <w:p w14:paraId="58487B43">
      <w:pPr>
        <w:pageBreakBefore w:val="0"/>
        <w:widowControl/>
        <w:wordWrap w:val="0"/>
        <w:overflowPunct/>
        <w:topLinePunct w:val="0"/>
        <w:bidi w:val="0"/>
        <w:spacing w:line="360" w:lineRule="auto"/>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2.质疑供应商若委托代理人进行质疑的，质疑函应按要求列明“授权代表”的有关内容，并在附件中提交由质疑</w:t>
      </w:r>
      <w:r>
        <w:rPr>
          <w:rFonts w:hint="eastAsia" w:ascii="宋体" w:hAnsi="宋体" w:cs="宋体"/>
          <w:color w:val="auto"/>
          <w:kern w:val="0"/>
          <w:sz w:val="32"/>
          <w:szCs w:val="32"/>
          <w:highlight w:val="none"/>
        </w:rPr>
        <w:t>供应商签署的授权委托书。授权委托书应载明代理人的姓名或者名称、代理事项、具体权限、期限和相关事项。</w:t>
      </w:r>
    </w:p>
    <w:p w14:paraId="533D04A6">
      <w:pPr>
        <w:pageBreakBefore w:val="0"/>
        <w:widowControl/>
        <w:wordWrap w:val="0"/>
        <w:overflowPunct/>
        <w:topLinePunct w:val="0"/>
        <w:bidi w:val="0"/>
        <w:spacing w:line="360" w:lineRule="auto"/>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3.质疑供应商若对项目的某一分包进行质疑，质疑函中应列明具体分包号。</w:t>
      </w:r>
    </w:p>
    <w:p w14:paraId="59689E1F">
      <w:pPr>
        <w:pageBreakBefore w:val="0"/>
        <w:widowControl/>
        <w:wordWrap w:val="0"/>
        <w:overflowPunct/>
        <w:topLinePunct w:val="0"/>
        <w:bidi w:val="0"/>
        <w:spacing w:line="360" w:lineRule="auto"/>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4.质疑函的质疑事项应具体、明确，并有必要的事实依据和法律依据。</w:t>
      </w:r>
    </w:p>
    <w:p w14:paraId="47A6181F">
      <w:pPr>
        <w:pageBreakBefore w:val="0"/>
        <w:widowControl/>
        <w:wordWrap w:val="0"/>
        <w:overflowPunct/>
        <w:topLinePunct w:val="0"/>
        <w:bidi w:val="0"/>
        <w:spacing w:line="360" w:lineRule="auto"/>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5.质疑函的质疑请求应与质疑事项相关。</w:t>
      </w:r>
    </w:p>
    <w:p w14:paraId="304D2086">
      <w:pPr>
        <w:pageBreakBefore w:val="0"/>
        <w:widowControl/>
        <w:wordWrap w:val="0"/>
        <w:overflowPunct/>
        <w:topLinePunct w:val="0"/>
        <w:bidi w:val="0"/>
        <w:spacing w:line="360" w:lineRule="auto"/>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6.质疑供应商为自然人的，质疑函应由本人签字；质疑供应商为法人或者其他组织的，质疑函应由法定代表人、主要负责人，或者其授权代表签字或者盖章，并加盖公章。</w:t>
      </w:r>
    </w:p>
    <w:p w14:paraId="6D7D11FF">
      <w:pPr>
        <w:pageBreakBefore w:val="0"/>
        <w:widowControl/>
        <w:wordWrap w:val="0"/>
        <w:overflowPunct/>
        <w:topLinePunct w:val="0"/>
        <w:bidi w:val="0"/>
        <w:spacing w:line="360" w:lineRule="auto"/>
        <w:ind w:firstLine="600" w:firstLineChars="200"/>
        <w:jc w:val="left"/>
        <w:rPr>
          <w:rFonts w:ascii="宋体" w:hAnsi="宋体" w:cs="宋体"/>
          <w:color w:val="auto"/>
          <w:sz w:val="30"/>
          <w:szCs w:val="30"/>
          <w:highlight w:val="none"/>
        </w:rPr>
      </w:pPr>
    </w:p>
    <w:p w14:paraId="25C59448">
      <w:pPr>
        <w:pageBreakBefore w:val="0"/>
        <w:widowControl/>
        <w:wordWrap w:val="0"/>
        <w:overflowPunct/>
        <w:topLinePunct w:val="0"/>
        <w:bidi w:val="0"/>
        <w:spacing w:line="360" w:lineRule="auto"/>
        <w:jc w:val="left"/>
        <w:rPr>
          <w:rFonts w:ascii="宋体" w:hAnsi="宋体" w:cs="宋体"/>
          <w:color w:val="auto"/>
          <w:kern w:val="0"/>
          <w:sz w:val="24"/>
          <w:highlight w:val="none"/>
        </w:rPr>
        <w:sectPr>
          <w:pgSz w:w="11906" w:h="16838"/>
          <w:pgMar w:top="1440" w:right="1080" w:bottom="1440" w:left="1080" w:header="720" w:footer="720" w:gutter="0"/>
          <w:pgNumType w:fmt="decimal"/>
          <w:cols w:space="720" w:num="1"/>
          <w:docGrid w:type="lines" w:linePitch="331" w:charSpace="0"/>
        </w:sectPr>
      </w:pPr>
    </w:p>
    <w:p w14:paraId="6780A065">
      <w:pPr>
        <w:pStyle w:val="3"/>
        <w:pageBreakBefore w:val="0"/>
        <w:wordWrap w:val="0"/>
        <w:overflowPunct/>
        <w:topLinePunct w:val="0"/>
        <w:bidi w:val="0"/>
        <w:spacing w:before="0" w:after="0" w:line="360" w:lineRule="auto"/>
        <w:jc w:val="center"/>
        <w:rPr>
          <w:rFonts w:ascii="宋体" w:hAnsi="宋体" w:eastAsia="宋体" w:cs="宋体"/>
          <w:b w:val="0"/>
          <w:bCs w:val="0"/>
          <w:color w:val="auto"/>
          <w:highlight w:val="none"/>
        </w:rPr>
      </w:pPr>
      <w:bookmarkStart w:id="297" w:name="_Toc1097"/>
      <w:bookmarkStart w:id="298" w:name="_Toc14288"/>
      <w:r>
        <w:rPr>
          <w:rFonts w:hint="eastAsia" w:ascii="宋体" w:hAnsi="宋体" w:eastAsia="宋体" w:cs="宋体"/>
          <w:b w:val="0"/>
          <w:bCs w:val="0"/>
          <w:color w:val="auto"/>
          <w:highlight w:val="none"/>
        </w:rPr>
        <w:t>第二节 投诉书（格式）</w:t>
      </w:r>
      <w:bookmarkEnd w:id="297"/>
      <w:bookmarkEnd w:id="298"/>
    </w:p>
    <w:p w14:paraId="1AE45C1F">
      <w:pPr>
        <w:pageBreakBefore w:val="0"/>
        <w:wordWrap w:val="0"/>
        <w:overflowPunct/>
        <w:topLinePunct w:val="0"/>
        <w:bidi w:val="0"/>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投诉书范本</w:t>
      </w:r>
    </w:p>
    <w:p w14:paraId="2AA065E2">
      <w:pPr>
        <w:pageBreakBefore w:val="0"/>
        <w:wordWrap w:val="0"/>
        <w:overflowPunct/>
        <w:topLinePunct w:val="0"/>
        <w:bidi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一、投诉相关主体基本情况</w:t>
      </w:r>
    </w:p>
    <w:p w14:paraId="62398727">
      <w:pPr>
        <w:pageBreakBefore w:val="0"/>
        <w:wordWrap w:val="0"/>
        <w:overflowPunct/>
        <w:topLinePunct w:val="0"/>
        <w:bidi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rPr>
        <w:t>投诉人：</w:t>
      </w:r>
      <w:r>
        <w:rPr>
          <w:rFonts w:hint="eastAsia" w:ascii="宋体" w:hAnsi="宋体" w:cs="宋体"/>
          <w:color w:val="auto"/>
          <w:sz w:val="32"/>
          <w:szCs w:val="32"/>
          <w:highlight w:val="none"/>
          <w:u w:val="dotted"/>
        </w:rPr>
        <w:t xml:space="preserve">                                               </w:t>
      </w:r>
    </w:p>
    <w:p w14:paraId="22AC12F5">
      <w:pPr>
        <w:pageBreakBefore w:val="0"/>
        <w:wordWrap w:val="0"/>
        <w:overflowPunct/>
        <w:topLinePunct w:val="0"/>
        <w:bidi w:val="0"/>
        <w:spacing w:line="360" w:lineRule="auto"/>
        <w:rPr>
          <w:rFonts w:ascii="宋体" w:hAnsi="宋体" w:cs="宋体"/>
          <w:color w:val="auto"/>
          <w:sz w:val="32"/>
          <w:szCs w:val="32"/>
          <w:highlight w:val="none"/>
          <w:u w:val="single"/>
        </w:rPr>
      </w:pPr>
      <w:r>
        <w:rPr>
          <w:rFonts w:hint="eastAsia" w:ascii="宋体" w:hAnsi="宋体" w:cs="宋体"/>
          <w:color w:val="auto"/>
          <w:sz w:val="32"/>
          <w:szCs w:val="32"/>
          <w:highlight w:val="none"/>
        </w:rPr>
        <w:t>地     址：</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邮编：</w:t>
      </w:r>
      <w:r>
        <w:rPr>
          <w:rFonts w:hint="eastAsia" w:ascii="宋体" w:hAnsi="宋体" w:cs="宋体"/>
          <w:color w:val="auto"/>
          <w:sz w:val="32"/>
          <w:szCs w:val="32"/>
          <w:highlight w:val="none"/>
          <w:u w:val="dotted"/>
        </w:rPr>
        <w:t xml:space="preserve">        </w:t>
      </w:r>
    </w:p>
    <w:p w14:paraId="3857FFD0">
      <w:pPr>
        <w:pageBreakBefore w:val="0"/>
        <w:tabs>
          <w:tab w:val="left" w:pos="6510"/>
        </w:tabs>
        <w:wordWrap w:val="0"/>
        <w:overflowPunct/>
        <w:topLinePunct w:val="0"/>
        <w:bidi w:val="0"/>
        <w:spacing w:line="360" w:lineRule="auto"/>
        <w:jc w:val="left"/>
        <w:rPr>
          <w:rFonts w:ascii="宋体" w:hAnsi="宋体" w:cs="宋体"/>
          <w:color w:val="auto"/>
          <w:sz w:val="32"/>
          <w:szCs w:val="32"/>
          <w:highlight w:val="none"/>
        </w:rPr>
      </w:pPr>
      <w:r>
        <w:rPr>
          <w:rFonts w:hint="eastAsia" w:ascii="宋体" w:hAnsi="宋体" w:cs="宋体"/>
          <w:color w:val="auto"/>
          <w:sz w:val="32"/>
          <w:szCs w:val="32"/>
          <w:highlight w:val="none"/>
        </w:rPr>
        <w:t>法定代表人/主要负责人：</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 xml:space="preserve">  </w:t>
      </w:r>
    </w:p>
    <w:p w14:paraId="4943DF3C">
      <w:pPr>
        <w:pageBreakBefore w:val="0"/>
        <w:tabs>
          <w:tab w:val="left" w:pos="6510"/>
        </w:tabs>
        <w:wordWrap w:val="0"/>
        <w:overflowPunct/>
        <w:topLinePunct w:val="0"/>
        <w:bidi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rPr>
        <w:t>联系电话：</w:t>
      </w:r>
      <w:r>
        <w:rPr>
          <w:rFonts w:hint="eastAsia" w:ascii="宋体" w:hAnsi="宋体" w:cs="宋体"/>
          <w:color w:val="auto"/>
          <w:sz w:val="32"/>
          <w:szCs w:val="32"/>
          <w:highlight w:val="none"/>
          <w:u w:val="dotted"/>
        </w:rPr>
        <w:t xml:space="preserve">                                             </w:t>
      </w:r>
    </w:p>
    <w:p w14:paraId="0AE52C80">
      <w:pPr>
        <w:pageBreakBefore w:val="0"/>
        <w:wordWrap w:val="0"/>
        <w:overflowPunct/>
        <w:topLinePunct w:val="0"/>
        <w:bidi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rPr>
        <w:t>授权代表：</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联系电话</w:t>
      </w:r>
      <w:r>
        <w:rPr>
          <w:rFonts w:hint="eastAsia" w:ascii="宋体" w:hAnsi="宋体" w:cs="宋体"/>
          <w:color w:val="auto"/>
          <w:sz w:val="32"/>
          <w:szCs w:val="32"/>
          <w:highlight w:val="none"/>
          <w:u w:val="dotted"/>
        </w:rPr>
        <w:t xml:space="preserve">：                  </w:t>
      </w:r>
    </w:p>
    <w:p w14:paraId="27746FEB">
      <w:pPr>
        <w:pageBreakBefore w:val="0"/>
        <w:wordWrap w:val="0"/>
        <w:overflowPunct/>
        <w:topLinePunct w:val="0"/>
        <w:bidi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rPr>
        <w:t>地     址：</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邮编：</w:t>
      </w:r>
      <w:r>
        <w:rPr>
          <w:rFonts w:hint="eastAsia" w:ascii="宋体" w:hAnsi="宋体" w:cs="宋体"/>
          <w:color w:val="auto"/>
          <w:sz w:val="32"/>
          <w:szCs w:val="32"/>
          <w:highlight w:val="none"/>
          <w:u w:val="dotted"/>
        </w:rPr>
        <w:t xml:space="preserve">       </w:t>
      </w:r>
    </w:p>
    <w:p w14:paraId="48BE3618">
      <w:pPr>
        <w:pageBreakBefore w:val="0"/>
        <w:wordWrap w:val="0"/>
        <w:overflowPunct/>
        <w:topLinePunct w:val="0"/>
        <w:bidi w:val="0"/>
        <w:spacing w:line="360" w:lineRule="auto"/>
        <w:rPr>
          <w:rFonts w:ascii="宋体" w:hAnsi="宋体" w:cs="宋体"/>
          <w:color w:val="auto"/>
          <w:sz w:val="32"/>
          <w:szCs w:val="32"/>
          <w:highlight w:val="none"/>
          <w:u w:val="single"/>
        </w:rPr>
      </w:pPr>
      <w:r>
        <w:rPr>
          <w:rFonts w:hint="eastAsia" w:ascii="宋体" w:hAnsi="宋体" w:cs="宋体"/>
          <w:color w:val="auto"/>
          <w:sz w:val="32"/>
          <w:szCs w:val="32"/>
          <w:highlight w:val="none"/>
        </w:rPr>
        <w:t>被投诉人1：</w:t>
      </w:r>
      <w:r>
        <w:rPr>
          <w:rFonts w:hint="eastAsia" w:ascii="宋体" w:hAnsi="宋体" w:cs="宋体"/>
          <w:color w:val="auto"/>
          <w:sz w:val="32"/>
          <w:szCs w:val="32"/>
          <w:highlight w:val="none"/>
          <w:u w:val="dotted"/>
        </w:rPr>
        <w:t xml:space="preserve">                                          </w:t>
      </w:r>
    </w:p>
    <w:p w14:paraId="3E1F7EBB">
      <w:pPr>
        <w:pageBreakBefore w:val="0"/>
        <w:wordWrap w:val="0"/>
        <w:overflowPunct/>
        <w:topLinePunct w:val="0"/>
        <w:bidi w:val="0"/>
        <w:spacing w:line="360" w:lineRule="auto"/>
        <w:rPr>
          <w:rFonts w:ascii="宋体" w:hAnsi="宋体" w:cs="宋体"/>
          <w:color w:val="auto"/>
          <w:sz w:val="32"/>
          <w:szCs w:val="32"/>
          <w:highlight w:val="none"/>
          <w:u w:val="single"/>
        </w:rPr>
      </w:pPr>
      <w:r>
        <w:rPr>
          <w:rFonts w:hint="eastAsia" w:ascii="宋体" w:hAnsi="宋体" w:cs="宋体"/>
          <w:color w:val="auto"/>
          <w:sz w:val="32"/>
          <w:szCs w:val="32"/>
          <w:highlight w:val="none"/>
        </w:rPr>
        <w:t>地     址：</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邮编：</w:t>
      </w:r>
      <w:r>
        <w:rPr>
          <w:rFonts w:hint="eastAsia" w:ascii="宋体" w:hAnsi="宋体" w:cs="宋体"/>
          <w:color w:val="auto"/>
          <w:sz w:val="32"/>
          <w:szCs w:val="32"/>
          <w:highlight w:val="none"/>
          <w:u w:val="dotted"/>
        </w:rPr>
        <w:t xml:space="preserve">         </w:t>
      </w:r>
    </w:p>
    <w:p w14:paraId="13C7382A">
      <w:pPr>
        <w:pageBreakBefore w:val="0"/>
        <w:wordWrap w:val="0"/>
        <w:overflowPunct/>
        <w:topLinePunct w:val="0"/>
        <w:bidi w:val="0"/>
        <w:spacing w:line="360" w:lineRule="auto"/>
        <w:rPr>
          <w:rFonts w:ascii="宋体" w:hAnsi="宋体" w:cs="宋体"/>
          <w:color w:val="auto"/>
          <w:sz w:val="32"/>
          <w:szCs w:val="32"/>
          <w:highlight w:val="none"/>
          <w:u w:val="single"/>
        </w:rPr>
      </w:pPr>
      <w:r>
        <w:rPr>
          <w:rFonts w:hint="eastAsia" w:ascii="宋体" w:hAnsi="宋体" w:cs="宋体"/>
          <w:color w:val="auto"/>
          <w:sz w:val="32"/>
          <w:szCs w:val="32"/>
          <w:highlight w:val="none"/>
        </w:rPr>
        <w:t>联系人：</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联系电话：</w:t>
      </w:r>
      <w:r>
        <w:rPr>
          <w:rFonts w:hint="eastAsia" w:ascii="宋体" w:hAnsi="宋体" w:cs="宋体"/>
          <w:color w:val="auto"/>
          <w:sz w:val="32"/>
          <w:szCs w:val="32"/>
          <w:highlight w:val="none"/>
          <w:u w:val="dotted"/>
        </w:rPr>
        <w:t xml:space="preserve">                      </w:t>
      </w:r>
    </w:p>
    <w:p w14:paraId="4006A8C4">
      <w:pPr>
        <w:pageBreakBefore w:val="0"/>
        <w:wordWrap w:val="0"/>
        <w:overflowPunct/>
        <w:topLinePunct w:val="0"/>
        <w:bidi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被投诉人2</w:t>
      </w:r>
    </w:p>
    <w:p w14:paraId="1DFA819C">
      <w:pPr>
        <w:pageBreakBefore w:val="0"/>
        <w:wordWrap w:val="0"/>
        <w:overflowPunct/>
        <w:topLinePunct w:val="0"/>
        <w:bidi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rPr>
        <w:t>……</w:t>
      </w:r>
    </w:p>
    <w:p w14:paraId="0CEA1AD1">
      <w:pPr>
        <w:pageBreakBefore w:val="0"/>
        <w:wordWrap w:val="0"/>
        <w:overflowPunct/>
        <w:topLinePunct w:val="0"/>
        <w:bidi w:val="0"/>
        <w:spacing w:line="360" w:lineRule="auto"/>
        <w:rPr>
          <w:rFonts w:ascii="宋体" w:hAnsi="宋体" w:cs="宋体"/>
          <w:color w:val="auto"/>
          <w:sz w:val="32"/>
          <w:szCs w:val="32"/>
          <w:highlight w:val="none"/>
          <w:u w:val="single"/>
        </w:rPr>
      </w:pPr>
      <w:r>
        <w:rPr>
          <w:rFonts w:hint="eastAsia" w:ascii="宋体" w:hAnsi="宋体" w:cs="宋体"/>
          <w:color w:val="auto"/>
          <w:sz w:val="32"/>
          <w:szCs w:val="32"/>
          <w:highlight w:val="none"/>
        </w:rPr>
        <w:t>相关供应商：</w:t>
      </w:r>
      <w:r>
        <w:rPr>
          <w:rFonts w:hint="eastAsia" w:ascii="宋体" w:hAnsi="宋体" w:cs="宋体"/>
          <w:color w:val="auto"/>
          <w:sz w:val="32"/>
          <w:szCs w:val="32"/>
          <w:highlight w:val="none"/>
          <w:u w:val="dotted"/>
        </w:rPr>
        <w:t xml:space="preserve">                                           </w:t>
      </w:r>
    </w:p>
    <w:p w14:paraId="0690957A">
      <w:pPr>
        <w:pageBreakBefore w:val="0"/>
        <w:wordWrap w:val="0"/>
        <w:overflowPunct/>
        <w:topLinePunct w:val="0"/>
        <w:bidi w:val="0"/>
        <w:spacing w:line="360" w:lineRule="auto"/>
        <w:rPr>
          <w:rFonts w:ascii="宋体" w:hAnsi="宋体" w:cs="宋体"/>
          <w:color w:val="auto"/>
          <w:sz w:val="32"/>
          <w:szCs w:val="32"/>
          <w:highlight w:val="none"/>
          <w:u w:val="single"/>
        </w:rPr>
      </w:pPr>
      <w:r>
        <w:rPr>
          <w:rFonts w:hint="eastAsia" w:ascii="宋体" w:hAnsi="宋体" w:cs="宋体"/>
          <w:color w:val="auto"/>
          <w:sz w:val="32"/>
          <w:szCs w:val="32"/>
          <w:highlight w:val="none"/>
        </w:rPr>
        <w:t>地     址：</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邮编：</w:t>
      </w:r>
      <w:r>
        <w:rPr>
          <w:rFonts w:hint="eastAsia" w:ascii="宋体" w:hAnsi="宋体" w:cs="宋体"/>
          <w:color w:val="auto"/>
          <w:sz w:val="32"/>
          <w:szCs w:val="32"/>
          <w:highlight w:val="none"/>
          <w:u w:val="dotted"/>
        </w:rPr>
        <w:t xml:space="preserve">          </w:t>
      </w:r>
    </w:p>
    <w:p w14:paraId="306E41E9">
      <w:pPr>
        <w:pageBreakBefore w:val="0"/>
        <w:wordWrap w:val="0"/>
        <w:overflowPunct/>
        <w:topLinePunct w:val="0"/>
        <w:bidi w:val="0"/>
        <w:spacing w:line="360" w:lineRule="auto"/>
        <w:rPr>
          <w:rFonts w:ascii="宋体" w:hAnsi="宋体" w:cs="宋体"/>
          <w:color w:val="auto"/>
          <w:sz w:val="32"/>
          <w:szCs w:val="32"/>
          <w:highlight w:val="none"/>
          <w:u w:val="single"/>
        </w:rPr>
      </w:pPr>
      <w:r>
        <w:rPr>
          <w:rFonts w:hint="eastAsia" w:ascii="宋体" w:hAnsi="宋体" w:cs="宋体"/>
          <w:color w:val="auto"/>
          <w:sz w:val="32"/>
          <w:szCs w:val="32"/>
          <w:highlight w:val="none"/>
        </w:rPr>
        <w:t>联系人：</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联系电话：</w:t>
      </w:r>
      <w:r>
        <w:rPr>
          <w:rFonts w:hint="eastAsia" w:ascii="宋体" w:hAnsi="宋体" w:cs="宋体"/>
          <w:color w:val="auto"/>
          <w:sz w:val="32"/>
          <w:szCs w:val="32"/>
          <w:highlight w:val="none"/>
          <w:u w:val="dotted"/>
        </w:rPr>
        <w:t xml:space="preserve">                      </w:t>
      </w:r>
    </w:p>
    <w:p w14:paraId="6288F088">
      <w:pPr>
        <w:pageBreakBefore w:val="0"/>
        <w:wordWrap w:val="0"/>
        <w:overflowPunct/>
        <w:topLinePunct w:val="0"/>
        <w:bidi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二、投诉项目基本情况</w:t>
      </w:r>
    </w:p>
    <w:p w14:paraId="066748D9">
      <w:pPr>
        <w:pageBreakBefore w:val="0"/>
        <w:wordWrap w:val="0"/>
        <w:overflowPunct/>
        <w:topLinePunct w:val="0"/>
        <w:bidi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rPr>
        <w:t>采购项目名称：</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u w:val="dotted"/>
          <w:lang w:val="en-US" w:eastAsia="zh-CN"/>
        </w:rPr>
        <w:t xml:space="preserve">                                           </w:t>
      </w:r>
      <w:r>
        <w:rPr>
          <w:rFonts w:hint="eastAsia" w:ascii="宋体" w:hAnsi="宋体" w:cs="宋体"/>
          <w:color w:val="auto"/>
          <w:sz w:val="32"/>
          <w:szCs w:val="32"/>
          <w:highlight w:val="none"/>
          <w:u w:val="dotted"/>
        </w:rPr>
        <w:t xml:space="preserve">  </w:t>
      </w:r>
    </w:p>
    <w:p w14:paraId="491D8D87">
      <w:pPr>
        <w:pageBreakBefore w:val="0"/>
        <w:wordWrap w:val="0"/>
        <w:overflowPunct/>
        <w:topLinePunct w:val="0"/>
        <w:bidi w:val="0"/>
        <w:spacing w:line="360" w:lineRule="auto"/>
        <w:rPr>
          <w:rFonts w:ascii="宋体" w:hAnsi="宋体" w:cs="宋体"/>
          <w:color w:val="auto"/>
          <w:sz w:val="32"/>
          <w:szCs w:val="32"/>
          <w:highlight w:val="none"/>
          <w:u w:val="single"/>
        </w:rPr>
      </w:pPr>
      <w:r>
        <w:rPr>
          <w:rFonts w:hint="eastAsia" w:ascii="宋体" w:hAnsi="宋体" w:cs="宋体"/>
          <w:color w:val="auto"/>
          <w:sz w:val="32"/>
          <w:szCs w:val="32"/>
          <w:highlight w:val="none"/>
        </w:rPr>
        <w:t>采购项目编号：</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包号：</w:t>
      </w:r>
      <w:r>
        <w:rPr>
          <w:rFonts w:hint="eastAsia" w:ascii="宋体" w:hAnsi="宋体" w:cs="宋体"/>
          <w:color w:val="auto"/>
          <w:sz w:val="32"/>
          <w:szCs w:val="32"/>
          <w:highlight w:val="none"/>
          <w:u w:val="dotted"/>
        </w:rPr>
        <w:t xml:space="preserve">              </w:t>
      </w:r>
    </w:p>
    <w:p w14:paraId="61309E38">
      <w:pPr>
        <w:pageBreakBefore w:val="0"/>
        <w:wordWrap w:val="0"/>
        <w:overflowPunct/>
        <w:topLinePunct w:val="0"/>
        <w:bidi w:val="0"/>
        <w:spacing w:line="360" w:lineRule="auto"/>
        <w:rPr>
          <w:rFonts w:hint="default" w:ascii="宋体" w:hAnsi="宋体" w:cs="宋体"/>
          <w:color w:val="auto"/>
          <w:sz w:val="32"/>
          <w:szCs w:val="32"/>
          <w:highlight w:val="none"/>
          <w:lang w:val="en-US"/>
        </w:rPr>
      </w:pPr>
      <w:r>
        <w:rPr>
          <w:rFonts w:hint="eastAsia" w:ascii="宋体" w:hAnsi="宋体" w:cs="宋体"/>
          <w:color w:val="auto"/>
          <w:sz w:val="32"/>
          <w:szCs w:val="32"/>
          <w:highlight w:val="none"/>
        </w:rPr>
        <w:t>采购人名称：</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u w:val="dotted"/>
          <w:lang w:val="en-US" w:eastAsia="zh-CN"/>
        </w:rPr>
        <w:t xml:space="preserve">                           </w:t>
      </w:r>
    </w:p>
    <w:p w14:paraId="3B9E4D41">
      <w:pPr>
        <w:pageBreakBefore w:val="0"/>
        <w:wordWrap w:val="0"/>
        <w:overflowPunct/>
        <w:topLinePunct w:val="0"/>
        <w:bidi w:val="0"/>
        <w:spacing w:line="360" w:lineRule="auto"/>
        <w:rPr>
          <w:rFonts w:ascii="宋体" w:hAnsi="宋体" w:cs="宋体"/>
          <w:color w:val="auto"/>
          <w:sz w:val="32"/>
          <w:szCs w:val="32"/>
          <w:highlight w:val="none"/>
          <w:u w:val="single"/>
        </w:rPr>
      </w:pPr>
      <w:r>
        <w:rPr>
          <w:rFonts w:hint="eastAsia" w:ascii="宋体" w:hAnsi="宋体" w:cs="宋体"/>
          <w:color w:val="auto"/>
          <w:sz w:val="32"/>
          <w:szCs w:val="32"/>
          <w:highlight w:val="none"/>
        </w:rPr>
        <w:t>代理机构名称：</w:t>
      </w:r>
      <w:r>
        <w:rPr>
          <w:rFonts w:hint="eastAsia" w:ascii="宋体" w:hAnsi="宋体" w:cs="宋体"/>
          <w:color w:val="auto"/>
          <w:sz w:val="32"/>
          <w:szCs w:val="32"/>
          <w:highlight w:val="none"/>
          <w:u w:val="dotted"/>
        </w:rPr>
        <w:t xml:space="preserve">                                         </w:t>
      </w:r>
    </w:p>
    <w:p w14:paraId="42055414">
      <w:pPr>
        <w:pageBreakBefore w:val="0"/>
        <w:wordWrap w:val="0"/>
        <w:overflowPunct/>
        <w:topLinePunct w:val="0"/>
        <w:bidi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rPr>
        <w:t>采购文件公告:</w:t>
      </w:r>
      <w:r>
        <w:rPr>
          <w:rFonts w:hint="eastAsia" w:ascii="宋体" w:hAnsi="宋体" w:cs="宋体"/>
          <w:color w:val="auto"/>
          <w:sz w:val="32"/>
          <w:szCs w:val="32"/>
          <w:highlight w:val="none"/>
          <w:u w:val="dotted"/>
        </w:rPr>
        <w:t xml:space="preserve">是/否 </w:t>
      </w:r>
      <w:r>
        <w:rPr>
          <w:rFonts w:hint="eastAsia" w:ascii="宋体" w:hAnsi="宋体" w:cs="宋体"/>
          <w:color w:val="auto"/>
          <w:sz w:val="32"/>
          <w:szCs w:val="32"/>
          <w:highlight w:val="none"/>
        </w:rPr>
        <w:t>公告期限：</w:t>
      </w:r>
      <w:r>
        <w:rPr>
          <w:rFonts w:hint="eastAsia" w:ascii="宋体" w:hAnsi="宋体" w:cs="宋体"/>
          <w:color w:val="auto"/>
          <w:sz w:val="32"/>
          <w:szCs w:val="32"/>
          <w:highlight w:val="none"/>
          <w:u w:val="dotted"/>
        </w:rPr>
        <w:t xml:space="preserve">                                 </w:t>
      </w:r>
    </w:p>
    <w:p w14:paraId="266151C6">
      <w:pPr>
        <w:pageBreakBefore w:val="0"/>
        <w:wordWrap w:val="0"/>
        <w:overflowPunct/>
        <w:topLinePunct w:val="0"/>
        <w:bidi w:val="0"/>
        <w:spacing w:line="360" w:lineRule="auto"/>
        <w:rPr>
          <w:rFonts w:ascii="宋体" w:hAnsi="宋体" w:cs="宋体"/>
          <w:color w:val="auto"/>
          <w:sz w:val="32"/>
          <w:szCs w:val="32"/>
          <w:highlight w:val="none"/>
          <w:u w:val="single"/>
        </w:rPr>
      </w:pPr>
      <w:r>
        <w:rPr>
          <w:rFonts w:hint="eastAsia" w:ascii="宋体" w:hAnsi="宋体" w:cs="宋体"/>
          <w:color w:val="auto"/>
          <w:sz w:val="32"/>
          <w:szCs w:val="32"/>
          <w:highlight w:val="none"/>
        </w:rPr>
        <w:t>采购结果公告:</w:t>
      </w:r>
      <w:r>
        <w:rPr>
          <w:rFonts w:hint="eastAsia" w:ascii="宋体" w:hAnsi="宋体" w:cs="宋体"/>
          <w:color w:val="auto"/>
          <w:sz w:val="32"/>
          <w:szCs w:val="32"/>
          <w:highlight w:val="none"/>
          <w:u w:val="dotted"/>
        </w:rPr>
        <w:t xml:space="preserve">是/否 </w:t>
      </w:r>
      <w:r>
        <w:rPr>
          <w:rFonts w:hint="eastAsia" w:ascii="宋体" w:hAnsi="宋体" w:cs="宋体"/>
          <w:color w:val="auto"/>
          <w:sz w:val="32"/>
          <w:szCs w:val="32"/>
          <w:highlight w:val="none"/>
        </w:rPr>
        <w:t>公告期限：</w:t>
      </w:r>
      <w:r>
        <w:rPr>
          <w:rFonts w:hint="eastAsia" w:ascii="宋体" w:hAnsi="宋体" w:cs="宋体"/>
          <w:color w:val="auto"/>
          <w:sz w:val="32"/>
          <w:szCs w:val="32"/>
          <w:highlight w:val="none"/>
          <w:u w:val="dotted"/>
        </w:rPr>
        <w:t xml:space="preserve">                        </w:t>
      </w:r>
    </w:p>
    <w:p w14:paraId="68EECC8C">
      <w:pPr>
        <w:pageBreakBefore w:val="0"/>
        <w:wordWrap w:val="0"/>
        <w:overflowPunct/>
        <w:topLinePunct w:val="0"/>
        <w:bidi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三、质疑基本情况</w:t>
      </w:r>
    </w:p>
    <w:p w14:paraId="3DF1250B">
      <w:pPr>
        <w:pageBreakBefore w:val="0"/>
        <w:wordWrap w:val="0"/>
        <w:overflowPunct/>
        <w:topLinePunct w:val="0"/>
        <w:bidi w:val="0"/>
        <w:spacing w:line="360" w:lineRule="auto"/>
        <w:ind w:firstLine="640" w:firstLineChars="200"/>
        <w:rPr>
          <w:rFonts w:ascii="宋体" w:hAnsi="宋体" w:cs="宋体"/>
          <w:color w:val="auto"/>
          <w:sz w:val="32"/>
          <w:szCs w:val="32"/>
          <w:highlight w:val="none"/>
          <w:u w:val="dotted"/>
        </w:rPr>
      </w:pPr>
      <w:r>
        <w:rPr>
          <w:rFonts w:hint="eastAsia" w:ascii="宋体" w:hAnsi="宋体" w:cs="宋体"/>
          <w:color w:val="auto"/>
          <w:sz w:val="32"/>
          <w:szCs w:val="32"/>
          <w:highlight w:val="none"/>
        </w:rPr>
        <w:t>投诉人于</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年</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月</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日,向</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提出质疑，质疑事项为：</w:t>
      </w:r>
      <w:r>
        <w:rPr>
          <w:rFonts w:hint="eastAsia" w:ascii="宋体" w:hAnsi="宋体" w:cs="宋体"/>
          <w:color w:val="auto"/>
          <w:sz w:val="32"/>
          <w:szCs w:val="32"/>
          <w:highlight w:val="none"/>
          <w:u w:val="dotted"/>
        </w:rPr>
        <w:t xml:space="preserve">                                </w:t>
      </w:r>
    </w:p>
    <w:p w14:paraId="5EB24BAD">
      <w:pPr>
        <w:pageBreakBefore w:val="0"/>
        <w:wordWrap w:val="0"/>
        <w:overflowPunct/>
        <w:topLinePunct w:val="0"/>
        <w:bidi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 xml:space="preserve">  </w:t>
      </w:r>
    </w:p>
    <w:p w14:paraId="0FDEEA7F">
      <w:pPr>
        <w:pageBreakBefore w:val="0"/>
        <w:wordWrap w:val="0"/>
        <w:overflowPunct/>
        <w:topLinePunct w:val="0"/>
        <w:bidi w:val="0"/>
        <w:spacing w:line="360" w:lineRule="auto"/>
        <w:ind w:firstLine="480" w:firstLineChars="150"/>
        <w:rPr>
          <w:rFonts w:ascii="宋体" w:hAnsi="宋体" w:cs="宋体"/>
          <w:color w:val="auto"/>
          <w:sz w:val="32"/>
          <w:szCs w:val="32"/>
          <w:highlight w:val="none"/>
        </w:rPr>
      </w:pPr>
      <w:r>
        <w:rPr>
          <w:rFonts w:hint="eastAsia" w:ascii="宋体" w:hAnsi="宋体" w:cs="宋体"/>
          <w:color w:val="auto"/>
          <w:sz w:val="32"/>
          <w:szCs w:val="32"/>
          <w:highlight w:val="none"/>
          <w:u w:val="dotted"/>
        </w:rPr>
        <w:t>采购人/代理机构</w:t>
      </w:r>
      <w:r>
        <w:rPr>
          <w:rFonts w:hint="eastAsia" w:ascii="宋体" w:hAnsi="宋体" w:cs="宋体"/>
          <w:color w:val="auto"/>
          <w:sz w:val="32"/>
          <w:szCs w:val="32"/>
          <w:highlight w:val="none"/>
        </w:rPr>
        <w:t>于</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年</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月</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日,就质疑事项作出了答复/没有在法定期限内作出答复。</w:t>
      </w:r>
    </w:p>
    <w:p w14:paraId="741139B1">
      <w:pPr>
        <w:pageBreakBefore w:val="0"/>
        <w:wordWrap w:val="0"/>
        <w:overflowPunct/>
        <w:topLinePunct w:val="0"/>
        <w:bidi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四、投诉事项具体内容</w:t>
      </w:r>
    </w:p>
    <w:p w14:paraId="5636A943">
      <w:pPr>
        <w:pageBreakBefore w:val="0"/>
        <w:wordWrap w:val="0"/>
        <w:overflowPunct/>
        <w:topLinePunct w:val="0"/>
        <w:bidi w:val="0"/>
        <w:spacing w:line="360" w:lineRule="auto"/>
        <w:rPr>
          <w:rFonts w:ascii="宋体" w:hAnsi="宋体" w:cs="宋体"/>
          <w:color w:val="auto"/>
          <w:sz w:val="32"/>
          <w:szCs w:val="32"/>
          <w:highlight w:val="none"/>
          <w:u w:val="single"/>
        </w:rPr>
      </w:pPr>
      <w:r>
        <w:rPr>
          <w:rFonts w:hint="eastAsia" w:ascii="宋体" w:hAnsi="宋体" w:cs="宋体"/>
          <w:color w:val="auto"/>
          <w:sz w:val="32"/>
          <w:szCs w:val="32"/>
          <w:highlight w:val="none"/>
        </w:rPr>
        <w:t>投诉事项 1：</w:t>
      </w:r>
      <w:r>
        <w:rPr>
          <w:rFonts w:hint="eastAsia" w:ascii="宋体" w:hAnsi="宋体" w:cs="宋体"/>
          <w:color w:val="auto"/>
          <w:sz w:val="32"/>
          <w:szCs w:val="32"/>
          <w:highlight w:val="none"/>
          <w:u w:val="dotted"/>
        </w:rPr>
        <w:t xml:space="preserve">                                       </w:t>
      </w:r>
    </w:p>
    <w:p w14:paraId="2F25812A">
      <w:pPr>
        <w:pageBreakBefore w:val="0"/>
        <w:wordWrap w:val="0"/>
        <w:overflowPunct/>
        <w:topLinePunct w:val="0"/>
        <w:bidi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rPr>
        <w:t>事实依据：</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u w:val="dotted"/>
          <w:lang w:val="en-US" w:eastAsia="zh-CN"/>
        </w:rPr>
        <w:t xml:space="preserve"> </w:t>
      </w:r>
      <w:r>
        <w:rPr>
          <w:rFonts w:hint="eastAsia" w:ascii="宋体" w:hAnsi="宋体" w:cs="宋体"/>
          <w:color w:val="auto"/>
          <w:sz w:val="32"/>
          <w:szCs w:val="32"/>
          <w:highlight w:val="none"/>
          <w:u w:val="dotted"/>
        </w:rPr>
        <w:t xml:space="preserve">     </w:t>
      </w:r>
    </w:p>
    <w:p w14:paraId="1B735300">
      <w:pPr>
        <w:pageBreakBefore w:val="0"/>
        <w:wordWrap w:val="0"/>
        <w:overflowPunct/>
        <w:topLinePunct w:val="0"/>
        <w:bidi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rPr>
        <w:t>法律依据：</w:t>
      </w:r>
      <w:r>
        <w:rPr>
          <w:rFonts w:hint="eastAsia" w:ascii="宋体" w:hAnsi="宋体" w:cs="宋体"/>
          <w:color w:val="auto"/>
          <w:sz w:val="32"/>
          <w:szCs w:val="32"/>
          <w:highlight w:val="none"/>
          <w:u w:val="dotted"/>
        </w:rPr>
        <w:t xml:space="preserve">                                         </w:t>
      </w:r>
    </w:p>
    <w:p w14:paraId="3530A0FE">
      <w:pPr>
        <w:pageBreakBefore w:val="0"/>
        <w:wordWrap w:val="0"/>
        <w:overflowPunct/>
        <w:topLinePunct w:val="0"/>
        <w:bidi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投诉事项2</w:t>
      </w:r>
    </w:p>
    <w:p w14:paraId="24F9CE03">
      <w:pPr>
        <w:pageBreakBefore w:val="0"/>
        <w:wordWrap w:val="0"/>
        <w:overflowPunct/>
        <w:topLinePunct w:val="0"/>
        <w:bidi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rPr>
        <w:t>……</w:t>
      </w:r>
    </w:p>
    <w:p w14:paraId="15964BBE">
      <w:pPr>
        <w:pageBreakBefore w:val="0"/>
        <w:wordWrap w:val="0"/>
        <w:overflowPunct/>
        <w:topLinePunct w:val="0"/>
        <w:bidi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五、与投诉事项相关的投诉请求</w:t>
      </w:r>
    </w:p>
    <w:p w14:paraId="5870E11E">
      <w:pPr>
        <w:pageBreakBefore w:val="0"/>
        <w:wordWrap w:val="0"/>
        <w:overflowPunct/>
        <w:topLinePunct w:val="0"/>
        <w:bidi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请求：</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 xml:space="preserve"> </w:t>
      </w:r>
    </w:p>
    <w:p w14:paraId="751B42CE">
      <w:pPr>
        <w:pageBreakBefore w:val="0"/>
        <w:wordWrap w:val="0"/>
        <w:overflowPunct/>
        <w:topLinePunct w:val="0"/>
        <w:bidi w:val="0"/>
        <w:spacing w:line="360" w:lineRule="auto"/>
        <w:rPr>
          <w:rFonts w:ascii="宋体" w:hAnsi="宋体" w:cs="宋体"/>
          <w:color w:val="auto"/>
          <w:sz w:val="32"/>
          <w:szCs w:val="32"/>
          <w:highlight w:val="none"/>
          <w:u w:val="single"/>
        </w:rPr>
      </w:pPr>
      <w:r>
        <w:rPr>
          <w:rFonts w:hint="eastAsia" w:ascii="宋体" w:hAnsi="宋体" w:cs="宋体"/>
          <w:color w:val="auto"/>
          <w:sz w:val="32"/>
          <w:szCs w:val="32"/>
          <w:highlight w:val="none"/>
        </w:rPr>
        <w:t xml:space="preserve">                                      </w:t>
      </w:r>
    </w:p>
    <w:p w14:paraId="473A7069">
      <w:pPr>
        <w:pageBreakBefore w:val="0"/>
        <w:wordWrap w:val="0"/>
        <w:overflowPunct/>
        <w:topLinePunct w:val="0"/>
        <w:bidi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 xml:space="preserve">签字(签章)：                   公章：                      </w:t>
      </w:r>
    </w:p>
    <w:p w14:paraId="2BDCC9A9">
      <w:pPr>
        <w:pageBreakBefore w:val="0"/>
        <w:wordWrap w:val="0"/>
        <w:overflowPunct/>
        <w:topLinePunct w:val="0"/>
        <w:bidi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 xml:space="preserve">日期：    </w:t>
      </w:r>
    </w:p>
    <w:p w14:paraId="211FA493">
      <w:pPr>
        <w:pageBreakBefore w:val="0"/>
        <w:wordWrap w:val="0"/>
        <w:overflowPunct/>
        <w:topLinePunct w:val="0"/>
        <w:bidi w:val="0"/>
        <w:spacing w:line="360" w:lineRule="auto"/>
        <w:rPr>
          <w:rFonts w:ascii="宋体" w:hAnsi="宋体" w:cs="宋体"/>
          <w:b/>
          <w:color w:val="auto"/>
          <w:sz w:val="32"/>
          <w:szCs w:val="32"/>
          <w:highlight w:val="none"/>
        </w:rPr>
      </w:pPr>
      <w:r>
        <w:rPr>
          <w:rFonts w:hint="eastAsia" w:ascii="宋体" w:hAnsi="宋体" w:cs="宋体"/>
          <w:b/>
          <w:color w:val="auto"/>
          <w:sz w:val="32"/>
          <w:szCs w:val="32"/>
          <w:highlight w:val="none"/>
        </w:rPr>
        <w:t>投诉书制作说明：</w:t>
      </w:r>
    </w:p>
    <w:p w14:paraId="6CEA0ED2">
      <w:pPr>
        <w:pageBreakBefore w:val="0"/>
        <w:widowControl/>
        <w:wordWrap w:val="0"/>
        <w:overflowPunct/>
        <w:topLinePunct w:val="0"/>
        <w:bidi w:val="0"/>
        <w:spacing w:line="360" w:lineRule="auto"/>
        <w:ind w:firstLine="640" w:firstLineChars="200"/>
        <w:rPr>
          <w:rFonts w:ascii="宋体" w:hAnsi="宋体" w:cs="宋体"/>
          <w:color w:val="auto"/>
          <w:kern w:val="0"/>
          <w:sz w:val="32"/>
          <w:szCs w:val="32"/>
          <w:highlight w:val="none"/>
        </w:rPr>
      </w:pPr>
      <w:r>
        <w:rPr>
          <w:rFonts w:hint="eastAsia" w:ascii="宋体" w:hAnsi="宋体" w:cs="宋体"/>
          <w:color w:val="auto"/>
          <w:sz w:val="32"/>
          <w:szCs w:val="32"/>
          <w:highlight w:val="none"/>
        </w:rPr>
        <w:t>1.投诉人提起投诉时，应当提交投诉书和必要的证明材料，并按照被投诉人和与投诉事项有关的供应商数量提供投诉书副本。</w:t>
      </w:r>
    </w:p>
    <w:p w14:paraId="68979797">
      <w:pPr>
        <w:pageBreakBefore w:val="0"/>
        <w:widowControl/>
        <w:wordWrap w:val="0"/>
        <w:overflowPunct/>
        <w:topLinePunct w:val="0"/>
        <w:bidi w:val="0"/>
        <w:spacing w:line="360" w:lineRule="auto"/>
        <w:ind w:firstLine="640" w:firstLineChars="200"/>
        <w:jc w:val="left"/>
        <w:rPr>
          <w:rFonts w:ascii="宋体" w:hAnsi="宋体" w:cs="宋体"/>
          <w:color w:val="auto"/>
          <w:kern w:val="0"/>
          <w:sz w:val="32"/>
          <w:szCs w:val="32"/>
          <w:highlight w:val="none"/>
        </w:rPr>
      </w:pPr>
      <w:r>
        <w:rPr>
          <w:rFonts w:hint="eastAsia" w:ascii="宋体" w:hAnsi="宋体" w:cs="宋体"/>
          <w:color w:val="auto"/>
          <w:sz w:val="32"/>
          <w:szCs w:val="32"/>
          <w:highlight w:val="none"/>
        </w:rPr>
        <w:t>2.投诉人若委托代理人进行投诉的，投诉书应按照要求列明“授权代表”的有关内容，并在附件中提交由</w:t>
      </w:r>
      <w:r>
        <w:rPr>
          <w:rFonts w:hint="eastAsia" w:ascii="宋体" w:hAnsi="宋体" w:cs="宋体"/>
          <w:color w:val="auto"/>
          <w:kern w:val="0"/>
          <w:sz w:val="32"/>
          <w:szCs w:val="32"/>
          <w:highlight w:val="none"/>
        </w:rPr>
        <w:t>投诉人签署的授权委托书。授权委托书应当载明代理人的姓名或者名称、代理事项、具体权限、期限和相关事项。</w:t>
      </w:r>
    </w:p>
    <w:p w14:paraId="2BECBCFD">
      <w:pPr>
        <w:pageBreakBefore w:val="0"/>
        <w:widowControl/>
        <w:wordWrap w:val="0"/>
        <w:overflowPunct/>
        <w:topLinePunct w:val="0"/>
        <w:bidi w:val="0"/>
        <w:spacing w:line="360" w:lineRule="auto"/>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3.投诉人若对项目的某一分包进行投诉，投诉书应列明具体分包号。</w:t>
      </w:r>
    </w:p>
    <w:p w14:paraId="75338C55">
      <w:pPr>
        <w:pageBreakBefore w:val="0"/>
        <w:widowControl/>
        <w:wordWrap w:val="0"/>
        <w:overflowPunct/>
        <w:topLinePunct w:val="0"/>
        <w:bidi w:val="0"/>
        <w:spacing w:line="360" w:lineRule="auto"/>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4.投诉书应简要列明质疑事项，质疑函、质疑答复等作为附件材料提供。</w:t>
      </w:r>
    </w:p>
    <w:p w14:paraId="18019291">
      <w:pPr>
        <w:pageBreakBefore w:val="0"/>
        <w:widowControl/>
        <w:wordWrap w:val="0"/>
        <w:overflowPunct/>
        <w:topLinePunct w:val="0"/>
        <w:bidi w:val="0"/>
        <w:spacing w:line="360" w:lineRule="auto"/>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5.投诉书的投诉事项应具体、明确，并有必要的事实依据和法律依据。</w:t>
      </w:r>
    </w:p>
    <w:p w14:paraId="7F8B9685">
      <w:pPr>
        <w:pageBreakBefore w:val="0"/>
        <w:widowControl/>
        <w:wordWrap w:val="0"/>
        <w:overflowPunct/>
        <w:topLinePunct w:val="0"/>
        <w:bidi w:val="0"/>
        <w:spacing w:line="360" w:lineRule="auto"/>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6.投诉书的投诉请求应与投诉事项相关。</w:t>
      </w:r>
    </w:p>
    <w:p w14:paraId="01D2AC34">
      <w:pPr>
        <w:pageBreakBefore w:val="0"/>
        <w:widowControl/>
        <w:wordWrap w:val="0"/>
        <w:overflowPunct/>
        <w:topLinePunct w:val="0"/>
        <w:bidi w:val="0"/>
        <w:spacing w:line="360" w:lineRule="auto"/>
        <w:ind w:firstLine="640" w:firstLineChars="200"/>
        <w:jc w:val="left"/>
        <w:rPr>
          <w:rFonts w:ascii="宋体" w:hAnsi="宋体" w:cs="宋体"/>
          <w:color w:val="auto"/>
          <w:kern w:val="0"/>
          <w:sz w:val="32"/>
          <w:szCs w:val="32"/>
          <w:highlight w:val="none"/>
        </w:rPr>
      </w:pPr>
      <w:r>
        <w:rPr>
          <w:rFonts w:hint="eastAsia" w:ascii="宋体" w:hAnsi="宋体" w:cs="宋体"/>
          <w:color w:val="auto"/>
          <w:sz w:val="32"/>
          <w:szCs w:val="32"/>
          <w:highlight w:val="none"/>
        </w:rPr>
        <w:t>7.投诉人为自然人的，投诉书应当由本人签字；投诉人为法人或者其他组织的，投诉书应当由法定代表人、主要负责人，或者其授权代表签字或者盖章，并加盖公章。</w:t>
      </w:r>
    </w:p>
    <w:p w14:paraId="3BBD5E26">
      <w:pPr>
        <w:wordWrap w:val="0"/>
        <w:spacing w:line="360" w:lineRule="auto"/>
        <w:rPr>
          <w:rFonts w:ascii="宋体" w:hAnsi="宋体" w:cs="宋体"/>
          <w:color w:val="auto"/>
          <w:highlight w:val="none"/>
        </w:rPr>
      </w:pPr>
    </w:p>
    <w:p w14:paraId="02D02F6D">
      <w:pPr>
        <w:rPr>
          <w:rFonts w:ascii="宋体" w:hAnsi="宋体" w:cs="宋体"/>
          <w:color w:val="auto"/>
          <w:highlight w:val="none"/>
        </w:rPr>
      </w:pPr>
    </w:p>
    <w:sectPr>
      <w:footerReference r:id="rId10" w:type="first"/>
      <w:headerReference r:id="rId7" w:type="default"/>
      <w:footerReference r:id="rId8" w:type="default"/>
      <w:footerReference r:id="rId9" w:type="even"/>
      <w:pgSz w:w="11906" w:h="16838"/>
      <w:pgMar w:top="1440" w:right="1080" w:bottom="1440" w:left="1080" w:header="720" w:footer="720" w:gutter="0"/>
      <w:pgNumType w:fmt="decimal"/>
      <w:cols w:space="720" w:num="1"/>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9D13A">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B6A370">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2B6A370">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C51F7">
    <w:pPr>
      <w:pStyle w:val="14"/>
      <w:tabs>
        <w:tab w:val="clear" w:pos="4153"/>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5704E2">
                          <w:pPr>
                            <w:pStyle w:val="1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B5704E2">
                    <w:pPr>
                      <w:pStyle w:val="14"/>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22AE6">
    <w:pPr>
      <w:pStyle w:val="1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DE0C7A">
                          <w:pPr>
                            <w:pStyle w:val="14"/>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BDE0C7A">
                    <w:pPr>
                      <w:pStyle w:val="14"/>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836F58">
    <w:pPr>
      <w:pStyle w:val="14"/>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F4E086">
                          <w:pPr>
                            <w:pStyle w:val="14"/>
                          </w:pPr>
                          <w:r>
                            <w:fldChar w:fldCharType="begin"/>
                          </w:r>
                          <w:r>
                            <w:instrText xml:space="preserve"> PAGE  \* MERGEFORMAT </w:instrText>
                          </w:r>
                          <w:r>
                            <w:fldChar w:fldCharType="separate"/>
                          </w:r>
                          <w:r>
                            <w:t>109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7F4E086">
                    <w:pPr>
                      <w:pStyle w:val="14"/>
                    </w:pPr>
                    <w:r>
                      <w:fldChar w:fldCharType="begin"/>
                    </w:r>
                    <w:r>
                      <w:instrText xml:space="preserve"> PAGE  \* MERGEFORMAT </w:instrText>
                    </w:r>
                    <w:r>
                      <w:fldChar w:fldCharType="separate"/>
                    </w:r>
                    <w:r>
                      <w:t>109</w:t>
                    </w:r>
                    <w:r>
                      <w:fldChar w:fldCharType="end"/>
                    </w:r>
                  </w:p>
                </w:txbxContent>
              </v:textbox>
            </v:shape>
          </w:pict>
        </mc:Fallback>
      </mc:AlternateContent>
    </w:r>
  </w:p>
  <w:p w14:paraId="37F305FB">
    <w:pPr>
      <w:pStyle w:val="1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8C298">
    <w:pPr>
      <w:pStyle w:val="14"/>
      <w:framePr w:wrap="around" w:vAnchor="text" w:hAnchor="margin" w:xAlign="center" w:y="1"/>
      <w:rPr>
        <w:rStyle w:val="25"/>
      </w:rPr>
    </w:pPr>
    <w:r>
      <w:fldChar w:fldCharType="begin"/>
    </w:r>
    <w:r>
      <w:rPr>
        <w:rStyle w:val="25"/>
      </w:rPr>
      <w:instrText xml:space="preserve">PAGE  </w:instrText>
    </w:r>
    <w:r>
      <w:fldChar w:fldCharType="end"/>
    </w:r>
  </w:p>
  <w:p w14:paraId="30F0B132">
    <w:pPr>
      <w:pStyle w:val="1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9B9E2">
    <w:pPr>
      <w:pStyle w:val="14"/>
      <w:framePr w:wrap="around" w:vAnchor="text" w:hAnchor="margin" w:xAlign="right" w:y="1"/>
      <w:rPr>
        <w:rStyle w:val="25"/>
      </w:rPr>
    </w:pPr>
    <w:r>
      <w:fldChar w:fldCharType="begin"/>
    </w:r>
    <w:r>
      <w:rPr>
        <w:rStyle w:val="25"/>
      </w:rPr>
      <w:instrText xml:space="preserve">PAGE  </w:instrText>
    </w:r>
    <w:r>
      <w:fldChar w:fldCharType="separate"/>
    </w:r>
    <w:r>
      <w:rPr>
        <w:rStyle w:val="25"/>
      </w:rPr>
      <w:t>122</w:t>
    </w:r>
    <w:r>
      <w:fldChar w:fldCharType="end"/>
    </w:r>
  </w:p>
  <w:p w14:paraId="67A6AA90">
    <w:pPr>
      <w:pStyle w:val="14"/>
      <w:ind w:right="360"/>
      <w:jc w:val="both"/>
    </w:pPr>
    <w:r>
      <w:rPr>
        <w:rFonts w:hint="eastAsia"/>
      </w:rPr>
      <w:t>121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5C6B9C">
    <w:pPr>
      <w:widowControl/>
      <w:ind w:left="-360" w:right="360"/>
      <w:rPr>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91442">
    <w:pPr>
      <w:pStyle w:val="15"/>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51E5CB"/>
    <w:multiLevelType w:val="singleLevel"/>
    <w:tmpl w:val="9851E5CB"/>
    <w:lvl w:ilvl="0" w:tentative="0">
      <w:start w:val="7"/>
      <w:numFmt w:val="chineseCounting"/>
      <w:suff w:val="nothing"/>
      <w:lvlText w:val="%1、"/>
      <w:lvlJc w:val="left"/>
      <w:rPr>
        <w:rFonts w:hint="eastAsia"/>
      </w:rPr>
    </w:lvl>
  </w:abstractNum>
  <w:abstractNum w:abstractNumId="1">
    <w:nsid w:val="00000001"/>
    <w:multiLevelType w:val="singleLevel"/>
    <w:tmpl w:val="00000001"/>
    <w:lvl w:ilvl="0" w:tentative="0">
      <w:start w:val="1"/>
      <w:numFmt w:val="decimal"/>
      <w:suff w:val="nothing"/>
      <w:lvlText w:val="（%1）"/>
      <w:lvlJc w:val="left"/>
    </w:lvl>
  </w:abstractNum>
  <w:abstractNum w:abstractNumId="2">
    <w:nsid w:val="00000002"/>
    <w:multiLevelType w:val="multilevel"/>
    <w:tmpl w:val="0000000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pStyle w:val="5"/>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3"/>
    <w:multiLevelType w:val="singleLevel"/>
    <w:tmpl w:val="00000003"/>
    <w:lvl w:ilvl="0" w:tentative="0">
      <w:start w:val="1"/>
      <w:numFmt w:val="decimal"/>
      <w:suff w:val="nothing"/>
      <w:lvlText w:val="（%1）"/>
      <w:lvlJc w:val="left"/>
      <w:pPr>
        <w:ind w:left="0" w:firstLine="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lvlOverride w:ilvl="0">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hideSpellingErrors/>
  <w:revisionView w:markup="0"/>
  <w:documentProtection w:edit="readOnly" w:enforcement="1" w:cryptProviderType="rsaFull" w:cryptAlgorithmClass="hash" w:cryptAlgorithmType="typeAny" w:cryptAlgorithmSid="4" w:cryptSpinCount="0" w:hash="32wBGERrJ34DZd0y8Z3lgqwxrbI=" w:salt="/tlpsG+MAmi3F7M0qwEI8w=="/>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kMTVkZGVlNjM5Y2I1YzE2NWI2YTdmZmFkOGI0MTkifQ=="/>
  </w:docVars>
  <w:rsids>
    <w:rsidRoot w:val="00D84B94"/>
    <w:rsid w:val="000669FE"/>
    <w:rsid w:val="001240CB"/>
    <w:rsid w:val="00273590"/>
    <w:rsid w:val="002D4860"/>
    <w:rsid w:val="0035682B"/>
    <w:rsid w:val="00390BC1"/>
    <w:rsid w:val="00396B2A"/>
    <w:rsid w:val="00415572"/>
    <w:rsid w:val="0043315D"/>
    <w:rsid w:val="0049458C"/>
    <w:rsid w:val="0051224F"/>
    <w:rsid w:val="0053426D"/>
    <w:rsid w:val="0072473B"/>
    <w:rsid w:val="007D7C88"/>
    <w:rsid w:val="00990CC6"/>
    <w:rsid w:val="009B6165"/>
    <w:rsid w:val="00A34A3B"/>
    <w:rsid w:val="00AE7ED5"/>
    <w:rsid w:val="00B04F1F"/>
    <w:rsid w:val="00BD2AD0"/>
    <w:rsid w:val="00C23769"/>
    <w:rsid w:val="00C3097D"/>
    <w:rsid w:val="00C4584A"/>
    <w:rsid w:val="00D7440B"/>
    <w:rsid w:val="00D84B94"/>
    <w:rsid w:val="00DA0FB4"/>
    <w:rsid w:val="00DA4E3C"/>
    <w:rsid w:val="00DE7A87"/>
    <w:rsid w:val="00F052FD"/>
    <w:rsid w:val="00F07FFA"/>
    <w:rsid w:val="00F52A8D"/>
    <w:rsid w:val="012E190F"/>
    <w:rsid w:val="016D0CA2"/>
    <w:rsid w:val="02543443"/>
    <w:rsid w:val="0597502B"/>
    <w:rsid w:val="06245675"/>
    <w:rsid w:val="07B5669C"/>
    <w:rsid w:val="07F94B34"/>
    <w:rsid w:val="08281AC6"/>
    <w:rsid w:val="0CAF38D3"/>
    <w:rsid w:val="0DE7563E"/>
    <w:rsid w:val="100A7FDF"/>
    <w:rsid w:val="108252A3"/>
    <w:rsid w:val="116964A8"/>
    <w:rsid w:val="11A008EF"/>
    <w:rsid w:val="12D815BF"/>
    <w:rsid w:val="1310745F"/>
    <w:rsid w:val="1345679E"/>
    <w:rsid w:val="13FD2207"/>
    <w:rsid w:val="14AC0491"/>
    <w:rsid w:val="15F1666D"/>
    <w:rsid w:val="17CA4C65"/>
    <w:rsid w:val="18313495"/>
    <w:rsid w:val="18A916AA"/>
    <w:rsid w:val="1A7C1E75"/>
    <w:rsid w:val="1CA554F5"/>
    <w:rsid w:val="1F0F1D1A"/>
    <w:rsid w:val="1FD02C57"/>
    <w:rsid w:val="20A2131F"/>
    <w:rsid w:val="211E40AD"/>
    <w:rsid w:val="218C2A26"/>
    <w:rsid w:val="22A854A3"/>
    <w:rsid w:val="23A85C74"/>
    <w:rsid w:val="24F320C9"/>
    <w:rsid w:val="26395046"/>
    <w:rsid w:val="287F1449"/>
    <w:rsid w:val="29344ADA"/>
    <w:rsid w:val="296A61DF"/>
    <w:rsid w:val="2AAA759D"/>
    <w:rsid w:val="2CA363A8"/>
    <w:rsid w:val="2DD51F98"/>
    <w:rsid w:val="321628B3"/>
    <w:rsid w:val="34C84436"/>
    <w:rsid w:val="365F75AD"/>
    <w:rsid w:val="37812F58"/>
    <w:rsid w:val="383B1D57"/>
    <w:rsid w:val="38895AF0"/>
    <w:rsid w:val="3B6528DC"/>
    <w:rsid w:val="3BF159CF"/>
    <w:rsid w:val="41635D34"/>
    <w:rsid w:val="41E81DBB"/>
    <w:rsid w:val="42686FCC"/>
    <w:rsid w:val="43BD084E"/>
    <w:rsid w:val="4515424B"/>
    <w:rsid w:val="466E080E"/>
    <w:rsid w:val="47041BE5"/>
    <w:rsid w:val="47F45AF2"/>
    <w:rsid w:val="48C42A3E"/>
    <w:rsid w:val="49B368B7"/>
    <w:rsid w:val="4AFD6B02"/>
    <w:rsid w:val="4DB63172"/>
    <w:rsid w:val="4E5275D2"/>
    <w:rsid w:val="51F03663"/>
    <w:rsid w:val="522E0CD4"/>
    <w:rsid w:val="52666F88"/>
    <w:rsid w:val="52B62005"/>
    <w:rsid w:val="52B74913"/>
    <w:rsid w:val="54154F2F"/>
    <w:rsid w:val="54860B39"/>
    <w:rsid w:val="54F527EA"/>
    <w:rsid w:val="55325E6D"/>
    <w:rsid w:val="56BF3A28"/>
    <w:rsid w:val="57A04B71"/>
    <w:rsid w:val="57C806C2"/>
    <w:rsid w:val="581C03F5"/>
    <w:rsid w:val="587E61F5"/>
    <w:rsid w:val="58BC12CC"/>
    <w:rsid w:val="59184E6E"/>
    <w:rsid w:val="59EF3BC5"/>
    <w:rsid w:val="5B1850CF"/>
    <w:rsid w:val="5B2E3C2F"/>
    <w:rsid w:val="5CA906AD"/>
    <w:rsid w:val="5D34733E"/>
    <w:rsid w:val="5D8A1702"/>
    <w:rsid w:val="5ECA5457"/>
    <w:rsid w:val="61E82EA1"/>
    <w:rsid w:val="63B836D1"/>
    <w:rsid w:val="63F44B0F"/>
    <w:rsid w:val="647A6821"/>
    <w:rsid w:val="65085608"/>
    <w:rsid w:val="652A6B59"/>
    <w:rsid w:val="679A0EFB"/>
    <w:rsid w:val="6809013D"/>
    <w:rsid w:val="680E66E4"/>
    <w:rsid w:val="68C73267"/>
    <w:rsid w:val="698A02F3"/>
    <w:rsid w:val="69A67E89"/>
    <w:rsid w:val="69E33EC6"/>
    <w:rsid w:val="6BB63790"/>
    <w:rsid w:val="6C5A7C50"/>
    <w:rsid w:val="70320200"/>
    <w:rsid w:val="704A345D"/>
    <w:rsid w:val="70A82B9F"/>
    <w:rsid w:val="71BE0300"/>
    <w:rsid w:val="71C054EF"/>
    <w:rsid w:val="71E56CE2"/>
    <w:rsid w:val="724F0992"/>
    <w:rsid w:val="72873A68"/>
    <w:rsid w:val="73057BF8"/>
    <w:rsid w:val="73D3412F"/>
    <w:rsid w:val="73E40234"/>
    <w:rsid w:val="740C58AA"/>
    <w:rsid w:val="74CE676B"/>
    <w:rsid w:val="757A7E5C"/>
    <w:rsid w:val="767F318E"/>
    <w:rsid w:val="772D471E"/>
    <w:rsid w:val="78DB1AEF"/>
    <w:rsid w:val="7A8C7B9E"/>
    <w:rsid w:val="7ABB4647"/>
    <w:rsid w:val="7C9C0C73"/>
    <w:rsid w:val="7CE863E4"/>
    <w:rsid w:val="7DA37124"/>
    <w:rsid w:val="7F16316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1"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6" w:lineRule="auto"/>
      <w:outlineLvl w:val="0"/>
    </w:pPr>
    <w:rPr>
      <w:b/>
      <w:bCs/>
      <w:kern w:val="44"/>
      <w:sz w:val="44"/>
      <w:szCs w:val="44"/>
    </w:rPr>
  </w:style>
  <w:style w:type="paragraph" w:styleId="3">
    <w:name w:val="heading 2"/>
    <w:basedOn w:val="1"/>
    <w:next w:val="1"/>
    <w:autoRedefine/>
    <w:qFormat/>
    <w:uiPriority w:val="9"/>
    <w:pPr>
      <w:keepNext/>
      <w:keepLines/>
      <w:spacing w:before="260" w:after="260" w:line="413" w:lineRule="auto"/>
      <w:outlineLvl w:val="1"/>
    </w:pPr>
    <w:rPr>
      <w:rFonts w:ascii="Arial" w:hAnsi="Arial" w:eastAsia="黑体"/>
      <w:b/>
      <w:bCs/>
      <w:sz w:val="32"/>
      <w:szCs w:val="32"/>
    </w:rPr>
  </w:style>
  <w:style w:type="paragraph" w:styleId="4">
    <w:name w:val="heading 3"/>
    <w:basedOn w:val="1"/>
    <w:next w:val="1"/>
    <w:autoRedefine/>
    <w:qFormat/>
    <w:uiPriority w:val="9"/>
    <w:pPr>
      <w:keepNext/>
      <w:keepLines/>
      <w:spacing w:line="600" w:lineRule="exact"/>
      <w:ind w:firstLine="643" w:firstLineChars="200"/>
      <w:outlineLvl w:val="2"/>
    </w:pPr>
    <w:rPr>
      <w:b/>
      <w:bCs/>
      <w:sz w:val="32"/>
      <w:szCs w:val="32"/>
    </w:rPr>
  </w:style>
  <w:style w:type="paragraph" w:styleId="5">
    <w:name w:val="heading 4"/>
    <w:basedOn w:val="1"/>
    <w:next w:val="1"/>
    <w:autoRedefine/>
    <w:qFormat/>
    <w:uiPriority w:val="0"/>
    <w:pPr>
      <w:keepNext/>
      <w:keepLines/>
      <w:numPr>
        <w:ilvl w:val="3"/>
        <w:numId w:val="1"/>
      </w:numPr>
      <w:spacing w:before="280" w:after="290" w:line="372" w:lineRule="auto"/>
      <w:outlineLvl w:val="3"/>
    </w:pPr>
    <w:rPr>
      <w:rFonts w:ascii="Arial" w:hAnsi="Arial" w:eastAsia="黑体"/>
      <w:b/>
      <w:sz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6">
    <w:name w:val="index 8"/>
    <w:basedOn w:val="1"/>
    <w:next w:val="1"/>
    <w:autoRedefine/>
    <w:qFormat/>
    <w:uiPriority w:val="0"/>
    <w:pPr>
      <w:ind w:left="2940"/>
    </w:pPr>
  </w:style>
  <w:style w:type="paragraph" w:styleId="7">
    <w:name w:val="Normal Indent"/>
    <w:basedOn w:val="1"/>
    <w:next w:val="1"/>
    <w:autoRedefine/>
    <w:qFormat/>
    <w:uiPriority w:val="99"/>
    <w:pPr>
      <w:ind w:firstLine="420"/>
    </w:pPr>
    <w:rPr>
      <w:szCs w:val="20"/>
    </w:rPr>
  </w:style>
  <w:style w:type="paragraph" w:styleId="8">
    <w:name w:val="annotation text"/>
    <w:basedOn w:val="1"/>
    <w:link w:val="40"/>
    <w:autoRedefine/>
    <w:qFormat/>
    <w:uiPriority w:val="99"/>
    <w:pPr>
      <w:jc w:val="left"/>
    </w:pPr>
  </w:style>
  <w:style w:type="paragraph" w:styleId="9">
    <w:name w:val="Body Text"/>
    <w:basedOn w:val="1"/>
    <w:next w:val="1"/>
    <w:autoRedefine/>
    <w:qFormat/>
    <w:uiPriority w:val="0"/>
    <w:pPr>
      <w:spacing w:after="120"/>
    </w:pPr>
  </w:style>
  <w:style w:type="paragraph" w:styleId="10">
    <w:name w:val="Body Text Indent"/>
    <w:basedOn w:val="1"/>
    <w:autoRedefine/>
    <w:qFormat/>
    <w:uiPriority w:val="99"/>
    <w:pPr>
      <w:spacing w:line="200" w:lineRule="exact"/>
      <w:ind w:firstLine="301"/>
    </w:pPr>
    <w:rPr>
      <w:rFonts w:ascii="宋体" w:hAnsi="Courier New"/>
      <w:spacing w:val="-4"/>
      <w:sz w:val="18"/>
      <w:szCs w:val="20"/>
    </w:rPr>
  </w:style>
  <w:style w:type="paragraph" w:styleId="11">
    <w:name w:val="toc 3"/>
    <w:basedOn w:val="1"/>
    <w:next w:val="1"/>
    <w:autoRedefine/>
    <w:qFormat/>
    <w:uiPriority w:val="39"/>
    <w:pPr>
      <w:jc w:val="left"/>
    </w:pPr>
    <w:rPr>
      <w:rFonts w:ascii="Calibri" w:hAnsi="Calibri"/>
      <w:smallCaps/>
      <w:sz w:val="22"/>
      <w:szCs w:val="22"/>
    </w:rPr>
  </w:style>
  <w:style w:type="paragraph" w:styleId="12">
    <w:name w:val="Plain Text"/>
    <w:basedOn w:val="1"/>
    <w:next w:val="6"/>
    <w:autoRedefine/>
    <w:qFormat/>
    <w:uiPriority w:val="0"/>
    <w:rPr>
      <w:rFonts w:ascii="宋体" w:hAnsi="Courier New"/>
      <w:szCs w:val="20"/>
    </w:rPr>
  </w:style>
  <w:style w:type="paragraph" w:styleId="13">
    <w:name w:val="Balloon Text"/>
    <w:basedOn w:val="1"/>
    <w:link w:val="39"/>
    <w:autoRedefine/>
    <w:qFormat/>
    <w:uiPriority w:val="0"/>
    <w:rPr>
      <w:sz w:val="18"/>
      <w:szCs w:val="18"/>
    </w:rPr>
  </w:style>
  <w:style w:type="paragraph" w:styleId="14">
    <w:name w:val="footer"/>
    <w:basedOn w:val="1"/>
    <w:autoRedefine/>
    <w:qFormat/>
    <w:uiPriority w:val="99"/>
    <w:pPr>
      <w:tabs>
        <w:tab w:val="center" w:pos="4153"/>
        <w:tab w:val="right" w:pos="8306"/>
      </w:tabs>
      <w:snapToGrid w:val="0"/>
      <w:jc w:val="left"/>
    </w:pPr>
    <w:rPr>
      <w:sz w:val="18"/>
      <w:szCs w:val="18"/>
    </w:rPr>
  </w:style>
  <w:style w:type="paragraph" w:styleId="15">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autoRedefine/>
    <w:qFormat/>
    <w:uiPriority w:val="39"/>
    <w:pPr>
      <w:spacing w:before="360" w:after="360"/>
      <w:jc w:val="left"/>
    </w:pPr>
    <w:rPr>
      <w:rFonts w:ascii="Calibri" w:hAnsi="Calibri"/>
      <w:b/>
      <w:bCs/>
      <w:caps/>
      <w:sz w:val="22"/>
      <w:szCs w:val="22"/>
      <w:u w:val="single"/>
    </w:rPr>
  </w:style>
  <w:style w:type="paragraph" w:styleId="17">
    <w:name w:val="List"/>
    <w:basedOn w:val="1"/>
    <w:autoRedefine/>
    <w:qFormat/>
    <w:uiPriority w:val="99"/>
    <w:pPr>
      <w:ind w:left="200" w:hanging="200" w:hangingChars="200"/>
    </w:pPr>
    <w:rPr>
      <w:sz w:val="28"/>
    </w:rPr>
  </w:style>
  <w:style w:type="paragraph" w:styleId="18">
    <w:name w:val="toc 2"/>
    <w:basedOn w:val="1"/>
    <w:next w:val="1"/>
    <w:autoRedefine/>
    <w:qFormat/>
    <w:uiPriority w:val="39"/>
    <w:pPr>
      <w:jc w:val="left"/>
    </w:pPr>
    <w:rPr>
      <w:rFonts w:ascii="Calibri" w:hAnsi="Calibri"/>
      <w:b/>
      <w:bCs/>
      <w:smallCaps/>
      <w:sz w:val="22"/>
      <w:szCs w:val="22"/>
    </w:rPr>
  </w:style>
  <w:style w:type="paragraph" w:styleId="19">
    <w:name w:val="Title"/>
    <w:basedOn w:val="1"/>
    <w:next w:val="1"/>
    <w:autoRedefine/>
    <w:qFormat/>
    <w:uiPriority w:val="10"/>
    <w:pPr>
      <w:spacing w:before="240" w:after="60"/>
      <w:jc w:val="center"/>
      <w:outlineLvl w:val="0"/>
    </w:pPr>
    <w:rPr>
      <w:rFonts w:ascii="Cambria" w:hAnsi="Cambria"/>
      <w:b/>
      <w:bCs/>
      <w:sz w:val="32"/>
      <w:szCs w:val="32"/>
    </w:rPr>
  </w:style>
  <w:style w:type="paragraph" w:styleId="20">
    <w:name w:val="annotation subject"/>
    <w:basedOn w:val="8"/>
    <w:next w:val="8"/>
    <w:link w:val="41"/>
    <w:autoRedefine/>
    <w:qFormat/>
    <w:uiPriority w:val="0"/>
    <w:rPr>
      <w:b/>
      <w:bCs/>
    </w:rPr>
  </w:style>
  <w:style w:type="paragraph" w:styleId="21">
    <w:name w:val="Body Text First Indent 2"/>
    <w:basedOn w:val="1"/>
    <w:autoRedefine/>
    <w:qFormat/>
    <w:uiPriority w:val="1"/>
    <w:pPr>
      <w:ind w:firstLine="420" w:firstLineChars="200"/>
    </w:pPr>
  </w:style>
  <w:style w:type="table" w:styleId="23">
    <w:name w:val="Table Grid"/>
    <w:basedOn w:val="2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page number"/>
    <w:autoRedefine/>
    <w:qFormat/>
    <w:uiPriority w:val="99"/>
  </w:style>
  <w:style w:type="character" w:styleId="26">
    <w:name w:val="Hyperlink"/>
    <w:autoRedefine/>
    <w:qFormat/>
    <w:uiPriority w:val="99"/>
    <w:rPr>
      <w:color w:val="0000FF"/>
      <w:u w:val="single"/>
    </w:rPr>
  </w:style>
  <w:style w:type="character" w:styleId="27">
    <w:name w:val="annotation reference"/>
    <w:basedOn w:val="24"/>
    <w:autoRedefine/>
    <w:qFormat/>
    <w:uiPriority w:val="0"/>
    <w:rPr>
      <w:sz w:val="21"/>
      <w:szCs w:val="21"/>
    </w:rPr>
  </w:style>
  <w:style w:type="paragraph" w:customStyle="1" w:styleId="28">
    <w:name w:val="Default"/>
    <w:next w:val="1"/>
    <w:autoRedefine/>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29">
    <w:name w:val="表格文字"/>
    <w:basedOn w:val="1"/>
    <w:next w:val="9"/>
    <w:autoRedefine/>
    <w:qFormat/>
    <w:uiPriority w:val="99"/>
    <w:pPr>
      <w:spacing w:before="25" w:after="25"/>
    </w:pPr>
    <w:rPr>
      <w:bCs/>
      <w:spacing w:val="10"/>
      <w:sz w:val="24"/>
      <w:szCs w:val="20"/>
    </w:rPr>
  </w:style>
  <w:style w:type="character" w:customStyle="1" w:styleId="30">
    <w:name w:val="正文文本 (26) + 间距 0 pt"/>
    <w:autoRedefine/>
    <w:qFormat/>
    <w:uiPriority w:val="0"/>
    <w:rPr>
      <w:rFonts w:ascii="宋体" w:hAnsi="宋体" w:eastAsia="宋体" w:cs="宋体"/>
      <w:color w:val="000000"/>
      <w:spacing w:val="0"/>
      <w:w w:val="100"/>
      <w:position w:val="0"/>
      <w:sz w:val="22"/>
      <w:szCs w:val="22"/>
      <w:u w:val="none"/>
      <w:lang w:val="zh-CN" w:eastAsia="zh-CN" w:bidi="zh-CN"/>
    </w:rPr>
  </w:style>
  <w:style w:type="paragraph" w:customStyle="1" w:styleId="31">
    <w:name w:val="正文2"/>
    <w:basedOn w:val="1"/>
    <w:autoRedefine/>
    <w:qFormat/>
    <w:uiPriority w:val="0"/>
    <w:pPr>
      <w:adjustRightInd w:val="0"/>
      <w:spacing w:before="156" w:line="360" w:lineRule="auto"/>
      <w:ind w:firstLine="510" w:firstLineChars="200"/>
    </w:pPr>
    <w:rPr>
      <w:sz w:val="24"/>
      <w:szCs w:val="20"/>
    </w:rPr>
  </w:style>
  <w:style w:type="paragraph" w:styleId="32">
    <w:name w:val="List Paragraph"/>
    <w:basedOn w:val="1"/>
    <w:autoRedefine/>
    <w:qFormat/>
    <w:uiPriority w:val="34"/>
    <w:pPr>
      <w:ind w:firstLine="420" w:firstLineChars="200"/>
    </w:pPr>
  </w:style>
  <w:style w:type="paragraph" w:customStyle="1" w:styleId="33">
    <w:name w:val="正文缩进1"/>
    <w:basedOn w:val="1"/>
    <w:next w:val="10"/>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34">
    <w:name w:val="样式5"/>
    <w:basedOn w:val="1"/>
    <w:autoRedefine/>
    <w:qFormat/>
    <w:uiPriority w:val="0"/>
    <w:pPr>
      <w:adjustRightInd w:val="0"/>
      <w:spacing w:line="440" w:lineRule="exact"/>
      <w:ind w:left="2" w:firstLine="480" w:firstLineChars="200"/>
    </w:pPr>
    <w:rPr>
      <w:rFonts w:ascii="仿宋_GB2312" w:hAnsi="仿宋" w:eastAsia="仿宋_GB2312"/>
      <w:sz w:val="24"/>
    </w:rPr>
  </w:style>
  <w:style w:type="paragraph" w:customStyle="1" w:styleId="35">
    <w:name w:val="自定义正文"/>
    <w:autoRedefine/>
    <w:qFormat/>
    <w:uiPriority w:val="0"/>
    <w:pPr>
      <w:spacing w:line="360" w:lineRule="auto"/>
      <w:ind w:firstLine="420" w:firstLineChars="200"/>
    </w:pPr>
    <w:rPr>
      <w:rFonts w:ascii="宋体" w:hAnsi="宋体" w:eastAsia="宋体" w:cs="Times New Roman"/>
      <w:sz w:val="28"/>
      <w:lang w:val="en-US" w:eastAsia="zh-CN" w:bidi="ar-SA"/>
    </w:rPr>
  </w:style>
  <w:style w:type="paragraph" w:customStyle="1" w:styleId="36">
    <w:name w:val="表格"/>
    <w:basedOn w:val="1"/>
    <w:autoRedefine/>
    <w:qFormat/>
    <w:uiPriority w:val="0"/>
    <w:pPr>
      <w:adjustRightInd w:val="0"/>
      <w:snapToGrid w:val="0"/>
      <w:spacing w:line="288" w:lineRule="auto"/>
      <w:jc w:val="center"/>
    </w:pPr>
    <w:rPr>
      <w:rFonts w:ascii="仿宋" w:hAnsi="仿宋" w:eastAsia="仿宋"/>
      <w:lang w:val="zh-CN"/>
    </w:rPr>
  </w:style>
  <w:style w:type="paragraph" w:customStyle="1" w:styleId="37">
    <w:name w:val="Title1"/>
    <w:basedOn w:val="1"/>
    <w:next w:val="1"/>
    <w:autoRedefine/>
    <w:qFormat/>
    <w:uiPriority w:val="0"/>
    <w:pPr>
      <w:jc w:val="center"/>
      <w:outlineLvl w:val="0"/>
    </w:pPr>
    <w:rPr>
      <w:rFonts w:ascii="Calibri Light" w:hAnsi="Calibri Light" w:eastAsia="Arial Unicode MS"/>
      <w:b/>
    </w:rPr>
  </w:style>
  <w:style w:type="paragraph" w:customStyle="1" w:styleId="38">
    <w:name w:val="列出段落1"/>
    <w:basedOn w:val="1"/>
    <w:autoRedefine/>
    <w:qFormat/>
    <w:uiPriority w:val="0"/>
    <w:pPr>
      <w:spacing w:before="100" w:beforeAutospacing="1" w:after="100" w:afterAutospacing="1" w:line="360" w:lineRule="auto"/>
      <w:ind w:firstLine="420" w:firstLineChars="200"/>
    </w:pPr>
  </w:style>
  <w:style w:type="character" w:customStyle="1" w:styleId="39">
    <w:name w:val="批注框文本 Char"/>
    <w:basedOn w:val="24"/>
    <w:link w:val="13"/>
    <w:autoRedefine/>
    <w:qFormat/>
    <w:uiPriority w:val="0"/>
    <w:rPr>
      <w:kern w:val="2"/>
      <w:sz w:val="18"/>
      <w:szCs w:val="18"/>
    </w:rPr>
  </w:style>
  <w:style w:type="character" w:customStyle="1" w:styleId="40">
    <w:name w:val="批注文字 Char"/>
    <w:basedOn w:val="24"/>
    <w:link w:val="8"/>
    <w:autoRedefine/>
    <w:qFormat/>
    <w:uiPriority w:val="99"/>
    <w:rPr>
      <w:kern w:val="2"/>
      <w:sz w:val="21"/>
      <w:szCs w:val="24"/>
    </w:rPr>
  </w:style>
  <w:style w:type="character" w:customStyle="1" w:styleId="41">
    <w:name w:val="批注主题 Char"/>
    <w:basedOn w:val="40"/>
    <w:link w:val="20"/>
    <w:autoRedefine/>
    <w:qFormat/>
    <w:uiPriority w:val="0"/>
    <w:rPr>
      <w:kern w:val="2"/>
      <w:sz w:val="21"/>
      <w:szCs w:val="24"/>
    </w:rPr>
  </w:style>
  <w:style w:type="paragraph" w:customStyle="1" w:styleId="42">
    <w:name w:val="修订1"/>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43">
    <w:name w:val="修订2"/>
    <w:autoRedefine/>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4790F6-59B1-48A3-8D21-DA3871B0C7FD}">
  <ds:schemaRefs/>
</ds:datastoreItem>
</file>

<file path=docProps/app.xml><?xml version="1.0" encoding="utf-8"?>
<Properties xmlns="http://schemas.openxmlformats.org/officeDocument/2006/extended-properties" xmlns:vt="http://schemas.openxmlformats.org/officeDocument/2006/docPropsVTypes">
  <Template>Normal</Template>
  <Pages>113</Pages>
  <Words>10100</Words>
  <Characters>11499</Characters>
  <Lines>106</Lines>
  <Paragraphs>134</Paragraphs>
  <TotalTime>46</TotalTime>
  <ScaleCrop>false</ScaleCrop>
  <LinksUpToDate>false</LinksUpToDate>
  <CharactersWithSpaces>11693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2026-04-16T14:59:00Z</dcterms:created>
  <dc:creator>Laughing</dc:creator>
  <cp:lastModifiedBy>L</cp:lastModifiedBy>
  <cp:lastPrinted>2026-06-01T09:34:00Z</cp:lastPrinted>
  <dcterms:modified xsi:type="dcterms:W3CDTF">2026-06-03T07:10:19Z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1B0547EA0AF7471CAEC42F6CB7F7FE77_13</vt:lpwstr>
  </property>
  <property fmtid="{D5CDD505-2E9C-101B-9397-08002B2CF9AE}" pid="4" name="KSOTemplateDocerSaveRecord">
    <vt:lpwstr>eyJoZGlkIjoiZDUzYmU5MzQwMjY5MTlhZGU4ZDQ3NmM4ZGI0OTljN2QiLCJ1c2VySWQiOiI0MDc1ODAxMDMifQ==</vt:lpwstr>
  </property>
</Properties>
</file>