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E35F8">
      <w:pPr>
        <w:wordWrap w:val="0"/>
        <w:spacing w:line="360" w:lineRule="auto"/>
        <w:jc w:val="center"/>
        <w:rPr>
          <w:rFonts w:ascii="仿宋" w:hAnsi="仿宋" w:eastAsia="仿宋" w:cs="仿宋"/>
          <w:color w:val="auto"/>
          <w:sz w:val="56"/>
          <w:szCs w:val="56"/>
          <w:highlight w:val="none"/>
        </w:rPr>
      </w:pPr>
      <w:bookmarkStart w:id="0" w:name="_Toc26976"/>
      <w:r>
        <w:rPr>
          <w:rFonts w:hint="eastAsia" w:ascii="仿宋" w:hAnsi="仿宋" w:eastAsia="仿宋" w:cs="仿宋"/>
          <w:color w:val="auto"/>
          <w:sz w:val="56"/>
          <w:szCs w:val="56"/>
          <w:highlight w:val="none"/>
        </w:rPr>
        <w:t>南宁市政府采购</w:t>
      </w:r>
      <w:bookmarkEnd w:id="0"/>
    </w:p>
    <w:p w14:paraId="57DF1B82">
      <w:pPr>
        <w:wordWrap w:val="0"/>
        <w:spacing w:line="360" w:lineRule="auto"/>
        <w:jc w:val="center"/>
        <w:rPr>
          <w:rFonts w:ascii="仿宋" w:hAnsi="仿宋" w:eastAsia="仿宋" w:cs="仿宋"/>
          <w:color w:val="auto"/>
          <w:sz w:val="40"/>
          <w:szCs w:val="40"/>
          <w:highlight w:val="none"/>
        </w:rPr>
      </w:pPr>
    </w:p>
    <w:p w14:paraId="64D61934">
      <w:pPr>
        <w:wordWrap w:val="0"/>
        <w:snapToGrid w:val="0"/>
        <w:spacing w:line="360" w:lineRule="auto"/>
        <w:jc w:val="center"/>
        <w:rPr>
          <w:rFonts w:ascii="仿宋" w:hAnsi="仿宋" w:eastAsia="仿宋" w:cs="仿宋"/>
          <w:color w:val="auto"/>
          <w:sz w:val="48"/>
          <w:szCs w:val="48"/>
          <w:highlight w:val="none"/>
        </w:rPr>
      </w:pPr>
      <w:r>
        <w:rPr>
          <w:rFonts w:hint="eastAsia" w:ascii="仿宋" w:hAnsi="仿宋" w:eastAsia="仿宋" w:cs="仿宋"/>
          <w:color w:val="auto"/>
          <w:sz w:val="96"/>
          <w:szCs w:val="96"/>
          <w:highlight w:val="none"/>
        </w:rPr>
        <w:t>单一来源采购文件</w:t>
      </w:r>
    </w:p>
    <w:p w14:paraId="7E66B009">
      <w:pPr>
        <w:wordWrap w:val="0"/>
        <w:spacing w:line="360" w:lineRule="auto"/>
        <w:jc w:val="center"/>
        <w:rPr>
          <w:rFonts w:ascii="仿宋" w:hAnsi="仿宋" w:eastAsia="仿宋" w:cs="仿宋"/>
          <w:color w:val="auto"/>
          <w:sz w:val="22"/>
          <w:szCs w:val="22"/>
          <w:highlight w:val="none"/>
        </w:rPr>
      </w:pPr>
    </w:p>
    <w:p w14:paraId="6BC0D0CC">
      <w:pPr>
        <w:wordWrap w:val="0"/>
        <w:spacing w:line="360" w:lineRule="auto"/>
        <w:jc w:val="center"/>
        <w:rPr>
          <w:rFonts w:ascii="仿宋" w:hAnsi="仿宋" w:eastAsia="仿宋" w:cs="仿宋"/>
          <w:color w:val="auto"/>
          <w:sz w:val="22"/>
          <w:szCs w:val="22"/>
          <w:highlight w:val="none"/>
        </w:rPr>
      </w:pPr>
    </w:p>
    <w:p w14:paraId="001CE9F4">
      <w:pPr>
        <w:wordWrap w:val="0"/>
        <w:spacing w:line="360" w:lineRule="auto"/>
        <w:jc w:val="center"/>
        <w:rPr>
          <w:rFonts w:ascii="仿宋" w:hAnsi="仿宋" w:eastAsia="仿宋" w:cs="仿宋"/>
          <w:color w:val="auto"/>
          <w:sz w:val="22"/>
          <w:szCs w:val="22"/>
          <w:highlight w:val="none"/>
        </w:rPr>
      </w:pPr>
      <w:bookmarkStart w:id="1" w:name="_Toc18278"/>
      <w:r>
        <w:rPr>
          <w:rFonts w:hint="eastAsia" w:ascii="仿宋" w:hAnsi="仿宋" w:eastAsia="仿宋" w:cs="仿宋"/>
          <w:color w:val="auto"/>
          <w:sz w:val="22"/>
          <w:szCs w:val="22"/>
          <w:highlight w:val="none"/>
        </w:rPr>
        <w:t>（全流程电子化评标）</w:t>
      </w:r>
      <w:bookmarkEnd w:id="1"/>
    </w:p>
    <w:p w14:paraId="13066C70">
      <w:pPr>
        <w:spacing w:line="360" w:lineRule="auto"/>
        <w:rPr>
          <w:rFonts w:ascii="仿宋" w:hAnsi="仿宋" w:eastAsia="仿宋" w:cs="仿宋"/>
          <w:color w:val="auto"/>
          <w:sz w:val="22"/>
          <w:szCs w:val="22"/>
          <w:highlight w:val="none"/>
        </w:rPr>
      </w:pPr>
    </w:p>
    <w:p w14:paraId="0EDFF989">
      <w:pPr>
        <w:pStyle w:val="14"/>
        <w:wordWrap w:val="0"/>
        <w:snapToGrid w:val="0"/>
        <w:spacing w:line="360" w:lineRule="auto"/>
        <w:ind w:firstLine="1193" w:firstLineChars="396"/>
        <w:rPr>
          <w:rFonts w:ascii="仿宋" w:hAnsi="仿宋" w:eastAsia="仿宋" w:cs="仿宋"/>
          <w:b/>
          <w:bCs/>
          <w:color w:val="auto"/>
          <w:sz w:val="30"/>
          <w:szCs w:val="30"/>
          <w:highlight w:val="none"/>
        </w:rPr>
      </w:pPr>
    </w:p>
    <w:p w14:paraId="28D77672">
      <w:pPr>
        <w:pStyle w:val="14"/>
        <w:wordWrap w:val="0"/>
        <w:snapToGrid w:val="0"/>
        <w:spacing w:line="360" w:lineRule="auto"/>
        <w:ind w:firstLine="1193" w:firstLineChars="396"/>
        <w:rPr>
          <w:rFonts w:ascii="仿宋" w:hAnsi="仿宋" w:eastAsia="仿宋" w:cs="仿宋"/>
          <w:b/>
          <w:bCs/>
          <w:color w:val="auto"/>
          <w:sz w:val="30"/>
          <w:szCs w:val="30"/>
          <w:highlight w:val="none"/>
        </w:rPr>
      </w:pPr>
    </w:p>
    <w:p w14:paraId="418CE33E">
      <w:pPr>
        <w:pStyle w:val="14"/>
        <w:snapToGrid w:val="0"/>
        <w:spacing w:line="360" w:lineRule="auto"/>
        <w:ind w:left="3310" w:leftChars="852" w:hanging="1521" w:hangingChars="505"/>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项目名称：壮锦大道国旗灯改造项目</w:t>
      </w:r>
    </w:p>
    <w:p w14:paraId="4066FB52">
      <w:pPr>
        <w:pStyle w:val="14"/>
        <w:snapToGrid w:val="0"/>
        <w:spacing w:line="360" w:lineRule="auto"/>
        <w:ind w:firstLine="1783" w:firstLineChars="592"/>
        <w:rPr>
          <w:rFonts w:hint="eastAsia" w:ascii="仿宋" w:hAnsi="仿宋" w:eastAsia="仿宋" w:cs="仿宋"/>
          <w:b/>
          <w:bCs/>
          <w:color w:val="auto"/>
          <w:sz w:val="30"/>
          <w:szCs w:val="30"/>
          <w:highlight w:val="none"/>
          <w:lang w:eastAsia="zh-CN"/>
        </w:rPr>
      </w:pPr>
      <w:bookmarkStart w:id="2" w:name="_Toc7308"/>
      <w:r>
        <w:rPr>
          <w:rFonts w:hint="eastAsia" w:ascii="仿宋" w:hAnsi="仿宋" w:eastAsia="仿宋" w:cs="仿宋"/>
          <w:b/>
          <w:bCs/>
          <w:color w:val="auto"/>
          <w:sz w:val="30"/>
          <w:szCs w:val="30"/>
          <w:highlight w:val="none"/>
        </w:rPr>
        <w:t>项目编号：</w:t>
      </w:r>
      <w:bookmarkEnd w:id="2"/>
      <w:r>
        <w:rPr>
          <w:rFonts w:hint="eastAsia" w:ascii="仿宋" w:hAnsi="仿宋" w:eastAsia="仿宋" w:cs="仿宋"/>
          <w:b/>
          <w:bCs/>
          <w:color w:val="auto"/>
          <w:sz w:val="30"/>
          <w:szCs w:val="30"/>
          <w:highlight w:val="none"/>
          <w:lang w:eastAsia="zh-CN"/>
        </w:rPr>
        <w:t>NNZC2026-D2-990466-GTZB</w:t>
      </w:r>
    </w:p>
    <w:p w14:paraId="09D3E9C8">
      <w:pPr>
        <w:pStyle w:val="14"/>
        <w:snapToGrid w:val="0"/>
        <w:spacing w:line="360" w:lineRule="auto"/>
        <w:ind w:left="3009" w:leftChars="852" w:hanging="1220" w:hangingChars="405"/>
        <w:rPr>
          <w:rFonts w:hint="eastAsia" w:ascii="仿宋" w:hAnsi="仿宋" w:eastAsia="仿宋" w:cs="仿宋"/>
          <w:b/>
          <w:bCs/>
          <w:color w:val="auto"/>
          <w:sz w:val="30"/>
          <w:szCs w:val="30"/>
          <w:highlight w:val="none"/>
          <w:lang w:eastAsia="zh-CN"/>
        </w:rPr>
      </w:pPr>
      <w:bookmarkStart w:id="3" w:name="_Toc31224"/>
      <w:r>
        <w:rPr>
          <w:rFonts w:hint="eastAsia" w:ascii="仿宋" w:hAnsi="仿宋" w:eastAsia="仿宋" w:cs="仿宋"/>
          <w:b/>
          <w:bCs/>
          <w:color w:val="auto"/>
          <w:sz w:val="30"/>
          <w:szCs w:val="30"/>
          <w:highlight w:val="none"/>
        </w:rPr>
        <w:t>采购文号：</w:t>
      </w:r>
      <w:bookmarkEnd w:id="3"/>
      <w:r>
        <w:rPr>
          <w:rFonts w:hint="eastAsia" w:ascii="仿宋" w:hAnsi="仿宋" w:eastAsia="仿宋" w:cs="仿宋"/>
          <w:b/>
          <w:bCs/>
          <w:color w:val="auto"/>
          <w:sz w:val="30"/>
          <w:szCs w:val="30"/>
          <w:highlight w:val="none"/>
          <w:lang w:eastAsia="zh-CN"/>
        </w:rPr>
        <w:t>NNZC[2026]2744号</w:t>
      </w:r>
    </w:p>
    <w:p w14:paraId="4C1730F3">
      <w:pPr>
        <w:pStyle w:val="14"/>
        <w:snapToGrid w:val="0"/>
        <w:spacing w:line="360" w:lineRule="auto"/>
        <w:ind w:firstLine="1783" w:firstLineChars="592"/>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项目所属区划：南宁市本级</w:t>
      </w:r>
    </w:p>
    <w:p w14:paraId="0186BDF8">
      <w:pPr>
        <w:pStyle w:val="14"/>
        <w:snapToGrid w:val="0"/>
        <w:spacing w:line="360" w:lineRule="auto"/>
        <w:ind w:firstLine="1783" w:firstLineChars="592"/>
        <w:rPr>
          <w:rFonts w:ascii="仿宋" w:hAnsi="仿宋" w:eastAsia="仿宋" w:cs="仿宋"/>
          <w:b/>
          <w:bCs/>
          <w:color w:val="auto"/>
          <w:sz w:val="30"/>
          <w:szCs w:val="30"/>
          <w:highlight w:val="none"/>
        </w:rPr>
      </w:pPr>
      <w:bookmarkStart w:id="4" w:name="_Toc26813"/>
      <w:r>
        <w:rPr>
          <w:rFonts w:hint="eastAsia" w:ascii="仿宋" w:hAnsi="仿宋" w:eastAsia="仿宋" w:cs="仿宋"/>
          <w:b/>
          <w:bCs/>
          <w:color w:val="auto"/>
          <w:sz w:val="30"/>
          <w:szCs w:val="30"/>
          <w:highlight w:val="none"/>
        </w:rPr>
        <w:t>采 购 人：</w:t>
      </w:r>
      <w:bookmarkEnd w:id="4"/>
      <w:bookmarkStart w:id="5" w:name="_Toc6082"/>
      <w:r>
        <w:rPr>
          <w:rFonts w:hint="eastAsia" w:ascii="仿宋" w:hAnsi="仿宋" w:eastAsia="仿宋" w:cs="仿宋"/>
          <w:b/>
          <w:bCs/>
          <w:color w:val="auto"/>
          <w:sz w:val="30"/>
          <w:szCs w:val="30"/>
          <w:highlight w:val="none"/>
        </w:rPr>
        <w:t>南宁市城市照明事务服务中心</w:t>
      </w:r>
    </w:p>
    <w:p w14:paraId="10334F0C">
      <w:pPr>
        <w:pStyle w:val="14"/>
        <w:snapToGrid w:val="0"/>
        <w:spacing w:line="360" w:lineRule="auto"/>
        <w:ind w:firstLine="1783" w:firstLineChars="592"/>
        <w:rPr>
          <w:rFonts w:ascii="仿宋" w:hAnsi="仿宋" w:eastAsia="仿宋" w:cs="仿宋"/>
          <w:b/>
          <w:bCs/>
          <w:color w:val="auto"/>
          <w:w w:val="95"/>
          <w:sz w:val="30"/>
          <w:szCs w:val="30"/>
          <w:highlight w:val="none"/>
        </w:rPr>
      </w:pPr>
      <w:r>
        <w:rPr>
          <w:rFonts w:hint="eastAsia" w:ascii="仿宋" w:hAnsi="仿宋" w:eastAsia="仿宋" w:cs="仿宋"/>
          <w:b/>
          <w:bCs/>
          <w:color w:val="auto"/>
          <w:sz w:val="30"/>
          <w:szCs w:val="30"/>
          <w:highlight w:val="none"/>
        </w:rPr>
        <w:t>采购代理机构：</w:t>
      </w:r>
      <w:bookmarkEnd w:id="5"/>
      <w:r>
        <w:rPr>
          <w:rFonts w:hint="eastAsia" w:ascii="仿宋" w:hAnsi="仿宋" w:eastAsia="仿宋" w:cs="仿宋"/>
          <w:b/>
          <w:bCs/>
          <w:color w:val="auto"/>
          <w:sz w:val="30"/>
          <w:szCs w:val="30"/>
          <w:highlight w:val="none"/>
        </w:rPr>
        <w:t>广西国泰招标咨询有限公司</w:t>
      </w:r>
    </w:p>
    <w:p w14:paraId="04B06513">
      <w:pPr>
        <w:spacing w:line="360" w:lineRule="auto"/>
        <w:jc w:val="center"/>
        <w:rPr>
          <w:rFonts w:ascii="仿宋" w:hAnsi="仿宋" w:eastAsia="仿宋" w:cs="仿宋"/>
          <w:b/>
          <w:color w:val="auto"/>
          <w:sz w:val="44"/>
          <w:szCs w:val="44"/>
          <w:highlight w:val="none"/>
        </w:rPr>
      </w:pPr>
      <w:r>
        <w:rPr>
          <w:rFonts w:hint="eastAsia" w:ascii="仿宋" w:hAnsi="仿宋" w:eastAsia="仿宋" w:cs="仿宋"/>
          <w:b/>
          <w:bCs/>
          <w:color w:val="auto"/>
          <w:w w:val="95"/>
          <w:sz w:val="30"/>
          <w:szCs w:val="30"/>
          <w:highlight w:val="none"/>
        </w:rPr>
        <w:t>2026年</w:t>
      </w:r>
      <w:r>
        <w:rPr>
          <w:rFonts w:hint="eastAsia" w:ascii="仿宋" w:hAnsi="仿宋" w:eastAsia="仿宋" w:cs="仿宋"/>
          <w:b/>
          <w:bCs/>
          <w:color w:val="auto"/>
          <w:w w:val="95"/>
          <w:sz w:val="30"/>
          <w:szCs w:val="30"/>
          <w:highlight w:val="none"/>
          <w:lang w:val="en-US" w:eastAsia="zh-CN"/>
        </w:rPr>
        <w:t>6</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23</w:t>
      </w:r>
      <w:r>
        <w:rPr>
          <w:rFonts w:hint="eastAsia" w:ascii="仿宋" w:hAnsi="仿宋" w:eastAsia="仿宋" w:cs="仿宋"/>
          <w:b/>
          <w:bCs/>
          <w:color w:val="auto"/>
          <w:w w:val="95"/>
          <w:sz w:val="30"/>
          <w:szCs w:val="30"/>
          <w:highlight w:val="none"/>
        </w:rPr>
        <w:t>日</w:t>
      </w:r>
    </w:p>
    <w:p w14:paraId="36AAA662">
      <w:pPr>
        <w:spacing w:line="360" w:lineRule="auto"/>
        <w:jc w:val="center"/>
        <w:rPr>
          <w:rFonts w:ascii="仿宋" w:hAnsi="仿宋" w:eastAsia="仿宋" w:cs="仿宋"/>
          <w:b/>
          <w:color w:val="auto"/>
          <w:sz w:val="44"/>
          <w:szCs w:val="44"/>
          <w:highlight w:val="none"/>
        </w:rPr>
      </w:pPr>
    </w:p>
    <w:p w14:paraId="7FB0FCD4">
      <w:pPr>
        <w:spacing w:line="360" w:lineRule="auto"/>
        <w:jc w:val="center"/>
        <w:rPr>
          <w:rFonts w:ascii="仿宋" w:hAnsi="仿宋" w:eastAsia="仿宋" w:cs="仿宋"/>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567C2B4B">
      <w:pPr>
        <w:spacing w:line="360" w:lineRule="auto"/>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27C02289">
      <w:pPr>
        <w:spacing w:line="360" w:lineRule="auto"/>
        <w:jc w:val="center"/>
        <w:rPr>
          <w:rFonts w:ascii="仿宋" w:hAnsi="仿宋" w:eastAsia="仿宋" w:cs="仿宋"/>
          <w:b/>
          <w:color w:val="auto"/>
          <w:sz w:val="44"/>
          <w:szCs w:val="44"/>
          <w:highlight w:val="none"/>
        </w:rPr>
      </w:pPr>
    </w:p>
    <w:p w14:paraId="590E7985">
      <w:pPr>
        <w:pStyle w:val="17"/>
        <w:tabs>
          <w:tab w:val="right" w:leader="dot" w:pos="8730"/>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"1-2"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_Toc5106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第一章 单一来源邀请函</w:t>
      </w:r>
      <w:r>
        <w:rPr>
          <w:color w:val="auto"/>
          <w:highlight w:val="none"/>
        </w:rPr>
        <w:tab/>
      </w:r>
      <w:r>
        <w:rPr>
          <w:color w:val="auto"/>
          <w:highlight w:val="none"/>
        </w:rPr>
        <w:fldChar w:fldCharType="begin"/>
      </w:r>
      <w:r>
        <w:rPr>
          <w:color w:val="auto"/>
          <w:highlight w:val="none"/>
        </w:rPr>
        <w:instrText xml:space="preserve"> PAGEREF _Toc5106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color w:val="auto"/>
          <w:highlight w:val="none"/>
        </w:rPr>
        <w:fldChar w:fldCharType="end"/>
      </w:r>
    </w:p>
    <w:p w14:paraId="459EEAAC">
      <w:pPr>
        <w:pStyle w:val="17"/>
        <w:tabs>
          <w:tab w:val="right" w:leader="dot" w:pos="8730"/>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_Toc2965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_Toc2965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color w:val="auto"/>
          <w:highlight w:val="none"/>
        </w:rPr>
        <w:fldChar w:fldCharType="end"/>
      </w:r>
    </w:p>
    <w:p w14:paraId="7222F302">
      <w:pPr>
        <w:pStyle w:val="17"/>
        <w:tabs>
          <w:tab w:val="right" w:leader="dot" w:pos="8730"/>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_Toc3849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_Toc3849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highlight w:val="none"/>
        </w:rPr>
        <w:fldChar w:fldCharType="end"/>
      </w:r>
    </w:p>
    <w:p w14:paraId="04140512">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_Toc3016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11</w:t>
      </w:r>
      <w:r>
        <w:rPr>
          <w:color w:val="auto"/>
          <w:highlight w:val="none"/>
        </w:rPr>
        <w:fldChar w:fldCharType="end"/>
      </w:r>
      <w:r>
        <w:rPr>
          <w:rFonts w:hint="eastAsia" w:ascii="仿宋" w:hAnsi="仿宋" w:eastAsia="仿宋" w:cs="仿宋"/>
          <w:color w:val="auto"/>
          <w:highlight w:val="none"/>
        </w:rPr>
        <w:fldChar w:fldCharType="end"/>
      </w:r>
    </w:p>
    <w:p w14:paraId="3F534DAC">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_Toc28069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_Toc28069 \h </w:instrText>
      </w:r>
      <w:r>
        <w:rPr>
          <w:color w:val="auto"/>
          <w:highlight w:val="none"/>
        </w:rPr>
        <w:fldChar w:fldCharType="separate"/>
      </w:r>
      <w:r>
        <w:rPr>
          <w:color w:val="auto"/>
          <w:highlight w:val="none"/>
        </w:rPr>
        <w:t>17</w:t>
      </w:r>
      <w:r>
        <w:rPr>
          <w:color w:val="auto"/>
          <w:highlight w:val="none"/>
        </w:rPr>
        <w:fldChar w:fldCharType="end"/>
      </w:r>
      <w:r>
        <w:rPr>
          <w:rFonts w:hint="eastAsia" w:ascii="仿宋" w:hAnsi="仿宋" w:eastAsia="仿宋" w:cs="仿宋"/>
          <w:color w:val="auto"/>
          <w:highlight w:val="none"/>
        </w:rPr>
        <w:fldChar w:fldCharType="end"/>
      </w:r>
    </w:p>
    <w:p w14:paraId="70EC98CF">
      <w:pPr>
        <w:pStyle w:val="17"/>
        <w:tabs>
          <w:tab w:val="right" w:leader="dot" w:pos="8730"/>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_Toc14191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第四章 评审程序、评审方法和成交标准</w:t>
      </w:r>
      <w:r>
        <w:rPr>
          <w:color w:val="auto"/>
          <w:highlight w:val="none"/>
        </w:rPr>
        <w:tab/>
      </w:r>
      <w:r>
        <w:rPr>
          <w:color w:val="auto"/>
          <w:highlight w:val="none"/>
        </w:rPr>
        <w:fldChar w:fldCharType="begin"/>
      </w:r>
      <w:r>
        <w:rPr>
          <w:color w:val="auto"/>
          <w:highlight w:val="none"/>
        </w:rPr>
        <w:instrText xml:space="preserve"> PAGEREF _Toc14191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highlight w:val="none"/>
        </w:rPr>
        <w:fldChar w:fldCharType="end"/>
      </w:r>
    </w:p>
    <w:p w14:paraId="19B43F04">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_Toc25820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_Toc25820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highlight w:val="none"/>
        </w:rPr>
        <w:fldChar w:fldCharType="end"/>
      </w:r>
    </w:p>
    <w:p w14:paraId="735F2E77">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_Toc29027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第二节 评审原则</w:t>
      </w:r>
      <w:r>
        <w:rPr>
          <w:color w:val="auto"/>
          <w:highlight w:val="none"/>
        </w:rPr>
        <w:tab/>
      </w:r>
      <w:r>
        <w:rPr>
          <w:color w:val="auto"/>
          <w:highlight w:val="none"/>
        </w:rPr>
        <w:fldChar w:fldCharType="begin"/>
      </w:r>
      <w:r>
        <w:rPr>
          <w:color w:val="auto"/>
          <w:highlight w:val="none"/>
        </w:rPr>
        <w:instrText xml:space="preserve"> PAGEREF _Toc29027 \h </w:instrText>
      </w:r>
      <w:r>
        <w:rPr>
          <w:color w:val="auto"/>
          <w:highlight w:val="none"/>
        </w:rPr>
        <w:fldChar w:fldCharType="separate"/>
      </w:r>
      <w:r>
        <w:rPr>
          <w:color w:val="auto"/>
          <w:highlight w:val="none"/>
        </w:rPr>
        <w:t>34</w:t>
      </w:r>
      <w:r>
        <w:rPr>
          <w:color w:val="auto"/>
          <w:highlight w:val="none"/>
        </w:rPr>
        <w:fldChar w:fldCharType="end"/>
      </w:r>
      <w:r>
        <w:rPr>
          <w:rFonts w:hint="eastAsia" w:ascii="仿宋" w:hAnsi="仿宋" w:eastAsia="仿宋" w:cs="仿宋"/>
          <w:color w:val="auto"/>
          <w:highlight w:val="none"/>
        </w:rPr>
        <w:fldChar w:fldCharType="end"/>
      </w:r>
    </w:p>
    <w:p w14:paraId="774A9CD6">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_Toc11734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第三节 评标报告</w:t>
      </w:r>
      <w:r>
        <w:rPr>
          <w:color w:val="auto"/>
          <w:highlight w:val="none"/>
        </w:rPr>
        <w:tab/>
      </w:r>
      <w:r>
        <w:rPr>
          <w:color w:val="auto"/>
          <w:highlight w:val="none"/>
        </w:rPr>
        <w:fldChar w:fldCharType="begin"/>
      </w:r>
      <w:r>
        <w:rPr>
          <w:color w:val="auto"/>
          <w:highlight w:val="none"/>
        </w:rPr>
        <w:instrText xml:space="preserve"> PAGEREF _Toc11734 \h </w:instrText>
      </w:r>
      <w:r>
        <w:rPr>
          <w:color w:val="auto"/>
          <w:highlight w:val="none"/>
        </w:rPr>
        <w:fldChar w:fldCharType="separate"/>
      </w:r>
      <w:r>
        <w:rPr>
          <w:color w:val="auto"/>
          <w:highlight w:val="none"/>
        </w:rPr>
        <w:t>34</w:t>
      </w:r>
      <w:r>
        <w:rPr>
          <w:color w:val="auto"/>
          <w:highlight w:val="none"/>
        </w:rPr>
        <w:fldChar w:fldCharType="end"/>
      </w:r>
      <w:r>
        <w:rPr>
          <w:rFonts w:hint="eastAsia" w:ascii="仿宋" w:hAnsi="仿宋" w:eastAsia="仿宋" w:cs="仿宋"/>
          <w:color w:val="auto"/>
          <w:highlight w:val="none"/>
        </w:rPr>
        <w:fldChar w:fldCharType="end"/>
      </w:r>
    </w:p>
    <w:p w14:paraId="00CAC8E0">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_Toc12567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第四节 评审过程的保密与录像</w:t>
      </w:r>
      <w:r>
        <w:rPr>
          <w:color w:val="auto"/>
          <w:highlight w:val="none"/>
        </w:rPr>
        <w:tab/>
      </w:r>
      <w:r>
        <w:rPr>
          <w:color w:val="auto"/>
          <w:highlight w:val="none"/>
        </w:rPr>
        <w:fldChar w:fldCharType="begin"/>
      </w:r>
      <w:r>
        <w:rPr>
          <w:color w:val="auto"/>
          <w:highlight w:val="none"/>
        </w:rPr>
        <w:instrText xml:space="preserve"> PAGEREF _Toc12567 \h </w:instrText>
      </w:r>
      <w:r>
        <w:rPr>
          <w:color w:val="auto"/>
          <w:highlight w:val="none"/>
        </w:rPr>
        <w:fldChar w:fldCharType="separate"/>
      </w:r>
      <w:r>
        <w:rPr>
          <w:color w:val="auto"/>
          <w:highlight w:val="none"/>
        </w:rPr>
        <w:t>35</w:t>
      </w:r>
      <w:r>
        <w:rPr>
          <w:color w:val="auto"/>
          <w:highlight w:val="none"/>
        </w:rPr>
        <w:fldChar w:fldCharType="end"/>
      </w:r>
      <w:r>
        <w:rPr>
          <w:rFonts w:hint="eastAsia" w:ascii="仿宋" w:hAnsi="仿宋" w:eastAsia="仿宋" w:cs="仿宋"/>
          <w:color w:val="auto"/>
          <w:highlight w:val="none"/>
        </w:rPr>
        <w:fldChar w:fldCharType="end"/>
      </w:r>
    </w:p>
    <w:p w14:paraId="281FFF32">
      <w:pPr>
        <w:pStyle w:val="17"/>
        <w:tabs>
          <w:tab w:val="right" w:leader="dot" w:pos="8730"/>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_Toc8571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_Toc8571 \h </w:instrText>
      </w:r>
      <w:r>
        <w:rPr>
          <w:color w:val="auto"/>
          <w:highlight w:val="none"/>
        </w:rPr>
        <w:fldChar w:fldCharType="separate"/>
      </w:r>
      <w:r>
        <w:rPr>
          <w:color w:val="auto"/>
          <w:highlight w:val="none"/>
        </w:rPr>
        <w:t>36</w:t>
      </w:r>
      <w:r>
        <w:rPr>
          <w:color w:val="auto"/>
          <w:highlight w:val="none"/>
        </w:rPr>
        <w:fldChar w:fldCharType="end"/>
      </w:r>
      <w:r>
        <w:rPr>
          <w:rFonts w:hint="eastAsia" w:ascii="仿宋" w:hAnsi="仿宋" w:eastAsia="仿宋" w:cs="仿宋"/>
          <w:color w:val="auto"/>
          <w:highlight w:val="none"/>
        </w:rPr>
        <w:fldChar w:fldCharType="end"/>
      </w:r>
    </w:p>
    <w:p w14:paraId="3370CDF7">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_Toc13832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_Toc13832 \h </w:instrText>
      </w:r>
      <w:r>
        <w:rPr>
          <w:color w:val="auto"/>
          <w:highlight w:val="none"/>
        </w:rPr>
        <w:fldChar w:fldCharType="separate"/>
      </w:r>
      <w:r>
        <w:rPr>
          <w:color w:val="auto"/>
          <w:highlight w:val="none"/>
        </w:rPr>
        <w:t>37</w:t>
      </w:r>
      <w:r>
        <w:rPr>
          <w:color w:val="auto"/>
          <w:highlight w:val="none"/>
        </w:rPr>
        <w:fldChar w:fldCharType="end"/>
      </w:r>
      <w:r>
        <w:rPr>
          <w:rFonts w:hint="eastAsia" w:ascii="仿宋" w:hAnsi="仿宋" w:eastAsia="仿宋" w:cs="仿宋"/>
          <w:color w:val="auto"/>
          <w:highlight w:val="none"/>
        </w:rPr>
        <w:fldChar w:fldCharType="end"/>
      </w:r>
    </w:p>
    <w:p w14:paraId="7E028BA3">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_Toc2724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_Toc2724 \h </w:instrText>
      </w:r>
      <w:r>
        <w:rPr>
          <w:color w:val="auto"/>
          <w:highlight w:val="none"/>
        </w:rPr>
        <w:fldChar w:fldCharType="separate"/>
      </w:r>
      <w:r>
        <w:rPr>
          <w:color w:val="auto"/>
          <w:highlight w:val="none"/>
        </w:rPr>
        <w:t>38</w:t>
      </w:r>
      <w:r>
        <w:rPr>
          <w:color w:val="auto"/>
          <w:highlight w:val="none"/>
        </w:rPr>
        <w:fldChar w:fldCharType="end"/>
      </w:r>
      <w:r>
        <w:rPr>
          <w:rFonts w:hint="eastAsia" w:ascii="仿宋" w:hAnsi="仿宋" w:eastAsia="仿宋" w:cs="仿宋"/>
          <w:color w:val="auto"/>
          <w:highlight w:val="none"/>
        </w:rPr>
        <w:fldChar w:fldCharType="end"/>
      </w:r>
    </w:p>
    <w:p w14:paraId="39FD2CFF">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_Toc19386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highlight w:val="none"/>
        </w:rPr>
        <w:t xml:space="preserve">第二节 </w:t>
      </w:r>
      <w:r>
        <w:rPr>
          <w:rFonts w:hint="eastAsia" w:ascii="仿宋" w:hAnsi="仿宋" w:eastAsia="仿宋" w:cs="仿宋"/>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_Toc19386 \h </w:instrText>
      </w:r>
      <w:r>
        <w:rPr>
          <w:color w:val="auto"/>
          <w:highlight w:val="none"/>
        </w:rPr>
        <w:fldChar w:fldCharType="separate"/>
      </w:r>
      <w:r>
        <w:rPr>
          <w:color w:val="auto"/>
          <w:highlight w:val="none"/>
        </w:rPr>
        <w:t>46</w:t>
      </w:r>
      <w:r>
        <w:rPr>
          <w:color w:val="auto"/>
          <w:highlight w:val="none"/>
        </w:rPr>
        <w:fldChar w:fldCharType="end"/>
      </w:r>
      <w:r>
        <w:rPr>
          <w:rFonts w:hint="eastAsia" w:ascii="仿宋" w:hAnsi="仿宋" w:eastAsia="仿宋" w:cs="仿宋"/>
          <w:color w:val="auto"/>
          <w:highlight w:val="none"/>
        </w:rPr>
        <w:fldChar w:fldCharType="end"/>
      </w:r>
    </w:p>
    <w:p w14:paraId="47D4B077">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_Toc10920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_Toc10920 \h </w:instrText>
      </w:r>
      <w:r>
        <w:rPr>
          <w:color w:val="auto"/>
          <w:highlight w:val="none"/>
        </w:rPr>
        <w:fldChar w:fldCharType="separate"/>
      </w:r>
      <w:r>
        <w:rPr>
          <w:color w:val="auto"/>
          <w:highlight w:val="none"/>
        </w:rPr>
        <w:t>57</w:t>
      </w:r>
      <w:r>
        <w:rPr>
          <w:color w:val="auto"/>
          <w:highlight w:val="none"/>
        </w:rPr>
        <w:fldChar w:fldCharType="end"/>
      </w:r>
      <w:r>
        <w:rPr>
          <w:rFonts w:hint="eastAsia" w:ascii="仿宋" w:hAnsi="仿宋" w:eastAsia="仿宋" w:cs="仿宋"/>
          <w:color w:val="auto"/>
          <w:highlight w:val="none"/>
        </w:rPr>
        <w:fldChar w:fldCharType="end"/>
      </w:r>
    </w:p>
    <w:p w14:paraId="169258DE">
      <w:pPr>
        <w:pStyle w:val="17"/>
        <w:tabs>
          <w:tab w:val="right" w:leader="dot" w:pos="8730"/>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_Toc19073 </w:instrText>
      </w:r>
      <w:r>
        <w:rPr>
          <w:rFonts w:hint="eastAsia" w:ascii="仿宋" w:hAnsi="仿宋" w:eastAsia="仿宋" w:cs="仿宋"/>
          <w:color w:val="auto"/>
          <w:highlight w:val="none"/>
        </w:rPr>
        <w:fldChar w:fldCharType="separate"/>
      </w:r>
      <w:r>
        <w:rPr>
          <w:rFonts w:hint="eastAsia" w:ascii="仿宋" w:hAnsi="仿宋" w:eastAsia="仿宋" w:cs="仿宋"/>
          <w:bCs w:val="0"/>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_Toc19073 \h </w:instrText>
      </w:r>
      <w:r>
        <w:rPr>
          <w:color w:val="auto"/>
          <w:highlight w:val="none"/>
        </w:rPr>
        <w:fldChar w:fldCharType="separate"/>
      </w:r>
      <w:r>
        <w:rPr>
          <w:color w:val="auto"/>
          <w:highlight w:val="none"/>
        </w:rPr>
        <w:t>62</w:t>
      </w:r>
      <w:r>
        <w:rPr>
          <w:color w:val="auto"/>
          <w:highlight w:val="none"/>
        </w:rPr>
        <w:fldChar w:fldCharType="end"/>
      </w:r>
      <w:r>
        <w:rPr>
          <w:rFonts w:hint="eastAsia" w:ascii="仿宋" w:hAnsi="仿宋" w:eastAsia="仿宋" w:cs="仿宋"/>
          <w:color w:val="auto"/>
          <w:highlight w:val="none"/>
        </w:rPr>
        <w:fldChar w:fldCharType="end"/>
      </w:r>
    </w:p>
    <w:p w14:paraId="11A00F5F">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_Toc2939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_Toc2939 \h </w:instrText>
      </w:r>
      <w:r>
        <w:rPr>
          <w:color w:val="auto"/>
          <w:highlight w:val="none"/>
        </w:rPr>
        <w:fldChar w:fldCharType="separate"/>
      </w:r>
      <w:r>
        <w:rPr>
          <w:color w:val="auto"/>
          <w:highlight w:val="none"/>
        </w:rPr>
        <w:t>64</w:t>
      </w:r>
      <w:r>
        <w:rPr>
          <w:color w:val="auto"/>
          <w:highlight w:val="none"/>
        </w:rPr>
        <w:fldChar w:fldCharType="end"/>
      </w:r>
      <w:r>
        <w:rPr>
          <w:rFonts w:hint="eastAsia" w:ascii="仿宋" w:hAnsi="仿宋" w:eastAsia="仿宋" w:cs="仿宋"/>
          <w:color w:val="auto"/>
          <w:highlight w:val="none"/>
        </w:rPr>
        <w:fldChar w:fldCharType="end"/>
      </w:r>
    </w:p>
    <w:p w14:paraId="58A7EC81">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_Toc9127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_Toc9127 \h </w:instrText>
      </w:r>
      <w:r>
        <w:rPr>
          <w:color w:val="auto"/>
          <w:highlight w:val="none"/>
        </w:rPr>
        <w:fldChar w:fldCharType="separate"/>
      </w:r>
      <w:r>
        <w:rPr>
          <w:color w:val="auto"/>
          <w:highlight w:val="none"/>
        </w:rPr>
        <w:t>68</w:t>
      </w:r>
      <w:r>
        <w:rPr>
          <w:color w:val="auto"/>
          <w:highlight w:val="none"/>
        </w:rPr>
        <w:fldChar w:fldCharType="end"/>
      </w:r>
      <w:r>
        <w:rPr>
          <w:rFonts w:hint="eastAsia" w:ascii="仿宋" w:hAnsi="仿宋" w:eastAsia="仿宋" w:cs="仿宋"/>
          <w:color w:val="auto"/>
          <w:highlight w:val="none"/>
        </w:rPr>
        <w:fldChar w:fldCharType="end"/>
      </w:r>
    </w:p>
    <w:p w14:paraId="60B700E5">
      <w:pPr>
        <w:pStyle w:val="18"/>
        <w:tabs>
          <w:tab w:val="right" w:leader="dot" w:pos="8730"/>
          <w:tab w:val="clear" w:pos="8296"/>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_Toc21448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_Toc21448 \h </w:instrText>
      </w:r>
      <w:r>
        <w:rPr>
          <w:color w:val="auto"/>
          <w:highlight w:val="none"/>
        </w:rPr>
        <w:fldChar w:fldCharType="separate"/>
      </w:r>
      <w:r>
        <w:rPr>
          <w:color w:val="auto"/>
          <w:highlight w:val="none"/>
        </w:rPr>
        <w:t>124</w:t>
      </w:r>
      <w:r>
        <w:rPr>
          <w:color w:val="auto"/>
          <w:highlight w:val="none"/>
        </w:rPr>
        <w:fldChar w:fldCharType="end"/>
      </w:r>
      <w:r>
        <w:rPr>
          <w:rFonts w:hint="eastAsia" w:ascii="仿宋" w:hAnsi="仿宋" w:eastAsia="仿宋" w:cs="仿宋"/>
          <w:color w:val="auto"/>
          <w:highlight w:val="none"/>
        </w:rPr>
        <w:fldChar w:fldCharType="end"/>
      </w:r>
    </w:p>
    <w:p w14:paraId="498F4E25">
      <w:pPr>
        <w:pStyle w:val="17"/>
        <w:tabs>
          <w:tab w:val="right" w:leader="dot" w:pos="8730"/>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_Toc31661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第七章 质疑、投诉材料格式</w:t>
      </w:r>
      <w:r>
        <w:rPr>
          <w:color w:val="auto"/>
          <w:highlight w:val="none"/>
        </w:rPr>
        <w:tab/>
      </w:r>
      <w:r>
        <w:rPr>
          <w:color w:val="auto"/>
          <w:highlight w:val="none"/>
        </w:rPr>
        <w:fldChar w:fldCharType="begin"/>
      </w:r>
      <w:r>
        <w:rPr>
          <w:color w:val="auto"/>
          <w:highlight w:val="none"/>
        </w:rPr>
        <w:instrText xml:space="preserve"> PAGEREF _Toc31661 \h </w:instrText>
      </w:r>
      <w:r>
        <w:rPr>
          <w:color w:val="auto"/>
          <w:highlight w:val="none"/>
        </w:rPr>
        <w:fldChar w:fldCharType="separate"/>
      </w:r>
      <w:r>
        <w:rPr>
          <w:color w:val="auto"/>
          <w:highlight w:val="none"/>
        </w:rPr>
        <w:t>186</w:t>
      </w:r>
      <w:r>
        <w:rPr>
          <w:color w:val="auto"/>
          <w:highlight w:val="none"/>
        </w:rPr>
        <w:fldChar w:fldCharType="end"/>
      </w:r>
      <w:r>
        <w:rPr>
          <w:rFonts w:hint="eastAsia" w:ascii="仿宋" w:hAnsi="仿宋" w:eastAsia="仿宋" w:cs="仿宋"/>
          <w:color w:val="auto"/>
          <w:highlight w:val="none"/>
        </w:rPr>
        <w:fldChar w:fldCharType="end"/>
      </w:r>
    </w:p>
    <w:p w14:paraId="3A2FEC85">
      <w:pPr>
        <w:spacing w:line="360" w:lineRule="auto"/>
        <w:rPr>
          <w:rFonts w:ascii="仿宋" w:hAnsi="仿宋" w:eastAsia="仿宋" w:cs="仿宋"/>
          <w:color w:val="auto"/>
          <w:sz w:val="24"/>
          <w:highlight w:val="none"/>
        </w:rPr>
        <w:sectPr>
          <w:pgSz w:w="11910" w:h="16840"/>
          <w:pgMar w:top="1520" w:right="1500" w:bottom="280" w:left="1680" w:header="720" w:footer="720" w:gutter="0"/>
          <w:cols w:space="720" w:num="1"/>
        </w:sectPr>
      </w:pPr>
      <w:r>
        <w:rPr>
          <w:rFonts w:hint="eastAsia" w:ascii="仿宋" w:hAnsi="仿宋" w:eastAsia="仿宋" w:cs="仿宋"/>
          <w:color w:val="auto"/>
          <w:highlight w:val="none"/>
        </w:rPr>
        <w:fldChar w:fldCharType="end"/>
      </w:r>
    </w:p>
    <w:p w14:paraId="5F9DA021">
      <w:pPr>
        <w:pStyle w:val="2"/>
        <w:spacing w:before="0" w:after="0" w:line="360" w:lineRule="auto"/>
        <w:jc w:val="center"/>
        <w:rPr>
          <w:rFonts w:ascii="仿宋" w:hAnsi="仿宋" w:eastAsia="仿宋" w:cs="仿宋"/>
          <w:color w:val="auto"/>
          <w:highlight w:val="none"/>
        </w:rPr>
      </w:pPr>
      <w:bookmarkStart w:id="6" w:name="_Toc5106"/>
      <w:bookmarkStart w:id="7" w:name="_Toc12795"/>
      <w:bookmarkStart w:id="8" w:name="_Toc3722"/>
      <w:r>
        <w:rPr>
          <w:rFonts w:hint="eastAsia" w:ascii="仿宋" w:hAnsi="仿宋" w:eastAsia="仿宋" w:cs="仿宋"/>
          <w:color w:val="auto"/>
          <w:highlight w:val="none"/>
        </w:rPr>
        <w:t xml:space="preserve">第一章 </w:t>
      </w:r>
      <w:bookmarkStart w:id="9" w:name="_Toc28359012"/>
      <w:bookmarkStart w:id="10" w:name="_Toc44229878"/>
      <w:bookmarkStart w:id="11" w:name="_Toc35393629"/>
      <w:bookmarkStart w:id="12" w:name="_Toc28359089"/>
      <w:bookmarkStart w:id="13" w:name="_Toc35393798"/>
      <w:bookmarkStart w:id="14" w:name="_Toc35393792"/>
      <w:bookmarkStart w:id="15" w:name="_Toc28359081"/>
      <w:bookmarkStart w:id="16" w:name="_Toc35393623"/>
      <w:bookmarkStart w:id="17" w:name="_Toc28359004"/>
      <w:r>
        <w:rPr>
          <w:rFonts w:hint="eastAsia" w:ascii="仿宋" w:hAnsi="仿宋" w:eastAsia="仿宋" w:cs="仿宋"/>
          <w:color w:val="auto"/>
          <w:highlight w:val="none"/>
        </w:rPr>
        <w:t>单一来源邀请函</w:t>
      </w:r>
      <w:bookmarkEnd w:id="6"/>
      <w:bookmarkEnd w:id="7"/>
      <w:bookmarkEnd w:id="8"/>
    </w:p>
    <w:p w14:paraId="31BD037C">
      <w:pPr>
        <w:spacing w:line="360" w:lineRule="auto"/>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壮锦大道国旗灯改造项目（</w:t>
      </w:r>
      <w:r>
        <w:rPr>
          <w:rFonts w:hint="eastAsia" w:ascii="仿宋" w:hAnsi="仿宋" w:eastAsia="仿宋" w:cs="仿宋"/>
          <w:b/>
          <w:bCs/>
          <w:color w:val="auto"/>
          <w:sz w:val="30"/>
          <w:szCs w:val="30"/>
          <w:highlight w:val="none"/>
          <w:lang w:eastAsia="zh-CN"/>
        </w:rPr>
        <w:t>NNZC2026-D2-990466-GTZB</w:t>
      </w:r>
      <w:r>
        <w:rPr>
          <w:rFonts w:hint="eastAsia" w:ascii="仿宋" w:hAnsi="仿宋" w:eastAsia="仿宋" w:cs="仿宋"/>
          <w:b/>
          <w:bCs/>
          <w:color w:val="auto"/>
          <w:sz w:val="30"/>
          <w:szCs w:val="30"/>
          <w:highlight w:val="none"/>
        </w:rPr>
        <w:t>）</w:t>
      </w:r>
    </w:p>
    <w:p w14:paraId="6F0539FB">
      <w:pPr>
        <w:pStyle w:val="10"/>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单一来源采购邀请函</w:t>
      </w:r>
    </w:p>
    <w:p w14:paraId="0DA54B6C">
      <w:pPr>
        <w:rPr>
          <w:color w:val="auto"/>
          <w:highlight w:val="none"/>
        </w:rPr>
      </w:pPr>
    </w:p>
    <w:p w14:paraId="483DA8EB">
      <w:pPr>
        <w:spacing w:line="360" w:lineRule="auto"/>
        <w:rPr>
          <w:rFonts w:ascii="仿宋" w:hAnsi="仿宋" w:eastAsia="仿宋" w:cs="仿宋"/>
          <w:color w:val="auto"/>
          <w:sz w:val="24"/>
          <w:highlight w:val="none"/>
        </w:rPr>
      </w:pPr>
      <w:r>
        <w:rPr>
          <w:rFonts w:hint="eastAsia" w:ascii="仿宋" w:hAnsi="仿宋" w:eastAsia="仿宋" w:cs="仿宋"/>
          <w:b/>
          <w:bCs/>
          <w:color w:val="auto"/>
          <w:sz w:val="24"/>
          <w:highlight w:val="none"/>
        </w:rPr>
        <w:t>广西南宁东巽赢景观工程有限公司：</w:t>
      </w:r>
    </w:p>
    <w:p w14:paraId="7921A98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广西国泰招标咨询有限公司受</w:t>
      </w:r>
      <w:r>
        <w:rPr>
          <w:rFonts w:hint="eastAsia" w:ascii="仿宋" w:hAnsi="仿宋" w:eastAsia="仿宋" w:cs="仿宋"/>
          <w:b/>
          <w:bCs/>
          <w:color w:val="auto"/>
          <w:sz w:val="24"/>
          <w:highlight w:val="none"/>
          <w:u w:val="single"/>
        </w:rPr>
        <w:t>南宁市城市照明事务服务中心</w:t>
      </w:r>
      <w:r>
        <w:rPr>
          <w:rFonts w:hint="eastAsia" w:ascii="仿宋" w:hAnsi="仿宋" w:eastAsia="仿宋" w:cs="仿宋"/>
          <w:color w:val="auto"/>
          <w:sz w:val="24"/>
          <w:highlight w:val="none"/>
        </w:rPr>
        <w:t>委托，经财政部门批准，根据《中华人民共和国政府采购法》等有关规定，对</w:t>
      </w:r>
      <w:r>
        <w:rPr>
          <w:rFonts w:hint="eastAsia" w:ascii="仿宋" w:hAnsi="仿宋" w:eastAsia="仿宋" w:cs="仿宋"/>
          <w:b/>
          <w:bCs/>
          <w:color w:val="auto"/>
          <w:sz w:val="24"/>
          <w:highlight w:val="none"/>
          <w:u w:val="single"/>
        </w:rPr>
        <w:t>壮锦大道国旗灯改造项目</w:t>
      </w:r>
      <w:r>
        <w:rPr>
          <w:rFonts w:hint="eastAsia" w:ascii="仿宋" w:hAnsi="仿宋" w:eastAsia="仿宋" w:cs="仿宋"/>
          <w:color w:val="auto"/>
          <w:sz w:val="24"/>
          <w:highlight w:val="none"/>
        </w:rPr>
        <w:t>进行单一来源采购，现邀请你单位参加，有关事项通知如下：</w:t>
      </w:r>
    </w:p>
    <w:p w14:paraId="69A342B5">
      <w:pPr>
        <w:spacing w:line="360" w:lineRule="auto"/>
        <w:rPr>
          <w:rFonts w:ascii="仿宋" w:hAnsi="仿宋" w:eastAsia="仿宋" w:cs="仿宋"/>
          <w:color w:val="auto"/>
          <w:sz w:val="24"/>
          <w:highlight w:val="none"/>
        </w:rPr>
      </w:pPr>
      <w:r>
        <w:rPr>
          <w:rFonts w:hint="eastAsia" w:ascii="仿宋" w:hAnsi="仿宋" w:eastAsia="仿宋" w:cs="仿宋"/>
          <w:bCs/>
          <w:color w:val="auto"/>
          <w:sz w:val="24"/>
          <w:highlight w:val="none"/>
        </w:rPr>
        <w:t>一、项目基本情况</w:t>
      </w:r>
      <w:bookmarkEnd w:id="9"/>
      <w:bookmarkEnd w:id="10"/>
      <w:bookmarkEnd w:id="11"/>
      <w:bookmarkEnd w:id="12"/>
      <w:bookmarkEnd w:id="13"/>
    </w:p>
    <w:p w14:paraId="2687D58F">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NNZC2026-D2-990466-GTZB</w:t>
      </w:r>
    </w:p>
    <w:p w14:paraId="466DE750">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采购计划文号：</w:t>
      </w:r>
      <w:r>
        <w:rPr>
          <w:rFonts w:hint="eastAsia" w:ascii="仿宋" w:hAnsi="仿宋" w:eastAsia="仿宋" w:cs="仿宋"/>
          <w:color w:val="auto"/>
          <w:sz w:val="24"/>
          <w:highlight w:val="none"/>
          <w:lang w:eastAsia="zh-CN"/>
        </w:rPr>
        <w:t>NNZC[2026]2744号</w:t>
      </w:r>
    </w:p>
    <w:p w14:paraId="6C294D0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项目名称：壮锦大道国旗灯改造项目</w:t>
      </w:r>
    </w:p>
    <w:p w14:paraId="398180D8">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预算金额：2663376.56元</w:t>
      </w:r>
    </w:p>
    <w:p w14:paraId="3E768FA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最高限价：同采购预算</w:t>
      </w:r>
    </w:p>
    <w:p w14:paraId="40F183C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采购需求：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5"/>
        <w:gridCol w:w="1450"/>
        <w:gridCol w:w="820"/>
        <w:gridCol w:w="820"/>
        <w:gridCol w:w="4430"/>
        <w:gridCol w:w="730"/>
      </w:tblGrid>
      <w:tr w14:paraId="4049E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cBorders>
            <w:noWrap/>
            <w:vAlign w:val="center"/>
          </w:tcPr>
          <w:p w14:paraId="3DB63324">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50" w:type="dxa"/>
            <w:tcBorders>
              <w:top w:val="single" w:color="auto" w:sz="4" w:space="0"/>
              <w:left w:val="single" w:color="auto" w:sz="4" w:space="0"/>
              <w:bottom w:val="single" w:color="auto" w:sz="4" w:space="0"/>
              <w:right w:val="single" w:color="auto" w:sz="4" w:space="0"/>
            </w:tcBorders>
            <w:noWrap/>
            <w:vAlign w:val="center"/>
          </w:tcPr>
          <w:p w14:paraId="7C71D6A1">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标的的名称</w:t>
            </w:r>
          </w:p>
        </w:tc>
        <w:tc>
          <w:tcPr>
            <w:tcW w:w="820" w:type="dxa"/>
            <w:tcBorders>
              <w:top w:val="single" w:color="auto" w:sz="4" w:space="0"/>
              <w:left w:val="single" w:color="auto" w:sz="4" w:space="0"/>
              <w:bottom w:val="single" w:color="auto" w:sz="4" w:space="0"/>
              <w:right w:val="single" w:color="auto" w:sz="4" w:space="0"/>
            </w:tcBorders>
            <w:noWrap/>
            <w:vAlign w:val="center"/>
          </w:tcPr>
          <w:p w14:paraId="50DBA6C3">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820" w:type="dxa"/>
            <w:tcBorders>
              <w:top w:val="single" w:color="auto" w:sz="4" w:space="0"/>
              <w:left w:val="single" w:color="auto" w:sz="4" w:space="0"/>
              <w:bottom w:val="single" w:color="auto" w:sz="4" w:space="0"/>
              <w:right w:val="single" w:color="auto" w:sz="4" w:space="0"/>
            </w:tcBorders>
            <w:noWrap/>
            <w:vAlign w:val="center"/>
          </w:tcPr>
          <w:p w14:paraId="5A2F48A3">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4430" w:type="dxa"/>
            <w:tcBorders>
              <w:top w:val="single" w:color="auto" w:sz="4" w:space="0"/>
              <w:left w:val="single" w:color="auto" w:sz="4" w:space="0"/>
              <w:bottom w:val="single" w:color="auto" w:sz="4" w:space="0"/>
              <w:right w:val="single" w:color="auto" w:sz="4" w:space="0"/>
            </w:tcBorders>
            <w:noWrap/>
            <w:vAlign w:val="center"/>
          </w:tcPr>
          <w:p w14:paraId="541E9B82">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简要服务要求或者技术需求</w:t>
            </w:r>
          </w:p>
        </w:tc>
        <w:tc>
          <w:tcPr>
            <w:tcW w:w="730" w:type="dxa"/>
            <w:tcBorders>
              <w:top w:val="single" w:color="auto" w:sz="4" w:space="0"/>
              <w:left w:val="single" w:color="auto" w:sz="4" w:space="0"/>
              <w:bottom w:val="single" w:color="auto" w:sz="4" w:space="0"/>
              <w:right w:val="single" w:color="auto" w:sz="4" w:space="0"/>
            </w:tcBorders>
            <w:noWrap/>
            <w:vAlign w:val="center"/>
          </w:tcPr>
          <w:p w14:paraId="4C2D7BA2">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10A5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cBorders>
            <w:noWrap/>
            <w:vAlign w:val="center"/>
          </w:tcPr>
          <w:p w14:paraId="0A9C7667">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450" w:type="dxa"/>
            <w:tcBorders>
              <w:top w:val="single" w:color="auto" w:sz="4" w:space="0"/>
              <w:left w:val="single" w:color="auto" w:sz="4" w:space="0"/>
              <w:bottom w:val="single" w:color="auto" w:sz="4" w:space="0"/>
              <w:right w:val="single" w:color="auto" w:sz="4" w:space="0"/>
            </w:tcBorders>
            <w:noWrap/>
            <w:vAlign w:val="center"/>
          </w:tcPr>
          <w:p w14:paraId="30D61C5D">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壮锦大道国旗灯改造项目</w:t>
            </w:r>
          </w:p>
        </w:tc>
        <w:tc>
          <w:tcPr>
            <w:tcW w:w="820" w:type="dxa"/>
            <w:tcBorders>
              <w:top w:val="single" w:color="auto" w:sz="4" w:space="0"/>
              <w:left w:val="single" w:color="auto" w:sz="4" w:space="0"/>
              <w:bottom w:val="single" w:color="auto" w:sz="4" w:space="0"/>
              <w:right w:val="single" w:color="auto" w:sz="4" w:space="0"/>
            </w:tcBorders>
            <w:noWrap/>
            <w:vAlign w:val="center"/>
          </w:tcPr>
          <w:p w14:paraId="38B04C4B">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w:t>
            </w:r>
          </w:p>
        </w:tc>
        <w:tc>
          <w:tcPr>
            <w:tcW w:w="820" w:type="dxa"/>
            <w:tcBorders>
              <w:top w:val="single" w:color="auto" w:sz="4" w:space="0"/>
              <w:left w:val="single" w:color="auto" w:sz="4" w:space="0"/>
              <w:bottom w:val="single" w:color="auto" w:sz="4" w:space="0"/>
              <w:right w:val="single" w:color="auto" w:sz="4" w:space="0"/>
            </w:tcBorders>
            <w:noWrap/>
            <w:vAlign w:val="center"/>
          </w:tcPr>
          <w:p w14:paraId="6603FE3E">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430" w:type="dxa"/>
            <w:tcBorders>
              <w:top w:val="single" w:color="auto" w:sz="4" w:space="0"/>
              <w:left w:val="single" w:color="auto" w:sz="4" w:space="0"/>
              <w:bottom w:val="single" w:color="auto" w:sz="4" w:space="0"/>
              <w:right w:val="single" w:color="auto" w:sz="4" w:space="0"/>
            </w:tcBorders>
            <w:noWrap/>
            <w:vAlign w:val="center"/>
          </w:tcPr>
          <w:p w14:paraId="4FA08FB9">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主要建设内容为壮锦大道11座国旗灯造型装饰框架翻新喷漆，以及对老旧国旗图案透光板、水晶装饰柱、灯箱光源灯部件进行更换，新增东帝汶国旗灯1座。具体详见工程量清单及施工图纸。</w:t>
            </w:r>
          </w:p>
        </w:tc>
        <w:tc>
          <w:tcPr>
            <w:tcW w:w="730" w:type="dxa"/>
            <w:tcBorders>
              <w:top w:val="single" w:color="auto" w:sz="4" w:space="0"/>
              <w:left w:val="single" w:color="auto" w:sz="4" w:space="0"/>
              <w:bottom w:val="single" w:color="auto" w:sz="4" w:space="0"/>
              <w:right w:val="single" w:color="auto" w:sz="4" w:space="0"/>
            </w:tcBorders>
            <w:noWrap/>
            <w:vAlign w:val="center"/>
          </w:tcPr>
          <w:p w14:paraId="512A8C41">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r>
    </w:tbl>
    <w:p w14:paraId="57330A6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合同履行期限：工期：2026年8月30日前交付使用。</w:t>
      </w:r>
    </w:p>
    <w:p w14:paraId="34D23B4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本项目是否接受联合体响应：否。</w:t>
      </w:r>
    </w:p>
    <w:p w14:paraId="44C53C78">
      <w:pPr>
        <w:spacing w:line="360" w:lineRule="auto"/>
        <w:ind w:firstLine="482" w:firstLineChars="200"/>
        <w:rPr>
          <w:rFonts w:ascii="仿宋" w:hAnsi="仿宋" w:eastAsia="仿宋" w:cs="仿宋"/>
          <w:bCs/>
          <w:color w:val="auto"/>
          <w:sz w:val="24"/>
          <w:highlight w:val="none"/>
        </w:rPr>
      </w:pPr>
      <w:bookmarkStart w:id="18" w:name="_Toc35393799"/>
      <w:bookmarkStart w:id="19" w:name="_Toc44229879"/>
      <w:bookmarkStart w:id="20" w:name="_Toc28359013"/>
      <w:bookmarkStart w:id="21" w:name="_Toc28359090"/>
      <w:bookmarkStart w:id="22" w:name="_Toc35393630"/>
      <w:r>
        <w:rPr>
          <w:rFonts w:hint="eastAsia" w:ascii="仿宋" w:hAnsi="仿宋" w:eastAsia="仿宋" w:cs="仿宋"/>
          <w:b/>
          <w:color w:val="auto"/>
          <w:kern w:val="44"/>
          <w:sz w:val="24"/>
          <w:highlight w:val="none"/>
        </w:rPr>
        <w:t>二、供应商的资格条件</w:t>
      </w:r>
      <w:bookmarkEnd w:id="18"/>
      <w:bookmarkEnd w:id="19"/>
      <w:bookmarkEnd w:id="20"/>
      <w:bookmarkEnd w:id="21"/>
      <w:bookmarkEnd w:id="22"/>
    </w:p>
    <w:p w14:paraId="7C3D72D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146F882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2、落实政府采购政策需满足的资格要求：专门面向</w:t>
      </w:r>
      <w:r>
        <w:rPr>
          <w:rFonts w:hint="eastAsia" w:ascii="仿宋" w:hAnsi="仿宋" w:eastAsia="仿宋" w:cs="仿宋"/>
          <w:color w:val="auto"/>
          <w:sz w:val="24"/>
          <w:highlight w:val="none"/>
          <w:lang w:val="en-US" w:eastAsia="zh-CN"/>
        </w:rPr>
        <w:t>小微</w:t>
      </w:r>
      <w:r>
        <w:rPr>
          <w:rFonts w:hint="eastAsia" w:ascii="仿宋" w:hAnsi="仿宋" w:eastAsia="仿宋" w:cs="仿宋"/>
          <w:color w:val="auto"/>
          <w:sz w:val="24"/>
          <w:highlight w:val="none"/>
        </w:rPr>
        <w:t>企业采购的项目。</w:t>
      </w:r>
    </w:p>
    <w:p w14:paraId="1A289C9F">
      <w:pPr>
        <w:spacing w:line="360" w:lineRule="auto"/>
        <w:ind w:firstLine="480" w:firstLineChars="200"/>
        <w:rPr>
          <w:rFonts w:ascii="仿宋" w:hAnsi="仿宋" w:eastAsia="仿宋" w:cs="仿宋"/>
          <w:color w:val="auto"/>
          <w:sz w:val="24"/>
          <w:highlight w:val="none"/>
        </w:rPr>
      </w:pPr>
      <w:bookmarkStart w:id="23" w:name="PO_3000001870_PM005"/>
      <w:r>
        <w:rPr>
          <w:rFonts w:hint="eastAsia" w:ascii="仿宋" w:hAnsi="仿宋" w:eastAsia="仿宋" w:cs="仿宋"/>
          <w:color w:val="auto"/>
          <w:sz w:val="24"/>
          <w:highlight w:val="none"/>
        </w:rPr>
        <w:t>3、本项目的特定资格要求：无</w:t>
      </w:r>
    </w:p>
    <w:p w14:paraId="4219E1B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4、本项目的特定条件：无</w:t>
      </w:r>
    </w:p>
    <w:p w14:paraId="3892BB6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bookmarkEnd w:id="23"/>
    </w:p>
    <w:p w14:paraId="4F08EEB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F5DDF0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三、获取单一来源采购文件</w:t>
      </w:r>
      <w:bookmarkEnd w:id="14"/>
      <w:bookmarkEnd w:id="15"/>
      <w:bookmarkEnd w:id="16"/>
      <w:bookmarkEnd w:id="17"/>
    </w:p>
    <w:p w14:paraId="7D75D6EE">
      <w:pPr>
        <w:snapToGrid w:val="0"/>
        <w:spacing w:line="360" w:lineRule="auto"/>
        <w:ind w:firstLine="480" w:firstLineChars="200"/>
        <w:rPr>
          <w:rFonts w:ascii="仿宋" w:hAnsi="仿宋" w:eastAsia="仿宋" w:cs="仿宋"/>
          <w:color w:val="auto"/>
          <w:sz w:val="24"/>
          <w:highlight w:val="none"/>
        </w:rPr>
      </w:pPr>
      <w:bookmarkStart w:id="24" w:name="_Toc28359082"/>
      <w:bookmarkStart w:id="25" w:name="_Toc35393793"/>
      <w:bookmarkStart w:id="26" w:name="_Toc28359005"/>
      <w:bookmarkStart w:id="27" w:name="_Toc35393624"/>
      <w:r>
        <w:rPr>
          <w:rFonts w:hint="eastAsia" w:ascii="仿宋" w:hAnsi="仿宋" w:eastAsia="仿宋" w:cs="仿宋"/>
          <w:color w:val="auto"/>
          <w:sz w:val="24"/>
          <w:highlight w:val="none"/>
        </w:rPr>
        <w:t>时间：自公告发布之日起至</w:t>
      </w: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13</w:t>
      </w:r>
      <w:r>
        <w:rPr>
          <w:rFonts w:hint="eastAsia" w:ascii="仿宋" w:hAnsi="仿宋" w:eastAsia="仿宋" w:cs="仿宋"/>
          <w:color w:val="auto"/>
          <w:sz w:val="24"/>
          <w:highlight w:val="none"/>
          <w:u w:val="single"/>
        </w:rPr>
        <w:t>时</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w:t>
      </w:r>
      <w:r>
        <w:rPr>
          <w:rFonts w:hint="eastAsia" w:ascii="仿宋" w:hAnsi="仿宋" w:eastAsia="仿宋" w:cs="仿宋"/>
          <w:bCs/>
          <w:color w:val="auto"/>
          <w:sz w:val="24"/>
          <w:highlight w:val="none"/>
        </w:rPr>
        <w:t>（北京时间）</w:t>
      </w:r>
      <w:r>
        <w:rPr>
          <w:rFonts w:hint="eastAsia" w:ascii="仿宋" w:hAnsi="仿宋" w:eastAsia="仿宋" w:cs="仿宋"/>
          <w:color w:val="auto"/>
          <w:sz w:val="24"/>
          <w:highlight w:val="none"/>
        </w:rPr>
        <w:t>。</w:t>
      </w:r>
    </w:p>
    <w:p w14:paraId="29F6E6AE">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获取方式：网上下载。本项目不发放纸质文件，供应商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0A0D688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售价：0元。</w:t>
      </w:r>
    </w:p>
    <w:p w14:paraId="2C438EC3">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w:t>
      </w:r>
      <w:bookmarkEnd w:id="24"/>
      <w:bookmarkEnd w:id="25"/>
      <w:bookmarkEnd w:id="26"/>
      <w:bookmarkEnd w:id="27"/>
      <w:r>
        <w:rPr>
          <w:rFonts w:hint="eastAsia" w:ascii="仿宋" w:hAnsi="仿宋" w:eastAsia="仿宋" w:cs="仿宋"/>
          <w:b/>
          <w:bCs/>
          <w:color w:val="auto"/>
          <w:sz w:val="24"/>
          <w:highlight w:val="none"/>
        </w:rPr>
        <w:t>响应文件提交</w:t>
      </w:r>
    </w:p>
    <w:p w14:paraId="6F235421">
      <w:pPr>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color w:val="auto"/>
          <w:sz w:val="24"/>
          <w:highlight w:val="none"/>
        </w:rPr>
        <w:t>1、首次响应文件提交截止时间</w:t>
      </w:r>
      <w:r>
        <w:rPr>
          <w:rFonts w:hint="eastAsia" w:ascii="仿宋" w:hAnsi="仿宋" w:eastAsia="仿宋" w:cs="仿宋"/>
          <w:bCs/>
          <w:color w:val="auto"/>
          <w:sz w:val="24"/>
          <w:highlight w:val="none"/>
        </w:rPr>
        <w:t>（北京时间）：</w:t>
      </w:r>
      <w:r>
        <w:rPr>
          <w:rFonts w:hint="eastAsia" w:ascii="仿宋" w:hAnsi="仿宋" w:eastAsia="仿宋" w:cs="仿宋"/>
          <w:color w:val="auto"/>
          <w:sz w:val="24"/>
          <w:highlight w:val="none"/>
        </w:rPr>
        <w:t>2026年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w:t>
      </w:r>
      <w:r>
        <w:rPr>
          <w:rFonts w:hint="eastAsia" w:ascii="仿宋" w:hAnsi="仿宋" w:eastAsia="仿宋" w:cs="仿宋"/>
          <w:bCs/>
          <w:color w:val="auto"/>
          <w:sz w:val="24"/>
          <w:highlight w:val="none"/>
        </w:rPr>
        <w:t>（北京时间）</w:t>
      </w:r>
    </w:p>
    <w:p w14:paraId="79FB155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2、首次响应文件提交地点：</w:t>
      </w:r>
    </w:p>
    <w:p w14:paraId="1C29E469">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响应文件提交方式：本项目为南宁市全流程电子化项目，通过广西政府采购云平台（https://www.gcy.zfcg.gxzf.gov.cn/）实行在线电子投标，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hint="eastAsia" w:ascii="仿宋" w:hAnsi="仿宋" w:eastAsia="仿宋" w:cs="仿宋"/>
          <w:b/>
          <w:color w:val="auto"/>
          <w:sz w:val="24"/>
          <w:highlight w:val="none"/>
        </w:rPr>
        <w:t>供应商在广西政府采购云平台提交电子版响应文件时，请填写参加远程采购活动经办人联系方式，</w:t>
      </w:r>
      <w:r>
        <w:rPr>
          <w:rFonts w:hint="eastAsia" w:ascii="仿宋" w:hAnsi="仿宋" w:eastAsia="仿宋" w:cs="仿宋"/>
          <w:color w:val="auto"/>
          <w:sz w:val="24"/>
          <w:highlight w:val="none"/>
        </w:rPr>
        <w:t>电子响应文件具体操作流程详见本公告</w:t>
      </w:r>
      <w:r>
        <w:rPr>
          <w:rFonts w:hint="eastAsia" w:ascii="仿宋" w:hAnsi="仿宋" w:eastAsia="仿宋" w:cs="仿宋"/>
          <w:b/>
          <w:color w:val="auto"/>
          <w:sz w:val="24"/>
          <w:highlight w:val="none"/>
        </w:rPr>
        <w:t>附件</w:t>
      </w:r>
      <w:r>
        <w:rPr>
          <w:rFonts w:hint="eastAsia" w:ascii="仿宋" w:hAnsi="仿宋" w:eastAsia="仿宋" w:cs="仿宋"/>
          <w:color w:val="auto"/>
          <w:sz w:val="24"/>
          <w:highlight w:val="none"/>
        </w:rPr>
        <w:t>。</w:t>
      </w:r>
    </w:p>
    <w:p w14:paraId="55BDFEB1">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（2）未进行网上注册并办理数字证书（CA认证）的供应商将无法参与本项目政府采购活动，潜在供应商应要尽早完成电子交易平台上的CA数字证书办理（申领流程见本公告</w:t>
      </w:r>
      <w:r>
        <w:rPr>
          <w:rFonts w:hint="eastAsia" w:ascii="仿宋" w:hAnsi="仿宋" w:eastAsia="仿宋" w:cs="仿宋"/>
          <w:bCs/>
          <w:color w:val="auto"/>
          <w:sz w:val="24"/>
          <w:highlight w:val="none"/>
        </w:rPr>
        <w:t>附件</w:t>
      </w:r>
      <w:r>
        <w:rPr>
          <w:rFonts w:hint="eastAsia" w:ascii="仿宋" w:hAnsi="仿宋" w:eastAsia="仿宋" w:cs="仿宋"/>
          <w:color w:val="auto"/>
          <w:sz w:val="24"/>
          <w:highlight w:val="none"/>
        </w:rPr>
        <w:t>），并在首次响应文件提交截止时间前提交响应文件。</w:t>
      </w:r>
    </w:p>
    <w:p w14:paraId="1C709C41">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3438012E">
      <w:pPr>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65A2352B">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3、CA证书在线解密：首次响应文件开启时，须要供应商登录广西政府采购云平台电子开标大厅按规定时间对加密的响应文件进行解密，</w:t>
      </w:r>
      <w:r>
        <w:rPr>
          <w:rFonts w:hint="eastAsia" w:ascii="仿宋" w:hAnsi="仿宋" w:eastAsia="仿宋" w:cs="仿宋"/>
          <w:color w:val="auto"/>
          <w:sz w:val="24"/>
          <w:highlight w:val="none"/>
        </w:rPr>
        <w:t>详见采购文件“第三章供应商须知正文25.2条”</w:t>
      </w:r>
      <w:r>
        <w:rPr>
          <w:rFonts w:hint="eastAsia" w:ascii="仿宋" w:hAnsi="仿宋" w:eastAsia="仿宋" w:cs="仿宋"/>
          <w:color w:val="auto"/>
          <w:kern w:val="0"/>
          <w:sz w:val="24"/>
          <w:highlight w:val="none"/>
        </w:rPr>
        <w:t>，否则后果自负。</w:t>
      </w:r>
    </w:p>
    <w:p w14:paraId="7D53329C">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4、供应商需要在具备有摄像头及语音功能且互联网网络状况良好的电脑登录广西政府采购云平台远程开标大厅参与本次采购，否则后果自负。</w:t>
      </w:r>
    </w:p>
    <w:p w14:paraId="565A561B">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五、开启（首次响应文件开启时间）</w:t>
      </w:r>
    </w:p>
    <w:p w14:paraId="617FD8BB">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bCs/>
          <w:color w:val="auto"/>
          <w:sz w:val="24"/>
          <w:highlight w:val="none"/>
        </w:rPr>
        <w:t>（北京时间）</w:t>
      </w:r>
      <w:r>
        <w:rPr>
          <w:rFonts w:hint="eastAsia" w:ascii="仿宋" w:hAnsi="仿宋" w:eastAsia="仿宋" w:cs="仿宋"/>
          <w:color w:val="auto"/>
          <w:sz w:val="24"/>
          <w:highlight w:val="none"/>
        </w:rPr>
        <w:t>：2026年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w:t>
      </w:r>
      <w:r>
        <w:rPr>
          <w:rFonts w:hint="eastAsia" w:ascii="仿宋" w:hAnsi="仿宋" w:eastAsia="仿宋" w:cs="仿宋"/>
          <w:color w:val="auto"/>
          <w:sz w:val="24"/>
          <w:highlight w:val="none"/>
        </w:rPr>
        <w:t>分</w:t>
      </w:r>
      <w:r>
        <w:rPr>
          <w:rFonts w:hint="eastAsia" w:ascii="仿宋" w:hAnsi="仿宋" w:eastAsia="仿宋" w:cs="仿宋"/>
          <w:bCs/>
          <w:color w:val="auto"/>
          <w:sz w:val="24"/>
          <w:highlight w:val="none"/>
        </w:rPr>
        <w:t>（北京时间）后</w:t>
      </w:r>
    </w:p>
    <w:p w14:paraId="7C043A30">
      <w:pPr>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color w:val="auto"/>
          <w:sz w:val="24"/>
          <w:highlight w:val="none"/>
        </w:rPr>
        <w:t>2.地点：</w:t>
      </w:r>
      <w:r>
        <w:rPr>
          <w:rFonts w:hint="eastAsia" w:ascii="仿宋" w:hAnsi="仿宋" w:eastAsia="仿宋" w:cs="仿宋"/>
          <w:color w:val="auto"/>
          <w:sz w:val="24"/>
          <w:highlight w:val="none"/>
          <w:u w:val="single"/>
        </w:rPr>
        <w:t xml:space="preserve"> 广西政府采购云平台电子开标大厅 </w:t>
      </w:r>
    </w:p>
    <w:p w14:paraId="0DDC3309">
      <w:pPr>
        <w:spacing w:line="360" w:lineRule="auto"/>
        <w:ind w:firstLine="482" w:firstLineChars="200"/>
        <w:rPr>
          <w:rFonts w:ascii="仿宋" w:hAnsi="仿宋" w:eastAsia="仿宋" w:cs="仿宋"/>
          <w:b/>
          <w:bCs/>
          <w:color w:val="auto"/>
          <w:sz w:val="24"/>
          <w:highlight w:val="none"/>
        </w:rPr>
      </w:pPr>
      <w:bookmarkStart w:id="28" w:name="_Toc35393795"/>
      <w:bookmarkStart w:id="29" w:name="_Toc35393626"/>
      <w:r>
        <w:rPr>
          <w:rFonts w:hint="eastAsia" w:ascii="仿宋" w:hAnsi="仿宋" w:eastAsia="仿宋" w:cs="仿宋"/>
          <w:b/>
          <w:bCs/>
          <w:color w:val="auto"/>
          <w:sz w:val="24"/>
          <w:highlight w:val="none"/>
        </w:rPr>
        <w:t>六、其他补充事宜</w:t>
      </w:r>
      <w:bookmarkEnd w:id="28"/>
      <w:bookmarkEnd w:id="29"/>
    </w:p>
    <w:p w14:paraId="346274F9">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1.协商保证金：本项目不收取协商保证金</w:t>
      </w:r>
    </w:p>
    <w:p w14:paraId="1E5CC97E">
      <w:pPr>
        <w:wordWrap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2.采购意向公开链接：http://www.ccgp-guangxi.gov.cn/site/detail?categoryCode=ZcyAnnouncement&amp;parentId=66485&amp;articleId=OnKIL2+n95v8u96PvRTZgg==</w:t>
      </w:r>
    </w:p>
    <w:p w14:paraId="24F72E78">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3.网上查询地址</w:t>
      </w:r>
    </w:p>
    <w:p w14:paraId="121EE401">
      <w:pPr>
        <w:wordWrap w:val="0"/>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http://zfcg.gxzf.gov.cn (广西政府采购网)、http://ggzy.jgswj.gxzf.gov.cn/nnggzy/(全国公共资源交易平台（广西·南宁）)；</w:t>
      </w:r>
    </w:p>
    <w:p w14:paraId="005F992C">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4.本项目需要落实的政府采购政策</w:t>
      </w:r>
    </w:p>
    <w:p w14:paraId="7AD23F53">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（1）政府采购促进中小企业发展；</w:t>
      </w:r>
    </w:p>
    <w:p w14:paraId="0599F379">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（2）政府采购促进残疾人就业政策；</w:t>
      </w:r>
    </w:p>
    <w:p w14:paraId="272DAC34">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（3）政府采购支持监狱企业发展。</w:t>
      </w:r>
    </w:p>
    <w:p w14:paraId="42373FB8">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E64EA35">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6.若对项目采购电子交易系统操作有疑问，可登录广西政府采购云平台（https://www.zcygov.cn/），点击右侧咨询小采，获取采小蜜智能服务管家帮助，或拨打广西政府采购云平台服务热线95763获取热线服务帮助。 </w:t>
      </w:r>
    </w:p>
    <w:p w14:paraId="0EF5F014">
      <w:pPr>
        <w:spacing w:line="360" w:lineRule="auto"/>
        <w:ind w:firstLine="482" w:firstLineChars="200"/>
        <w:rPr>
          <w:rFonts w:ascii="仿宋" w:hAnsi="仿宋" w:eastAsia="仿宋" w:cs="仿宋"/>
          <w:bCs/>
          <w:color w:val="auto"/>
          <w:sz w:val="24"/>
          <w:highlight w:val="none"/>
        </w:rPr>
      </w:pPr>
      <w:r>
        <w:rPr>
          <w:rFonts w:hint="eastAsia" w:ascii="仿宋" w:hAnsi="仿宋" w:eastAsia="仿宋" w:cs="仿宋"/>
          <w:b/>
          <w:color w:val="auto"/>
          <w:kern w:val="44"/>
          <w:sz w:val="24"/>
          <w:highlight w:val="none"/>
        </w:rPr>
        <w:t>七、凡对本次采购提出询问，请按以下方式联系</w:t>
      </w:r>
    </w:p>
    <w:p w14:paraId="0BCEE949">
      <w:pPr>
        <w:spacing w:line="360" w:lineRule="auto"/>
        <w:ind w:left="1079" w:leftChars="371" w:hanging="300" w:hangingChars="125"/>
        <w:jc w:val="left"/>
        <w:rPr>
          <w:rFonts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33769890">
      <w:pPr>
        <w:spacing w:line="360" w:lineRule="auto"/>
        <w:ind w:left="1079" w:leftChars="371" w:hanging="300" w:hangingChars="125"/>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名 称：南宁市城市照明事务服务中心</w:t>
      </w:r>
    </w:p>
    <w:p w14:paraId="73A6C098">
      <w:pPr>
        <w:spacing w:line="360" w:lineRule="auto"/>
        <w:ind w:left="1079" w:leftChars="371" w:hanging="300" w:hangingChars="125"/>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地址：南宁市青秀区葛村路22号</w:t>
      </w:r>
    </w:p>
    <w:p w14:paraId="2A3C48AD">
      <w:pPr>
        <w:spacing w:line="360" w:lineRule="auto"/>
        <w:ind w:left="1079" w:leftChars="371" w:hanging="300" w:hangingChars="125"/>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项目联系人：覃友华</w:t>
      </w:r>
    </w:p>
    <w:p w14:paraId="50A62CBF">
      <w:pPr>
        <w:spacing w:line="360" w:lineRule="auto"/>
        <w:ind w:left="1079" w:leftChars="371" w:hanging="300" w:hangingChars="125"/>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联系电话：0771-2869252</w:t>
      </w:r>
    </w:p>
    <w:p w14:paraId="6D551EDC">
      <w:pPr>
        <w:spacing w:line="360" w:lineRule="auto"/>
        <w:ind w:left="1079" w:leftChars="371" w:hanging="300" w:hangingChars="125"/>
        <w:jc w:val="left"/>
        <w:rPr>
          <w:rFonts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1684737C">
      <w:pPr>
        <w:spacing w:line="360" w:lineRule="auto"/>
        <w:ind w:left="1079" w:leftChars="371" w:hanging="300" w:hangingChars="125"/>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名 称：广西国泰招标咨询有限公司</w:t>
      </w:r>
    </w:p>
    <w:p w14:paraId="028DF9EB">
      <w:pPr>
        <w:spacing w:line="360" w:lineRule="auto"/>
        <w:ind w:left="1079" w:leftChars="371" w:hanging="300" w:hangingChars="125"/>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地　址：南宁市青秀区民族大道141号中鼎万象东方D区6层</w:t>
      </w:r>
    </w:p>
    <w:p w14:paraId="0BCD05C6">
      <w:pPr>
        <w:spacing w:line="360" w:lineRule="auto"/>
        <w:ind w:left="1079" w:leftChars="371" w:hanging="300" w:hangingChars="125"/>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联系电话：13026917813</w:t>
      </w:r>
    </w:p>
    <w:p w14:paraId="51E514A8">
      <w:pPr>
        <w:spacing w:line="360" w:lineRule="auto"/>
        <w:ind w:left="1079" w:leftChars="371" w:hanging="300" w:hangingChars="125"/>
        <w:jc w:val="left"/>
        <w:rPr>
          <w:rFonts w:ascii="仿宋" w:hAnsi="仿宋" w:eastAsia="仿宋" w:cs="仿宋"/>
          <w:color w:val="auto"/>
          <w:sz w:val="24"/>
          <w:highlight w:val="none"/>
        </w:rPr>
      </w:pPr>
      <w:r>
        <w:rPr>
          <w:rFonts w:hint="eastAsia" w:ascii="仿宋" w:hAnsi="仿宋" w:eastAsia="仿宋" w:cs="仿宋"/>
          <w:color w:val="auto"/>
          <w:sz w:val="24"/>
          <w:highlight w:val="none"/>
        </w:rPr>
        <w:t>3.项目联系方式</w:t>
      </w:r>
    </w:p>
    <w:p w14:paraId="08457AA7">
      <w:pPr>
        <w:spacing w:line="360" w:lineRule="auto"/>
        <w:ind w:left="1079" w:leftChars="371" w:hanging="300" w:hangingChars="125"/>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项目联系人：植一俊 </w:t>
      </w:r>
    </w:p>
    <w:p w14:paraId="189294B6">
      <w:pPr>
        <w:spacing w:line="360" w:lineRule="auto"/>
        <w:ind w:left="1079" w:leftChars="371" w:hanging="300" w:hangingChars="125"/>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电    话：13026917813</w:t>
      </w:r>
    </w:p>
    <w:p w14:paraId="314ACD26">
      <w:pPr>
        <w:spacing w:line="360" w:lineRule="auto"/>
        <w:rPr>
          <w:rFonts w:ascii="仿宋" w:hAnsi="仿宋" w:eastAsia="仿宋" w:cs="仿宋"/>
          <w:color w:val="auto"/>
          <w:sz w:val="24"/>
          <w:highlight w:val="none"/>
        </w:rPr>
      </w:pPr>
    </w:p>
    <w:p w14:paraId="6115BE40">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附件： 1.CA证书申请方式及操作指南下载地址（现场申请方式见网址：</w:t>
      </w:r>
      <w:r>
        <w:rPr>
          <w:color w:val="auto"/>
          <w:highlight w:val="none"/>
        </w:rPr>
        <w:fldChar w:fldCharType="begin"/>
      </w:r>
      <w:r>
        <w:rPr>
          <w:color w:val="auto"/>
          <w:highlight w:val="none"/>
        </w:rPr>
        <w:instrText xml:space="preserve"> HYPERLINK "http://www.ccgp-guangxi.gov.cn/OfficeService/DownloadArea/8354055.html?utm=a0003.39a112b4.cmp001.d0002.f0464b20ff2a11eb873141bf9e381949" </w:instrText>
      </w:r>
      <w:r>
        <w:rPr>
          <w:color w:val="auto"/>
          <w:highlight w:val="none"/>
        </w:rPr>
        <w:fldChar w:fldCharType="separate"/>
      </w:r>
      <w:r>
        <w:rPr>
          <w:rFonts w:hint="eastAsia" w:ascii="仿宋" w:hAnsi="仿宋" w:eastAsia="仿宋" w:cs="仿宋"/>
          <w:color w:val="auto"/>
          <w:kern w:val="0"/>
          <w:sz w:val="24"/>
          <w:highlight w:val="none"/>
        </w:rPr>
        <w:t>http://www.ccgp-guangxi.gov.cn/OfficeService/DownloadArea/8354055.html?utm=a0003.39a112b4.cmp001.d0002.f0464b20ff2a11eb873141bf9e381949</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 xml:space="preserve">（广西政府采购网）/网上申请方式见网址： </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hint="eastAsia" w:ascii="仿宋" w:hAnsi="仿宋" w:eastAsia="仿宋" w:cs="仿宋"/>
          <w:color w:val="auto"/>
          <w:kern w:val="0"/>
          <w:sz w:val="24"/>
          <w:highlight w:val="none"/>
        </w:rPr>
        <w:t>http://nncz.nanning.gov.cn/</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（南宁市财政局官网）-下载专区-“广西政府采购云平台西部CA办理方式”或“南宁市广西政府采购云平台CA证书办理操作指南”）</w:t>
      </w:r>
    </w:p>
    <w:p w14:paraId="0E2CAA29">
      <w:pPr>
        <w:snapToGrid w:val="0"/>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hint="eastAsia" w:ascii="仿宋" w:hAnsi="仿宋" w:eastAsia="仿宋" w:cs="仿宋"/>
          <w:color w:val="auto"/>
          <w:kern w:val="0"/>
          <w:sz w:val="24"/>
          <w:highlight w:val="none"/>
        </w:rPr>
        <w:t>http://nncz.nanning.gov.cn/</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（南宁市财政局官网）-下载专区）</w:t>
      </w:r>
    </w:p>
    <w:p w14:paraId="54494B96">
      <w:pPr>
        <w:pStyle w:val="25"/>
        <w:ind w:firstLine="420"/>
        <w:rPr>
          <w:rFonts w:ascii="仿宋" w:hAnsi="仿宋" w:eastAsia="仿宋" w:cs="仿宋"/>
          <w:color w:val="auto"/>
          <w:highlight w:val="none"/>
        </w:rPr>
      </w:pPr>
    </w:p>
    <w:p w14:paraId="7EEDDCB0">
      <w:pPr>
        <w:spacing w:line="360" w:lineRule="auto"/>
        <w:jc w:val="right"/>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广西国泰招标咨询有限公司</w:t>
      </w:r>
    </w:p>
    <w:p w14:paraId="6EA5BC56">
      <w:pPr>
        <w:spacing w:line="360" w:lineRule="auto"/>
        <w:ind w:firstLine="6480" w:firstLineChars="2700"/>
        <w:rPr>
          <w:rFonts w:ascii="仿宋" w:hAnsi="仿宋" w:eastAsia="仿宋" w:cs="仿宋"/>
          <w:color w:val="auto"/>
          <w:sz w:val="24"/>
          <w:highlight w:val="none"/>
        </w:rPr>
        <w:sectPr>
          <w:pgSz w:w="11910" w:h="16840"/>
          <w:pgMar w:top="1520" w:right="1500" w:bottom="280" w:left="1680" w:header="720" w:footer="720" w:gutter="0"/>
          <w:cols w:space="720" w:num="1"/>
        </w:sectPr>
      </w:pPr>
      <w:r>
        <w:rPr>
          <w:rFonts w:hint="eastAsia" w:ascii="仿宋" w:hAnsi="仿宋" w:eastAsia="仿宋" w:cs="仿宋"/>
          <w:color w:val="auto"/>
          <w:sz w:val="24"/>
          <w:highlight w:val="none"/>
          <w:u w:val="single"/>
        </w:rPr>
        <w:t>2026年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23</w:t>
      </w:r>
      <w:bookmarkStart w:id="769" w:name="_GoBack"/>
      <w:bookmarkEnd w:id="769"/>
      <w:r>
        <w:rPr>
          <w:rFonts w:hint="eastAsia" w:ascii="仿宋" w:hAnsi="仿宋" w:eastAsia="仿宋" w:cs="仿宋"/>
          <w:color w:val="auto"/>
          <w:sz w:val="24"/>
          <w:highlight w:val="none"/>
          <w:u w:val="single"/>
        </w:rPr>
        <w:t>日</w:t>
      </w:r>
    </w:p>
    <w:p w14:paraId="5429746F">
      <w:pPr>
        <w:spacing w:line="360" w:lineRule="auto"/>
        <w:ind w:firstLine="10560" w:firstLineChars="3300"/>
        <w:rPr>
          <w:rFonts w:ascii="仿宋" w:hAnsi="仿宋" w:eastAsia="仿宋" w:cs="仿宋"/>
          <w:color w:val="auto"/>
          <w:sz w:val="32"/>
          <w:szCs w:val="32"/>
          <w:highlight w:val="none"/>
        </w:rPr>
      </w:pPr>
    </w:p>
    <w:p w14:paraId="33A133C2">
      <w:pPr>
        <w:pStyle w:val="2"/>
        <w:spacing w:before="0" w:after="0" w:line="360" w:lineRule="auto"/>
        <w:jc w:val="center"/>
        <w:rPr>
          <w:rFonts w:ascii="仿宋" w:hAnsi="仿宋" w:eastAsia="仿宋" w:cs="仿宋"/>
          <w:color w:val="auto"/>
          <w:highlight w:val="none"/>
        </w:rPr>
      </w:pPr>
      <w:bookmarkStart w:id="30" w:name="_Toc7846"/>
      <w:bookmarkStart w:id="31" w:name="_Toc2965"/>
      <w:bookmarkStart w:id="32" w:name="_Toc15512"/>
      <w:r>
        <w:rPr>
          <w:rFonts w:hint="eastAsia" w:ascii="仿宋" w:hAnsi="仿宋" w:eastAsia="仿宋" w:cs="仿宋"/>
          <w:bCs w:val="0"/>
          <w:color w:val="auto"/>
          <w:sz w:val="32"/>
          <w:szCs w:val="32"/>
          <w:highlight w:val="none"/>
        </w:rPr>
        <w:t>第二章 采购需求</w:t>
      </w:r>
      <w:bookmarkEnd w:id="30"/>
      <w:bookmarkEnd w:id="31"/>
      <w:bookmarkEnd w:id="32"/>
    </w:p>
    <w:p w14:paraId="2BA8808D">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说明：</w:t>
      </w:r>
    </w:p>
    <w:p w14:paraId="53444820">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1.为落实政府采购政策需满足的要求</w:t>
      </w:r>
    </w:p>
    <w:p w14:paraId="713439B0">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（1）本单一来源采购文件所称中小企业必须符合《政府采购促进中小企业发展管理办法》（财库〔2020〕46号）的规定。</w:t>
      </w:r>
    </w:p>
    <w:p w14:paraId="6DF0F19D">
      <w:pPr>
        <w:tabs>
          <w:tab w:val="left" w:pos="180"/>
          <w:tab w:val="left" w:pos="1620"/>
        </w:tabs>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协商产品的节能产品认证证书复印件，否则响应文件作无效处理。如本项目包含的配套服务属于品目清单内非标注“★”的产品时，应优先采购，具体详见“第四章 评审程序和评定成交的标准”。</w:t>
      </w:r>
    </w:p>
    <w:p w14:paraId="25086466">
      <w:pPr>
        <w:spacing w:line="360" w:lineRule="auto"/>
        <w:ind w:firstLine="472" w:firstLineChars="196"/>
        <w:rPr>
          <w:rFonts w:ascii="仿宋" w:hAnsi="仿宋" w:eastAsia="仿宋" w:cs="仿宋"/>
          <w:b/>
          <w:bCs/>
          <w:color w:val="auto"/>
          <w:sz w:val="24"/>
          <w:highlight w:val="none"/>
        </w:rPr>
      </w:pPr>
      <w:r>
        <w:rPr>
          <w:rFonts w:hint="eastAsia" w:ascii="仿宋" w:hAnsi="仿宋" w:eastAsia="仿宋" w:cs="仿宋"/>
          <w:b/>
          <w:bCs/>
          <w:color w:val="auto"/>
          <w:sz w:val="24"/>
          <w:highlight w:val="none"/>
        </w:rPr>
        <w:t>2.“实质性要求”是指采购需求中带“▲”的条款或者不能负偏离的条款或者已经指明不满足按响应文件作无效处理的条款。</w:t>
      </w:r>
    </w:p>
    <w:p w14:paraId="3CCDCE04">
      <w:pPr>
        <w:pStyle w:val="8"/>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3.供应商必须自行为其协商产品侵犯他人的知识产权或者专利成果的行为承担相应法律责任。</w:t>
      </w:r>
    </w:p>
    <w:p w14:paraId="0DC1D430">
      <w:pPr>
        <w:pStyle w:val="8"/>
        <w:spacing w:line="360" w:lineRule="auto"/>
        <w:ind w:firstLine="422" w:firstLineChars="200"/>
        <w:rPr>
          <w:rFonts w:ascii="仿宋" w:hAnsi="仿宋" w:eastAsia="仿宋" w:cs="仿宋"/>
          <w:b/>
          <w:bCs/>
          <w:color w:val="auto"/>
          <w:sz w:val="24"/>
          <w:highlight w:val="none"/>
        </w:rPr>
      </w:pPr>
      <w:r>
        <w:rPr>
          <w:rFonts w:hint="eastAsia" w:ascii="仿宋" w:hAnsi="仿宋" w:eastAsia="仿宋" w:cs="仿宋"/>
          <w:b/>
          <w:bCs/>
          <w:color w:val="auto"/>
          <w:szCs w:val="21"/>
          <w:highlight w:val="none"/>
        </w:rPr>
        <w:br w:type="page"/>
      </w:r>
    </w:p>
    <w:tbl>
      <w:tblPr>
        <w:tblStyle w:val="19"/>
        <w:tblW w:w="103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2"/>
        <w:gridCol w:w="460"/>
        <w:gridCol w:w="1092"/>
        <w:gridCol w:w="585"/>
        <w:gridCol w:w="540"/>
        <w:gridCol w:w="4111"/>
        <w:gridCol w:w="1525"/>
        <w:gridCol w:w="1310"/>
      </w:tblGrid>
      <w:tr w14:paraId="63BE2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6" w:hRule="atLeast"/>
          <w:jc w:val="center"/>
        </w:trPr>
        <w:tc>
          <w:tcPr>
            <w:tcW w:w="10335" w:type="dxa"/>
            <w:gridSpan w:val="8"/>
            <w:tcBorders>
              <w:top w:val="single" w:color="auto" w:sz="4" w:space="0"/>
              <w:left w:val="single" w:color="auto" w:sz="4" w:space="0"/>
              <w:right w:val="single" w:color="auto" w:sz="4" w:space="0"/>
            </w:tcBorders>
            <w:noWrap/>
            <w:vAlign w:val="center"/>
          </w:tcPr>
          <w:p w14:paraId="25F97C59">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32"/>
                <w:szCs w:val="32"/>
                <w:highlight w:val="none"/>
              </w:rPr>
              <w:t>采购需求一览表</w:t>
            </w:r>
          </w:p>
        </w:tc>
      </w:tr>
      <w:tr w14:paraId="6406D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712" w:type="dxa"/>
            <w:vMerge w:val="restart"/>
            <w:tcBorders>
              <w:top w:val="single" w:color="auto" w:sz="4" w:space="0"/>
              <w:left w:val="single" w:color="auto" w:sz="4" w:space="0"/>
              <w:right w:val="single" w:color="auto" w:sz="4" w:space="0"/>
            </w:tcBorders>
            <w:noWrap/>
            <w:vAlign w:val="center"/>
          </w:tcPr>
          <w:p w14:paraId="2A7095D9">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采购清单及技术参数</w:t>
            </w:r>
          </w:p>
        </w:tc>
        <w:tc>
          <w:tcPr>
            <w:tcW w:w="460"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4A6D2A1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092" w:type="dxa"/>
            <w:tcBorders>
              <w:top w:val="single" w:color="auto" w:sz="4" w:space="0"/>
              <w:left w:val="single" w:color="auto" w:sz="4" w:space="0"/>
              <w:bottom w:val="single" w:color="auto" w:sz="4" w:space="0"/>
              <w:right w:val="single" w:color="auto" w:sz="4" w:space="0"/>
            </w:tcBorders>
            <w:noWrap/>
            <w:vAlign w:val="center"/>
          </w:tcPr>
          <w:p w14:paraId="7C1938F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标的的名称</w:t>
            </w:r>
          </w:p>
        </w:tc>
        <w:tc>
          <w:tcPr>
            <w:tcW w:w="585" w:type="dxa"/>
            <w:tcBorders>
              <w:top w:val="single" w:color="auto" w:sz="4" w:space="0"/>
              <w:left w:val="single" w:color="auto" w:sz="4" w:space="0"/>
              <w:bottom w:val="single" w:color="auto" w:sz="4" w:space="0"/>
              <w:right w:val="single" w:color="auto" w:sz="4" w:space="0"/>
            </w:tcBorders>
            <w:noWrap/>
            <w:vAlign w:val="center"/>
          </w:tcPr>
          <w:p w14:paraId="220FA6A5">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540" w:type="dxa"/>
            <w:tcBorders>
              <w:top w:val="single" w:color="auto" w:sz="4" w:space="0"/>
              <w:left w:val="single" w:color="auto" w:sz="4" w:space="0"/>
              <w:bottom w:val="single" w:color="auto" w:sz="4" w:space="0"/>
              <w:right w:val="single" w:color="auto" w:sz="4" w:space="0"/>
            </w:tcBorders>
            <w:noWrap/>
            <w:vAlign w:val="center"/>
          </w:tcPr>
          <w:p w14:paraId="37D6FCC5">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4111" w:type="dxa"/>
            <w:tcBorders>
              <w:top w:val="single" w:color="auto" w:sz="4" w:space="0"/>
              <w:left w:val="single" w:color="auto" w:sz="4" w:space="0"/>
              <w:bottom w:val="single" w:color="auto" w:sz="4" w:space="0"/>
              <w:right w:val="single" w:color="auto" w:sz="4" w:space="0"/>
            </w:tcBorders>
            <w:noWrap/>
            <w:vAlign w:val="center"/>
          </w:tcPr>
          <w:p w14:paraId="579A66D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技术参数</w:t>
            </w:r>
          </w:p>
        </w:tc>
        <w:tc>
          <w:tcPr>
            <w:tcW w:w="1525" w:type="dxa"/>
            <w:tcBorders>
              <w:top w:val="single" w:color="auto" w:sz="4" w:space="0"/>
              <w:left w:val="single" w:color="auto" w:sz="4" w:space="0"/>
              <w:bottom w:val="single" w:color="auto" w:sz="4" w:space="0"/>
              <w:right w:val="single" w:color="auto" w:sz="4" w:space="0"/>
            </w:tcBorders>
            <w:noWrap/>
            <w:vAlign w:val="center"/>
          </w:tcPr>
          <w:p w14:paraId="5B379BD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预算合计（元）</w:t>
            </w:r>
          </w:p>
        </w:tc>
        <w:tc>
          <w:tcPr>
            <w:tcW w:w="1310" w:type="dxa"/>
            <w:tcBorders>
              <w:top w:val="single" w:color="auto" w:sz="4" w:space="0"/>
              <w:left w:val="single" w:color="auto" w:sz="4" w:space="0"/>
              <w:bottom w:val="single" w:color="auto" w:sz="4" w:space="0"/>
              <w:right w:val="single" w:color="auto" w:sz="4" w:space="0"/>
            </w:tcBorders>
            <w:noWrap/>
            <w:vAlign w:val="center"/>
          </w:tcPr>
          <w:p w14:paraId="09FB797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中小企业划分标准所属行业名称（行业名称及划分见本章附件1）</w:t>
            </w:r>
          </w:p>
        </w:tc>
      </w:tr>
      <w:tr w14:paraId="3776D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12" w:type="dxa"/>
            <w:vMerge w:val="continue"/>
            <w:tcBorders>
              <w:left w:val="single" w:color="auto" w:sz="4" w:space="0"/>
              <w:right w:val="single" w:color="auto" w:sz="4" w:space="0"/>
            </w:tcBorders>
            <w:noWrap/>
          </w:tcPr>
          <w:p w14:paraId="46E11B8E">
            <w:pPr>
              <w:spacing w:line="360" w:lineRule="auto"/>
              <w:jc w:val="center"/>
              <w:rPr>
                <w:rFonts w:ascii="仿宋" w:hAnsi="仿宋" w:eastAsia="仿宋" w:cs="仿宋"/>
                <w:b/>
                <w:bCs/>
                <w:color w:val="auto"/>
                <w:highlight w:val="none"/>
              </w:rPr>
            </w:pPr>
          </w:p>
        </w:tc>
        <w:tc>
          <w:tcPr>
            <w:tcW w:w="460" w:type="dxa"/>
            <w:tcBorders>
              <w:top w:val="single" w:color="auto" w:sz="4" w:space="0"/>
              <w:left w:val="single" w:color="auto" w:sz="4" w:space="0"/>
              <w:bottom w:val="single" w:color="auto" w:sz="4" w:space="0"/>
              <w:right w:val="single" w:color="auto" w:sz="4" w:space="0"/>
            </w:tcBorders>
            <w:noWrap/>
            <w:vAlign w:val="center"/>
          </w:tcPr>
          <w:p w14:paraId="57E174BF">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092" w:type="dxa"/>
            <w:tcBorders>
              <w:top w:val="single" w:color="auto" w:sz="4" w:space="0"/>
              <w:left w:val="single" w:color="auto" w:sz="4" w:space="0"/>
              <w:bottom w:val="single" w:color="auto" w:sz="4" w:space="0"/>
              <w:right w:val="single" w:color="auto" w:sz="4" w:space="0"/>
            </w:tcBorders>
            <w:noWrap/>
            <w:vAlign w:val="center"/>
          </w:tcPr>
          <w:p w14:paraId="3A0360A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壮锦大道国旗灯改造项目</w:t>
            </w:r>
          </w:p>
        </w:tc>
        <w:tc>
          <w:tcPr>
            <w:tcW w:w="585" w:type="dxa"/>
            <w:tcBorders>
              <w:top w:val="single" w:color="auto" w:sz="4" w:space="0"/>
              <w:left w:val="single" w:color="auto" w:sz="4" w:space="0"/>
              <w:bottom w:val="single" w:color="auto" w:sz="4" w:space="0"/>
              <w:right w:val="single" w:color="auto" w:sz="4" w:space="0"/>
            </w:tcBorders>
            <w:noWrap/>
            <w:vAlign w:val="center"/>
          </w:tcPr>
          <w:p w14:paraId="7C4F61B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项</w:t>
            </w:r>
          </w:p>
        </w:tc>
        <w:tc>
          <w:tcPr>
            <w:tcW w:w="540" w:type="dxa"/>
            <w:tcBorders>
              <w:top w:val="single" w:color="auto" w:sz="4" w:space="0"/>
              <w:left w:val="single" w:color="auto" w:sz="4" w:space="0"/>
              <w:bottom w:val="single" w:color="auto" w:sz="4" w:space="0"/>
              <w:right w:val="single" w:color="auto" w:sz="4" w:space="0"/>
            </w:tcBorders>
            <w:noWrap/>
            <w:vAlign w:val="center"/>
          </w:tcPr>
          <w:p w14:paraId="7427821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111" w:type="dxa"/>
            <w:tcBorders>
              <w:top w:val="single" w:color="auto" w:sz="4" w:space="0"/>
              <w:left w:val="single" w:color="auto" w:sz="4" w:space="0"/>
              <w:bottom w:val="single" w:color="auto" w:sz="4" w:space="0"/>
              <w:right w:val="single" w:color="auto" w:sz="4" w:space="0"/>
            </w:tcBorders>
            <w:noWrap/>
          </w:tcPr>
          <w:p w14:paraId="53BC081F">
            <w:pPr>
              <w:wordWrap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1.采购内容：主要建设内容为壮锦大道11座国旗灯造型装饰框架翻新喷漆，以及对老旧国旗图案透光板、水晶装饰柱、灯箱光源灯部件进行更换，新增东帝汶国旗灯1座。</w:t>
            </w:r>
            <w:r>
              <w:rPr>
                <w:rFonts w:hint="eastAsia" w:ascii="仿宋" w:hAnsi="仿宋" w:eastAsia="仿宋" w:cs="仿宋"/>
                <w:b/>
                <w:color w:val="auto"/>
                <w:sz w:val="24"/>
                <w:highlight w:val="none"/>
              </w:rPr>
              <w:t>具体详见工程量清单及施工图纸。</w:t>
            </w:r>
          </w:p>
          <w:p w14:paraId="52B9E774">
            <w:pPr>
              <w:wordWrap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2.发包方式：</w:t>
            </w:r>
            <w:r>
              <w:rPr>
                <w:rFonts w:hint="eastAsia" w:ascii="仿宋" w:hAnsi="仿宋" w:eastAsia="仿宋" w:cs="仿宋"/>
                <w:b/>
                <w:color w:val="auto"/>
                <w:sz w:val="24"/>
                <w:highlight w:val="none"/>
              </w:rPr>
              <w:t>固定综合单价方式。</w:t>
            </w:r>
          </w:p>
          <w:p w14:paraId="335AB27F">
            <w:pPr>
              <w:wordWrap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3.技术标准和要求：符合国家现行的工程建设标准、技术规范及强制性标准条文，以及施工图纸和工程量清单载明的其他有关规范标准。</w:t>
            </w:r>
          </w:p>
          <w:p w14:paraId="1AECACBA">
            <w:pPr>
              <w:wordWrap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4.工程质量要求：达到国家有关施工质量验收规范的合格标准。</w:t>
            </w:r>
          </w:p>
          <w:p w14:paraId="0515D3F5">
            <w:pPr>
              <w:wordWrap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5.计划开工时间：2026年7月</w:t>
            </w:r>
          </w:p>
          <w:p w14:paraId="6EEABDD2">
            <w:pPr>
              <w:wordWrap w:val="0"/>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6.拟投入艺术创作技术负责人须具有工艺美术系列高级或以上职称。</w:t>
            </w:r>
          </w:p>
          <w:p w14:paraId="6D5699A5">
            <w:pPr>
              <w:wordWrap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7.工程建设地点的现场条件：</w:t>
            </w:r>
          </w:p>
          <w:p w14:paraId="450131B4">
            <w:pPr>
              <w:wordWrap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（1）现场自然条件：满足施工要求。</w:t>
            </w:r>
          </w:p>
          <w:p w14:paraId="7F818725">
            <w:pPr>
              <w:wordWrap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（2）现场施工条件：符合施工要求。</w:t>
            </w:r>
          </w:p>
        </w:tc>
        <w:tc>
          <w:tcPr>
            <w:tcW w:w="1525" w:type="dxa"/>
            <w:tcBorders>
              <w:top w:val="single" w:color="auto" w:sz="4" w:space="0"/>
              <w:left w:val="single" w:color="auto" w:sz="4" w:space="0"/>
              <w:bottom w:val="single" w:color="auto" w:sz="4" w:space="0"/>
              <w:right w:val="single" w:color="auto" w:sz="4" w:space="0"/>
            </w:tcBorders>
            <w:noWrap/>
            <w:vAlign w:val="center"/>
          </w:tcPr>
          <w:p w14:paraId="3C9F80E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2663376.56</w:t>
            </w:r>
          </w:p>
        </w:tc>
        <w:tc>
          <w:tcPr>
            <w:tcW w:w="1310" w:type="dxa"/>
            <w:tcBorders>
              <w:top w:val="single" w:color="auto" w:sz="4" w:space="0"/>
              <w:left w:val="single" w:color="auto" w:sz="4" w:space="0"/>
              <w:bottom w:val="single" w:color="auto" w:sz="4" w:space="0"/>
              <w:right w:val="single" w:color="auto" w:sz="4" w:space="0"/>
            </w:tcBorders>
            <w:noWrap/>
            <w:vAlign w:val="center"/>
          </w:tcPr>
          <w:p w14:paraId="1081D741">
            <w:pPr>
              <w:spacing w:line="360" w:lineRule="auto"/>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建筑业</w:t>
            </w:r>
          </w:p>
        </w:tc>
      </w:tr>
      <w:tr w14:paraId="0FCF4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712" w:type="dxa"/>
            <w:tcBorders>
              <w:top w:val="single" w:color="auto" w:sz="4" w:space="0"/>
              <w:left w:val="single" w:color="auto" w:sz="4" w:space="0"/>
              <w:bottom w:val="single" w:color="auto" w:sz="4" w:space="0"/>
              <w:right w:val="single" w:color="auto" w:sz="4" w:space="0"/>
            </w:tcBorders>
            <w:noWrap/>
            <w:vAlign w:val="center"/>
          </w:tcPr>
          <w:p w14:paraId="132D29B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商务条款</w:t>
            </w:r>
          </w:p>
        </w:tc>
        <w:tc>
          <w:tcPr>
            <w:tcW w:w="9623" w:type="dxa"/>
            <w:gridSpan w:val="7"/>
            <w:tcBorders>
              <w:top w:val="single" w:color="auto" w:sz="4" w:space="0"/>
              <w:left w:val="single" w:color="auto" w:sz="4" w:space="0"/>
              <w:bottom w:val="single" w:color="auto" w:sz="4" w:space="0"/>
              <w:right w:val="single" w:color="auto" w:sz="4" w:space="0"/>
            </w:tcBorders>
            <w:noWrap/>
            <w:vAlign w:val="center"/>
          </w:tcPr>
          <w:p w14:paraId="67CECD2A">
            <w:pPr>
              <w:wordWrap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1、合同签订期：自成交通知书发出之日起5日内。</w:t>
            </w:r>
          </w:p>
          <w:p w14:paraId="2FA41A26">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2、工期：</w:t>
            </w:r>
            <w:r>
              <w:rPr>
                <w:rFonts w:hint="eastAsia" w:ascii="仿宋" w:hAnsi="仿宋" w:eastAsia="仿宋" w:cs="仿宋"/>
                <w:b/>
                <w:color w:val="auto"/>
                <w:sz w:val="24"/>
                <w:highlight w:val="none"/>
                <w:shd w:val="clear" w:color="auto" w:fill="FFFFFF"/>
              </w:rPr>
              <w:t>2026年8月30日前交付使用。</w:t>
            </w:r>
          </w:p>
          <w:p w14:paraId="3145DA55">
            <w:pPr>
              <w:spacing w:line="360" w:lineRule="auto"/>
              <w:jc w:val="left"/>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3、建设地点：南宁市江南区壮锦大道</w:t>
            </w:r>
          </w:p>
          <w:p w14:paraId="67B43380">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4、售后服务承诺：</w:t>
            </w:r>
          </w:p>
          <w:p w14:paraId="24E19CE0">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（1）使用年限应符合国家建设相关要求。</w:t>
            </w:r>
          </w:p>
          <w:p w14:paraId="6E71A136">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（2）响应时间：接到采购人处理问题通知后1小时内到达采购人指定现场，4小时内提出解决方案。在工程质量保修期期限内发生质量问题，必须在收到质保通知后的3个日历天内整改完毕。</w:t>
            </w:r>
          </w:p>
          <w:p w14:paraId="6C12F8FA">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（3）售后服务技术人员要求：专职人员。</w:t>
            </w:r>
          </w:p>
          <w:p w14:paraId="1DAE9719">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4）质量保证期：工程质量保证期为自竣工验收合格之日起1年。电气设备、电气管线质量保证期为自竣工验收合格之日起2年。工程中使用的材料设备及其配品配件按国家有关产品规定执行“三包”政策，在质量保证期内免费维修或更换。</w:t>
            </w:r>
          </w:p>
          <w:p w14:paraId="01C2133D">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5、付款方式及条件：</w:t>
            </w:r>
          </w:p>
          <w:p w14:paraId="640C2F6D">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①工程进度款支付：成交供应商提交经监理签证的完整的工程进度款支付资料，经项目建设监理/采购人审核后，合同内工程进度款按已完成工程量申请额的80%支付。合同外工程进度款按已完成工程量申请额的50%支付。工程竣工验收合格后支付至合同价的80%。结算经有关部门审定后一次性支付剩余工程款。成交供应商在申请付款时，须同时向采购人提供与申请付款金额等额的合法增值税普通发票。</w:t>
            </w:r>
          </w:p>
          <w:p w14:paraId="1A9847F8">
            <w:pPr>
              <w:spacing w:line="360" w:lineRule="auto"/>
              <w:textAlignment w:val="baseline"/>
              <w:rPr>
                <w:rFonts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②工程结算：以固定综合单价方式结算，结算工程量以现场签证准。最终结算价以南宁市财政投资评审中心或第三方审定的为准。</w:t>
            </w:r>
          </w:p>
          <w:p w14:paraId="35C424D9">
            <w:pPr>
              <w:spacing w:line="360" w:lineRule="auto"/>
              <w:textAlignment w:val="baseline"/>
              <w:rPr>
                <w:rFonts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6、报价方式：协商报价采用下浮系数报价（报价范围：0≤下浮系数&lt;100%），供应商应认真阅读经采购人审定的最高限价（招标控制价），参与协商即表示认可最高限价（招标控制价）及单价，成交后依据合同的固定综合单价【固定综合单价=采购预算价（招标控制价）公布的相应的清单项目的单价×（1-下浮系数）】进行结算，供应商不得对采购人的采购预算价（招标控制价）中的综合单价进行修改，合同总价为暂定合同价【暂定合同价=采购预算价（招标控制价）公布的总金额×（1-下浮系数）】。</w:t>
            </w:r>
          </w:p>
          <w:p w14:paraId="129B043C">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7、项目相关说明：</w:t>
            </w:r>
          </w:p>
          <w:p w14:paraId="21468DEC">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（1）工程中使用的材料设备，要求全部选购质量符合国家规定的产品，严禁提供和使用不合格的材料或假冒伪劣产品。</w:t>
            </w:r>
          </w:p>
          <w:p w14:paraId="68207416">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（2）供应商必须按采购人要求的工期完成，工程质量必须达到国家现行标准，否则采购人有权向住建、财政等部门建议给予成交供应商记入不良行为记录。</w:t>
            </w:r>
          </w:p>
          <w:p w14:paraId="2BA00FF3">
            <w:pPr>
              <w:pStyle w:val="1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(3)供应商必须优化和完善项目设计施工图。</w:t>
            </w:r>
          </w:p>
          <w:p w14:paraId="24516827">
            <w:pPr>
              <w:spacing w:line="360" w:lineRule="auto"/>
              <w:ind w:left="6"/>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8、验收条件及标准：施工质量达到合格标准。</w:t>
            </w:r>
          </w:p>
          <w:p w14:paraId="18934F14">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9、其他要求</w:t>
            </w:r>
          </w:p>
          <w:p w14:paraId="1748C30D">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（1）本项目</w:t>
            </w:r>
            <w:r>
              <w:rPr>
                <w:rFonts w:hint="eastAsia" w:ascii="仿宋" w:hAnsi="仿宋" w:eastAsia="仿宋" w:cs="仿宋"/>
                <w:b/>
                <w:bCs/>
                <w:color w:val="auto"/>
                <w:sz w:val="24"/>
                <w:highlight w:val="none"/>
                <w:shd w:val="clear" w:color="auto" w:fill="FFFFFF"/>
              </w:rPr>
              <w:t>采用下浮系数</w:t>
            </w:r>
            <w:r>
              <w:rPr>
                <w:rFonts w:hint="eastAsia" w:ascii="仿宋" w:hAnsi="仿宋" w:eastAsia="仿宋" w:cs="仿宋"/>
                <w:color w:val="auto"/>
                <w:sz w:val="24"/>
                <w:highlight w:val="none"/>
              </w:rPr>
              <w:t>报价方式。报价必须包含以下部分，包括：</w:t>
            </w:r>
          </w:p>
          <w:p w14:paraId="1CB214C2">
            <w:pPr>
              <w:spacing w:line="360" w:lineRule="auto"/>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①满足本项目全部采购需求，包含投标服务、货物、工程的成本、运输（含保险）、安装（如有）、调试、材料设备检验检测、工程检测/验收、技术服务、培训等所有费用。</w:t>
            </w:r>
          </w:p>
          <w:p w14:paraId="1C260B7E">
            <w:pPr>
              <w:wordWrap w:val="0"/>
              <w:adjustRightInd w:val="0"/>
              <w:spacing w:line="360" w:lineRule="auto"/>
              <w:ind w:left="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②必要的保险费和各项税金（成交供应商需为该工程购买工程一切险）。</w:t>
            </w:r>
          </w:p>
          <w:p w14:paraId="647F7477">
            <w:pPr>
              <w:wordWrap w:val="0"/>
              <w:adjustRightInd w:val="0"/>
              <w:spacing w:line="360" w:lineRule="auto"/>
              <w:ind w:left="6"/>
              <w:jc w:val="left"/>
              <w:rPr>
                <w:rFonts w:ascii="仿宋" w:hAnsi="仿宋" w:eastAsia="仿宋" w:cs="仿宋"/>
                <w:color w:val="auto"/>
                <w:sz w:val="24"/>
                <w:highlight w:val="none"/>
              </w:rPr>
            </w:pPr>
            <w:r>
              <w:rPr>
                <w:rFonts w:hint="eastAsia" w:ascii="仿宋" w:hAnsi="仿宋" w:eastAsia="仿宋" w:cs="仿宋"/>
                <w:color w:val="auto"/>
                <w:sz w:val="24"/>
                <w:highlight w:val="none"/>
              </w:rPr>
              <w:t>③由于项目施工现场条件受限，电源接电点只能从现状接电点接入，为确保线路末端灯具不受线路压降影响，单一来源供应商采取的防线路压过大或升压/稳压措施的所有费用含在报价中。</w:t>
            </w:r>
          </w:p>
          <w:p w14:paraId="5E0CD360">
            <w:pPr>
              <w:spacing w:line="360" w:lineRule="auto"/>
              <w:rPr>
                <w:rFonts w:ascii="仿宋" w:hAnsi="仿宋" w:eastAsia="仿宋" w:cs="仿宋"/>
                <w:color w:val="auto"/>
                <w:sz w:val="24"/>
                <w:highlight w:val="none"/>
              </w:rPr>
            </w:pPr>
            <w:r>
              <w:rPr>
                <w:rFonts w:hint="eastAsia" w:ascii="仿宋" w:hAnsi="仿宋" w:eastAsia="仿宋" w:cs="仿宋"/>
                <w:b/>
                <w:color w:val="auto"/>
                <w:sz w:val="24"/>
                <w:highlight w:val="none"/>
              </w:rPr>
              <w:t>④单一来源供应商必须承诺：在成交前，已充分了本次采购项目的具体工作内容和要求，包含但不限于采购人提供的工程量清单和施工图。在实施过程中如有遗漏内容（子项目或工序等），均被视为已包含在报价中，采购人不再支付其它任何费用。成交供应商亦应听从监理或采购人指令完成遗漏的内容（子项目或工序等），直至项目能够竣工投入使用。</w:t>
            </w:r>
          </w:p>
        </w:tc>
      </w:tr>
    </w:tbl>
    <w:p w14:paraId="102EE852">
      <w:pPr>
        <w:rPr>
          <w:color w:val="auto"/>
          <w:highlight w:val="none"/>
        </w:rPr>
      </w:pPr>
      <w:r>
        <w:rPr>
          <w:rFonts w:hint="eastAsia"/>
          <w:color w:val="auto"/>
          <w:highlight w:val="none"/>
        </w:rPr>
        <w:br w:type="page"/>
      </w:r>
      <w:bookmarkStart w:id="33" w:name="_Toc4565"/>
      <w:bookmarkStart w:id="34" w:name="_Toc30191"/>
    </w:p>
    <w:p w14:paraId="26CC9D9D">
      <w:pPr>
        <w:pStyle w:val="14"/>
        <w:spacing w:line="360" w:lineRule="auto"/>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p>
    <w:p w14:paraId="3240D833">
      <w:pPr>
        <w:spacing w:line="360" w:lineRule="auto"/>
        <w:jc w:val="center"/>
        <w:rPr>
          <w:rFonts w:ascii="仿宋" w:hAnsi="仿宋" w:eastAsia="仿宋" w:cs="仿宋"/>
          <w:color w:val="auto"/>
          <w:sz w:val="40"/>
          <w:szCs w:val="40"/>
          <w:highlight w:val="none"/>
        </w:rPr>
      </w:pPr>
      <w:r>
        <w:rPr>
          <w:rFonts w:hint="eastAsia" w:ascii="仿宋" w:hAnsi="仿宋" w:eastAsia="仿宋" w:cs="仿宋"/>
          <w:color w:val="auto"/>
          <w:sz w:val="40"/>
          <w:szCs w:val="40"/>
          <w:highlight w:val="none"/>
        </w:rPr>
        <w:t>中小微企业划型标准</w:t>
      </w:r>
    </w:p>
    <w:tbl>
      <w:tblPr>
        <w:tblStyle w:val="19"/>
        <w:tblW w:w="4997" w:type="pct"/>
        <w:tblInd w:w="0" w:type="dxa"/>
        <w:tblLayout w:type="autofit"/>
        <w:tblCellMar>
          <w:top w:w="0" w:type="dxa"/>
          <w:left w:w="108" w:type="dxa"/>
          <w:bottom w:w="0" w:type="dxa"/>
          <w:right w:w="108" w:type="dxa"/>
        </w:tblCellMar>
      </w:tblPr>
      <w:tblGrid>
        <w:gridCol w:w="2024"/>
        <w:gridCol w:w="1440"/>
        <w:gridCol w:w="1180"/>
        <w:gridCol w:w="1566"/>
        <w:gridCol w:w="1712"/>
        <w:gridCol w:w="1019"/>
      </w:tblGrid>
      <w:tr w14:paraId="1BDB0181">
        <w:tblPrEx>
          <w:tblCellMar>
            <w:top w:w="0" w:type="dxa"/>
            <w:left w:w="108" w:type="dxa"/>
            <w:bottom w:w="0" w:type="dxa"/>
            <w:right w:w="108" w:type="dxa"/>
          </w:tblCellMar>
        </w:tblPrEx>
        <w:trPr>
          <w:trHeight w:val="214" w:hRule="atLeast"/>
        </w:trPr>
        <w:tc>
          <w:tcPr>
            <w:tcW w:w="922" w:type="pct"/>
            <w:tcBorders>
              <w:top w:val="single" w:color="auto" w:sz="4" w:space="0"/>
              <w:left w:val="single" w:color="auto" w:sz="4" w:space="0"/>
              <w:bottom w:val="single" w:color="auto" w:sz="4" w:space="0"/>
              <w:right w:val="single" w:color="auto" w:sz="4" w:space="0"/>
            </w:tcBorders>
            <w:noWrap/>
            <w:vAlign w:val="center"/>
          </w:tcPr>
          <w:p w14:paraId="0989564F">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847" w:type="pct"/>
            <w:tcBorders>
              <w:top w:val="single" w:color="auto" w:sz="4" w:space="0"/>
              <w:left w:val="nil"/>
              <w:bottom w:val="single" w:color="auto" w:sz="4" w:space="0"/>
              <w:right w:val="single" w:color="auto" w:sz="4" w:space="0"/>
            </w:tcBorders>
            <w:noWrap/>
            <w:vAlign w:val="center"/>
          </w:tcPr>
          <w:p w14:paraId="1948B36A">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673" w:type="pct"/>
            <w:tcBorders>
              <w:top w:val="single" w:color="auto" w:sz="4" w:space="0"/>
              <w:left w:val="nil"/>
              <w:bottom w:val="single" w:color="auto" w:sz="4" w:space="0"/>
              <w:right w:val="single" w:color="auto" w:sz="4" w:space="0"/>
            </w:tcBorders>
            <w:noWrap/>
            <w:vAlign w:val="center"/>
          </w:tcPr>
          <w:p w14:paraId="7F8AE06F">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928" w:type="pct"/>
            <w:tcBorders>
              <w:top w:val="single" w:color="auto" w:sz="4" w:space="0"/>
              <w:left w:val="nil"/>
              <w:bottom w:val="single" w:color="auto" w:sz="4" w:space="0"/>
              <w:right w:val="single" w:color="auto" w:sz="4" w:space="0"/>
            </w:tcBorders>
            <w:noWrap/>
            <w:vAlign w:val="center"/>
          </w:tcPr>
          <w:p w14:paraId="5607072C">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016" w:type="pct"/>
            <w:tcBorders>
              <w:top w:val="single" w:color="auto" w:sz="4" w:space="0"/>
              <w:left w:val="nil"/>
              <w:bottom w:val="single" w:color="auto" w:sz="4" w:space="0"/>
              <w:right w:val="single" w:color="auto" w:sz="4" w:space="0"/>
            </w:tcBorders>
            <w:noWrap/>
            <w:vAlign w:val="center"/>
          </w:tcPr>
          <w:p w14:paraId="57147929">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611" w:type="pct"/>
            <w:tcBorders>
              <w:top w:val="single" w:color="auto" w:sz="4" w:space="0"/>
              <w:left w:val="nil"/>
              <w:bottom w:val="single" w:color="auto" w:sz="4" w:space="0"/>
              <w:right w:val="single" w:color="auto" w:sz="4" w:space="0"/>
            </w:tcBorders>
            <w:noWrap/>
            <w:vAlign w:val="center"/>
          </w:tcPr>
          <w:p w14:paraId="5F8B3E1F">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49720B67">
        <w:tblPrEx>
          <w:tblCellMar>
            <w:top w:w="0" w:type="dxa"/>
            <w:left w:w="108" w:type="dxa"/>
            <w:bottom w:w="0" w:type="dxa"/>
            <w:right w:w="108" w:type="dxa"/>
          </w:tblCellMar>
        </w:tblPrEx>
        <w:trPr>
          <w:trHeight w:val="108" w:hRule="atLeast"/>
        </w:trPr>
        <w:tc>
          <w:tcPr>
            <w:tcW w:w="922" w:type="pct"/>
            <w:tcBorders>
              <w:top w:val="nil"/>
              <w:left w:val="single" w:color="auto" w:sz="4" w:space="0"/>
              <w:bottom w:val="single" w:color="auto" w:sz="4" w:space="0"/>
              <w:right w:val="single" w:color="auto" w:sz="4" w:space="0"/>
            </w:tcBorders>
            <w:noWrap/>
            <w:vAlign w:val="center"/>
          </w:tcPr>
          <w:p w14:paraId="74A626DC">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847" w:type="pct"/>
            <w:tcBorders>
              <w:top w:val="nil"/>
              <w:left w:val="nil"/>
              <w:bottom w:val="single" w:color="auto" w:sz="4" w:space="0"/>
              <w:right w:val="single" w:color="auto" w:sz="4" w:space="0"/>
            </w:tcBorders>
            <w:noWrap/>
            <w:vAlign w:val="center"/>
          </w:tcPr>
          <w:p w14:paraId="3C9D8B9B">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68F0F7D1">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736BB51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016" w:type="pct"/>
            <w:tcBorders>
              <w:top w:val="nil"/>
              <w:left w:val="nil"/>
              <w:bottom w:val="single" w:color="auto" w:sz="4" w:space="0"/>
              <w:right w:val="single" w:color="auto" w:sz="4" w:space="0"/>
            </w:tcBorders>
            <w:noWrap/>
            <w:vAlign w:val="center"/>
          </w:tcPr>
          <w:p w14:paraId="3D3D45AC">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611" w:type="pct"/>
            <w:tcBorders>
              <w:top w:val="nil"/>
              <w:left w:val="nil"/>
              <w:bottom w:val="single" w:color="auto" w:sz="4" w:space="0"/>
              <w:right w:val="single" w:color="auto" w:sz="4" w:space="0"/>
            </w:tcBorders>
            <w:noWrap/>
            <w:vAlign w:val="center"/>
          </w:tcPr>
          <w:p w14:paraId="5DD8B3A3">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2CB9F1E1">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1CCA1A62">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847" w:type="pct"/>
            <w:tcBorders>
              <w:top w:val="nil"/>
              <w:left w:val="nil"/>
              <w:bottom w:val="single" w:color="auto" w:sz="4" w:space="0"/>
              <w:right w:val="single" w:color="auto" w:sz="4" w:space="0"/>
            </w:tcBorders>
            <w:noWrap/>
            <w:vAlign w:val="center"/>
          </w:tcPr>
          <w:p w14:paraId="7373BC3B">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4FDAC232">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293DFAF1">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016" w:type="pct"/>
            <w:tcBorders>
              <w:top w:val="nil"/>
              <w:left w:val="nil"/>
              <w:bottom w:val="single" w:color="auto" w:sz="4" w:space="0"/>
              <w:right w:val="single" w:color="auto" w:sz="4" w:space="0"/>
            </w:tcBorders>
            <w:noWrap/>
            <w:vAlign w:val="center"/>
          </w:tcPr>
          <w:p w14:paraId="5652BD9D">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611" w:type="pct"/>
            <w:tcBorders>
              <w:top w:val="nil"/>
              <w:left w:val="nil"/>
              <w:bottom w:val="single" w:color="auto" w:sz="4" w:space="0"/>
              <w:right w:val="single" w:color="auto" w:sz="4" w:space="0"/>
            </w:tcBorders>
            <w:noWrap/>
            <w:vAlign w:val="center"/>
          </w:tcPr>
          <w:p w14:paraId="51E23E9C">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E997746">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5045740E">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58F590C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33C26C8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30C1295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016" w:type="pct"/>
            <w:tcBorders>
              <w:top w:val="nil"/>
              <w:left w:val="nil"/>
              <w:bottom w:val="single" w:color="auto" w:sz="4" w:space="0"/>
              <w:right w:val="single" w:color="auto" w:sz="4" w:space="0"/>
            </w:tcBorders>
            <w:noWrap/>
            <w:vAlign w:val="center"/>
          </w:tcPr>
          <w:p w14:paraId="0D50853F">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611" w:type="pct"/>
            <w:tcBorders>
              <w:top w:val="nil"/>
              <w:left w:val="nil"/>
              <w:bottom w:val="single" w:color="auto" w:sz="4" w:space="0"/>
              <w:right w:val="single" w:color="auto" w:sz="4" w:space="0"/>
            </w:tcBorders>
            <w:noWrap/>
            <w:vAlign w:val="center"/>
          </w:tcPr>
          <w:p w14:paraId="3C39120B">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51707FAC">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7B705364">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847" w:type="pct"/>
            <w:tcBorders>
              <w:top w:val="nil"/>
              <w:left w:val="nil"/>
              <w:bottom w:val="single" w:color="auto" w:sz="4" w:space="0"/>
              <w:right w:val="single" w:color="auto" w:sz="4" w:space="0"/>
            </w:tcBorders>
            <w:noWrap/>
            <w:vAlign w:val="center"/>
          </w:tcPr>
          <w:p w14:paraId="23841BD5">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6ADB1135">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75187FD8">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016" w:type="pct"/>
            <w:tcBorders>
              <w:top w:val="nil"/>
              <w:left w:val="nil"/>
              <w:bottom w:val="single" w:color="auto" w:sz="4" w:space="0"/>
              <w:right w:val="single" w:color="auto" w:sz="4" w:space="0"/>
            </w:tcBorders>
            <w:noWrap/>
            <w:vAlign w:val="center"/>
          </w:tcPr>
          <w:p w14:paraId="6680780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611" w:type="pct"/>
            <w:tcBorders>
              <w:top w:val="nil"/>
              <w:left w:val="nil"/>
              <w:bottom w:val="single" w:color="auto" w:sz="4" w:space="0"/>
              <w:right w:val="single" w:color="auto" w:sz="4" w:space="0"/>
            </w:tcBorders>
            <w:noWrap/>
            <w:vAlign w:val="center"/>
          </w:tcPr>
          <w:p w14:paraId="365411D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151E9E93">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14DBF5C7">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048390C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673" w:type="pct"/>
            <w:tcBorders>
              <w:top w:val="nil"/>
              <w:left w:val="nil"/>
              <w:bottom w:val="single" w:color="auto" w:sz="4" w:space="0"/>
              <w:right w:val="single" w:color="auto" w:sz="4" w:space="0"/>
            </w:tcBorders>
            <w:noWrap/>
            <w:vAlign w:val="center"/>
          </w:tcPr>
          <w:p w14:paraId="45E74401">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1E48B913">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016" w:type="pct"/>
            <w:tcBorders>
              <w:top w:val="nil"/>
              <w:left w:val="nil"/>
              <w:bottom w:val="single" w:color="auto" w:sz="4" w:space="0"/>
              <w:right w:val="single" w:color="auto" w:sz="4" w:space="0"/>
            </w:tcBorders>
            <w:noWrap/>
            <w:vAlign w:val="center"/>
          </w:tcPr>
          <w:p w14:paraId="661441CC">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611" w:type="pct"/>
            <w:tcBorders>
              <w:top w:val="nil"/>
              <w:left w:val="nil"/>
              <w:bottom w:val="single" w:color="auto" w:sz="4" w:space="0"/>
              <w:right w:val="single" w:color="auto" w:sz="4" w:space="0"/>
            </w:tcBorders>
            <w:noWrap/>
            <w:vAlign w:val="center"/>
          </w:tcPr>
          <w:p w14:paraId="414179A2">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67A46AE5">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273B548B">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847" w:type="pct"/>
            <w:tcBorders>
              <w:top w:val="nil"/>
              <w:left w:val="nil"/>
              <w:bottom w:val="single" w:color="auto" w:sz="4" w:space="0"/>
              <w:right w:val="single" w:color="auto" w:sz="4" w:space="0"/>
            </w:tcBorders>
            <w:noWrap/>
            <w:vAlign w:val="center"/>
          </w:tcPr>
          <w:p w14:paraId="6B74D07B">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4D190DF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4DA71565">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016" w:type="pct"/>
            <w:tcBorders>
              <w:top w:val="nil"/>
              <w:left w:val="nil"/>
              <w:bottom w:val="single" w:color="auto" w:sz="4" w:space="0"/>
              <w:right w:val="single" w:color="auto" w:sz="4" w:space="0"/>
            </w:tcBorders>
            <w:noWrap/>
            <w:vAlign w:val="center"/>
          </w:tcPr>
          <w:p w14:paraId="39BDB4F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611" w:type="pct"/>
            <w:tcBorders>
              <w:top w:val="nil"/>
              <w:left w:val="nil"/>
              <w:bottom w:val="single" w:color="auto" w:sz="4" w:space="0"/>
              <w:right w:val="single" w:color="auto" w:sz="4" w:space="0"/>
            </w:tcBorders>
            <w:noWrap/>
            <w:vAlign w:val="center"/>
          </w:tcPr>
          <w:p w14:paraId="5719369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1BE7F3F3">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1B555278">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08C4A97C">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747C910E">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75AF968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016" w:type="pct"/>
            <w:tcBorders>
              <w:top w:val="nil"/>
              <w:left w:val="nil"/>
              <w:bottom w:val="single" w:color="auto" w:sz="4" w:space="0"/>
              <w:right w:val="single" w:color="auto" w:sz="4" w:space="0"/>
            </w:tcBorders>
            <w:noWrap/>
            <w:vAlign w:val="center"/>
          </w:tcPr>
          <w:p w14:paraId="21B04559">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611" w:type="pct"/>
            <w:tcBorders>
              <w:top w:val="nil"/>
              <w:left w:val="nil"/>
              <w:bottom w:val="single" w:color="auto" w:sz="4" w:space="0"/>
              <w:right w:val="single" w:color="auto" w:sz="4" w:space="0"/>
            </w:tcBorders>
            <w:noWrap/>
            <w:vAlign w:val="center"/>
          </w:tcPr>
          <w:p w14:paraId="2F7D142D">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7BE2D80C">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191FB46E">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847" w:type="pct"/>
            <w:tcBorders>
              <w:top w:val="nil"/>
              <w:left w:val="nil"/>
              <w:bottom w:val="single" w:color="auto" w:sz="4" w:space="0"/>
              <w:right w:val="single" w:color="auto" w:sz="4" w:space="0"/>
            </w:tcBorders>
            <w:noWrap/>
            <w:vAlign w:val="center"/>
          </w:tcPr>
          <w:p w14:paraId="1D5ADF3B">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7DEDE79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5A7B8EA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016" w:type="pct"/>
            <w:tcBorders>
              <w:top w:val="nil"/>
              <w:left w:val="nil"/>
              <w:bottom w:val="single" w:color="auto" w:sz="4" w:space="0"/>
              <w:right w:val="single" w:color="auto" w:sz="4" w:space="0"/>
            </w:tcBorders>
            <w:noWrap/>
            <w:vAlign w:val="center"/>
          </w:tcPr>
          <w:p w14:paraId="62F07F13">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611" w:type="pct"/>
            <w:tcBorders>
              <w:top w:val="nil"/>
              <w:left w:val="nil"/>
              <w:bottom w:val="single" w:color="auto" w:sz="4" w:space="0"/>
              <w:right w:val="single" w:color="auto" w:sz="4" w:space="0"/>
            </w:tcBorders>
            <w:noWrap/>
            <w:vAlign w:val="center"/>
          </w:tcPr>
          <w:p w14:paraId="4B4C9F69">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BD27D09">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334CEF34">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2CBA55E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5E91115F">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693AACCC">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016" w:type="pct"/>
            <w:tcBorders>
              <w:top w:val="nil"/>
              <w:left w:val="nil"/>
              <w:bottom w:val="single" w:color="auto" w:sz="4" w:space="0"/>
              <w:right w:val="single" w:color="auto" w:sz="4" w:space="0"/>
            </w:tcBorders>
            <w:noWrap/>
            <w:vAlign w:val="center"/>
          </w:tcPr>
          <w:p w14:paraId="1893B978">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611" w:type="pct"/>
            <w:tcBorders>
              <w:top w:val="nil"/>
              <w:left w:val="nil"/>
              <w:bottom w:val="single" w:color="auto" w:sz="4" w:space="0"/>
              <w:right w:val="single" w:color="auto" w:sz="4" w:space="0"/>
            </w:tcBorders>
            <w:noWrap/>
            <w:vAlign w:val="center"/>
          </w:tcPr>
          <w:p w14:paraId="3E5741C3">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5834E4D">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1AE1086A">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847" w:type="pct"/>
            <w:tcBorders>
              <w:top w:val="nil"/>
              <w:left w:val="nil"/>
              <w:bottom w:val="single" w:color="auto" w:sz="4" w:space="0"/>
              <w:right w:val="single" w:color="auto" w:sz="4" w:space="0"/>
            </w:tcBorders>
            <w:noWrap/>
            <w:vAlign w:val="center"/>
          </w:tcPr>
          <w:p w14:paraId="0653925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3C89B1DF">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0B990562">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016" w:type="pct"/>
            <w:tcBorders>
              <w:top w:val="nil"/>
              <w:left w:val="nil"/>
              <w:bottom w:val="single" w:color="auto" w:sz="4" w:space="0"/>
              <w:right w:val="single" w:color="auto" w:sz="4" w:space="0"/>
            </w:tcBorders>
            <w:noWrap/>
            <w:vAlign w:val="center"/>
          </w:tcPr>
          <w:p w14:paraId="436193D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611" w:type="pct"/>
            <w:tcBorders>
              <w:top w:val="nil"/>
              <w:left w:val="nil"/>
              <w:bottom w:val="single" w:color="auto" w:sz="4" w:space="0"/>
              <w:right w:val="single" w:color="auto" w:sz="4" w:space="0"/>
            </w:tcBorders>
            <w:noWrap/>
            <w:vAlign w:val="center"/>
          </w:tcPr>
          <w:p w14:paraId="2B0BA83D">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320DF96">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0E8DC225">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577D6BEA">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26DBDA3E">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1DAC7ADC">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016" w:type="pct"/>
            <w:tcBorders>
              <w:top w:val="nil"/>
              <w:left w:val="nil"/>
              <w:bottom w:val="single" w:color="auto" w:sz="4" w:space="0"/>
              <w:right w:val="single" w:color="auto" w:sz="4" w:space="0"/>
            </w:tcBorders>
            <w:noWrap/>
            <w:vAlign w:val="center"/>
          </w:tcPr>
          <w:p w14:paraId="3791E06C">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611" w:type="pct"/>
            <w:tcBorders>
              <w:top w:val="nil"/>
              <w:left w:val="nil"/>
              <w:bottom w:val="single" w:color="auto" w:sz="4" w:space="0"/>
              <w:right w:val="single" w:color="auto" w:sz="4" w:space="0"/>
            </w:tcBorders>
            <w:noWrap/>
            <w:vAlign w:val="center"/>
          </w:tcPr>
          <w:p w14:paraId="47E64A38">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28DCFC93">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070CD73C">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847" w:type="pct"/>
            <w:tcBorders>
              <w:top w:val="nil"/>
              <w:left w:val="nil"/>
              <w:bottom w:val="single" w:color="auto" w:sz="4" w:space="0"/>
              <w:right w:val="single" w:color="auto" w:sz="4" w:space="0"/>
            </w:tcBorders>
            <w:noWrap/>
            <w:vAlign w:val="center"/>
          </w:tcPr>
          <w:p w14:paraId="1251CAA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25FD2F7A">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5BA48CD9">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016" w:type="pct"/>
            <w:tcBorders>
              <w:top w:val="nil"/>
              <w:left w:val="nil"/>
              <w:bottom w:val="single" w:color="auto" w:sz="4" w:space="0"/>
              <w:right w:val="single" w:color="auto" w:sz="4" w:space="0"/>
            </w:tcBorders>
            <w:noWrap/>
            <w:vAlign w:val="center"/>
          </w:tcPr>
          <w:p w14:paraId="7297FDD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611" w:type="pct"/>
            <w:tcBorders>
              <w:top w:val="nil"/>
              <w:left w:val="nil"/>
              <w:bottom w:val="single" w:color="auto" w:sz="4" w:space="0"/>
              <w:right w:val="single" w:color="auto" w:sz="4" w:space="0"/>
            </w:tcBorders>
            <w:noWrap/>
            <w:vAlign w:val="center"/>
          </w:tcPr>
          <w:p w14:paraId="7876EF61">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3080AF1">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01ED25EE">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798BF57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3023AAFB">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7C25AD9A">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016" w:type="pct"/>
            <w:tcBorders>
              <w:top w:val="nil"/>
              <w:left w:val="nil"/>
              <w:bottom w:val="single" w:color="auto" w:sz="4" w:space="0"/>
              <w:right w:val="single" w:color="auto" w:sz="4" w:space="0"/>
            </w:tcBorders>
            <w:noWrap/>
            <w:vAlign w:val="center"/>
          </w:tcPr>
          <w:p w14:paraId="0DE0860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611" w:type="pct"/>
            <w:tcBorders>
              <w:top w:val="nil"/>
              <w:left w:val="nil"/>
              <w:bottom w:val="single" w:color="auto" w:sz="4" w:space="0"/>
              <w:right w:val="single" w:color="auto" w:sz="4" w:space="0"/>
            </w:tcBorders>
            <w:noWrap/>
            <w:vAlign w:val="center"/>
          </w:tcPr>
          <w:p w14:paraId="01B6DC7F">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68CF02A">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7B3E5706">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847" w:type="pct"/>
            <w:tcBorders>
              <w:top w:val="nil"/>
              <w:left w:val="nil"/>
              <w:bottom w:val="single" w:color="auto" w:sz="4" w:space="0"/>
              <w:right w:val="single" w:color="auto" w:sz="4" w:space="0"/>
            </w:tcBorders>
            <w:noWrap/>
            <w:vAlign w:val="center"/>
          </w:tcPr>
          <w:p w14:paraId="7A7C35B2">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69C96C22">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1FE4D4B9">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016" w:type="pct"/>
            <w:tcBorders>
              <w:top w:val="nil"/>
              <w:left w:val="nil"/>
              <w:bottom w:val="single" w:color="auto" w:sz="4" w:space="0"/>
              <w:right w:val="single" w:color="auto" w:sz="4" w:space="0"/>
            </w:tcBorders>
            <w:noWrap/>
            <w:vAlign w:val="center"/>
          </w:tcPr>
          <w:p w14:paraId="25BC9618">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611" w:type="pct"/>
            <w:tcBorders>
              <w:top w:val="nil"/>
              <w:left w:val="nil"/>
              <w:bottom w:val="single" w:color="auto" w:sz="4" w:space="0"/>
              <w:right w:val="single" w:color="auto" w:sz="4" w:space="0"/>
            </w:tcBorders>
            <w:noWrap/>
            <w:vAlign w:val="center"/>
          </w:tcPr>
          <w:p w14:paraId="7DC120F9">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418176C">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09B728E3">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2C51C0A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28E154CD">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4A6D710C">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016" w:type="pct"/>
            <w:tcBorders>
              <w:top w:val="nil"/>
              <w:left w:val="nil"/>
              <w:bottom w:val="single" w:color="auto" w:sz="4" w:space="0"/>
              <w:right w:val="single" w:color="auto" w:sz="4" w:space="0"/>
            </w:tcBorders>
            <w:noWrap/>
            <w:vAlign w:val="center"/>
          </w:tcPr>
          <w:p w14:paraId="3B01198A">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611" w:type="pct"/>
            <w:tcBorders>
              <w:top w:val="nil"/>
              <w:left w:val="nil"/>
              <w:bottom w:val="single" w:color="auto" w:sz="4" w:space="0"/>
              <w:right w:val="single" w:color="auto" w:sz="4" w:space="0"/>
            </w:tcBorders>
            <w:noWrap/>
            <w:vAlign w:val="center"/>
          </w:tcPr>
          <w:p w14:paraId="1EB9A0A2">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CEC898E">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4BA6F284">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847" w:type="pct"/>
            <w:tcBorders>
              <w:top w:val="nil"/>
              <w:left w:val="nil"/>
              <w:bottom w:val="single" w:color="auto" w:sz="4" w:space="0"/>
              <w:right w:val="single" w:color="auto" w:sz="4" w:space="0"/>
            </w:tcBorders>
            <w:noWrap/>
            <w:vAlign w:val="center"/>
          </w:tcPr>
          <w:p w14:paraId="1A758AA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2912D341">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50225EB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16" w:type="pct"/>
            <w:tcBorders>
              <w:top w:val="nil"/>
              <w:left w:val="nil"/>
              <w:bottom w:val="single" w:color="auto" w:sz="4" w:space="0"/>
              <w:right w:val="single" w:color="auto" w:sz="4" w:space="0"/>
            </w:tcBorders>
            <w:noWrap/>
            <w:vAlign w:val="center"/>
          </w:tcPr>
          <w:p w14:paraId="7BEEFA3A">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611" w:type="pct"/>
            <w:tcBorders>
              <w:top w:val="nil"/>
              <w:left w:val="nil"/>
              <w:bottom w:val="single" w:color="auto" w:sz="4" w:space="0"/>
              <w:right w:val="single" w:color="auto" w:sz="4" w:space="0"/>
            </w:tcBorders>
            <w:noWrap/>
            <w:vAlign w:val="center"/>
          </w:tcPr>
          <w:p w14:paraId="4A4C6E2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A695FA9">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524B4697">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74BDE432">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7BBBDD1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5C02B73C">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016" w:type="pct"/>
            <w:tcBorders>
              <w:top w:val="nil"/>
              <w:left w:val="nil"/>
              <w:bottom w:val="single" w:color="auto" w:sz="4" w:space="0"/>
              <w:right w:val="single" w:color="auto" w:sz="4" w:space="0"/>
            </w:tcBorders>
            <w:noWrap/>
            <w:vAlign w:val="center"/>
          </w:tcPr>
          <w:p w14:paraId="0B5BF525">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611" w:type="pct"/>
            <w:tcBorders>
              <w:top w:val="nil"/>
              <w:left w:val="nil"/>
              <w:bottom w:val="single" w:color="auto" w:sz="4" w:space="0"/>
              <w:right w:val="single" w:color="auto" w:sz="4" w:space="0"/>
            </w:tcBorders>
            <w:noWrap/>
            <w:vAlign w:val="center"/>
          </w:tcPr>
          <w:p w14:paraId="3B2FC84D">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0331661">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470A9569">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847" w:type="pct"/>
            <w:tcBorders>
              <w:top w:val="nil"/>
              <w:left w:val="nil"/>
              <w:bottom w:val="single" w:color="auto" w:sz="4" w:space="0"/>
              <w:right w:val="single" w:color="auto" w:sz="4" w:space="0"/>
            </w:tcBorders>
            <w:noWrap/>
            <w:vAlign w:val="center"/>
          </w:tcPr>
          <w:p w14:paraId="0272320E">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476A6D33">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718885A1">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16" w:type="pct"/>
            <w:tcBorders>
              <w:top w:val="nil"/>
              <w:left w:val="nil"/>
              <w:bottom w:val="single" w:color="auto" w:sz="4" w:space="0"/>
              <w:right w:val="single" w:color="auto" w:sz="4" w:space="0"/>
            </w:tcBorders>
            <w:noWrap/>
            <w:vAlign w:val="center"/>
          </w:tcPr>
          <w:p w14:paraId="10C2AAA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611" w:type="pct"/>
            <w:tcBorders>
              <w:top w:val="nil"/>
              <w:left w:val="nil"/>
              <w:bottom w:val="single" w:color="auto" w:sz="4" w:space="0"/>
              <w:right w:val="single" w:color="auto" w:sz="4" w:space="0"/>
            </w:tcBorders>
            <w:noWrap/>
            <w:vAlign w:val="center"/>
          </w:tcPr>
          <w:p w14:paraId="6E034DA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BA643E9">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7DDDD162">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42A69B3F">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7DBFF12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0D44470E">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016" w:type="pct"/>
            <w:tcBorders>
              <w:top w:val="nil"/>
              <w:left w:val="nil"/>
              <w:bottom w:val="single" w:color="auto" w:sz="4" w:space="0"/>
              <w:right w:val="single" w:color="auto" w:sz="4" w:space="0"/>
            </w:tcBorders>
            <w:noWrap/>
            <w:vAlign w:val="center"/>
          </w:tcPr>
          <w:p w14:paraId="13F0ED53">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611" w:type="pct"/>
            <w:tcBorders>
              <w:top w:val="nil"/>
              <w:left w:val="nil"/>
              <w:bottom w:val="single" w:color="auto" w:sz="4" w:space="0"/>
              <w:right w:val="single" w:color="auto" w:sz="4" w:space="0"/>
            </w:tcBorders>
            <w:noWrap/>
            <w:vAlign w:val="center"/>
          </w:tcPr>
          <w:p w14:paraId="69E2C0D3">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C9D1FA3">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60C2A665">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847" w:type="pct"/>
            <w:tcBorders>
              <w:top w:val="nil"/>
              <w:left w:val="nil"/>
              <w:bottom w:val="single" w:color="auto" w:sz="4" w:space="0"/>
              <w:right w:val="single" w:color="auto" w:sz="4" w:space="0"/>
            </w:tcBorders>
            <w:noWrap/>
            <w:vAlign w:val="center"/>
          </w:tcPr>
          <w:p w14:paraId="58D78DC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5D6B7D6E">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3BF5654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016" w:type="pct"/>
            <w:tcBorders>
              <w:top w:val="nil"/>
              <w:left w:val="nil"/>
              <w:bottom w:val="single" w:color="auto" w:sz="4" w:space="0"/>
              <w:right w:val="single" w:color="auto" w:sz="4" w:space="0"/>
            </w:tcBorders>
            <w:noWrap/>
            <w:vAlign w:val="center"/>
          </w:tcPr>
          <w:p w14:paraId="6C15C50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611" w:type="pct"/>
            <w:tcBorders>
              <w:top w:val="nil"/>
              <w:left w:val="nil"/>
              <w:bottom w:val="single" w:color="auto" w:sz="4" w:space="0"/>
              <w:right w:val="single" w:color="auto" w:sz="4" w:space="0"/>
            </w:tcBorders>
            <w:noWrap/>
            <w:vAlign w:val="center"/>
          </w:tcPr>
          <w:p w14:paraId="1E7D0E4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00540BD">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203A08C0">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591BA65F">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06DBE6E8">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04CA8D5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016" w:type="pct"/>
            <w:tcBorders>
              <w:top w:val="nil"/>
              <w:left w:val="nil"/>
              <w:bottom w:val="single" w:color="auto" w:sz="4" w:space="0"/>
              <w:right w:val="single" w:color="auto" w:sz="4" w:space="0"/>
            </w:tcBorders>
            <w:noWrap/>
            <w:vAlign w:val="center"/>
          </w:tcPr>
          <w:p w14:paraId="5DBBE0D2">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611" w:type="pct"/>
            <w:tcBorders>
              <w:top w:val="nil"/>
              <w:left w:val="nil"/>
              <w:bottom w:val="single" w:color="auto" w:sz="4" w:space="0"/>
              <w:right w:val="single" w:color="auto" w:sz="4" w:space="0"/>
            </w:tcBorders>
            <w:noWrap/>
            <w:vAlign w:val="center"/>
          </w:tcPr>
          <w:p w14:paraId="6E9DA06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A65850C">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322C4797">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847" w:type="pct"/>
            <w:tcBorders>
              <w:top w:val="nil"/>
              <w:left w:val="nil"/>
              <w:bottom w:val="single" w:color="auto" w:sz="4" w:space="0"/>
              <w:right w:val="single" w:color="auto" w:sz="4" w:space="0"/>
            </w:tcBorders>
            <w:noWrap/>
            <w:vAlign w:val="center"/>
          </w:tcPr>
          <w:p w14:paraId="6345058A">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306604C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561F7835">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16" w:type="pct"/>
            <w:tcBorders>
              <w:top w:val="nil"/>
              <w:left w:val="nil"/>
              <w:bottom w:val="single" w:color="auto" w:sz="4" w:space="0"/>
              <w:right w:val="single" w:color="auto" w:sz="4" w:space="0"/>
            </w:tcBorders>
            <w:noWrap/>
            <w:vAlign w:val="center"/>
          </w:tcPr>
          <w:p w14:paraId="3E55962D">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611" w:type="pct"/>
            <w:tcBorders>
              <w:top w:val="nil"/>
              <w:left w:val="nil"/>
              <w:bottom w:val="single" w:color="auto" w:sz="4" w:space="0"/>
              <w:right w:val="single" w:color="auto" w:sz="4" w:space="0"/>
            </w:tcBorders>
            <w:noWrap/>
            <w:vAlign w:val="center"/>
          </w:tcPr>
          <w:p w14:paraId="68349C95">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86A13C7">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1AB7B5E5">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22727E3F">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30E2D183">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5D6C3AFB">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016" w:type="pct"/>
            <w:tcBorders>
              <w:top w:val="nil"/>
              <w:left w:val="nil"/>
              <w:bottom w:val="single" w:color="auto" w:sz="4" w:space="0"/>
              <w:right w:val="single" w:color="auto" w:sz="4" w:space="0"/>
            </w:tcBorders>
            <w:noWrap/>
            <w:vAlign w:val="center"/>
          </w:tcPr>
          <w:p w14:paraId="077514CF">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611" w:type="pct"/>
            <w:tcBorders>
              <w:top w:val="nil"/>
              <w:left w:val="nil"/>
              <w:bottom w:val="single" w:color="auto" w:sz="4" w:space="0"/>
              <w:right w:val="single" w:color="auto" w:sz="4" w:space="0"/>
            </w:tcBorders>
            <w:noWrap/>
            <w:vAlign w:val="center"/>
          </w:tcPr>
          <w:p w14:paraId="4EDE0DE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7EB8A9B">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4BD84385">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847" w:type="pct"/>
            <w:tcBorders>
              <w:top w:val="nil"/>
              <w:left w:val="nil"/>
              <w:bottom w:val="single" w:color="auto" w:sz="4" w:space="0"/>
              <w:right w:val="single" w:color="auto" w:sz="4" w:space="0"/>
            </w:tcBorders>
            <w:noWrap/>
            <w:vAlign w:val="center"/>
          </w:tcPr>
          <w:p w14:paraId="023DC47E">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70A231D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38F5501E">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016" w:type="pct"/>
            <w:tcBorders>
              <w:top w:val="nil"/>
              <w:left w:val="nil"/>
              <w:bottom w:val="single" w:color="auto" w:sz="4" w:space="0"/>
              <w:right w:val="single" w:color="auto" w:sz="4" w:space="0"/>
            </w:tcBorders>
            <w:noWrap/>
            <w:vAlign w:val="center"/>
          </w:tcPr>
          <w:p w14:paraId="35C8BE0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611" w:type="pct"/>
            <w:tcBorders>
              <w:top w:val="nil"/>
              <w:left w:val="nil"/>
              <w:bottom w:val="single" w:color="auto" w:sz="4" w:space="0"/>
              <w:right w:val="single" w:color="auto" w:sz="4" w:space="0"/>
            </w:tcBorders>
            <w:noWrap/>
            <w:vAlign w:val="center"/>
          </w:tcPr>
          <w:p w14:paraId="76B83F4D">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0BD59051">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74FD9B8F">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05C4261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673" w:type="pct"/>
            <w:tcBorders>
              <w:top w:val="nil"/>
              <w:left w:val="nil"/>
              <w:bottom w:val="single" w:color="auto" w:sz="4" w:space="0"/>
              <w:right w:val="single" w:color="auto" w:sz="4" w:space="0"/>
            </w:tcBorders>
            <w:noWrap/>
            <w:vAlign w:val="center"/>
          </w:tcPr>
          <w:p w14:paraId="1FEA0A80">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18AEBC78">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016" w:type="pct"/>
            <w:tcBorders>
              <w:top w:val="nil"/>
              <w:left w:val="nil"/>
              <w:bottom w:val="single" w:color="auto" w:sz="4" w:space="0"/>
              <w:right w:val="single" w:color="auto" w:sz="4" w:space="0"/>
            </w:tcBorders>
            <w:noWrap/>
            <w:vAlign w:val="center"/>
          </w:tcPr>
          <w:p w14:paraId="0C6535D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611" w:type="pct"/>
            <w:tcBorders>
              <w:top w:val="nil"/>
              <w:left w:val="nil"/>
              <w:bottom w:val="single" w:color="auto" w:sz="4" w:space="0"/>
              <w:right w:val="single" w:color="auto" w:sz="4" w:space="0"/>
            </w:tcBorders>
            <w:noWrap/>
            <w:vAlign w:val="center"/>
          </w:tcPr>
          <w:p w14:paraId="58377D38">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117CC498">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56C4D007">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847" w:type="pct"/>
            <w:tcBorders>
              <w:top w:val="nil"/>
              <w:left w:val="nil"/>
              <w:bottom w:val="single" w:color="auto" w:sz="4" w:space="0"/>
              <w:right w:val="single" w:color="auto" w:sz="4" w:space="0"/>
            </w:tcBorders>
            <w:noWrap/>
            <w:vAlign w:val="center"/>
          </w:tcPr>
          <w:p w14:paraId="6C8A9ACB">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546629DE">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33C64D82">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016" w:type="pct"/>
            <w:tcBorders>
              <w:top w:val="nil"/>
              <w:left w:val="nil"/>
              <w:bottom w:val="single" w:color="auto" w:sz="4" w:space="0"/>
              <w:right w:val="single" w:color="auto" w:sz="4" w:space="0"/>
            </w:tcBorders>
            <w:noWrap/>
            <w:vAlign w:val="center"/>
          </w:tcPr>
          <w:p w14:paraId="74CD04B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611" w:type="pct"/>
            <w:tcBorders>
              <w:top w:val="nil"/>
              <w:left w:val="nil"/>
              <w:bottom w:val="single" w:color="auto" w:sz="4" w:space="0"/>
              <w:right w:val="single" w:color="auto" w:sz="4" w:space="0"/>
            </w:tcBorders>
            <w:noWrap/>
            <w:vAlign w:val="center"/>
          </w:tcPr>
          <w:p w14:paraId="6D7B9F58">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550EA2AD">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11C926CD">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2241B085">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673" w:type="pct"/>
            <w:tcBorders>
              <w:top w:val="nil"/>
              <w:left w:val="nil"/>
              <w:bottom w:val="single" w:color="auto" w:sz="4" w:space="0"/>
              <w:right w:val="single" w:color="auto" w:sz="4" w:space="0"/>
            </w:tcBorders>
            <w:noWrap/>
            <w:vAlign w:val="center"/>
          </w:tcPr>
          <w:p w14:paraId="229AAF8A">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78E57C4F">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016" w:type="pct"/>
            <w:tcBorders>
              <w:top w:val="nil"/>
              <w:left w:val="nil"/>
              <w:bottom w:val="single" w:color="auto" w:sz="4" w:space="0"/>
              <w:right w:val="single" w:color="auto" w:sz="4" w:space="0"/>
            </w:tcBorders>
            <w:noWrap/>
            <w:vAlign w:val="center"/>
          </w:tcPr>
          <w:p w14:paraId="06FDBA8A">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611" w:type="pct"/>
            <w:tcBorders>
              <w:top w:val="nil"/>
              <w:left w:val="nil"/>
              <w:bottom w:val="single" w:color="auto" w:sz="4" w:space="0"/>
              <w:right w:val="single" w:color="auto" w:sz="4" w:space="0"/>
            </w:tcBorders>
            <w:noWrap/>
            <w:vAlign w:val="center"/>
          </w:tcPr>
          <w:p w14:paraId="1F8DF46B">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3CC79B07">
        <w:tblPrEx>
          <w:tblCellMar>
            <w:top w:w="0" w:type="dxa"/>
            <w:left w:w="108" w:type="dxa"/>
            <w:bottom w:w="0" w:type="dxa"/>
            <w:right w:w="108" w:type="dxa"/>
          </w:tblCellMar>
        </w:tblPrEx>
        <w:trPr>
          <w:trHeight w:val="108" w:hRule="atLeast"/>
        </w:trPr>
        <w:tc>
          <w:tcPr>
            <w:tcW w:w="922" w:type="pct"/>
            <w:vMerge w:val="restart"/>
            <w:tcBorders>
              <w:top w:val="nil"/>
              <w:left w:val="single" w:color="auto" w:sz="4" w:space="0"/>
              <w:bottom w:val="single" w:color="auto" w:sz="4" w:space="0"/>
              <w:right w:val="single" w:color="auto" w:sz="4" w:space="0"/>
            </w:tcBorders>
            <w:noWrap/>
            <w:vAlign w:val="center"/>
          </w:tcPr>
          <w:p w14:paraId="73E27C70">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847" w:type="pct"/>
            <w:tcBorders>
              <w:top w:val="nil"/>
              <w:left w:val="nil"/>
              <w:bottom w:val="single" w:color="auto" w:sz="4" w:space="0"/>
              <w:right w:val="single" w:color="auto" w:sz="4" w:space="0"/>
            </w:tcBorders>
            <w:noWrap/>
            <w:vAlign w:val="center"/>
          </w:tcPr>
          <w:p w14:paraId="00402DE1">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274EB206">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490FAD0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16" w:type="pct"/>
            <w:tcBorders>
              <w:top w:val="nil"/>
              <w:left w:val="nil"/>
              <w:bottom w:val="single" w:color="auto" w:sz="4" w:space="0"/>
              <w:right w:val="single" w:color="auto" w:sz="4" w:space="0"/>
            </w:tcBorders>
            <w:noWrap/>
            <w:vAlign w:val="center"/>
          </w:tcPr>
          <w:p w14:paraId="2E127FA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611" w:type="pct"/>
            <w:tcBorders>
              <w:top w:val="nil"/>
              <w:left w:val="nil"/>
              <w:bottom w:val="single" w:color="auto" w:sz="4" w:space="0"/>
              <w:right w:val="single" w:color="auto" w:sz="4" w:space="0"/>
            </w:tcBorders>
            <w:noWrap/>
            <w:vAlign w:val="center"/>
          </w:tcPr>
          <w:p w14:paraId="38A8404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A26E1AC">
        <w:tblPrEx>
          <w:tblCellMar>
            <w:top w:w="0" w:type="dxa"/>
            <w:left w:w="108" w:type="dxa"/>
            <w:bottom w:w="0" w:type="dxa"/>
            <w:right w:w="108" w:type="dxa"/>
          </w:tblCellMar>
        </w:tblPrEx>
        <w:trPr>
          <w:trHeight w:val="108" w:hRule="atLeast"/>
        </w:trPr>
        <w:tc>
          <w:tcPr>
            <w:tcW w:w="922" w:type="pct"/>
            <w:vMerge w:val="continue"/>
            <w:tcBorders>
              <w:top w:val="nil"/>
              <w:left w:val="single" w:color="auto" w:sz="4" w:space="0"/>
              <w:bottom w:val="single" w:color="auto" w:sz="4" w:space="0"/>
              <w:right w:val="single" w:color="auto" w:sz="4" w:space="0"/>
            </w:tcBorders>
            <w:noWrap/>
            <w:vAlign w:val="center"/>
          </w:tcPr>
          <w:p w14:paraId="5A933B00">
            <w:pPr>
              <w:widowControl/>
              <w:spacing w:line="360" w:lineRule="auto"/>
              <w:jc w:val="center"/>
              <w:rPr>
                <w:rFonts w:ascii="仿宋" w:hAnsi="仿宋" w:eastAsia="仿宋" w:cs="仿宋"/>
                <w:b/>
                <w:bCs/>
                <w:color w:val="auto"/>
                <w:kern w:val="0"/>
                <w:sz w:val="18"/>
                <w:szCs w:val="18"/>
                <w:highlight w:val="none"/>
              </w:rPr>
            </w:pPr>
          </w:p>
        </w:tc>
        <w:tc>
          <w:tcPr>
            <w:tcW w:w="847" w:type="pct"/>
            <w:tcBorders>
              <w:top w:val="nil"/>
              <w:left w:val="nil"/>
              <w:bottom w:val="single" w:color="auto" w:sz="4" w:space="0"/>
              <w:right w:val="single" w:color="auto" w:sz="4" w:space="0"/>
            </w:tcBorders>
            <w:noWrap/>
            <w:vAlign w:val="center"/>
          </w:tcPr>
          <w:p w14:paraId="4A95CBD8">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673" w:type="pct"/>
            <w:tcBorders>
              <w:top w:val="nil"/>
              <w:left w:val="nil"/>
              <w:bottom w:val="single" w:color="auto" w:sz="4" w:space="0"/>
              <w:right w:val="single" w:color="auto" w:sz="4" w:space="0"/>
            </w:tcBorders>
            <w:noWrap/>
            <w:vAlign w:val="center"/>
          </w:tcPr>
          <w:p w14:paraId="1E792FCB">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928" w:type="pct"/>
            <w:tcBorders>
              <w:top w:val="nil"/>
              <w:left w:val="nil"/>
              <w:bottom w:val="single" w:color="auto" w:sz="4" w:space="0"/>
              <w:right w:val="single" w:color="auto" w:sz="4" w:space="0"/>
            </w:tcBorders>
            <w:noWrap/>
            <w:vAlign w:val="center"/>
          </w:tcPr>
          <w:p w14:paraId="7A445A8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016" w:type="pct"/>
            <w:tcBorders>
              <w:top w:val="nil"/>
              <w:left w:val="nil"/>
              <w:bottom w:val="single" w:color="auto" w:sz="4" w:space="0"/>
              <w:right w:val="single" w:color="auto" w:sz="4" w:space="0"/>
            </w:tcBorders>
            <w:noWrap/>
            <w:vAlign w:val="center"/>
          </w:tcPr>
          <w:p w14:paraId="3DCE4A75">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611" w:type="pct"/>
            <w:tcBorders>
              <w:top w:val="nil"/>
              <w:left w:val="nil"/>
              <w:bottom w:val="single" w:color="auto" w:sz="4" w:space="0"/>
              <w:right w:val="single" w:color="auto" w:sz="4" w:space="0"/>
            </w:tcBorders>
            <w:noWrap/>
            <w:vAlign w:val="center"/>
          </w:tcPr>
          <w:p w14:paraId="14D1B6F7">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9397179">
        <w:tblPrEx>
          <w:tblCellMar>
            <w:top w:w="0" w:type="dxa"/>
            <w:left w:w="108" w:type="dxa"/>
            <w:bottom w:w="0" w:type="dxa"/>
            <w:right w:w="108" w:type="dxa"/>
          </w:tblCellMar>
        </w:tblPrEx>
        <w:trPr>
          <w:trHeight w:val="110" w:hRule="atLeast"/>
        </w:trPr>
        <w:tc>
          <w:tcPr>
            <w:tcW w:w="922" w:type="pct"/>
            <w:tcBorders>
              <w:top w:val="nil"/>
              <w:left w:val="single" w:color="auto" w:sz="4" w:space="0"/>
              <w:bottom w:val="single" w:color="auto" w:sz="4" w:space="0"/>
              <w:right w:val="single" w:color="auto" w:sz="4" w:space="0"/>
            </w:tcBorders>
            <w:noWrap/>
            <w:vAlign w:val="center"/>
          </w:tcPr>
          <w:p w14:paraId="36C8914E">
            <w:pPr>
              <w:widowControl/>
              <w:spacing w:line="360" w:lineRule="auto"/>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847" w:type="pct"/>
            <w:tcBorders>
              <w:top w:val="nil"/>
              <w:left w:val="nil"/>
              <w:bottom w:val="single" w:color="auto" w:sz="4" w:space="0"/>
              <w:right w:val="single" w:color="auto" w:sz="4" w:space="0"/>
            </w:tcBorders>
            <w:noWrap/>
            <w:vAlign w:val="center"/>
          </w:tcPr>
          <w:p w14:paraId="29FC3211">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673" w:type="pct"/>
            <w:tcBorders>
              <w:top w:val="nil"/>
              <w:left w:val="nil"/>
              <w:bottom w:val="single" w:color="auto" w:sz="4" w:space="0"/>
              <w:right w:val="single" w:color="auto" w:sz="4" w:space="0"/>
            </w:tcBorders>
            <w:noWrap/>
            <w:vAlign w:val="center"/>
          </w:tcPr>
          <w:p w14:paraId="19E26682">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928" w:type="pct"/>
            <w:tcBorders>
              <w:top w:val="nil"/>
              <w:left w:val="nil"/>
              <w:bottom w:val="single" w:color="auto" w:sz="4" w:space="0"/>
              <w:right w:val="single" w:color="auto" w:sz="4" w:space="0"/>
            </w:tcBorders>
            <w:noWrap/>
            <w:vAlign w:val="center"/>
          </w:tcPr>
          <w:p w14:paraId="65740423">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16" w:type="pct"/>
            <w:tcBorders>
              <w:top w:val="nil"/>
              <w:left w:val="nil"/>
              <w:bottom w:val="single" w:color="auto" w:sz="4" w:space="0"/>
              <w:right w:val="single" w:color="auto" w:sz="4" w:space="0"/>
            </w:tcBorders>
            <w:noWrap/>
            <w:vAlign w:val="center"/>
          </w:tcPr>
          <w:p w14:paraId="4087E7D4">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611" w:type="pct"/>
            <w:tcBorders>
              <w:top w:val="nil"/>
              <w:left w:val="nil"/>
              <w:bottom w:val="single" w:color="auto" w:sz="4" w:space="0"/>
              <w:right w:val="single" w:color="auto" w:sz="4" w:space="0"/>
            </w:tcBorders>
            <w:noWrap/>
            <w:vAlign w:val="center"/>
          </w:tcPr>
          <w:p w14:paraId="65AF734E">
            <w:pPr>
              <w:widowControl/>
              <w:spacing w:line="360" w:lineRule="auto"/>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58178CA6">
      <w:pPr>
        <w:rPr>
          <w:color w:val="auto"/>
          <w:highlight w:val="none"/>
        </w:r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6F8E112">
      <w:pPr>
        <w:rPr>
          <w:color w:val="auto"/>
          <w:highlight w:val="none"/>
        </w:rPr>
      </w:pPr>
      <w:r>
        <w:rPr>
          <w:rFonts w:hint="eastAsia"/>
          <w:color w:val="auto"/>
          <w:highlight w:val="none"/>
        </w:rPr>
        <w:br w:type="page"/>
      </w:r>
    </w:p>
    <w:p w14:paraId="70490819">
      <w:pPr>
        <w:pStyle w:val="2"/>
        <w:spacing w:before="0" w:after="0" w:line="360" w:lineRule="auto"/>
        <w:jc w:val="center"/>
        <w:rPr>
          <w:rFonts w:ascii="仿宋" w:hAnsi="仿宋" w:eastAsia="仿宋" w:cs="仿宋"/>
          <w:color w:val="auto"/>
          <w:highlight w:val="none"/>
        </w:rPr>
      </w:pPr>
      <w:bookmarkStart w:id="35" w:name="_Toc3849"/>
      <w:r>
        <w:rPr>
          <w:rFonts w:hint="eastAsia" w:ascii="仿宋" w:hAnsi="仿宋" w:eastAsia="仿宋" w:cs="仿宋"/>
          <w:bCs w:val="0"/>
          <w:color w:val="auto"/>
          <w:sz w:val="32"/>
          <w:szCs w:val="32"/>
          <w:highlight w:val="none"/>
        </w:rPr>
        <w:t>第三章 供应商须知</w:t>
      </w:r>
      <w:bookmarkEnd w:id="33"/>
      <w:bookmarkEnd w:id="34"/>
      <w:bookmarkEnd w:id="35"/>
    </w:p>
    <w:p w14:paraId="6FB55BD1">
      <w:pPr>
        <w:pStyle w:val="3"/>
        <w:spacing w:before="0" w:after="0" w:line="360" w:lineRule="auto"/>
        <w:jc w:val="center"/>
        <w:rPr>
          <w:rFonts w:ascii="仿宋" w:hAnsi="仿宋" w:eastAsia="仿宋" w:cs="仿宋"/>
          <w:b w:val="0"/>
          <w:color w:val="auto"/>
          <w:highlight w:val="none"/>
        </w:rPr>
      </w:pPr>
      <w:bookmarkStart w:id="36" w:name="_Toc5206"/>
      <w:bookmarkStart w:id="37" w:name="_Toc3016"/>
      <w:bookmarkStart w:id="38" w:name="_Toc17639"/>
      <w:r>
        <w:rPr>
          <w:rFonts w:hint="eastAsia" w:ascii="仿宋" w:hAnsi="仿宋" w:eastAsia="仿宋" w:cs="仿宋"/>
          <w:b w:val="0"/>
          <w:color w:val="auto"/>
          <w:highlight w:val="none"/>
        </w:rPr>
        <w:t>第一节 供应商须知前附表</w:t>
      </w:r>
      <w:bookmarkEnd w:id="36"/>
      <w:bookmarkEnd w:id="37"/>
      <w:bookmarkEnd w:id="38"/>
    </w:p>
    <w:p w14:paraId="03ADD601">
      <w:pPr>
        <w:spacing w:line="360" w:lineRule="auto"/>
        <w:jc w:val="center"/>
        <w:rPr>
          <w:rFonts w:ascii="仿宋" w:hAnsi="仿宋" w:eastAsia="仿宋" w:cs="仿宋"/>
          <w:b/>
          <w:color w:val="auto"/>
          <w:sz w:val="32"/>
          <w:szCs w:val="32"/>
          <w:highlight w:val="none"/>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77FF5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tcPr>
          <w:p w14:paraId="0214AB3E">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2786" w:type="dxa"/>
            <w:noWrap/>
            <w:vAlign w:val="center"/>
          </w:tcPr>
          <w:p w14:paraId="30C8D012">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条款内容</w:t>
            </w:r>
          </w:p>
        </w:tc>
        <w:tc>
          <w:tcPr>
            <w:tcW w:w="6853" w:type="dxa"/>
            <w:noWrap/>
          </w:tcPr>
          <w:p w14:paraId="324A597A">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具体要求</w:t>
            </w:r>
          </w:p>
        </w:tc>
      </w:tr>
      <w:tr w14:paraId="0771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tcPr>
          <w:p w14:paraId="448BF6C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3.1</w:t>
            </w:r>
          </w:p>
        </w:tc>
        <w:tc>
          <w:tcPr>
            <w:tcW w:w="2786" w:type="dxa"/>
            <w:noWrap/>
            <w:vAlign w:val="center"/>
          </w:tcPr>
          <w:p w14:paraId="4218F80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供应商资格条件</w:t>
            </w:r>
          </w:p>
        </w:tc>
        <w:tc>
          <w:tcPr>
            <w:tcW w:w="6853" w:type="dxa"/>
            <w:noWrap/>
          </w:tcPr>
          <w:p w14:paraId="59775351">
            <w:pPr>
              <w:spacing w:line="360" w:lineRule="auto"/>
              <w:rPr>
                <w:rFonts w:ascii="仿宋" w:hAnsi="仿宋" w:eastAsia="仿宋" w:cs="仿宋"/>
                <w:b/>
                <w:color w:val="auto"/>
                <w:sz w:val="24"/>
                <w:highlight w:val="none"/>
              </w:rPr>
            </w:pPr>
            <w:r>
              <w:rPr>
                <w:rFonts w:hint="eastAsia" w:ascii="仿宋" w:hAnsi="仿宋" w:eastAsia="仿宋" w:cs="仿宋"/>
                <w:color w:val="auto"/>
                <w:sz w:val="24"/>
                <w:highlight w:val="none"/>
              </w:rPr>
              <w:t xml:space="preserve">供应商资格条件要求详见公告。 </w:t>
            </w:r>
          </w:p>
        </w:tc>
      </w:tr>
      <w:tr w14:paraId="16141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2D22C86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3.2</w:t>
            </w:r>
          </w:p>
        </w:tc>
        <w:tc>
          <w:tcPr>
            <w:tcW w:w="2786" w:type="dxa"/>
            <w:noWrap/>
            <w:vAlign w:val="center"/>
          </w:tcPr>
          <w:p w14:paraId="149CA6AF">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邀请的单一来源供应商</w:t>
            </w:r>
          </w:p>
        </w:tc>
        <w:tc>
          <w:tcPr>
            <w:tcW w:w="6853" w:type="dxa"/>
            <w:noWrap/>
            <w:vAlign w:val="center"/>
          </w:tcPr>
          <w:p w14:paraId="7747FDCD">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供应商名称：广西南宁东巽赢景观工程有限公司</w:t>
            </w:r>
          </w:p>
          <w:p w14:paraId="5956F940">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地址：南宁市青秀区嘉宾路南一里逸景园3号楼8单元10层1001号房</w:t>
            </w:r>
          </w:p>
        </w:tc>
      </w:tr>
      <w:tr w14:paraId="48FB8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2572E5B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5.1</w:t>
            </w:r>
          </w:p>
        </w:tc>
        <w:tc>
          <w:tcPr>
            <w:tcW w:w="2786" w:type="dxa"/>
            <w:noWrap/>
            <w:vAlign w:val="center"/>
          </w:tcPr>
          <w:p w14:paraId="655C203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是否接受联合体协商</w:t>
            </w:r>
          </w:p>
        </w:tc>
        <w:tc>
          <w:tcPr>
            <w:tcW w:w="6853" w:type="dxa"/>
            <w:noWrap/>
            <w:vAlign w:val="center"/>
          </w:tcPr>
          <w:p w14:paraId="2EBBA003">
            <w:pPr>
              <w:spacing w:line="360" w:lineRule="auto"/>
              <w:rPr>
                <w:rFonts w:ascii="仿宋" w:hAnsi="仿宋" w:eastAsia="仿宋" w:cs="仿宋"/>
                <w:color w:val="auto"/>
                <w:sz w:val="24"/>
                <w:highlight w:val="none"/>
              </w:rPr>
            </w:pPr>
            <w:bookmarkStart w:id="39" w:name="PO_3000001870_PM007_1"/>
            <w:r>
              <w:rPr>
                <w:rFonts w:hint="eastAsia" w:ascii="仿宋" w:hAnsi="仿宋" w:eastAsia="仿宋" w:cs="仿宋"/>
                <w:color w:val="auto"/>
                <w:sz w:val="24"/>
                <w:highlight w:val="none"/>
              </w:rPr>
              <w:t>不允许联合体投标</w:t>
            </w:r>
            <w:bookmarkEnd w:id="39"/>
            <w:r>
              <w:rPr>
                <w:rFonts w:hint="eastAsia" w:ascii="仿宋" w:hAnsi="仿宋" w:eastAsia="仿宋" w:cs="仿宋"/>
                <w:color w:val="auto"/>
                <w:sz w:val="24"/>
                <w:highlight w:val="none"/>
              </w:rPr>
              <w:t>。</w:t>
            </w:r>
          </w:p>
        </w:tc>
      </w:tr>
      <w:tr w14:paraId="5C1EB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79E4F6A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5.2</w:t>
            </w:r>
          </w:p>
        </w:tc>
        <w:tc>
          <w:tcPr>
            <w:tcW w:w="2786" w:type="dxa"/>
            <w:noWrap/>
            <w:vAlign w:val="center"/>
          </w:tcPr>
          <w:p w14:paraId="5888AB6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联合体协商要求</w:t>
            </w:r>
          </w:p>
        </w:tc>
        <w:tc>
          <w:tcPr>
            <w:tcW w:w="6853" w:type="dxa"/>
            <w:noWrap/>
            <w:vAlign w:val="center"/>
          </w:tcPr>
          <w:p w14:paraId="54C30A2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无</w:t>
            </w:r>
          </w:p>
        </w:tc>
      </w:tr>
      <w:tr w14:paraId="4A530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2D7E24A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6.1</w:t>
            </w:r>
          </w:p>
        </w:tc>
        <w:tc>
          <w:tcPr>
            <w:tcW w:w="2786" w:type="dxa"/>
            <w:noWrap/>
            <w:vAlign w:val="center"/>
          </w:tcPr>
          <w:p w14:paraId="2865866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是否允许分包</w:t>
            </w:r>
          </w:p>
        </w:tc>
        <w:tc>
          <w:tcPr>
            <w:tcW w:w="6853" w:type="dxa"/>
            <w:noWrap/>
            <w:vAlign w:val="center"/>
          </w:tcPr>
          <w:p w14:paraId="36FF37D3">
            <w:pPr>
              <w:pStyle w:val="8"/>
              <w:spacing w:line="360" w:lineRule="auto"/>
              <w:rPr>
                <w:rFonts w:ascii="仿宋" w:hAnsi="仿宋" w:eastAsia="仿宋" w:cs="仿宋"/>
                <w:color w:val="auto"/>
                <w:sz w:val="24"/>
                <w:highlight w:val="none"/>
              </w:rPr>
            </w:pPr>
            <w:bookmarkStart w:id="40" w:name="PO_3000001870_PM044"/>
            <w:r>
              <w:rPr>
                <w:rFonts w:hint="eastAsia" w:ascii="仿宋" w:hAnsi="仿宋" w:eastAsia="仿宋" w:cs="仿宋"/>
                <w:color w:val="auto"/>
                <w:sz w:val="24"/>
                <w:highlight w:val="none"/>
              </w:rPr>
              <w:t>不允许分包</w:t>
            </w:r>
            <w:bookmarkEnd w:id="40"/>
          </w:p>
        </w:tc>
      </w:tr>
      <w:tr w14:paraId="5431B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2346411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12.1.1</w:t>
            </w:r>
          </w:p>
        </w:tc>
        <w:tc>
          <w:tcPr>
            <w:tcW w:w="2786" w:type="dxa"/>
            <w:noWrap/>
            <w:vAlign w:val="center"/>
          </w:tcPr>
          <w:p w14:paraId="44BE002B">
            <w:pPr>
              <w:snapToGrid w:val="0"/>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资格证明文件组成</w:t>
            </w:r>
          </w:p>
          <w:p w14:paraId="63A29D4F">
            <w:pPr>
              <w:spacing w:line="360" w:lineRule="auto"/>
              <w:jc w:val="center"/>
              <w:rPr>
                <w:rFonts w:ascii="仿宋" w:hAnsi="仿宋" w:eastAsia="仿宋" w:cs="仿宋"/>
                <w:color w:val="auto"/>
                <w:sz w:val="24"/>
                <w:highlight w:val="none"/>
              </w:rPr>
            </w:pPr>
          </w:p>
        </w:tc>
        <w:tc>
          <w:tcPr>
            <w:tcW w:w="6853" w:type="dxa"/>
            <w:noWrap/>
            <w:vAlign w:val="center"/>
          </w:tcPr>
          <w:p w14:paraId="779EB0A6">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仿宋" w:hAnsi="仿宋" w:eastAsia="仿宋" w:cs="仿宋"/>
                <w:b/>
                <w:bCs/>
                <w:color w:val="auto"/>
                <w:sz w:val="24"/>
                <w:highlight w:val="none"/>
              </w:rPr>
              <w:t>必须提供，否则响应文件按无效响应处理</w:t>
            </w:r>
            <w:r>
              <w:rPr>
                <w:rFonts w:hint="eastAsia" w:ascii="仿宋" w:hAnsi="仿宋" w:eastAsia="仿宋" w:cs="仿宋"/>
                <w:color w:val="auto"/>
                <w:sz w:val="24"/>
                <w:highlight w:val="none"/>
              </w:rPr>
              <w:t>）</w:t>
            </w:r>
          </w:p>
          <w:p w14:paraId="13D9881B">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供应商依法缴纳税收的相关材料：[响应截止日期之前半年内任意连续三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仿宋" w:hAnsi="仿宋" w:eastAsia="仿宋" w:cs="仿宋"/>
                <w:b/>
                <w:bCs/>
                <w:color w:val="auto"/>
                <w:sz w:val="24"/>
                <w:highlight w:val="none"/>
              </w:rPr>
              <w:t>必须提供，否则响应文件按无效响应处理</w:t>
            </w:r>
            <w:r>
              <w:rPr>
                <w:rFonts w:hint="eastAsia" w:ascii="仿宋" w:hAnsi="仿宋" w:eastAsia="仿宋" w:cs="仿宋"/>
                <w:color w:val="auto"/>
                <w:sz w:val="24"/>
                <w:highlight w:val="none"/>
              </w:rPr>
              <w:t>）</w:t>
            </w:r>
          </w:p>
          <w:p w14:paraId="12992F0D">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依法缴纳社会保障资金的相关材料：[响应截止日期之前半年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仿宋" w:hAnsi="仿宋" w:eastAsia="仿宋" w:cs="仿宋"/>
                <w:b/>
                <w:bCs/>
                <w:color w:val="auto"/>
                <w:sz w:val="24"/>
                <w:highlight w:val="none"/>
              </w:rPr>
              <w:t>必须提供，否则响应文件按无效响应处理</w:t>
            </w:r>
            <w:r>
              <w:rPr>
                <w:rFonts w:hint="eastAsia" w:ascii="仿宋" w:hAnsi="仿宋" w:eastAsia="仿宋" w:cs="仿宋"/>
                <w:color w:val="auto"/>
                <w:sz w:val="24"/>
                <w:highlight w:val="none"/>
              </w:rPr>
              <w:t>）</w:t>
            </w:r>
          </w:p>
          <w:p w14:paraId="0FFD74C1">
            <w:pPr>
              <w:snapToGrid w:val="0"/>
              <w:spacing w:line="360" w:lineRule="auto"/>
              <w:jc w:val="left"/>
              <w:rPr>
                <w:rFonts w:ascii="仿宋" w:hAnsi="仿宋" w:eastAsia="仿宋" w:cs="仿宋"/>
                <w:b/>
                <w:bCs/>
                <w:color w:val="auto"/>
                <w:sz w:val="24"/>
                <w:highlight w:val="none"/>
              </w:rPr>
            </w:pPr>
            <w:r>
              <w:rPr>
                <w:rFonts w:hint="eastAsia" w:ascii="仿宋" w:hAnsi="仿宋" w:eastAsia="仿宋" w:cs="仿宋"/>
                <w:color w:val="auto"/>
                <w:sz w:val="24"/>
                <w:highlight w:val="none"/>
              </w:rPr>
              <w:t>4.供应商财务状况报告：[</w:t>
            </w:r>
            <w:r>
              <w:rPr>
                <w:rFonts w:hint="eastAsia" w:ascii="仿宋" w:hAnsi="仿宋" w:eastAsia="仿宋" w:cs="仿宋"/>
                <w:b/>
                <w:bCs/>
                <w:color w:val="auto"/>
                <w:sz w:val="24"/>
                <w:highlight w:val="none"/>
              </w:rPr>
              <w:t>2025年</w:t>
            </w:r>
            <w:r>
              <w:rPr>
                <w:rFonts w:hint="eastAsia" w:ascii="仿宋" w:hAnsi="仿宋" w:eastAsia="仿宋" w:cs="仿宋"/>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仿宋" w:hAnsi="仿宋" w:eastAsia="仿宋" w:cs="仿宋"/>
                <w:b/>
                <w:bCs/>
                <w:color w:val="auto"/>
                <w:sz w:val="24"/>
                <w:highlight w:val="none"/>
              </w:rPr>
              <w:t>（必须提供，否则响应文件按无效响应处理）</w:t>
            </w:r>
          </w:p>
          <w:p w14:paraId="68F432DB">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5.供应商直接控股、管理关系信息表（格式见第五章响应文件格式）；</w:t>
            </w:r>
            <w:r>
              <w:rPr>
                <w:rFonts w:hint="eastAsia" w:ascii="仿宋" w:hAnsi="仿宋" w:eastAsia="仿宋" w:cs="仿宋"/>
                <w:b/>
                <w:bCs/>
                <w:color w:val="auto"/>
                <w:sz w:val="24"/>
                <w:highlight w:val="none"/>
              </w:rPr>
              <w:t>（必须提供，否则响应文件按无效响应处理）</w:t>
            </w:r>
          </w:p>
          <w:p w14:paraId="7FDF9119">
            <w:pPr>
              <w:snapToGrid w:val="0"/>
              <w:spacing w:line="360" w:lineRule="auto"/>
              <w:jc w:val="left"/>
              <w:rPr>
                <w:rFonts w:ascii="仿宋" w:hAnsi="仿宋" w:eastAsia="仿宋" w:cs="仿宋"/>
                <w:b w:val="0"/>
                <w:bCs w:val="0"/>
                <w:color w:val="auto"/>
                <w:sz w:val="24"/>
                <w:highlight w:val="none"/>
              </w:rPr>
            </w:pPr>
            <w:r>
              <w:rPr>
                <w:rFonts w:hint="eastAsia" w:ascii="仿宋" w:hAnsi="仿宋" w:eastAsia="仿宋" w:cs="仿宋"/>
                <w:color w:val="auto"/>
                <w:sz w:val="24"/>
                <w:highlight w:val="none"/>
              </w:rPr>
              <w:t>6.资格声明函（格式见第五章响应文件格式）；</w:t>
            </w:r>
            <w:r>
              <w:rPr>
                <w:rFonts w:hint="eastAsia" w:ascii="仿宋" w:hAnsi="仿宋" w:eastAsia="仿宋" w:cs="仿宋"/>
                <w:b/>
                <w:bCs/>
                <w:color w:val="auto"/>
                <w:sz w:val="24"/>
                <w:highlight w:val="none"/>
              </w:rPr>
              <w:t>（必须提供，否则响应文件按无效响应处理）</w:t>
            </w:r>
          </w:p>
          <w:p w14:paraId="791EF311">
            <w:pPr>
              <w:snapToGrid w:val="0"/>
              <w:spacing w:line="360" w:lineRule="auto"/>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7</w:t>
            </w:r>
            <w:r>
              <w:rPr>
                <w:rFonts w:hint="eastAsia" w:ascii="仿宋" w:hAnsi="仿宋" w:eastAsia="仿宋" w:cs="仿宋"/>
                <w:b w:val="0"/>
                <w:bCs w:val="0"/>
                <w:color w:val="auto"/>
                <w:sz w:val="24"/>
                <w:highlight w:val="none"/>
              </w:rPr>
              <w:t>.中小企业声明函或残疾人福利性单位声明函或属于监狱企业的证明文件</w:t>
            </w:r>
            <w:r>
              <w:rPr>
                <w:rFonts w:hint="eastAsia" w:ascii="仿宋" w:hAnsi="仿宋" w:eastAsia="仿宋" w:cs="仿宋"/>
                <w:color w:val="auto"/>
                <w:sz w:val="24"/>
                <w:highlight w:val="none"/>
              </w:rPr>
              <w:t>（格式见第五章响应文件格式）</w:t>
            </w:r>
            <w:r>
              <w:rPr>
                <w:rFonts w:hint="eastAsia" w:ascii="仿宋" w:hAnsi="仿宋" w:eastAsia="仿宋" w:cs="仿宋"/>
                <w:b w:val="0"/>
                <w:bCs w:val="0"/>
                <w:color w:val="auto"/>
                <w:sz w:val="24"/>
                <w:highlight w:val="none"/>
              </w:rPr>
              <w:t>；</w:t>
            </w:r>
            <w:r>
              <w:rPr>
                <w:rFonts w:hint="eastAsia" w:ascii="仿宋" w:hAnsi="仿宋" w:eastAsia="仿宋" w:cs="仿宋"/>
                <w:b/>
                <w:bCs/>
                <w:color w:val="auto"/>
                <w:sz w:val="24"/>
                <w:highlight w:val="none"/>
              </w:rPr>
              <w:t>（必须提供，否则响应文件按无效响应处理）</w:t>
            </w:r>
          </w:p>
          <w:p w14:paraId="2A4AB243">
            <w:pPr>
              <w:snapToGrid w:val="0"/>
              <w:spacing w:line="360" w:lineRule="auto"/>
              <w:jc w:val="left"/>
              <w:rPr>
                <w:rFonts w:ascii="仿宋" w:hAnsi="仿宋" w:eastAsia="仿宋" w:cs="仿宋"/>
                <w:b/>
                <w:color w:val="auto"/>
                <w:sz w:val="24"/>
                <w:highlight w:val="none"/>
              </w:rPr>
            </w:pPr>
            <w:r>
              <w:rPr>
                <w:rFonts w:hint="eastAsia" w:ascii="仿宋" w:hAnsi="仿宋" w:eastAsia="仿宋" w:cs="仿宋"/>
                <w:b/>
                <w:color w:val="auto"/>
                <w:sz w:val="24"/>
                <w:highlight w:val="none"/>
              </w:rPr>
              <w:t>注：</w:t>
            </w:r>
          </w:p>
          <w:p w14:paraId="40FB8351">
            <w:pPr>
              <w:pStyle w:val="8"/>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1.以上标明“必须提供”的材料属于复印件的，必须加盖供应商电子公章，否则响应文件按无效响应处理。</w:t>
            </w:r>
          </w:p>
        </w:tc>
      </w:tr>
      <w:tr w14:paraId="433B1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ign w:val="center"/>
          </w:tcPr>
          <w:p w14:paraId="6646C9C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12.1.2</w:t>
            </w:r>
          </w:p>
        </w:tc>
        <w:tc>
          <w:tcPr>
            <w:tcW w:w="2786" w:type="dxa"/>
            <w:noWrap/>
            <w:vAlign w:val="center"/>
          </w:tcPr>
          <w:p w14:paraId="3CD37DC6">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商务文件组成</w:t>
            </w:r>
          </w:p>
        </w:tc>
        <w:tc>
          <w:tcPr>
            <w:tcW w:w="6853" w:type="dxa"/>
            <w:noWrap/>
            <w:vAlign w:val="center"/>
          </w:tcPr>
          <w:p w14:paraId="570BEF61">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1.法定代表人身份证明书及法定代表人有效身份证正反面复印件；（</w:t>
            </w:r>
            <w:r>
              <w:rPr>
                <w:rFonts w:hint="eastAsia" w:ascii="仿宋" w:hAnsi="仿宋" w:eastAsia="仿宋" w:cs="仿宋"/>
                <w:b/>
                <w:bCs/>
                <w:color w:val="auto"/>
                <w:sz w:val="24"/>
                <w:highlight w:val="none"/>
              </w:rPr>
              <w:t>除自然人协商外</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15363286">
            <w:pPr>
              <w:spacing w:line="360" w:lineRule="auto"/>
              <w:rPr>
                <w:rFonts w:ascii="仿宋" w:hAnsi="仿宋" w:eastAsia="仿宋" w:cs="仿宋"/>
                <w:b/>
                <w:color w:val="auto"/>
                <w:sz w:val="24"/>
                <w:highlight w:val="none"/>
              </w:rPr>
            </w:pPr>
            <w:r>
              <w:rPr>
                <w:rFonts w:hint="eastAsia" w:ascii="仿宋" w:hAnsi="仿宋" w:eastAsia="仿宋" w:cs="仿宋"/>
                <w:color w:val="auto"/>
                <w:sz w:val="24"/>
                <w:highlight w:val="none"/>
              </w:rPr>
              <w:t>2.法定代表人授权委托书及委托代理人有效身份证正反面复印件；（</w:t>
            </w:r>
            <w:r>
              <w:rPr>
                <w:rFonts w:hint="eastAsia" w:ascii="仿宋" w:hAnsi="仿宋" w:eastAsia="仿宋" w:cs="仿宋"/>
                <w:b/>
                <w:color w:val="auto"/>
                <w:sz w:val="24"/>
                <w:highlight w:val="none"/>
              </w:rPr>
              <w:t>委托时必须提供，否则响应文件按无效响应处理</w:t>
            </w:r>
            <w:r>
              <w:rPr>
                <w:rFonts w:hint="eastAsia" w:ascii="仿宋" w:hAnsi="仿宋" w:eastAsia="仿宋" w:cs="仿宋"/>
                <w:color w:val="auto"/>
                <w:sz w:val="24"/>
                <w:highlight w:val="none"/>
              </w:rPr>
              <w:t>）</w:t>
            </w:r>
          </w:p>
          <w:p w14:paraId="257797F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3.商务条款偏离表；（</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333CB5C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4.供应商情况介绍；</w:t>
            </w:r>
          </w:p>
          <w:p w14:paraId="2CB48B75">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5.供应商认为需要提供的其他有关资料。</w:t>
            </w:r>
          </w:p>
          <w:p w14:paraId="18E030C0">
            <w:pPr>
              <w:snapToGrid w:val="0"/>
              <w:spacing w:line="360" w:lineRule="auto"/>
              <w:jc w:val="left"/>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注： </w:t>
            </w:r>
          </w:p>
          <w:p w14:paraId="1EAA6390">
            <w:pPr>
              <w:snapToGrid w:val="0"/>
              <w:spacing w:line="360" w:lineRule="auto"/>
              <w:ind w:firstLine="472" w:firstLineChars="196"/>
              <w:jc w:val="left"/>
              <w:rPr>
                <w:rFonts w:ascii="仿宋" w:hAnsi="仿宋" w:eastAsia="仿宋" w:cs="仿宋"/>
                <w:b/>
                <w:color w:val="auto"/>
                <w:sz w:val="24"/>
                <w:highlight w:val="none"/>
              </w:rPr>
            </w:pPr>
            <w:r>
              <w:rPr>
                <w:rFonts w:hint="eastAsia" w:ascii="仿宋" w:hAnsi="仿宋" w:eastAsia="仿宋" w:cs="仿宋"/>
                <w:b/>
                <w:color w:val="auto"/>
                <w:sz w:val="24"/>
                <w:highlight w:val="none"/>
              </w:rPr>
              <w:t>1.法定代表人授权委托书必须由法定代表人及委托代理人签字，并加盖供应商公章，否则响应文件按无效响应处理。</w:t>
            </w:r>
          </w:p>
          <w:p w14:paraId="21AAE341">
            <w:pPr>
              <w:spacing w:line="360" w:lineRule="auto"/>
              <w:ind w:firstLine="472" w:firstLineChars="196"/>
              <w:rPr>
                <w:rFonts w:ascii="仿宋" w:hAnsi="仿宋" w:eastAsia="仿宋" w:cs="仿宋"/>
                <w:b/>
                <w:color w:val="auto"/>
                <w:sz w:val="24"/>
                <w:highlight w:val="none"/>
              </w:rPr>
            </w:pPr>
            <w:r>
              <w:rPr>
                <w:rFonts w:hint="eastAsia" w:ascii="仿宋" w:hAnsi="仿宋" w:eastAsia="仿宋" w:cs="仿宋"/>
                <w:b/>
                <w:color w:val="auto"/>
                <w:sz w:val="24"/>
                <w:highlight w:val="none"/>
              </w:rPr>
              <w:t>2.以上标明“必须提供”的材料属于复印件的扫描件的，必须加盖供应商电子公章，否则响应文件按无效响应处理。</w:t>
            </w:r>
          </w:p>
        </w:tc>
      </w:tr>
      <w:tr w14:paraId="756A1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ign w:val="center"/>
          </w:tcPr>
          <w:p w14:paraId="2CA28131">
            <w:pPr>
              <w:spacing w:line="360" w:lineRule="auto"/>
              <w:jc w:val="center"/>
              <w:rPr>
                <w:rFonts w:ascii="仿宋" w:hAnsi="仿宋" w:eastAsia="仿宋" w:cs="仿宋"/>
                <w:color w:val="auto"/>
                <w:sz w:val="24"/>
                <w:highlight w:val="none"/>
              </w:rPr>
            </w:pPr>
          </w:p>
        </w:tc>
        <w:tc>
          <w:tcPr>
            <w:tcW w:w="2786" w:type="dxa"/>
            <w:noWrap/>
            <w:vAlign w:val="center"/>
          </w:tcPr>
          <w:p w14:paraId="52AC186A">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技术文件组成</w:t>
            </w:r>
          </w:p>
        </w:tc>
        <w:tc>
          <w:tcPr>
            <w:tcW w:w="6853" w:type="dxa"/>
            <w:noWrap/>
            <w:vAlign w:val="center"/>
          </w:tcPr>
          <w:p w14:paraId="6400A58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1.服务需求偏离表；（</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6A1CFE2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2.施工组织设计（格式自拟）；（</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287FCA6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3.项目管理机构（格式自拟）；（</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0201B17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4.建设工程项目管理承诺书（格式见第五章响应文件格式）；（</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4E32E11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5.供应商认为需要提供的其他有关资料。</w:t>
            </w:r>
          </w:p>
          <w:p w14:paraId="0BDD795F">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注：1.以上标明“必须提供”的材料属于复印件的扫描件的，必须加盖供应商电子公章，否则响应文件按无效响应处理。</w:t>
            </w:r>
          </w:p>
        </w:tc>
      </w:tr>
      <w:tr w14:paraId="1AB60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1609847F">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12.1.3</w:t>
            </w:r>
          </w:p>
        </w:tc>
        <w:tc>
          <w:tcPr>
            <w:tcW w:w="2786" w:type="dxa"/>
            <w:noWrap/>
            <w:vAlign w:val="center"/>
          </w:tcPr>
          <w:p w14:paraId="38783550">
            <w:pPr>
              <w:spacing w:line="360" w:lineRule="auto"/>
              <w:jc w:val="center"/>
              <w:rPr>
                <w:rFonts w:ascii="仿宋" w:hAnsi="仿宋" w:eastAsia="仿宋" w:cs="仿宋"/>
                <w:color w:val="auto"/>
                <w:sz w:val="24"/>
                <w:highlight w:val="none"/>
              </w:rPr>
            </w:pPr>
            <w:r>
              <w:rPr>
                <w:rFonts w:hint="eastAsia" w:ascii="仿宋" w:hAnsi="仿宋" w:eastAsia="仿宋" w:cs="仿宋"/>
                <w:b/>
                <w:bCs/>
                <w:color w:val="auto"/>
                <w:sz w:val="24"/>
                <w:highlight w:val="none"/>
              </w:rPr>
              <w:t>报价文件组成</w:t>
            </w:r>
          </w:p>
        </w:tc>
        <w:tc>
          <w:tcPr>
            <w:tcW w:w="6853" w:type="dxa"/>
            <w:noWrap/>
            <w:vAlign w:val="center"/>
          </w:tcPr>
          <w:p w14:paraId="3A8F3A00">
            <w:pPr>
              <w:tabs>
                <w:tab w:val="left" w:pos="459"/>
              </w:tabs>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1.响应函；</w:t>
            </w:r>
            <w:r>
              <w:rPr>
                <w:rFonts w:hint="eastAsia" w:ascii="仿宋" w:hAnsi="仿宋" w:eastAsia="仿宋" w:cs="仿宋"/>
                <w:b/>
                <w:color w:val="auto"/>
                <w:sz w:val="24"/>
                <w:highlight w:val="none"/>
              </w:rPr>
              <w:t>（必须提供，否则作无效响应处理）</w:t>
            </w:r>
          </w:p>
          <w:p w14:paraId="130E773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2.协商报价表；（</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14C2E0B0">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注：1.上述材料必须在规定盖章处加盖供应商公章，否则</w:t>
            </w:r>
            <w:r>
              <w:rPr>
                <w:rFonts w:hint="eastAsia" w:ascii="仿宋" w:hAnsi="仿宋" w:eastAsia="仿宋" w:cs="仿宋"/>
                <w:b/>
                <w:color w:val="auto"/>
                <w:sz w:val="24"/>
                <w:highlight w:val="none"/>
              </w:rPr>
              <w:t>作无效响应处理</w:t>
            </w:r>
            <w:r>
              <w:rPr>
                <w:rFonts w:hint="eastAsia" w:ascii="仿宋" w:hAnsi="仿宋" w:eastAsia="仿宋" w:cs="仿宋"/>
                <w:b/>
                <w:bCs/>
                <w:color w:val="auto"/>
                <w:sz w:val="24"/>
                <w:highlight w:val="none"/>
              </w:rPr>
              <w:t>。</w:t>
            </w:r>
          </w:p>
        </w:tc>
      </w:tr>
      <w:tr w14:paraId="0FAC2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7116AA2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12.2</w:t>
            </w:r>
          </w:p>
        </w:tc>
        <w:tc>
          <w:tcPr>
            <w:tcW w:w="2786" w:type="dxa"/>
            <w:noWrap/>
            <w:vAlign w:val="center"/>
          </w:tcPr>
          <w:p w14:paraId="1CD2E80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响应文件电子版要求</w:t>
            </w:r>
          </w:p>
        </w:tc>
        <w:tc>
          <w:tcPr>
            <w:tcW w:w="6853" w:type="dxa"/>
            <w:noWrap/>
            <w:vAlign w:val="center"/>
          </w:tcPr>
          <w:p w14:paraId="4353CF83">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仿宋" w:hAnsi="仿宋" w:eastAsia="仿宋" w:cs="仿宋"/>
                <w:b/>
                <w:color w:val="auto"/>
                <w:sz w:val="24"/>
                <w:highlight w:val="none"/>
              </w:rPr>
              <w:t>否则响应文件按无效响应处理</w:t>
            </w:r>
            <w:r>
              <w:rPr>
                <w:rFonts w:hint="eastAsia" w:ascii="仿宋" w:hAnsi="仿宋" w:eastAsia="仿宋" w:cs="仿宋"/>
                <w:color w:val="auto"/>
                <w:sz w:val="24"/>
                <w:highlight w:val="none"/>
              </w:rPr>
              <w:t>。</w:t>
            </w:r>
          </w:p>
          <w:p w14:paraId="0F1D09AF">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2.响应文件电子版密封方式：电子响应文件通过平台有效CA加密后在广西政府采购云平台投送。（操作方式见公告附件“电子响应文件制作与投送教程” ）</w:t>
            </w:r>
          </w:p>
        </w:tc>
      </w:tr>
      <w:tr w14:paraId="5948D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0A2BF71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15.2</w:t>
            </w:r>
          </w:p>
        </w:tc>
        <w:tc>
          <w:tcPr>
            <w:tcW w:w="2786" w:type="dxa"/>
            <w:noWrap/>
            <w:vAlign w:val="center"/>
          </w:tcPr>
          <w:p w14:paraId="0371549F">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协商报价要求</w:t>
            </w:r>
          </w:p>
        </w:tc>
        <w:tc>
          <w:tcPr>
            <w:tcW w:w="6853" w:type="dxa"/>
            <w:noWrap/>
            <w:vAlign w:val="center"/>
          </w:tcPr>
          <w:p w14:paraId="2873297A">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协商报价采用下浮系数报价（报价范围：0≤下浮系数＜100%），供应商应认真阅读经采购人审定的最高限价，参与协商即表示认可最高限价，成交后依据采购预算价（招标控制价）公布的相应的清单项目的单价乘以（1-下浮系数）进行结算，供应商不得对采购人的采购预算价（招标控制价）中的综合单价进行修改。</w:t>
            </w:r>
          </w:p>
          <w:p w14:paraId="3A3E293C">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2.协商报价必须包含满足本次协商全部采购需求所应提供的服务，以及伴随的货物和工程（如有）的价格；包含协商服务、货物、工程的成本、运输（含保险）、安装（如有）、调试、检验、技术服务、培训、税费等所有费用。</w:t>
            </w:r>
            <w:r>
              <w:rPr>
                <w:rFonts w:hint="eastAsia" w:ascii="仿宋" w:hAnsi="仿宋" w:eastAsia="仿宋" w:cs="仿宋"/>
                <w:b/>
                <w:color w:val="auto"/>
                <w:sz w:val="24"/>
                <w:highlight w:val="none"/>
              </w:rPr>
              <w:t>（采购需求另有约定的，从其约定。）</w:t>
            </w:r>
          </w:p>
        </w:tc>
      </w:tr>
      <w:tr w14:paraId="2833A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4607B20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16.2</w:t>
            </w:r>
          </w:p>
        </w:tc>
        <w:tc>
          <w:tcPr>
            <w:tcW w:w="2786" w:type="dxa"/>
            <w:noWrap/>
            <w:vAlign w:val="center"/>
          </w:tcPr>
          <w:p w14:paraId="1BB7793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协商有效期</w:t>
            </w:r>
          </w:p>
        </w:tc>
        <w:tc>
          <w:tcPr>
            <w:tcW w:w="6853" w:type="dxa"/>
            <w:noWrap/>
            <w:vAlign w:val="center"/>
          </w:tcPr>
          <w:p w14:paraId="6CEA32A4">
            <w:pPr>
              <w:pStyle w:val="6"/>
              <w:numPr>
                <w:ilvl w:val="0"/>
                <w:numId w:val="0"/>
              </w:numPr>
              <w:tabs>
                <w:tab w:val="left" w:pos="720"/>
                <w:tab w:val="left" w:pos="840"/>
                <w:tab w:val="clear" w:pos="360"/>
              </w:tabs>
              <w:snapToGrid w:val="0"/>
              <w:spacing w:line="360" w:lineRule="auto"/>
              <w:ind w:left="-283" w:leftChars="-135"/>
              <w:rPr>
                <w:rFonts w:ascii="仿宋" w:hAnsi="仿宋" w:eastAsia="仿宋" w:cs="仿宋"/>
                <w:color w:val="auto"/>
                <w:sz w:val="24"/>
                <w:highlight w:val="none"/>
              </w:rPr>
            </w:pPr>
            <w:r>
              <w:rPr>
                <w:rFonts w:hint="eastAsia" w:ascii="仿宋" w:hAnsi="仿宋" w:eastAsia="仿宋" w:cs="仿宋"/>
                <w:color w:val="auto"/>
                <w:sz w:val="24"/>
                <w:highlight w:val="none"/>
              </w:rPr>
              <w:t>自首次响应文件提交截止之日起</w:t>
            </w:r>
            <w:bookmarkStart w:id="41" w:name="PO_3000001870_PM046"/>
            <w:r>
              <w:rPr>
                <w:rFonts w:hint="eastAsia" w:ascii="仿宋" w:hAnsi="仿宋" w:eastAsia="仿宋" w:cs="仿宋"/>
                <w:color w:val="auto"/>
                <w:sz w:val="24"/>
                <w:highlight w:val="none"/>
                <w:u w:val="single"/>
              </w:rPr>
              <w:t>90</w:t>
            </w:r>
            <w:r>
              <w:rPr>
                <w:rFonts w:hint="eastAsia" w:ascii="仿宋" w:hAnsi="仿宋" w:eastAsia="仿宋" w:cs="仿宋"/>
                <w:color w:val="auto"/>
                <w:sz w:val="24"/>
                <w:highlight w:val="none"/>
              </w:rPr>
              <w:t>日历</w:t>
            </w:r>
            <w:bookmarkEnd w:id="41"/>
            <w:r>
              <w:rPr>
                <w:rFonts w:hint="eastAsia" w:ascii="仿宋" w:hAnsi="仿宋" w:eastAsia="仿宋" w:cs="仿宋"/>
                <w:color w:val="auto"/>
                <w:sz w:val="24"/>
                <w:highlight w:val="none"/>
              </w:rPr>
              <w:t>日。</w:t>
            </w:r>
          </w:p>
        </w:tc>
      </w:tr>
      <w:tr w14:paraId="48598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01710D9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17.1</w:t>
            </w:r>
          </w:p>
        </w:tc>
        <w:tc>
          <w:tcPr>
            <w:tcW w:w="2786" w:type="dxa"/>
            <w:noWrap/>
            <w:vAlign w:val="center"/>
          </w:tcPr>
          <w:p w14:paraId="385113A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协商保证金</w:t>
            </w:r>
          </w:p>
        </w:tc>
        <w:tc>
          <w:tcPr>
            <w:tcW w:w="6853" w:type="dxa"/>
            <w:noWrap/>
            <w:vAlign w:val="center"/>
          </w:tcPr>
          <w:p w14:paraId="206461A3">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本项目不收取保证金。</w:t>
            </w:r>
          </w:p>
        </w:tc>
      </w:tr>
      <w:tr w14:paraId="0FCE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ign w:val="center"/>
          </w:tcPr>
          <w:p w14:paraId="00EB8DB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20.1</w:t>
            </w:r>
          </w:p>
        </w:tc>
        <w:tc>
          <w:tcPr>
            <w:tcW w:w="2786" w:type="dxa"/>
            <w:noWrap/>
            <w:vAlign w:val="center"/>
          </w:tcPr>
          <w:p w14:paraId="1772F75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首次响应文件提交起止时间</w:t>
            </w:r>
          </w:p>
        </w:tc>
        <w:tc>
          <w:tcPr>
            <w:tcW w:w="6853" w:type="dxa"/>
            <w:noWrap/>
            <w:vAlign w:val="center"/>
          </w:tcPr>
          <w:p w14:paraId="3872A240">
            <w:pPr>
              <w:snapToGrid w:val="0"/>
              <w:spacing w:line="360" w:lineRule="auto"/>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详见单一来源邀请函。</w:t>
            </w:r>
          </w:p>
        </w:tc>
      </w:tr>
      <w:tr w14:paraId="60C2D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ign w:val="center"/>
          </w:tcPr>
          <w:p w14:paraId="06E7EC43">
            <w:pPr>
              <w:spacing w:line="360" w:lineRule="auto"/>
              <w:jc w:val="center"/>
              <w:rPr>
                <w:rFonts w:ascii="仿宋" w:hAnsi="仿宋" w:eastAsia="仿宋" w:cs="仿宋"/>
                <w:color w:val="auto"/>
                <w:sz w:val="24"/>
                <w:highlight w:val="none"/>
              </w:rPr>
            </w:pPr>
          </w:p>
        </w:tc>
        <w:tc>
          <w:tcPr>
            <w:tcW w:w="2786" w:type="dxa"/>
            <w:noWrap/>
            <w:vAlign w:val="center"/>
          </w:tcPr>
          <w:p w14:paraId="2587DC8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首次响应文件提交地点</w:t>
            </w:r>
          </w:p>
        </w:tc>
        <w:tc>
          <w:tcPr>
            <w:tcW w:w="6853" w:type="dxa"/>
            <w:noWrap/>
            <w:vAlign w:val="center"/>
          </w:tcPr>
          <w:p w14:paraId="46456C3F">
            <w:pPr>
              <w:snapToGrid w:val="0"/>
              <w:spacing w:line="360" w:lineRule="auto"/>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详见单一来源邀请函。</w:t>
            </w:r>
          </w:p>
        </w:tc>
      </w:tr>
      <w:tr w14:paraId="3085D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ign w:val="center"/>
          </w:tcPr>
          <w:p w14:paraId="5A88FC9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20.6</w:t>
            </w:r>
          </w:p>
        </w:tc>
        <w:tc>
          <w:tcPr>
            <w:tcW w:w="2786" w:type="dxa"/>
            <w:noWrap/>
            <w:vAlign w:val="center"/>
          </w:tcPr>
          <w:p w14:paraId="6AC1A55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备份响应文件</w:t>
            </w:r>
          </w:p>
        </w:tc>
        <w:tc>
          <w:tcPr>
            <w:tcW w:w="6853" w:type="dxa"/>
            <w:noWrap/>
            <w:vAlign w:val="center"/>
          </w:tcPr>
          <w:p w14:paraId="6960C039">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本项目不接受备份响应文件。</w:t>
            </w:r>
          </w:p>
        </w:tc>
      </w:tr>
      <w:tr w14:paraId="3395A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ign w:val="center"/>
          </w:tcPr>
          <w:p w14:paraId="3ABC815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2786" w:type="dxa"/>
            <w:noWrap/>
            <w:vAlign w:val="center"/>
          </w:tcPr>
          <w:p w14:paraId="3E25E80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首次响应文件的退回</w:t>
            </w:r>
          </w:p>
        </w:tc>
        <w:tc>
          <w:tcPr>
            <w:tcW w:w="6853" w:type="dxa"/>
            <w:noWrap/>
            <w:vAlign w:val="center"/>
          </w:tcPr>
          <w:p w14:paraId="089742AA">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详见单一来源邀请函。</w:t>
            </w:r>
          </w:p>
        </w:tc>
      </w:tr>
      <w:tr w14:paraId="03AE1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725" w:type="dxa"/>
            <w:vMerge w:val="restart"/>
            <w:noWrap/>
            <w:vAlign w:val="center"/>
          </w:tcPr>
          <w:p w14:paraId="667D846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26.2</w:t>
            </w:r>
          </w:p>
        </w:tc>
        <w:tc>
          <w:tcPr>
            <w:tcW w:w="2786" w:type="dxa"/>
            <w:noWrap/>
            <w:vAlign w:val="center"/>
          </w:tcPr>
          <w:p w14:paraId="54B02105">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负偏离要求</w:t>
            </w:r>
          </w:p>
        </w:tc>
        <w:tc>
          <w:tcPr>
            <w:tcW w:w="6853" w:type="dxa"/>
            <w:noWrap/>
            <w:vAlign w:val="center"/>
          </w:tcPr>
          <w:p w14:paraId="2745305F">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商务条款评审中允许负偏离的条款数为</w:t>
            </w:r>
            <w:r>
              <w:rPr>
                <w:rFonts w:hint="eastAsia" w:ascii="仿宋" w:hAnsi="仿宋" w:eastAsia="仿宋" w:cs="仿宋"/>
                <w:color w:val="auto"/>
                <w:sz w:val="24"/>
                <w:highlight w:val="none"/>
                <w:u w:val="single"/>
              </w:rPr>
              <w:t xml:space="preserve"> 0</w:t>
            </w:r>
            <w:r>
              <w:rPr>
                <w:rFonts w:hint="eastAsia" w:ascii="仿宋" w:hAnsi="仿宋" w:eastAsia="仿宋" w:cs="仿宋"/>
                <w:color w:val="auto"/>
                <w:sz w:val="24"/>
                <w:highlight w:val="none"/>
              </w:rPr>
              <w:t>项。</w:t>
            </w:r>
          </w:p>
          <w:p w14:paraId="5BD9E547">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服务需求评审中允许负偏离的条款数为</w:t>
            </w:r>
            <w:r>
              <w:rPr>
                <w:rFonts w:hint="eastAsia" w:ascii="仿宋" w:hAnsi="仿宋" w:eastAsia="仿宋" w:cs="仿宋"/>
                <w:color w:val="auto"/>
                <w:sz w:val="24"/>
                <w:highlight w:val="none"/>
                <w:u w:val="single"/>
              </w:rPr>
              <w:t xml:space="preserve"> 0</w:t>
            </w:r>
            <w:r>
              <w:rPr>
                <w:rFonts w:hint="eastAsia" w:ascii="仿宋" w:hAnsi="仿宋" w:eastAsia="仿宋" w:cs="仿宋"/>
                <w:color w:val="auto"/>
                <w:sz w:val="24"/>
                <w:highlight w:val="none"/>
              </w:rPr>
              <w:t>项。</w:t>
            </w:r>
          </w:p>
        </w:tc>
      </w:tr>
      <w:tr w14:paraId="58CF6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ign w:val="center"/>
          </w:tcPr>
          <w:p w14:paraId="0A129C3E">
            <w:pPr>
              <w:spacing w:line="360" w:lineRule="auto"/>
              <w:jc w:val="center"/>
              <w:rPr>
                <w:rFonts w:ascii="仿宋" w:hAnsi="仿宋" w:eastAsia="仿宋" w:cs="仿宋"/>
                <w:color w:val="auto"/>
                <w:sz w:val="24"/>
                <w:highlight w:val="none"/>
              </w:rPr>
            </w:pPr>
          </w:p>
        </w:tc>
        <w:tc>
          <w:tcPr>
            <w:tcW w:w="2786" w:type="dxa"/>
            <w:noWrap/>
            <w:vAlign w:val="center"/>
          </w:tcPr>
          <w:p w14:paraId="5E312873">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协商的顺序</w:t>
            </w:r>
          </w:p>
        </w:tc>
        <w:tc>
          <w:tcPr>
            <w:tcW w:w="6853" w:type="dxa"/>
            <w:noWrap/>
            <w:vAlign w:val="center"/>
          </w:tcPr>
          <w:p w14:paraId="5D8E9DFE">
            <w:pPr>
              <w:snapToGrid w:val="0"/>
              <w:spacing w:line="360" w:lineRule="auto"/>
              <w:rPr>
                <w:rFonts w:ascii="仿宋" w:hAnsi="仿宋" w:eastAsia="仿宋" w:cs="仿宋"/>
                <w:b/>
                <w:color w:val="auto"/>
                <w:sz w:val="24"/>
                <w:highlight w:val="none"/>
              </w:rPr>
            </w:pPr>
            <w:r>
              <w:rPr>
                <w:rFonts w:hint="eastAsia" w:ascii="仿宋" w:hAnsi="仿宋" w:eastAsia="仿宋" w:cs="仿宋"/>
                <w:color w:val="auto"/>
                <w:sz w:val="24"/>
                <w:highlight w:val="none"/>
              </w:rPr>
              <w:t>系统自动提取的顺序</w:t>
            </w:r>
          </w:p>
        </w:tc>
      </w:tr>
      <w:tr w14:paraId="35034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677171B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28</w:t>
            </w:r>
          </w:p>
        </w:tc>
        <w:tc>
          <w:tcPr>
            <w:tcW w:w="2786" w:type="dxa"/>
            <w:noWrap/>
            <w:vAlign w:val="center"/>
          </w:tcPr>
          <w:p w14:paraId="2A6DC31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履约保证金</w:t>
            </w:r>
          </w:p>
        </w:tc>
        <w:tc>
          <w:tcPr>
            <w:tcW w:w="6853" w:type="dxa"/>
            <w:noWrap/>
            <w:vAlign w:val="center"/>
          </w:tcPr>
          <w:p w14:paraId="0A3B5E10">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本项目不收取履约保证金 </w:t>
            </w:r>
          </w:p>
        </w:tc>
      </w:tr>
      <w:tr w14:paraId="70AC2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5C7E66D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29.5</w:t>
            </w:r>
          </w:p>
        </w:tc>
        <w:tc>
          <w:tcPr>
            <w:tcW w:w="2786" w:type="dxa"/>
            <w:noWrap/>
            <w:vAlign w:val="center"/>
          </w:tcPr>
          <w:p w14:paraId="75BACEE5">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签订合同携带的材料</w:t>
            </w:r>
          </w:p>
        </w:tc>
        <w:tc>
          <w:tcPr>
            <w:tcW w:w="6853" w:type="dxa"/>
            <w:noWrap/>
            <w:vAlign w:val="center"/>
          </w:tcPr>
          <w:p w14:paraId="36AC938C">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使用的有效CA证书加盖单位电子公章</w:t>
            </w:r>
          </w:p>
        </w:tc>
      </w:tr>
      <w:tr w14:paraId="7C261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ign w:val="center"/>
          </w:tcPr>
          <w:p w14:paraId="7CEFF00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31.2</w:t>
            </w:r>
          </w:p>
        </w:tc>
        <w:tc>
          <w:tcPr>
            <w:tcW w:w="2786" w:type="dxa"/>
            <w:noWrap/>
            <w:vAlign w:val="center"/>
          </w:tcPr>
          <w:p w14:paraId="2DF00A9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接收质疑函方式</w:t>
            </w:r>
          </w:p>
        </w:tc>
        <w:tc>
          <w:tcPr>
            <w:tcW w:w="6853" w:type="dxa"/>
            <w:noWrap/>
            <w:vAlign w:val="center"/>
          </w:tcPr>
          <w:p w14:paraId="7B2C6D1F">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以书面形式</w:t>
            </w:r>
          </w:p>
        </w:tc>
      </w:tr>
      <w:tr w14:paraId="2A89D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ign w:val="center"/>
          </w:tcPr>
          <w:p w14:paraId="2C4BDBF9">
            <w:pPr>
              <w:spacing w:line="360" w:lineRule="auto"/>
              <w:jc w:val="center"/>
              <w:rPr>
                <w:rFonts w:ascii="仿宋" w:hAnsi="仿宋" w:eastAsia="仿宋" w:cs="仿宋"/>
                <w:color w:val="auto"/>
                <w:sz w:val="24"/>
                <w:highlight w:val="none"/>
              </w:rPr>
            </w:pPr>
          </w:p>
        </w:tc>
        <w:tc>
          <w:tcPr>
            <w:tcW w:w="2786" w:type="dxa"/>
            <w:noWrap/>
            <w:vAlign w:val="center"/>
          </w:tcPr>
          <w:p w14:paraId="63969F8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质疑联系部门及联系方式</w:t>
            </w:r>
          </w:p>
        </w:tc>
        <w:tc>
          <w:tcPr>
            <w:tcW w:w="6853" w:type="dxa"/>
            <w:noWrap/>
            <w:vAlign w:val="center"/>
          </w:tcPr>
          <w:p w14:paraId="6675A4D4">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（1）广西国泰招标咨询有限公司    </w:t>
            </w:r>
            <w:r>
              <w:rPr>
                <w:rFonts w:hint="eastAsia" w:ascii="仿宋" w:hAnsi="仿宋" w:eastAsia="仿宋" w:cs="仿宋"/>
                <w:color w:val="auto"/>
                <w:sz w:val="24"/>
                <w:highlight w:val="none"/>
              </w:rPr>
              <w:t>；</w:t>
            </w:r>
          </w:p>
          <w:p w14:paraId="5F4BB13D">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13026917813</w:t>
            </w:r>
          </w:p>
          <w:p w14:paraId="7DD2F4C8">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 xml:space="preserve"> 南宁市青秀区民族大道141号中鼎万象东方D区6层 </w:t>
            </w:r>
            <w:r>
              <w:rPr>
                <w:rFonts w:hint="eastAsia" w:ascii="仿宋" w:hAnsi="仿宋" w:eastAsia="仿宋" w:cs="仿宋"/>
                <w:color w:val="auto"/>
                <w:sz w:val="24"/>
                <w:highlight w:val="none"/>
              </w:rPr>
              <w:t xml:space="preserve"> </w:t>
            </w:r>
          </w:p>
          <w:p w14:paraId="29C3EC14">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（2）南宁市城市照明事务服务中心    </w:t>
            </w:r>
            <w:r>
              <w:rPr>
                <w:rFonts w:hint="eastAsia" w:ascii="仿宋" w:hAnsi="仿宋" w:eastAsia="仿宋" w:cs="仿宋"/>
                <w:color w:val="auto"/>
                <w:sz w:val="24"/>
                <w:highlight w:val="none"/>
              </w:rPr>
              <w:t>；</w:t>
            </w:r>
          </w:p>
          <w:p w14:paraId="444E4F2D">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0771-2869252</w:t>
            </w:r>
            <w:r>
              <w:rPr>
                <w:rFonts w:hint="eastAsia" w:ascii="仿宋" w:hAnsi="仿宋" w:eastAsia="仿宋" w:cs="仿宋"/>
                <w:color w:val="auto"/>
                <w:sz w:val="24"/>
                <w:highlight w:val="none"/>
              </w:rPr>
              <w:t xml:space="preserve"> </w:t>
            </w:r>
          </w:p>
          <w:p w14:paraId="3E87711A">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 xml:space="preserve"> 南宁市青秀区葛村路22号 </w:t>
            </w:r>
            <w:r>
              <w:rPr>
                <w:rFonts w:hint="eastAsia" w:ascii="仿宋" w:hAnsi="仿宋" w:eastAsia="仿宋" w:cs="仿宋"/>
                <w:color w:val="auto"/>
                <w:sz w:val="24"/>
                <w:highlight w:val="none"/>
              </w:rPr>
              <w:t xml:space="preserve"> </w:t>
            </w:r>
          </w:p>
        </w:tc>
      </w:tr>
      <w:tr w14:paraId="065D3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ign w:val="center"/>
          </w:tcPr>
          <w:p w14:paraId="0E830DBB">
            <w:pPr>
              <w:spacing w:line="360" w:lineRule="auto"/>
              <w:jc w:val="center"/>
              <w:rPr>
                <w:rFonts w:ascii="仿宋" w:hAnsi="仿宋" w:eastAsia="仿宋" w:cs="仿宋"/>
                <w:color w:val="auto"/>
                <w:sz w:val="24"/>
                <w:highlight w:val="none"/>
              </w:rPr>
            </w:pPr>
          </w:p>
        </w:tc>
        <w:tc>
          <w:tcPr>
            <w:tcW w:w="2786" w:type="dxa"/>
            <w:noWrap/>
            <w:vAlign w:val="center"/>
          </w:tcPr>
          <w:p w14:paraId="34E66E1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现场提交质疑办理业务时间</w:t>
            </w:r>
          </w:p>
        </w:tc>
        <w:tc>
          <w:tcPr>
            <w:tcW w:w="6853" w:type="dxa"/>
            <w:noWrap/>
            <w:vAlign w:val="center"/>
          </w:tcPr>
          <w:p w14:paraId="77B67737">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质疑期内每个工作日</w:t>
            </w:r>
            <w:r>
              <w:rPr>
                <w:rFonts w:hint="eastAsia" w:ascii="仿宋" w:hAnsi="仿宋" w:eastAsia="仿宋" w:cs="仿宋"/>
                <w:color w:val="auto"/>
                <w:sz w:val="24"/>
                <w:highlight w:val="none"/>
                <w:u w:val="single"/>
              </w:rPr>
              <w:t>09</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00</w:t>
            </w:r>
            <w:r>
              <w:rPr>
                <w:rFonts w:hint="eastAsia" w:ascii="仿宋" w:hAnsi="仿宋" w:eastAsia="仿宋" w:cs="仿宋"/>
                <w:color w:val="auto"/>
                <w:sz w:val="24"/>
                <w:highlight w:val="none"/>
              </w:rPr>
              <w:t>分到</w:t>
            </w:r>
            <w:r>
              <w:rPr>
                <w:rFonts w:hint="eastAsia" w:ascii="仿宋" w:hAnsi="仿宋" w:eastAsia="仿宋" w:cs="仿宋"/>
                <w:color w:val="auto"/>
                <w:sz w:val="24"/>
                <w:highlight w:val="none"/>
                <w:u w:val="single"/>
              </w:rPr>
              <w:t>12</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00</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u w:val="single"/>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00</w:t>
            </w:r>
            <w:r>
              <w:rPr>
                <w:rFonts w:hint="eastAsia" w:ascii="仿宋" w:hAnsi="仿宋" w:eastAsia="仿宋" w:cs="仿宋"/>
                <w:color w:val="auto"/>
                <w:sz w:val="24"/>
                <w:highlight w:val="none"/>
              </w:rPr>
              <w:t>分到</w:t>
            </w:r>
            <w:r>
              <w:rPr>
                <w:rFonts w:hint="eastAsia" w:ascii="仿宋" w:hAnsi="仿宋" w:eastAsia="仿宋" w:cs="仿宋"/>
                <w:color w:val="auto"/>
                <w:sz w:val="24"/>
                <w:highlight w:val="none"/>
                <w:u w:val="single"/>
              </w:rPr>
              <w:t>18</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u w:val="single"/>
              </w:rPr>
              <w:t>00</w:t>
            </w:r>
            <w:r>
              <w:rPr>
                <w:rFonts w:hint="eastAsia" w:ascii="仿宋" w:hAnsi="仿宋" w:eastAsia="仿宋" w:cs="仿宋"/>
                <w:color w:val="auto"/>
                <w:sz w:val="24"/>
                <w:highlight w:val="none"/>
              </w:rPr>
              <w:t>分</w:t>
            </w:r>
          </w:p>
        </w:tc>
      </w:tr>
      <w:tr w14:paraId="07DEF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37B6B3CF">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31.6</w:t>
            </w:r>
          </w:p>
        </w:tc>
        <w:tc>
          <w:tcPr>
            <w:tcW w:w="2786" w:type="dxa"/>
            <w:noWrap/>
            <w:vAlign w:val="center"/>
          </w:tcPr>
          <w:p w14:paraId="65BBC67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受理投诉方式</w:t>
            </w:r>
          </w:p>
        </w:tc>
        <w:tc>
          <w:tcPr>
            <w:tcW w:w="6853" w:type="dxa"/>
            <w:noWrap/>
            <w:vAlign w:val="center"/>
          </w:tcPr>
          <w:p w14:paraId="3000CDBD">
            <w:pPr>
              <w:snapToGrid w:val="0"/>
              <w:spacing w:line="360" w:lineRule="auto"/>
              <w:rPr>
                <w:rFonts w:ascii="仿宋" w:hAnsi="仿宋" w:eastAsia="仿宋" w:cs="仿宋"/>
                <w:color w:val="auto"/>
                <w:sz w:val="24"/>
                <w:highlight w:val="none"/>
              </w:rPr>
            </w:pPr>
            <w:bookmarkStart w:id="42" w:name="PO_3000001870_PM038"/>
            <w:r>
              <w:rPr>
                <w:rFonts w:hint="eastAsia" w:ascii="仿宋" w:hAnsi="仿宋" w:eastAsia="仿宋" w:cs="仿宋"/>
                <w:color w:val="auto"/>
                <w:sz w:val="24"/>
                <w:highlight w:val="none"/>
              </w:rPr>
              <w:t>1.受理方式：纸质方式受理，投诉书正、副本（经过质疑的事项才可投诉）。</w:t>
            </w:r>
          </w:p>
          <w:p w14:paraId="5D30C2BA">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2.名称：</w:t>
            </w:r>
            <w:bookmarkStart w:id="43" w:name="PO_3000001866_PM036"/>
            <w:r>
              <w:rPr>
                <w:rFonts w:hint="eastAsia" w:ascii="仿宋" w:hAnsi="仿宋" w:eastAsia="仿宋" w:cs="仿宋"/>
                <w:color w:val="auto"/>
                <w:sz w:val="24"/>
                <w:szCs w:val="24"/>
                <w:highlight w:val="none"/>
              </w:rPr>
              <w:t>南宁市财政局政府采购监督管理科</w:t>
            </w:r>
            <w:bookmarkEnd w:id="43"/>
          </w:p>
          <w:p w14:paraId="2F0A510C">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地址：南宁市青秀区东葛路129号</w:t>
            </w:r>
          </w:p>
          <w:p w14:paraId="1A57DD4A">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bookmarkStart w:id="44" w:name="PO_3000001866_PM038_1"/>
            <w:r>
              <w:rPr>
                <w:rFonts w:hint="eastAsia" w:ascii="仿宋" w:hAnsi="仿宋" w:eastAsia="仿宋" w:cs="仿宋"/>
                <w:color w:val="auto"/>
                <w:sz w:val="24"/>
                <w:szCs w:val="24"/>
                <w:highlight w:val="none"/>
              </w:rPr>
              <w:t>0771-2189091</w:t>
            </w:r>
            <w:bookmarkEnd w:id="44"/>
            <w:r>
              <w:rPr>
                <w:rFonts w:hint="eastAsia" w:ascii="仿宋" w:hAnsi="仿宋" w:eastAsia="仿宋" w:cs="仿宋"/>
                <w:color w:val="auto"/>
                <w:kern w:val="2"/>
                <w:sz w:val="24"/>
                <w:szCs w:val="24"/>
                <w:highlight w:val="none"/>
              </w:rPr>
              <w:t xml:space="preserve"> </w:t>
            </w:r>
            <w:bookmarkEnd w:id="42"/>
          </w:p>
        </w:tc>
      </w:tr>
      <w:tr w14:paraId="399D2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2B33973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33</w:t>
            </w:r>
          </w:p>
        </w:tc>
        <w:tc>
          <w:tcPr>
            <w:tcW w:w="2786" w:type="dxa"/>
            <w:noWrap/>
            <w:vAlign w:val="center"/>
          </w:tcPr>
          <w:p w14:paraId="710FAF6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采购代理费</w:t>
            </w:r>
          </w:p>
        </w:tc>
        <w:tc>
          <w:tcPr>
            <w:tcW w:w="6853" w:type="dxa"/>
            <w:noWrap/>
            <w:vAlign w:val="center"/>
          </w:tcPr>
          <w:p w14:paraId="1669D049">
            <w:pPr>
              <w:snapToGrid w:val="0"/>
              <w:spacing w:line="336"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1.是否收取采购代理费：</w:t>
            </w:r>
          </w:p>
          <w:p w14:paraId="12A9B0FF">
            <w:pPr>
              <w:snapToGrid w:val="0"/>
              <w:spacing w:line="336"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是    □ 否</w:t>
            </w:r>
          </w:p>
          <w:p w14:paraId="486A2856">
            <w:pPr>
              <w:snapToGrid w:val="0"/>
              <w:spacing w:line="336"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2.采购代理费支付方式：</w:t>
            </w:r>
          </w:p>
          <w:p w14:paraId="76307110">
            <w:pPr>
              <w:snapToGrid w:val="0"/>
              <w:spacing w:line="336"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☑本项目代理服务费由</w:t>
            </w:r>
            <w:r>
              <w:rPr>
                <w:rFonts w:hint="eastAsia" w:ascii="仿宋" w:hAnsi="仿宋" w:eastAsia="仿宋" w:cs="仿宋"/>
                <w:color w:val="auto"/>
                <w:kern w:val="0"/>
                <w:sz w:val="24"/>
                <w:highlight w:val="none"/>
                <w:u w:val="single"/>
              </w:rPr>
              <w:t>成交供应商</w:t>
            </w:r>
            <w:r>
              <w:rPr>
                <w:rFonts w:hint="eastAsia" w:ascii="仿宋" w:hAnsi="仿宋" w:eastAsia="仿宋" w:cs="仿宋"/>
                <w:color w:val="auto"/>
                <w:kern w:val="0"/>
                <w:sz w:val="24"/>
                <w:highlight w:val="none"/>
              </w:rPr>
              <w:t>领取成交通知书时，一次性向采购代理机构支付。</w:t>
            </w:r>
          </w:p>
          <w:p w14:paraId="06D30C37">
            <w:pPr>
              <w:snapToGrid w:val="0"/>
              <w:spacing w:line="336"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□采购人支付。</w:t>
            </w:r>
          </w:p>
          <w:p w14:paraId="4A9CBFE6">
            <w:pPr>
              <w:snapToGrid w:val="0"/>
              <w:spacing w:line="336"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3.采购代理费收取标准：</w:t>
            </w:r>
          </w:p>
          <w:p w14:paraId="4C7B2901">
            <w:pPr>
              <w:snapToGrid w:val="0"/>
              <w:spacing w:line="336" w:lineRule="auto"/>
              <w:rPr>
                <w:rFonts w:ascii="仿宋" w:hAnsi="仿宋" w:eastAsia="仿宋" w:cs="仿宋"/>
                <w:color w:val="auto"/>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以分标（</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成交金额/□采购预算/□暂定成交金额/□其他   ）为计费额，按国家发改委（计价格[2002]1980号）规定（工程类）采用差额定率累进法计算出收费基准价格，采购代理收费以（</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收费基准价格/</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收费基准价下浮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/□收费基准价格上浮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w:t>
            </w:r>
          </w:p>
          <w:p w14:paraId="784041FE">
            <w:pPr>
              <w:snapToGrid w:val="0"/>
              <w:spacing w:line="336" w:lineRule="auto"/>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固定采购代理收费</w:t>
            </w:r>
            <w:r>
              <w:rPr>
                <w:rFonts w:hint="eastAsia" w:ascii="仿宋" w:hAnsi="仿宋" w:eastAsia="仿宋" w:cs="仿宋"/>
                <w:color w:val="auto"/>
                <w:sz w:val="24"/>
                <w:highlight w:val="none"/>
                <w:u w:val="single"/>
              </w:rPr>
              <w:t xml:space="preserve">    ；</w:t>
            </w:r>
          </w:p>
          <w:p w14:paraId="012F06F4">
            <w:pPr>
              <w:pStyle w:val="14"/>
              <w:wordWrap w:val="0"/>
              <w:snapToGrid w:val="0"/>
              <w:spacing w:line="336"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4.采购代理费收取银行账户</w:t>
            </w:r>
          </w:p>
          <w:p w14:paraId="658543E0">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账户名称：广西国泰招标咨询有限公司南宁第二分公司</w:t>
            </w:r>
          </w:p>
          <w:p w14:paraId="2FC592C1">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开户银行：广西北部湾银行股份有限公司南宁市云景支行</w:t>
            </w:r>
          </w:p>
          <w:p w14:paraId="4153496F">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银行账号：805022084200001</w:t>
            </w:r>
          </w:p>
          <w:p w14:paraId="7DD99B9A">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开户行行号：3136 1100 6047</w:t>
            </w:r>
          </w:p>
        </w:tc>
      </w:tr>
      <w:tr w14:paraId="2939F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69E2692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34.1</w:t>
            </w:r>
          </w:p>
        </w:tc>
        <w:tc>
          <w:tcPr>
            <w:tcW w:w="2786" w:type="dxa"/>
            <w:noWrap/>
            <w:vAlign w:val="center"/>
          </w:tcPr>
          <w:p w14:paraId="69087B1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解释</w:t>
            </w:r>
          </w:p>
        </w:tc>
        <w:tc>
          <w:tcPr>
            <w:tcW w:w="6853" w:type="dxa"/>
            <w:noWrap/>
            <w:vAlign w:val="center"/>
          </w:tcPr>
          <w:p w14:paraId="16394A50">
            <w:pPr>
              <w:pStyle w:val="14"/>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解释权：</w:t>
            </w:r>
            <w:r>
              <w:rPr>
                <w:rFonts w:hint="eastAsia" w:ascii="仿宋" w:hAnsi="仿宋" w:eastAsia="仿宋" w:cs="仿宋"/>
                <w:color w:val="auto"/>
                <w:sz w:val="24"/>
                <w:szCs w:val="24"/>
                <w:highlight w:val="none"/>
              </w:rPr>
              <w:t>构成本采购文件的各个组成文件应互为解释，互为说明；除采购文件中有特别规定外，仅适用于协商阶段的规定，按更正公告（澄清公告）、单一来源邀请函、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w:t>
            </w:r>
            <w:r>
              <w:rPr>
                <w:rFonts w:hint="eastAsia" w:ascii="仿宋" w:hAnsi="仿宋" w:eastAsia="仿宋" w:cs="仿宋"/>
                <w:b/>
                <w:color w:val="auto"/>
                <w:sz w:val="24"/>
                <w:szCs w:val="24"/>
                <w:highlight w:val="none"/>
              </w:rPr>
              <w:t>由采购人或者采购代理机构负责解释。</w:t>
            </w:r>
          </w:p>
          <w:p w14:paraId="1BFBA215">
            <w:pPr>
              <w:tabs>
                <w:tab w:val="left" w:pos="1080"/>
              </w:tabs>
              <w:spacing w:line="360" w:lineRule="auto"/>
              <w:rPr>
                <w:rFonts w:ascii="仿宋" w:hAnsi="仿宋" w:eastAsia="仿宋" w:cs="仿宋"/>
                <w:color w:val="auto"/>
                <w:kern w:val="0"/>
                <w:sz w:val="24"/>
                <w:highlight w:val="none"/>
              </w:rPr>
            </w:pPr>
            <w:r>
              <w:rPr>
                <w:rFonts w:hint="eastAsia" w:ascii="仿宋" w:hAnsi="仿宋" w:eastAsia="仿宋" w:cs="仿宋"/>
                <w:b/>
                <w:color w:val="auto"/>
                <w:kern w:val="0"/>
                <w:sz w:val="24"/>
                <w:highlight w:val="none"/>
              </w:rPr>
              <w:t>法律责任：</w:t>
            </w:r>
          </w:p>
          <w:p w14:paraId="4FE1F23E">
            <w:pPr>
              <w:tabs>
                <w:tab w:val="left" w:pos="1080"/>
              </w:tabs>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7579F6B">
            <w:pPr>
              <w:spacing w:line="360" w:lineRule="auto"/>
              <w:rPr>
                <w:rFonts w:ascii="仿宋" w:hAnsi="仿宋" w:eastAsia="仿宋" w:cs="仿宋"/>
                <w:color w:val="auto"/>
                <w:sz w:val="24"/>
                <w:highlight w:val="none"/>
              </w:rPr>
            </w:pPr>
            <w:r>
              <w:rPr>
                <w:rFonts w:hint="eastAsia" w:ascii="仿宋" w:hAnsi="仿宋" w:eastAsia="仿宋" w:cs="仿宋"/>
                <w:b/>
                <w:color w:val="auto"/>
                <w:sz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30A7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ign w:val="center"/>
          </w:tcPr>
          <w:p w14:paraId="0AEAFF15">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34.2</w:t>
            </w:r>
          </w:p>
        </w:tc>
        <w:tc>
          <w:tcPr>
            <w:tcW w:w="2786" w:type="dxa"/>
            <w:noWrap/>
            <w:vAlign w:val="center"/>
          </w:tcPr>
          <w:p w14:paraId="358152A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6853" w:type="dxa"/>
            <w:noWrap/>
            <w:vAlign w:val="center"/>
          </w:tcPr>
          <w:p w14:paraId="37BFD415">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1.本采购文件中描述供应商的“公章”是指供应商通过指定电子化政府采购平台办理数字证书（CA认证）获得的以法定主体行为名称制作的电子印章。</w:t>
            </w:r>
          </w:p>
          <w:p w14:paraId="1079BA01">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2.本采购文件中描述供应商的“签字”是指供应商通过指定电子化政府采购平台办理数字证书（CA认证）获得的以供应商法定代表人或者委托代理人姓名制作的电子印章或手写签字。</w:t>
            </w:r>
          </w:p>
          <w:p w14:paraId="6C324B22">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3.供应商为其他组织或者自然人时，本采购文件规定的法定代表人指负责人或者自然人。本采购文件所称负责人是指参加协商的其他组织营业执照上的负责人，本采购文件所称自然人指参与协商的自然人本人。</w:t>
            </w:r>
          </w:p>
          <w:p w14:paraId="7BDC13BD">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4.自然人协商的，采购文件规定盖公章处由自然人摁手指指印。</w:t>
            </w:r>
          </w:p>
          <w:p w14:paraId="7BA45DF8">
            <w:pPr>
              <w:pStyle w:val="14"/>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5.本采购文件所称的“以上”“以下”“以内”“届满”，包括本数；所称的“不满”“超过”“以外”，不包括本数。</w:t>
            </w:r>
          </w:p>
        </w:tc>
      </w:tr>
    </w:tbl>
    <w:p w14:paraId="09ED6350">
      <w:pPr>
        <w:pStyle w:val="3"/>
        <w:spacing w:before="0" w:after="0" w:line="360" w:lineRule="auto"/>
        <w:jc w:val="center"/>
        <w:rPr>
          <w:rFonts w:ascii="仿宋" w:hAnsi="仿宋" w:eastAsia="仿宋" w:cs="仿宋"/>
          <w:b w:val="0"/>
          <w:color w:val="auto"/>
          <w:highlight w:val="none"/>
        </w:rPr>
      </w:pPr>
      <w:r>
        <w:rPr>
          <w:rFonts w:hint="eastAsia" w:ascii="仿宋" w:hAnsi="仿宋" w:eastAsia="仿宋" w:cs="仿宋"/>
          <w:b w:val="0"/>
          <w:color w:val="auto"/>
          <w:highlight w:val="none"/>
        </w:rPr>
        <w:br w:type="page"/>
      </w:r>
      <w:bookmarkStart w:id="45" w:name="_Toc23302"/>
      <w:bookmarkStart w:id="46" w:name="_Toc7491"/>
      <w:bookmarkStart w:id="47" w:name="_Toc28069"/>
      <w:r>
        <w:rPr>
          <w:rFonts w:hint="eastAsia" w:ascii="仿宋" w:hAnsi="仿宋" w:eastAsia="仿宋" w:cs="仿宋"/>
          <w:b w:val="0"/>
          <w:color w:val="auto"/>
          <w:highlight w:val="none"/>
        </w:rPr>
        <w:t>第二节 供应商须知正文</w:t>
      </w:r>
      <w:bookmarkEnd w:id="45"/>
      <w:bookmarkEnd w:id="46"/>
      <w:bookmarkEnd w:id="47"/>
    </w:p>
    <w:p w14:paraId="3A814D2B">
      <w:pPr>
        <w:pStyle w:val="4"/>
        <w:spacing w:before="0" w:after="0" w:line="360" w:lineRule="auto"/>
        <w:ind w:firstLine="640" w:firstLineChars="200"/>
        <w:rPr>
          <w:rFonts w:ascii="仿宋" w:hAnsi="仿宋" w:eastAsia="仿宋" w:cs="仿宋"/>
          <w:b w:val="0"/>
          <w:color w:val="auto"/>
          <w:highlight w:val="none"/>
        </w:rPr>
      </w:pPr>
      <w:bookmarkStart w:id="48" w:name="_Toc23995"/>
      <w:bookmarkStart w:id="49" w:name="_Toc14630"/>
      <w:r>
        <w:rPr>
          <w:rFonts w:hint="eastAsia" w:ascii="仿宋" w:hAnsi="仿宋" w:eastAsia="仿宋" w:cs="仿宋"/>
          <w:b w:val="0"/>
          <w:color w:val="auto"/>
          <w:highlight w:val="none"/>
        </w:rPr>
        <w:t>一、总则</w:t>
      </w:r>
      <w:bookmarkEnd w:id="48"/>
      <w:bookmarkEnd w:id="49"/>
    </w:p>
    <w:p w14:paraId="07699B5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1.适用范围</w:t>
      </w:r>
    </w:p>
    <w:p w14:paraId="2F86468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适用法律：本项目采购人、采购代理机构、供应商、评审小组的相关行为均受《中华人民共和国政府采购法》《中华人民共和国政府采购法实施条例》《政府采购非招标采购方式管理办法》及本项目本级和上级财政部门政府采购有关规定的约束和保护。</w:t>
      </w:r>
    </w:p>
    <w:p w14:paraId="0800BAC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pacing w:val="-6"/>
          <w:sz w:val="24"/>
          <w:highlight w:val="none"/>
        </w:rPr>
        <w:t>本单一来源采购文件（以下简称采购文件）适用于本项目的所有采购程序和环节（法律、法规另有规定的，从其规定）。</w:t>
      </w:r>
    </w:p>
    <w:p w14:paraId="4E92E049">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bCs/>
          <w:color w:val="auto"/>
          <w:sz w:val="24"/>
          <w:highlight w:val="none"/>
        </w:rPr>
        <w:t>2.定义</w:t>
      </w:r>
    </w:p>
    <w:p w14:paraId="2ECD1A6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2.1“采购人”是指南宁市城市照明事务服务中心。</w:t>
      </w:r>
    </w:p>
    <w:p w14:paraId="73C2717A">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2.2“采购代理机构”是指广西国泰招标咨询有限公司。</w:t>
      </w:r>
    </w:p>
    <w:p w14:paraId="4B1EEFB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2.3“供应商”是指向采购人提供货物、工程或者服务的法人、其他组织或者自然人。</w:t>
      </w:r>
    </w:p>
    <w:p w14:paraId="18C1269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2.4“工程”是指除货物和服务以外的其他政府采购对象。</w:t>
      </w:r>
    </w:p>
    <w:p w14:paraId="6DDCDB4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2.5“协商”是指按照本项目单一来源邀请函规定的方式供应商获取采购文件、提交响应文件并希望获得标的的行为。</w:t>
      </w:r>
    </w:p>
    <w:p w14:paraId="7498CC6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2.6“售后服务”是指包含但不限于供应商须承担的备品备件、包装、运输、装卸、保险、货到就位以及安装、调试、培训、保修和其他类似的义务。</w:t>
      </w:r>
    </w:p>
    <w:p w14:paraId="2A84B36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2.7“书面形式”是指合同书、信件和数据电文（包括电报、电传、传真、电子数据交换和电子邮件）等可以有形地表现所载内容的形式。</w:t>
      </w:r>
    </w:p>
    <w:p w14:paraId="4AC8DC6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2.8“响应文件”</w:t>
      </w:r>
      <w:r>
        <w:rPr>
          <w:rFonts w:hint="eastAsia" w:ascii="仿宋" w:hAnsi="仿宋" w:eastAsia="仿宋" w:cs="仿宋"/>
          <w:color w:val="auto"/>
          <w:spacing w:val="-6"/>
          <w:sz w:val="24"/>
          <w:highlight w:val="none"/>
        </w:rPr>
        <w:t>是指：供应商根据本文件要求，编制包含报价、技术和服务等所有内容的文件。</w:t>
      </w:r>
    </w:p>
    <w:p w14:paraId="0BAC3B3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 “实质性要求”是指采购需求中带“▲”的条款或者不能负偏离的条款或者已经指明不满足按响应文件作无效处理的条款。</w:t>
      </w:r>
    </w:p>
    <w:p w14:paraId="2EFD569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2.10“正偏离”，是指响应文件对采购文件“采购需求”中有关条款作出优于条款要求并有利于采购人的响应情形；</w:t>
      </w:r>
    </w:p>
    <w:p w14:paraId="4AB6635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2.11“负偏离”，是指响应文件对采购文件“采购需求”中有关条款作出的响应不满足条款要求，导致采购人要求不能得到满足的情形。</w:t>
      </w:r>
    </w:p>
    <w:p w14:paraId="7DB4979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2.12“允许负偏离的条款”是指采购需求中的不属于“实质性要求”的条款。</w:t>
      </w:r>
    </w:p>
    <w:p w14:paraId="77942BD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2.13“首次报价”是指供应商提交的首次响应文件中的协商报价。</w:t>
      </w:r>
    </w:p>
    <w:p w14:paraId="1A96D395">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3.供应商的资格条件</w:t>
      </w:r>
    </w:p>
    <w:p w14:paraId="59FB3C2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3.1供应商的资格条件详见“供应商须知前附表”。</w:t>
      </w:r>
    </w:p>
    <w:p w14:paraId="4E02F77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3.2邀请的单一来源供应商：详见“供应商须知前附表”。</w:t>
      </w:r>
    </w:p>
    <w:p w14:paraId="6055374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4.协商费用</w:t>
      </w:r>
    </w:p>
    <w:p w14:paraId="54DE6EF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供应商应承担参与本次采购活动有关的所有费用，包括但不限于、勘察现场、编制和提交响应文件、参加协商与应答、签订合同等，不论协商结果如何，均应自行承担。</w:t>
      </w:r>
    </w:p>
    <w:p w14:paraId="10365145">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5.联合体协商</w:t>
      </w:r>
    </w:p>
    <w:p w14:paraId="2FE8674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5.1本项目是否接受联合体协商，详见“供应商须知前附表”。</w:t>
      </w:r>
    </w:p>
    <w:p w14:paraId="4279393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5.2如接受联合体协商，联合体协商要求详见“供应商须知前附表”。</w:t>
      </w:r>
    </w:p>
    <w:p w14:paraId="0180FF2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5.3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28D3D34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6.转包与分包</w:t>
      </w:r>
    </w:p>
    <w:p w14:paraId="1BCDEDB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6.1本项目是否允许分包详见“供应商须知前附表”，本项目不允许违法分包。</w:t>
      </w:r>
    </w:p>
    <w:p w14:paraId="2B4E890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6.2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095BC025">
      <w:pPr>
        <w:spacing w:line="360" w:lineRule="auto"/>
        <w:ind w:firstLine="482" w:firstLineChars="200"/>
        <w:rPr>
          <w:rFonts w:ascii="仿宋" w:hAnsi="仿宋" w:eastAsia="仿宋" w:cs="仿宋"/>
          <w:b/>
          <w:bCs/>
          <w:color w:val="auto"/>
          <w:sz w:val="24"/>
          <w:highlight w:val="none"/>
        </w:rPr>
      </w:pPr>
      <w:bookmarkStart w:id="50" w:name="_Toc254970532"/>
      <w:bookmarkStart w:id="51" w:name="_Toc254970673"/>
      <w:r>
        <w:rPr>
          <w:rFonts w:hint="eastAsia" w:ascii="仿宋" w:hAnsi="仿宋" w:eastAsia="仿宋" w:cs="仿宋"/>
          <w:b/>
          <w:bCs/>
          <w:color w:val="auto"/>
          <w:sz w:val="24"/>
          <w:highlight w:val="none"/>
        </w:rPr>
        <w:t>7.特别说明</w:t>
      </w:r>
      <w:bookmarkEnd w:id="50"/>
      <w:bookmarkEnd w:id="51"/>
    </w:p>
    <w:p w14:paraId="20909B17">
      <w:pPr>
        <w:spacing w:line="360" w:lineRule="auto"/>
        <w:ind w:firstLine="480" w:firstLineChars="200"/>
        <w:rPr>
          <w:rFonts w:ascii="仿宋" w:hAnsi="仿宋" w:eastAsia="仿宋" w:cs="仿宋"/>
          <w:color w:val="auto"/>
          <w:sz w:val="24"/>
          <w:highlight w:val="none"/>
        </w:rPr>
      </w:pPr>
      <w:bookmarkStart w:id="52" w:name="_8.1提供相同品牌产品且通过资格审查、符合性审查的不同投标人参加同一合"/>
      <w:bookmarkEnd w:id="52"/>
      <w:r>
        <w:rPr>
          <w:rFonts w:hint="eastAsia" w:ascii="仿宋" w:hAnsi="仿宋" w:eastAsia="仿宋" w:cs="仿宋"/>
          <w:color w:val="auto"/>
          <w:sz w:val="24"/>
          <w:highlight w:val="none"/>
        </w:rPr>
        <w:t>7.1如果本采购文件要求提供供应商或制造商的资格、信誉、荣誉、业绩与企业认证等材料的，资格、信誉、荣誉、业绩与企业认证等必须为供应商或者制造商所拥有或自身获得 。</w:t>
      </w:r>
    </w:p>
    <w:p w14:paraId="6A3FE99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7.2供应商应仔细阅读采购文件的所有内容，按照采购文件的要求提交响应文件，并对所提供的全部资料的真实性承担法律责任。</w:t>
      </w:r>
    </w:p>
    <w:p w14:paraId="7C7F5CE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7.3供应商在协商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443CAF0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7.4在政府采购活动中，采购人员及相关人员与供应商有下列利害关系之一的，应当回避：</w:t>
      </w:r>
    </w:p>
    <w:p w14:paraId="34F2738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（1）参加采购活动前3年内与供应商存在劳动关系；</w:t>
      </w:r>
    </w:p>
    <w:p w14:paraId="263B950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（2）参加采购活动前3年内担任供应商的董事、监事；</w:t>
      </w:r>
    </w:p>
    <w:p w14:paraId="2471372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（3）参加采购活动前3年内是供应商的控股股东或者实际控制人；</w:t>
      </w:r>
    </w:p>
    <w:p w14:paraId="783492B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（4）与供应商的法定代表人或者负责人有夫妻、直系血亲、三代以内旁系血亲或者近姻亲关系；</w:t>
      </w:r>
    </w:p>
    <w:p w14:paraId="35F3843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（5）与供应商有其他可能影响政府采购活动公平、公正进行的关系。</w:t>
      </w:r>
    </w:p>
    <w:p w14:paraId="4A8842AB">
      <w:pPr>
        <w:pStyle w:val="4"/>
        <w:spacing w:before="0" w:after="0" w:line="360" w:lineRule="auto"/>
        <w:ind w:firstLine="640" w:firstLineChars="200"/>
        <w:rPr>
          <w:rFonts w:ascii="仿宋" w:hAnsi="仿宋" w:eastAsia="仿宋" w:cs="仿宋"/>
          <w:b w:val="0"/>
          <w:bCs w:val="0"/>
          <w:color w:val="auto"/>
          <w:highlight w:val="none"/>
        </w:rPr>
      </w:pPr>
      <w:bookmarkStart w:id="53" w:name="_Toc254970675"/>
      <w:bookmarkStart w:id="54" w:name="_Toc18823"/>
      <w:bookmarkStart w:id="55" w:name="_Toc23554"/>
      <w:bookmarkStart w:id="56" w:name="_Toc254970534"/>
      <w:r>
        <w:rPr>
          <w:rFonts w:hint="eastAsia" w:ascii="仿宋" w:hAnsi="仿宋" w:eastAsia="仿宋" w:cs="仿宋"/>
          <w:b w:val="0"/>
          <w:bCs w:val="0"/>
          <w:color w:val="auto"/>
          <w:highlight w:val="none"/>
        </w:rPr>
        <w:t>二、单一来源采购文件</w:t>
      </w:r>
      <w:bookmarkEnd w:id="53"/>
      <w:bookmarkEnd w:id="54"/>
      <w:bookmarkEnd w:id="55"/>
      <w:bookmarkEnd w:id="56"/>
    </w:p>
    <w:p w14:paraId="2935B48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8.单一来源采购文件的构成</w:t>
      </w:r>
    </w:p>
    <w:p w14:paraId="3562F549">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第一章 单一来源邀请函；</w:t>
      </w:r>
    </w:p>
    <w:p w14:paraId="3B633680">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第二章 采购需求；</w:t>
      </w:r>
    </w:p>
    <w:p w14:paraId="43485EEE">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第三章 供应商须知； </w:t>
      </w:r>
    </w:p>
    <w:p w14:paraId="6592A9E6">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第四章 评审程序、评审方法和成交标准；</w:t>
      </w:r>
    </w:p>
    <w:p w14:paraId="14C53240">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第五章 响应文件格式；</w:t>
      </w:r>
    </w:p>
    <w:p w14:paraId="526F4360">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第六章 合同文本；</w:t>
      </w:r>
    </w:p>
    <w:p w14:paraId="1A20C84B">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第七章 质疑、投诉材料格式。</w:t>
      </w:r>
    </w:p>
    <w:p w14:paraId="40FDB31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5432DC2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供应商应认真阅读采购文件的采购需求，如供应商对采购文件有疑问的，如要求采购人作出澄清或者修改的，供应商尽应在提交首次响应文件截止之日前，以书面形式向采购人、采购代理机构提出。</w:t>
      </w:r>
    </w:p>
    <w:p w14:paraId="3B8338E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10.采购文件的澄清和修改</w:t>
      </w:r>
    </w:p>
    <w:p w14:paraId="2E643B6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10.1已获取采购文件的潜在供应商，若有问题需要澄清，应于应标截止时间前，以书面形式向采购代理机构提出，采购代理机构与采购人研究后，对认为有必要回答的问题，按照本章10.3内容处理。</w:t>
      </w:r>
    </w:p>
    <w:p w14:paraId="2B8E88ED">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10.2采购人或者采购代理机构可以对已发出的采购文件进行必要的澄清或者修改，但不得改变采购标的和资格条件。澄清或者修改应当在原公告发布媒体上发布澄清公告。澄清或者修改的内容为采购文件的组成部分。</w:t>
      </w:r>
    </w:p>
    <w:p w14:paraId="3A41788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10.3提交首次响应文件截止之日前，采购人、采购代理机构或者评审小组可以对已发出的采购文件进行必要的澄清或者修改，澄清或者修改的内容作为采购文件的组成部分。澄清或者修改的内容可能影响响应文件编制的，采购人、采购代理机构或者评审小组在提交首次响应文件截止之日3个工作日前，以书面形式（目前为网上公告和系统短信等形式）通知所有获取采购文件的供应商，不足3个工作日的，应当顺延提交首次响应文件截止之日。</w:t>
      </w:r>
    </w:p>
    <w:p w14:paraId="1A23B71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10.4</w:t>
      </w:r>
      <w:r>
        <w:rPr>
          <w:rFonts w:hint="eastAsia" w:ascii="仿宋" w:hAnsi="仿宋" w:eastAsia="仿宋" w:cs="仿宋"/>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0725892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10.5采购人和采购代理机构可以视采购具体情况，变更提交首次响应文件截止时间和协商时间，将变更时间将在“单一来源邀请函”中“七、其他补充事宜3.网上查询地址”规定的政府采购信息发布媒体上发布更正公告。</w:t>
      </w:r>
    </w:p>
    <w:p w14:paraId="109796A7">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b/>
          <w:color w:val="auto"/>
          <w:kern w:val="0"/>
          <w:sz w:val="24"/>
          <w:highlight w:val="none"/>
        </w:rPr>
        <w:t>响应文件未按采购文件的澄清、修改的内容编制，又不符合实质性要求的，其响应文件作无效处理。</w:t>
      </w:r>
    </w:p>
    <w:p w14:paraId="49191574">
      <w:pPr>
        <w:pStyle w:val="4"/>
        <w:spacing w:before="0" w:after="0" w:line="360" w:lineRule="auto"/>
        <w:ind w:firstLine="640" w:firstLineChars="200"/>
        <w:rPr>
          <w:rFonts w:ascii="仿宋" w:hAnsi="仿宋" w:eastAsia="仿宋" w:cs="仿宋"/>
          <w:b w:val="0"/>
          <w:bCs w:val="0"/>
          <w:color w:val="auto"/>
          <w:highlight w:val="none"/>
        </w:rPr>
      </w:pPr>
      <w:bookmarkStart w:id="57" w:name="_Toc28137"/>
      <w:bookmarkStart w:id="58" w:name="_Toc13180"/>
      <w:r>
        <w:rPr>
          <w:rFonts w:hint="eastAsia" w:ascii="仿宋" w:hAnsi="仿宋" w:eastAsia="仿宋" w:cs="仿宋"/>
          <w:b w:val="0"/>
          <w:bCs w:val="0"/>
          <w:color w:val="auto"/>
          <w:highlight w:val="none"/>
        </w:rPr>
        <w:t>三、响应文件的编制</w:t>
      </w:r>
      <w:bookmarkEnd w:id="57"/>
      <w:bookmarkEnd w:id="58"/>
    </w:p>
    <w:p w14:paraId="2F3D7DB3">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2A2A635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供应商必须按照采购文件的要求编制响应文件，并对其提交的响应文件的真实性、合法性承担法律责任。响应文件必须对采购文件作出实质性响应。</w:t>
      </w:r>
    </w:p>
    <w:p w14:paraId="7392B88F">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72DAF3D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12.1响应文件由资格证明文件、报价文件、商务和技术文件三部分组成。</w:t>
      </w:r>
    </w:p>
    <w:p w14:paraId="53A34AFD">
      <w:pPr>
        <w:spacing w:line="360" w:lineRule="auto"/>
        <w:ind w:left="420" w:leftChars="2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12.1.1资格证明文件：详见须知前附表</w:t>
      </w:r>
    </w:p>
    <w:p w14:paraId="3E418868">
      <w:pPr>
        <w:spacing w:line="360" w:lineRule="auto"/>
        <w:ind w:left="420" w:leftChars="2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12.1.2商务技术文件：详见须知前附表</w:t>
      </w:r>
    </w:p>
    <w:p w14:paraId="4B09CCBC">
      <w:pPr>
        <w:spacing w:line="360" w:lineRule="auto"/>
        <w:ind w:left="420" w:leftChars="2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12.1.3报价文件：详见须知前附表</w:t>
      </w:r>
    </w:p>
    <w:p w14:paraId="386B6DB2">
      <w:pPr>
        <w:spacing w:line="360" w:lineRule="auto"/>
        <w:ind w:left="420" w:leftChars="20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12.2响应文件电子版：详见须知前附表</w:t>
      </w:r>
    </w:p>
    <w:p w14:paraId="3E649340">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7318694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采购文件已有明确规定的，使用采购文件规定的计量单位；采购文件没有规定的，应采用中华人民共和国法定计量单位，货币种类为人民币，否则视同未响应。</w:t>
      </w:r>
    </w:p>
    <w:p w14:paraId="4EB0F97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14.风险</w:t>
      </w:r>
    </w:p>
    <w:p w14:paraId="70C77C3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供应商没有按照采购文件要求提供全部资料，或者供应商没有对采购文件在各方面作出实质性响应可能导致其响应无效，是供应商应当考虑的风险。</w:t>
      </w:r>
    </w:p>
    <w:p w14:paraId="53208F51">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15.协商报价要求和构成</w:t>
      </w:r>
    </w:p>
    <w:p w14:paraId="4E671475">
      <w:pPr>
        <w:tabs>
          <w:tab w:val="left" w:pos="2492"/>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15.1协商报价应按“第五章 响应文件格式”中“协商报价表”格式填写。</w:t>
      </w:r>
    </w:p>
    <w:p w14:paraId="60EC827F">
      <w:pPr>
        <w:tabs>
          <w:tab w:val="left" w:pos="2492"/>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15.2协商报价的价格构成见“供应商须知前附表”。</w:t>
      </w:r>
    </w:p>
    <w:p w14:paraId="465D4F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15.3协商报价要求</w:t>
      </w:r>
    </w:p>
    <w:p w14:paraId="1A01E85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15.3.1供应商的协商报价应符合以下要求，否则响应文件按无效响应处理：</w:t>
      </w:r>
    </w:p>
    <w:p w14:paraId="033489A0">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（1）供应商必须就“采购需求”中所协商的每个分标的全部内容分别作完整唯一总价报价，不得存在漏项报价；</w:t>
      </w:r>
    </w:p>
    <w:p w14:paraId="591B6B7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（2）供应商必须就所协商的分标的单项内容作唯一报价。</w:t>
      </w:r>
    </w:p>
    <w:p w14:paraId="6DD060A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15.3.2协商报价（包含首次报价、最后报价）超过所协商分标规定的采购预算金额或者最高限价的，其响应文件将作无效处理。</w:t>
      </w:r>
    </w:p>
    <w:p w14:paraId="632D64B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15.3.3</w:t>
      </w:r>
      <w:bookmarkStart w:id="59" w:name="_Hlk42592874"/>
      <w:r>
        <w:rPr>
          <w:rFonts w:hint="eastAsia" w:ascii="仿宋" w:hAnsi="仿宋" w:eastAsia="仿宋" w:cs="仿宋"/>
          <w:color w:val="auto"/>
          <w:sz w:val="24"/>
          <w:highlight w:val="none"/>
        </w:rPr>
        <w:t>协商报价（包含首次报价、最后报价）超过分项采购预算金额或者最高限价的，其响应文件将作无效处理。</w:t>
      </w:r>
    </w:p>
    <w:bookmarkEnd w:id="59"/>
    <w:p w14:paraId="480E099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16.协商有效期</w:t>
      </w:r>
    </w:p>
    <w:p w14:paraId="74ACD12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16.1协商有效期是指为保证采购人有足够的时间在提交响应文件后完成评审、确定成交供应商、合同签订等工作而要求供应商提交的响应文件在一定时间内保持有效的期限。</w:t>
      </w:r>
    </w:p>
    <w:p w14:paraId="1FC948E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16.2 协商有效期应由供应商按“供应商须知前附表”规定的期限作出响应。</w:t>
      </w:r>
    </w:p>
    <w:p w14:paraId="2E37F07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16.3供应商的响应文件在协商有效期内均保持有效。</w:t>
      </w:r>
    </w:p>
    <w:p w14:paraId="34809EB3">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17.协商保证金</w:t>
      </w:r>
    </w:p>
    <w:p w14:paraId="30C3BB3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详见“供应商须知前附表”。</w:t>
      </w:r>
    </w:p>
    <w:p w14:paraId="79871D5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1BA1F69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18.1各供应商在编制响应文件时请按照采购文件“第五章 响应文件格式”规定的格式进行，混乱的编排导致响应文件被误读或评审小组查找不到有效文件是供应商的风险。不完整、编排混乱导致响应文件被误读、漏读或者查找不到相关内容的，由此引发的后果由供应商承担。</w:t>
      </w:r>
    </w:p>
    <w:p w14:paraId="2A54260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18.2响应文件应按资格证明、报价分别编制，商务技术文件合并编制，本采购只接收电子版响应文件，要求见本章“12.2响应文件电子版要求”。</w:t>
      </w:r>
    </w:p>
    <w:p w14:paraId="2FA9D5E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w:t>
      </w:r>
      <w:bookmarkStart w:id="60" w:name="_Hlk65832699"/>
      <w:r>
        <w:rPr>
          <w:rFonts w:hint="eastAsia" w:ascii="仿宋" w:hAnsi="仿宋" w:eastAsia="仿宋" w:cs="仿宋"/>
          <w:color w:val="auto"/>
          <w:sz w:val="24"/>
          <w:highlight w:val="none"/>
        </w:rPr>
        <w:t>3响应文件须由供应商在</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highlight w:val="none"/>
        </w:rPr>
        <w:t>第五章 响应文件格式</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highlight w:val="none"/>
        </w:rPr>
        <w:t>规定位置进行签署、盖章</w:t>
      </w:r>
      <w:bookmarkEnd w:id="60"/>
      <w:r>
        <w:rPr>
          <w:rFonts w:hint="eastAsia" w:ascii="仿宋" w:hAnsi="仿宋" w:eastAsia="仿宋" w:cs="仿宋"/>
          <w:color w:val="auto"/>
          <w:sz w:val="24"/>
          <w:highlight w:val="none"/>
        </w:rPr>
        <w:t>，否则其响应文件按无效响应处理。骑缝盖公章不视为在规定位置盖章。</w:t>
      </w:r>
    </w:p>
    <w:p w14:paraId="5DE24E4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18.4响应文件中标注的供应商名称应与营业执照（事业单位法人证书、执业许可证、自然人身份证）及电子公章一致，否则其响应文件按无效响应处理。</w:t>
      </w:r>
    </w:p>
    <w:p w14:paraId="07E9769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18.5响应文件应避免涂改、行间插字或者删除，否则其响应文件按无效响应处理。</w:t>
      </w:r>
    </w:p>
    <w:p w14:paraId="2B4D7DA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19.响应文件的密封和标记</w:t>
      </w:r>
    </w:p>
    <w:p w14:paraId="4AB3302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19.1供应商进行电子交易应安装客户端软件—“广西政府采购云平台电子交易客户端”，并按照采购文件和电子交易平台的要求编制并加密响应文件。供应商未按规定加密的响应文件，电子交易平台将拒收并提示。</w:t>
      </w:r>
    </w:p>
    <w:p w14:paraId="12C6BC0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19.2使用“广西政府采购云平台电子交易客户端”需要提前申领CA数字证书，申领流程见该项目采购公告附件。</w:t>
      </w:r>
    </w:p>
    <w:p w14:paraId="730A039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47134F9D">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426D376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20.1供应商必须在“供应商须知前附表”规定的时间和地点提交响应文件。</w:t>
      </w:r>
    </w:p>
    <w:p w14:paraId="20DF384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20.2在响应文件提交截止时间以后，不能补充、修改响应文件。</w:t>
      </w:r>
    </w:p>
    <w:p w14:paraId="70C07C2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20.3在提交“最后报价”后，供应商不能退出协商。</w:t>
      </w:r>
    </w:p>
    <w:p w14:paraId="54D07D9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20.4电子交易平台收到响应文件，将妥善保存并及时向供应商发出确认回执通知。在响应文件提交截止时间前，除供应商补充、修改或者撤回响应文件外，任何单位和个人不得解密或提取响应文件。</w:t>
      </w:r>
    </w:p>
    <w:p w14:paraId="7375201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20.5采购机构不可视情况延长提交响应文件的截止时间。</w:t>
      </w:r>
    </w:p>
    <w:p w14:paraId="7A5868E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20.6备份响应文件。</w:t>
      </w:r>
      <w:r>
        <w:rPr>
          <w:rFonts w:hint="eastAsia" w:ascii="仿宋" w:hAnsi="仿宋" w:eastAsia="仿宋" w:cs="仿宋"/>
          <w:bCs/>
          <w:color w:val="auto"/>
          <w:sz w:val="24"/>
          <w:highlight w:val="none"/>
        </w:rPr>
        <w:t>详见在“供应商须知前附表”。</w:t>
      </w:r>
    </w:p>
    <w:p w14:paraId="6F5F6E2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78AFE219">
      <w:pPr>
        <w:pStyle w:val="26"/>
        <w:spacing w:before="0"/>
        <w:ind w:firstLine="480"/>
        <w:rPr>
          <w:rFonts w:ascii="仿宋" w:hAnsi="仿宋" w:eastAsia="仿宋" w:cs="仿宋"/>
          <w:color w:val="auto"/>
          <w:szCs w:val="24"/>
          <w:highlight w:val="none"/>
        </w:rPr>
      </w:pPr>
      <w:r>
        <w:rPr>
          <w:rFonts w:hint="eastAsia" w:ascii="仿宋" w:hAnsi="仿宋" w:eastAsia="仿宋" w:cs="仿宋"/>
          <w:color w:val="auto"/>
          <w:szCs w:val="24"/>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B23F3DE">
      <w:pPr>
        <w:spacing w:line="360" w:lineRule="auto"/>
        <w:ind w:firstLine="482" w:firstLineChars="200"/>
        <w:rPr>
          <w:rFonts w:ascii="仿宋" w:hAnsi="仿宋" w:eastAsia="仿宋" w:cs="仿宋"/>
          <w:b/>
          <w:bCs/>
          <w:color w:val="auto"/>
          <w:sz w:val="24"/>
          <w:highlight w:val="none"/>
        </w:rPr>
      </w:pPr>
      <w:bookmarkStart w:id="61" w:name="_Hlk45702405"/>
      <w:r>
        <w:rPr>
          <w:rFonts w:hint="eastAsia" w:ascii="仿宋" w:hAnsi="仿宋" w:eastAsia="仿宋" w:cs="仿宋"/>
          <w:b/>
          <w:bCs/>
          <w:color w:val="auto"/>
          <w:sz w:val="24"/>
          <w:highlight w:val="none"/>
        </w:rPr>
        <w:t>22.首次响应文件的退回</w:t>
      </w:r>
    </w:p>
    <w:p w14:paraId="7E12A56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详见“供应商须知前附表”。</w:t>
      </w:r>
    </w:p>
    <w:p w14:paraId="3C74931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23.截止时间后的撤回</w:t>
      </w:r>
    </w:p>
    <w:p w14:paraId="68EB42D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本项目不收取协商保证金，供应商在首次响应文件提交截止时间后可向采购人、采购代理机构书面申请撤回响应文件。</w:t>
      </w:r>
      <w:bookmarkEnd w:id="61"/>
    </w:p>
    <w:p w14:paraId="50114BB8">
      <w:pPr>
        <w:pStyle w:val="4"/>
        <w:spacing w:before="0" w:after="0" w:line="360" w:lineRule="auto"/>
        <w:ind w:firstLine="640" w:firstLineChars="200"/>
        <w:rPr>
          <w:rFonts w:ascii="仿宋" w:hAnsi="仿宋" w:eastAsia="仿宋" w:cs="仿宋"/>
          <w:b w:val="0"/>
          <w:bCs w:val="0"/>
          <w:color w:val="auto"/>
          <w:highlight w:val="none"/>
        </w:rPr>
      </w:pPr>
      <w:bookmarkStart w:id="62" w:name="_Toc3780"/>
      <w:bookmarkStart w:id="63" w:name="_Toc29237"/>
      <w:r>
        <w:rPr>
          <w:rFonts w:hint="eastAsia" w:ascii="仿宋" w:hAnsi="仿宋" w:eastAsia="仿宋" w:cs="仿宋"/>
          <w:b w:val="0"/>
          <w:bCs w:val="0"/>
          <w:color w:val="auto"/>
          <w:highlight w:val="none"/>
        </w:rPr>
        <w:t>四、评审及协商</w:t>
      </w:r>
      <w:bookmarkEnd w:id="62"/>
      <w:bookmarkEnd w:id="63"/>
    </w:p>
    <w:p w14:paraId="5DADED90">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24.评审小组成立</w:t>
      </w:r>
    </w:p>
    <w:p w14:paraId="57724A7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24.1评审小组由采购人代表和评审专家共3人以上单数组成，其中评审专家人数不得少于评审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单一来源采购方式采购的，评审小组由5人以上单数组成。</w:t>
      </w:r>
    </w:p>
    <w:p w14:paraId="52442B5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24.2评审专家应当从政府采购评审专家库内相关专业的专家名单中随机抽取。技术复杂、专业性强的单一来源采购项目，评审专家中应当包含1名法律专家。</w:t>
      </w:r>
    </w:p>
    <w:p w14:paraId="6C8B87F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25.首次响应文件的开启</w:t>
      </w:r>
    </w:p>
    <w:p w14:paraId="60F4F9E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25.1首次响应文件由评审小组或者采购代理机构在“供应商须知前附表”规定的时间开启。</w:t>
      </w:r>
    </w:p>
    <w:p w14:paraId="0E4EBC4F">
      <w:pPr>
        <w:pStyle w:val="14"/>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25.2</w:t>
      </w:r>
      <w:r>
        <w:rPr>
          <w:rFonts w:hint="eastAsia" w:ascii="仿宋" w:hAnsi="仿宋" w:eastAsia="仿宋" w:cs="仿宋"/>
          <w:bCs/>
          <w:color w:val="auto"/>
          <w:sz w:val="24"/>
          <w:szCs w:val="24"/>
          <w:highlight w:val="none"/>
        </w:rPr>
        <w:t>响应文件解密</w:t>
      </w:r>
    </w:p>
    <w:p w14:paraId="74102C04">
      <w:pPr>
        <w:pStyle w:val="14"/>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采购代理机构将在“供应商须知前附表”规定的时</w:t>
      </w:r>
      <w:r>
        <w:rPr>
          <w:rFonts w:hint="eastAsia" w:ascii="仿宋" w:hAnsi="仿宋" w:eastAsia="仿宋" w:cs="仿宋"/>
          <w:color w:val="auto"/>
          <w:sz w:val="24"/>
          <w:szCs w:val="24"/>
          <w:highlight w:val="none"/>
        </w:rPr>
        <w:t>间通过电子交易平台组织响应文件开启，采购机构依托电子交易平台发起开始解密指令，供应商的法定代表人或其委托代理人</w:t>
      </w:r>
      <w:r>
        <w:rPr>
          <w:rFonts w:hint="eastAsia" w:ascii="仿宋" w:hAnsi="仿宋" w:eastAsia="仿宋" w:cs="仿宋"/>
          <w:b/>
          <w:color w:val="auto"/>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仿宋" w:hAnsi="仿宋" w:eastAsia="仿宋" w:cs="仿宋"/>
          <w:b/>
          <w:color w:val="auto"/>
          <w:sz w:val="24"/>
          <w:szCs w:val="24"/>
          <w:highlight w:val="none"/>
        </w:rPr>
        <w:t>视为响应文件无效。</w:t>
      </w:r>
      <w:r>
        <w:rPr>
          <w:rFonts w:hint="eastAsia" w:ascii="仿宋" w:hAnsi="仿宋" w:eastAsia="仿宋" w:cs="仿宋"/>
          <w:color w:val="auto"/>
          <w:sz w:val="24"/>
          <w:szCs w:val="24"/>
          <w:highlight w:val="none"/>
        </w:rPr>
        <w:t>（解密</w:t>
      </w:r>
      <w:r>
        <w:rPr>
          <w:rFonts w:hint="eastAsia" w:ascii="仿宋" w:hAnsi="仿宋" w:eastAsia="仿宋" w:cs="仿宋"/>
          <w:bCs/>
          <w:color w:val="auto"/>
          <w:sz w:val="24"/>
          <w:szCs w:val="24"/>
          <w:highlight w:val="none"/>
        </w:rPr>
        <w:t>异常情况处理：详见本章</w:t>
      </w:r>
      <w:r>
        <w:rPr>
          <w:rFonts w:hint="eastAsia" w:ascii="仿宋" w:hAnsi="仿宋" w:eastAsia="仿宋" w:cs="仿宋"/>
          <w:color w:val="auto"/>
          <w:sz w:val="24"/>
          <w:szCs w:val="24"/>
          <w:highlight w:val="none"/>
        </w:rPr>
        <w:t>26.3 电子交易活动的中止。）</w:t>
      </w:r>
    </w:p>
    <w:p w14:paraId="6E75BCE7">
      <w:pPr>
        <w:pStyle w:val="14"/>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如</w:t>
      </w:r>
      <w:r>
        <w:rPr>
          <w:rFonts w:hint="eastAsia" w:ascii="仿宋" w:hAnsi="仿宋" w:eastAsia="仿宋" w:cs="仿宋"/>
          <w:bCs/>
          <w:color w:val="auto"/>
          <w:sz w:val="24"/>
          <w:szCs w:val="24"/>
          <w:highlight w:val="none"/>
        </w:rPr>
        <w:t>供应商成功解密响应文件，但未在“广西政府采购云平台”电子开标大厅参加协商的，视同认可协商过程和结果，</w:t>
      </w:r>
      <w:r>
        <w:rPr>
          <w:rFonts w:hint="eastAsia" w:ascii="仿宋" w:hAnsi="仿宋" w:eastAsia="仿宋" w:cs="仿宋"/>
          <w:color w:val="auto"/>
          <w:sz w:val="24"/>
          <w:szCs w:val="24"/>
          <w:highlight w:val="none"/>
        </w:rPr>
        <w:t xml:space="preserve">由此产生的后果由供应商自行负责。 </w:t>
      </w:r>
    </w:p>
    <w:p w14:paraId="4DFC0B04">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26.评审程序、评审方法和成交标准</w:t>
      </w:r>
    </w:p>
    <w:p w14:paraId="2CAAED7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26.1评审小组按照“第四章 评审程序、评审方法和成交标准”规定的方法、评审因素、标准和程序对响应文件进行评审。</w:t>
      </w:r>
    </w:p>
    <w:p w14:paraId="62DA50D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26.2采购需求负偏离要求及协商顺序详见 “供应商须知前附表”。</w:t>
      </w:r>
    </w:p>
    <w:p w14:paraId="1933DF9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26.3电子交易活动的中止。采购过程中出现以下情形，导致电子交易平台无法正常运行，或者无法保证电子交易的公平、公正和安全时，采购机构可中止电子交易活动：</w:t>
      </w:r>
    </w:p>
    <w:p w14:paraId="5B80D3E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（1）电子交易平台发生故障而无法登录访问的； </w:t>
      </w:r>
    </w:p>
    <w:p w14:paraId="29DA2EF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（2）电子交易平台应用或数据库出现错误，不能进行正常操作的；</w:t>
      </w:r>
    </w:p>
    <w:p w14:paraId="6435042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（3）电子交易平台发现严重安全漏洞，有潜在泄密危险的；</w:t>
      </w:r>
    </w:p>
    <w:p w14:paraId="053B688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（4）病毒发作导致不能进行正常操作的； </w:t>
      </w:r>
    </w:p>
    <w:p w14:paraId="2F6F91E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（4）其他无法保证电子交易的公平、公正和安全的情况。</w:t>
      </w:r>
    </w:p>
    <w:p w14:paraId="4F03A70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BA1E62A">
      <w:pPr>
        <w:pStyle w:val="4"/>
        <w:spacing w:before="0" w:after="0" w:line="360" w:lineRule="auto"/>
        <w:ind w:firstLine="640" w:firstLineChars="200"/>
        <w:rPr>
          <w:rFonts w:ascii="仿宋" w:hAnsi="仿宋" w:eastAsia="仿宋" w:cs="仿宋"/>
          <w:b w:val="0"/>
          <w:bCs w:val="0"/>
          <w:color w:val="auto"/>
          <w:highlight w:val="none"/>
        </w:rPr>
      </w:pPr>
      <w:bookmarkStart w:id="64" w:name="_Toc22205"/>
      <w:bookmarkStart w:id="65" w:name="_Toc12835"/>
      <w:r>
        <w:rPr>
          <w:rFonts w:hint="eastAsia" w:ascii="仿宋" w:hAnsi="仿宋" w:eastAsia="仿宋" w:cs="仿宋"/>
          <w:b w:val="0"/>
          <w:bCs w:val="0"/>
          <w:color w:val="auto"/>
          <w:highlight w:val="none"/>
        </w:rPr>
        <w:t>五、成交及合同</w:t>
      </w:r>
      <w:bookmarkEnd w:id="64"/>
      <w:bookmarkEnd w:id="65"/>
    </w:p>
    <w:p w14:paraId="7B4D316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472B09E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27.1确定成交供应商。</w:t>
      </w:r>
      <w:r>
        <w:rPr>
          <w:rFonts w:hint="eastAsia" w:ascii="仿宋" w:hAnsi="仿宋" w:eastAsia="仿宋" w:cs="仿宋"/>
          <w:color w:val="auto"/>
          <w:kern w:val="0"/>
          <w:sz w:val="24"/>
          <w:highlight w:val="none"/>
          <w:u w:val="single"/>
        </w:rPr>
        <w:t xml:space="preserve"> 由采购人直接委托评审专家确定</w:t>
      </w:r>
      <w:r>
        <w:rPr>
          <w:rFonts w:hint="eastAsia" w:ascii="仿宋" w:hAnsi="仿宋" w:eastAsia="仿宋" w:cs="仿宋"/>
          <w:color w:val="auto"/>
          <w:sz w:val="24"/>
          <w:highlight w:val="none"/>
          <w:u w:val="single"/>
        </w:rPr>
        <w:t>，评审报告提出的排序第一的供应商为成交供应商。</w:t>
      </w:r>
    </w:p>
    <w:p w14:paraId="33F9258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27.2成交通知及成交结果公告。</w:t>
      </w:r>
      <w:r>
        <w:rPr>
          <w:rFonts w:hint="eastAsia" w:ascii="仿宋" w:hAnsi="仿宋" w:eastAsia="仿宋" w:cs="仿宋"/>
          <w:color w:val="auto"/>
          <w:kern w:val="0"/>
          <w:sz w:val="24"/>
          <w:highlight w:val="none"/>
        </w:rPr>
        <w:t>成交</w:t>
      </w:r>
      <w:r>
        <w:rPr>
          <w:rFonts w:hint="eastAsia" w:ascii="仿宋" w:hAnsi="仿宋" w:eastAsia="仿宋" w:cs="仿宋"/>
          <w:color w:val="auto"/>
          <w:sz w:val="24"/>
          <w:highlight w:val="none"/>
        </w:rPr>
        <w:t>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14:paraId="3B37446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以上信息查询记录及相关证据与采购文件一并保存。</w:t>
      </w:r>
      <w:bookmarkStart w:id="66" w:name="_Hlk66782294"/>
      <w:r>
        <w:rPr>
          <w:rFonts w:hint="eastAsia" w:ascii="仿宋" w:hAnsi="仿宋" w:eastAsia="仿宋" w:cs="仿宋"/>
          <w:color w:val="auto"/>
          <w:sz w:val="24"/>
          <w:highlight w:val="none"/>
        </w:rPr>
        <w:t>成交供应商享受《政府采购促进中小企业发展管理办法》（财库〔2020〕46号）规定的中小企业扶持政策的，采购人、采购代理机构应当随成交结果公开成交供应商的《中小企业声明函》。</w:t>
      </w:r>
      <w:bookmarkEnd w:id="66"/>
    </w:p>
    <w:p w14:paraId="28293948">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27.4</w:t>
      </w:r>
      <w:r>
        <w:rPr>
          <w:rFonts w:hint="eastAsia" w:ascii="仿宋" w:hAnsi="仿宋" w:eastAsia="仿宋" w:cs="仿宋"/>
          <w:color w:val="auto"/>
          <w:kern w:val="0"/>
          <w:sz w:val="24"/>
          <w:highlight w:val="none"/>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A9471B0">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596613D9">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详见 “供应商须知前附表”</w:t>
      </w:r>
    </w:p>
    <w:p w14:paraId="7C3BA100">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2ADCAD71">
      <w:pPr>
        <w:pStyle w:val="26"/>
        <w:snapToGrid w:val="0"/>
        <w:spacing w:before="0"/>
        <w:ind w:firstLine="480"/>
        <w:rPr>
          <w:rFonts w:ascii="仿宋" w:hAnsi="仿宋" w:eastAsia="仿宋" w:cs="仿宋"/>
          <w:color w:val="auto"/>
          <w:szCs w:val="24"/>
          <w:highlight w:val="none"/>
          <w:lang w:val="zh-CN"/>
        </w:rPr>
      </w:pPr>
      <w:r>
        <w:rPr>
          <w:rFonts w:hint="eastAsia" w:ascii="仿宋" w:hAnsi="仿宋" w:eastAsia="仿宋" w:cs="仿宋"/>
          <w:color w:val="auto"/>
          <w:szCs w:val="24"/>
          <w:highlight w:val="none"/>
        </w:rPr>
        <w:t>29.1采购人与成交供应商应当在成交通知书规定的时间内，按照采购文件确定的合同文本以及采购标的、服务技术、采购金额、采购数量、技术和服务要求等事项签订政府采购合同。</w:t>
      </w:r>
      <w:r>
        <w:rPr>
          <w:rFonts w:hint="eastAsia" w:ascii="仿宋" w:hAnsi="仿宋" w:eastAsia="仿宋" w:cs="仿宋"/>
          <w:color w:val="auto"/>
          <w:szCs w:val="24"/>
          <w:highlight w:val="none"/>
          <w:lang w:val="zh-CN"/>
        </w:rPr>
        <w:t>如成交供应商为联合体的，由联合体成员各方法定代表人或其授权代表与采购人代表签订合同。</w:t>
      </w:r>
    </w:p>
    <w:p w14:paraId="33C2740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29.2采购人不得向成交供应商提出超出采购文件以外的任何要求作为签订合同的条件，不得与成交供应商订立背离采购文件确定的合同文本以及采购标的、服务技术、采购金额、采购数量、技术和服务要求等实质性内容的协议。</w:t>
      </w:r>
    </w:p>
    <w:p w14:paraId="6BB2992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29.3成交供应商拒绝签订政府采购合同的，重新开展采购活动。拒绝签订政府采购合同的成交供应商不得参加对该项目重新开展的采购活动。</w:t>
      </w:r>
    </w:p>
    <w:p w14:paraId="06BE49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29.4如签订合同并生效后，供应商无故拒绝或延期，除按照合同条款处理外，列入不良行为记录，并给予通报。</w:t>
      </w:r>
    </w:p>
    <w:p w14:paraId="7286F321">
      <w:pPr>
        <w:pStyle w:val="26"/>
        <w:spacing w:before="0"/>
        <w:ind w:firstLine="480"/>
        <w:rPr>
          <w:rFonts w:ascii="仿宋" w:hAnsi="仿宋" w:eastAsia="仿宋" w:cs="仿宋"/>
          <w:color w:val="auto"/>
          <w:szCs w:val="24"/>
          <w:highlight w:val="none"/>
        </w:rPr>
      </w:pPr>
      <w:r>
        <w:rPr>
          <w:rFonts w:hint="eastAsia" w:ascii="仿宋" w:hAnsi="仿宋" w:eastAsia="仿宋" w:cs="仿宋"/>
          <w:color w:val="auto"/>
          <w:szCs w:val="24"/>
          <w:highlight w:val="none"/>
        </w:rPr>
        <w:t>29.5采购合同由采购人与成交供应商根据采购文件、响应文件等内容通过政府采购电子交易平台在线签订，自动备案，在线签订须携带的材料见“ 供应商须知前附表”。</w:t>
      </w:r>
    </w:p>
    <w:p w14:paraId="2C6A9A9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387FA2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D712C31">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31. 询问、质疑和投诉</w:t>
      </w:r>
    </w:p>
    <w:p w14:paraId="15B5FA1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31.1供应商对政府采购活动事项有疑问的，可以向采购人、采购代理机构提出询问，采购人或者采购代理机构应当在3个工作日内对供应商依法提出的询问作出答复。</w:t>
      </w:r>
    </w:p>
    <w:p w14:paraId="37C71C1F">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31.2供应商认为采购文件、采购过程或者成交结果使自己的合法权益受到损害的，应当在知道或者应知其权益受到损害之日起7个工作日内，以书面形式向采购人、采购代理机构提出质疑，</w:t>
      </w:r>
      <w:r>
        <w:rPr>
          <w:rFonts w:hint="eastAsia" w:ascii="仿宋" w:hAnsi="仿宋" w:eastAsia="仿宋" w:cs="仿宋"/>
          <w:color w:val="auto"/>
          <w:sz w:val="24"/>
          <w:highlight w:val="none"/>
          <w:shd w:val="clear" w:color="auto" w:fill="FFFFFF"/>
        </w:rPr>
        <w:t>接收质疑函的方式、联系部门、联系电话和通讯地址等信息详见</w:t>
      </w:r>
      <w:r>
        <w:rPr>
          <w:rFonts w:hint="eastAsia" w:ascii="仿宋" w:hAnsi="仿宋" w:eastAsia="仿宋" w:cs="仿宋"/>
          <w:color w:val="auto"/>
          <w:sz w:val="24"/>
          <w:highlight w:val="none"/>
        </w:rPr>
        <w:t>“供应商须知前附表” 。</w:t>
      </w:r>
      <w:r>
        <w:rPr>
          <w:rFonts w:hint="eastAsia" w:ascii="仿宋" w:hAnsi="仿宋" w:eastAsia="仿宋" w:cs="仿宋"/>
          <w:b/>
          <w:color w:val="auto"/>
          <w:sz w:val="24"/>
          <w:highlight w:val="none"/>
        </w:rPr>
        <w:t xml:space="preserve">具体质疑起算时间及处理方式如下： </w:t>
      </w:r>
    </w:p>
    <w:p w14:paraId="407DD148">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（1）潜在供应商依法获取采购文件后，认为采购文件使自己的权益受到损害的，应当在单一来源采购公示期限届满之日起7个工作日内提出质疑。</w:t>
      </w:r>
      <w:r>
        <w:rPr>
          <w:rFonts w:hint="eastAsia" w:ascii="仿宋" w:hAnsi="仿宋" w:eastAsia="仿宋" w:cs="仿宋"/>
          <w:color w:val="auto"/>
          <w:sz w:val="24"/>
          <w:highlight w:val="none"/>
        </w:rPr>
        <w:t>委托代理协议无特殊约定的，</w:t>
      </w:r>
      <w:r>
        <w:rPr>
          <w:rFonts w:hint="eastAsia" w:ascii="仿宋" w:hAnsi="仿宋" w:eastAsia="仿宋" w:cs="仿宋"/>
          <w:bCs/>
          <w:color w:val="auto"/>
          <w:sz w:val="24"/>
          <w:highlight w:val="none"/>
        </w:rPr>
        <w:t>对单一来源采购文件中采购需求（含资格要求、采购预算和评分办法）的质疑由采购人受理并负责答复；对单一来源采购文件中的采购执行程序的质疑由采购代理机构受理并负责答复。</w:t>
      </w:r>
    </w:p>
    <w:p w14:paraId="6B2B94FF">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DB769B9">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（3）供应商认为成交结果使自己的权益受到损害的，应当在成交结果公告期限届满之日起7个工作日内提出质疑，由采购人受理并负责答复。</w:t>
      </w:r>
    </w:p>
    <w:p w14:paraId="3A5662B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89CA90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31.4供应商提出质疑应当提交质疑函和必要的证明材料，针对同一采购程序环节的质疑必须在法定质疑期内一次性提出。质疑函应当包括下列内容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sz w:val="24"/>
          <w:highlight w:val="none"/>
        </w:rPr>
        <w:t>（质疑函格式后附）</w:t>
      </w:r>
      <w:r>
        <w:rPr>
          <w:rFonts w:hint="eastAsia" w:ascii="仿宋" w:hAnsi="仿宋" w:eastAsia="仿宋" w:cs="仿宋"/>
          <w:color w:val="auto"/>
          <w:sz w:val="24"/>
          <w:highlight w:val="none"/>
        </w:rPr>
        <w:t>：</w:t>
      </w:r>
    </w:p>
    <w:p w14:paraId="164B2FA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14:paraId="25CA83C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14:paraId="1048688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14:paraId="5736617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（4）事实依据；</w:t>
      </w:r>
    </w:p>
    <w:p w14:paraId="2FC2BD7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14:paraId="75382AD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14:paraId="2BA86AB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供应商为自然人的，应当由本人签字；供应商为法人或者其他组织的，应当由法定代表人、主要负责人，或者其委托代理人签字或者盖章，并加盖公章。</w:t>
      </w:r>
    </w:p>
    <w:p w14:paraId="487F09D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2B78D48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45DDE7B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298585F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质疑答复导致成交结果改变的，采购人或者采购代理机构应当将有关情况书面报告本级财政部门。</w:t>
      </w:r>
    </w:p>
    <w:p w14:paraId="20FC9CC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417D5697">
      <w:pPr>
        <w:pStyle w:val="4"/>
        <w:spacing w:before="0" w:after="0" w:line="360" w:lineRule="auto"/>
        <w:ind w:firstLine="643" w:firstLineChars="200"/>
        <w:rPr>
          <w:rFonts w:ascii="仿宋" w:hAnsi="仿宋" w:eastAsia="仿宋" w:cs="仿宋"/>
          <w:b w:val="0"/>
          <w:color w:val="auto"/>
          <w:highlight w:val="none"/>
        </w:rPr>
      </w:pPr>
      <w:bookmarkStart w:id="67" w:name="_Toc13967"/>
      <w:bookmarkStart w:id="68" w:name="_Toc26195"/>
      <w:r>
        <w:rPr>
          <w:rFonts w:hint="eastAsia" w:ascii="仿宋" w:hAnsi="仿宋" w:eastAsia="仿宋" w:cs="仿宋"/>
          <w:color w:val="auto"/>
          <w:highlight w:val="none"/>
        </w:rPr>
        <w:t>六</w:t>
      </w:r>
      <w:r>
        <w:rPr>
          <w:rFonts w:hint="eastAsia" w:ascii="仿宋" w:hAnsi="仿宋" w:eastAsia="仿宋" w:cs="仿宋"/>
          <w:b w:val="0"/>
          <w:color w:val="auto"/>
          <w:highlight w:val="none"/>
        </w:rPr>
        <w:t>、验收</w:t>
      </w:r>
      <w:bookmarkEnd w:id="67"/>
      <w:bookmarkEnd w:id="68"/>
    </w:p>
    <w:p w14:paraId="38810286">
      <w:pPr>
        <w:tabs>
          <w:tab w:val="left" w:pos="0"/>
        </w:tabs>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32.验收</w:t>
      </w:r>
    </w:p>
    <w:p w14:paraId="0A8EB454">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F32427">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32.2采购人可以邀请参加本项目的其他供应商或者第三方机构参与验收。参与验收的供应商或者第三方机构的意见作为验收书的参考资料一并存档。</w:t>
      </w:r>
    </w:p>
    <w:p w14:paraId="4D5C2B85">
      <w:pPr>
        <w:tabs>
          <w:tab w:val="left" w:pos="0"/>
        </w:tabs>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FD562E8">
      <w:pPr>
        <w:tabs>
          <w:tab w:val="left" w:pos="0"/>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C64D708">
      <w:pPr>
        <w:pStyle w:val="4"/>
        <w:spacing w:before="0" w:after="0" w:line="360" w:lineRule="auto"/>
        <w:ind w:firstLine="640" w:firstLineChars="200"/>
        <w:rPr>
          <w:rFonts w:ascii="仿宋" w:hAnsi="仿宋" w:eastAsia="仿宋" w:cs="仿宋"/>
          <w:b w:val="0"/>
          <w:bCs w:val="0"/>
          <w:color w:val="auto"/>
          <w:highlight w:val="none"/>
        </w:rPr>
      </w:pPr>
      <w:bookmarkStart w:id="69" w:name="_Toc29968"/>
      <w:bookmarkStart w:id="70" w:name="_Toc2507"/>
      <w:r>
        <w:rPr>
          <w:rFonts w:hint="eastAsia" w:ascii="仿宋" w:hAnsi="仿宋" w:eastAsia="仿宋" w:cs="仿宋"/>
          <w:b w:val="0"/>
          <w:bCs w:val="0"/>
          <w:color w:val="auto"/>
          <w:highlight w:val="none"/>
        </w:rPr>
        <w:t>七、其他事项</w:t>
      </w:r>
      <w:bookmarkEnd w:id="69"/>
      <w:bookmarkEnd w:id="70"/>
    </w:p>
    <w:p w14:paraId="02847610">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33.代理服务费</w:t>
      </w:r>
    </w:p>
    <w:p w14:paraId="459CDCD6">
      <w:pPr>
        <w:tabs>
          <w:tab w:val="left" w:pos="283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代理服务收费标准及缴费账户详见“供应商须知前附表”，供应商为联合体的，可以由联合体中的一方或者多方共同缴纳代理服务费。</w:t>
      </w:r>
    </w:p>
    <w:p w14:paraId="38DBE995">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34.需要补充的其他内容</w:t>
      </w:r>
    </w:p>
    <w:p w14:paraId="2990DFC6">
      <w:pPr>
        <w:pStyle w:val="14"/>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34.1本采购文件解释规则详见“供应商须知前附表”。</w:t>
      </w:r>
    </w:p>
    <w:p w14:paraId="4DE5BA51">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kern w:val="0"/>
          <w:sz w:val="24"/>
          <w:highlight w:val="none"/>
        </w:rPr>
        <w:t>34.2其他事</w:t>
      </w:r>
      <w:r>
        <w:rPr>
          <w:rFonts w:hint="eastAsia" w:ascii="仿宋" w:hAnsi="仿宋" w:eastAsia="仿宋" w:cs="仿宋"/>
          <w:color w:val="auto"/>
          <w:sz w:val="24"/>
          <w:highlight w:val="none"/>
        </w:rPr>
        <w:t>项详见“供应商须知前附表”。</w:t>
      </w:r>
    </w:p>
    <w:p w14:paraId="1F2E541F">
      <w:pPr>
        <w:pStyle w:val="14"/>
        <w:spacing w:line="360" w:lineRule="auto"/>
        <w:ind w:firstLine="480" w:firstLineChars="200"/>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0D84C36A">
      <w:pPr>
        <w:pStyle w:val="14"/>
        <w:spacing w:line="360" w:lineRule="auto"/>
        <w:ind w:firstLine="480" w:firstLineChars="200"/>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以联合体形式参加政府采购活动，联合体各方均为中小企业的，联合体视同中小企业。其中，联合体各方均为小微企业的，联合体视同小微企业。</w:t>
      </w:r>
    </w:p>
    <w:p w14:paraId="644C8B70">
      <w:pPr>
        <w:pStyle w:val="14"/>
        <w:spacing w:line="360" w:lineRule="auto"/>
        <w:ind w:firstLine="480" w:firstLineChars="200"/>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依据本文件规定享受扶持政策获得政府采购合同的，小微企业不得将合同分包给大中型企业，中型企业不得将合同分包给大型企业。</w:t>
      </w:r>
    </w:p>
    <w:p w14:paraId="5098EE05">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35.政采贷相关说明</w:t>
      </w:r>
    </w:p>
    <w:p w14:paraId="04AD9B78">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为优化政府采购营商环境，缓解供应商资金难题，南宁市政府采购试行政府采购信用融资制度，成交供应商如有融资需求，可凭政府采购合同通过以下方式申请政府采购信用融资贷款：</w:t>
      </w:r>
    </w:p>
    <w:p w14:paraId="5A21AE71">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（1）线下渠道：在“南宁市公共资源交易中心”官网（网址：http：//www.nnggzy.org.cn）“交易信息-政府采购-政府采购信用融资”中融资银行和南宁市企业融资服务中心专栏信息申请政府采购信用融资。</w:t>
      </w:r>
    </w:p>
    <w:p w14:paraId="6D3A97A2">
      <w:pPr>
        <w:spacing w:line="360" w:lineRule="auto"/>
        <w:ind w:firstLine="422" w:firstLineChars="200"/>
        <w:rPr>
          <w:rFonts w:ascii="仿宋" w:hAnsi="仿宋" w:eastAsia="仿宋" w:cs="仿宋"/>
          <w:b/>
          <w:color w:val="auto"/>
          <w:highlight w:val="none"/>
        </w:rPr>
      </w:pPr>
      <w:r>
        <w:rPr>
          <w:rFonts w:hint="eastAsia" w:ascii="仿宋" w:hAnsi="仿宋" w:eastAsia="仿宋" w:cs="仿宋"/>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6C557CF7">
      <w:pPr>
        <w:spacing w:line="360" w:lineRule="auto"/>
        <w:ind w:firstLine="422" w:firstLineChars="200"/>
        <w:rPr>
          <w:rFonts w:ascii="仿宋" w:hAnsi="仿宋" w:eastAsia="仿宋" w:cs="仿宋"/>
          <w:color w:val="auto"/>
          <w:highlight w:val="none"/>
        </w:rPr>
      </w:pPr>
      <w:r>
        <w:rPr>
          <w:rFonts w:hint="eastAsia" w:ascii="仿宋" w:hAnsi="仿宋" w:eastAsia="仿宋" w:cs="仿宋"/>
          <w:b/>
          <w:color w:val="auto"/>
          <w:highlight w:val="none"/>
        </w:rPr>
        <w:br w:type="page"/>
      </w:r>
    </w:p>
    <w:p w14:paraId="448F2F03">
      <w:pPr>
        <w:pStyle w:val="2"/>
        <w:spacing w:before="0" w:after="0" w:line="360" w:lineRule="auto"/>
        <w:jc w:val="center"/>
        <w:rPr>
          <w:rFonts w:ascii="仿宋" w:hAnsi="仿宋" w:eastAsia="仿宋" w:cs="仿宋"/>
          <w:color w:val="auto"/>
          <w:highlight w:val="none"/>
        </w:rPr>
      </w:pPr>
      <w:bookmarkStart w:id="71" w:name="_Toc14191"/>
      <w:bookmarkStart w:id="72" w:name="_Toc29794"/>
      <w:bookmarkStart w:id="73" w:name="_Toc10033"/>
      <w:r>
        <w:rPr>
          <w:rFonts w:hint="eastAsia" w:ascii="仿宋" w:hAnsi="仿宋" w:eastAsia="仿宋" w:cs="仿宋"/>
          <w:color w:val="auto"/>
          <w:highlight w:val="none"/>
        </w:rPr>
        <w:t>第四章 评审程序、评审方法和成交标准</w:t>
      </w:r>
      <w:bookmarkEnd w:id="71"/>
      <w:bookmarkEnd w:id="72"/>
      <w:bookmarkEnd w:id="73"/>
    </w:p>
    <w:p w14:paraId="6F4E2BD2">
      <w:pPr>
        <w:pStyle w:val="3"/>
        <w:spacing w:before="0" w:after="0" w:line="360" w:lineRule="auto"/>
        <w:ind w:firstLine="640" w:firstLineChars="200"/>
        <w:jc w:val="center"/>
        <w:rPr>
          <w:rFonts w:ascii="仿宋" w:hAnsi="仿宋" w:eastAsia="仿宋" w:cs="仿宋"/>
          <w:b w:val="0"/>
          <w:color w:val="auto"/>
          <w:highlight w:val="none"/>
        </w:rPr>
      </w:pPr>
      <w:bookmarkStart w:id="74" w:name="_Toc11132"/>
      <w:bookmarkStart w:id="75" w:name="_Toc31777"/>
      <w:bookmarkStart w:id="76" w:name="_Toc25820"/>
      <w:r>
        <w:rPr>
          <w:rFonts w:hint="eastAsia" w:ascii="仿宋" w:hAnsi="仿宋" w:eastAsia="仿宋" w:cs="仿宋"/>
          <w:b w:val="0"/>
          <w:color w:val="auto"/>
          <w:highlight w:val="none"/>
        </w:rPr>
        <w:t>第一节 评审程序和评审方法</w:t>
      </w:r>
      <w:bookmarkEnd w:id="74"/>
      <w:bookmarkEnd w:id="75"/>
      <w:bookmarkEnd w:id="76"/>
    </w:p>
    <w:p w14:paraId="52C80F2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1.确认协商文件</w:t>
      </w:r>
    </w:p>
    <w:p w14:paraId="6F41D8B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由评审小组确认协商文件。</w:t>
      </w:r>
    </w:p>
    <w:p w14:paraId="7BBCBE14">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2.资格审查</w:t>
      </w:r>
    </w:p>
    <w:p w14:paraId="7105644E">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2.1响应文件开启后，评审小组依法对供应商的资格证明文件进行审查。</w:t>
      </w:r>
    </w:p>
    <w:p w14:paraId="62E7D22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注：采购人代表或者采购代理机构在资格审查结束前，对供应商进行信用查询。</w:t>
      </w:r>
    </w:p>
    <w:p w14:paraId="028B5800">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（1）查询渠道：广西政府采购云平台“信用中国”网站（www.creditchina.gov.cn)、中国政府采购网（www.ccgp.gov.cn）链接入口。</w:t>
      </w:r>
    </w:p>
    <w:p w14:paraId="3B0F54FF">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（2）信用查询截止时点：资格审查结束前。</w:t>
      </w:r>
    </w:p>
    <w:p w14:paraId="3A0BE40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查询记录和证据留存方式：在查询网站中直接打印查询记录，截图另存为电子文档作为评审资料保存。</w:t>
      </w:r>
    </w:p>
    <w:p w14:paraId="3B6AAF4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81A8BE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2.2资格审查标准为本采购文件中载明对供应商资格要求的条件。资格审查采用合格制，凡符合采购文件规定的供应商资格要求的响应文件均通过资格审查。</w:t>
      </w:r>
    </w:p>
    <w:p w14:paraId="759CC90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2.3供应商有下列情形之一的，资格审查不通过，其响应文件按无效响应处理：</w:t>
      </w:r>
    </w:p>
    <w:p w14:paraId="43AC9FF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（1）不具备采购文件中规定的资格要求的；</w:t>
      </w:r>
    </w:p>
    <w:p w14:paraId="6DF0142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（2）响应文件未提供任一项“供应商须知前附表”资格证明文件规定的“必须提供”的文件资料的；</w:t>
      </w:r>
    </w:p>
    <w:p w14:paraId="2A46D29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（3）响应文件提供的资格证明文件出现任一项不符合“供应商须知前附表”资格证明文件规定的“必须提供”的文件资料要求或者无效的。</w:t>
      </w:r>
    </w:p>
    <w:p w14:paraId="5B152FDA">
      <w:pPr>
        <w:spacing w:line="360" w:lineRule="auto"/>
        <w:ind w:firstLine="480" w:firstLineChars="200"/>
        <w:rPr>
          <w:rFonts w:ascii="仿宋" w:hAnsi="仿宋" w:eastAsia="仿宋" w:cs="仿宋"/>
          <w:color w:val="auto"/>
          <w:sz w:val="24"/>
          <w:highlight w:val="none"/>
        </w:rPr>
      </w:pPr>
      <w:bookmarkStart w:id="77" w:name="_Hlk68601553"/>
      <w:r>
        <w:rPr>
          <w:rFonts w:hint="eastAsia" w:ascii="仿宋" w:hAnsi="仿宋" w:eastAsia="仿宋" w:cs="仿宋"/>
          <w:color w:val="auto"/>
          <w:sz w:val="24"/>
          <w:highlight w:val="none"/>
        </w:rPr>
        <w:t>（4）同一合同项下的不同供应商，单位负责人为同一人或者存在直接控股、管理关系的；为本项目提供过整体设计、规范编制或者项目管理、监理、检测等服务的。</w:t>
      </w:r>
      <w:bookmarkEnd w:id="77"/>
    </w:p>
    <w:p w14:paraId="1BAEF46E">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3.符合性审查</w:t>
      </w:r>
    </w:p>
    <w:p w14:paraId="62100BCB">
      <w:pPr>
        <w:spacing w:line="360" w:lineRule="auto"/>
        <w:ind w:firstLine="480" w:firstLineChars="200"/>
        <w:rPr>
          <w:rFonts w:ascii="仿宋" w:hAnsi="仿宋" w:eastAsia="仿宋" w:cs="仿宋"/>
          <w:color w:val="auto"/>
          <w:sz w:val="24"/>
          <w:highlight w:val="none"/>
        </w:rPr>
      </w:pPr>
      <w:bookmarkStart w:id="78" w:name="_Hlk42528882"/>
      <w:r>
        <w:rPr>
          <w:rFonts w:hint="eastAsia" w:ascii="仿宋" w:hAnsi="仿宋" w:eastAsia="仿宋" w:cs="仿宋"/>
          <w:color w:val="auto"/>
          <w:sz w:val="24"/>
          <w:highlight w:val="none"/>
        </w:rPr>
        <w:t>3.1由评审小组对通过资格审查的合格供应商的响应文件的协商报价、商务、技术等实质性要求进行符合性审查，以确定其是否满足采购文件的实质性要求。</w:t>
      </w:r>
    </w:p>
    <w:bookmarkEnd w:id="78"/>
    <w:p w14:paraId="1BE63A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评审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9B1114">
      <w:pPr>
        <w:spacing w:line="360" w:lineRule="auto"/>
        <w:ind w:firstLine="480" w:firstLineChars="200"/>
        <w:rPr>
          <w:rFonts w:ascii="仿宋" w:hAnsi="仿宋" w:eastAsia="仿宋" w:cs="仿宋"/>
          <w:color w:val="auto"/>
          <w:spacing w:val="-6"/>
          <w:sz w:val="24"/>
          <w:highlight w:val="none"/>
        </w:rPr>
      </w:pPr>
      <w:r>
        <w:rPr>
          <w:rFonts w:hint="eastAsia" w:ascii="仿宋" w:hAnsi="仿宋" w:eastAsia="仿宋" w:cs="仿宋"/>
          <w:color w:val="auto"/>
          <w:sz w:val="24"/>
          <w:highlight w:val="none"/>
        </w:rPr>
        <w:t>3.3评审小组要求供应商澄清、说明或者更正响应文件应当以电子澄清函形式作出。供应商的澄清、说明或者更正应当以电子回函形式按照评审小组的要求作出明确的澄清、说明或者更正，未按评审小组的要求作出明确澄清、说明或者更正的供应商的响应文件将按照有利于采购人的原则由评审小组进行判定。供应商的澄清、说明或者更正必须加盖电子公章</w:t>
      </w:r>
      <w:r>
        <w:rPr>
          <w:rFonts w:hint="eastAsia" w:ascii="仿宋" w:hAnsi="仿宋" w:eastAsia="仿宋" w:cs="仿宋"/>
          <w:color w:val="auto"/>
          <w:spacing w:val="-6"/>
          <w:sz w:val="24"/>
          <w:highlight w:val="none"/>
        </w:rPr>
        <w:t>。供应商为自然人的，必须由本人签字并附身份证明。</w:t>
      </w:r>
    </w:p>
    <w:p w14:paraId="76926AA0">
      <w:pPr>
        <w:spacing w:line="360" w:lineRule="auto"/>
        <w:ind w:firstLine="456" w:firstLineChars="200"/>
        <w:rPr>
          <w:rFonts w:ascii="仿宋" w:hAnsi="仿宋" w:eastAsia="仿宋" w:cs="仿宋"/>
          <w:color w:val="auto"/>
          <w:sz w:val="24"/>
          <w:highlight w:val="none"/>
        </w:rPr>
      </w:pPr>
      <w:r>
        <w:rPr>
          <w:rFonts w:hint="eastAsia" w:ascii="仿宋" w:hAnsi="仿宋" w:eastAsia="仿宋" w:cs="仿宋"/>
          <w:color w:val="auto"/>
          <w:spacing w:val="-6"/>
          <w:sz w:val="24"/>
          <w:highlight w:val="none"/>
        </w:rPr>
        <w:t>3.4</w:t>
      </w:r>
      <w:r>
        <w:rPr>
          <w:rFonts w:hint="eastAsia" w:ascii="仿宋" w:hAnsi="仿宋" w:eastAsia="仿宋" w:cs="仿宋"/>
          <w:color w:val="auto"/>
          <w:sz w:val="24"/>
          <w:highlight w:val="none"/>
        </w:rPr>
        <w:t xml:space="preserve">首次响应文件报价出现前后不一致的，按照下列规定修正： </w:t>
      </w:r>
    </w:p>
    <w:p w14:paraId="163BAF8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（1）响应文件中报价表内容与响应文件中相应内容不一致的，以报价表为准；</w:t>
      </w:r>
    </w:p>
    <w:p w14:paraId="307BCA4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036AB87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（3）单价金额小数点或者百分比有明显错位的，以报价表的总价为准，并修改单价；</w:t>
      </w:r>
    </w:p>
    <w:p w14:paraId="1287646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225F31C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同时出现两种以上不一致的，按照以上（1）－（4）规定的顺序逐条进行修正。修正后的报价经供应商确认后产生约束力，供应商不确认的，其响应文件按无效响应处理。</w:t>
      </w:r>
    </w:p>
    <w:p w14:paraId="64D0757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3.5商务技术、报价评审</w:t>
      </w:r>
    </w:p>
    <w:p w14:paraId="47B0B44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在评审时，如发现下列情形之一的，将被视为响应文件无效处理：</w:t>
      </w:r>
    </w:p>
    <w:p w14:paraId="61EB019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（1）商务技术评审</w:t>
      </w:r>
    </w:p>
    <w:p w14:paraId="3C18626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1）响应文件未按采购文件要求签署、盖章；</w:t>
      </w:r>
    </w:p>
    <w:p w14:paraId="5FF7FBA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2）委托代理人未能出具有效身份证明或者出具的身份证明与授权委托书中的信息不符； </w:t>
      </w:r>
    </w:p>
    <w:p w14:paraId="0ADF6DD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F8BC2B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4）商务条款中标“▲”的条款发生负偏离的或者允许负偏离的条款数超过“供应商须知前附表”规定项数的或者标明实质性的要求发生负偏离；</w:t>
      </w:r>
    </w:p>
    <w:p w14:paraId="01DF8A4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5）未对协商有效期作出响应或者响应文件承诺的协商有效期不满足采购文件要求；</w:t>
      </w:r>
    </w:p>
    <w:p w14:paraId="69ED2F6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6）响应文件的实质性内容未使用中文表述、使用计量单位不符合采购文件要求；</w:t>
      </w:r>
    </w:p>
    <w:p w14:paraId="2564B5A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7）响应文件中的文件资料因填写不齐全或者内容虚假或者出现其他情形而导致被评审小组认定无效；</w:t>
      </w:r>
    </w:p>
    <w:p w14:paraId="7268565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8）响应文件含有采购人不能接受的附加条件；</w:t>
      </w:r>
    </w:p>
    <w:p w14:paraId="50CEDB4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9）属于“供应商须知正文”第7.5条情形；</w:t>
      </w:r>
    </w:p>
    <w:p w14:paraId="594AACA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10）技术需求允许负偏离的条款数超过“供应商须知前附表”规定项数；</w:t>
      </w:r>
    </w:p>
    <w:p w14:paraId="197CFD2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11）虚假，或者出现其他情形而导致被评审小组认定无效；</w:t>
      </w:r>
    </w:p>
    <w:p w14:paraId="5DC0B1F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12）技术方案不明确，采购文件未允许但响应文件中存在一个或者一个以上备选（替代）方案；</w:t>
      </w:r>
    </w:p>
    <w:p w14:paraId="36B312F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13）响应文件标注的项目名称或者项目编号与单一来源采购文件标注的项目名称或者项目编号不一致的；</w:t>
      </w:r>
    </w:p>
    <w:p w14:paraId="27D1C8C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14）未响应采购文件实质性要求；</w:t>
      </w:r>
    </w:p>
    <w:p w14:paraId="275D22D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15）法律、法规和采购文件规定的其他无效情形。</w:t>
      </w:r>
    </w:p>
    <w:p w14:paraId="5CA5BAA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（2）报价评审</w:t>
      </w:r>
    </w:p>
    <w:p w14:paraId="57F4743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1)响应文件未提供“供应商须知前附表” 报价文件中规定的“协商报价表”；</w:t>
      </w:r>
    </w:p>
    <w:p w14:paraId="7C04A65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2）未采用人民币报价或者未按照采购文件标明的币种报价；</w:t>
      </w:r>
    </w:p>
    <w:p w14:paraId="5816A56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供应商未就所协商分标进行报价或者存在漏项报价；供应商未就所协商分标的单项内容作唯一报价；供应商未就所协商分标的全部内容作唯一总价报价；供应商响应文件中存在有选择、有条件报价的（采购文件允许有备选方案或者其他约定的除外）；</w:t>
      </w:r>
    </w:p>
    <w:p w14:paraId="3FF7BC0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4）协商报价（包含首次报价、最后报价）超过所协商分标规定的采购预算金额或者最高限价的（如本项目公布了最高限价）；</w:t>
      </w:r>
      <w:bookmarkStart w:id="79" w:name="_Hlk42596405"/>
      <w:r>
        <w:rPr>
          <w:rFonts w:hint="eastAsia" w:ascii="仿宋" w:hAnsi="仿宋" w:eastAsia="仿宋" w:cs="仿宋"/>
          <w:color w:val="auto"/>
          <w:sz w:val="24"/>
          <w:highlight w:val="none"/>
        </w:rPr>
        <w:t>协商报价（包含首次报价、最后报价）</w:t>
      </w:r>
      <w:bookmarkEnd w:id="79"/>
      <w:bookmarkStart w:id="80" w:name="_Hlk42596276"/>
      <w:r>
        <w:rPr>
          <w:rFonts w:hint="eastAsia" w:ascii="仿宋" w:hAnsi="仿宋" w:eastAsia="仿宋" w:cs="仿宋"/>
          <w:color w:val="auto"/>
          <w:sz w:val="24"/>
          <w:highlight w:val="none"/>
        </w:rPr>
        <w:t>超过采购文件分项采购预算金额或者最高限价的</w:t>
      </w:r>
      <w:bookmarkEnd w:id="80"/>
      <w:r>
        <w:rPr>
          <w:rFonts w:hint="eastAsia" w:ascii="仿宋" w:hAnsi="仿宋" w:eastAsia="仿宋" w:cs="仿宋"/>
          <w:color w:val="auto"/>
          <w:sz w:val="24"/>
          <w:highlight w:val="none"/>
        </w:rPr>
        <w:t>（如本项目公布了最高限价）；</w:t>
      </w:r>
    </w:p>
    <w:p w14:paraId="268A8E9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修正后的报价，供应商不确认的；或者经供应商确认修正后的协商报价（包含首次报价、最后报价）超过所协商分标规定的采购预算金额或者最高限价（如本项目公布了最高限价）；或者经供应商确认修正后协商报价（包含首次报价、最后报价）超过采购文件分项采购预算金额或者最高限价的（如本项目公布了最高限价）。</w:t>
      </w:r>
    </w:p>
    <w:p w14:paraId="4EFA0B0A">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6）响应文件响应的标的数量及单位与单一来源采购文件要求实质性不一致的。</w:t>
      </w:r>
    </w:p>
    <w:p w14:paraId="11FD32A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3.6评审小组对响应文件进行评审，未实质性响应采购文件的响应文件按无效处理。评审小组应当将资格和符合性不通过的情况告知有关供应商。</w:t>
      </w:r>
    </w:p>
    <w:p w14:paraId="323F05DA">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4.协商程序</w:t>
      </w:r>
    </w:p>
    <w:p w14:paraId="45E1567E">
      <w:pPr>
        <w:spacing w:line="360" w:lineRule="auto"/>
        <w:ind w:firstLine="480" w:firstLineChars="200"/>
        <w:rPr>
          <w:rFonts w:ascii="仿宋" w:hAnsi="仿宋" w:eastAsia="仿宋" w:cs="仿宋"/>
          <w:b/>
          <w:color w:val="auto"/>
          <w:kern w:val="0"/>
          <w:sz w:val="24"/>
          <w:highlight w:val="none"/>
        </w:rPr>
      </w:pPr>
      <w:r>
        <w:rPr>
          <w:rFonts w:hint="eastAsia" w:ascii="仿宋" w:hAnsi="仿宋" w:eastAsia="仿宋" w:cs="仿宋"/>
          <w:color w:val="auto"/>
          <w:kern w:val="0"/>
          <w:sz w:val="24"/>
          <w:highlight w:val="none"/>
        </w:rPr>
        <w:t>4.1评审小组按照“供应商须知前附表”</w:t>
      </w: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确定的</w:t>
      </w:r>
      <w:r>
        <w:rPr>
          <w:rFonts w:hint="eastAsia" w:ascii="仿宋" w:hAnsi="仿宋" w:eastAsia="仿宋" w:cs="仿宋"/>
          <w:color w:val="auto"/>
          <w:sz w:val="24"/>
          <w:highlight w:val="none"/>
        </w:rPr>
        <w:t>顺序，与单一供应商进行协商。符合协商资格的供应商必须在接到协商通知后规定时间内参加协商，未在规定时间内参加协商的视同放弃参加协商权利，</w:t>
      </w:r>
      <w:r>
        <w:rPr>
          <w:rFonts w:hint="eastAsia" w:ascii="仿宋" w:hAnsi="仿宋" w:eastAsia="仿宋" w:cs="仿宋"/>
          <w:b/>
          <w:color w:val="auto"/>
          <w:sz w:val="24"/>
          <w:highlight w:val="none"/>
        </w:rPr>
        <w:t>其响应文件按无效响应处理。</w:t>
      </w:r>
    </w:p>
    <w:p w14:paraId="6470648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4.2在协商过程中，评审小组可以根据协商文件和协商情况实质性变动采购需求中的技术、服务要求以及合同草案条款，但不得变动采购文件中的其他内容。实质性变动的内容，须经采购人代表确认。可能实质性变动的内容为采购需求中的技术、服务要求以及合同草案条款。</w:t>
      </w:r>
    </w:p>
    <w:p w14:paraId="34DD7E7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4.3对采购文件作出的实质性变动是采购文件的有效组成部分，由评审小组及时以电子澄清函形式同时通知供应商。</w:t>
      </w:r>
    </w:p>
    <w:p w14:paraId="0DEEEDB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4.4供应商必须按照采购文件的变动情况和评审小组的要求以回函的形式重新提交响应文件，并加盖电子公章。供应商为自然人的，必须由本人签字并附身份证明。参加协商的供应商未在规定时间内重新提交响应文件的，视同退出协商。</w:t>
      </w:r>
    </w:p>
    <w:p w14:paraId="1A4D9B2B">
      <w:pPr>
        <w:widowControl/>
        <w:tabs>
          <w:tab w:val="left" w:pos="540"/>
        </w:tabs>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4.5评审小组应对协商过程和重要协商内容进行记录，作为评标报告一部分，评审小组在记录上签字确认。</w:t>
      </w:r>
      <w:r>
        <w:rPr>
          <w:rFonts w:hint="eastAsia" w:ascii="仿宋" w:hAnsi="仿宋" w:eastAsia="仿宋" w:cs="仿宋"/>
          <w:b/>
          <w:color w:val="auto"/>
          <w:sz w:val="24"/>
          <w:highlight w:val="none"/>
        </w:rPr>
        <w:t>主要内容包括：</w:t>
      </w:r>
    </w:p>
    <w:p w14:paraId="56B0CFD9">
      <w:pPr>
        <w:pStyle w:val="26"/>
        <w:spacing w:before="0"/>
        <w:ind w:firstLine="456"/>
        <w:rPr>
          <w:rFonts w:ascii="仿宋" w:hAnsi="仿宋" w:eastAsia="仿宋" w:cs="仿宋"/>
          <w:color w:val="auto"/>
          <w:spacing w:val="-6"/>
          <w:kern w:val="2"/>
          <w:szCs w:val="24"/>
          <w:highlight w:val="none"/>
        </w:rPr>
      </w:pPr>
      <w:r>
        <w:rPr>
          <w:rFonts w:hint="eastAsia" w:ascii="仿宋" w:hAnsi="仿宋" w:eastAsia="仿宋" w:cs="仿宋"/>
          <w:color w:val="auto"/>
          <w:spacing w:val="-6"/>
          <w:kern w:val="2"/>
          <w:szCs w:val="24"/>
          <w:highlight w:val="none"/>
        </w:rPr>
        <w:t>（1）按照相关规定进行公示的，公示情况说明；</w:t>
      </w:r>
    </w:p>
    <w:p w14:paraId="7CA4A725">
      <w:pPr>
        <w:pStyle w:val="26"/>
        <w:spacing w:before="0"/>
        <w:ind w:firstLine="456"/>
        <w:rPr>
          <w:rFonts w:ascii="仿宋" w:hAnsi="仿宋" w:eastAsia="仿宋" w:cs="仿宋"/>
          <w:color w:val="auto"/>
          <w:spacing w:val="-6"/>
          <w:kern w:val="2"/>
          <w:szCs w:val="24"/>
          <w:highlight w:val="none"/>
        </w:rPr>
      </w:pPr>
      <w:r>
        <w:rPr>
          <w:rFonts w:hint="eastAsia" w:ascii="仿宋" w:hAnsi="仿宋" w:eastAsia="仿宋" w:cs="仿宋"/>
          <w:color w:val="auto"/>
          <w:spacing w:val="-6"/>
          <w:kern w:val="2"/>
          <w:szCs w:val="24"/>
          <w:highlight w:val="none"/>
        </w:rPr>
        <w:t>（2）协商日期和地点，协商人员名单；</w:t>
      </w:r>
    </w:p>
    <w:p w14:paraId="1902CE53">
      <w:pPr>
        <w:pStyle w:val="26"/>
        <w:spacing w:before="0"/>
        <w:ind w:firstLine="456"/>
        <w:rPr>
          <w:rFonts w:ascii="仿宋" w:hAnsi="仿宋" w:eastAsia="仿宋" w:cs="仿宋"/>
          <w:color w:val="auto"/>
          <w:spacing w:val="-6"/>
          <w:kern w:val="2"/>
          <w:szCs w:val="24"/>
          <w:highlight w:val="none"/>
        </w:rPr>
      </w:pPr>
      <w:r>
        <w:rPr>
          <w:rFonts w:hint="eastAsia" w:ascii="仿宋" w:hAnsi="仿宋" w:eastAsia="仿宋" w:cs="仿宋"/>
          <w:color w:val="auto"/>
          <w:spacing w:val="-6"/>
          <w:kern w:val="2"/>
          <w:szCs w:val="24"/>
          <w:highlight w:val="none"/>
        </w:rPr>
        <w:t>（3）合同主要条款及价格商定情况。</w:t>
      </w:r>
    </w:p>
    <w:p w14:paraId="345BA033">
      <w:pPr>
        <w:widowControl/>
        <w:tabs>
          <w:tab w:val="left" w:pos="540"/>
        </w:tabs>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4.7协商过程中重新提交的响应文件，供应商可以在开启前补充、修改。</w:t>
      </w:r>
    </w:p>
    <w:p w14:paraId="52DA5CC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4.8对</w:t>
      </w:r>
      <w:r>
        <w:rPr>
          <w:rFonts w:hint="eastAsia" w:ascii="仿宋" w:hAnsi="仿宋" w:eastAsia="仿宋" w:cs="仿宋"/>
          <w:color w:val="auto"/>
          <w:spacing w:val="-6"/>
          <w:sz w:val="24"/>
          <w:highlight w:val="none"/>
        </w:rPr>
        <w:t>协商</w:t>
      </w:r>
      <w:r>
        <w:rPr>
          <w:rFonts w:hint="eastAsia" w:ascii="仿宋" w:hAnsi="仿宋" w:eastAsia="仿宋" w:cs="仿宋"/>
          <w:color w:val="auto"/>
          <w:sz w:val="24"/>
          <w:highlight w:val="none"/>
        </w:rPr>
        <w:t>过程提交的响应文件进行有效性、完整性和响应程度审查。</w:t>
      </w:r>
    </w:p>
    <w:p w14:paraId="4ECC41ED">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bCs/>
          <w:color w:val="auto"/>
          <w:sz w:val="24"/>
          <w:highlight w:val="none"/>
        </w:rPr>
        <w:t>5. 最后报价</w:t>
      </w:r>
    </w:p>
    <w:p w14:paraId="1C4509E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pacing w:val="-6"/>
          <w:sz w:val="24"/>
          <w:highlight w:val="none"/>
        </w:rPr>
        <w:t>协商</w:t>
      </w:r>
      <w:r>
        <w:rPr>
          <w:rFonts w:hint="eastAsia" w:ascii="仿宋" w:hAnsi="仿宋" w:eastAsia="仿宋" w:cs="仿宋"/>
          <w:color w:val="auto"/>
          <w:sz w:val="24"/>
          <w:highlight w:val="none"/>
        </w:rPr>
        <w:t>文件能够详细列明采购标的的技术、服务要求的，</w:t>
      </w:r>
      <w:r>
        <w:rPr>
          <w:rFonts w:hint="eastAsia" w:ascii="仿宋" w:hAnsi="仿宋" w:eastAsia="仿宋" w:cs="仿宋"/>
          <w:color w:val="auto"/>
          <w:spacing w:val="-6"/>
          <w:sz w:val="24"/>
          <w:highlight w:val="none"/>
        </w:rPr>
        <w:t>协商</w:t>
      </w:r>
      <w:r>
        <w:rPr>
          <w:rFonts w:hint="eastAsia" w:ascii="仿宋" w:hAnsi="仿宋" w:eastAsia="仿宋" w:cs="仿宋"/>
          <w:color w:val="auto"/>
          <w:sz w:val="24"/>
          <w:highlight w:val="none"/>
        </w:rPr>
        <w:t>结束后，由评审小组要求所有继续参加</w:t>
      </w:r>
      <w:r>
        <w:rPr>
          <w:rFonts w:hint="eastAsia" w:ascii="仿宋" w:hAnsi="仿宋" w:eastAsia="仿宋" w:cs="仿宋"/>
          <w:color w:val="auto"/>
          <w:spacing w:val="-6"/>
          <w:sz w:val="24"/>
          <w:highlight w:val="none"/>
        </w:rPr>
        <w:t>协商</w:t>
      </w:r>
      <w:r>
        <w:rPr>
          <w:rFonts w:hint="eastAsia" w:ascii="仿宋" w:hAnsi="仿宋" w:eastAsia="仿宋" w:cs="仿宋"/>
          <w:color w:val="auto"/>
          <w:sz w:val="24"/>
          <w:highlight w:val="none"/>
        </w:rPr>
        <w:t>的供应商在规定时间内密封提交最后报价。</w:t>
      </w:r>
    </w:p>
    <w:p w14:paraId="4D86B7A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pacing w:val="-6"/>
          <w:sz w:val="24"/>
          <w:highlight w:val="none"/>
        </w:rPr>
        <w:t>协商</w:t>
      </w:r>
      <w:r>
        <w:rPr>
          <w:rFonts w:hint="eastAsia" w:ascii="仿宋" w:hAnsi="仿宋" w:eastAsia="仿宋" w:cs="仿宋"/>
          <w:color w:val="auto"/>
          <w:sz w:val="24"/>
          <w:highlight w:val="none"/>
        </w:rPr>
        <w:t>文件不能详细列明采购标的的技术、服务要求，需经</w:t>
      </w:r>
      <w:r>
        <w:rPr>
          <w:rFonts w:hint="eastAsia" w:ascii="仿宋" w:hAnsi="仿宋" w:eastAsia="仿宋" w:cs="仿宋"/>
          <w:color w:val="auto"/>
          <w:spacing w:val="-6"/>
          <w:sz w:val="24"/>
          <w:highlight w:val="none"/>
        </w:rPr>
        <w:t>协商</w:t>
      </w:r>
      <w:r>
        <w:rPr>
          <w:rFonts w:hint="eastAsia" w:ascii="仿宋" w:hAnsi="仿宋" w:eastAsia="仿宋" w:cs="仿宋"/>
          <w:color w:val="auto"/>
          <w:sz w:val="24"/>
          <w:highlight w:val="none"/>
        </w:rPr>
        <w:t>由供应商提供最后设计方案或者解决方案的，</w:t>
      </w:r>
      <w:r>
        <w:rPr>
          <w:rFonts w:hint="eastAsia" w:ascii="仿宋" w:hAnsi="仿宋" w:eastAsia="仿宋" w:cs="仿宋"/>
          <w:color w:val="auto"/>
          <w:spacing w:val="-6"/>
          <w:sz w:val="24"/>
          <w:highlight w:val="none"/>
        </w:rPr>
        <w:t>协商</w:t>
      </w:r>
      <w:r>
        <w:rPr>
          <w:rFonts w:hint="eastAsia" w:ascii="仿宋" w:hAnsi="仿宋" w:eastAsia="仿宋" w:cs="仿宋"/>
          <w:color w:val="auto"/>
          <w:sz w:val="24"/>
          <w:highlight w:val="none"/>
        </w:rPr>
        <w:t>结束后，要求其在规定时间内在广西政府采购云平台远程不见面开标大厅响应最后报价。</w:t>
      </w:r>
    </w:p>
    <w:p w14:paraId="44E59AD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5.3 最后报价是供应商响应文件的有效组成部分。</w:t>
      </w:r>
    </w:p>
    <w:p w14:paraId="49CA67C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5.4已经提交响应文件的供应商，在提交最后报价之前，可以根据协商情况退出协商，退出协商的供应商的响应文件按无效响应处理。</w:t>
      </w:r>
    </w:p>
    <w:p w14:paraId="314D267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5.5供应商未在规定时间内提交最后报价的</w:t>
      </w:r>
      <w:r>
        <w:rPr>
          <w:rFonts w:hint="eastAsia" w:ascii="仿宋" w:hAnsi="仿宋" w:eastAsia="仿宋" w:cs="仿宋"/>
          <w:b/>
          <w:color w:val="auto"/>
          <w:sz w:val="24"/>
          <w:highlight w:val="none"/>
        </w:rPr>
        <w:t>，视同放弃报价权利退出协商。</w:t>
      </w:r>
    </w:p>
    <w:p w14:paraId="3BCF9B6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5.6最终响应文件的报价出现前后不一致的，按照本章第3.4条的规定修正。 </w:t>
      </w:r>
    </w:p>
    <w:p w14:paraId="226A949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异常低价响应审查</w:t>
      </w:r>
    </w:p>
    <w:p w14:paraId="235FDA9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在评审中发现下列情形之一的，应当启动异常低价响应审查程序:</w:t>
      </w:r>
    </w:p>
    <w:p w14:paraId="04AEF5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①响应报价＜全部通过符合性审查供应商响应报价平均值×50%；</w:t>
      </w:r>
    </w:p>
    <w:p w14:paraId="01E089E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②响应报价＜通过符合性审查的次低报价供应商响应报价×50%；</w:t>
      </w:r>
    </w:p>
    <w:p w14:paraId="47B78C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③</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基于专业判断，认为供应商报价过低，有可能影响产品质量或者不能诚信履约的其他情形。</w:t>
      </w:r>
    </w:p>
    <w:p w14:paraId="7EC6079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启动异常低价响应审查后，属于前述第①项至第③项情形的，应当要求供应商在评审现场合理的时间内对响应价格作出解释，提供项目具体成本测算等与报价合理性相关的书面说明及必要的证明材料，包括但不限于原材料成本、人工成本、制造费用等，给予供应商的合理时间不少于30分钟。</w:t>
      </w:r>
    </w:p>
    <w:p w14:paraId="465184C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依据专业经验，参考同类项目中标（成交）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应当将其作为无效响应处理。</w:t>
      </w:r>
    </w:p>
    <w:p w14:paraId="4499DD7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修正后的最终报价出现下列情形的，按无效响应处理：</w:t>
      </w:r>
    </w:p>
    <w:p w14:paraId="1E26778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（1）供应商不确认的（全流程电子化评标采取在线确认）；</w:t>
      </w:r>
    </w:p>
    <w:p w14:paraId="248F9AB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经供应商确认修正后的协商报价（包含首次报价、最后报价）超过所协商分标规定的采购预算金额或者最高限价的（如本项目公布了最高限价）（全流程电子化评标多轮报价设置了上线控制价，即预算价）；</w:t>
      </w:r>
    </w:p>
    <w:p w14:paraId="1B1AD56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（3）经供应商确认修正后的协商报价（包含首次报价、最后报价）超过分项采购预算金额或者最高限价的（如本项目公布了最高限价）。</w:t>
      </w:r>
    </w:p>
    <w:p w14:paraId="2D62126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经供应商确认修正后的最后报价作为评审及签订合同的依据。</w:t>
      </w:r>
    </w:p>
    <w:p w14:paraId="796C0D3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供应商出现最后报价按无效响应处理或者响应文件按无效处理时，评审小组应当告知有关供应商。</w:t>
      </w:r>
    </w:p>
    <w:p w14:paraId="61EA660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最后报价结束后，评审小组不得再与供应商进行任何形式的商谈。</w:t>
      </w:r>
    </w:p>
    <w:p w14:paraId="130757F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评审价＝最后报价。</w:t>
      </w:r>
    </w:p>
    <w:p w14:paraId="6E2176B7">
      <w:pPr>
        <w:spacing w:line="360" w:lineRule="auto"/>
        <w:ind w:firstLine="436" w:firstLineChars="181"/>
        <w:rPr>
          <w:rFonts w:ascii="仿宋" w:hAnsi="仿宋" w:eastAsia="仿宋" w:cs="仿宋"/>
          <w:b/>
          <w:bCs/>
          <w:color w:val="auto"/>
          <w:sz w:val="24"/>
          <w:highlight w:val="none"/>
        </w:rPr>
      </w:pPr>
      <w:r>
        <w:rPr>
          <w:rFonts w:hint="eastAsia" w:ascii="仿宋" w:hAnsi="仿宋" w:eastAsia="仿宋" w:cs="仿宋"/>
          <w:b/>
          <w:bCs/>
          <w:color w:val="auto"/>
          <w:sz w:val="24"/>
          <w:highlight w:val="none"/>
        </w:rPr>
        <w:t>7.评审复核</w:t>
      </w:r>
    </w:p>
    <w:p w14:paraId="0E4C935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7.1评审报告签署前，评审委员会要对评审结果进行复核，复核意见要体现在评审报告中。</w:t>
      </w:r>
    </w:p>
    <w:p w14:paraId="6D9029B1">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7.2除资格性审查认定错误和价格计算错误外，采购人或者采购代理机构以任何理由组织重新评审。</w:t>
      </w:r>
    </w:p>
    <w:p w14:paraId="4B3DD3BB">
      <w:pPr>
        <w:pStyle w:val="3"/>
        <w:spacing w:before="0" w:after="0" w:line="360" w:lineRule="auto"/>
        <w:ind w:firstLine="640" w:firstLineChars="200"/>
        <w:jc w:val="center"/>
        <w:rPr>
          <w:rFonts w:ascii="仿宋" w:hAnsi="仿宋" w:eastAsia="仿宋" w:cs="仿宋"/>
          <w:b w:val="0"/>
          <w:color w:val="auto"/>
          <w:highlight w:val="none"/>
        </w:rPr>
      </w:pPr>
      <w:bookmarkStart w:id="81" w:name="_Toc24218"/>
      <w:bookmarkStart w:id="82" w:name="_Toc29027"/>
      <w:bookmarkStart w:id="83" w:name="_Toc32747"/>
      <w:r>
        <w:rPr>
          <w:rFonts w:hint="eastAsia" w:ascii="仿宋" w:hAnsi="仿宋" w:eastAsia="仿宋" w:cs="仿宋"/>
          <w:b w:val="0"/>
          <w:color w:val="auto"/>
          <w:highlight w:val="none"/>
        </w:rPr>
        <w:t>第二节 评审原则</w:t>
      </w:r>
      <w:bookmarkEnd w:id="81"/>
      <w:bookmarkEnd w:id="82"/>
      <w:bookmarkEnd w:id="83"/>
    </w:p>
    <w:p w14:paraId="099061E4">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1.评审原则</w:t>
      </w:r>
    </w:p>
    <w:p w14:paraId="584EF3E9">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1.1评审小组成员要依法独立评审，并对评审意见承担个人责任。评审小组成员对需要共同认定的事项存在争议的，按照少数服从多数的原则做出结论。持不同意见的评审小组成员应当在评审报告上签署不同意见并说明理由，否则视为同意。</w:t>
      </w:r>
    </w:p>
    <w:p w14:paraId="1CABE850">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1.2根据《政府采购非招标采购方式管理办法》（财政部令第74号）第二十一条规定，评审结果汇总完成后，采购人、采购代理机构和评审小组均不得修改评审结果或者要求重新评审，但资格性检查认定错误、分值汇总计算错误、分项评分超出评分标准范围、客观分评分不一致、经评审委员会一致认定评分畸高、畸低的情形除外。出现上述除外情形的，评审小组应当现场修改评审结果，并在评审报告中明确记载。</w:t>
      </w:r>
      <w:bookmarkStart w:id="84" w:name="_Toc321836413"/>
      <w:bookmarkStart w:id="85" w:name="_Toc432106535"/>
      <w:bookmarkStart w:id="86" w:name="_Toc432194885"/>
    </w:p>
    <w:bookmarkEnd w:id="84"/>
    <w:bookmarkEnd w:id="85"/>
    <w:bookmarkEnd w:id="86"/>
    <w:p w14:paraId="1CE429E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评审小组发现单一来源采购文件存在歧义、重大缺陷导致评审工作无法进行，或者单一来源采购文件内容违反国家有关规定的，要停止评审工作并向采购人或采购代理机构书面说明情况，采购人或采购代理机构应当修改单一来源采购文件后重新组织采购活动；发现供应商提供虚假材料、串通等违法违规行为的，要及时向采购人或采购代理机构报告。</w:t>
      </w:r>
    </w:p>
    <w:p w14:paraId="057593B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2.终止单一来源采购活动</w:t>
      </w:r>
    </w:p>
    <w:p w14:paraId="6A71DF71">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出现下列情形之一的，采购人或者采购代理机构应当终止单一来源采购活动，发布项目终止公告并说明原因，重新开展采购活动：</w:t>
      </w:r>
    </w:p>
    <w:p w14:paraId="2E85762D">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（1）因情况变化，不再符合规定的单一来源采购方式适用情形的； </w:t>
      </w:r>
    </w:p>
    <w:p w14:paraId="3A2E2BF3">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14:paraId="4FBFD6A0">
      <w:pPr>
        <w:pStyle w:val="3"/>
        <w:spacing w:before="0" w:after="0" w:line="360" w:lineRule="auto"/>
        <w:ind w:firstLine="640" w:firstLineChars="200"/>
        <w:jc w:val="center"/>
        <w:rPr>
          <w:rFonts w:ascii="仿宋" w:hAnsi="仿宋" w:eastAsia="仿宋" w:cs="仿宋"/>
          <w:b w:val="0"/>
          <w:color w:val="auto"/>
          <w:highlight w:val="none"/>
        </w:rPr>
      </w:pPr>
      <w:bookmarkStart w:id="87" w:name="_Toc2713"/>
      <w:bookmarkStart w:id="88" w:name="_Toc6468"/>
      <w:bookmarkStart w:id="89" w:name="_Toc11734"/>
      <w:r>
        <w:rPr>
          <w:rFonts w:hint="eastAsia" w:ascii="仿宋" w:hAnsi="仿宋" w:eastAsia="仿宋" w:cs="仿宋"/>
          <w:b w:val="0"/>
          <w:color w:val="auto"/>
          <w:highlight w:val="none"/>
        </w:rPr>
        <w:t>第三节 评标报告</w:t>
      </w:r>
      <w:bookmarkEnd w:id="87"/>
      <w:bookmarkEnd w:id="88"/>
      <w:bookmarkEnd w:id="89"/>
    </w:p>
    <w:p w14:paraId="33FF753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1.成交标准</w:t>
      </w:r>
    </w:p>
    <w:p w14:paraId="29F182A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评审小组以单一来源采购文件为依据，对响应文件进行评审，在保证采购项目质量且报价合理的基础上确定成交供应商。</w:t>
      </w:r>
    </w:p>
    <w:p w14:paraId="6FB6284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2.评标争议事项处理</w:t>
      </w:r>
    </w:p>
    <w:p w14:paraId="6FC96B9B">
      <w:pPr>
        <w:pStyle w:val="26"/>
        <w:spacing w:before="0"/>
        <w:ind w:firstLine="480"/>
        <w:rPr>
          <w:rFonts w:ascii="仿宋" w:hAnsi="仿宋" w:eastAsia="仿宋" w:cs="仿宋"/>
          <w:color w:val="auto"/>
          <w:kern w:val="2"/>
          <w:szCs w:val="24"/>
          <w:highlight w:val="none"/>
        </w:rPr>
      </w:pPr>
      <w:r>
        <w:rPr>
          <w:rFonts w:hint="eastAsia" w:ascii="仿宋" w:hAnsi="仿宋" w:eastAsia="仿宋" w:cs="仿宋"/>
          <w:color w:val="auto"/>
          <w:kern w:val="2"/>
          <w:szCs w:val="24"/>
          <w:highlight w:val="none"/>
        </w:rPr>
        <w:t>评审小组成员对需要共同认定的事项存在争议的，应当按照少数服从多数的原则作出结论。持不同意见的评审小组成员应当在评标报告上签署不同意见及理由，否则视为同意评标报告。</w:t>
      </w:r>
    </w:p>
    <w:p w14:paraId="336F5E10">
      <w:pPr>
        <w:pStyle w:val="3"/>
        <w:spacing w:before="0" w:after="0" w:line="360" w:lineRule="auto"/>
        <w:ind w:firstLine="640" w:firstLineChars="200"/>
        <w:jc w:val="center"/>
        <w:rPr>
          <w:rFonts w:ascii="仿宋" w:hAnsi="仿宋" w:eastAsia="仿宋" w:cs="仿宋"/>
          <w:b w:val="0"/>
          <w:color w:val="auto"/>
          <w:highlight w:val="none"/>
        </w:rPr>
      </w:pPr>
      <w:bookmarkStart w:id="90" w:name="_Toc12567"/>
      <w:bookmarkStart w:id="91" w:name="_Toc13063"/>
      <w:bookmarkStart w:id="92" w:name="_Toc28979"/>
      <w:r>
        <w:rPr>
          <w:rFonts w:hint="eastAsia" w:ascii="仿宋" w:hAnsi="仿宋" w:eastAsia="仿宋" w:cs="仿宋"/>
          <w:b w:val="0"/>
          <w:color w:val="auto"/>
          <w:highlight w:val="none"/>
        </w:rPr>
        <w:t>第四节 评审过程的保密与录像</w:t>
      </w:r>
      <w:bookmarkEnd w:id="90"/>
      <w:bookmarkEnd w:id="91"/>
      <w:bookmarkEnd w:id="92"/>
    </w:p>
    <w:p w14:paraId="53C688F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1.保密。</w:t>
      </w:r>
    </w:p>
    <w:p w14:paraId="6F7979B0">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1F38D3C">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2.录音录像。</w:t>
      </w:r>
    </w:p>
    <w:p w14:paraId="00E5F90C">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采购代理机构对评审工作现场及操作屏幕进行全过程录音录像，录音录像资料作为采购项目文件随其他文件一并存档。</w:t>
      </w:r>
      <w:r>
        <w:rPr>
          <w:rFonts w:hint="eastAsia" w:ascii="仿宋" w:hAnsi="仿宋" w:eastAsia="仿宋" w:cs="仿宋"/>
          <w:color w:val="auto"/>
          <w:highlight w:val="none"/>
        </w:rPr>
        <w:br w:type="page"/>
      </w:r>
    </w:p>
    <w:p w14:paraId="3277B5DA">
      <w:pPr>
        <w:rPr>
          <w:rFonts w:ascii="仿宋" w:hAnsi="仿宋" w:eastAsia="仿宋" w:cs="仿宋"/>
          <w:color w:val="auto"/>
          <w:highlight w:val="none"/>
        </w:rPr>
      </w:pPr>
    </w:p>
    <w:p w14:paraId="15B9174D">
      <w:pPr>
        <w:rPr>
          <w:rFonts w:ascii="仿宋" w:hAnsi="仿宋" w:eastAsia="仿宋" w:cs="仿宋"/>
          <w:color w:val="auto"/>
          <w:highlight w:val="none"/>
        </w:rPr>
      </w:pPr>
    </w:p>
    <w:p w14:paraId="009DC0F7">
      <w:pPr>
        <w:rPr>
          <w:rFonts w:ascii="仿宋" w:hAnsi="仿宋" w:eastAsia="仿宋" w:cs="仿宋"/>
          <w:color w:val="auto"/>
          <w:highlight w:val="none"/>
        </w:rPr>
      </w:pPr>
    </w:p>
    <w:p w14:paraId="5862C440">
      <w:pPr>
        <w:rPr>
          <w:rFonts w:ascii="仿宋" w:hAnsi="仿宋" w:eastAsia="仿宋" w:cs="仿宋"/>
          <w:color w:val="auto"/>
          <w:highlight w:val="none"/>
        </w:rPr>
      </w:pPr>
    </w:p>
    <w:p w14:paraId="2954F64F">
      <w:pPr>
        <w:rPr>
          <w:rFonts w:ascii="仿宋" w:hAnsi="仿宋" w:eastAsia="仿宋" w:cs="仿宋"/>
          <w:color w:val="auto"/>
          <w:highlight w:val="none"/>
        </w:rPr>
      </w:pPr>
    </w:p>
    <w:p w14:paraId="5756458F">
      <w:pPr>
        <w:pStyle w:val="2"/>
        <w:spacing w:before="0" w:after="0" w:line="360" w:lineRule="auto"/>
        <w:jc w:val="center"/>
        <w:rPr>
          <w:rFonts w:ascii="仿宋" w:hAnsi="仿宋" w:eastAsia="仿宋" w:cs="仿宋"/>
          <w:color w:val="auto"/>
          <w:highlight w:val="none"/>
        </w:rPr>
      </w:pPr>
      <w:bookmarkStart w:id="93" w:name="_Toc1803"/>
      <w:bookmarkStart w:id="94" w:name="_Toc8571"/>
      <w:bookmarkStart w:id="95" w:name="_Toc32518"/>
      <w:r>
        <w:rPr>
          <w:rFonts w:hint="eastAsia" w:ascii="仿宋" w:hAnsi="仿宋" w:eastAsia="仿宋" w:cs="仿宋"/>
          <w:color w:val="auto"/>
          <w:highlight w:val="none"/>
        </w:rPr>
        <w:t>第五章 响应文件格式</w:t>
      </w:r>
      <w:r>
        <w:rPr>
          <w:rFonts w:hint="eastAsia" w:ascii="仿宋" w:hAnsi="仿宋" w:eastAsia="仿宋" w:cs="仿宋"/>
          <w:color w:val="auto"/>
          <w:highlight w:val="none"/>
        </w:rPr>
        <w:br w:type="page"/>
      </w:r>
      <w:bookmarkEnd w:id="93"/>
      <w:bookmarkEnd w:id="94"/>
      <w:bookmarkEnd w:id="95"/>
    </w:p>
    <w:p w14:paraId="059D402E">
      <w:pPr>
        <w:pStyle w:val="3"/>
        <w:spacing w:before="0" w:after="0" w:line="360" w:lineRule="auto"/>
        <w:jc w:val="center"/>
        <w:rPr>
          <w:rFonts w:ascii="仿宋" w:hAnsi="仿宋" w:eastAsia="仿宋" w:cs="仿宋"/>
          <w:b w:val="0"/>
          <w:color w:val="auto"/>
          <w:highlight w:val="none"/>
        </w:rPr>
      </w:pPr>
      <w:bookmarkStart w:id="96" w:name="_Toc13832"/>
      <w:bookmarkStart w:id="97" w:name="_Toc3144"/>
      <w:bookmarkStart w:id="98" w:name="_Toc12065"/>
      <w:r>
        <w:rPr>
          <w:rFonts w:hint="eastAsia" w:ascii="仿宋" w:hAnsi="仿宋" w:eastAsia="仿宋" w:cs="仿宋"/>
          <w:b w:val="0"/>
          <w:color w:val="auto"/>
          <w:highlight w:val="none"/>
        </w:rPr>
        <w:t>第一节 封面格式</w:t>
      </w:r>
      <w:bookmarkEnd w:id="96"/>
      <w:bookmarkEnd w:id="97"/>
      <w:bookmarkEnd w:id="98"/>
    </w:p>
    <w:p w14:paraId="67CB2D3A">
      <w:pPr>
        <w:snapToGrid w:val="0"/>
        <w:spacing w:line="360" w:lineRule="auto"/>
        <w:rPr>
          <w:rFonts w:ascii="仿宋" w:hAnsi="仿宋" w:eastAsia="仿宋" w:cs="仿宋"/>
          <w:color w:val="auto"/>
          <w:sz w:val="24"/>
          <w:szCs w:val="20"/>
          <w:highlight w:val="none"/>
        </w:rPr>
      </w:pPr>
    </w:p>
    <w:p w14:paraId="72DB7C97">
      <w:pPr>
        <w:snapToGrid w:val="0"/>
        <w:spacing w:line="360" w:lineRule="auto"/>
        <w:jc w:val="center"/>
        <w:rPr>
          <w:rFonts w:ascii="仿宋" w:hAnsi="仿宋" w:eastAsia="仿宋" w:cs="仿宋"/>
          <w:bCs/>
          <w:color w:val="auto"/>
          <w:sz w:val="24"/>
          <w:szCs w:val="20"/>
          <w:highlight w:val="none"/>
        </w:rPr>
      </w:pPr>
    </w:p>
    <w:p w14:paraId="6C76897D">
      <w:pPr>
        <w:snapToGrid w:val="0"/>
        <w:spacing w:line="360" w:lineRule="auto"/>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  应  文  件</w:t>
      </w:r>
    </w:p>
    <w:p w14:paraId="5AA28C3E">
      <w:pPr>
        <w:snapToGrid w:val="0"/>
        <w:spacing w:line="360" w:lineRule="auto"/>
        <w:rPr>
          <w:rFonts w:ascii="仿宋" w:hAnsi="仿宋" w:eastAsia="仿宋" w:cs="仿宋"/>
          <w:bCs/>
          <w:color w:val="auto"/>
          <w:sz w:val="24"/>
          <w:szCs w:val="20"/>
          <w:highlight w:val="none"/>
        </w:rPr>
      </w:pPr>
    </w:p>
    <w:p w14:paraId="0E1DA6A0">
      <w:pPr>
        <w:snapToGrid w:val="0"/>
        <w:spacing w:line="360" w:lineRule="auto"/>
        <w:rPr>
          <w:rFonts w:ascii="仿宋" w:hAnsi="仿宋" w:eastAsia="仿宋" w:cs="仿宋"/>
          <w:bCs/>
          <w:color w:val="auto"/>
          <w:sz w:val="24"/>
          <w:szCs w:val="20"/>
          <w:highlight w:val="none"/>
        </w:rPr>
      </w:pPr>
    </w:p>
    <w:p w14:paraId="63D140B3">
      <w:pPr>
        <w:snapToGrid w:val="0"/>
        <w:spacing w:line="360" w:lineRule="auto"/>
        <w:rPr>
          <w:rFonts w:ascii="仿宋" w:hAnsi="仿宋" w:eastAsia="仿宋" w:cs="仿宋"/>
          <w:bCs/>
          <w:color w:val="auto"/>
          <w:sz w:val="32"/>
          <w:szCs w:val="32"/>
          <w:highlight w:val="none"/>
        </w:rPr>
      </w:pPr>
    </w:p>
    <w:p w14:paraId="07A39FA6">
      <w:pPr>
        <w:snapToGrid w:val="0"/>
        <w:spacing w:line="360" w:lineRule="auto"/>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项目名称：壮锦大道国旗灯改造项目</w:t>
      </w:r>
    </w:p>
    <w:p w14:paraId="22847E86">
      <w:pPr>
        <w:snapToGrid w:val="0"/>
        <w:spacing w:line="360" w:lineRule="auto"/>
        <w:ind w:firstLine="480" w:firstLineChars="150"/>
        <w:rPr>
          <w:rFonts w:ascii="仿宋" w:hAnsi="仿宋" w:eastAsia="仿宋" w:cs="仿宋"/>
          <w:bCs/>
          <w:color w:val="auto"/>
          <w:sz w:val="32"/>
          <w:szCs w:val="32"/>
          <w:highlight w:val="none"/>
        </w:rPr>
      </w:pPr>
    </w:p>
    <w:p w14:paraId="30EEC27B">
      <w:pPr>
        <w:snapToGrid w:val="0"/>
        <w:spacing w:line="360" w:lineRule="auto"/>
        <w:ind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项目编号：</w:t>
      </w:r>
      <w:r>
        <w:rPr>
          <w:rFonts w:hint="eastAsia" w:ascii="仿宋" w:hAnsi="仿宋" w:eastAsia="仿宋" w:cs="仿宋"/>
          <w:bCs/>
          <w:color w:val="auto"/>
          <w:sz w:val="32"/>
          <w:szCs w:val="32"/>
          <w:highlight w:val="none"/>
          <w:lang w:eastAsia="zh-CN"/>
        </w:rPr>
        <w:t>NNZC2026-D2-990466-GTZB</w:t>
      </w:r>
    </w:p>
    <w:p w14:paraId="5D909701">
      <w:pPr>
        <w:snapToGrid w:val="0"/>
        <w:spacing w:line="360" w:lineRule="auto"/>
        <w:rPr>
          <w:rFonts w:ascii="仿宋" w:hAnsi="仿宋" w:eastAsia="仿宋" w:cs="仿宋"/>
          <w:bCs/>
          <w:color w:val="auto"/>
          <w:sz w:val="32"/>
          <w:szCs w:val="32"/>
          <w:highlight w:val="none"/>
        </w:rPr>
      </w:pPr>
    </w:p>
    <w:p w14:paraId="29BCF875">
      <w:pPr>
        <w:snapToGrid w:val="0"/>
        <w:spacing w:line="360" w:lineRule="auto"/>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664B8562">
      <w:pPr>
        <w:snapToGrid w:val="0"/>
        <w:spacing w:line="360" w:lineRule="auto"/>
        <w:rPr>
          <w:rFonts w:ascii="仿宋" w:hAnsi="仿宋" w:eastAsia="仿宋" w:cs="仿宋"/>
          <w:bCs/>
          <w:color w:val="auto"/>
          <w:sz w:val="32"/>
          <w:szCs w:val="32"/>
          <w:highlight w:val="none"/>
        </w:rPr>
      </w:pPr>
    </w:p>
    <w:p w14:paraId="66A0C9D9">
      <w:pPr>
        <w:snapToGrid w:val="0"/>
        <w:spacing w:line="360" w:lineRule="auto"/>
        <w:ind w:firstLine="480" w:firstLineChars="150"/>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首次响应文件提交截止时间前不得解密</w:t>
      </w:r>
    </w:p>
    <w:p w14:paraId="26CEEBAB">
      <w:pPr>
        <w:snapToGrid w:val="0"/>
        <w:spacing w:line="360" w:lineRule="auto"/>
        <w:ind w:firstLine="5440" w:firstLineChars="1700"/>
        <w:jc w:val="center"/>
        <w:rPr>
          <w:rFonts w:ascii="仿宋" w:hAnsi="仿宋" w:eastAsia="仿宋" w:cs="仿宋"/>
          <w:bCs/>
          <w:color w:val="auto"/>
          <w:sz w:val="32"/>
          <w:szCs w:val="32"/>
          <w:highlight w:val="none"/>
        </w:rPr>
      </w:pPr>
    </w:p>
    <w:p w14:paraId="2177EFC4">
      <w:pPr>
        <w:snapToGrid w:val="0"/>
        <w:spacing w:line="360" w:lineRule="auto"/>
        <w:ind w:firstLine="645"/>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年    月    日</w:t>
      </w:r>
    </w:p>
    <w:p w14:paraId="542A75D0">
      <w:pPr>
        <w:spacing w:line="360" w:lineRule="auto"/>
        <w:rPr>
          <w:rFonts w:ascii="仿宋" w:hAnsi="仿宋" w:eastAsia="仿宋" w:cs="仿宋"/>
          <w:b/>
          <w:bCs/>
          <w:color w:val="auto"/>
          <w:highlight w:val="none"/>
        </w:rPr>
      </w:pPr>
      <w:r>
        <w:rPr>
          <w:rFonts w:hint="eastAsia" w:ascii="仿宋" w:hAnsi="仿宋" w:eastAsia="仿宋" w:cs="仿宋"/>
          <w:bCs/>
          <w:color w:val="auto"/>
          <w:sz w:val="24"/>
          <w:highlight w:val="none"/>
        </w:rPr>
        <w:br w:type="page"/>
      </w:r>
    </w:p>
    <w:p w14:paraId="6F1AB8CC">
      <w:pPr>
        <w:snapToGrid w:val="0"/>
        <w:spacing w:line="360" w:lineRule="auto"/>
        <w:jc w:val="center"/>
        <w:outlineLvl w:val="1"/>
        <w:rPr>
          <w:rFonts w:ascii="仿宋" w:hAnsi="仿宋" w:eastAsia="仿宋" w:cs="仿宋"/>
          <w:bCs/>
          <w:color w:val="auto"/>
          <w:sz w:val="32"/>
          <w:szCs w:val="32"/>
          <w:highlight w:val="none"/>
        </w:rPr>
      </w:pPr>
      <w:bookmarkStart w:id="99" w:name="_Toc2359"/>
      <w:bookmarkStart w:id="100" w:name="_Toc30393"/>
      <w:bookmarkStart w:id="101" w:name="_Toc2724"/>
      <w:r>
        <w:rPr>
          <w:rFonts w:hint="eastAsia" w:ascii="仿宋" w:hAnsi="仿宋" w:eastAsia="仿宋" w:cs="仿宋"/>
          <w:bCs/>
          <w:color w:val="auto"/>
          <w:sz w:val="32"/>
          <w:szCs w:val="32"/>
          <w:highlight w:val="none"/>
        </w:rPr>
        <w:t>第二节 资格证明文件格式</w:t>
      </w:r>
      <w:bookmarkEnd w:id="99"/>
      <w:bookmarkEnd w:id="100"/>
      <w:bookmarkEnd w:id="101"/>
    </w:p>
    <w:p w14:paraId="3F5BEE1A">
      <w:pPr>
        <w:snapToGrid w:val="0"/>
        <w:spacing w:line="360" w:lineRule="auto"/>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2E371C1E">
      <w:pPr>
        <w:snapToGrid w:val="0"/>
        <w:spacing w:line="360" w:lineRule="auto"/>
        <w:rPr>
          <w:rFonts w:ascii="仿宋" w:hAnsi="仿宋" w:eastAsia="仿宋" w:cs="仿宋"/>
          <w:color w:val="auto"/>
          <w:sz w:val="24"/>
          <w:szCs w:val="20"/>
          <w:highlight w:val="none"/>
        </w:rPr>
      </w:pPr>
    </w:p>
    <w:p w14:paraId="1D7F0409">
      <w:pPr>
        <w:snapToGrid w:val="0"/>
        <w:spacing w:line="360" w:lineRule="auto"/>
        <w:rPr>
          <w:rFonts w:ascii="仿宋" w:hAnsi="仿宋" w:eastAsia="仿宋" w:cs="仿宋"/>
          <w:color w:val="auto"/>
          <w:sz w:val="24"/>
          <w:szCs w:val="20"/>
          <w:highlight w:val="none"/>
        </w:rPr>
      </w:pPr>
    </w:p>
    <w:p w14:paraId="26896808">
      <w:pPr>
        <w:snapToGrid w:val="0"/>
        <w:spacing w:line="360" w:lineRule="auto"/>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件（封面）</w:t>
      </w:r>
    </w:p>
    <w:p w14:paraId="6A32D8AE">
      <w:pPr>
        <w:snapToGrid w:val="0"/>
        <w:spacing w:line="360" w:lineRule="auto"/>
        <w:rPr>
          <w:rFonts w:ascii="仿宋" w:hAnsi="仿宋" w:eastAsia="仿宋" w:cs="仿宋"/>
          <w:bCs/>
          <w:color w:val="auto"/>
          <w:sz w:val="24"/>
          <w:szCs w:val="20"/>
          <w:highlight w:val="none"/>
        </w:rPr>
      </w:pPr>
    </w:p>
    <w:p w14:paraId="115DF651">
      <w:pPr>
        <w:snapToGrid w:val="0"/>
        <w:spacing w:line="360" w:lineRule="auto"/>
        <w:rPr>
          <w:rFonts w:ascii="仿宋" w:hAnsi="仿宋" w:eastAsia="仿宋" w:cs="仿宋"/>
          <w:bCs/>
          <w:color w:val="auto"/>
          <w:sz w:val="24"/>
          <w:szCs w:val="20"/>
          <w:highlight w:val="none"/>
        </w:rPr>
      </w:pPr>
    </w:p>
    <w:p w14:paraId="624E1896">
      <w:pPr>
        <w:snapToGrid w:val="0"/>
        <w:spacing w:line="360" w:lineRule="auto"/>
        <w:rPr>
          <w:rFonts w:ascii="仿宋" w:hAnsi="仿宋" w:eastAsia="仿宋" w:cs="仿宋"/>
          <w:bCs/>
          <w:color w:val="auto"/>
          <w:sz w:val="24"/>
          <w:szCs w:val="20"/>
          <w:highlight w:val="none"/>
        </w:rPr>
      </w:pPr>
    </w:p>
    <w:p w14:paraId="28D32A55">
      <w:pPr>
        <w:snapToGrid w:val="0"/>
        <w:spacing w:line="360" w:lineRule="auto"/>
        <w:rPr>
          <w:rFonts w:ascii="仿宋" w:hAnsi="仿宋" w:eastAsia="仿宋" w:cs="仿宋"/>
          <w:bCs/>
          <w:color w:val="auto"/>
          <w:sz w:val="24"/>
          <w:szCs w:val="20"/>
          <w:highlight w:val="none"/>
        </w:rPr>
      </w:pPr>
    </w:p>
    <w:p w14:paraId="56F0797F">
      <w:pPr>
        <w:snapToGrid w:val="0"/>
        <w:spacing w:line="360" w:lineRule="auto"/>
        <w:rPr>
          <w:rFonts w:ascii="仿宋" w:hAnsi="仿宋" w:eastAsia="仿宋" w:cs="仿宋"/>
          <w:bCs/>
          <w:color w:val="auto"/>
          <w:sz w:val="24"/>
          <w:szCs w:val="20"/>
          <w:highlight w:val="none"/>
        </w:rPr>
      </w:pPr>
    </w:p>
    <w:p w14:paraId="11582B93">
      <w:pPr>
        <w:snapToGrid w:val="0"/>
        <w:spacing w:line="360" w:lineRule="auto"/>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项目名称：壮锦大道国旗灯改造项目</w:t>
      </w:r>
    </w:p>
    <w:p w14:paraId="74E0D954">
      <w:pPr>
        <w:snapToGrid w:val="0"/>
        <w:spacing w:line="360" w:lineRule="auto"/>
        <w:ind w:firstLine="720" w:firstLineChars="225"/>
        <w:rPr>
          <w:rFonts w:ascii="仿宋" w:hAnsi="仿宋" w:eastAsia="仿宋" w:cs="仿宋"/>
          <w:bCs/>
          <w:color w:val="auto"/>
          <w:sz w:val="32"/>
          <w:szCs w:val="32"/>
          <w:highlight w:val="none"/>
        </w:rPr>
      </w:pPr>
    </w:p>
    <w:p w14:paraId="11890A08">
      <w:pPr>
        <w:snapToGrid w:val="0"/>
        <w:spacing w:line="360" w:lineRule="auto"/>
        <w:ind w:firstLine="720" w:firstLineChars="225"/>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项目编号：</w:t>
      </w:r>
      <w:r>
        <w:rPr>
          <w:rFonts w:hint="eastAsia" w:ascii="仿宋" w:hAnsi="仿宋" w:eastAsia="仿宋" w:cs="仿宋"/>
          <w:bCs/>
          <w:color w:val="auto"/>
          <w:sz w:val="32"/>
          <w:szCs w:val="32"/>
          <w:highlight w:val="none"/>
          <w:lang w:eastAsia="zh-CN"/>
        </w:rPr>
        <w:t>NNZC2026-D2-990466-GTZB</w:t>
      </w:r>
    </w:p>
    <w:p w14:paraId="1813015C">
      <w:pPr>
        <w:snapToGrid w:val="0"/>
        <w:spacing w:line="360" w:lineRule="auto"/>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720ACB18">
      <w:pPr>
        <w:snapToGrid w:val="0"/>
        <w:spacing w:line="360" w:lineRule="auto"/>
        <w:ind w:firstLine="720" w:firstLineChars="225"/>
        <w:rPr>
          <w:rFonts w:ascii="仿宋" w:hAnsi="仿宋" w:eastAsia="仿宋" w:cs="仿宋"/>
          <w:bCs/>
          <w:color w:val="auto"/>
          <w:sz w:val="32"/>
          <w:szCs w:val="32"/>
          <w:highlight w:val="none"/>
        </w:rPr>
      </w:pPr>
    </w:p>
    <w:p w14:paraId="56844268">
      <w:pPr>
        <w:pStyle w:val="7"/>
        <w:snapToGrid w:val="0"/>
        <w:spacing w:line="360" w:lineRule="auto"/>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7DD112D">
      <w:pPr>
        <w:pStyle w:val="7"/>
        <w:snapToGrid w:val="0"/>
        <w:spacing w:line="360" w:lineRule="auto"/>
        <w:ind w:firstLine="720" w:firstLineChars="225"/>
        <w:rPr>
          <w:rFonts w:ascii="仿宋" w:hAnsi="仿宋" w:eastAsia="仿宋" w:cs="仿宋"/>
          <w:bCs/>
          <w:color w:val="auto"/>
          <w:sz w:val="32"/>
          <w:szCs w:val="32"/>
          <w:highlight w:val="none"/>
        </w:rPr>
      </w:pPr>
    </w:p>
    <w:p w14:paraId="773518D6">
      <w:pPr>
        <w:pStyle w:val="7"/>
        <w:snapToGrid w:val="0"/>
        <w:spacing w:line="360" w:lineRule="auto"/>
        <w:ind w:firstLine="720" w:firstLineChars="225"/>
        <w:rPr>
          <w:rFonts w:ascii="仿宋" w:hAnsi="仿宋" w:eastAsia="仿宋" w:cs="仿宋"/>
          <w:bCs/>
          <w:color w:val="auto"/>
          <w:sz w:val="32"/>
          <w:szCs w:val="32"/>
          <w:highlight w:val="none"/>
        </w:rPr>
      </w:pPr>
    </w:p>
    <w:p w14:paraId="31E28BC1">
      <w:pPr>
        <w:pStyle w:val="7"/>
        <w:snapToGrid w:val="0"/>
        <w:spacing w:line="360" w:lineRule="auto"/>
        <w:ind w:firstLine="720" w:firstLineChars="225"/>
        <w:rPr>
          <w:rFonts w:ascii="仿宋" w:hAnsi="仿宋" w:eastAsia="仿宋" w:cs="仿宋"/>
          <w:bCs/>
          <w:color w:val="auto"/>
          <w:sz w:val="32"/>
          <w:szCs w:val="32"/>
          <w:highlight w:val="none"/>
        </w:rPr>
      </w:pPr>
    </w:p>
    <w:p w14:paraId="79D3E7CC">
      <w:pPr>
        <w:pStyle w:val="7"/>
        <w:snapToGrid w:val="0"/>
        <w:spacing w:line="360" w:lineRule="auto"/>
        <w:ind w:firstLine="1280" w:firstLineChars="400"/>
        <w:rPr>
          <w:rFonts w:ascii="仿宋" w:hAnsi="仿宋" w:eastAsia="仿宋" w:cs="仿宋"/>
          <w:bCs/>
          <w:color w:val="auto"/>
          <w:sz w:val="32"/>
          <w:szCs w:val="32"/>
          <w:highlight w:val="none"/>
        </w:rPr>
      </w:pPr>
    </w:p>
    <w:p w14:paraId="5E4F915C">
      <w:pPr>
        <w:snapToGrid w:val="0"/>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57BB24B4">
      <w:pPr>
        <w:snapToGrid w:val="0"/>
        <w:spacing w:line="360" w:lineRule="auto"/>
        <w:ind w:left="142" w:firstLine="480" w:firstLineChars="200"/>
        <w:jc w:val="left"/>
        <w:rPr>
          <w:rFonts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二、资格证明文件目录</w:t>
      </w:r>
    </w:p>
    <w:p w14:paraId="73C5466E">
      <w:pPr>
        <w:spacing w:line="360" w:lineRule="auto"/>
        <w:jc w:val="center"/>
        <w:rPr>
          <w:rFonts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资格证明文件目录</w:t>
      </w:r>
    </w:p>
    <w:p w14:paraId="181DD0A6">
      <w:pPr>
        <w:snapToGrid w:val="0"/>
        <w:spacing w:line="360" w:lineRule="auto"/>
        <w:rPr>
          <w:rFonts w:ascii="仿宋" w:hAnsi="仿宋" w:eastAsia="仿宋" w:cs="仿宋"/>
          <w:color w:val="auto"/>
          <w:kern w:val="0"/>
          <w:sz w:val="24"/>
          <w:highlight w:val="none"/>
        </w:rPr>
      </w:pPr>
    </w:p>
    <w:p w14:paraId="752EFE16">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营业执照（或事业法人登记证或其他工商等登记证明材料）复印件（供应商为自然人的，须提供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……………………………………………（页码）</w:t>
      </w:r>
    </w:p>
    <w:p w14:paraId="54824EA5">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二、符合参与政府采购活动的资格条件依法缴纳税收、社会保障资金等方面的材料…………………………………………………………………………………（页码）</w:t>
      </w:r>
    </w:p>
    <w:p w14:paraId="1686B1F1">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11672355">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14F510BF">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0815F375">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42752B1A">
      <w:pPr>
        <w:snapToGrid w:val="0"/>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七、中小企业声明函</w:t>
      </w:r>
      <w:r>
        <w:rPr>
          <w:rFonts w:hint="eastAsia" w:ascii="仿宋" w:hAnsi="仿宋" w:eastAsia="仿宋" w:cs="仿宋"/>
          <w:color w:val="auto"/>
          <w:sz w:val="24"/>
          <w:highlight w:val="none"/>
        </w:rPr>
        <w:t>……………………………………………………………（页码）</w:t>
      </w:r>
    </w:p>
    <w:p w14:paraId="0F580A83">
      <w:pPr>
        <w:spacing w:line="360" w:lineRule="auto"/>
        <w:rPr>
          <w:rFonts w:hint="eastAsia" w:ascii="仿宋" w:hAnsi="仿宋" w:eastAsia="仿宋" w:cs="仿宋"/>
          <w:b/>
          <w:bCs/>
          <w:color w:val="auto"/>
          <w:sz w:val="24"/>
          <w:highlight w:val="none"/>
        </w:rPr>
      </w:pPr>
    </w:p>
    <w:p w14:paraId="5030D757">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04DBA3C4">
      <w:pPr>
        <w:snapToGrid w:val="0"/>
        <w:spacing w:line="360" w:lineRule="auto"/>
        <w:rPr>
          <w:rFonts w:ascii="仿宋" w:hAnsi="仿宋" w:eastAsia="仿宋" w:cs="仿宋"/>
          <w:color w:val="auto"/>
          <w:sz w:val="24"/>
          <w:szCs w:val="20"/>
          <w:highlight w:val="none"/>
        </w:rPr>
        <w:sectPr>
          <w:footerReference r:id="rId8" w:type="first"/>
          <w:footerReference r:id="rId7" w:type="default"/>
          <w:pgSz w:w="11910" w:h="16840"/>
          <w:pgMar w:top="1340" w:right="1500" w:bottom="280" w:left="1680" w:header="720" w:footer="720" w:gutter="0"/>
          <w:cols w:space="720" w:num="1"/>
        </w:sectPr>
      </w:pPr>
    </w:p>
    <w:p w14:paraId="70C48111">
      <w:pPr>
        <w:pStyle w:val="14"/>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一、营业执照（或事业法人登记证或其他工商等登记证明材料）复印件（供应商为自然人的，提供自然人的身份证明）</w:t>
      </w:r>
    </w:p>
    <w:p w14:paraId="179A6825">
      <w:pPr>
        <w:pStyle w:val="14"/>
        <w:spacing w:line="360" w:lineRule="auto"/>
        <w:ind w:firstLine="602" w:firstLineChars="200"/>
        <w:rPr>
          <w:rFonts w:ascii="仿宋" w:hAnsi="仿宋" w:eastAsia="仿宋" w:cs="仿宋"/>
          <w:b/>
          <w:color w:val="auto"/>
          <w:sz w:val="30"/>
          <w:szCs w:val="30"/>
          <w:highlight w:val="none"/>
        </w:rPr>
      </w:pPr>
    </w:p>
    <w:p w14:paraId="42E3B7F6">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0512CAA">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5A714F9">
      <w:pPr>
        <w:snapToGrid w:val="0"/>
        <w:spacing w:line="360" w:lineRule="auto"/>
        <w:rPr>
          <w:rFonts w:ascii="仿宋" w:hAnsi="仿宋" w:eastAsia="仿宋" w:cs="仿宋"/>
          <w:color w:val="auto"/>
          <w:sz w:val="24"/>
          <w:szCs w:val="20"/>
          <w:highlight w:val="none"/>
        </w:rPr>
      </w:pPr>
    </w:p>
    <w:p w14:paraId="7E88F3F3">
      <w:pPr>
        <w:pStyle w:val="14"/>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二、符合参与政府采购活动的资格条件依法缴纳税收、社会保障资金等方面的材料</w:t>
      </w:r>
    </w:p>
    <w:p w14:paraId="59E5F72A">
      <w:pPr>
        <w:spacing w:line="360" w:lineRule="auto"/>
        <w:rPr>
          <w:rFonts w:ascii="仿宋" w:hAnsi="仿宋" w:eastAsia="仿宋" w:cs="仿宋"/>
          <w:color w:val="auto"/>
          <w:szCs w:val="21"/>
          <w:highlight w:val="none"/>
        </w:rPr>
      </w:pPr>
    </w:p>
    <w:p w14:paraId="29274396">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23E3471">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3DA40D7">
      <w:pPr>
        <w:spacing w:line="360" w:lineRule="auto"/>
        <w:rPr>
          <w:rFonts w:ascii="仿宋" w:hAnsi="仿宋" w:eastAsia="仿宋" w:cs="仿宋"/>
          <w:color w:val="auto"/>
          <w:szCs w:val="21"/>
          <w:highlight w:val="none"/>
        </w:rPr>
      </w:pPr>
    </w:p>
    <w:p w14:paraId="6078B9F1">
      <w:pPr>
        <w:spacing w:line="360" w:lineRule="auto"/>
        <w:ind w:firstLine="596" w:firstLineChars="198"/>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23181DB2">
      <w:pPr>
        <w:spacing w:line="360" w:lineRule="auto"/>
        <w:rPr>
          <w:rFonts w:ascii="仿宋" w:hAnsi="仿宋" w:eastAsia="仿宋" w:cs="仿宋"/>
          <w:color w:val="auto"/>
          <w:szCs w:val="21"/>
          <w:highlight w:val="none"/>
        </w:rPr>
      </w:pPr>
    </w:p>
    <w:p w14:paraId="0A403CA5">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093A745">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F5414B8">
      <w:pPr>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0D90E023">
      <w:pPr>
        <w:snapToGrid w:val="0"/>
        <w:spacing w:line="360" w:lineRule="auto"/>
        <w:jc w:val="center"/>
        <w:rPr>
          <w:rFonts w:ascii="仿宋" w:hAnsi="仿宋" w:eastAsia="仿宋" w:cs="仿宋"/>
          <w:b/>
          <w:color w:val="auto"/>
          <w:sz w:val="24"/>
          <w:highlight w:val="none"/>
        </w:rPr>
      </w:pPr>
    </w:p>
    <w:p w14:paraId="7F4AB3BB">
      <w:pPr>
        <w:spacing w:line="360" w:lineRule="auto"/>
        <w:ind w:firstLine="596" w:firstLineChars="198"/>
        <w:contextualSpacing/>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0E061EDD">
      <w:pPr>
        <w:spacing w:line="360" w:lineRule="auto"/>
        <w:contextualSpacing/>
        <w:jc w:val="center"/>
        <w:rPr>
          <w:rFonts w:ascii="仿宋" w:hAnsi="仿宋" w:eastAsia="仿宋" w:cs="仿宋"/>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81370A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CF8BEF9">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D1283B">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472E6E0">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F6D8017">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528D18A">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3F1B7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0816A36">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36BB8D3">
            <w:pPr>
              <w:widowControl/>
              <w:spacing w:line="360" w:lineRule="auto"/>
              <w:contextualSpacing/>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E080DBA">
            <w:pPr>
              <w:widowControl/>
              <w:spacing w:line="360" w:lineRule="auto"/>
              <w:contextualSpacing/>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66AB982">
            <w:pPr>
              <w:widowControl/>
              <w:spacing w:line="360" w:lineRule="auto"/>
              <w:contextualSpacing/>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3F110B">
            <w:pPr>
              <w:widowControl/>
              <w:spacing w:line="360" w:lineRule="auto"/>
              <w:contextualSpacing/>
              <w:jc w:val="center"/>
              <w:rPr>
                <w:rFonts w:ascii="仿宋" w:hAnsi="仿宋" w:eastAsia="仿宋" w:cs="仿宋"/>
                <w:color w:val="auto"/>
                <w:kern w:val="0"/>
                <w:sz w:val="24"/>
                <w:highlight w:val="none"/>
              </w:rPr>
            </w:pPr>
          </w:p>
        </w:tc>
      </w:tr>
      <w:tr w14:paraId="6F01E55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3F190E2">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8887691">
            <w:pPr>
              <w:widowControl/>
              <w:spacing w:line="360" w:lineRule="auto"/>
              <w:contextualSpacing/>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F41CFFC">
            <w:pPr>
              <w:widowControl/>
              <w:spacing w:line="360" w:lineRule="auto"/>
              <w:contextualSpacing/>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C5FADFC">
            <w:pPr>
              <w:widowControl/>
              <w:spacing w:line="360" w:lineRule="auto"/>
              <w:contextualSpacing/>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8E961B">
            <w:pPr>
              <w:widowControl/>
              <w:spacing w:line="360" w:lineRule="auto"/>
              <w:contextualSpacing/>
              <w:jc w:val="center"/>
              <w:rPr>
                <w:rFonts w:ascii="仿宋" w:hAnsi="仿宋" w:eastAsia="仿宋" w:cs="仿宋"/>
                <w:color w:val="auto"/>
                <w:kern w:val="0"/>
                <w:sz w:val="24"/>
                <w:highlight w:val="none"/>
              </w:rPr>
            </w:pPr>
          </w:p>
        </w:tc>
      </w:tr>
      <w:tr w14:paraId="1D46DE9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487B420">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AE53048">
            <w:pPr>
              <w:widowControl/>
              <w:spacing w:line="360" w:lineRule="auto"/>
              <w:contextualSpacing/>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3831A6">
            <w:pPr>
              <w:widowControl/>
              <w:spacing w:line="360" w:lineRule="auto"/>
              <w:contextualSpacing/>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CAF9DD">
            <w:pPr>
              <w:widowControl/>
              <w:spacing w:line="360" w:lineRule="auto"/>
              <w:contextualSpacing/>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98D0C8A">
            <w:pPr>
              <w:widowControl/>
              <w:spacing w:line="360" w:lineRule="auto"/>
              <w:contextualSpacing/>
              <w:jc w:val="center"/>
              <w:rPr>
                <w:rFonts w:ascii="仿宋" w:hAnsi="仿宋" w:eastAsia="仿宋" w:cs="仿宋"/>
                <w:color w:val="auto"/>
                <w:kern w:val="0"/>
                <w:sz w:val="24"/>
                <w:highlight w:val="none"/>
              </w:rPr>
            </w:pPr>
          </w:p>
        </w:tc>
      </w:tr>
      <w:tr w14:paraId="43794A5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A02D88E">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CB973FC">
            <w:pPr>
              <w:widowControl/>
              <w:spacing w:line="360" w:lineRule="auto"/>
              <w:contextualSpacing/>
              <w:jc w:val="center"/>
              <w:rPr>
                <w:rFonts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8210FB">
            <w:pPr>
              <w:widowControl/>
              <w:spacing w:line="360" w:lineRule="auto"/>
              <w:contextualSpacing/>
              <w:jc w:val="center"/>
              <w:rPr>
                <w:rFonts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4775F88">
            <w:pPr>
              <w:widowControl/>
              <w:spacing w:line="360" w:lineRule="auto"/>
              <w:contextualSpacing/>
              <w:jc w:val="center"/>
              <w:rPr>
                <w:rFonts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89824D3">
            <w:pPr>
              <w:widowControl/>
              <w:spacing w:line="360" w:lineRule="auto"/>
              <w:contextualSpacing/>
              <w:jc w:val="center"/>
              <w:rPr>
                <w:rFonts w:ascii="仿宋" w:hAnsi="仿宋" w:eastAsia="仿宋" w:cs="仿宋"/>
                <w:color w:val="auto"/>
                <w:kern w:val="0"/>
                <w:sz w:val="24"/>
                <w:highlight w:val="none"/>
              </w:rPr>
            </w:pPr>
          </w:p>
        </w:tc>
      </w:tr>
    </w:tbl>
    <w:p w14:paraId="1922B037">
      <w:pPr>
        <w:spacing w:line="360" w:lineRule="auto"/>
        <w:contextualSpacing/>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7E396CE3">
      <w:pPr>
        <w:spacing w:line="360" w:lineRule="auto"/>
        <w:ind w:firstLine="480" w:firstLineChars="200"/>
        <w:contextualSpacing/>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B008F1">
      <w:pPr>
        <w:spacing w:line="360" w:lineRule="auto"/>
        <w:ind w:firstLine="480" w:firstLineChars="200"/>
        <w:contextualSpacing/>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3075DFB1">
      <w:pPr>
        <w:spacing w:line="360" w:lineRule="auto"/>
        <w:ind w:firstLine="480" w:firstLineChars="200"/>
        <w:contextualSpacing/>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290A4AA6">
      <w:pPr>
        <w:snapToGrid w:val="0"/>
        <w:spacing w:line="360" w:lineRule="auto"/>
        <w:jc w:val="left"/>
        <w:rPr>
          <w:rFonts w:ascii="仿宋" w:hAnsi="仿宋" w:eastAsia="仿宋" w:cs="仿宋"/>
          <w:color w:val="auto"/>
          <w:sz w:val="24"/>
          <w:highlight w:val="none"/>
        </w:rPr>
      </w:pPr>
    </w:p>
    <w:p w14:paraId="123A8931">
      <w:pPr>
        <w:snapToGrid w:val="0"/>
        <w:spacing w:line="360" w:lineRule="auto"/>
        <w:jc w:val="left"/>
        <w:rPr>
          <w:rFonts w:ascii="仿宋" w:hAnsi="仿宋" w:eastAsia="仿宋" w:cs="仿宋"/>
          <w:color w:val="auto"/>
          <w:sz w:val="24"/>
          <w:highlight w:val="none"/>
        </w:rPr>
      </w:pPr>
    </w:p>
    <w:p w14:paraId="2F332342">
      <w:pPr>
        <w:snapToGrid w:val="0"/>
        <w:spacing w:line="360" w:lineRule="auto"/>
        <w:jc w:val="left"/>
        <w:rPr>
          <w:rFonts w:ascii="仿宋" w:hAnsi="仿宋" w:eastAsia="仿宋" w:cs="仿宋"/>
          <w:color w:val="auto"/>
          <w:sz w:val="24"/>
          <w:highlight w:val="none"/>
        </w:rPr>
      </w:pPr>
    </w:p>
    <w:p w14:paraId="6B6EA1FB">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CBD0467">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659719A5">
      <w:pPr>
        <w:snapToGrid w:val="0"/>
        <w:spacing w:line="360" w:lineRule="auto"/>
        <w:rPr>
          <w:rFonts w:ascii="仿宋" w:hAnsi="仿宋" w:eastAsia="仿宋" w:cs="仿宋"/>
          <w:b/>
          <w:color w:val="auto"/>
          <w:kern w:val="0"/>
          <w:sz w:val="30"/>
          <w:szCs w:val="30"/>
          <w:highlight w:val="none"/>
        </w:rPr>
      </w:pPr>
    </w:p>
    <w:p w14:paraId="29E24DE6">
      <w:pPr>
        <w:snapToGrid w:val="0"/>
        <w:spacing w:line="360" w:lineRule="auto"/>
        <w:ind w:firstLine="596" w:firstLineChars="198"/>
        <w:rPr>
          <w:rFonts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42CADCB7">
      <w:pPr>
        <w:snapToGrid w:val="0"/>
        <w:spacing w:line="360" w:lineRule="auto"/>
        <w:jc w:val="center"/>
        <w:rPr>
          <w:rFonts w:ascii="仿宋" w:hAnsi="仿宋" w:eastAsia="仿宋" w:cs="仿宋"/>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AE59BF7">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A4C0BCA">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AC5C93">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00823D6">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42DFCA2">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2F3A0F7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927AF86">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668CF11">
            <w:pPr>
              <w:widowControl/>
              <w:spacing w:line="360" w:lineRule="auto"/>
              <w:contextualSpacing/>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0C6A903">
            <w:pPr>
              <w:widowControl/>
              <w:spacing w:line="360" w:lineRule="auto"/>
              <w:contextualSpacing/>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88F0D77">
            <w:pPr>
              <w:widowControl/>
              <w:spacing w:line="360" w:lineRule="auto"/>
              <w:contextualSpacing/>
              <w:jc w:val="center"/>
              <w:rPr>
                <w:rFonts w:ascii="仿宋" w:hAnsi="仿宋" w:eastAsia="仿宋" w:cs="仿宋"/>
                <w:color w:val="auto"/>
                <w:kern w:val="0"/>
                <w:sz w:val="24"/>
                <w:highlight w:val="none"/>
              </w:rPr>
            </w:pPr>
          </w:p>
        </w:tc>
      </w:tr>
      <w:tr w14:paraId="71C00DB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58F30A2">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DAB8B96">
            <w:pPr>
              <w:widowControl/>
              <w:spacing w:line="360" w:lineRule="auto"/>
              <w:contextualSpacing/>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3CA2202">
            <w:pPr>
              <w:widowControl/>
              <w:spacing w:line="360" w:lineRule="auto"/>
              <w:contextualSpacing/>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799E154">
            <w:pPr>
              <w:widowControl/>
              <w:spacing w:line="360" w:lineRule="auto"/>
              <w:contextualSpacing/>
              <w:jc w:val="center"/>
              <w:rPr>
                <w:rFonts w:ascii="仿宋" w:hAnsi="仿宋" w:eastAsia="仿宋" w:cs="仿宋"/>
                <w:color w:val="auto"/>
                <w:kern w:val="0"/>
                <w:sz w:val="24"/>
                <w:highlight w:val="none"/>
              </w:rPr>
            </w:pPr>
          </w:p>
        </w:tc>
      </w:tr>
      <w:tr w14:paraId="4E1B662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F0B279C">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4984C0C">
            <w:pPr>
              <w:widowControl/>
              <w:spacing w:line="360" w:lineRule="auto"/>
              <w:contextualSpacing/>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8ACE00B">
            <w:pPr>
              <w:widowControl/>
              <w:spacing w:line="360" w:lineRule="auto"/>
              <w:contextualSpacing/>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219CD19">
            <w:pPr>
              <w:widowControl/>
              <w:spacing w:line="360" w:lineRule="auto"/>
              <w:contextualSpacing/>
              <w:jc w:val="center"/>
              <w:rPr>
                <w:rFonts w:ascii="仿宋" w:hAnsi="仿宋" w:eastAsia="仿宋" w:cs="仿宋"/>
                <w:color w:val="auto"/>
                <w:kern w:val="0"/>
                <w:sz w:val="24"/>
                <w:highlight w:val="none"/>
              </w:rPr>
            </w:pPr>
          </w:p>
        </w:tc>
      </w:tr>
      <w:tr w14:paraId="30023D5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4882355">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7CBC565">
            <w:pPr>
              <w:widowControl/>
              <w:spacing w:line="360" w:lineRule="auto"/>
              <w:contextualSpacing/>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EECFBB9">
            <w:pPr>
              <w:widowControl/>
              <w:spacing w:line="360" w:lineRule="auto"/>
              <w:contextualSpacing/>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3D8F9E9">
            <w:pPr>
              <w:widowControl/>
              <w:spacing w:line="360" w:lineRule="auto"/>
              <w:contextualSpacing/>
              <w:jc w:val="center"/>
              <w:rPr>
                <w:rFonts w:ascii="仿宋" w:hAnsi="仿宋" w:eastAsia="仿宋" w:cs="仿宋"/>
                <w:color w:val="auto"/>
                <w:kern w:val="0"/>
                <w:sz w:val="24"/>
                <w:highlight w:val="none"/>
              </w:rPr>
            </w:pPr>
          </w:p>
        </w:tc>
      </w:tr>
    </w:tbl>
    <w:p w14:paraId="7DCCE763">
      <w:pPr>
        <w:spacing w:line="360" w:lineRule="auto"/>
        <w:ind w:firstLine="480" w:firstLineChars="200"/>
        <w:contextualSpacing/>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42C7238F">
      <w:pPr>
        <w:spacing w:line="360" w:lineRule="auto"/>
        <w:ind w:firstLine="480" w:firstLineChars="200"/>
        <w:contextualSpacing/>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145EA468">
      <w:pPr>
        <w:spacing w:line="360" w:lineRule="auto"/>
        <w:ind w:firstLine="480" w:firstLineChars="200"/>
        <w:contextualSpacing/>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703988A0">
      <w:pPr>
        <w:spacing w:line="360" w:lineRule="auto"/>
        <w:ind w:firstLine="480" w:firstLineChars="200"/>
        <w:contextualSpacing/>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585E9201">
      <w:pPr>
        <w:spacing w:line="360" w:lineRule="auto"/>
        <w:contextualSpacing/>
        <w:jc w:val="left"/>
        <w:rPr>
          <w:rFonts w:ascii="仿宋" w:hAnsi="仿宋" w:eastAsia="仿宋" w:cs="仿宋"/>
          <w:color w:val="auto"/>
          <w:sz w:val="24"/>
          <w:highlight w:val="none"/>
        </w:rPr>
      </w:pPr>
    </w:p>
    <w:p w14:paraId="6819AB31">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98F562F">
      <w:pPr>
        <w:autoSpaceDE w:val="0"/>
        <w:autoSpaceDN w:val="0"/>
        <w:spacing w:line="360" w:lineRule="auto"/>
        <w:ind w:firstLine="6120" w:firstLineChars="255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FEC10D0">
      <w:pPr>
        <w:spacing w:line="360" w:lineRule="auto"/>
        <w:ind w:right="480" w:firstLine="240" w:firstLineChars="100"/>
        <w:contextualSpacing/>
        <w:jc w:val="center"/>
        <w:rPr>
          <w:rFonts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kern w:val="0"/>
          <w:sz w:val="30"/>
          <w:szCs w:val="30"/>
          <w:highlight w:val="none"/>
        </w:rPr>
        <w:t>六、资格声明函</w:t>
      </w:r>
    </w:p>
    <w:p w14:paraId="2FBE7F88">
      <w:pPr>
        <w:spacing w:line="360" w:lineRule="auto"/>
        <w:jc w:val="center"/>
        <w:rPr>
          <w:rFonts w:ascii="仿宋" w:hAnsi="仿宋" w:eastAsia="仿宋" w:cs="仿宋"/>
          <w:b/>
          <w:color w:val="auto"/>
          <w:sz w:val="32"/>
          <w:szCs w:val="32"/>
          <w:highlight w:val="none"/>
        </w:rPr>
      </w:pPr>
    </w:p>
    <w:p w14:paraId="2FE08E13">
      <w:pPr>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00427A74">
      <w:pPr>
        <w:spacing w:line="360" w:lineRule="auto"/>
        <w:jc w:val="center"/>
        <w:rPr>
          <w:rFonts w:ascii="仿宋" w:hAnsi="仿宋" w:eastAsia="仿宋" w:cs="仿宋"/>
          <w:color w:val="auto"/>
          <w:sz w:val="24"/>
          <w:szCs w:val="20"/>
          <w:highlight w:val="none"/>
        </w:rPr>
      </w:pPr>
    </w:p>
    <w:p w14:paraId="2B3EF7DB">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广西国泰招标咨询有限公司</w:t>
      </w:r>
      <w:r>
        <w:rPr>
          <w:rFonts w:hint="eastAsia" w:ascii="仿宋" w:hAnsi="仿宋" w:eastAsia="仿宋" w:cs="仿宋"/>
          <w:color w:val="auto"/>
          <w:sz w:val="24"/>
          <w:highlight w:val="none"/>
        </w:rPr>
        <w:t>：</w:t>
      </w:r>
    </w:p>
    <w:p w14:paraId="6EA2A03C">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4BC6589">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rPr>
        <w:t>壮锦大道国旗灯改造项目</w:t>
      </w:r>
      <w:r>
        <w:rPr>
          <w:rFonts w:hint="eastAsia" w:ascii="仿宋" w:hAnsi="仿宋" w:eastAsia="仿宋" w:cs="仿宋"/>
          <w:color w:val="auto"/>
          <w:sz w:val="24"/>
          <w:highlight w:val="none"/>
        </w:rPr>
        <w:t>的协商，为便于贵方公正、择优地确定成交供应商及其协商产品和服务，我方就本次协商有关事项郑重声明如下：</w:t>
      </w:r>
    </w:p>
    <w:p w14:paraId="37B9CF7D">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0D46E605">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B8A6C70">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005ED5C7">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（1）将按采购文件的约定履行合同责任和义务；</w:t>
      </w:r>
    </w:p>
    <w:p w14:paraId="3280561D">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（2）已详细审查全部采购文件，包括澄清或者更正公告（如有）；</w:t>
      </w:r>
    </w:p>
    <w:p w14:paraId="50BE1B6E">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（3）同意提供按照贵方可能要求的与协商有关的一切数据或者资料；</w:t>
      </w:r>
    </w:p>
    <w:p w14:paraId="77AEA978">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（4）响应采购文件规定的协商有效期。</w:t>
      </w:r>
    </w:p>
    <w:p w14:paraId="7B34DCD1">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3BC45346">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51F6EFD">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27A52D5">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3B91877F">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46A17C08">
      <w:pPr>
        <w:pStyle w:val="14"/>
        <w:spacing w:line="360" w:lineRule="auto"/>
        <w:ind w:firstLine="480" w:firstLineChars="200"/>
        <w:contextualSpacing/>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7.与本采购有关的一切正式往来信函请寄：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70250C28">
      <w:pPr>
        <w:pStyle w:val="14"/>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3E902A3">
      <w:pPr>
        <w:pStyle w:val="12"/>
        <w:tabs>
          <w:tab w:val="left" w:pos="939"/>
        </w:tabs>
        <w:spacing w:line="360" w:lineRule="auto"/>
        <w:ind w:left="141" w:leftChars="67"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账号：</w:t>
      </w:r>
      <w:r>
        <w:rPr>
          <w:rFonts w:hint="eastAsia" w:ascii="仿宋" w:hAnsi="仿宋" w:eastAsia="仿宋" w:cs="仿宋"/>
          <w:color w:val="auto"/>
          <w:sz w:val="24"/>
          <w:highlight w:val="none"/>
          <w:u w:val="single"/>
        </w:rPr>
        <w:t xml:space="preserve">                               </w:t>
      </w:r>
    </w:p>
    <w:p w14:paraId="37CB20ED">
      <w:pPr>
        <w:pStyle w:val="12"/>
        <w:tabs>
          <w:tab w:val="left" w:pos="939"/>
        </w:tabs>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73CE707A">
      <w:pPr>
        <w:pStyle w:val="12"/>
        <w:tabs>
          <w:tab w:val="left" w:pos="939"/>
        </w:tabs>
        <w:spacing w:line="360" w:lineRule="auto"/>
        <w:ind w:left="141" w:leftChars="67"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73AF8E15">
      <w:pPr>
        <w:pStyle w:val="12"/>
        <w:tabs>
          <w:tab w:val="left" w:pos="939"/>
        </w:tabs>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注：如为联合体协商，盖章处须加盖联合体各方公章并由联合体各方法定代表人签署，否则其响应文件按无效响应处理。</w:t>
      </w:r>
    </w:p>
    <w:p w14:paraId="1FD3AFF5">
      <w:pPr>
        <w:pStyle w:val="12"/>
        <w:tabs>
          <w:tab w:val="left" w:pos="939"/>
        </w:tabs>
        <w:spacing w:line="360" w:lineRule="auto"/>
        <w:ind w:left="0" w:leftChars="0" w:firstLine="480" w:firstLineChars="200"/>
        <w:rPr>
          <w:rFonts w:ascii="仿宋" w:hAnsi="仿宋" w:eastAsia="仿宋" w:cs="仿宋"/>
          <w:color w:val="auto"/>
          <w:sz w:val="24"/>
          <w:highlight w:val="none"/>
        </w:rPr>
      </w:pPr>
    </w:p>
    <w:p w14:paraId="51DDB53D">
      <w:pPr>
        <w:autoSpaceDE w:val="0"/>
        <w:autoSpaceDN w:val="0"/>
        <w:spacing w:line="360" w:lineRule="auto"/>
        <w:ind w:left="4365" w:leftChars="1850" w:hanging="480" w:hanging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6415A43">
      <w:pPr>
        <w:autoSpaceDE w:val="0"/>
        <w:autoSpaceDN w:val="0"/>
        <w:spacing w:line="360" w:lineRule="auto"/>
        <w:ind w:firstLine="6120" w:firstLineChars="2550"/>
        <w:rPr>
          <w:rFonts w:ascii="仿宋" w:hAnsi="仿宋" w:eastAsia="仿宋" w:cs="仿宋"/>
          <w:color w:val="auto"/>
          <w:kern w:val="0"/>
          <w:sz w:val="24"/>
          <w:highlight w:val="none"/>
          <w:lang w:val="zh-CN"/>
        </w:rPr>
        <w:sectPr>
          <w:pgSz w:w="11910" w:h="16840"/>
          <w:pgMar w:top="1340" w:right="1500" w:bottom="280" w:left="1680" w:header="720" w:footer="720" w:gutter="0"/>
          <w:cols w:space="720" w:num="1"/>
        </w:sectPr>
      </w:pPr>
      <w:r>
        <w:rPr>
          <w:rFonts w:hint="eastAsia" w:ascii="仿宋" w:hAnsi="仿宋" w:eastAsia="仿宋" w:cs="仿宋"/>
          <w:color w:val="auto"/>
          <w:kern w:val="0"/>
          <w:sz w:val="24"/>
          <w:highlight w:val="none"/>
          <w:lang w:val="zh-CN"/>
        </w:rPr>
        <w:t>日期：  年  月   日</w:t>
      </w:r>
    </w:p>
    <w:p w14:paraId="1634B019">
      <w:pPr>
        <w:pStyle w:val="14"/>
        <w:spacing w:line="360" w:lineRule="auto"/>
        <w:ind w:firstLine="602" w:firstLineChars="200"/>
        <w:rPr>
          <w:rFonts w:ascii="仿宋" w:hAnsi="仿宋" w:eastAsia="仿宋" w:cs="仿宋"/>
          <w:b/>
          <w:color w:val="auto"/>
          <w:kern w:val="2"/>
          <w:sz w:val="30"/>
          <w:szCs w:val="30"/>
          <w:highlight w:val="none"/>
        </w:rPr>
      </w:pPr>
      <w:r>
        <w:rPr>
          <w:rFonts w:hint="eastAsia" w:ascii="仿宋" w:hAnsi="仿宋" w:eastAsia="仿宋" w:cs="仿宋"/>
          <w:b/>
          <w:color w:val="auto"/>
          <w:kern w:val="2"/>
          <w:sz w:val="30"/>
          <w:szCs w:val="30"/>
          <w:highlight w:val="none"/>
          <w:lang w:val="en-US" w:eastAsia="zh-CN"/>
        </w:rPr>
        <w:t>七</w:t>
      </w:r>
      <w:r>
        <w:rPr>
          <w:rFonts w:hint="eastAsia" w:ascii="仿宋" w:hAnsi="仿宋" w:eastAsia="仿宋" w:cs="仿宋"/>
          <w:b/>
          <w:color w:val="auto"/>
          <w:kern w:val="2"/>
          <w:sz w:val="30"/>
          <w:szCs w:val="30"/>
          <w:highlight w:val="none"/>
        </w:rPr>
        <w:t>、中小企业声明函</w:t>
      </w:r>
    </w:p>
    <w:p w14:paraId="1738585F">
      <w:pPr>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中小企业声明函（工程类）</w:t>
      </w:r>
    </w:p>
    <w:p w14:paraId="310F4DAF">
      <w:pPr>
        <w:spacing w:line="360" w:lineRule="auto"/>
        <w:ind w:firstLine="420" w:firstLineChars="200"/>
        <w:rPr>
          <w:rFonts w:ascii="仿宋" w:hAnsi="仿宋" w:eastAsia="仿宋" w:cs="仿宋"/>
          <w:color w:val="auto"/>
          <w:szCs w:val="21"/>
          <w:highlight w:val="none"/>
        </w:rPr>
      </w:pPr>
    </w:p>
    <w:p w14:paraId="63382BD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本公司（联合体）郑重声明，根据《政府采购促进中小企业发展管理办法》（财库﹝2020﹞46号）的规定，本公司（联合体）参加</w:t>
      </w:r>
      <w:r>
        <w:rPr>
          <w:rFonts w:hint="eastAsia" w:ascii="仿宋" w:hAnsi="仿宋" w:eastAsia="仿宋" w:cs="仿宋"/>
          <w:color w:val="auto"/>
          <w:szCs w:val="21"/>
          <w:highlight w:val="none"/>
          <w:u w:val="single"/>
        </w:rPr>
        <w:t>[项目采购-采购人_9]</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u w:val="single"/>
        </w:rPr>
        <w:t>[项目采购-项目名称_12]</w:t>
      </w:r>
      <w:r>
        <w:rPr>
          <w:rFonts w:hint="eastAsia" w:ascii="仿宋" w:hAnsi="仿宋" w:eastAsia="仿宋" w:cs="仿宋"/>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B00A3E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（标的名称）</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（采购文件中明确的所属行业：见采购需求一览表）</w:t>
      </w:r>
      <w:r>
        <w:rPr>
          <w:rFonts w:hint="eastAsia" w:ascii="仿宋" w:hAnsi="仿宋" w:eastAsia="仿宋" w:cs="仿宋"/>
          <w:color w:val="auto"/>
          <w:szCs w:val="21"/>
          <w:highlight w:val="none"/>
        </w:rPr>
        <w:t>行业；承建（承接）企业为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，从业人员___人，营业收入为___万元，资产总额为___万元，属于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048E10E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rPr>
        <w:t>（标的名称）</w:t>
      </w:r>
      <w:r>
        <w:rPr>
          <w:rFonts w:hint="eastAsia" w:ascii="仿宋" w:hAnsi="仿宋" w:eastAsia="仿宋" w:cs="仿宋"/>
          <w:color w:val="auto"/>
          <w:szCs w:val="21"/>
          <w:highlight w:val="none"/>
        </w:rPr>
        <w:t>，属于</w:t>
      </w:r>
      <w:r>
        <w:rPr>
          <w:rFonts w:hint="eastAsia" w:ascii="仿宋" w:hAnsi="仿宋" w:eastAsia="仿宋" w:cs="仿宋"/>
          <w:color w:val="auto"/>
          <w:szCs w:val="21"/>
          <w:highlight w:val="none"/>
          <w:u w:val="single"/>
        </w:rPr>
        <w:t>（采购文件中明确的所属行业：见采购需求一览表）</w:t>
      </w:r>
      <w:r>
        <w:rPr>
          <w:rFonts w:hint="eastAsia" w:ascii="仿宋" w:hAnsi="仿宋" w:eastAsia="仿宋" w:cs="仿宋"/>
          <w:color w:val="auto"/>
          <w:szCs w:val="21"/>
          <w:highlight w:val="none"/>
        </w:rPr>
        <w:t>行业；承建（承接）企业为</w:t>
      </w:r>
      <w:r>
        <w:rPr>
          <w:rFonts w:hint="eastAsia" w:ascii="仿宋" w:hAnsi="仿宋" w:eastAsia="仿宋" w:cs="仿宋"/>
          <w:color w:val="auto"/>
          <w:szCs w:val="21"/>
          <w:highlight w:val="none"/>
          <w:u w:val="single"/>
        </w:rPr>
        <w:t>（企业名称）</w:t>
      </w:r>
      <w:r>
        <w:rPr>
          <w:rFonts w:hint="eastAsia" w:ascii="仿宋" w:hAnsi="仿宋" w:eastAsia="仿宋" w:cs="仿宋"/>
          <w:color w:val="auto"/>
          <w:szCs w:val="21"/>
          <w:highlight w:val="none"/>
        </w:rPr>
        <w:t>，从业人员___人，营业收入为___万元，资产总额为___万元，属于</w:t>
      </w:r>
      <w:r>
        <w:rPr>
          <w:rFonts w:hint="eastAsia" w:ascii="仿宋" w:hAnsi="仿宋" w:eastAsia="仿宋" w:cs="仿宋"/>
          <w:color w:val="auto"/>
          <w:szCs w:val="21"/>
          <w:highlight w:val="none"/>
          <w:u w:val="single"/>
        </w:rPr>
        <w:t>（中型企业、小型企业、微型企业）</w:t>
      </w:r>
      <w:r>
        <w:rPr>
          <w:rFonts w:hint="eastAsia" w:ascii="仿宋" w:hAnsi="仿宋" w:eastAsia="仿宋" w:cs="仿宋"/>
          <w:color w:val="auto"/>
          <w:szCs w:val="21"/>
          <w:highlight w:val="none"/>
        </w:rPr>
        <w:t>；</w:t>
      </w:r>
    </w:p>
    <w:p w14:paraId="1318A76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w:t>
      </w:r>
    </w:p>
    <w:p w14:paraId="6FBF1E9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以上企业，不属于大企业的分支机构，不存在控股股东为大企业的情形，也不存在与大企业的负责人为同一人的情形。</w:t>
      </w:r>
    </w:p>
    <w:p w14:paraId="41DADDD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本企业对上述声明内容的真实性负责。如有虚假，将依法承担相应责任。</w:t>
      </w:r>
    </w:p>
    <w:p w14:paraId="77FE382D">
      <w:pPr>
        <w:spacing w:line="360" w:lineRule="auto"/>
        <w:ind w:firstLine="420" w:firstLineChars="200"/>
        <w:rPr>
          <w:rFonts w:ascii="仿宋" w:hAnsi="仿宋" w:eastAsia="仿宋" w:cs="仿宋"/>
          <w:color w:val="auto"/>
          <w:szCs w:val="21"/>
          <w:highlight w:val="none"/>
        </w:rPr>
      </w:pPr>
    </w:p>
    <w:p w14:paraId="12325E0F">
      <w:pPr>
        <w:spacing w:line="360" w:lineRule="auto"/>
        <w:ind w:right="1575" w:rightChars="750"/>
        <w:jc w:val="right"/>
        <w:rPr>
          <w:rFonts w:ascii="仿宋" w:hAnsi="仿宋" w:eastAsia="仿宋" w:cs="仿宋"/>
          <w:color w:val="auto"/>
          <w:szCs w:val="21"/>
          <w:highlight w:val="none"/>
        </w:rPr>
      </w:pPr>
      <w:r>
        <w:rPr>
          <w:rFonts w:hint="eastAsia" w:ascii="仿宋" w:hAnsi="仿宋" w:eastAsia="仿宋" w:cs="仿宋"/>
          <w:color w:val="auto"/>
          <w:szCs w:val="21"/>
          <w:highlight w:val="none"/>
        </w:rPr>
        <w:t>供应商名称（电子签章）：</w:t>
      </w:r>
    </w:p>
    <w:p w14:paraId="0D0DD4F6">
      <w:pPr>
        <w:spacing w:line="360" w:lineRule="auto"/>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日期：___年___月___日</w:t>
      </w:r>
    </w:p>
    <w:p w14:paraId="29D3D534">
      <w:pPr>
        <w:spacing w:line="360" w:lineRule="auto"/>
        <w:ind w:firstLine="420" w:firstLineChars="200"/>
        <w:rPr>
          <w:rFonts w:ascii="仿宋" w:hAnsi="仿宋" w:eastAsia="仿宋" w:cs="仿宋"/>
          <w:color w:val="auto"/>
          <w:szCs w:val="21"/>
          <w:highlight w:val="none"/>
        </w:rPr>
      </w:pPr>
    </w:p>
    <w:p w14:paraId="32A2C599">
      <w:pPr>
        <w:spacing w:line="360" w:lineRule="auto"/>
        <w:contextualSpacing/>
        <w:jc w:val="left"/>
        <w:rPr>
          <w:rFonts w:ascii="仿宋" w:hAnsi="仿宋" w:eastAsia="仿宋" w:cs="仿宋"/>
          <w:b/>
          <w:color w:val="auto"/>
          <w:sz w:val="32"/>
          <w:szCs w:val="32"/>
          <w:highlight w:val="none"/>
        </w:rPr>
      </w:pPr>
      <w:r>
        <w:rPr>
          <w:rFonts w:hint="eastAsia" w:ascii="仿宋" w:hAnsi="仿宋" w:eastAsia="仿宋" w:cs="仿宋"/>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86CE9D8">
      <w:pPr>
        <w:spacing w:line="360" w:lineRule="auto"/>
        <w:rPr>
          <w:rFonts w:ascii="仿宋" w:hAnsi="仿宋" w:eastAsia="仿宋" w:cs="仿宋"/>
          <w:color w:val="auto"/>
          <w:sz w:val="24"/>
          <w:highlight w:val="none"/>
        </w:rPr>
      </w:pPr>
      <w:r>
        <w:rPr>
          <w:rFonts w:hint="eastAsia" w:ascii="仿宋" w:hAnsi="仿宋" w:eastAsia="仿宋" w:cs="仿宋"/>
          <w:b/>
          <w:bCs/>
          <w:color w:val="auto"/>
          <w:sz w:val="24"/>
          <w:highlight w:val="none"/>
        </w:rPr>
        <w:br w:type="page"/>
      </w:r>
    </w:p>
    <w:p w14:paraId="5B28F064">
      <w:pPr>
        <w:spacing w:line="360" w:lineRule="auto"/>
        <w:rPr>
          <w:rFonts w:ascii="仿宋" w:hAnsi="仿宋" w:eastAsia="仿宋" w:cs="仿宋"/>
          <w:color w:val="auto"/>
          <w:sz w:val="24"/>
          <w:highlight w:val="none"/>
        </w:rPr>
      </w:pPr>
    </w:p>
    <w:p w14:paraId="409AB667">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44"/>
          <w:szCs w:val="44"/>
          <w:highlight w:val="none"/>
        </w:rPr>
        <w:t>残疾人福利性单位声明函</w:t>
      </w:r>
    </w:p>
    <w:p w14:paraId="39057E9D">
      <w:pPr>
        <w:spacing w:line="360" w:lineRule="auto"/>
        <w:rPr>
          <w:rFonts w:ascii="仿宋" w:hAnsi="仿宋" w:eastAsia="仿宋" w:cs="仿宋"/>
          <w:color w:val="auto"/>
          <w:sz w:val="32"/>
          <w:szCs w:val="32"/>
          <w:highlight w:val="none"/>
        </w:rPr>
      </w:pPr>
    </w:p>
    <w:p w14:paraId="3929311C">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南宁市城市照明事务服务中心</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壮锦大道国旗灯改造项目</w:t>
      </w:r>
      <w:r>
        <w:rPr>
          <w:rFonts w:hint="eastAsia" w:ascii="仿宋" w:hAnsi="仿宋" w:eastAsia="仿宋" w:cs="仿宋"/>
          <w:color w:val="auto"/>
          <w:sz w:val="24"/>
          <w:highlight w:val="none"/>
        </w:rPr>
        <w:t>项目采购活动由本单位提供服务。</w:t>
      </w:r>
    </w:p>
    <w:p w14:paraId="14868476">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5B7DF49F">
      <w:pPr>
        <w:spacing w:line="360" w:lineRule="auto"/>
        <w:contextualSpacing/>
        <w:rPr>
          <w:rFonts w:ascii="仿宋" w:hAnsi="仿宋" w:eastAsia="仿宋" w:cs="仿宋"/>
          <w:color w:val="auto"/>
          <w:sz w:val="24"/>
          <w:highlight w:val="none"/>
        </w:rPr>
      </w:pPr>
    </w:p>
    <w:p w14:paraId="1A4ED6C2">
      <w:pPr>
        <w:spacing w:line="360" w:lineRule="auto"/>
        <w:contextualSpacing/>
        <w:rPr>
          <w:rFonts w:ascii="仿宋" w:hAnsi="仿宋" w:eastAsia="仿宋" w:cs="仿宋"/>
          <w:color w:val="auto"/>
          <w:sz w:val="24"/>
          <w:highlight w:val="none"/>
        </w:rPr>
      </w:pPr>
    </w:p>
    <w:p w14:paraId="4F452338">
      <w:pPr>
        <w:spacing w:line="360" w:lineRule="auto"/>
        <w:contextualSpacing/>
        <w:rPr>
          <w:rFonts w:ascii="仿宋" w:hAnsi="仿宋" w:eastAsia="仿宋" w:cs="仿宋"/>
          <w:color w:val="auto"/>
          <w:sz w:val="24"/>
          <w:highlight w:val="none"/>
        </w:rPr>
      </w:pPr>
    </w:p>
    <w:p w14:paraId="3F9936E8">
      <w:pPr>
        <w:spacing w:line="360" w:lineRule="auto"/>
        <w:ind w:firstLine="2400" w:firstLineChars="10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639EF606">
      <w:pPr>
        <w:spacing w:line="360" w:lineRule="auto"/>
        <w:ind w:firstLine="4320" w:firstLineChars="18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D42BBB">
      <w:pPr>
        <w:spacing w:line="360" w:lineRule="auto"/>
        <w:contextualSpacing/>
        <w:rPr>
          <w:rFonts w:ascii="仿宋" w:hAnsi="仿宋" w:eastAsia="仿宋" w:cs="仿宋"/>
          <w:color w:val="auto"/>
          <w:sz w:val="24"/>
          <w:highlight w:val="none"/>
        </w:rPr>
      </w:pPr>
    </w:p>
    <w:p w14:paraId="484C44ED">
      <w:pPr>
        <w:spacing w:line="360" w:lineRule="auto"/>
        <w:contextualSpacing/>
        <w:rPr>
          <w:rFonts w:ascii="仿宋" w:hAnsi="仿宋" w:eastAsia="仿宋" w:cs="仿宋"/>
          <w:color w:val="auto"/>
          <w:sz w:val="24"/>
          <w:highlight w:val="none"/>
        </w:rPr>
      </w:pPr>
    </w:p>
    <w:p w14:paraId="716BC44D">
      <w:pPr>
        <w:spacing w:line="360" w:lineRule="auto"/>
        <w:contextualSpacing/>
        <w:rPr>
          <w:rFonts w:ascii="仿宋" w:hAnsi="仿宋" w:eastAsia="仿宋" w:cs="仿宋"/>
          <w:color w:val="auto"/>
          <w:sz w:val="24"/>
          <w:highlight w:val="none"/>
        </w:rPr>
      </w:pPr>
    </w:p>
    <w:p w14:paraId="786FC519">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BADEE45">
      <w:pPr>
        <w:spacing w:line="360" w:lineRule="auto"/>
        <w:jc w:val="center"/>
        <w:rPr>
          <w:rFonts w:ascii="仿宋" w:hAnsi="仿宋" w:eastAsia="仿宋" w:cs="仿宋"/>
          <w:color w:val="auto"/>
          <w:sz w:val="24"/>
          <w:highlight w:val="none"/>
        </w:rPr>
      </w:pPr>
    </w:p>
    <w:p w14:paraId="7E222215">
      <w:pPr>
        <w:spacing w:line="360" w:lineRule="auto"/>
        <w:jc w:val="center"/>
        <w:rPr>
          <w:rFonts w:ascii="仿宋" w:hAnsi="仿宋" w:eastAsia="仿宋" w:cs="仿宋"/>
          <w:color w:val="auto"/>
          <w:sz w:val="24"/>
          <w:highlight w:val="none"/>
        </w:rPr>
      </w:pPr>
    </w:p>
    <w:p w14:paraId="002FE747">
      <w:pPr>
        <w:spacing w:line="360" w:lineRule="auto"/>
        <w:jc w:val="center"/>
        <w:rPr>
          <w:rFonts w:ascii="仿宋" w:hAnsi="仿宋" w:eastAsia="仿宋" w:cs="仿宋"/>
          <w:color w:val="auto"/>
          <w:sz w:val="24"/>
          <w:highlight w:val="none"/>
        </w:rPr>
      </w:pPr>
    </w:p>
    <w:p w14:paraId="4B85326A">
      <w:pPr>
        <w:spacing w:line="360" w:lineRule="auto"/>
        <w:jc w:val="center"/>
        <w:rPr>
          <w:rFonts w:ascii="仿宋" w:hAnsi="仿宋" w:eastAsia="仿宋" w:cs="仿宋"/>
          <w:color w:val="auto"/>
          <w:sz w:val="24"/>
          <w:highlight w:val="none"/>
        </w:rPr>
      </w:pPr>
    </w:p>
    <w:p w14:paraId="3841EAAB">
      <w:pPr>
        <w:spacing w:line="360" w:lineRule="auto"/>
        <w:jc w:val="center"/>
        <w:rPr>
          <w:rFonts w:ascii="仿宋" w:hAnsi="仿宋" w:eastAsia="仿宋" w:cs="仿宋"/>
          <w:color w:val="auto"/>
          <w:sz w:val="24"/>
          <w:highlight w:val="none"/>
        </w:rPr>
      </w:pPr>
    </w:p>
    <w:p w14:paraId="42950192">
      <w:pPr>
        <w:rPr>
          <w:rFonts w:ascii="仿宋" w:hAnsi="仿宋" w:eastAsia="仿宋" w:cs="仿宋"/>
          <w:color w:val="auto"/>
          <w:kern w:val="0"/>
          <w:sz w:val="24"/>
          <w:highlight w:val="none"/>
          <w:lang w:val="zh-CN"/>
        </w:rPr>
      </w:pPr>
      <w:r>
        <w:rPr>
          <w:rFonts w:ascii="仿宋" w:hAnsi="仿宋" w:eastAsia="仿宋" w:cs="仿宋"/>
          <w:color w:val="auto"/>
          <w:kern w:val="0"/>
          <w:sz w:val="24"/>
          <w:highlight w:val="none"/>
          <w:lang w:val="zh-CN"/>
        </w:rPr>
        <w:br w:type="page"/>
      </w:r>
    </w:p>
    <w:p w14:paraId="4ED8484D">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41E7B18F">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1BFA8CF9">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7C1919C6">
      <w:pPr>
        <w:pStyle w:val="3"/>
        <w:spacing w:before="0" w:after="0" w:line="360" w:lineRule="auto"/>
        <w:jc w:val="center"/>
        <w:rPr>
          <w:rFonts w:ascii="仿宋" w:hAnsi="仿宋" w:eastAsia="仿宋" w:cs="仿宋"/>
          <w:b w:val="0"/>
          <w:color w:val="auto"/>
          <w:highlight w:val="none"/>
        </w:rPr>
      </w:pPr>
      <w:bookmarkStart w:id="102" w:name="_Toc2474"/>
      <w:bookmarkStart w:id="103" w:name="_Toc7075"/>
      <w:bookmarkStart w:id="104" w:name="_Toc19386"/>
      <w:r>
        <w:rPr>
          <w:rFonts w:hint="eastAsia" w:ascii="仿宋" w:hAnsi="仿宋" w:eastAsia="仿宋" w:cs="仿宋"/>
          <w:b w:val="0"/>
          <w:bCs w:val="0"/>
          <w:color w:val="auto"/>
          <w:highlight w:val="none"/>
        </w:rPr>
        <w:t xml:space="preserve">第二节 </w:t>
      </w:r>
      <w:r>
        <w:rPr>
          <w:rFonts w:hint="eastAsia" w:ascii="仿宋" w:hAnsi="仿宋" w:eastAsia="仿宋" w:cs="仿宋"/>
          <w:b w:val="0"/>
          <w:color w:val="auto"/>
          <w:highlight w:val="none"/>
        </w:rPr>
        <w:t>商务技术文件格式</w:t>
      </w:r>
      <w:bookmarkEnd w:id="102"/>
      <w:bookmarkEnd w:id="103"/>
      <w:bookmarkEnd w:id="104"/>
    </w:p>
    <w:p w14:paraId="7103FF8A">
      <w:pPr>
        <w:snapToGrid w:val="0"/>
        <w:spacing w:line="360" w:lineRule="auto"/>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4FC533F6">
      <w:pPr>
        <w:snapToGrid w:val="0"/>
        <w:spacing w:line="360" w:lineRule="auto"/>
        <w:rPr>
          <w:rFonts w:ascii="仿宋" w:hAnsi="仿宋" w:eastAsia="仿宋" w:cs="仿宋"/>
          <w:color w:val="auto"/>
          <w:sz w:val="24"/>
          <w:szCs w:val="20"/>
          <w:highlight w:val="none"/>
        </w:rPr>
      </w:pPr>
    </w:p>
    <w:p w14:paraId="3812A06B">
      <w:pPr>
        <w:snapToGrid w:val="0"/>
        <w:spacing w:line="360" w:lineRule="auto"/>
        <w:rPr>
          <w:rFonts w:ascii="仿宋" w:hAnsi="仿宋" w:eastAsia="仿宋" w:cs="仿宋"/>
          <w:color w:val="auto"/>
          <w:sz w:val="24"/>
          <w:szCs w:val="20"/>
          <w:highlight w:val="none"/>
        </w:rPr>
      </w:pPr>
    </w:p>
    <w:p w14:paraId="2B38EE79">
      <w:pPr>
        <w:snapToGrid w:val="0"/>
        <w:spacing w:line="360" w:lineRule="auto"/>
        <w:rPr>
          <w:rFonts w:ascii="仿宋" w:hAnsi="仿宋" w:eastAsia="仿宋" w:cs="仿宋"/>
          <w:color w:val="auto"/>
          <w:sz w:val="24"/>
          <w:szCs w:val="20"/>
          <w:highlight w:val="none"/>
        </w:rPr>
      </w:pPr>
    </w:p>
    <w:p w14:paraId="2B27D692">
      <w:pPr>
        <w:snapToGrid w:val="0"/>
        <w:spacing w:line="360" w:lineRule="auto"/>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件（封面）</w:t>
      </w:r>
    </w:p>
    <w:p w14:paraId="21439C7C">
      <w:pPr>
        <w:snapToGrid w:val="0"/>
        <w:spacing w:line="360" w:lineRule="auto"/>
        <w:rPr>
          <w:rFonts w:ascii="仿宋" w:hAnsi="仿宋" w:eastAsia="仿宋" w:cs="仿宋"/>
          <w:bCs/>
          <w:color w:val="auto"/>
          <w:sz w:val="24"/>
          <w:szCs w:val="20"/>
          <w:highlight w:val="none"/>
        </w:rPr>
      </w:pPr>
    </w:p>
    <w:p w14:paraId="3C8FF0B8">
      <w:pPr>
        <w:snapToGrid w:val="0"/>
        <w:spacing w:line="360" w:lineRule="auto"/>
        <w:rPr>
          <w:rFonts w:ascii="仿宋" w:hAnsi="仿宋" w:eastAsia="仿宋" w:cs="仿宋"/>
          <w:bCs/>
          <w:color w:val="auto"/>
          <w:sz w:val="24"/>
          <w:szCs w:val="20"/>
          <w:highlight w:val="none"/>
        </w:rPr>
      </w:pPr>
    </w:p>
    <w:p w14:paraId="2509E2BB">
      <w:pPr>
        <w:snapToGrid w:val="0"/>
        <w:spacing w:line="360" w:lineRule="auto"/>
        <w:rPr>
          <w:rFonts w:ascii="仿宋" w:hAnsi="仿宋" w:eastAsia="仿宋" w:cs="仿宋"/>
          <w:bCs/>
          <w:color w:val="auto"/>
          <w:sz w:val="24"/>
          <w:szCs w:val="20"/>
          <w:highlight w:val="none"/>
        </w:rPr>
      </w:pPr>
    </w:p>
    <w:p w14:paraId="0DBBCF2F">
      <w:pPr>
        <w:snapToGrid w:val="0"/>
        <w:spacing w:line="360" w:lineRule="auto"/>
        <w:rPr>
          <w:rFonts w:ascii="仿宋" w:hAnsi="仿宋" w:eastAsia="仿宋" w:cs="仿宋"/>
          <w:bCs/>
          <w:color w:val="auto"/>
          <w:sz w:val="24"/>
          <w:szCs w:val="20"/>
          <w:highlight w:val="none"/>
        </w:rPr>
      </w:pPr>
    </w:p>
    <w:p w14:paraId="4160C52B">
      <w:pPr>
        <w:snapToGrid w:val="0"/>
        <w:spacing w:line="360" w:lineRule="auto"/>
        <w:rPr>
          <w:rFonts w:ascii="仿宋" w:hAnsi="仿宋" w:eastAsia="仿宋" w:cs="仿宋"/>
          <w:bCs/>
          <w:color w:val="auto"/>
          <w:sz w:val="24"/>
          <w:szCs w:val="20"/>
          <w:highlight w:val="none"/>
        </w:rPr>
      </w:pPr>
    </w:p>
    <w:p w14:paraId="378443C1">
      <w:pPr>
        <w:snapToGrid w:val="0"/>
        <w:spacing w:line="360" w:lineRule="auto"/>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项目名称：壮锦大道国旗灯改造项目</w:t>
      </w:r>
    </w:p>
    <w:p w14:paraId="7B38B039">
      <w:pPr>
        <w:snapToGrid w:val="0"/>
        <w:spacing w:line="360" w:lineRule="auto"/>
        <w:ind w:firstLine="720" w:firstLineChars="225"/>
        <w:rPr>
          <w:rFonts w:ascii="仿宋" w:hAnsi="仿宋" w:eastAsia="仿宋" w:cs="仿宋"/>
          <w:bCs/>
          <w:color w:val="auto"/>
          <w:sz w:val="32"/>
          <w:szCs w:val="32"/>
          <w:highlight w:val="none"/>
        </w:rPr>
      </w:pPr>
    </w:p>
    <w:p w14:paraId="18928F5D">
      <w:pPr>
        <w:snapToGrid w:val="0"/>
        <w:spacing w:line="360" w:lineRule="auto"/>
        <w:ind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项目编号：</w:t>
      </w:r>
      <w:r>
        <w:rPr>
          <w:rFonts w:hint="eastAsia" w:ascii="仿宋" w:hAnsi="仿宋" w:eastAsia="仿宋" w:cs="仿宋"/>
          <w:bCs/>
          <w:color w:val="auto"/>
          <w:sz w:val="32"/>
          <w:szCs w:val="32"/>
          <w:highlight w:val="none"/>
          <w:lang w:eastAsia="zh-CN"/>
        </w:rPr>
        <w:t>NNZC2026-D2-990466-GTZB</w:t>
      </w:r>
    </w:p>
    <w:p w14:paraId="2ACA52B9">
      <w:pPr>
        <w:snapToGrid w:val="0"/>
        <w:spacing w:line="360" w:lineRule="auto"/>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51770F1C">
      <w:pPr>
        <w:snapToGrid w:val="0"/>
        <w:spacing w:line="360" w:lineRule="auto"/>
        <w:ind w:firstLine="720" w:firstLineChars="225"/>
        <w:rPr>
          <w:rFonts w:ascii="仿宋" w:hAnsi="仿宋" w:eastAsia="仿宋" w:cs="仿宋"/>
          <w:bCs/>
          <w:color w:val="auto"/>
          <w:sz w:val="32"/>
          <w:szCs w:val="32"/>
          <w:highlight w:val="none"/>
        </w:rPr>
      </w:pPr>
    </w:p>
    <w:p w14:paraId="75EC153F">
      <w:pPr>
        <w:pStyle w:val="7"/>
        <w:snapToGrid w:val="0"/>
        <w:spacing w:line="360" w:lineRule="auto"/>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B972232">
      <w:pPr>
        <w:pStyle w:val="7"/>
        <w:snapToGrid w:val="0"/>
        <w:spacing w:line="360" w:lineRule="auto"/>
        <w:ind w:firstLine="720" w:firstLineChars="225"/>
        <w:rPr>
          <w:rFonts w:ascii="仿宋" w:hAnsi="仿宋" w:eastAsia="仿宋" w:cs="仿宋"/>
          <w:bCs/>
          <w:color w:val="auto"/>
          <w:sz w:val="32"/>
          <w:szCs w:val="32"/>
          <w:highlight w:val="none"/>
        </w:rPr>
      </w:pPr>
    </w:p>
    <w:p w14:paraId="20C94D14">
      <w:pPr>
        <w:pStyle w:val="7"/>
        <w:snapToGrid w:val="0"/>
        <w:spacing w:line="360" w:lineRule="auto"/>
        <w:ind w:firstLine="720" w:firstLineChars="225"/>
        <w:rPr>
          <w:rFonts w:ascii="仿宋" w:hAnsi="仿宋" w:eastAsia="仿宋" w:cs="仿宋"/>
          <w:bCs/>
          <w:color w:val="auto"/>
          <w:sz w:val="32"/>
          <w:szCs w:val="32"/>
          <w:highlight w:val="none"/>
        </w:rPr>
      </w:pPr>
    </w:p>
    <w:p w14:paraId="52E74EDC">
      <w:pPr>
        <w:pStyle w:val="7"/>
        <w:snapToGrid w:val="0"/>
        <w:spacing w:line="360" w:lineRule="auto"/>
        <w:ind w:firstLine="1280" w:firstLineChars="400"/>
        <w:rPr>
          <w:rFonts w:ascii="仿宋" w:hAnsi="仿宋" w:eastAsia="仿宋" w:cs="仿宋"/>
          <w:bCs/>
          <w:color w:val="auto"/>
          <w:sz w:val="32"/>
          <w:szCs w:val="32"/>
          <w:highlight w:val="none"/>
        </w:rPr>
      </w:pPr>
    </w:p>
    <w:p w14:paraId="2233F0ED">
      <w:pPr>
        <w:snapToGrid w:val="0"/>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3CA6E287">
      <w:pPr>
        <w:spacing w:line="360" w:lineRule="auto"/>
        <w:jc w:val="center"/>
        <w:rPr>
          <w:rFonts w:ascii="仿宋" w:hAnsi="仿宋" w:eastAsia="仿宋" w:cs="仿宋"/>
          <w:b/>
          <w:color w:val="auto"/>
          <w:kern w:val="0"/>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kern w:val="0"/>
          <w:sz w:val="28"/>
          <w:szCs w:val="28"/>
          <w:highlight w:val="none"/>
        </w:rPr>
        <w:t>商务技术文件目录</w:t>
      </w:r>
    </w:p>
    <w:p w14:paraId="4A4348E1">
      <w:pPr>
        <w:pStyle w:val="27"/>
        <w:spacing w:line="360" w:lineRule="auto"/>
        <w:rPr>
          <w:rFonts w:ascii="仿宋" w:eastAsia="仿宋" w:cs="仿宋"/>
          <w:color w:val="auto"/>
          <w:highlight w:val="none"/>
        </w:rPr>
      </w:pPr>
      <w:r>
        <w:rPr>
          <w:rFonts w:hint="eastAsia" w:ascii="仿宋" w:eastAsia="仿宋" w:cs="仿宋"/>
          <w:color w:val="auto"/>
          <w:highlight w:val="none"/>
        </w:rPr>
        <w:t>一、法定代表人身份证明及法定代表人有效身份证正反面复印件………（页码）</w:t>
      </w:r>
    </w:p>
    <w:p w14:paraId="24304B20">
      <w:pPr>
        <w:pStyle w:val="27"/>
        <w:spacing w:line="360" w:lineRule="auto"/>
        <w:rPr>
          <w:rFonts w:ascii="仿宋" w:eastAsia="仿宋" w:cs="仿宋"/>
          <w:color w:val="auto"/>
          <w:highlight w:val="none"/>
        </w:rPr>
      </w:pPr>
      <w:r>
        <w:rPr>
          <w:rFonts w:hint="eastAsia" w:ascii="仿宋" w:eastAsia="仿宋" w:cs="仿宋"/>
          <w:color w:val="auto"/>
          <w:highlight w:val="none"/>
        </w:rPr>
        <w:t>二、法定代表人授权委托书（如有委托时）………………………………（页码）</w:t>
      </w:r>
    </w:p>
    <w:p w14:paraId="37FABCDA">
      <w:pPr>
        <w:pStyle w:val="27"/>
        <w:spacing w:line="360" w:lineRule="auto"/>
        <w:rPr>
          <w:rFonts w:ascii="仿宋" w:eastAsia="仿宋" w:cs="仿宋"/>
          <w:color w:val="auto"/>
          <w:highlight w:val="none"/>
        </w:rPr>
      </w:pPr>
      <w:r>
        <w:rPr>
          <w:rFonts w:hint="eastAsia" w:ascii="仿宋" w:eastAsia="仿宋" w:cs="仿宋"/>
          <w:color w:val="auto"/>
          <w:highlight w:val="none"/>
        </w:rPr>
        <w:t>三、</w:t>
      </w:r>
      <w:r>
        <w:rPr>
          <w:rFonts w:hint="eastAsia" w:ascii="仿宋" w:eastAsia="仿宋" w:cs="仿宋"/>
          <w:color w:val="auto"/>
          <w:highlight w:val="none"/>
          <w:lang w:val="zh-CN"/>
        </w:rPr>
        <w:t>商务条款偏离表………………………………</w:t>
      </w:r>
      <w:r>
        <w:rPr>
          <w:rFonts w:hint="eastAsia" w:ascii="仿宋" w:eastAsia="仿宋" w:cs="仿宋"/>
          <w:color w:val="auto"/>
          <w:highlight w:val="none"/>
        </w:rPr>
        <w:t>…………………………（页码）</w:t>
      </w:r>
    </w:p>
    <w:p w14:paraId="0194ACEC">
      <w:pPr>
        <w:pStyle w:val="27"/>
        <w:spacing w:line="360" w:lineRule="auto"/>
        <w:rPr>
          <w:rFonts w:ascii="仿宋" w:eastAsia="仿宋" w:cs="仿宋"/>
          <w:color w:val="auto"/>
          <w:highlight w:val="none"/>
        </w:rPr>
      </w:pPr>
      <w:bookmarkStart w:id="105" w:name="OLE_LINK6"/>
      <w:bookmarkStart w:id="106" w:name="OLE_LINK7"/>
      <w:bookmarkStart w:id="107" w:name="OLE_LINK5"/>
      <w:r>
        <w:rPr>
          <w:rFonts w:hint="eastAsia" w:ascii="仿宋" w:eastAsia="仿宋" w:cs="仿宋"/>
          <w:color w:val="auto"/>
          <w:highlight w:val="none"/>
        </w:rPr>
        <w:t>四、供应商情况介绍</w:t>
      </w:r>
      <w:r>
        <w:rPr>
          <w:rFonts w:hint="eastAsia" w:ascii="仿宋" w:eastAsia="仿宋" w:cs="仿宋"/>
          <w:color w:val="auto"/>
          <w:highlight w:val="none"/>
          <w:lang w:val="zh-CN"/>
        </w:rPr>
        <w:t>………………………………</w:t>
      </w:r>
      <w:r>
        <w:rPr>
          <w:rFonts w:hint="eastAsia" w:ascii="仿宋" w:eastAsia="仿宋" w:cs="仿宋"/>
          <w:color w:val="auto"/>
          <w:highlight w:val="none"/>
        </w:rPr>
        <w:t>…………………………（页码）</w:t>
      </w:r>
    </w:p>
    <w:bookmarkEnd w:id="105"/>
    <w:bookmarkEnd w:id="106"/>
    <w:bookmarkEnd w:id="107"/>
    <w:p w14:paraId="1EA87E24">
      <w:pPr>
        <w:pStyle w:val="27"/>
        <w:spacing w:line="360" w:lineRule="auto"/>
        <w:ind w:left="481" w:leftChars="229" w:firstLine="0" w:firstLineChars="0"/>
        <w:rPr>
          <w:rFonts w:ascii="仿宋" w:eastAsia="仿宋" w:cs="仿宋"/>
          <w:color w:val="auto"/>
          <w:highlight w:val="none"/>
        </w:rPr>
      </w:pPr>
      <w:r>
        <w:rPr>
          <w:rFonts w:hint="eastAsia" w:ascii="仿宋" w:eastAsia="仿宋" w:cs="仿宋"/>
          <w:color w:val="auto"/>
          <w:highlight w:val="none"/>
        </w:rPr>
        <w:t>五、服务需求偏离表…………………………………………………………（页码）</w:t>
      </w:r>
    </w:p>
    <w:p w14:paraId="59EF2A4C">
      <w:pPr>
        <w:pStyle w:val="27"/>
        <w:spacing w:line="360" w:lineRule="auto"/>
        <w:ind w:left="481" w:leftChars="229" w:firstLine="0" w:firstLineChars="0"/>
        <w:rPr>
          <w:rFonts w:ascii="仿宋" w:eastAsia="仿宋" w:cs="仿宋"/>
          <w:color w:val="auto"/>
          <w:highlight w:val="none"/>
        </w:rPr>
      </w:pPr>
      <w:r>
        <w:rPr>
          <w:rFonts w:hint="eastAsia" w:ascii="仿宋" w:eastAsia="仿宋" w:cs="仿宋"/>
          <w:color w:val="auto"/>
          <w:highlight w:val="none"/>
        </w:rPr>
        <w:t>六、施工组织设计……………………………………………………………（页码）</w:t>
      </w:r>
    </w:p>
    <w:p w14:paraId="1250E392">
      <w:pPr>
        <w:pStyle w:val="27"/>
        <w:spacing w:line="360" w:lineRule="auto"/>
        <w:ind w:left="481" w:leftChars="229" w:firstLine="0" w:firstLineChars="0"/>
        <w:rPr>
          <w:rFonts w:ascii="仿宋" w:eastAsia="仿宋" w:cs="仿宋"/>
          <w:color w:val="auto"/>
          <w:highlight w:val="none"/>
        </w:rPr>
      </w:pPr>
      <w:r>
        <w:rPr>
          <w:rFonts w:hint="eastAsia" w:ascii="仿宋" w:eastAsia="仿宋" w:cs="仿宋"/>
          <w:color w:val="auto"/>
          <w:highlight w:val="none"/>
        </w:rPr>
        <w:t>七、项目管理机构……………………………………………………………（页码）</w:t>
      </w:r>
    </w:p>
    <w:p w14:paraId="5DF4A95D">
      <w:pPr>
        <w:pStyle w:val="27"/>
        <w:spacing w:line="360" w:lineRule="auto"/>
        <w:ind w:left="481" w:leftChars="229" w:firstLine="0" w:firstLineChars="0"/>
        <w:rPr>
          <w:rFonts w:ascii="仿宋" w:eastAsia="仿宋" w:cs="仿宋"/>
          <w:color w:val="auto"/>
          <w:highlight w:val="none"/>
        </w:rPr>
      </w:pPr>
      <w:r>
        <w:rPr>
          <w:rFonts w:hint="eastAsia" w:ascii="仿宋" w:eastAsia="仿宋" w:cs="仿宋"/>
          <w:color w:val="auto"/>
          <w:highlight w:val="none"/>
        </w:rPr>
        <w:t>八、建设工程项目管理承诺书……………………………………………（页码）</w:t>
      </w:r>
    </w:p>
    <w:p w14:paraId="7C5D520A">
      <w:pPr>
        <w:pStyle w:val="27"/>
        <w:spacing w:line="360" w:lineRule="auto"/>
        <w:ind w:left="481" w:leftChars="229" w:firstLine="0" w:firstLineChars="0"/>
        <w:rPr>
          <w:rFonts w:ascii="仿宋" w:eastAsia="仿宋" w:cs="仿宋"/>
          <w:color w:val="auto"/>
          <w:highlight w:val="none"/>
        </w:rPr>
      </w:pPr>
      <w:r>
        <w:rPr>
          <w:rFonts w:hint="eastAsia" w:ascii="仿宋" w:eastAsia="仿宋" w:cs="仿宋"/>
          <w:color w:val="auto"/>
          <w:highlight w:val="none"/>
        </w:rPr>
        <w:t>九、服务需求、商务条款要求提供的其他材料</w:t>
      </w:r>
      <w:r>
        <w:rPr>
          <w:rFonts w:hint="eastAsia" w:ascii="仿宋" w:eastAsia="仿宋" w:cs="仿宋"/>
          <w:color w:val="auto"/>
          <w:highlight w:val="none"/>
          <w:lang w:val="zh-CN"/>
        </w:rPr>
        <w:t>…………………</w:t>
      </w:r>
      <w:r>
        <w:rPr>
          <w:rFonts w:hint="eastAsia" w:ascii="仿宋" w:eastAsia="仿宋" w:cs="仿宋"/>
          <w:color w:val="auto"/>
          <w:highlight w:val="none"/>
        </w:rPr>
        <w:t>………（页码）</w:t>
      </w:r>
    </w:p>
    <w:p w14:paraId="19C95391">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4A286F30">
      <w:pPr>
        <w:snapToGrid w:val="0"/>
        <w:spacing w:line="360" w:lineRule="auto"/>
        <w:ind w:left="142" w:firstLine="640" w:firstLineChars="200"/>
        <w:jc w:val="left"/>
        <w:rPr>
          <w:rFonts w:ascii="仿宋" w:hAnsi="仿宋" w:eastAsia="仿宋" w:cs="仿宋"/>
          <w:color w:val="auto"/>
          <w:sz w:val="32"/>
          <w:szCs w:val="32"/>
          <w:highlight w:val="none"/>
        </w:rPr>
      </w:pPr>
    </w:p>
    <w:p w14:paraId="2CC47D0A">
      <w:pPr>
        <w:spacing w:line="360" w:lineRule="auto"/>
        <w:rPr>
          <w:rFonts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一、法定代表人身份证明及法定代表人有效身份证正反面复印件</w:t>
      </w:r>
    </w:p>
    <w:p w14:paraId="14D38C32">
      <w:pPr>
        <w:spacing w:line="360" w:lineRule="auto"/>
        <w:jc w:val="center"/>
        <w:rPr>
          <w:rFonts w:ascii="仿宋" w:hAnsi="仿宋" w:eastAsia="仿宋" w:cs="仿宋"/>
          <w:color w:val="auto"/>
          <w:sz w:val="32"/>
          <w:szCs w:val="32"/>
          <w:highlight w:val="none"/>
        </w:rPr>
      </w:pPr>
      <w:r>
        <w:rPr>
          <w:rFonts w:hint="eastAsia" w:ascii="仿宋" w:hAnsi="仿宋" w:eastAsia="仿宋" w:cs="仿宋"/>
          <w:bCs/>
          <w:color w:val="auto"/>
          <w:sz w:val="44"/>
          <w:szCs w:val="44"/>
          <w:highlight w:val="none"/>
        </w:rPr>
        <w:t>法定代表人证明书</w:t>
      </w:r>
    </w:p>
    <w:p w14:paraId="6D394E11">
      <w:pPr>
        <w:spacing w:line="360" w:lineRule="auto"/>
        <w:ind w:left="540"/>
        <w:contextualSpacing/>
        <w:rPr>
          <w:rFonts w:ascii="仿宋" w:hAnsi="仿宋" w:eastAsia="仿宋" w:cs="仿宋"/>
          <w:color w:val="auto"/>
          <w:sz w:val="32"/>
          <w:szCs w:val="32"/>
          <w:highlight w:val="none"/>
        </w:rPr>
      </w:pPr>
    </w:p>
    <w:p w14:paraId="5BA8B4DE">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p>
    <w:p w14:paraId="7C6E6946">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349C5419">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4E559F23">
      <w:pPr>
        <w:spacing w:line="360" w:lineRule="auto"/>
        <w:ind w:left="54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6E0DC6FD">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0AFE8101">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w:t>
      </w:r>
    </w:p>
    <w:p w14:paraId="0103C002">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449902AB">
      <w:pPr>
        <w:spacing w:line="360" w:lineRule="auto"/>
        <w:ind w:left="540"/>
        <w:contextualSpacing/>
        <w:rPr>
          <w:rFonts w:ascii="仿宋" w:hAnsi="仿宋" w:eastAsia="仿宋" w:cs="仿宋"/>
          <w:color w:val="auto"/>
          <w:sz w:val="24"/>
          <w:highlight w:val="none"/>
        </w:rPr>
      </w:pPr>
    </w:p>
    <w:p w14:paraId="29F2CB8D">
      <w:pPr>
        <w:spacing w:line="360" w:lineRule="auto"/>
        <w:ind w:left="540"/>
        <w:contextualSpacing/>
        <w:rPr>
          <w:rFonts w:ascii="仿宋" w:hAnsi="仿宋" w:eastAsia="仿宋" w:cs="仿宋"/>
          <w:color w:val="auto"/>
          <w:sz w:val="24"/>
          <w:highlight w:val="none"/>
        </w:rPr>
      </w:pPr>
    </w:p>
    <w:p w14:paraId="5F3311E7">
      <w:pPr>
        <w:spacing w:line="360" w:lineRule="auto"/>
        <w:ind w:left="540"/>
        <w:contextualSpacing/>
        <w:rPr>
          <w:rFonts w:ascii="仿宋" w:hAnsi="仿宋" w:eastAsia="仿宋" w:cs="仿宋"/>
          <w:color w:val="auto"/>
          <w:sz w:val="24"/>
          <w:highlight w:val="none"/>
        </w:rPr>
      </w:pPr>
    </w:p>
    <w:p w14:paraId="12939980">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320356F5">
      <w:pPr>
        <w:spacing w:line="360" w:lineRule="auto"/>
        <w:ind w:left="540"/>
        <w:contextualSpacing/>
        <w:rPr>
          <w:rFonts w:ascii="仿宋" w:hAnsi="仿宋" w:eastAsia="仿宋" w:cs="仿宋"/>
          <w:color w:val="auto"/>
          <w:sz w:val="24"/>
          <w:highlight w:val="none"/>
        </w:rPr>
      </w:pPr>
    </w:p>
    <w:p w14:paraId="460E4C81">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C8B9107">
      <w:pPr>
        <w:spacing w:line="360" w:lineRule="auto"/>
        <w:contextualSpacing/>
        <w:jc w:val="center"/>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6F3A0034">
      <w:pPr>
        <w:spacing w:line="360" w:lineRule="auto"/>
        <w:contextualSpacing/>
        <w:jc w:val="left"/>
        <w:rPr>
          <w:rFonts w:ascii="仿宋" w:hAnsi="仿宋" w:eastAsia="仿宋" w:cs="仿宋"/>
          <w:color w:val="auto"/>
          <w:sz w:val="24"/>
          <w:highlight w:val="none"/>
        </w:rPr>
      </w:pPr>
    </w:p>
    <w:p w14:paraId="0428CDB1">
      <w:pPr>
        <w:spacing w:line="360" w:lineRule="auto"/>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注：1.自然人协商的无需提供，联合体协商的只需牵头人出具。</w:t>
      </w:r>
    </w:p>
    <w:p w14:paraId="743C06A4">
      <w:pPr>
        <w:spacing w:line="360" w:lineRule="auto"/>
        <w:ind w:firstLine="480" w:firstLineChars="200"/>
        <w:contextualSpacing/>
        <w:jc w:val="left"/>
        <w:rPr>
          <w:rFonts w:ascii="仿宋" w:hAnsi="仿宋" w:eastAsia="仿宋" w:cs="仿宋"/>
          <w:color w:val="auto"/>
          <w:sz w:val="24"/>
          <w:highlight w:val="none"/>
        </w:rPr>
        <w:sectPr>
          <w:pgSz w:w="11910" w:h="16840"/>
          <w:pgMar w:top="1340" w:right="1500" w:bottom="280" w:left="1680" w:header="720" w:footer="720" w:gutter="0"/>
          <w:cols w:space="720" w:num="1"/>
        </w:sectPr>
      </w:pPr>
      <w:r>
        <w:rPr>
          <w:rFonts w:hint="eastAsia" w:ascii="仿宋" w:hAnsi="仿宋" w:eastAsia="仿宋" w:cs="仿宋"/>
          <w:color w:val="auto"/>
          <w:sz w:val="24"/>
          <w:highlight w:val="none"/>
        </w:rPr>
        <w:t>2.供应商为其他组织或者自然人时，本采购文件规定的法定代表人指负责人或者自然人。本采购文件所称负责人是指参加协商的其他组织营业执照上的负责人，本采购文件所称自然人指参与协商的自然人本人。</w:t>
      </w:r>
    </w:p>
    <w:tbl>
      <w:tblPr>
        <w:tblStyle w:val="19"/>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2B9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tcPr>
          <w:p w14:paraId="72B4CCB7">
            <w:pPr>
              <w:spacing w:line="360" w:lineRule="auto"/>
              <w:rPr>
                <w:rFonts w:ascii="仿宋" w:hAnsi="仿宋" w:eastAsia="仿宋" w:cs="仿宋"/>
                <w:b/>
                <w:color w:val="auto"/>
                <w:sz w:val="24"/>
                <w:highlight w:val="none"/>
              </w:rPr>
            </w:pPr>
          </w:p>
          <w:p w14:paraId="6467DE21">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法定代表身份证复印件粘贴处（正、反面）</w:t>
            </w:r>
          </w:p>
        </w:tc>
      </w:tr>
    </w:tbl>
    <w:p w14:paraId="497BDE4B">
      <w:pPr>
        <w:spacing w:line="360" w:lineRule="auto"/>
        <w:ind w:firstLine="482" w:firstLineChars="200"/>
        <w:contextualSpacing/>
        <w:jc w:val="left"/>
        <w:rPr>
          <w:rFonts w:ascii="仿宋" w:hAnsi="仿宋" w:eastAsia="仿宋" w:cs="仿宋"/>
          <w:b/>
          <w:color w:val="auto"/>
          <w:sz w:val="32"/>
          <w:szCs w:val="32"/>
          <w:highlight w:val="none"/>
        </w:rPr>
      </w:pPr>
      <w:r>
        <w:rPr>
          <w:rFonts w:hint="eastAsia" w:ascii="仿宋" w:hAnsi="仿宋" w:eastAsia="仿宋" w:cs="仿宋"/>
          <w:b/>
          <w:color w:val="auto"/>
          <w:sz w:val="24"/>
          <w:highlight w:val="none"/>
        </w:rPr>
        <w:t>附件：</w:t>
      </w:r>
    </w:p>
    <w:p w14:paraId="31247BB2">
      <w:pPr>
        <w:adjustRightInd w:val="0"/>
        <w:snapToGrid w:val="0"/>
        <w:spacing w:line="360" w:lineRule="auto"/>
        <w:jc w:val="left"/>
        <w:rPr>
          <w:rFonts w:ascii="仿宋" w:hAnsi="仿宋" w:eastAsia="仿宋" w:cs="仿宋"/>
          <w:b/>
          <w:color w:val="auto"/>
          <w:szCs w:val="21"/>
          <w:highlight w:val="none"/>
        </w:rPr>
      </w:pPr>
    </w:p>
    <w:p w14:paraId="11941C65">
      <w:pPr>
        <w:snapToGrid w:val="0"/>
        <w:spacing w:line="360" w:lineRule="auto"/>
        <w:ind w:firstLine="880" w:firstLineChars="200"/>
        <w:rPr>
          <w:rFonts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30"/>
          <w:szCs w:val="30"/>
          <w:highlight w:val="none"/>
        </w:rPr>
        <w:t>二、法定代表人授权委托书</w:t>
      </w:r>
    </w:p>
    <w:p w14:paraId="0A678297">
      <w:pPr>
        <w:spacing w:line="360" w:lineRule="auto"/>
        <w:jc w:val="center"/>
        <w:rPr>
          <w:rFonts w:ascii="仿宋" w:hAnsi="仿宋" w:eastAsia="仿宋" w:cs="仿宋"/>
          <w:color w:val="auto"/>
          <w:sz w:val="44"/>
          <w:szCs w:val="44"/>
          <w:highlight w:val="none"/>
        </w:rPr>
      </w:pPr>
    </w:p>
    <w:p w14:paraId="0585A944">
      <w:pPr>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授权委托书（非联合体协商格式）</w:t>
      </w:r>
    </w:p>
    <w:p w14:paraId="195B3C8A">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44"/>
          <w:szCs w:val="44"/>
          <w:highlight w:val="none"/>
        </w:rPr>
        <w:t>（如有委托时）</w:t>
      </w:r>
    </w:p>
    <w:p w14:paraId="1182C32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广西国泰招标咨询有限公司</w:t>
      </w:r>
      <w:r>
        <w:rPr>
          <w:rFonts w:hint="eastAsia" w:ascii="仿宋" w:hAnsi="仿宋" w:eastAsia="仿宋" w:cs="仿宋"/>
          <w:color w:val="auto"/>
          <w:sz w:val="24"/>
          <w:highlight w:val="none"/>
        </w:rPr>
        <w:t>：</w:t>
      </w:r>
    </w:p>
    <w:p w14:paraId="7D0B863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壮锦大道国旗灯改造项目</w:t>
      </w:r>
      <w:r>
        <w:rPr>
          <w:rFonts w:hint="eastAsia" w:ascii="仿宋" w:hAnsi="仿宋" w:eastAsia="仿宋" w:cs="仿宋"/>
          <w:color w:val="auto"/>
          <w:sz w:val="24"/>
          <w:highlight w:val="none"/>
        </w:rPr>
        <w:t>项目的协商活动，并代表我方全权办理针对上述项目的所有采购程序和环节的具体事务和签署相关文件。</w:t>
      </w:r>
    </w:p>
    <w:p w14:paraId="36C9F3C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1EA9766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5200AD6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5333F6D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附：法定代表人身份证明书及委托代理人有效身份证正反面复印件</w:t>
      </w:r>
    </w:p>
    <w:p w14:paraId="0472F4A5">
      <w:pPr>
        <w:spacing w:line="360" w:lineRule="auto"/>
        <w:rPr>
          <w:rFonts w:ascii="仿宋" w:hAnsi="仿宋" w:eastAsia="仿宋" w:cs="仿宋"/>
          <w:color w:val="auto"/>
          <w:sz w:val="24"/>
          <w:highlight w:val="none"/>
        </w:rPr>
      </w:pPr>
    </w:p>
    <w:p w14:paraId="325118C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委托代理人（签字）：                 法定代表人（签字或盖章）：                    </w:t>
      </w:r>
    </w:p>
    <w:p w14:paraId="182408B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委托代理人身份证号码：                              </w:t>
      </w:r>
    </w:p>
    <w:p w14:paraId="5230784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A00B8D8">
      <w:pPr>
        <w:spacing w:line="360" w:lineRule="auto"/>
        <w:ind w:firstLine="3840" w:firstLineChars="16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供应商名称（电子签章）：</w:t>
      </w:r>
    </w:p>
    <w:p w14:paraId="1B5713B9">
      <w:pPr>
        <w:spacing w:line="360" w:lineRule="auto"/>
        <w:contextualSpacing/>
        <w:jc w:val="center"/>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7844D28B">
      <w:pPr>
        <w:spacing w:line="360" w:lineRule="auto"/>
        <w:rPr>
          <w:rFonts w:ascii="仿宋" w:hAnsi="仿宋" w:eastAsia="仿宋" w:cs="仿宋"/>
          <w:color w:val="auto"/>
          <w:sz w:val="24"/>
          <w:highlight w:val="none"/>
        </w:rPr>
      </w:pPr>
    </w:p>
    <w:p w14:paraId="468FBFC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注：1. 法定代表人必须在授权委托书上亲笔签字或盖章，委托代理人必须在授权委托书上亲笔签字，</w:t>
      </w:r>
      <w:r>
        <w:rPr>
          <w:rFonts w:hint="eastAsia" w:ascii="仿宋" w:hAnsi="仿宋" w:eastAsia="仿宋" w:cs="仿宋"/>
          <w:b/>
          <w:color w:val="auto"/>
          <w:sz w:val="24"/>
          <w:highlight w:val="none"/>
        </w:rPr>
        <w:t>否则其响应文件按无效响应处理。</w:t>
      </w:r>
    </w:p>
    <w:p w14:paraId="688463EC">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2.供应商为其他组织或者自然人时，本采购文件规定的法定代表人指负责人或者自然人。本采购文件所称负责人是指参加协商的其他组织营业执照上的负责人，本采购文件所称自然人指参与协商的自然人本人。</w:t>
      </w:r>
    </w:p>
    <w:p w14:paraId="52907851">
      <w:pPr>
        <w:spacing w:line="360" w:lineRule="auto"/>
        <w:ind w:firstLine="480" w:firstLineChars="200"/>
        <w:jc w:val="left"/>
        <w:rPr>
          <w:rFonts w:ascii="仿宋" w:hAnsi="仿宋" w:eastAsia="仿宋" w:cs="仿宋"/>
          <w:color w:val="auto"/>
          <w:szCs w:val="21"/>
          <w:highlight w:val="none"/>
        </w:rPr>
      </w:pPr>
      <w:r>
        <w:rPr>
          <w:rFonts w:hint="eastAsia" w:ascii="仿宋" w:hAnsi="仿宋" w:eastAsia="仿宋" w:cs="仿宋"/>
          <w:color w:val="auto"/>
          <w:sz w:val="24"/>
          <w:highlight w:val="none"/>
        </w:rPr>
        <w:t>3. 法人、其他组织协商时“我方”是指“我单位”，自然人协商时“我方”是指“本人”。</w:t>
      </w:r>
    </w:p>
    <w:p w14:paraId="0B7C81D7">
      <w:pPr>
        <w:snapToGrid w:val="0"/>
        <w:spacing w:line="360" w:lineRule="auto"/>
        <w:ind w:firstLine="602" w:firstLineChars="200"/>
        <w:rPr>
          <w:rFonts w:ascii="仿宋" w:hAnsi="仿宋" w:eastAsia="仿宋" w:cs="仿宋"/>
          <w:b/>
          <w:bCs/>
          <w:color w:val="auto"/>
          <w:sz w:val="32"/>
          <w:szCs w:val="32"/>
          <w:highlight w:val="none"/>
        </w:rPr>
      </w:pPr>
      <w:r>
        <w:rPr>
          <w:rFonts w:hint="eastAsia" w:ascii="仿宋" w:hAnsi="仿宋" w:eastAsia="仿宋" w:cs="仿宋"/>
          <w:b/>
          <w:color w:val="auto"/>
          <w:sz w:val="30"/>
          <w:szCs w:val="30"/>
          <w:highlight w:val="none"/>
        </w:rPr>
        <w:t>三、商务条款偏离表</w:t>
      </w:r>
    </w:p>
    <w:p w14:paraId="2240DAFB">
      <w:pPr>
        <w:spacing w:line="360" w:lineRule="auto"/>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商务条款偏离表（格式）</w:t>
      </w:r>
    </w:p>
    <w:p w14:paraId="69C6ACBA">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分标号</w:t>
      </w:r>
      <w:r>
        <w:rPr>
          <w:rFonts w:hint="eastAsia" w:ascii="仿宋" w:hAnsi="仿宋" w:eastAsia="仿宋" w:cs="仿宋"/>
          <w:color w:val="auto"/>
          <w:szCs w:val="21"/>
          <w:highlight w:val="none"/>
        </w:rPr>
        <w:t>（此处有分标时填写具体分标号，无分标时填写“无”）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EAE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ign w:val="center"/>
          </w:tcPr>
          <w:p w14:paraId="00F89042">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ign w:val="center"/>
          </w:tcPr>
          <w:p w14:paraId="064999F5">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单一来源采购文件的商务需求</w:t>
            </w:r>
          </w:p>
        </w:tc>
        <w:tc>
          <w:tcPr>
            <w:tcW w:w="3589" w:type="dxa"/>
            <w:tcBorders>
              <w:top w:val="single" w:color="auto" w:sz="4" w:space="0"/>
              <w:left w:val="single" w:color="auto" w:sz="4" w:space="0"/>
              <w:bottom w:val="single" w:color="auto" w:sz="4" w:space="0"/>
              <w:right w:val="single" w:color="auto" w:sz="4" w:space="0"/>
            </w:tcBorders>
            <w:noWrap/>
            <w:vAlign w:val="center"/>
          </w:tcPr>
          <w:p w14:paraId="79E1D526">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ign w:val="center"/>
          </w:tcPr>
          <w:p w14:paraId="7DAF7996">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4149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tcPr>
          <w:p w14:paraId="7B7B5EA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tcPr>
          <w:p w14:paraId="2784170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0C222B2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1DDFC98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2759193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tcPr>
          <w:p w14:paraId="0A908F96">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0EB2686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567F157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229522D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tcPr>
          <w:p w14:paraId="14A470CA">
            <w:pPr>
              <w:spacing w:line="360" w:lineRule="auto"/>
              <w:rPr>
                <w:rFonts w:ascii="仿宋" w:hAnsi="仿宋" w:eastAsia="仿宋" w:cs="仿宋"/>
                <w:color w:val="auto"/>
                <w:szCs w:val="21"/>
                <w:highlight w:val="none"/>
              </w:rPr>
            </w:pPr>
          </w:p>
        </w:tc>
      </w:tr>
      <w:tr w14:paraId="32FA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tcPr>
          <w:p w14:paraId="3F0D796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tcPr>
          <w:p w14:paraId="34423F4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2905670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41D4056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43A1E68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tcPr>
          <w:p w14:paraId="4E6B8CD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56DE192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06EBCB7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3B9BB9C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tcPr>
          <w:p w14:paraId="2018A1D6">
            <w:pPr>
              <w:spacing w:line="360" w:lineRule="auto"/>
              <w:rPr>
                <w:rFonts w:ascii="仿宋" w:hAnsi="仿宋" w:eastAsia="仿宋" w:cs="仿宋"/>
                <w:color w:val="auto"/>
                <w:szCs w:val="21"/>
                <w:highlight w:val="none"/>
              </w:rPr>
            </w:pPr>
          </w:p>
        </w:tc>
      </w:tr>
      <w:tr w14:paraId="7E2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tcPr>
          <w:p w14:paraId="1DEBCB6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tcPr>
          <w:p w14:paraId="1CD03EA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3CE99CF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26AA303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5128D81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tcPr>
          <w:p w14:paraId="09605AC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5ED177C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3A7CBAFE">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6048EED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tcPr>
          <w:p w14:paraId="4E341AF8">
            <w:pPr>
              <w:spacing w:line="360" w:lineRule="auto"/>
              <w:rPr>
                <w:rFonts w:ascii="仿宋" w:hAnsi="仿宋" w:eastAsia="仿宋" w:cs="仿宋"/>
                <w:color w:val="auto"/>
                <w:szCs w:val="21"/>
                <w:highlight w:val="none"/>
              </w:rPr>
            </w:pPr>
          </w:p>
        </w:tc>
      </w:tr>
    </w:tbl>
    <w:p w14:paraId="02B42680">
      <w:pPr>
        <w:pStyle w:val="11"/>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81C3E1C">
      <w:pPr>
        <w:pStyle w:val="11"/>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1.说明：应对照采购文件“第二章 采购需求”中的商务条款逐条作出明确响应，并作出偏离说明。</w:t>
      </w:r>
    </w:p>
    <w:p w14:paraId="7FA23467">
      <w:pPr>
        <w:pStyle w:val="11"/>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2.供应商应根据自身的承诺，对照采购文件要求，在“偏离说明”中注明“正偏离”“负偏离”或者“无偏离”。既不属于“正偏离”也不属于“负偏离”即为“无偏离”。 当响应文件的商务内容低于单一来源采购文件要求时，供应商应当如实写明“负偏离”，否则视为虚假应标</w:t>
      </w:r>
    </w:p>
    <w:p w14:paraId="294C5654">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3.表格内容均需按要求填写并盖章，不得留空，否则按协商无效处理。</w:t>
      </w:r>
    </w:p>
    <w:p w14:paraId="119C32EE">
      <w:pPr>
        <w:pStyle w:val="14"/>
        <w:spacing w:line="360" w:lineRule="auto"/>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如果采购需求为小于、小于等于、大于或大于等于某个数值标准时，响应文件承诺不得直接复制采购需求，响应文件承诺内容应当写明协商服务具体参数或商务响应承诺的具体数值，否则按协商无效处理。如该采购需求属于不能明确具体数值的，采购人应在此采购需求的数值后标注◆号，对标注◆号的采购需求不适用上述“协商无效”条款。</w:t>
      </w:r>
    </w:p>
    <w:p w14:paraId="4F70CE40">
      <w:pPr>
        <w:spacing w:line="360" w:lineRule="auto"/>
        <w:ind w:firstLine="3840" w:firstLineChars="1600"/>
        <w:rPr>
          <w:rFonts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1F324E4A">
      <w:pPr>
        <w:spacing w:line="360" w:lineRule="auto"/>
        <w:contextualSpacing/>
        <w:jc w:val="center"/>
        <w:rPr>
          <w:rFonts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01FF65AC">
      <w:pPr>
        <w:snapToGrid w:val="0"/>
        <w:spacing w:line="360" w:lineRule="auto"/>
        <w:ind w:firstLine="602" w:firstLineChars="200"/>
        <w:rPr>
          <w:rFonts w:ascii="仿宋" w:hAnsi="仿宋" w:eastAsia="仿宋" w:cs="仿宋"/>
          <w:b/>
          <w:color w:val="auto"/>
          <w:sz w:val="30"/>
          <w:szCs w:val="30"/>
          <w:highlight w:val="none"/>
        </w:rPr>
      </w:pPr>
    </w:p>
    <w:p w14:paraId="64A69443">
      <w:pPr>
        <w:snapToGrid w:val="0"/>
        <w:spacing w:line="360" w:lineRule="auto"/>
        <w:ind w:firstLine="602" w:firstLineChars="200"/>
        <w:rPr>
          <w:rFonts w:ascii="仿宋" w:hAnsi="仿宋" w:eastAsia="仿宋" w:cs="仿宋"/>
          <w:b/>
          <w:color w:val="auto"/>
          <w:sz w:val="30"/>
          <w:szCs w:val="30"/>
          <w:highlight w:val="none"/>
        </w:rPr>
      </w:pPr>
    </w:p>
    <w:p w14:paraId="285CF13B">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四、供应商情况介绍</w:t>
      </w:r>
    </w:p>
    <w:p w14:paraId="0B47D011">
      <w:pPr>
        <w:snapToGrid w:val="0"/>
        <w:spacing w:line="360" w:lineRule="auto"/>
        <w:ind w:firstLine="602" w:firstLineChars="200"/>
        <w:rPr>
          <w:rFonts w:ascii="仿宋" w:hAnsi="仿宋" w:eastAsia="仿宋" w:cs="仿宋"/>
          <w:b/>
          <w:color w:val="auto"/>
          <w:sz w:val="30"/>
          <w:szCs w:val="30"/>
          <w:highlight w:val="none"/>
        </w:rPr>
      </w:pPr>
    </w:p>
    <w:p w14:paraId="454B9E5D">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17992FB">
      <w:pPr>
        <w:autoSpaceDE w:val="0"/>
        <w:autoSpaceDN w:val="0"/>
        <w:spacing w:line="360" w:lineRule="auto"/>
        <w:ind w:firstLine="6480" w:firstLineChars="270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50B6A7B">
      <w:pPr>
        <w:spacing w:line="360" w:lineRule="auto"/>
        <w:jc w:val="center"/>
        <w:rPr>
          <w:rFonts w:ascii="仿宋" w:hAnsi="仿宋" w:eastAsia="仿宋" w:cs="仿宋"/>
          <w:color w:val="auto"/>
          <w:sz w:val="32"/>
          <w:szCs w:val="32"/>
          <w:highlight w:val="none"/>
        </w:rPr>
        <w:sectPr>
          <w:pgSz w:w="11910" w:h="16840"/>
          <w:pgMar w:top="1340" w:right="1500" w:bottom="280" w:left="1680" w:header="720" w:footer="720" w:gutter="0"/>
          <w:cols w:space="720" w:num="1"/>
        </w:sectPr>
      </w:pPr>
      <w:r>
        <w:rPr>
          <w:rFonts w:hint="eastAsia" w:ascii="仿宋" w:hAnsi="仿宋" w:eastAsia="仿宋" w:cs="仿宋"/>
          <w:color w:val="auto"/>
          <w:kern w:val="0"/>
          <w:sz w:val="24"/>
          <w:highlight w:val="none"/>
          <w:lang w:val="zh-CN"/>
        </w:rPr>
        <w:t xml:space="preserve">       </w:t>
      </w:r>
    </w:p>
    <w:p w14:paraId="1B6FF20F">
      <w:pPr>
        <w:autoSpaceDE w:val="0"/>
        <w:autoSpaceDN w:val="0"/>
        <w:spacing w:line="360" w:lineRule="auto"/>
        <w:ind w:firstLine="6120" w:firstLineChars="2550"/>
        <w:rPr>
          <w:rFonts w:ascii="仿宋" w:hAnsi="仿宋" w:eastAsia="仿宋" w:cs="仿宋"/>
          <w:color w:val="auto"/>
          <w:kern w:val="0"/>
          <w:sz w:val="24"/>
          <w:highlight w:val="none"/>
          <w:lang w:val="zh-CN"/>
        </w:rPr>
      </w:pPr>
    </w:p>
    <w:p w14:paraId="21F54D6B">
      <w:pPr>
        <w:snapToGrid w:val="0"/>
        <w:spacing w:line="360" w:lineRule="auto"/>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五、服务需求偏离表</w:t>
      </w:r>
    </w:p>
    <w:p w14:paraId="5B054874">
      <w:pPr>
        <w:spacing w:line="360" w:lineRule="auto"/>
        <w:jc w:val="center"/>
        <w:rPr>
          <w:rFonts w:ascii="仿宋" w:hAnsi="仿宋" w:eastAsia="仿宋" w:cs="仿宋"/>
          <w:color w:val="auto"/>
          <w:sz w:val="22"/>
          <w:szCs w:val="22"/>
          <w:highlight w:val="none"/>
        </w:rPr>
      </w:pPr>
    </w:p>
    <w:p w14:paraId="382F3BE3">
      <w:pPr>
        <w:spacing w:line="360" w:lineRule="auto"/>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服务需求偏离表</w:t>
      </w:r>
    </w:p>
    <w:p w14:paraId="0406A515">
      <w:pPr>
        <w:spacing w:line="360" w:lineRule="auto"/>
        <w:jc w:val="center"/>
        <w:rPr>
          <w:rFonts w:ascii="仿宋" w:hAnsi="仿宋" w:eastAsia="仿宋" w:cs="仿宋"/>
          <w:b/>
          <w:color w:val="auto"/>
          <w:sz w:val="22"/>
          <w:szCs w:val="22"/>
          <w:highlight w:val="none"/>
        </w:rPr>
      </w:pPr>
      <w:r>
        <w:rPr>
          <w:rFonts w:hint="eastAsia" w:ascii="仿宋" w:hAnsi="仿宋" w:eastAsia="仿宋" w:cs="仿宋"/>
          <w:bCs/>
          <w:color w:val="auto"/>
          <w:sz w:val="32"/>
          <w:szCs w:val="32"/>
          <w:highlight w:val="none"/>
        </w:rPr>
        <w:t>（注：按采购需求具体条款修改）</w:t>
      </w:r>
    </w:p>
    <w:p w14:paraId="38AC2672">
      <w:pPr>
        <w:spacing w:line="360" w:lineRule="auto"/>
        <w:contextualSpacing/>
        <w:jc w:val="left"/>
        <w:rPr>
          <w:rFonts w:ascii="仿宋" w:hAnsi="仿宋" w:eastAsia="仿宋" w:cs="仿宋"/>
          <w:color w:val="auto"/>
          <w:sz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2CCF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ign w:val="center"/>
          </w:tcPr>
          <w:p w14:paraId="35CA56C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ign w:val="center"/>
          </w:tcPr>
          <w:p w14:paraId="22E1C190">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单一来源采购文件需求</w:t>
            </w:r>
          </w:p>
        </w:tc>
        <w:tc>
          <w:tcPr>
            <w:tcW w:w="2944" w:type="dxa"/>
            <w:gridSpan w:val="3"/>
            <w:tcBorders>
              <w:top w:val="single" w:color="auto" w:sz="4" w:space="0"/>
              <w:left w:val="single" w:color="auto" w:sz="4" w:space="0"/>
              <w:bottom w:val="single" w:color="auto" w:sz="4" w:space="0"/>
              <w:right w:val="single" w:color="auto" w:sz="4" w:space="0"/>
            </w:tcBorders>
            <w:noWrap/>
            <w:vAlign w:val="center"/>
          </w:tcPr>
          <w:p w14:paraId="5FA77A57">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ign w:val="center"/>
          </w:tcPr>
          <w:p w14:paraId="6DB403E6">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14:paraId="11EB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ign w:val="center"/>
          </w:tcPr>
          <w:p w14:paraId="516C4361">
            <w:pPr>
              <w:widowControl/>
              <w:spacing w:line="360" w:lineRule="auto"/>
              <w:jc w:val="left"/>
              <w:rPr>
                <w:rFonts w:ascii="仿宋" w:hAnsi="仿宋" w:eastAsia="仿宋" w:cs="仿宋"/>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ign w:val="center"/>
          </w:tcPr>
          <w:p w14:paraId="2AEDFEDE">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ign w:val="center"/>
          </w:tcPr>
          <w:p w14:paraId="4BFC9C9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ign w:val="center"/>
          </w:tcPr>
          <w:p w14:paraId="3153ED7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ign w:val="center"/>
          </w:tcPr>
          <w:p w14:paraId="379A657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ign w:val="center"/>
          </w:tcPr>
          <w:p w14:paraId="29863B3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ign w:val="center"/>
          </w:tcPr>
          <w:p w14:paraId="6CAF840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ign w:val="center"/>
          </w:tcPr>
          <w:p w14:paraId="568689BF">
            <w:pPr>
              <w:widowControl/>
              <w:spacing w:line="360" w:lineRule="auto"/>
              <w:jc w:val="left"/>
              <w:rPr>
                <w:rFonts w:ascii="仿宋" w:hAnsi="仿宋" w:eastAsia="仿宋" w:cs="仿宋"/>
                <w:color w:val="auto"/>
                <w:szCs w:val="21"/>
                <w:highlight w:val="none"/>
              </w:rPr>
            </w:pPr>
          </w:p>
        </w:tc>
      </w:tr>
      <w:tr w14:paraId="20AA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16C5D1C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ign w:val="center"/>
          </w:tcPr>
          <w:p w14:paraId="2A8F48C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69E1CA1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1D08651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2237983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34429E1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2F809BA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0786524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044524E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3A7CCFC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7394DB9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09255EE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714C865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7966B547">
            <w:pPr>
              <w:spacing w:line="360" w:lineRule="auto"/>
              <w:rPr>
                <w:rFonts w:ascii="仿宋" w:hAnsi="仿宋" w:eastAsia="仿宋" w:cs="仿宋"/>
                <w:color w:val="auto"/>
                <w:szCs w:val="21"/>
                <w:highlight w:val="none"/>
              </w:rPr>
            </w:pPr>
          </w:p>
        </w:tc>
      </w:tr>
      <w:tr w14:paraId="276D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74C7E3F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ign w:val="center"/>
          </w:tcPr>
          <w:p w14:paraId="0644F54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322FC95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55EF7DD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60677EE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0856A3C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14116BB6">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26711B4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5D0CBB9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199A398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  ……</w:t>
            </w:r>
          </w:p>
          <w:p w14:paraId="512D8E2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  ……</w:t>
            </w:r>
          </w:p>
          <w:p w14:paraId="13A6C05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  ……</w:t>
            </w:r>
          </w:p>
          <w:p w14:paraId="26E796F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2B70797E">
            <w:pPr>
              <w:spacing w:line="360" w:lineRule="auto"/>
              <w:rPr>
                <w:rFonts w:ascii="仿宋" w:hAnsi="仿宋" w:eastAsia="仿宋" w:cs="仿宋"/>
                <w:color w:val="auto"/>
                <w:szCs w:val="21"/>
                <w:highlight w:val="none"/>
              </w:rPr>
            </w:pPr>
          </w:p>
        </w:tc>
      </w:tr>
      <w:tr w14:paraId="0FFB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7B5E84FD">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ign w:val="center"/>
          </w:tcPr>
          <w:p w14:paraId="3CDB45EE">
            <w:pPr>
              <w:spacing w:line="360" w:lineRule="auto"/>
              <w:rPr>
                <w:rFonts w:ascii="仿宋" w:hAnsi="仿宋" w:eastAsia="仿宋" w:cs="仿宋"/>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ign w:val="center"/>
          </w:tcPr>
          <w:p w14:paraId="4B12FF42">
            <w:pPr>
              <w:spacing w:line="360" w:lineRule="auto"/>
              <w:rPr>
                <w:rFonts w:ascii="仿宋" w:hAnsi="仿宋" w:eastAsia="仿宋" w:cs="仿宋"/>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ign w:val="center"/>
          </w:tcPr>
          <w:p w14:paraId="708195DC">
            <w:pPr>
              <w:spacing w:line="360" w:lineRule="auto"/>
              <w:rPr>
                <w:rFonts w:ascii="仿宋" w:hAnsi="仿宋" w:eastAsia="仿宋" w:cs="仿宋"/>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6E0A49E6">
            <w:pPr>
              <w:spacing w:line="360" w:lineRule="auto"/>
              <w:rPr>
                <w:rFonts w:ascii="仿宋" w:hAnsi="仿宋" w:eastAsia="仿宋" w:cs="仿宋"/>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ign w:val="center"/>
          </w:tcPr>
          <w:p w14:paraId="03C26B4E">
            <w:pPr>
              <w:spacing w:line="360" w:lineRule="auto"/>
              <w:rPr>
                <w:rFonts w:ascii="仿宋" w:hAnsi="仿宋" w:eastAsia="仿宋" w:cs="仿宋"/>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ign w:val="center"/>
          </w:tcPr>
          <w:p w14:paraId="15CB84BF">
            <w:pPr>
              <w:spacing w:line="360" w:lineRule="auto"/>
              <w:rPr>
                <w:rFonts w:ascii="仿宋" w:hAnsi="仿宋" w:eastAsia="仿宋" w:cs="仿宋"/>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24A717A1">
            <w:pPr>
              <w:spacing w:line="360" w:lineRule="auto"/>
              <w:rPr>
                <w:rFonts w:ascii="仿宋" w:hAnsi="仿宋" w:eastAsia="仿宋" w:cs="仿宋"/>
                <w:color w:val="auto"/>
                <w:szCs w:val="21"/>
                <w:highlight w:val="none"/>
              </w:rPr>
            </w:pPr>
          </w:p>
        </w:tc>
      </w:tr>
    </w:tbl>
    <w:p w14:paraId="71D2559B">
      <w:pPr>
        <w:pStyle w:val="9"/>
        <w:spacing w:after="0" w:line="360" w:lineRule="auto"/>
        <w:contextualSpacing/>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w:t>
      </w:r>
    </w:p>
    <w:p w14:paraId="3669727A">
      <w:pPr>
        <w:pStyle w:val="9"/>
        <w:spacing w:after="0" w:line="360" w:lineRule="auto"/>
        <w:contextualSpacing/>
        <w:rPr>
          <w:rFonts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1.说明：应对照采购文件“第二章”中“采购需求一览表”的采购清单及技术参数条款逐条作出明确响应，并作出偏离说明。</w:t>
      </w:r>
    </w:p>
    <w:p w14:paraId="1199259A">
      <w:pPr>
        <w:pStyle w:val="11"/>
        <w:spacing w:line="360" w:lineRule="auto"/>
        <w:ind w:firstLine="0" w:firstLineChars="0"/>
        <w:contextualSpacing/>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应根据自身的承诺，对照采购文件要求，在“偏离说明”中注明“正偏离”“负偏离”或者“无偏离”。既不属于“正偏离”也不属于“负偏离”即为“无偏离”。当响应文件的商务内容低于单一来源采购文件要求时，供应商应当如实写明“负偏离”，否则视为虚假应标</w:t>
      </w:r>
    </w:p>
    <w:p w14:paraId="125D4E5C">
      <w:pPr>
        <w:spacing w:line="360" w:lineRule="auto"/>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3.表格内容均需按要求填写并盖章，不得留空，否则按协商无效处理。</w:t>
      </w:r>
    </w:p>
    <w:p w14:paraId="618D1B9A">
      <w:pPr>
        <w:pStyle w:val="14"/>
        <w:spacing w:line="360" w:lineRule="auto"/>
        <w:contextualSpacing/>
        <w:rPr>
          <w:rFonts w:ascii="仿宋" w:hAnsi="仿宋" w:eastAsia="仿宋" w:cs="仿宋"/>
          <w:color w:val="auto"/>
          <w:sz w:val="21"/>
          <w:highlight w:val="none"/>
        </w:rPr>
      </w:pPr>
      <w:r>
        <w:rPr>
          <w:rFonts w:hint="eastAsia" w:ascii="仿宋" w:hAnsi="仿宋" w:eastAsia="仿宋" w:cs="仿宋"/>
          <w:color w:val="auto"/>
          <w:sz w:val="21"/>
          <w:highlight w:val="none"/>
        </w:rPr>
        <w:t>4.如果采购需求为小于、小于等于、大于或大于等于某个数值标准时，响应文件承诺不得直接复制采购需求，响应文件承诺内容应当写明协商服务具体参数或商务响应承诺的具体数值，否则按协商无效处理。如该采购需求属于不能明确具体数值的，采购人应在此采购需求的数值后标注◆号，对标注◆号的采购需求不适用上述“协商无效”条款。</w:t>
      </w:r>
    </w:p>
    <w:p w14:paraId="5686CEAB">
      <w:pPr>
        <w:pStyle w:val="11"/>
        <w:spacing w:line="360" w:lineRule="auto"/>
        <w:ind w:firstLine="0" w:firstLineChars="0"/>
        <w:contextualSpacing/>
        <w:rPr>
          <w:rFonts w:ascii="仿宋" w:hAnsi="仿宋" w:eastAsia="仿宋" w:cs="仿宋"/>
          <w:b/>
          <w:color w:val="auto"/>
          <w:sz w:val="30"/>
          <w:szCs w:val="30"/>
          <w:highlight w:val="none"/>
        </w:rPr>
      </w:pPr>
      <w:r>
        <w:rPr>
          <w:rFonts w:hint="eastAsia" w:ascii="仿宋" w:hAnsi="仿宋" w:eastAsia="仿宋" w:cs="仿宋"/>
          <w:color w:val="auto"/>
          <w:sz w:val="21"/>
          <w:szCs w:val="21"/>
          <w:highlight w:val="none"/>
        </w:rPr>
        <w:t>5. 如技术偏离表中的协商响应与佐证材料不一致的，以佐证材料为准。</w:t>
      </w:r>
    </w:p>
    <w:p w14:paraId="3490664B">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C012779">
      <w:pPr>
        <w:autoSpaceDE w:val="0"/>
        <w:autoSpaceDN w:val="0"/>
        <w:spacing w:line="360" w:lineRule="auto"/>
        <w:ind w:firstLine="6480" w:firstLineChars="270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2C988D8">
      <w:pPr>
        <w:spacing w:line="360" w:lineRule="auto"/>
        <w:jc w:val="center"/>
        <w:rPr>
          <w:rFonts w:ascii="仿宋" w:hAnsi="仿宋" w:eastAsia="仿宋" w:cs="仿宋"/>
          <w:color w:val="auto"/>
          <w:sz w:val="32"/>
          <w:szCs w:val="32"/>
          <w:highlight w:val="none"/>
        </w:rPr>
        <w:sectPr>
          <w:pgSz w:w="11910" w:h="16840"/>
          <w:pgMar w:top="1340" w:right="1500" w:bottom="280" w:left="1680" w:header="720" w:footer="720" w:gutter="0"/>
          <w:cols w:space="720" w:num="1"/>
        </w:sectPr>
      </w:pPr>
    </w:p>
    <w:p w14:paraId="544FC5E1">
      <w:pPr>
        <w:autoSpaceDE w:val="0"/>
        <w:autoSpaceDN w:val="0"/>
        <w:spacing w:line="360" w:lineRule="auto"/>
        <w:ind w:firstLine="6480" w:firstLineChars="2700"/>
        <w:rPr>
          <w:rFonts w:ascii="仿宋" w:hAnsi="仿宋" w:eastAsia="仿宋" w:cs="仿宋"/>
          <w:color w:val="auto"/>
          <w:kern w:val="0"/>
          <w:sz w:val="24"/>
          <w:highlight w:val="none"/>
          <w:lang w:val="zh-CN"/>
        </w:rPr>
      </w:pPr>
    </w:p>
    <w:p w14:paraId="6C381DC2">
      <w:pPr>
        <w:spacing w:line="360" w:lineRule="auto"/>
        <w:ind w:firstLine="643"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六、施工组织设计</w:t>
      </w:r>
    </w:p>
    <w:p w14:paraId="04F4F113">
      <w:pPr>
        <w:spacing w:line="360" w:lineRule="auto"/>
        <w:ind w:firstLine="482" w:firstLineChars="20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（格式自拟）</w:t>
      </w:r>
    </w:p>
    <w:p w14:paraId="48AC2061">
      <w:pPr>
        <w:spacing w:line="360" w:lineRule="auto"/>
        <w:ind w:firstLine="643" w:firstLineChars="200"/>
        <w:rPr>
          <w:rFonts w:ascii="仿宋" w:hAnsi="仿宋" w:eastAsia="仿宋" w:cs="仿宋"/>
          <w:b/>
          <w:color w:val="auto"/>
          <w:sz w:val="32"/>
          <w:szCs w:val="32"/>
          <w:highlight w:val="none"/>
        </w:rPr>
      </w:pPr>
    </w:p>
    <w:p w14:paraId="07AC764D">
      <w:pPr>
        <w:spacing w:line="360" w:lineRule="auto"/>
        <w:ind w:firstLine="643" w:firstLineChars="200"/>
        <w:rPr>
          <w:rFonts w:ascii="仿宋" w:hAnsi="仿宋" w:eastAsia="仿宋" w:cs="仿宋"/>
          <w:b/>
          <w:color w:val="auto"/>
          <w:sz w:val="32"/>
          <w:szCs w:val="32"/>
          <w:highlight w:val="none"/>
        </w:rPr>
      </w:pPr>
    </w:p>
    <w:p w14:paraId="6CF04C93">
      <w:pPr>
        <w:spacing w:line="360" w:lineRule="auto"/>
        <w:ind w:firstLine="643" w:firstLineChars="2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七、项目管理机构</w:t>
      </w:r>
    </w:p>
    <w:p w14:paraId="12A84D7E">
      <w:pPr>
        <w:spacing w:line="360" w:lineRule="auto"/>
        <w:jc w:val="center"/>
        <w:rPr>
          <w:rFonts w:ascii="仿宋" w:hAnsi="仿宋" w:eastAsia="仿宋" w:cs="仿宋"/>
          <w:color w:val="auto"/>
          <w:szCs w:val="21"/>
          <w:highlight w:val="none"/>
        </w:rPr>
      </w:pPr>
      <w:r>
        <w:rPr>
          <w:rFonts w:hint="eastAsia" w:ascii="仿宋" w:hAnsi="仿宋" w:eastAsia="仿宋" w:cs="仿宋"/>
          <w:b/>
          <w:color w:val="auto"/>
          <w:sz w:val="32"/>
          <w:szCs w:val="32"/>
          <w:highlight w:val="none"/>
        </w:rPr>
        <w:t>（格式自拟）</w:t>
      </w:r>
    </w:p>
    <w:p w14:paraId="28A2D921">
      <w:pP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0377E7DC">
      <w:pPr>
        <w:spacing w:line="360" w:lineRule="auto"/>
        <w:rPr>
          <w:rFonts w:ascii="仿宋" w:hAnsi="仿宋" w:eastAsia="仿宋" w:cs="仿宋"/>
          <w:color w:val="auto"/>
          <w:sz w:val="32"/>
          <w:szCs w:val="32"/>
          <w:highlight w:val="none"/>
        </w:rPr>
      </w:pPr>
    </w:p>
    <w:p w14:paraId="0FBFE13B">
      <w:pPr>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八、建设工程项目管理承诺书（格式）</w:t>
      </w:r>
    </w:p>
    <w:p w14:paraId="4EAC097F">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致______（采购单位名称）：</w:t>
      </w:r>
    </w:p>
    <w:p w14:paraId="0F10AD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如我公司在贵单位的______成交，我方在此向采购人承诺：</w:t>
      </w:r>
    </w:p>
    <w:p w14:paraId="4EA68D0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32C1FDC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50C4E7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3E3185A9">
      <w:pPr>
        <w:spacing w:line="360" w:lineRule="auto"/>
        <w:ind w:firstLine="480" w:firstLineChars="200"/>
        <w:rPr>
          <w:rFonts w:ascii="仿宋" w:hAnsi="仿宋" w:eastAsia="仿宋" w:cs="仿宋"/>
          <w:color w:val="auto"/>
          <w:sz w:val="24"/>
          <w:highlight w:val="none"/>
        </w:rPr>
      </w:pPr>
    </w:p>
    <w:p w14:paraId="748A226D">
      <w:pPr>
        <w:spacing w:line="360" w:lineRule="auto"/>
        <w:ind w:right="1575" w:rightChars="750"/>
        <w:jc w:val="right"/>
        <w:rPr>
          <w:rFonts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0740A2B9">
      <w:pPr>
        <w:spacing w:line="360" w:lineRule="auto"/>
        <w:ind w:firstLine="480" w:firstLineChars="200"/>
        <w:jc w:val="right"/>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法定代表人或授权代理人：______（签字或盖章）</w:t>
      </w:r>
    </w:p>
    <w:p w14:paraId="1AEB2677">
      <w:pPr>
        <w:spacing w:line="360" w:lineRule="auto"/>
        <w:ind w:firstLine="480" w:firstLineChars="200"/>
        <w:jc w:val="right"/>
        <w:rPr>
          <w:rFonts w:ascii="仿宋" w:hAnsi="仿宋" w:eastAsia="仿宋" w:cs="仿宋"/>
          <w:color w:val="auto"/>
          <w:sz w:val="24"/>
          <w:highlight w:val="none"/>
        </w:rPr>
      </w:pPr>
      <w:r>
        <w:rPr>
          <w:rFonts w:hint="eastAsia" w:ascii="仿宋" w:hAnsi="仿宋" w:eastAsia="仿宋" w:cs="仿宋"/>
          <w:color w:val="auto"/>
          <w:sz w:val="24"/>
          <w:highlight w:val="none"/>
        </w:rPr>
        <w:t>日期：___年___月___日</w:t>
      </w:r>
    </w:p>
    <w:p w14:paraId="1B9BBB57">
      <w:pPr>
        <w:spacing w:line="360" w:lineRule="auto"/>
        <w:ind w:firstLine="480" w:firstLineChars="200"/>
        <w:rPr>
          <w:rFonts w:ascii="仿宋" w:hAnsi="仿宋" w:eastAsia="仿宋" w:cs="仿宋"/>
          <w:color w:val="auto"/>
          <w:sz w:val="24"/>
          <w:highlight w:val="none"/>
        </w:rPr>
        <w:sectPr>
          <w:pgSz w:w="11906" w:h="16838"/>
          <w:pgMar w:top="1134" w:right="1134" w:bottom="1134" w:left="1134" w:header="851" w:footer="992" w:gutter="0"/>
          <w:cols w:space="425" w:num="1"/>
          <w:docGrid w:type="lines" w:linePitch="312" w:charSpace="0"/>
        </w:sectPr>
      </w:pPr>
    </w:p>
    <w:p w14:paraId="389D1FEC">
      <w:pPr>
        <w:spacing w:line="360" w:lineRule="auto"/>
        <w:rPr>
          <w:rFonts w:ascii="仿宋" w:hAnsi="仿宋" w:eastAsia="仿宋" w:cs="仿宋"/>
          <w:color w:val="auto"/>
          <w:sz w:val="32"/>
          <w:szCs w:val="32"/>
          <w:highlight w:val="none"/>
        </w:rPr>
      </w:pPr>
    </w:p>
    <w:p w14:paraId="37BD7BD5">
      <w:pPr>
        <w:snapToGrid w:val="0"/>
        <w:spacing w:line="360" w:lineRule="auto"/>
        <w:ind w:firstLine="602" w:firstLineChars="20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九、服务需求、商务条款要求提供的其他材料</w:t>
      </w:r>
    </w:p>
    <w:p w14:paraId="7BA1886A">
      <w:pPr>
        <w:autoSpaceDE w:val="0"/>
        <w:autoSpaceDN w:val="0"/>
        <w:spacing w:line="360" w:lineRule="auto"/>
        <w:ind w:left="4335" w:leftChars="1950" w:hanging="240" w:hangingChars="100"/>
        <w:rPr>
          <w:rFonts w:ascii="仿宋" w:hAnsi="仿宋" w:eastAsia="仿宋" w:cs="仿宋"/>
          <w:color w:val="auto"/>
          <w:kern w:val="0"/>
          <w:sz w:val="24"/>
          <w:highlight w:val="none"/>
        </w:rPr>
      </w:pPr>
    </w:p>
    <w:p w14:paraId="72E7D498">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0F7C7F7">
      <w:pPr>
        <w:autoSpaceDE w:val="0"/>
        <w:autoSpaceDN w:val="0"/>
        <w:spacing w:line="360" w:lineRule="auto"/>
        <w:ind w:firstLine="6480" w:firstLineChars="2700"/>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75E3F15E">
      <w:pPr>
        <w:snapToGrid w:val="0"/>
        <w:spacing w:line="360" w:lineRule="auto"/>
        <w:ind w:firstLine="602" w:firstLineChars="200"/>
        <w:rPr>
          <w:rFonts w:ascii="仿宋" w:hAnsi="仿宋" w:eastAsia="仿宋" w:cs="仿宋"/>
          <w:b/>
          <w:color w:val="auto"/>
          <w:sz w:val="30"/>
          <w:szCs w:val="30"/>
          <w:highlight w:val="none"/>
        </w:rPr>
      </w:pPr>
    </w:p>
    <w:p w14:paraId="5977F055">
      <w:pPr>
        <w:spacing w:line="360" w:lineRule="auto"/>
        <w:rPr>
          <w:rFonts w:ascii="仿宋" w:hAnsi="仿宋" w:eastAsia="仿宋" w:cs="仿宋"/>
          <w:color w:val="auto"/>
          <w:sz w:val="32"/>
          <w:szCs w:val="32"/>
          <w:highlight w:val="none"/>
        </w:rPr>
        <w:sectPr>
          <w:pgSz w:w="11910" w:h="16840"/>
          <w:pgMar w:top="1340" w:right="1500" w:bottom="280" w:left="1680" w:header="720" w:footer="720" w:gutter="0"/>
          <w:cols w:space="720" w:num="1"/>
        </w:sectPr>
      </w:pPr>
    </w:p>
    <w:p w14:paraId="1CE6C5AD">
      <w:pPr>
        <w:adjustRightInd w:val="0"/>
        <w:snapToGrid w:val="0"/>
        <w:spacing w:line="360" w:lineRule="auto"/>
        <w:rPr>
          <w:rFonts w:ascii="仿宋" w:hAnsi="仿宋" w:eastAsia="仿宋" w:cs="仿宋"/>
          <w:color w:val="auto"/>
          <w:szCs w:val="21"/>
          <w:highlight w:val="none"/>
          <w:u w:val="single"/>
        </w:rPr>
      </w:pPr>
    </w:p>
    <w:p w14:paraId="29B48994">
      <w:pPr>
        <w:pStyle w:val="3"/>
        <w:spacing w:before="0" w:after="0" w:line="360" w:lineRule="auto"/>
        <w:jc w:val="center"/>
        <w:rPr>
          <w:rFonts w:ascii="仿宋" w:hAnsi="仿宋" w:eastAsia="仿宋" w:cs="仿宋"/>
          <w:color w:val="auto"/>
          <w:highlight w:val="none"/>
        </w:rPr>
      </w:pPr>
      <w:bookmarkStart w:id="108" w:name="_Toc2818"/>
      <w:bookmarkStart w:id="109" w:name="_Toc10920"/>
      <w:bookmarkStart w:id="110" w:name="_Toc28545"/>
      <w:r>
        <w:rPr>
          <w:rFonts w:hint="eastAsia" w:ascii="仿宋" w:hAnsi="仿宋" w:eastAsia="仿宋" w:cs="仿宋"/>
          <w:color w:val="auto"/>
          <w:highlight w:val="none"/>
        </w:rPr>
        <w:t>第四节 报价文件格式</w:t>
      </w:r>
      <w:bookmarkEnd w:id="108"/>
      <w:bookmarkEnd w:id="109"/>
      <w:bookmarkEnd w:id="110"/>
    </w:p>
    <w:p w14:paraId="7621D92E">
      <w:pPr>
        <w:snapToGrid w:val="0"/>
        <w:spacing w:line="360" w:lineRule="auto"/>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r>
        <w:rPr>
          <w:rFonts w:hint="eastAsia" w:ascii="仿宋" w:hAnsi="仿宋" w:eastAsia="仿宋" w:cs="仿宋"/>
          <w:bCs/>
          <w:color w:val="auto"/>
          <w:highlight w:val="none"/>
        </w:rPr>
        <w:t>全流程电子文件</w:t>
      </w:r>
    </w:p>
    <w:p w14:paraId="5702859A">
      <w:pPr>
        <w:snapToGrid w:val="0"/>
        <w:spacing w:line="360" w:lineRule="auto"/>
        <w:rPr>
          <w:rFonts w:ascii="仿宋" w:hAnsi="仿宋" w:eastAsia="仿宋" w:cs="仿宋"/>
          <w:color w:val="auto"/>
          <w:sz w:val="24"/>
          <w:szCs w:val="20"/>
          <w:highlight w:val="none"/>
        </w:rPr>
      </w:pPr>
    </w:p>
    <w:p w14:paraId="0E24BD3A">
      <w:pPr>
        <w:snapToGrid w:val="0"/>
        <w:spacing w:line="360" w:lineRule="auto"/>
        <w:rPr>
          <w:rFonts w:ascii="仿宋" w:hAnsi="仿宋" w:eastAsia="仿宋" w:cs="仿宋"/>
          <w:color w:val="auto"/>
          <w:sz w:val="24"/>
          <w:szCs w:val="20"/>
          <w:highlight w:val="none"/>
        </w:rPr>
      </w:pPr>
    </w:p>
    <w:p w14:paraId="66754E77">
      <w:pPr>
        <w:snapToGrid w:val="0"/>
        <w:spacing w:line="360" w:lineRule="auto"/>
        <w:rPr>
          <w:rFonts w:ascii="仿宋" w:hAnsi="仿宋" w:eastAsia="仿宋" w:cs="仿宋"/>
          <w:color w:val="auto"/>
          <w:sz w:val="24"/>
          <w:szCs w:val="20"/>
          <w:highlight w:val="none"/>
        </w:rPr>
      </w:pPr>
    </w:p>
    <w:p w14:paraId="4C363DF1">
      <w:pPr>
        <w:snapToGrid w:val="0"/>
        <w:spacing w:line="360" w:lineRule="auto"/>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件（封面）</w:t>
      </w:r>
    </w:p>
    <w:p w14:paraId="1BBEA3A5">
      <w:pPr>
        <w:snapToGrid w:val="0"/>
        <w:spacing w:line="360" w:lineRule="auto"/>
        <w:rPr>
          <w:rFonts w:ascii="仿宋" w:hAnsi="仿宋" w:eastAsia="仿宋" w:cs="仿宋"/>
          <w:bCs/>
          <w:color w:val="auto"/>
          <w:sz w:val="24"/>
          <w:szCs w:val="20"/>
          <w:highlight w:val="none"/>
        </w:rPr>
      </w:pPr>
    </w:p>
    <w:p w14:paraId="69D30716">
      <w:pPr>
        <w:snapToGrid w:val="0"/>
        <w:spacing w:line="360" w:lineRule="auto"/>
        <w:rPr>
          <w:rFonts w:ascii="仿宋" w:hAnsi="仿宋" w:eastAsia="仿宋" w:cs="仿宋"/>
          <w:bCs/>
          <w:color w:val="auto"/>
          <w:sz w:val="24"/>
          <w:szCs w:val="20"/>
          <w:highlight w:val="none"/>
        </w:rPr>
      </w:pPr>
    </w:p>
    <w:p w14:paraId="136D4751">
      <w:pPr>
        <w:snapToGrid w:val="0"/>
        <w:spacing w:line="360" w:lineRule="auto"/>
        <w:rPr>
          <w:rFonts w:ascii="仿宋" w:hAnsi="仿宋" w:eastAsia="仿宋" w:cs="仿宋"/>
          <w:bCs/>
          <w:color w:val="auto"/>
          <w:sz w:val="24"/>
          <w:szCs w:val="20"/>
          <w:highlight w:val="none"/>
        </w:rPr>
      </w:pPr>
    </w:p>
    <w:p w14:paraId="30D6233F">
      <w:pPr>
        <w:snapToGrid w:val="0"/>
        <w:spacing w:line="360" w:lineRule="auto"/>
        <w:rPr>
          <w:rFonts w:ascii="仿宋" w:hAnsi="仿宋" w:eastAsia="仿宋" w:cs="仿宋"/>
          <w:bCs/>
          <w:color w:val="auto"/>
          <w:sz w:val="24"/>
          <w:szCs w:val="20"/>
          <w:highlight w:val="none"/>
        </w:rPr>
      </w:pPr>
    </w:p>
    <w:p w14:paraId="0D243FC3">
      <w:pPr>
        <w:snapToGrid w:val="0"/>
        <w:spacing w:line="360" w:lineRule="auto"/>
        <w:rPr>
          <w:rFonts w:ascii="仿宋" w:hAnsi="仿宋" w:eastAsia="仿宋" w:cs="仿宋"/>
          <w:bCs/>
          <w:color w:val="auto"/>
          <w:sz w:val="24"/>
          <w:szCs w:val="20"/>
          <w:highlight w:val="none"/>
        </w:rPr>
      </w:pPr>
    </w:p>
    <w:p w14:paraId="79A4DC1F">
      <w:pPr>
        <w:snapToGrid w:val="0"/>
        <w:spacing w:line="360" w:lineRule="auto"/>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项目名称：壮锦大道国旗灯改造项目</w:t>
      </w:r>
    </w:p>
    <w:p w14:paraId="7CBC8FBD">
      <w:pPr>
        <w:snapToGrid w:val="0"/>
        <w:spacing w:line="360" w:lineRule="auto"/>
        <w:ind w:firstLine="720" w:firstLineChars="225"/>
        <w:rPr>
          <w:rFonts w:ascii="仿宋" w:hAnsi="仿宋" w:eastAsia="仿宋" w:cs="仿宋"/>
          <w:bCs/>
          <w:color w:val="auto"/>
          <w:sz w:val="32"/>
          <w:szCs w:val="32"/>
          <w:highlight w:val="none"/>
        </w:rPr>
      </w:pPr>
    </w:p>
    <w:p w14:paraId="65C3AC40">
      <w:pPr>
        <w:snapToGrid w:val="0"/>
        <w:spacing w:line="360" w:lineRule="auto"/>
        <w:ind w:firstLine="640" w:firstLineChars="200"/>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项目编号：</w:t>
      </w:r>
      <w:r>
        <w:rPr>
          <w:rFonts w:hint="eastAsia" w:ascii="仿宋" w:hAnsi="仿宋" w:eastAsia="仿宋" w:cs="仿宋"/>
          <w:bCs/>
          <w:color w:val="auto"/>
          <w:sz w:val="32"/>
          <w:szCs w:val="32"/>
          <w:highlight w:val="none"/>
          <w:lang w:eastAsia="zh-CN"/>
        </w:rPr>
        <w:t>NNZC2026-D2-990466-GTZB</w:t>
      </w:r>
    </w:p>
    <w:p w14:paraId="56D8C283">
      <w:pPr>
        <w:snapToGrid w:val="0"/>
        <w:spacing w:line="360" w:lineRule="auto"/>
        <w:ind w:firstLine="720" w:firstLineChars="22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5D91BD39">
      <w:pPr>
        <w:snapToGrid w:val="0"/>
        <w:spacing w:line="360" w:lineRule="auto"/>
        <w:ind w:firstLine="720" w:firstLineChars="225"/>
        <w:rPr>
          <w:rFonts w:ascii="仿宋" w:hAnsi="仿宋" w:eastAsia="仿宋" w:cs="仿宋"/>
          <w:bCs/>
          <w:color w:val="auto"/>
          <w:sz w:val="32"/>
          <w:szCs w:val="32"/>
          <w:highlight w:val="none"/>
        </w:rPr>
      </w:pPr>
    </w:p>
    <w:p w14:paraId="068C1A4F">
      <w:pPr>
        <w:pStyle w:val="7"/>
        <w:snapToGrid w:val="0"/>
        <w:spacing w:line="360" w:lineRule="auto"/>
        <w:ind w:firstLine="640" w:firstLineChars="200"/>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1251F4B6">
      <w:pPr>
        <w:pStyle w:val="7"/>
        <w:snapToGrid w:val="0"/>
        <w:spacing w:line="360" w:lineRule="auto"/>
        <w:ind w:firstLine="720" w:firstLineChars="225"/>
        <w:rPr>
          <w:rFonts w:ascii="仿宋" w:hAnsi="仿宋" w:eastAsia="仿宋" w:cs="仿宋"/>
          <w:bCs/>
          <w:color w:val="auto"/>
          <w:sz w:val="32"/>
          <w:szCs w:val="32"/>
          <w:highlight w:val="none"/>
        </w:rPr>
      </w:pPr>
    </w:p>
    <w:p w14:paraId="12DB61CC">
      <w:pPr>
        <w:pStyle w:val="7"/>
        <w:snapToGrid w:val="0"/>
        <w:spacing w:line="360" w:lineRule="auto"/>
        <w:ind w:firstLine="720" w:firstLineChars="225"/>
        <w:rPr>
          <w:rFonts w:ascii="仿宋" w:hAnsi="仿宋" w:eastAsia="仿宋" w:cs="仿宋"/>
          <w:bCs/>
          <w:color w:val="auto"/>
          <w:sz w:val="32"/>
          <w:szCs w:val="32"/>
          <w:highlight w:val="none"/>
        </w:rPr>
      </w:pPr>
    </w:p>
    <w:p w14:paraId="56A625B7">
      <w:pPr>
        <w:pStyle w:val="7"/>
        <w:snapToGrid w:val="0"/>
        <w:spacing w:line="360" w:lineRule="auto"/>
        <w:ind w:firstLine="1280" w:firstLineChars="400"/>
        <w:rPr>
          <w:rFonts w:ascii="仿宋" w:hAnsi="仿宋" w:eastAsia="仿宋" w:cs="仿宋"/>
          <w:bCs/>
          <w:color w:val="auto"/>
          <w:sz w:val="32"/>
          <w:szCs w:val="32"/>
          <w:highlight w:val="none"/>
        </w:rPr>
      </w:pPr>
    </w:p>
    <w:p w14:paraId="31E78016">
      <w:pPr>
        <w:snapToGrid w:val="0"/>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191B0A13">
      <w:pPr>
        <w:snapToGrid w:val="0"/>
        <w:spacing w:line="360" w:lineRule="auto"/>
        <w:jc w:val="center"/>
        <w:rPr>
          <w:rFonts w:ascii="仿宋" w:hAnsi="仿宋" w:eastAsia="仿宋" w:cs="仿宋"/>
          <w:b/>
          <w:bCs/>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报价文件目录</w:t>
      </w:r>
    </w:p>
    <w:p w14:paraId="2C2BC31A">
      <w:pPr>
        <w:spacing w:line="360" w:lineRule="auto"/>
        <w:rPr>
          <w:rFonts w:ascii="仿宋" w:hAnsi="仿宋" w:eastAsia="仿宋" w:cs="仿宋"/>
          <w:color w:val="auto"/>
          <w:highlight w:val="none"/>
        </w:rPr>
      </w:pPr>
    </w:p>
    <w:p w14:paraId="5CA93E10">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一、响应函………………………………………………………（页码）</w:t>
      </w:r>
    </w:p>
    <w:p w14:paraId="268597D0">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二、协商报价表…………………………………………………（页码）</w:t>
      </w:r>
    </w:p>
    <w:p w14:paraId="056E74FE">
      <w:pPr>
        <w:pStyle w:val="14"/>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kern w:val="2"/>
          <w:sz w:val="30"/>
          <w:szCs w:val="30"/>
          <w:highlight w:val="none"/>
        </w:rPr>
        <w:t>一、响应函</w:t>
      </w:r>
    </w:p>
    <w:p w14:paraId="725C362C">
      <w:pPr>
        <w:pStyle w:val="14"/>
        <w:spacing w:line="360" w:lineRule="auto"/>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响应函</w:t>
      </w:r>
    </w:p>
    <w:p w14:paraId="204F4AA4">
      <w:pPr>
        <w:pStyle w:val="14"/>
        <w:spacing w:line="360" w:lineRule="auto"/>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广西国泰招标咨询有限公司 </w:t>
      </w:r>
    </w:p>
    <w:p w14:paraId="77D8CDC8">
      <w:pPr>
        <w:pStyle w:val="14"/>
        <w:spacing w:line="360" w:lineRule="auto"/>
        <w:ind w:firstLine="400" w:firstLineChars="200"/>
        <w:rPr>
          <w:rFonts w:ascii="仿宋" w:hAnsi="仿宋" w:eastAsia="仿宋" w:cs="仿宋"/>
          <w:color w:val="auto"/>
          <w:highlight w:val="none"/>
        </w:rPr>
      </w:pPr>
      <w:r>
        <w:rPr>
          <w:rFonts w:hint="eastAsia" w:ascii="仿宋" w:hAnsi="仿宋" w:eastAsia="仿宋" w:cs="仿宋"/>
          <w:color w:val="auto"/>
          <w:highlight w:val="none"/>
        </w:rPr>
        <w:t>我方已仔细阅读了贵方组织的</w:t>
      </w:r>
      <w:r>
        <w:rPr>
          <w:rFonts w:hint="eastAsia" w:ascii="仿宋" w:hAnsi="仿宋" w:eastAsia="仿宋" w:cs="仿宋"/>
          <w:color w:val="auto"/>
          <w:highlight w:val="none"/>
          <w:u w:val="single"/>
        </w:rPr>
        <w:t xml:space="preserve"> 壮锦大道国旗灯改造项目 </w:t>
      </w:r>
      <w:r>
        <w:rPr>
          <w:rFonts w:hint="eastAsia" w:ascii="仿宋" w:hAnsi="仿宋" w:eastAsia="仿宋" w:cs="仿宋"/>
          <w:color w:val="auto"/>
          <w:highlight w:val="none"/>
        </w:rPr>
        <w:t>项目（项目编号：</w:t>
      </w:r>
      <w:r>
        <w:rPr>
          <w:rFonts w:hint="eastAsia" w:ascii="仿宋" w:hAnsi="仿宋" w:eastAsia="仿宋" w:cs="仿宋"/>
          <w:color w:val="auto"/>
          <w:highlight w:val="none"/>
          <w:lang w:eastAsia="zh-CN"/>
        </w:rPr>
        <w:t>NNZC2026-D2-990466-GTZB</w:t>
      </w:r>
      <w:r>
        <w:rPr>
          <w:rFonts w:hint="eastAsia" w:ascii="仿宋" w:hAnsi="仿宋" w:eastAsia="仿宋" w:cs="仿宋"/>
          <w:color w:val="auto"/>
          <w:highlight w:val="none"/>
        </w:rPr>
        <w:t xml:space="preserve">）的单一来源采购文件的全部内容，现正式递交下述文件参加贵方组织的本次政府采购活动： </w:t>
      </w:r>
    </w:p>
    <w:p w14:paraId="1C03D525">
      <w:pPr>
        <w:pStyle w:val="14"/>
        <w:spacing w:line="360" w:lineRule="auto"/>
        <w:ind w:firstLine="400" w:firstLineChars="200"/>
        <w:rPr>
          <w:rFonts w:ascii="仿宋" w:hAnsi="仿宋" w:eastAsia="仿宋" w:cs="仿宋"/>
          <w:color w:val="auto"/>
          <w:highlight w:val="none"/>
        </w:rPr>
      </w:pPr>
      <w:r>
        <w:rPr>
          <w:rFonts w:hint="eastAsia" w:ascii="仿宋" w:hAnsi="仿宋" w:eastAsia="仿宋" w:cs="仿宋"/>
          <w:color w:val="auto"/>
          <w:highlight w:val="none"/>
        </w:rPr>
        <w:t>一、首次报价文件电子版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份（包含按“第三章 供应商须知”提交的全部文件）；</w:t>
      </w:r>
    </w:p>
    <w:p w14:paraId="26688B0D">
      <w:pPr>
        <w:pStyle w:val="14"/>
        <w:spacing w:line="360" w:lineRule="auto"/>
        <w:ind w:firstLine="400" w:firstLineChars="200"/>
        <w:rPr>
          <w:rFonts w:ascii="仿宋" w:hAnsi="仿宋" w:eastAsia="仿宋" w:cs="仿宋"/>
          <w:color w:val="auto"/>
          <w:highlight w:val="none"/>
        </w:rPr>
      </w:pPr>
      <w:r>
        <w:rPr>
          <w:rFonts w:hint="eastAsia" w:ascii="仿宋" w:hAnsi="仿宋" w:eastAsia="仿宋" w:cs="仿宋"/>
          <w:color w:val="auto"/>
          <w:highlight w:val="none"/>
        </w:rPr>
        <w:t>二、技术文件电子版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份（包含按“第三章 供应商须知”提交的全部文件）；商务文件电子版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份（包含按“第三章 供应商须知”提交的全部文件）；（商务技术文件已合并装订成册）</w:t>
      </w:r>
    </w:p>
    <w:p w14:paraId="70C97F4A">
      <w:pPr>
        <w:pStyle w:val="14"/>
        <w:spacing w:line="360" w:lineRule="auto"/>
        <w:ind w:firstLine="400" w:firstLineChars="200"/>
        <w:rPr>
          <w:rFonts w:ascii="仿宋" w:hAnsi="仿宋" w:eastAsia="仿宋" w:cs="仿宋"/>
          <w:color w:val="auto"/>
          <w:highlight w:val="none"/>
        </w:rPr>
      </w:pPr>
      <w:r>
        <w:rPr>
          <w:rFonts w:hint="eastAsia" w:ascii="仿宋" w:hAnsi="仿宋" w:eastAsia="仿宋" w:cs="仿宋"/>
          <w:color w:val="auto"/>
          <w:highlight w:val="none"/>
        </w:rPr>
        <w:t>据此函，签字人兹宣布：</w:t>
      </w:r>
    </w:p>
    <w:p w14:paraId="06859D17">
      <w:pPr>
        <w:pStyle w:val="14"/>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1、我方愿意以下浮系数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的协商报价，服务期限：</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，提供本项目单一来源采购文件第二章“采购需求一览表”中相应的采购内容。</w:t>
      </w:r>
    </w:p>
    <w:p w14:paraId="15CB39CE">
      <w:pPr>
        <w:pStyle w:val="14"/>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2、我方同意自本项目单一来源采购文件采购公告规定的递交响应文件截止时间起遵循本响应函，并承诺在“第三章 供应商须知”规定的响应有效期内不修改、撤销响应文件。</w:t>
      </w:r>
    </w:p>
    <w:p w14:paraId="3CD220C7">
      <w:pPr>
        <w:pStyle w:val="14"/>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3、我方在此声明，所递交的响应文件及有关资料内容完整、真实和准确。</w:t>
      </w:r>
    </w:p>
    <w:p w14:paraId="46853248">
      <w:pPr>
        <w:pStyle w:val="14"/>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4、如本项目采购内容涉及须符合国家强制规定的，我方承诺我方本次协商均符合国家有关强制规定。</w:t>
      </w:r>
    </w:p>
    <w:p w14:paraId="0252C8FF">
      <w:pPr>
        <w:pStyle w:val="14"/>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5、如我方成交，我方承诺在收到成交通知书后，在成交通知书规定的期限内，根据单一来源采购文件、我方的响应文件及有关澄清承诺书的要求按第六章“合同文本”与采购人订立书面合同，并按照合同约定承担完成合同的责任和义务。</w:t>
      </w:r>
    </w:p>
    <w:p w14:paraId="11D6D336">
      <w:pPr>
        <w:pStyle w:val="14"/>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6、我方已详细审核单一来源采购文件，我方知道必须放弃提出含糊不清或误解问题的权利。</w:t>
      </w:r>
    </w:p>
    <w:p w14:paraId="54198EDE">
      <w:pPr>
        <w:pStyle w:val="14"/>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7、我方承诺满足单一来源采购文件第六章“合同文本”的条款，承担完成合同的责任和义务。</w:t>
      </w:r>
    </w:p>
    <w:p w14:paraId="3C9B4226">
      <w:pPr>
        <w:pStyle w:val="14"/>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8、我方同意应贵方要求提供与本协商有关的任何数据或资料。若贵方需要，我方愿意提供我方作出的一切承诺的证明材料。</w:t>
      </w:r>
    </w:p>
    <w:p w14:paraId="5EE62AFA">
      <w:pPr>
        <w:pStyle w:val="14"/>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9、我方完全理解贵方不一定接受协商报价最低的供应商为成交供应商的行为。</w:t>
      </w:r>
    </w:p>
    <w:p w14:paraId="2110D489">
      <w:pPr>
        <w:pStyle w:val="14"/>
        <w:spacing w:line="360" w:lineRule="auto"/>
        <w:ind w:firstLine="482"/>
        <w:rPr>
          <w:rFonts w:ascii="仿宋" w:hAnsi="仿宋" w:eastAsia="仿宋" w:cs="仿宋"/>
          <w:color w:val="auto"/>
          <w:highlight w:val="none"/>
        </w:rPr>
      </w:pPr>
      <w:r>
        <w:rPr>
          <w:rFonts w:hint="eastAsia" w:ascii="仿宋" w:hAnsi="仿宋" w:eastAsia="仿宋" w:cs="仿宋"/>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2C77460">
      <w:pPr>
        <w:pStyle w:val="14"/>
        <w:tabs>
          <w:tab w:val="left" w:pos="945"/>
        </w:tabs>
        <w:spacing w:line="360" w:lineRule="auto"/>
        <w:ind w:left="1140" w:hanging="720"/>
        <w:rPr>
          <w:rFonts w:ascii="仿宋" w:hAnsi="仿宋" w:eastAsia="仿宋" w:cs="仿宋"/>
          <w:color w:val="auto"/>
          <w:highlight w:val="none"/>
        </w:rPr>
      </w:pPr>
      <w:r>
        <w:rPr>
          <w:rFonts w:hint="eastAsia" w:ascii="仿宋" w:hAnsi="仿宋" w:eastAsia="仿宋" w:cs="仿宋"/>
          <w:color w:val="auto"/>
          <w:highlight w:val="none"/>
        </w:rPr>
        <w:t>（1）提供虚假材料谋取中标、成交的；</w:t>
      </w:r>
    </w:p>
    <w:p w14:paraId="3DF2E571">
      <w:pPr>
        <w:pStyle w:val="14"/>
        <w:tabs>
          <w:tab w:val="left" w:pos="945"/>
        </w:tabs>
        <w:spacing w:line="360" w:lineRule="auto"/>
        <w:ind w:left="1140" w:hanging="720"/>
        <w:rPr>
          <w:rFonts w:ascii="仿宋" w:hAnsi="仿宋" w:eastAsia="仿宋" w:cs="仿宋"/>
          <w:color w:val="auto"/>
          <w:highlight w:val="none"/>
        </w:rPr>
      </w:pPr>
      <w:r>
        <w:rPr>
          <w:rFonts w:hint="eastAsia" w:ascii="仿宋" w:hAnsi="仿宋" w:eastAsia="仿宋" w:cs="仿宋"/>
          <w:color w:val="auto"/>
          <w:highlight w:val="none"/>
        </w:rPr>
        <w:t>（2）采取不正当手段诋毁、排挤其他供应商的；</w:t>
      </w:r>
    </w:p>
    <w:p w14:paraId="165F7BFE">
      <w:pPr>
        <w:pStyle w:val="14"/>
        <w:tabs>
          <w:tab w:val="left" w:pos="945"/>
        </w:tabs>
        <w:spacing w:line="360" w:lineRule="auto"/>
        <w:ind w:left="1140" w:hanging="720"/>
        <w:rPr>
          <w:rFonts w:ascii="仿宋" w:hAnsi="仿宋" w:eastAsia="仿宋" w:cs="仿宋"/>
          <w:color w:val="auto"/>
          <w:szCs w:val="20"/>
          <w:highlight w:val="none"/>
        </w:rPr>
      </w:pPr>
      <w:r>
        <w:rPr>
          <w:rFonts w:hint="eastAsia" w:ascii="仿宋" w:hAnsi="仿宋" w:eastAsia="仿宋" w:cs="仿宋"/>
          <w:color w:val="auto"/>
          <w:szCs w:val="20"/>
          <w:highlight w:val="none"/>
        </w:rPr>
        <w:t>（3）与采购人、其他供应商或者采购代理机构恶意串通的；</w:t>
      </w:r>
    </w:p>
    <w:p w14:paraId="2AF1228F">
      <w:pPr>
        <w:pStyle w:val="14"/>
        <w:tabs>
          <w:tab w:val="left" w:pos="945"/>
        </w:tabs>
        <w:spacing w:line="360" w:lineRule="auto"/>
        <w:ind w:left="1140" w:hanging="720"/>
        <w:rPr>
          <w:rFonts w:ascii="仿宋" w:hAnsi="仿宋" w:eastAsia="仿宋" w:cs="仿宋"/>
          <w:color w:val="auto"/>
          <w:szCs w:val="20"/>
          <w:highlight w:val="none"/>
        </w:rPr>
      </w:pPr>
      <w:r>
        <w:rPr>
          <w:rFonts w:hint="eastAsia" w:ascii="仿宋" w:hAnsi="仿宋" w:eastAsia="仿宋" w:cs="仿宋"/>
          <w:color w:val="auto"/>
          <w:szCs w:val="20"/>
          <w:highlight w:val="none"/>
        </w:rPr>
        <w:t>（4）向采购人、采购代理机构行贿或者提供其他不正当利益的；</w:t>
      </w:r>
    </w:p>
    <w:p w14:paraId="45F16FDD">
      <w:pPr>
        <w:pStyle w:val="14"/>
        <w:tabs>
          <w:tab w:val="left" w:pos="945"/>
        </w:tabs>
        <w:spacing w:line="360" w:lineRule="auto"/>
        <w:ind w:left="1140" w:hanging="720"/>
        <w:rPr>
          <w:rFonts w:ascii="仿宋" w:hAnsi="仿宋" w:eastAsia="仿宋" w:cs="仿宋"/>
          <w:color w:val="auto"/>
          <w:szCs w:val="20"/>
          <w:highlight w:val="none"/>
        </w:rPr>
      </w:pPr>
      <w:r>
        <w:rPr>
          <w:rFonts w:hint="eastAsia" w:ascii="仿宋" w:hAnsi="仿宋" w:eastAsia="仿宋" w:cs="仿宋"/>
          <w:color w:val="auto"/>
          <w:szCs w:val="20"/>
          <w:highlight w:val="none"/>
        </w:rPr>
        <w:t>（5）在采购过程中与采购人进行协商谈判的；</w:t>
      </w:r>
    </w:p>
    <w:p w14:paraId="3A7F9357">
      <w:pPr>
        <w:pStyle w:val="14"/>
        <w:tabs>
          <w:tab w:val="left" w:pos="945"/>
        </w:tabs>
        <w:spacing w:line="360" w:lineRule="auto"/>
        <w:ind w:left="1140" w:hanging="720"/>
        <w:rPr>
          <w:rFonts w:ascii="仿宋" w:hAnsi="仿宋" w:eastAsia="仿宋" w:cs="仿宋"/>
          <w:color w:val="auto"/>
          <w:szCs w:val="20"/>
          <w:highlight w:val="none"/>
        </w:rPr>
      </w:pPr>
      <w:r>
        <w:rPr>
          <w:rFonts w:hint="eastAsia" w:ascii="仿宋" w:hAnsi="仿宋" w:eastAsia="仿宋" w:cs="仿宋"/>
          <w:color w:val="auto"/>
          <w:szCs w:val="20"/>
          <w:highlight w:val="none"/>
        </w:rPr>
        <w:t>（6）拒绝有关部门监督检查或提供虚假情况的。</w:t>
      </w:r>
    </w:p>
    <w:p w14:paraId="079F9DB0">
      <w:pPr>
        <w:pStyle w:val="14"/>
        <w:spacing w:line="360" w:lineRule="auto"/>
        <w:ind w:firstLine="420"/>
        <w:rPr>
          <w:rFonts w:ascii="仿宋" w:hAnsi="仿宋" w:eastAsia="仿宋" w:cs="仿宋"/>
          <w:color w:val="auto"/>
          <w:szCs w:val="20"/>
          <w:highlight w:val="none"/>
        </w:rPr>
      </w:pPr>
      <w:r>
        <w:rPr>
          <w:rFonts w:hint="eastAsia" w:ascii="仿宋" w:hAnsi="仿宋" w:eastAsia="仿宋" w:cs="仿宋"/>
          <w:color w:val="auto"/>
          <w:szCs w:val="20"/>
          <w:highlight w:val="none"/>
        </w:rPr>
        <w:t>11.与本采购有关的一切正式往来信函请寄：</w:t>
      </w:r>
      <w:r>
        <w:rPr>
          <w:rFonts w:hint="eastAsia" w:ascii="仿宋" w:hAnsi="仿宋" w:eastAsia="仿宋" w:cs="仿宋"/>
          <w:color w:val="auto"/>
          <w:szCs w:val="20"/>
          <w:highlight w:val="none"/>
          <w:u w:val="single"/>
        </w:rPr>
        <w:t xml:space="preserve">                    </w:t>
      </w:r>
    </w:p>
    <w:p w14:paraId="209D8409">
      <w:pPr>
        <w:pStyle w:val="14"/>
        <w:spacing w:line="360" w:lineRule="auto"/>
        <w:ind w:firstLine="420"/>
        <w:rPr>
          <w:rFonts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5DFF8485">
      <w:pPr>
        <w:pStyle w:val="14"/>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电话：</w:t>
      </w:r>
      <w:r>
        <w:rPr>
          <w:rFonts w:hint="eastAsia" w:ascii="仿宋" w:hAnsi="仿宋" w:eastAsia="仿宋" w:cs="仿宋"/>
          <w:color w:val="auto"/>
          <w:highlight w:val="none"/>
          <w:u w:val="single"/>
        </w:rPr>
        <w:t xml:space="preserve">                                      　　　　　　　　　</w:t>
      </w:r>
    </w:p>
    <w:p w14:paraId="04DB7766">
      <w:pPr>
        <w:pStyle w:val="14"/>
        <w:spacing w:line="360" w:lineRule="auto"/>
        <w:ind w:firstLine="420"/>
        <w:rPr>
          <w:rFonts w:ascii="仿宋" w:hAnsi="仿宋" w:eastAsia="仿宋" w:cs="仿宋"/>
          <w:color w:val="auto"/>
          <w:highlight w:val="none"/>
        </w:rPr>
      </w:pPr>
      <w:r>
        <w:rPr>
          <w:rFonts w:hint="eastAsia" w:ascii="仿宋" w:hAnsi="仿宋" w:eastAsia="仿宋" w:cs="仿宋"/>
          <w:color w:val="auto"/>
          <w:highlight w:val="none"/>
        </w:rPr>
        <w:t>传真：</w:t>
      </w:r>
      <w:r>
        <w:rPr>
          <w:rFonts w:hint="eastAsia" w:ascii="仿宋" w:hAnsi="仿宋" w:eastAsia="仿宋" w:cs="仿宋"/>
          <w:color w:val="auto"/>
          <w:highlight w:val="none"/>
          <w:u w:val="single"/>
        </w:rPr>
        <w:t>　　　　　　　　　　　　　　　　　　　　　　　　　　　　</w:t>
      </w:r>
    </w:p>
    <w:p w14:paraId="6ACB4CEF">
      <w:pPr>
        <w:pStyle w:val="14"/>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14:paraId="15CDFA52">
      <w:pPr>
        <w:pStyle w:val="14"/>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w:t>
      </w:r>
    </w:p>
    <w:p w14:paraId="64D167CD">
      <w:pPr>
        <w:pStyle w:val="14"/>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14:paraId="56AC48B9">
      <w:pPr>
        <w:pStyle w:val="14"/>
        <w:spacing w:line="360" w:lineRule="auto"/>
        <w:ind w:firstLine="420"/>
        <w:rPr>
          <w:rFonts w:ascii="仿宋" w:hAnsi="仿宋" w:eastAsia="仿宋" w:cs="仿宋"/>
          <w:color w:val="auto"/>
          <w:highlight w:val="none"/>
          <w:u w:val="single"/>
        </w:rPr>
      </w:pPr>
      <w:r>
        <w:rPr>
          <w:rFonts w:hint="eastAsia" w:ascii="仿宋" w:hAnsi="仿宋" w:eastAsia="仿宋" w:cs="仿宋"/>
          <w:color w:val="auto"/>
          <w:highlight w:val="none"/>
        </w:rPr>
        <w:t>银行账号：</w:t>
      </w:r>
      <w:r>
        <w:rPr>
          <w:rFonts w:hint="eastAsia" w:ascii="仿宋" w:hAnsi="仿宋" w:eastAsia="仿宋" w:cs="仿宋"/>
          <w:color w:val="auto"/>
          <w:highlight w:val="none"/>
          <w:u w:val="single"/>
        </w:rPr>
        <w:t xml:space="preserve">                                                    </w:t>
      </w:r>
    </w:p>
    <w:p w14:paraId="2557D1FF">
      <w:pPr>
        <w:pStyle w:val="12"/>
        <w:tabs>
          <w:tab w:val="left" w:pos="939"/>
        </w:tabs>
        <w:spacing w:line="360" w:lineRule="auto"/>
        <w:ind w:left="141" w:leftChars="67" w:firstLine="315" w:firstLineChars="150"/>
        <w:rPr>
          <w:rFonts w:ascii="仿宋" w:hAnsi="仿宋" w:eastAsia="仿宋" w:cs="仿宋"/>
          <w:color w:val="auto"/>
          <w:szCs w:val="21"/>
          <w:highlight w:val="none"/>
        </w:rPr>
      </w:pPr>
      <w:r>
        <w:rPr>
          <w:rFonts w:hint="eastAsia" w:ascii="仿宋" w:hAnsi="仿宋" w:eastAsia="仿宋" w:cs="仿宋"/>
          <w:color w:val="auto"/>
          <w:szCs w:val="21"/>
          <w:highlight w:val="none"/>
        </w:rPr>
        <w:t>特此承诺。</w:t>
      </w:r>
    </w:p>
    <w:p w14:paraId="22C310E9">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7F7B733">
      <w:pPr>
        <w:spacing w:line="360" w:lineRule="auto"/>
        <w:ind w:firstLine="6000" w:firstLineChars="2500"/>
        <w:rPr>
          <w:rFonts w:ascii="仿宋" w:hAnsi="仿宋" w:eastAsia="仿宋" w:cs="仿宋"/>
          <w:color w:val="auto"/>
          <w:highlight w:val="none"/>
        </w:rPr>
      </w:pPr>
      <w:r>
        <w:rPr>
          <w:rFonts w:hint="eastAsia" w:ascii="仿宋" w:hAnsi="仿宋" w:eastAsia="仿宋" w:cs="仿宋"/>
          <w:color w:val="auto"/>
          <w:kern w:val="0"/>
          <w:sz w:val="24"/>
          <w:highlight w:val="none"/>
          <w:lang w:val="zh-CN"/>
        </w:rPr>
        <w:t>日期：  年  月   日</w:t>
      </w:r>
    </w:p>
    <w:p w14:paraId="72CDFBF3">
      <w:pPr>
        <w:pStyle w:val="14"/>
        <w:spacing w:line="360" w:lineRule="auto"/>
        <w:ind w:firstLine="420"/>
        <w:rPr>
          <w:rFonts w:ascii="仿宋" w:hAnsi="仿宋" w:eastAsia="仿宋" w:cs="仿宋"/>
          <w:color w:val="auto"/>
          <w:highlight w:val="none"/>
        </w:rPr>
      </w:pPr>
    </w:p>
    <w:p w14:paraId="53985008">
      <w:pPr>
        <w:spacing w:line="360" w:lineRule="auto"/>
        <w:ind w:firstLine="420" w:firstLineChars="200"/>
        <w:rPr>
          <w:rFonts w:ascii="仿宋" w:hAnsi="仿宋" w:eastAsia="仿宋" w:cs="仿宋"/>
          <w:color w:val="auto"/>
          <w:highlight w:val="none"/>
        </w:rPr>
        <w:sectPr>
          <w:pgSz w:w="11910" w:h="16840"/>
          <w:pgMar w:top="1340" w:right="1500" w:bottom="280" w:left="1680" w:header="720" w:footer="720" w:gutter="0"/>
          <w:cols w:space="720" w:num="1"/>
        </w:sectPr>
      </w:pPr>
    </w:p>
    <w:p w14:paraId="1CE2068A">
      <w:pPr>
        <w:pStyle w:val="14"/>
        <w:spacing w:line="360" w:lineRule="auto"/>
        <w:ind w:firstLine="602" w:firstLineChars="200"/>
        <w:rPr>
          <w:rFonts w:ascii="仿宋" w:hAnsi="仿宋" w:eastAsia="仿宋" w:cs="仿宋"/>
          <w:b/>
          <w:color w:val="auto"/>
          <w:kern w:val="2"/>
          <w:sz w:val="30"/>
          <w:szCs w:val="30"/>
          <w:highlight w:val="none"/>
        </w:rPr>
      </w:pPr>
      <w:r>
        <w:rPr>
          <w:rFonts w:hint="eastAsia" w:ascii="仿宋" w:hAnsi="仿宋" w:eastAsia="仿宋" w:cs="仿宋"/>
          <w:b/>
          <w:color w:val="auto"/>
          <w:kern w:val="2"/>
          <w:sz w:val="30"/>
          <w:szCs w:val="30"/>
          <w:highlight w:val="none"/>
        </w:rPr>
        <w:t xml:space="preserve">二、协商报价表 </w:t>
      </w:r>
    </w:p>
    <w:p w14:paraId="2D5D59E9">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壮锦大道国旗灯改造项目 </w:t>
      </w:r>
      <w:r>
        <w:rPr>
          <w:rFonts w:hint="eastAsia" w:ascii="仿宋" w:hAnsi="仿宋" w:eastAsia="仿宋" w:cs="仿宋"/>
          <w:color w:val="auto"/>
          <w:sz w:val="24"/>
          <w:highlight w:val="none"/>
        </w:rPr>
        <w:t xml:space="preserve">         </w:t>
      </w:r>
    </w:p>
    <w:p w14:paraId="4999DD38">
      <w:pPr>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NNZC2026-D2-990466-GTZB</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4C7EFF5">
      <w:pPr>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19"/>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810"/>
        <w:gridCol w:w="970"/>
        <w:gridCol w:w="2868"/>
        <w:gridCol w:w="1780"/>
        <w:gridCol w:w="666"/>
      </w:tblGrid>
      <w:tr w14:paraId="250B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61802EC2">
            <w:pPr>
              <w:spacing w:line="360" w:lineRule="auto"/>
              <w:jc w:val="center"/>
              <w:rPr>
                <w:rFonts w:ascii="仿宋" w:hAnsi="仿宋" w:eastAsia="仿宋" w:cs="仿宋"/>
                <w:color w:val="auto"/>
                <w:szCs w:val="22"/>
                <w:highlight w:val="none"/>
              </w:rPr>
            </w:pPr>
            <w:r>
              <w:rPr>
                <w:rFonts w:hint="eastAsia" w:ascii="仿宋" w:hAnsi="仿宋" w:eastAsia="仿宋" w:cs="仿宋"/>
                <w:color w:val="auto"/>
                <w:szCs w:val="22"/>
                <w:highlight w:val="none"/>
              </w:rPr>
              <w:t>序号</w:t>
            </w:r>
          </w:p>
        </w:tc>
        <w:tc>
          <w:tcPr>
            <w:tcW w:w="2810" w:type="dxa"/>
            <w:tcBorders>
              <w:top w:val="single" w:color="auto" w:sz="4" w:space="0"/>
              <w:left w:val="single" w:color="auto" w:sz="4" w:space="0"/>
              <w:bottom w:val="single" w:color="auto" w:sz="4" w:space="0"/>
              <w:right w:val="single" w:color="auto" w:sz="4" w:space="0"/>
            </w:tcBorders>
            <w:noWrap/>
            <w:vAlign w:val="center"/>
          </w:tcPr>
          <w:p w14:paraId="0902B8E6">
            <w:pPr>
              <w:spacing w:line="360" w:lineRule="auto"/>
              <w:jc w:val="center"/>
              <w:rPr>
                <w:rFonts w:ascii="仿宋" w:hAnsi="仿宋" w:eastAsia="仿宋" w:cs="仿宋"/>
                <w:color w:val="auto"/>
                <w:szCs w:val="22"/>
                <w:highlight w:val="none"/>
              </w:rPr>
            </w:pPr>
            <w:r>
              <w:rPr>
                <w:rFonts w:hint="eastAsia" w:ascii="仿宋" w:hAnsi="仿宋" w:eastAsia="仿宋" w:cs="仿宋"/>
                <w:color w:val="auto"/>
                <w:szCs w:val="22"/>
                <w:highlight w:val="none"/>
              </w:rPr>
              <w:t>标的的名称</w:t>
            </w:r>
          </w:p>
        </w:tc>
        <w:tc>
          <w:tcPr>
            <w:tcW w:w="970" w:type="dxa"/>
            <w:tcBorders>
              <w:top w:val="single" w:color="auto" w:sz="4" w:space="0"/>
              <w:left w:val="single" w:color="auto" w:sz="4" w:space="0"/>
              <w:bottom w:val="single" w:color="auto" w:sz="4" w:space="0"/>
              <w:right w:val="single" w:color="auto" w:sz="4" w:space="0"/>
            </w:tcBorders>
            <w:noWrap/>
            <w:vAlign w:val="center"/>
          </w:tcPr>
          <w:p w14:paraId="62443D39">
            <w:pPr>
              <w:spacing w:line="360" w:lineRule="auto"/>
              <w:jc w:val="center"/>
              <w:rPr>
                <w:rFonts w:ascii="仿宋" w:hAnsi="仿宋" w:eastAsia="仿宋" w:cs="仿宋"/>
                <w:color w:val="auto"/>
                <w:szCs w:val="22"/>
                <w:highlight w:val="none"/>
              </w:rPr>
            </w:pPr>
            <w:r>
              <w:rPr>
                <w:rFonts w:hint="eastAsia" w:ascii="仿宋" w:hAnsi="仿宋" w:eastAsia="仿宋" w:cs="仿宋"/>
                <w:color w:val="auto"/>
                <w:szCs w:val="22"/>
                <w:highlight w:val="none"/>
              </w:rPr>
              <w:t>数量</w:t>
            </w:r>
          </w:p>
        </w:tc>
        <w:tc>
          <w:tcPr>
            <w:tcW w:w="2868" w:type="dxa"/>
            <w:tcBorders>
              <w:top w:val="single" w:color="auto" w:sz="4" w:space="0"/>
              <w:left w:val="single" w:color="auto" w:sz="4" w:space="0"/>
              <w:bottom w:val="single" w:color="auto" w:sz="4" w:space="0"/>
              <w:right w:val="single" w:color="auto" w:sz="4" w:space="0"/>
            </w:tcBorders>
            <w:noWrap/>
            <w:vAlign w:val="center"/>
          </w:tcPr>
          <w:p w14:paraId="6AE78C6F">
            <w:pPr>
              <w:spacing w:line="360" w:lineRule="auto"/>
              <w:jc w:val="center"/>
              <w:rPr>
                <w:rFonts w:ascii="仿宋" w:hAnsi="仿宋" w:eastAsia="仿宋" w:cs="仿宋"/>
                <w:color w:val="auto"/>
                <w:szCs w:val="22"/>
                <w:highlight w:val="none"/>
              </w:rPr>
            </w:pPr>
            <w:r>
              <w:rPr>
                <w:rFonts w:hint="eastAsia" w:ascii="仿宋" w:hAnsi="仿宋" w:eastAsia="仿宋" w:cs="仿宋"/>
                <w:color w:val="auto"/>
                <w:szCs w:val="22"/>
                <w:highlight w:val="none"/>
              </w:rPr>
              <w:t>下浮系数（%）</w:t>
            </w:r>
          </w:p>
        </w:tc>
        <w:tc>
          <w:tcPr>
            <w:tcW w:w="1780" w:type="dxa"/>
            <w:tcBorders>
              <w:top w:val="single" w:color="auto" w:sz="4" w:space="0"/>
              <w:left w:val="single" w:color="auto" w:sz="4" w:space="0"/>
              <w:bottom w:val="single" w:color="auto" w:sz="4" w:space="0"/>
              <w:right w:val="single" w:color="auto" w:sz="4" w:space="0"/>
            </w:tcBorders>
            <w:noWrap/>
            <w:vAlign w:val="center"/>
          </w:tcPr>
          <w:p w14:paraId="1939EB0D">
            <w:pPr>
              <w:spacing w:line="360" w:lineRule="auto"/>
              <w:jc w:val="center"/>
              <w:rPr>
                <w:rFonts w:ascii="仿宋" w:hAnsi="仿宋" w:eastAsia="仿宋" w:cs="仿宋"/>
                <w:color w:val="auto"/>
                <w:szCs w:val="22"/>
                <w:highlight w:val="none"/>
              </w:rPr>
            </w:pPr>
            <w:r>
              <w:rPr>
                <w:rFonts w:hint="eastAsia" w:ascii="仿宋" w:hAnsi="仿宋" w:eastAsia="仿宋" w:cs="仿宋"/>
                <w:bCs/>
                <w:color w:val="auto"/>
                <w:highlight w:val="none"/>
              </w:rPr>
              <w:t>工期</w:t>
            </w:r>
          </w:p>
        </w:tc>
        <w:tc>
          <w:tcPr>
            <w:tcW w:w="666" w:type="dxa"/>
            <w:tcBorders>
              <w:top w:val="single" w:color="auto" w:sz="4" w:space="0"/>
              <w:left w:val="single" w:color="auto" w:sz="4" w:space="0"/>
              <w:bottom w:val="single" w:color="auto" w:sz="4" w:space="0"/>
              <w:right w:val="single" w:color="auto" w:sz="4" w:space="0"/>
            </w:tcBorders>
            <w:noWrap/>
            <w:vAlign w:val="center"/>
          </w:tcPr>
          <w:p w14:paraId="79D44567">
            <w:pPr>
              <w:spacing w:line="360" w:lineRule="auto"/>
              <w:jc w:val="center"/>
              <w:rPr>
                <w:rFonts w:ascii="仿宋" w:hAnsi="仿宋" w:eastAsia="仿宋" w:cs="仿宋"/>
                <w:color w:val="auto"/>
                <w:szCs w:val="22"/>
                <w:highlight w:val="none"/>
              </w:rPr>
            </w:pPr>
            <w:r>
              <w:rPr>
                <w:rFonts w:hint="eastAsia" w:ascii="仿宋" w:hAnsi="仿宋" w:eastAsia="仿宋" w:cs="仿宋"/>
                <w:color w:val="auto"/>
                <w:szCs w:val="22"/>
                <w:highlight w:val="none"/>
              </w:rPr>
              <w:t>备注</w:t>
            </w:r>
          </w:p>
        </w:tc>
      </w:tr>
      <w:tr w14:paraId="4323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ign w:val="center"/>
          </w:tcPr>
          <w:p w14:paraId="708D2896">
            <w:pPr>
              <w:spacing w:line="360" w:lineRule="auto"/>
              <w:jc w:val="center"/>
              <w:rPr>
                <w:rFonts w:ascii="仿宋" w:hAnsi="仿宋" w:eastAsia="仿宋" w:cs="仿宋"/>
                <w:color w:val="auto"/>
                <w:szCs w:val="22"/>
                <w:highlight w:val="none"/>
              </w:rPr>
            </w:pPr>
            <w:r>
              <w:rPr>
                <w:rFonts w:hint="eastAsia" w:ascii="仿宋" w:hAnsi="仿宋" w:eastAsia="仿宋" w:cs="仿宋"/>
                <w:color w:val="auto"/>
                <w:szCs w:val="22"/>
                <w:highlight w:val="none"/>
              </w:rPr>
              <w:t>1</w:t>
            </w:r>
          </w:p>
        </w:tc>
        <w:tc>
          <w:tcPr>
            <w:tcW w:w="2810" w:type="dxa"/>
            <w:tcBorders>
              <w:top w:val="single" w:color="auto" w:sz="4" w:space="0"/>
              <w:left w:val="single" w:color="auto" w:sz="4" w:space="0"/>
              <w:bottom w:val="single" w:color="auto" w:sz="4" w:space="0"/>
              <w:right w:val="single" w:color="auto" w:sz="4" w:space="0"/>
            </w:tcBorders>
            <w:noWrap/>
            <w:vAlign w:val="center"/>
          </w:tcPr>
          <w:p w14:paraId="78885E40">
            <w:pPr>
              <w:spacing w:line="360" w:lineRule="auto"/>
              <w:jc w:val="center"/>
              <w:rPr>
                <w:rFonts w:ascii="仿宋" w:hAnsi="仿宋" w:eastAsia="仿宋" w:cs="仿宋"/>
                <w:color w:val="auto"/>
                <w:szCs w:val="22"/>
                <w:highlight w:val="none"/>
              </w:rPr>
            </w:pPr>
            <w:r>
              <w:rPr>
                <w:rFonts w:hint="eastAsia" w:ascii="仿宋" w:hAnsi="仿宋" w:eastAsia="仿宋" w:cs="仿宋"/>
                <w:color w:val="auto"/>
                <w:szCs w:val="22"/>
                <w:highlight w:val="none"/>
              </w:rPr>
              <w:t>壮锦大道国旗灯改造项目</w:t>
            </w:r>
          </w:p>
        </w:tc>
        <w:tc>
          <w:tcPr>
            <w:tcW w:w="970" w:type="dxa"/>
            <w:tcBorders>
              <w:top w:val="single" w:color="auto" w:sz="4" w:space="0"/>
              <w:left w:val="single" w:color="auto" w:sz="4" w:space="0"/>
              <w:bottom w:val="single" w:color="auto" w:sz="4" w:space="0"/>
              <w:right w:val="single" w:color="auto" w:sz="4" w:space="0"/>
            </w:tcBorders>
            <w:noWrap/>
            <w:vAlign w:val="center"/>
          </w:tcPr>
          <w:p w14:paraId="79528361">
            <w:pPr>
              <w:spacing w:line="360" w:lineRule="auto"/>
              <w:jc w:val="center"/>
              <w:rPr>
                <w:rFonts w:ascii="仿宋" w:hAnsi="仿宋" w:eastAsia="仿宋" w:cs="仿宋"/>
                <w:color w:val="auto"/>
                <w:szCs w:val="22"/>
                <w:highlight w:val="none"/>
              </w:rPr>
            </w:pPr>
            <w:r>
              <w:rPr>
                <w:rFonts w:hint="eastAsia" w:ascii="仿宋" w:hAnsi="仿宋" w:eastAsia="仿宋" w:cs="仿宋"/>
                <w:color w:val="auto"/>
                <w:szCs w:val="22"/>
                <w:highlight w:val="none"/>
              </w:rPr>
              <w:t>1项</w:t>
            </w:r>
          </w:p>
        </w:tc>
        <w:tc>
          <w:tcPr>
            <w:tcW w:w="2868" w:type="dxa"/>
            <w:tcBorders>
              <w:top w:val="single" w:color="auto" w:sz="4" w:space="0"/>
              <w:left w:val="single" w:color="auto" w:sz="4" w:space="0"/>
              <w:bottom w:val="single" w:color="auto" w:sz="4" w:space="0"/>
              <w:right w:val="single" w:color="auto" w:sz="4" w:space="0"/>
            </w:tcBorders>
            <w:noWrap/>
            <w:vAlign w:val="center"/>
          </w:tcPr>
          <w:p w14:paraId="71E20002">
            <w:pPr>
              <w:spacing w:line="360" w:lineRule="auto"/>
              <w:jc w:val="center"/>
              <w:rPr>
                <w:rFonts w:ascii="仿宋" w:hAnsi="仿宋" w:eastAsia="仿宋" w:cs="仿宋"/>
                <w:color w:val="auto"/>
                <w:szCs w:val="22"/>
                <w:highlight w:val="none"/>
              </w:rPr>
            </w:pPr>
          </w:p>
        </w:tc>
        <w:tc>
          <w:tcPr>
            <w:tcW w:w="1780" w:type="dxa"/>
            <w:tcBorders>
              <w:top w:val="single" w:color="auto" w:sz="4" w:space="0"/>
              <w:left w:val="single" w:color="auto" w:sz="4" w:space="0"/>
              <w:bottom w:val="single" w:color="auto" w:sz="4" w:space="0"/>
              <w:right w:val="single" w:color="auto" w:sz="4" w:space="0"/>
            </w:tcBorders>
            <w:noWrap/>
            <w:vAlign w:val="center"/>
          </w:tcPr>
          <w:p w14:paraId="137CCC35">
            <w:pPr>
              <w:spacing w:line="360" w:lineRule="auto"/>
              <w:jc w:val="center"/>
              <w:rPr>
                <w:rFonts w:ascii="仿宋" w:hAnsi="仿宋" w:eastAsia="仿宋" w:cs="仿宋"/>
                <w:color w:val="auto"/>
                <w:szCs w:val="22"/>
                <w:highlight w:val="none"/>
              </w:rPr>
            </w:pPr>
            <w:r>
              <w:rPr>
                <w:rFonts w:hint="eastAsia" w:ascii="仿宋" w:hAnsi="仿宋" w:eastAsia="仿宋" w:cs="仿宋"/>
                <w:color w:val="auto"/>
                <w:szCs w:val="22"/>
                <w:highlight w:val="none"/>
              </w:rPr>
              <w:t>2026年8月30日前交付使用。</w:t>
            </w:r>
          </w:p>
        </w:tc>
        <w:tc>
          <w:tcPr>
            <w:tcW w:w="666" w:type="dxa"/>
            <w:tcBorders>
              <w:top w:val="single" w:color="auto" w:sz="4" w:space="0"/>
              <w:left w:val="single" w:color="auto" w:sz="4" w:space="0"/>
              <w:bottom w:val="single" w:color="auto" w:sz="4" w:space="0"/>
              <w:right w:val="single" w:color="auto" w:sz="4" w:space="0"/>
            </w:tcBorders>
            <w:noWrap/>
            <w:vAlign w:val="center"/>
          </w:tcPr>
          <w:p w14:paraId="32895368">
            <w:pPr>
              <w:spacing w:line="360" w:lineRule="auto"/>
              <w:jc w:val="center"/>
              <w:rPr>
                <w:rFonts w:ascii="仿宋" w:hAnsi="仿宋" w:eastAsia="仿宋" w:cs="仿宋"/>
                <w:color w:val="auto"/>
                <w:szCs w:val="22"/>
                <w:highlight w:val="none"/>
              </w:rPr>
            </w:pPr>
          </w:p>
        </w:tc>
      </w:tr>
      <w:tr w14:paraId="3B40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ign w:val="center"/>
          </w:tcPr>
          <w:p w14:paraId="741E1EF0">
            <w:pPr>
              <w:spacing w:line="360" w:lineRule="auto"/>
              <w:jc w:val="left"/>
              <w:rPr>
                <w:rFonts w:ascii="仿宋" w:hAnsi="仿宋" w:eastAsia="仿宋" w:cs="仿宋"/>
                <w:color w:val="auto"/>
                <w:szCs w:val="22"/>
                <w:highlight w:val="none"/>
              </w:rPr>
            </w:pPr>
            <w:r>
              <w:rPr>
                <w:rFonts w:hint="eastAsia" w:ascii="仿宋" w:hAnsi="仿宋" w:eastAsia="仿宋" w:cs="仿宋"/>
                <w:color w:val="auto"/>
                <w:szCs w:val="21"/>
                <w:highlight w:val="none"/>
              </w:rPr>
              <w:t>分标（此处有分标时填写具体分标号，无分标时填写“无”）</w:t>
            </w:r>
          </w:p>
        </w:tc>
      </w:tr>
      <w:tr w14:paraId="78A2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6"/>
            <w:tcBorders>
              <w:top w:val="single" w:color="auto" w:sz="4" w:space="0"/>
              <w:left w:val="single" w:color="auto" w:sz="4" w:space="0"/>
              <w:bottom w:val="single" w:color="auto" w:sz="4" w:space="0"/>
              <w:right w:val="single" w:color="auto" w:sz="4" w:space="0"/>
            </w:tcBorders>
            <w:noWrap/>
            <w:vAlign w:val="center"/>
          </w:tcPr>
          <w:p w14:paraId="7AAAF212">
            <w:pPr>
              <w:spacing w:line="360" w:lineRule="auto"/>
              <w:jc w:val="left"/>
              <w:rPr>
                <w:rFonts w:ascii="仿宋" w:hAnsi="仿宋" w:eastAsia="仿宋" w:cs="仿宋"/>
                <w:color w:val="auto"/>
                <w:szCs w:val="22"/>
                <w:highlight w:val="none"/>
              </w:rPr>
            </w:pPr>
            <w:r>
              <w:rPr>
                <w:rFonts w:hint="eastAsia" w:ascii="仿宋" w:hAnsi="仿宋" w:eastAsia="仿宋" w:cs="仿宋"/>
                <w:color w:val="auto"/>
                <w:szCs w:val="22"/>
                <w:highlight w:val="none"/>
              </w:rPr>
              <w:t>验收标准：</w:t>
            </w:r>
          </w:p>
        </w:tc>
      </w:tr>
    </w:tbl>
    <w:p w14:paraId="2AD977D2">
      <w:pPr>
        <w:snapToGrid w:val="0"/>
        <w:spacing w:line="360" w:lineRule="auto"/>
        <w:ind w:firstLine="480" w:firstLineChars="200"/>
        <w:jc w:val="left"/>
        <w:rPr>
          <w:rFonts w:ascii="仿宋" w:hAnsi="仿宋" w:eastAsia="仿宋" w:cs="仿宋"/>
          <w:color w:val="auto"/>
          <w:kern w:val="0"/>
          <w:sz w:val="24"/>
          <w:highlight w:val="none"/>
          <w:lang w:val="zh-CN"/>
        </w:rPr>
      </w:pPr>
    </w:p>
    <w:p w14:paraId="2A27BE52">
      <w:pPr>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注： </w:t>
      </w:r>
    </w:p>
    <w:p w14:paraId="5584489D">
      <w:pPr>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1、供应商需按本表格式填写，不得自行更改，也不得留空， 如有多分标，按分标分别提供协商报价表</w:t>
      </w:r>
      <w:r>
        <w:rPr>
          <w:rFonts w:hint="eastAsia" w:ascii="仿宋" w:hAnsi="仿宋" w:eastAsia="仿宋" w:cs="仿宋"/>
          <w:b/>
          <w:color w:val="auto"/>
          <w:kern w:val="0"/>
          <w:sz w:val="24"/>
          <w:highlight w:val="none"/>
          <w:lang w:val="zh-CN"/>
        </w:rPr>
        <w:t>。</w:t>
      </w:r>
    </w:p>
    <w:p w14:paraId="0FDFB908">
      <w:pPr>
        <w:snapToGrid w:val="0"/>
        <w:spacing w:line="360" w:lineRule="auto"/>
        <w:ind w:firstLine="480" w:firstLineChars="200"/>
        <w:jc w:val="left"/>
        <w:rPr>
          <w:rFonts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2、如为联合体响应的，“供应商名称”处必须列明联合体各方名称，并标注联合体牵头人名称，且盖章处须加盖联合体各方公章，</w:t>
      </w:r>
      <w:r>
        <w:rPr>
          <w:rFonts w:hint="eastAsia" w:ascii="仿宋" w:hAnsi="仿宋" w:eastAsia="仿宋" w:cs="仿宋"/>
          <w:b/>
          <w:color w:val="auto"/>
          <w:kern w:val="0"/>
          <w:sz w:val="24"/>
          <w:highlight w:val="none"/>
          <w:lang w:val="zh-CN"/>
        </w:rPr>
        <w:t>否则其响应作无效响应处理。</w:t>
      </w:r>
    </w:p>
    <w:p w14:paraId="1C7C7884">
      <w:pPr>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highlight w:val="none"/>
        </w:rPr>
        <w:t>3</w:t>
      </w:r>
      <w:r>
        <w:rPr>
          <w:rFonts w:hint="eastAsia" w:ascii="仿宋" w:hAnsi="仿宋" w:eastAsia="仿宋" w:cs="仿宋"/>
          <w:color w:val="auto"/>
          <w:kern w:val="0"/>
          <w:sz w:val="24"/>
          <w:highlight w:val="none"/>
          <w:lang w:val="zh-CN"/>
        </w:rPr>
        <w:t>、特别提示：采购</w:t>
      </w:r>
      <w:r>
        <w:rPr>
          <w:rFonts w:hint="eastAsia" w:ascii="仿宋" w:hAnsi="仿宋" w:eastAsia="仿宋" w:cs="仿宋"/>
          <w:color w:val="auto"/>
          <w:kern w:val="0"/>
          <w:sz w:val="24"/>
          <w:highlight w:val="none"/>
        </w:rPr>
        <w:t>代理</w:t>
      </w:r>
      <w:r>
        <w:rPr>
          <w:rFonts w:hint="eastAsia" w:ascii="仿宋" w:hAnsi="仿宋" w:eastAsia="仿宋" w:cs="仿宋"/>
          <w:color w:val="auto"/>
          <w:kern w:val="0"/>
          <w:sz w:val="24"/>
          <w:highlight w:val="none"/>
          <w:lang w:val="zh-CN"/>
        </w:rPr>
        <w:t>机构将对项目名称和项目编号，成交供应商名称、地址和成交金额，主要成交标的的名称、数量、单价、服务要求等予以公示。</w:t>
      </w:r>
    </w:p>
    <w:p w14:paraId="0DE34CAB">
      <w:pPr>
        <w:snapToGrid w:val="0"/>
        <w:spacing w:line="360" w:lineRule="auto"/>
        <w:ind w:firstLine="480" w:firstLineChars="200"/>
        <w:jc w:val="left"/>
        <w:rPr>
          <w:rFonts w:ascii="仿宋" w:hAnsi="仿宋" w:eastAsia="仿宋" w:cs="仿宋"/>
          <w:color w:val="auto"/>
          <w:kern w:val="0"/>
          <w:sz w:val="24"/>
          <w:highlight w:val="none"/>
          <w:lang w:val="zh-CN"/>
        </w:rPr>
      </w:pPr>
      <w:r>
        <w:rPr>
          <w:rFonts w:hint="eastAsia" w:ascii="仿宋" w:hAnsi="仿宋" w:eastAsia="仿宋" w:cs="仿宋"/>
          <w:color w:val="auto"/>
          <w:kern w:val="0"/>
          <w:sz w:val="24"/>
          <w:szCs w:val="22"/>
          <w:highlight w:val="none"/>
        </w:rPr>
        <w:t>4</w:t>
      </w:r>
      <w:r>
        <w:rPr>
          <w:rFonts w:hint="eastAsia" w:ascii="仿宋" w:hAnsi="仿宋" w:eastAsia="仿宋" w:cs="仿宋"/>
          <w:color w:val="auto"/>
          <w:kern w:val="0"/>
          <w:sz w:val="24"/>
          <w:szCs w:val="22"/>
          <w:highlight w:val="none"/>
          <w:lang w:val="zh-CN"/>
        </w:rPr>
        <w:t>、</w:t>
      </w:r>
      <w:r>
        <w:rPr>
          <w:rFonts w:hint="eastAsia" w:ascii="仿宋" w:hAnsi="仿宋" w:eastAsia="仿宋" w:cs="仿宋"/>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0EFCDCA">
      <w:pPr>
        <w:autoSpaceDE w:val="0"/>
        <w:autoSpaceDN w:val="0"/>
        <w:spacing w:line="360" w:lineRule="auto"/>
        <w:ind w:left="4335" w:leftChars="1950" w:hanging="240" w:hangingChars="1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44C1B676">
      <w:pPr>
        <w:autoSpaceDE w:val="0"/>
        <w:autoSpaceDN w:val="0"/>
        <w:spacing w:line="360" w:lineRule="auto"/>
        <w:ind w:firstLine="6480" w:firstLineChars="2700"/>
        <w:rPr>
          <w:rFonts w:ascii="仿宋" w:hAnsi="仿宋" w:eastAsia="仿宋" w:cs="仿宋"/>
          <w:color w:val="auto"/>
          <w:kern w:val="0"/>
          <w:sz w:val="24"/>
          <w:highlight w:val="none"/>
          <w:lang w:val="zh-CN"/>
        </w:rPr>
        <w:sectPr>
          <w:pgSz w:w="11906" w:h="16838"/>
          <w:pgMar w:top="1134" w:right="1134" w:bottom="1134" w:left="1134" w:header="720" w:footer="720" w:gutter="0"/>
          <w:cols w:space="720" w:num="1"/>
          <w:docGrid w:type="lines" w:linePitch="331" w:charSpace="0"/>
        </w:sectPr>
      </w:pPr>
      <w:r>
        <w:rPr>
          <w:rFonts w:hint="eastAsia" w:ascii="仿宋" w:hAnsi="仿宋" w:eastAsia="仿宋" w:cs="仿宋"/>
          <w:color w:val="auto"/>
          <w:kern w:val="0"/>
          <w:sz w:val="24"/>
          <w:highlight w:val="none"/>
          <w:lang w:val="zh-CN"/>
        </w:rPr>
        <w:t>日期：  年  月   日</w:t>
      </w:r>
    </w:p>
    <w:p w14:paraId="7383AE29">
      <w:pPr>
        <w:spacing w:line="360" w:lineRule="auto"/>
        <w:jc w:val="center"/>
        <w:rPr>
          <w:rFonts w:ascii="仿宋" w:hAnsi="仿宋" w:eastAsia="仿宋" w:cs="仿宋"/>
          <w:color w:val="auto"/>
          <w:sz w:val="24"/>
          <w:highlight w:val="none"/>
        </w:rPr>
      </w:pPr>
    </w:p>
    <w:p w14:paraId="769D07D2">
      <w:pPr>
        <w:spacing w:line="360" w:lineRule="auto"/>
        <w:jc w:val="center"/>
        <w:rPr>
          <w:rFonts w:ascii="仿宋" w:hAnsi="仿宋" w:eastAsia="仿宋" w:cs="仿宋"/>
          <w:color w:val="auto"/>
          <w:sz w:val="24"/>
          <w:highlight w:val="none"/>
        </w:rPr>
      </w:pPr>
    </w:p>
    <w:p w14:paraId="6738D86B">
      <w:pPr>
        <w:spacing w:line="360" w:lineRule="auto"/>
        <w:jc w:val="center"/>
        <w:rPr>
          <w:rFonts w:ascii="仿宋" w:hAnsi="仿宋" w:eastAsia="仿宋" w:cs="仿宋"/>
          <w:color w:val="auto"/>
          <w:sz w:val="24"/>
          <w:highlight w:val="none"/>
        </w:rPr>
      </w:pPr>
    </w:p>
    <w:p w14:paraId="1FFEE46A">
      <w:pPr>
        <w:spacing w:line="360" w:lineRule="auto"/>
        <w:jc w:val="center"/>
        <w:rPr>
          <w:rFonts w:ascii="仿宋" w:hAnsi="仿宋" w:eastAsia="仿宋" w:cs="仿宋"/>
          <w:color w:val="auto"/>
          <w:sz w:val="24"/>
          <w:highlight w:val="none"/>
        </w:rPr>
      </w:pPr>
    </w:p>
    <w:p w14:paraId="54F96615">
      <w:pPr>
        <w:spacing w:line="360" w:lineRule="auto"/>
        <w:jc w:val="center"/>
        <w:rPr>
          <w:rFonts w:ascii="仿宋" w:hAnsi="仿宋" w:eastAsia="仿宋" w:cs="仿宋"/>
          <w:b/>
          <w:bCs/>
          <w:color w:val="auto"/>
          <w:sz w:val="44"/>
          <w:szCs w:val="44"/>
          <w:highlight w:val="none"/>
        </w:rPr>
      </w:pPr>
    </w:p>
    <w:p w14:paraId="63944DC9">
      <w:pPr>
        <w:spacing w:line="360" w:lineRule="auto"/>
        <w:jc w:val="center"/>
        <w:rPr>
          <w:rFonts w:ascii="仿宋" w:hAnsi="仿宋" w:eastAsia="仿宋" w:cs="仿宋"/>
          <w:b/>
          <w:bCs/>
          <w:color w:val="auto"/>
          <w:sz w:val="44"/>
          <w:szCs w:val="44"/>
          <w:highlight w:val="none"/>
        </w:rPr>
      </w:pPr>
    </w:p>
    <w:p w14:paraId="065B1496">
      <w:pPr>
        <w:spacing w:line="360" w:lineRule="auto"/>
        <w:jc w:val="center"/>
        <w:rPr>
          <w:rFonts w:ascii="仿宋" w:hAnsi="仿宋" w:eastAsia="仿宋" w:cs="仿宋"/>
          <w:b/>
          <w:bCs/>
          <w:color w:val="auto"/>
          <w:sz w:val="44"/>
          <w:szCs w:val="44"/>
          <w:highlight w:val="none"/>
        </w:rPr>
      </w:pPr>
    </w:p>
    <w:p w14:paraId="377FC958">
      <w:pPr>
        <w:spacing w:line="360" w:lineRule="auto"/>
        <w:jc w:val="center"/>
        <w:rPr>
          <w:rFonts w:ascii="仿宋" w:hAnsi="仿宋" w:eastAsia="仿宋" w:cs="仿宋"/>
          <w:b/>
          <w:bCs/>
          <w:color w:val="auto"/>
          <w:sz w:val="44"/>
          <w:szCs w:val="44"/>
          <w:highlight w:val="none"/>
        </w:rPr>
      </w:pPr>
    </w:p>
    <w:p w14:paraId="24D2952B">
      <w:pPr>
        <w:spacing w:line="360" w:lineRule="auto"/>
        <w:jc w:val="center"/>
        <w:rPr>
          <w:rFonts w:ascii="仿宋" w:hAnsi="仿宋" w:eastAsia="仿宋" w:cs="仿宋"/>
          <w:b/>
          <w:bCs/>
          <w:color w:val="auto"/>
          <w:sz w:val="44"/>
          <w:szCs w:val="44"/>
          <w:highlight w:val="none"/>
        </w:rPr>
      </w:pPr>
    </w:p>
    <w:p w14:paraId="60E12F14">
      <w:pPr>
        <w:spacing w:line="360" w:lineRule="auto"/>
        <w:jc w:val="center"/>
        <w:rPr>
          <w:rFonts w:ascii="仿宋" w:hAnsi="仿宋" w:eastAsia="仿宋" w:cs="仿宋"/>
          <w:b/>
          <w:bCs/>
          <w:color w:val="auto"/>
          <w:sz w:val="44"/>
          <w:szCs w:val="44"/>
          <w:highlight w:val="none"/>
        </w:rPr>
      </w:pPr>
    </w:p>
    <w:p w14:paraId="78102B15">
      <w:pPr>
        <w:pStyle w:val="2"/>
        <w:spacing w:before="0" w:after="0" w:line="360" w:lineRule="auto"/>
        <w:jc w:val="center"/>
        <w:rPr>
          <w:rFonts w:ascii="仿宋" w:hAnsi="仿宋" w:eastAsia="仿宋" w:cs="仿宋"/>
          <w:color w:val="auto"/>
          <w:sz w:val="24"/>
          <w:highlight w:val="none"/>
          <w:u w:val="single"/>
        </w:rPr>
      </w:pPr>
      <w:bookmarkStart w:id="111" w:name="_Toc1428"/>
      <w:bookmarkStart w:id="112" w:name="_Toc19205"/>
      <w:bookmarkStart w:id="113" w:name="_Toc19073"/>
      <w:r>
        <w:rPr>
          <w:rFonts w:hint="eastAsia" w:ascii="仿宋" w:hAnsi="仿宋" w:eastAsia="仿宋" w:cs="仿宋"/>
          <w:b w:val="0"/>
          <w:bCs w:val="0"/>
          <w:color w:val="auto"/>
          <w:highlight w:val="none"/>
        </w:rPr>
        <w:t>第六章 合同文本</w:t>
      </w:r>
      <w:r>
        <w:rPr>
          <w:rFonts w:hint="eastAsia" w:ascii="仿宋" w:hAnsi="仿宋" w:eastAsia="仿宋" w:cs="仿宋"/>
          <w:b w:val="0"/>
          <w:bCs w:val="0"/>
          <w:color w:val="auto"/>
          <w:highlight w:val="none"/>
        </w:rPr>
        <w:br w:type="page"/>
      </w:r>
      <w:bookmarkEnd w:id="111"/>
      <w:bookmarkEnd w:id="112"/>
      <w:bookmarkEnd w:id="113"/>
    </w:p>
    <w:p w14:paraId="7226027E">
      <w:pPr>
        <w:spacing w:line="360" w:lineRule="auto"/>
        <w:rPr>
          <w:rFonts w:ascii="仿宋" w:hAnsi="仿宋" w:eastAsia="仿宋" w:cs="仿宋"/>
          <w:b/>
          <w:bCs/>
          <w:color w:val="auto"/>
          <w:highlight w:val="none"/>
        </w:rPr>
      </w:pPr>
      <w:r>
        <w:rPr>
          <w:rFonts w:hint="eastAsia" w:ascii="仿宋" w:hAnsi="仿宋" w:eastAsia="仿宋" w:cs="仿宋"/>
          <w:color w:val="auto"/>
          <w:sz w:val="24"/>
          <w:highlight w:val="none"/>
        </w:rPr>
        <w:t>广西政府采购云平台合同编号：</w:t>
      </w:r>
    </w:p>
    <w:p w14:paraId="4E19471B">
      <w:pPr>
        <w:jc w:val="lef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（GF—2017—0201）</w:t>
      </w:r>
    </w:p>
    <w:p w14:paraId="7FE88851">
      <w:pPr>
        <w:jc w:val="center"/>
        <w:rPr>
          <w:rFonts w:ascii="仿宋" w:hAnsi="仿宋" w:eastAsia="仿宋" w:cs="仿宋"/>
          <w:b/>
          <w:color w:val="auto"/>
          <w:sz w:val="52"/>
          <w:szCs w:val="52"/>
          <w:highlight w:val="none"/>
        </w:rPr>
      </w:pPr>
    </w:p>
    <w:p w14:paraId="03DA0CAB">
      <w:pPr>
        <w:jc w:val="center"/>
        <w:rPr>
          <w:rFonts w:ascii="仿宋" w:hAnsi="仿宋" w:eastAsia="仿宋" w:cs="仿宋"/>
          <w:b/>
          <w:color w:val="auto"/>
          <w:sz w:val="52"/>
          <w:szCs w:val="52"/>
          <w:highlight w:val="none"/>
        </w:rPr>
      </w:pPr>
    </w:p>
    <w:p w14:paraId="57322C2E">
      <w:pPr>
        <w:jc w:val="center"/>
        <w:rPr>
          <w:rFonts w:ascii="仿宋" w:hAnsi="仿宋" w:eastAsia="仿宋" w:cs="仿宋"/>
          <w:b/>
          <w:color w:val="auto"/>
          <w:sz w:val="52"/>
          <w:szCs w:val="52"/>
          <w:highlight w:val="none"/>
        </w:rPr>
      </w:pPr>
    </w:p>
    <w:p w14:paraId="5B879CEB">
      <w:pPr>
        <w:jc w:val="center"/>
        <w:rPr>
          <w:rFonts w:ascii="仿宋" w:hAnsi="仿宋" w:eastAsia="仿宋" w:cs="仿宋"/>
          <w:b/>
          <w:color w:val="auto"/>
          <w:sz w:val="52"/>
          <w:szCs w:val="52"/>
          <w:highlight w:val="none"/>
        </w:rPr>
      </w:pPr>
    </w:p>
    <w:p w14:paraId="63FC03B7">
      <w:pPr>
        <w:jc w:val="center"/>
        <w:rPr>
          <w:rFonts w:ascii="仿宋" w:hAnsi="仿宋" w:eastAsia="仿宋" w:cs="仿宋"/>
          <w:b/>
          <w:color w:val="auto"/>
          <w:sz w:val="72"/>
          <w:szCs w:val="52"/>
          <w:highlight w:val="none"/>
        </w:rPr>
      </w:pPr>
      <w:r>
        <w:rPr>
          <w:rFonts w:hint="eastAsia" w:ascii="仿宋" w:hAnsi="仿宋" w:eastAsia="仿宋" w:cs="仿宋"/>
          <w:b/>
          <w:color w:val="auto"/>
          <w:sz w:val="72"/>
          <w:szCs w:val="52"/>
          <w:highlight w:val="none"/>
        </w:rPr>
        <w:t>建设工程施工合同</w:t>
      </w:r>
    </w:p>
    <w:p w14:paraId="6A535F90">
      <w:pPr>
        <w:jc w:val="center"/>
        <w:rPr>
          <w:rFonts w:ascii="仿宋" w:hAnsi="仿宋" w:eastAsia="仿宋" w:cs="仿宋"/>
          <w:b/>
          <w:color w:val="auto"/>
          <w:sz w:val="52"/>
          <w:szCs w:val="52"/>
          <w:highlight w:val="none"/>
        </w:rPr>
      </w:pPr>
      <w:r>
        <w:rPr>
          <w:rFonts w:hint="eastAsia" w:ascii="仿宋" w:hAnsi="仿宋" w:eastAsia="仿宋" w:cs="仿宋"/>
          <w:b/>
          <w:color w:val="auto"/>
          <w:sz w:val="52"/>
          <w:szCs w:val="52"/>
          <w:highlight w:val="none"/>
        </w:rPr>
        <w:t>（示范文本）</w:t>
      </w:r>
    </w:p>
    <w:p w14:paraId="61964497">
      <w:pPr>
        <w:jc w:val="center"/>
        <w:rPr>
          <w:rFonts w:ascii="仿宋" w:hAnsi="仿宋" w:eastAsia="仿宋" w:cs="仿宋"/>
          <w:b/>
          <w:color w:val="auto"/>
          <w:sz w:val="52"/>
          <w:szCs w:val="52"/>
          <w:highlight w:val="none"/>
        </w:rPr>
      </w:pPr>
    </w:p>
    <w:p w14:paraId="3D989F48">
      <w:pPr>
        <w:jc w:val="center"/>
        <w:rPr>
          <w:rFonts w:ascii="仿宋" w:hAnsi="仿宋" w:eastAsia="仿宋" w:cs="仿宋"/>
          <w:b/>
          <w:color w:val="auto"/>
          <w:sz w:val="72"/>
          <w:szCs w:val="72"/>
          <w:highlight w:val="none"/>
        </w:rPr>
      </w:pPr>
    </w:p>
    <w:p w14:paraId="5EA27105">
      <w:pPr>
        <w:jc w:val="center"/>
        <w:rPr>
          <w:rFonts w:ascii="仿宋" w:hAnsi="仿宋" w:eastAsia="仿宋" w:cs="仿宋"/>
          <w:b/>
          <w:color w:val="auto"/>
          <w:sz w:val="72"/>
          <w:szCs w:val="72"/>
          <w:highlight w:val="none"/>
        </w:rPr>
      </w:pPr>
    </w:p>
    <w:p w14:paraId="4550A8F1">
      <w:pPr>
        <w:jc w:val="center"/>
        <w:rPr>
          <w:rFonts w:ascii="仿宋" w:hAnsi="仿宋" w:eastAsia="仿宋" w:cs="仿宋"/>
          <w:b/>
          <w:color w:val="auto"/>
          <w:sz w:val="52"/>
          <w:szCs w:val="52"/>
          <w:highlight w:val="none"/>
        </w:rPr>
      </w:pPr>
    </w:p>
    <w:p w14:paraId="52B3ECB0">
      <w:pPr>
        <w:rPr>
          <w:rFonts w:ascii="仿宋" w:hAnsi="仿宋" w:eastAsia="仿宋" w:cs="仿宋"/>
          <w:b/>
          <w:color w:val="auto"/>
          <w:sz w:val="28"/>
          <w:szCs w:val="28"/>
          <w:highlight w:val="none"/>
        </w:rPr>
      </w:pPr>
    </w:p>
    <w:p w14:paraId="239905D2">
      <w:pPr>
        <w:pStyle w:val="15"/>
        <w:rPr>
          <w:rFonts w:ascii="仿宋" w:hAnsi="仿宋" w:eastAsia="仿宋" w:cs="仿宋"/>
          <w:color w:val="auto"/>
          <w:highlight w:val="none"/>
        </w:rPr>
      </w:pPr>
    </w:p>
    <w:p w14:paraId="421AF258">
      <w:pPr>
        <w:ind w:right="2719" w:rightChars="1295" w:firstLine="4189" w:firstLineChars="1304"/>
        <w:jc w:val="distribute"/>
        <w:rPr>
          <w:rFonts w:ascii="仿宋" w:hAnsi="仿宋" w:eastAsia="仿宋" w:cs="仿宋"/>
          <w:b/>
          <w:color w:val="auto"/>
          <w:sz w:val="32"/>
          <w:szCs w:val="28"/>
          <w:highlight w:val="none"/>
        </w:rPr>
      </w:pPr>
    </w:p>
    <w:p w14:paraId="2C75AB37">
      <w:pPr>
        <w:ind w:right="2719" w:rightChars="1295"/>
        <w:jc w:val="center"/>
        <w:rPr>
          <w:rFonts w:ascii="仿宋" w:hAnsi="仿宋" w:eastAsia="仿宋" w:cs="仿宋"/>
          <w:b/>
          <w:color w:val="auto"/>
          <w:sz w:val="32"/>
          <w:szCs w:val="28"/>
          <w:highlight w:val="none"/>
        </w:rPr>
      </w:pPr>
      <w:r>
        <w:rPr>
          <w:rFonts w:ascii="仿宋" w:hAnsi="仿宋" w:eastAsia="仿宋" w:cs="仿宋"/>
          <w:color w:val="auto"/>
          <w:highlight w:val="none"/>
        </w:rPr>
        <w:pict>
          <v:rect id="_x0000_s2050" o:spid="_x0000_s2050" o:spt="1" style="position:absolute;left:0pt;margin-left:330.6pt;margin-top:1.95pt;height:36pt;width:57pt;z-index:251659264;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xOAU2QAAAAgBAAAPAAAAAAAAAAEAIAAAACIAAABkcnMvZG93&#10;bnJldi54bWxQSwECFAAUAAAACACHTuJAcHmiw/8BAAANBAAADgAAAAAAAAABACAAAAAoAQAAZHJz&#10;L2Uyb0RvYy54bWxQSwUGAAAAAAYABgBZAQAAmQUAAAAA&#10;">
            <v:path/>
            <v:fill on="f" focussize="0,0"/>
            <v:stroke color="#FFFFFF"/>
            <v:imagedata o:title=""/>
            <o:lock v:ext="edit"/>
            <v:textbox>
              <w:txbxContent>
                <w:p w14:paraId="5131B598">
                  <w:pPr>
                    <w:rPr>
                      <w:b/>
                      <w:bCs/>
                      <w:sz w:val="32"/>
                    </w:rPr>
                  </w:pPr>
                  <w:r>
                    <w:rPr>
                      <w:rFonts w:hint="eastAsia"/>
                      <w:b/>
                      <w:bCs/>
                      <w:sz w:val="32"/>
                    </w:rPr>
                    <w:t>制定</w:t>
                  </w:r>
                </w:p>
              </w:txbxContent>
            </v:textbox>
          </v:rect>
        </w:pict>
      </w:r>
      <w:r>
        <w:rPr>
          <w:rFonts w:hint="eastAsia" w:ascii="仿宋" w:hAnsi="仿宋" w:eastAsia="仿宋" w:cs="仿宋"/>
          <w:b/>
          <w:color w:val="auto"/>
          <w:sz w:val="32"/>
          <w:szCs w:val="28"/>
          <w:highlight w:val="none"/>
        </w:rPr>
        <w:t xml:space="preserve">            住房城乡建设部</w:t>
      </w:r>
    </w:p>
    <w:p w14:paraId="4B04B594">
      <w:pPr>
        <w:ind w:right="2719" w:rightChars="1295"/>
        <w:jc w:val="center"/>
        <w:rPr>
          <w:rFonts w:ascii="仿宋" w:hAnsi="仿宋" w:eastAsia="仿宋" w:cs="仿宋"/>
          <w:color w:val="auto"/>
          <w:highlight w:val="none"/>
        </w:rPr>
      </w:pPr>
      <w:r>
        <w:rPr>
          <w:rFonts w:hint="eastAsia" w:ascii="仿宋" w:hAnsi="仿宋" w:eastAsia="仿宋" w:cs="仿宋"/>
          <w:b/>
          <w:color w:val="auto"/>
          <w:sz w:val="32"/>
          <w:szCs w:val="28"/>
          <w:highlight w:val="none"/>
        </w:rPr>
        <w:t xml:space="preserve">             国家工商行政管理总局</w:t>
      </w:r>
    </w:p>
    <w:p w14:paraId="3464B561">
      <w:pPr>
        <w:rPr>
          <w:rFonts w:ascii="仿宋" w:hAnsi="仿宋" w:eastAsia="仿宋" w:cs="仿宋"/>
          <w:color w:val="auto"/>
          <w:highlight w:val="none"/>
        </w:rPr>
      </w:pPr>
    </w:p>
    <w:p w14:paraId="2BAAF8D5">
      <w:pPr>
        <w:pStyle w:val="3"/>
        <w:jc w:val="center"/>
        <w:rPr>
          <w:rFonts w:ascii="仿宋" w:hAnsi="仿宋" w:eastAsia="仿宋" w:cs="仿宋"/>
          <w:color w:val="auto"/>
          <w:highlight w:val="none"/>
        </w:rPr>
      </w:pPr>
      <w:r>
        <w:rPr>
          <w:rFonts w:hint="eastAsia" w:ascii="仿宋" w:hAnsi="仿宋" w:eastAsia="仿宋" w:cs="仿宋"/>
          <w:color w:val="auto"/>
          <w:kern w:val="0"/>
          <w:highlight w:val="none"/>
        </w:rPr>
        <w:br w:type="page"/>
      </w:r>
      <w:bookmarkStart w:id="114" w:name="_Toc17919"/>
      <w:bookmarkStart w:id="115" w:name="_Toc5708"/>
      <w:bookmarkStart w:id="116" w:name="_Toc27660"/>
      <w:bookmarkStart w:id="117" w:name="_Toc2939"/>
      <w:bookmarkStart w:id="118" w:name="_Toc3589"/>
      <w:bookmarkStart w:id="119" w:name="EBf5d8882b67eb450294403d6d9eac2034"/>
      <w:r>
        <w:rPr>
          <w:rFonts w:hint="eastAsia" w:ascii="仿宋" w:hAnsi="仿宋" w:eastAsia="仿宋" w:cs="仿宋"/>
          <w:color w:val="auto"/>
          <w:highlight w:val="none"/>
        </w:rPr>
        <w:t>第一部分 合同协议书</w:t>
      </w:r>
      <w:bookmarkEnd w:id="114"/>
      <w:bookmarkEnd w:id="115"/>
      <w:bookmarkEnd w:id="116"/>
      <w:bookmarkEnd w:id="117"/>
      <w:bookmarkEnd w:id="118"/>
    </w:p>
    <w:p w14:paraId="70AC94CF">
      <w:pPr>
        <w:rPr>
          <w:rFonts w:ascii="仿宋" w:hAnsi="仿宋" w:eastAsia="仿宋" w:cs="仿宋"/>
          <w:color w:val="auto"/>
          <w:highlight w:val="none"/>
        </w:rPr>
      </w:pPr>
    </w:p>
    <w:p w14:paraId="5CCE4615">
      <w:pPr>
        <w:pStyle w:val="29"/>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发包人（全称）：</w:t>
      </w:r>
      <w:r>
        <w:rPr>
          <w:rFonts w:hint="eastAsia" w:ascii="仿宋" w:hAnsi="仿宋" w:eastAsia="仿宋" w:cs="仿宋"/>
          <w:color w:val="auto"/>
          <w:szCs w:val="21"/>
          <w:highlight w:val="none"/>
          <w:u w:val="single"/>
        </w:rPr>
        <w:t>南宁市城市照明事务服务中心</w:t>
      </w:r>
    </w:p>
    <w:p w14:paraId="59138816">
      <w:pPr>
        <w:pStyle w:val="29"/>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承包人（全称）：</w:t>
      </w:r>
      <w:r>
        <w:rPr>
          <w:rFonts w:hint="eastAsia" w:ascii="仿宋" w:hAnsi="仿宋" w:eastAsia="仿宋" w:cs="仿宋"/>
          <w:color w:val="auto"/>
          <w:szCs w:val="21"/>
          <w:highlight w:val="none"/>
          <w:u w:val="single"/>
        </w:rPr>
        <w:t xml:space="preserve">                         </w:t>
      </w:r>
    </w:p>
    <w:p w14:paraId="1CEC4466">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根据《中华人民共和国民法典》《中华人民共和国建筑法》及有关法律规定，遵循平等、自愿、公平和诚实信用的原则，双方就</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施工及有关事项协商一致，共同达成如下协议：</w:t>
      </w:r>
    </w:p>
    <w:p w14:paraId="416B14B7">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一、工程概况</w:t>
      </w:r>
    </w:p>
    <w:p w14:paraId="4C0C4193">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1.工程名称：</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w:t>
      </w:r>
    </w:p>
    <w:p w14:paraId="7F2D2470">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2.工程地点：</w:t>
      </w:r>
      <w:r>
        <w:rPr>
          <w:rFonts w:hint="eastAsia" w:ascii="仿宋" w:hAnsi="仿宋" w:eastAsia="仿宋" w:cs="仿宋"/>
          <w:color w:val="auto"/>
          <w:szCs w:val="21"/>
          <w:highlight w:val="none"/>
          <w:u w:val="single"/>
        </w:rPr>
        <w:t>南宁市江南区壮锦大道</w:t>
      </w:r>
      <w:r>
        <w:rPr>
          <w:rFonts w:hint="eastAsia" w:ascii="仿宋" w:hAnsi="仿宋" w:eastAsia="仿宋" w:cs="仿宋"/>
          <w:color w:val="auto"/>
          <w:szCs w:val="21"/>
          <w:highlight w:val="none"/>
        </w:rPr>
        <w:t>。</w:t>
      </w:r>
    </w:p>
    <w:p w14:paraId="0718F7D7">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3.工程立项批准文号：</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14:paraId="21FE964E">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4.资金来源：</w:t>
      </w:r>
      <w:r>
        <w:rPr>
          <w:rFonts w:hint="eastAsia" w:ascii="仿宋" w:hAnsi="仿宋" w:eastAsia="仿宋" w:cs="仿宋"/>
          <w:color w:val="auto"/>
          <w:szCs w:val="21"/>
          <w:highlight w:val="none"/>
          <w:u w:val="single"/>
        </w:rPr>
        <w:t xml:space="preserve"> 财政资金 </w:t>
      </w:r>
      <w:r>
        <w:rPr>
          <w:rFonts w:hint="eastAsia" w:ascii="仿宋" w:hAnsi="仿宋" w:eastAsia="仿宋" w:cs="仿宋"/>
          <w:color w:val="auto"/>
          <w:szCs w:val="21"/>
          <w:highlight w:val="none"/>
        </w:rPr>
        <w:t>。</w:t>
      </w:r>
    </w:p>
    <w:p w14:paraId="2AA72427">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5.工程内容：</w:t>
      </w:r>
      <w:r>
        <w:rPr>
          <w:rFonts w:hint="eastAsia" w:ascii="仿宋" w:hAnsi="仿宋" w:eastAsia="仿宋" w:cs="仿宋"/>
          <w:color w:val="auto"/>
          <w:szCs w:val="21"/>
          <w:highlight w:val="none"/>
          <w:u w:val="single"/>
        </w:rPr>
        <w:t>壮锦大道11座国旗灯造型装饰框架翻新喷漆，以及对老旧国旗图案透光板、水晶装饰柱、灯箱光源灯部件进行更换，新增东帝汶国旗灯1座。具体详见采购文件及其附件。</w:t>
      </w:r>
      <w:r>
        <w:rPr>
          <w:rFonts w:hint="eastAsia" w:ascii="仿宋" w:hAnsi="仿宋" w:eastAsia="仿宋" w:cs="仿宋"/>
          <w:color w:val="auto"/>
          <w:szCs w:val="21"/>
          <w:highlight w:val="none"/>
        </w:rPr>
        <w:t>群体工程应附《承包人承揽工程项目一览表》（附件1）。</w:t>
      </w:r>
    </w:p>
    <w:p w14:paraId="69FB2F51">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6.工程承包范围：</w:t>
      </w:r>
    </w:p>
    <w:p w14:paraId="42A5DB68">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u w:val="single"/>
        </w:rPr>
        <w:t>壮锦大道国旗灯改造项目，包括本项目的工程量清单及招标控制价包含的全部内容</w:t>
      </w:r>
      <w:r>
        <w:rPr>
          <w:rFonts w:hint="eastAsia" w:ascii="仿宋" w:hAnsi="仿宋" w:eastAsia="仿宋" w:cs="仿宋"/>
          <w:color w:val="auto"/>
          <w:szCs w:val="21"/>
          <w:highlight w:val="none"/>
        </w:rPr>
        <w:t>。</w:t>
      </w:r>
    </w:p>
    <w:p w14:paraId="414E96B2">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二、合同工期</w:t>
      </w:r>
    </w:p>
    <w:p w14:paraId="280D1D36">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计划开工日期：_______年_______月_______日。（具体以发包人或监理人签署的开工令为准）</w:t>
      </w:r>
    </w:p>
    <w:p w14:paraId="26D16652">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计划竣工日期：_______年_______月_______日。</w:t>
      </w:r>
    </w:p>
    <w:p w14:paraId="179FBEE7">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工期总日历天数：</w:t>
      </w:r>
      <w:r>
        <w:rPr>
          <w:rFonts w:hint="eastAsia" w:ascii="仿宋" w:hAnsi="仿宋" w:eastAsia="仿宋" w:cs="仿宋"/>
          <w:color w:val="auto"/>
          <w:szCs w:val="21"/>
          <w:highlight w:val="none"/>
          <w:u w:val="single"/>
        </w:rPr>
        <w:t>2026年8月30日前交付使用。</w:t>
      </w:r>
      <w:r>
        <w:rPr>
          <w:rFonts w:hint="eastAsia" w:ascii="仿宋" w:hAnsi="仿宋" w:eastAsia="仿宋" w:cs="仿宋"/>
          <w:color w:val="auto"/>
          <w:szCs w:val="21"/>
          <w:highlight w:val="none"/>
        </w:rPr>
        <w:t>工期总日历天数与根据前述计划开竣工日期计算的工期天数不一致的，以工期总日历天数为准。根据通用条款第13.2.3条规定，竣工日期是指工程经竣工验收合格的，以承包人提交竣工验收申请报告且经发包人签字确认之日为实际竣工日期，并在工程接收证书中载明。</w:t>
      </w:r>
    </w:p>
    <w:p w14:paraId="656E0BA9">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三、质量标准</w:t>
      </w:r>
    </w:p>
    <w:p w14:paraId="6FCE9ECF">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符合达到设计要求及国家施工验收规范合格标准。</w:t>
      </w:r>
    </w:p>
    <w:p w14:paraId="0CFEADDD">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四、签约合同价与合同价格形式</w:t>
      </w:r>
    </w:p>
    <w:p w14:paraId="3674D909">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1.签约合同价为：人民币（大写）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）。预算金额×（1-下浮系数）</w:t>
      </w:r>
    </w:p>
    <w:p w14:paraId="271E300B">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其中：</w:t>
      </w:r>
    </w:p>
    <w:p w14:paraId="58A84202">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（1）安全文明施工费：</w:t>
      </w:r>
    </w:p>
    <w:p w14:paraId="6FCE4553">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6A32C9D8">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（2）材料和工程设备暂估价金额：</w:t>
      </w:r>
    </w:p>
    <w:p w14:paraId="6DE3FA1E">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073069AE">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（3）专业工程暂估价金额：</w:t>
      </w:r>
    </w:p>
    <w:p w14:paraId="7DD9A0B0">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10BFC5C6">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（4）暂列金额：</w:t>
      </w:r>
    </w:p>
    <w:p w14:paraId="3321E7AA">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6EDB1A81">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2.合同价格形式：固定综合单价。</w:t>
      </w:r>
    </w:p>
    <w:p w14:paraId="6E2568B6">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3.合同下浮系数：</w:t>
      </w:r>
      <w:r>
        <w:rPr>
          <w:rFonts w:hint="eastAsia" w:ascii="仿宋" w:hAnsi="仿宋" w:eastAsia="仿宋" w:cs="仿宋"/>
          <w:color w:val="auto"/>
          <w:szCs w:val="21"/>
          <w:highlight w:val="none"/>
          <w:u w:val="single"/>
        </w:rPr>
        <w:t xml:space="preserve">      %</w:t>
      </w:r>
    </w:p>
    <w:p w14:paraId="4A1F4200">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五、项目经理</w:t>
      </w:r>
    </w:p>
    <w:p w14:paraId="76081097">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承包人项目经理：_______。</w:t>
      </w:r>
    </w:p>
    <w:p w14:paraId="5CA51B3F">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六、合同文件构成</w:t>
      </w:r>
    </w:p>
    <w:p w14:paraId="5D11DBC6">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本协议书与下列文件一起构成合同文件：</w:t>
      </w:r>
    </w:p>
    <w:p w14:paraId="2A6A00F1">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（1）成交通知书；</w:t>
      </w:r>
    </w:p>
    <w:p w14:paraId="01CEB7C9">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（2）响应函及其附录；</w:t>
      </w:r>
    </w:p>
    <w:p w14:paraId="7DD734C8">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（3）专用合同条款及其附件；</w:t>
      </w:r>
    </w:p>
    <w:p w14:paraId="37CB0458">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（4）通用合同条款；</w:t>
      </w:r>
    </w:p>
    <w:p w14:paraId="558FB868">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（5）工程量清单或预算书</w:t>
      </w:r>
    </w:p>
    <w:p w14:paraId="1D53E5E9">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（6）技术标准和要求；</w:t>
      </w:r>
    </w:p>
    <w:p w14:paraId="450F27E4">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（7）图纸；</w:t>
      </w:r>
    </w:p>
    <w:p w14:paraId="0F5705B1">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（8）其他合同文件。</w:t>
      </w:r>
    </w:p>
    <w:p w14:paraId="0191AC29">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5A468981">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七、承诺</w:t>
      </w:r>
    </w:p>
    <w:p w14:paraId="3F63055B">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1.发包人承诺按照法律规定履行项目审批手续、筹集工程建设资金并按照合同约定的期限和方式支付合同价款。</w:t>
      </w:r>
    </w:p>
    <w:p w14:paraId="610B55CE">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2.承包人承诺按照法律规定及合同约定组织完成工程施工，确保工程质量和安全，不进行转包及违法分包，并在缺陷责任期及保修期内承担相应的工程维修责任。</w:t>
      </w:r>
    </w:p>
    <w:p w14:paraId="6B2711AF">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3.发包人和承包人通过招投标形式签订合同的，双方理解并承诺不再就同一工程另行签订与合同实质性内容相背离的协议。</w:t>
      </w:r>
    </w:p>
    <w:p w14:paraId="4223BDBB">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465615D6">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八、词语含义</w:t>
      </w:r>
    </w:p>
    <w:p w14:paraId="5F0A89DC">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本协议书中词语含义与第二部分通用合同条款中赋予的含义相同。</w:t>
      </w:r>
    </w:p>
    <w:p w14:paraId="09AC4B39">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九、签订时间</w:t>
      </w:r>
    </w:p>
    <w:p w14:paraId="7C55B7F8">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日签订。</w:t>
      </w:r>
    </w:p>
    <w:p w14:paraId="39DBDFC8">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十、签订地点</w:t>
      </w:r>
    </w:p>
    <w:p w14:paraId="48370992">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本合同在</w:t>
      </w:r>
      <w:r>
        <w:rPr>
          <w:rFonts w:hint="eastAsia" w:ascii="仿宋" w:hAnsi="仿宋" w:eastAsia="仿宋" w:cs="仿宋"/>
          <w:color w:val="auto"/>
          <w:szCs w:val="21"/>
          <w:highlight w:val="none"/>
          <w:u w:val="single"/>
        </w:rPr>
        <w:t>广西壮族自治区南宁市</w:t>
      </w:r>
      <w:r>
        <w:rPr>
          <w:rFonts w:hint="eastAsia" w:ascii="仿宋" w:hAnsi="仿宋" w:eastAsia="仿宋" w:cs="仿宋"/>
          <w:color w:val="auto"/>
          <w:szCs w:val="21"/>
          <w:highlight w:val="none"/>
        </w:rPr>
        <w:t>签订。</w:t>
      </w:r>
    </w:p>
    <w:p w14:paraId="2A226450">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十一、补充协议</w:t>
      </w:r>
    </w:p>
    <w:p w14:paraId="52BBA91A">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合同未尽事宜，合同当事人另行签订补充协议，补充协议是合同的组成部分。</w:t>
      </w:r>
    </w:p>
    <w:p w14:paraId="1A694A08">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十二、合同生效</w:t>
      </w:r>
    </w:p>
    <w:p w14:paraId="5C04230E">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本合同自</w:t>
      </w:r>
      <w:r>
        <w:rPr>
          <w:rFonts w:hint="eastAsia" w:ascii="仿宋" w:hAnsi="仿宋" w:eastAsia="仿宋" w:cs="仿宋"/>
          <w:color w:val="auto"/>
          <w:szCs w:val="21"/>
          <w:highlight w:val="none"/>
          <w:u w:val="single"/>
        </w:rPr>
        <w:t>双方法定代表人或授权委托代理人签章并加盖单位（公司）公章之日起</w:t>
      </w:r>
      <w:r>
        <w:rPr>
          <w:rFonts w:hint="eastAsia" w:ascii="仿宋" w:hAnsi="仿宋" w:eastAsia="仿宋" w:cs="仿宋"/>
          <w:color w:val="auto"/>
          <w:szCs w:val="21"/>
          <w:highlight w:val="none"/>
        </w:rPr>
        <w:t>生效。</w:t>
      </w:r>
    </w:p>
    <w:p w14:paraId="5698E6CF">
      <w:pPr>
        <w:pStyle w:val="29"/>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十三、合同份数</w:t>
      </w:r>
    </w:p>
    <w:p w14:paraId="2BFE5C29">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本合同一式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份，均具有同等法律效力，发包人执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份，承包人执</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w:t>
      </w:r>
    </w:p>
    <w:p w14:paraId="17EFFDC7">
      <w:pPr>
        <w:pStyle w:val="29"/>
        <w:spacing w:line="360" w:lineRule="auto"/>
        <w:ind w:firstLine="422" w:firstLineChars="200"/>
        <w:rPr>
          <w:rFonts w:ascii="仿宋" w:hAnsi="仿宋" w:eastAsia="仿宋" w:cs="仿宋"/>
          <w:b/>
          <w:color w:val="auto"/>
          <w:szCs w:val="21"/>
          <w:highlight w:val="none"/>
        </w:rPr>
        <w:sectPr>
          <w:pgSz w:w="11906" w:h="16838"/>
          <w:pgMar w:top="1440" w:right="1134" w:bottom="1440" w:left="1418" w:header="851" w:footer="992" w:gutter="0"/>
          <w:cols w:space="720" w:num="1"/>
          <w:docGrid w:type="lines" w:linePitch="312" w:charSpace="0"/>
        </w:sectPr>
      </w:pPr>
    </w:p>
    <w:p w14:paraId="7AA0EC19">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（签章页，无正文）</w:t>
      </w:r>
    </w:p>
    <w:p w14:paraId="0C46D44B">
      <w:pPr>
        <w:pStyle w:val="29"/>
        <w:spacing w:line="360" w:lineRule="auto"/>
        <w:rPr>
          <w:rFonts w:ascii="仿宋" w:hAnsi="仿宋" w:eastAsia="仿宋" w:cs="仿宋"/>
          <w:color w:val="auto"/>
          <w:szCs w:val="21"/>
          <w:highlight w:val="none"/>
        </w:rPr>
      </w:pPr>
    </w:p>
    <w:tbl>
      <w:tblPr>
        <w:tblStyle w:val="19"/>
        <w:tblW w:w="0" w:type="auto"/>
        <w:jc w:val="center"/>
        <w:tblLayout w:type="autofit"/>
        <w:tblCellMar>
          <w:top w:w="0" w:type="dxa"/>
          <w:left w:w="108" w:type="dxa"/>
          <w:bottom w:w="0" w:type="dxa"/>
          <w:right w:w="108" w:type="dxa"/>
        </w:tblCellMar>
      </w:tblPr>
      <w:tblGrid>
        <w:gridCol w:w="4680"/>
        <w:gridCol w:w="4680"/>
      </w:tblGrid>
      <w:tr w14:paraId="51C70EBC">
        <w:tblPrEx>
          <w:tblCellMar>
            <w:top w:w="0" w:type="dxa"/>
            <w:left w:w="108" w:type="dxa"/>
            <w:bottom w:w="0" w:type="dxa"/>
            <w:right w:w="108" w:type="dxa"/>
          </w:tblCellMar>
        </w:tblPrEx>
        <w:trPr>
          <w:trHeight w:val="936" w:hRule="atLeast"/>
          <w:jc w:val="center"/>
        </w:trPr>
        <w:tc>
          <w:tcPr>
            <w:tcW w:w="4680" w:type="dxa"/>
            <w:noWrap/>
            <w:vAlign w:val="center"/>
          </w:tcPr>
          <w:p w14:paraId="10350431">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发包人：</w:t>
            </w:r>
            <w:r>
              <w:rPr>
                <w:rFonts w:hint="eastAsia" w:ascii="仿宋" w:hAnsi="仿宋" w:eastAsia="仿宋" w:cs="仿宋"/>
                <w:color w:val="auto"/>
                <w:szCs w:val="21"/>
                <w:highlight w:val="none"/>
                <w:u w:val="single"/>
              </w:rPr>
              <w:t>南宁市城市照明事务服务中心</w:t>
            </w:r>
            <w:r>
              <w:rPr>
                <w:rFonts w:hint="eastAsia" w:ascii="仿宋" w:hAnsi="仿宋" w:eastAsia="仿宋" w:cs="仿宋"/>
                <w:color w:val="auto"/>
                <w:szCs w:val="21"/>
                <w:highlight w:val="none"/>
              </w:rPr>
              <w:t>（公章）</w:t>
            </w:r>
          </w:p>
        </w:tc>
        <w:tc>
          <w:tcPr>
            <w:tcW w:w="4680" w:type="dxa"/>
            <w:noWrap/>
            <w:vAlign w:val="center"/>
          </w:tcPr>
          <w:p w14:paraId="0D41CD66">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承包人：________________（公章）</w:t>
            </w:r>
          </w:p>
        </w:tc>
      </w:tr>
      <w:tr w14:paraId="4AE30941">
        <w:tblPrEx>
          <w:tblCellMar>
            <w:top w:w="0" w:type="dxa"/>
            <w:left w:w="108" w:type="dxa"/>
            <w:bottom w:w="0" w:type="dxa"/>
            <w:right w:w="108" w:type="dxa"/>
          </w:tblCellMar>
        </w:tblPrEx>
        <w:trPr>
          <w:trHeight w:val="936" w:hRule="atLeast"/>
          <w:jc w:val="center"/>
        </w:trPr>
        <w:tc>
          <w:tcPr>
            <w:tcW w:w="4680" w:type="dxa"/>
            <w:noWrap/>
            <w:vAlign w:val="center"/>
          </w:tcPr>
          <w:p w14:paraId="618E4891">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p>
          <w:p w14:paraId="697A815E">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（签字）</w:t>
            </w:r>
          </w:p>
        </w:tc>
        <w:tc>
          <w:tcPr>
            <w:tcW w:w="4680" w:type="dxa"/>
            <w:noWrap/>
            <w:vAlign w:val="center"/>
          </w:tcPr>
          <w:p w14:paraId="3E5B2BA9">
            <w:pPr>
              <w:pStyle w:val="29"/>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p>
          <w:p w14:paraId="69CCACD0">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（签字）</w:t>
            </w:r>
          </w:p>
        </w:tc>
      </w:tr>
      <w:tr w14:paraId="7252B142">
        <w:tblPrEx>
          <w:tblCellMar>
            <w:top w:w="0" w:type="dxa"/>
            <w:left w:w="108" w:type="dxa"/>
            <w:bottom w:w="0" w:type="dxa"/>
            <w:right w:w="108" w:type="dxa"/>
          </w:tblCellMar>
        </w:tblPrEx>
        <w:trPr>
          <w:trHeight w:val="936" w:hRule="atLeast"/>
          <w:jc w:val="center"/>
        </w:trPr>
        <w:tc>
          <w:tcPr>
            <w:tcW w:w="4680" w:type="dxa"/>
            <w:noWrap/>
            <w:vAlign w:val="center"/>
          </w:tcPr>
          <w:p w14:paraId="37AF71E4">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统一社会信用代码：</w:t>
            </w:r>
            <w:r>
              <w:rPr>
                <w:rFonts w:hint="eastAsia" w:ascii="仿宋" w:hAnsi="仿宋" w:eastAsia="仿宋" w:cs="仿宋"/>
                <w:color w:val="auto"/>
                <w:szCs w:val="21"/>
                <w:highlight w:val="none"/>
                <w:u w:val="single"/>
              </w:rPr>
              <w:t xml:space="preserve">                        </w:t>
            </w:r>
          </w:p>
        </w:tc>
        <w:tc>
          <w:tcPr>
            <w:tcW w:w="4680" w:type="dxa"/>
            <w:noWrap/>
            <w:vAlign w:val="center"/>
          </w:tcPr>
          <w:p w14:paraId="7257E6C5">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统一社会信用代码：________________</w:t>
            </w:r>
          </w:p>
        </w:tc>
      </w:tr>
      <w:tr w14:paraId="3BE26AF1">
        <w:tblPrEx>
          <w:tblCellMar>
            <w:top w:w="0" w:type="dxa"/>
            <w:left w:w="108" w:type="dxa"/>
            <w:bottom w:w="0" w:type="dxa"/>
            <w:right w:w="108" w:type="dxa"/>
          </w:tblCellMar>
        </w:tblPrEx>
        <w:trPr>
          <w:trHeight w:val="936" w:hRule="atLeast"/>
          <w:jc w:val="center"/>
        </w:trPr>
        <w:tc>
          <w:tcPr>
            <w:tcW w:w="4680" w:type="dxa"/>
            <w:noWrap/>
            <w:vAlign w:val="center"/>
          </w:tcPr>
          <w:p w14:paraId="0382F3EC">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南宁市青秀区葛村路22号</w:t>
            </w:r>
          </w:p>
        </w:tc>
        <w:tc>
          <w:tcPr>
            <w:tcW w:w="4680" w:type="dxa"/>
            <w:noWrap/>
            <w:vAlign w:val="center"/>
          </w:tcPr>
          <w:p w14:paraId="7EC04A73">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地址：________________</w:t>
            </w:r>
          </w:p>
        </w:tc>
      </w:tr>
      <w:tr w14:paraId="7C934537">
        <w:tblPrEx>
          <w:tblCellMar>
            <w:top w:w="0" w:type="dxa"/>
            <w:left w:w="108" w:type="dxa"/>
            <w:bottom w:w="0" w:type="dxa"/>
            <w:right w:w="108" w:type="dxa"/>
          </w:tblCellMar>
        </w:tblPrEx>
        <w:trPr>
          <w:trHeight w:val="936" w:hRule="atLeast"/>
          <w:jc w:val="center"/>
        </w:trPr>
        <w:tc>
          <w:tcPr>
            <w:tcW w:w="4680" w:type="dxa"/>
            <w:noWrap/>
            <w:vAlign w:val="center"/>
          </w:tcPr>
          <w:p w14:paraId="567F94D1">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r>
              <w:rPr>
                <w:rFonts w:hint="eastAsia" w:ascii="仿宋" w:hAnsi="仿宋" w:eastAsia="仿宋" w:cs="仿宋"/>
                <w:color w:val="auto"/>
                <w:szCs w:val="21"/>
                <w:highlight w:val="none"/>
                <w:u w:val="single"/>
              </w:rPr>
              <w:t xml:space="preserve">                       </w:t>
            </w:r>
          </w:p>
        </w:tc>
        <w:tc>
          <w:tcPr>
            <w:tcW w:w="4680" w:type="dxa"/>
            <w:noWrap/>
            <w:vAlign w:val="center"/>
          </w:tcPr>
          <w:p w14:paraId="0C96B10E">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邮政编码：________________</w:t>
            </w:r>
          </w:p>
        </w:tc>
      </w:tr>
      <w:tr w14:paraId="1FB14ED5">
        <w:tblPrEx>
          <w:tblCellMar>
            <w:top w:w="0" w:type="dxa"/>
            <w:left w:w="108" w:type="dxa"/>
            <w:bottom w:w="0" w:type="dxa"/>
            <w:right w:w="108" w:type="dxa"/>
          </w:tblCellMar>
        </w:tblPrEx>
        <w:trPr>
          <w:trHeight w:val="936" w:hRule="atLeast"/>
          <w:jc w:val="center"/>
        </w:trPr>
        <w:tc>
          <w:tcPr>
            <w:tcW w:w="4680" w:type="dxa"/>
            <w:noWrap/>
            <w:vAlign w:val="center"/>
          </w:tcPr>
          <w:p w14:paraId="253E52A8">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法定代表人：________________</w:t>
            </w:r>
          </w:p>
        </w:tc>
        <w:tc>
          <w:tcPr>
            <w:tcW w:w="4680" w:type="dxa"/>
            <w:noWrap/>
            <w:vAlign w:val="center"/>
          </w:tcPr>
          <w:p w14:paraId="6F36C418">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法定代表人：________________</w:t>
            </w:r>
          </w:p>
        </w:tc>
      </w:tr>
      <w:tr w14:paraId="5B0011CD">
        <w:tblPrEx>
          <w:tblCellMar>
            <w:top w:w="0" w:type="dxa"/>
            <w:left w:w="108" w:type="dxa"/>
            <w:bottom w:w="0" w:type="dxa"/>
            <w:right w:w="108" w:type="dxa"/>
          </w:tblCellMar>
        </w:tblPrEx>
        <w:trPr>
          <w:trHeight w:val="936" w:hRule="atLeast"/>
          <w:jc w:val="center"/>
        </w:trPr>
        <w:tc>
          <w:tcPr>
            <w:tcW w:w="4680" w:type="dxa"/>
            <w:noWrap/>
            <w:vAlign w:val="center"/>
          </w:tcPr>
          <w:p w14:paraId="4E64DBB4">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委托代理人：________________</w:t>
            </w:r>
          </w:p>
        </w:tc>
        <w:tc>
          <w:tcPr>
            <w:tcW w:w="4680" w:type="dxa"/>
            <w:noWrap/>
            <w:vAlign w:val="center"/>
          </w:tcPr>
          <w:p w14:paraId="3ACBF755">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b/>
                <w:color w:val="auto"/>
                <w:szCs w:val="21"/>
                <w:highlight w:val="none"/>
              </w:rPr>
              <w:t>______________________________</w:t>
            </w:r>
          </w:p>
        </w:tc>
      </w:tr>
      <w:tr w14:paraId="0B6C718E">
        <w:tblPrEx>
          <w:tblCellMar>
            <w:top w:w="0" w:type="dxa"/>
            <w:left w:w="108" w:type="dxa"/>
            <w:bottom w:w="0" w:type="dxa"/>
            <w:right w:w="108" w:type="dxa"/>
          </w:tblCellMar>
        </w:tblPrEx>
        <w:trPr>
          <w:trHeight w:val="936" w:hRule="atLeast"/>
          <w:jc w:val="center"/>
        </w:trPr>
        <w:tc>
          <w:tcPr>
            <w:tcW w:w="4680" w:type="dxa"/>
            <w:noWrap/>
            <w:vAlign w:val="center"/>
          </w:tcPr>
          <w:p w14:paraId="36536603">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电话：________________</w:t>
            </w:r>
          </w:p>
        </w:tc>
        <w:tc>
          <w:tcPr>
            <w:tcW w:w="4680" w:type="dxa"/>
            <w:noWrap/>
            <w:vAlign w:val="center"/>
          </w:tcPr>
          <w:p w14:paraId="0D33C388">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电话：________________</w:t>
            </w:r>
          </w:p>
        </w:tc>
      </w:tr>
      <w:tr w14:paraId="434E790C">
        <w:tblPrEx>
          <w:tblCellMar>
            <w:top w:w="0" w:type="dxa"/>
            <w:left w:w="108" w:type="dxa"/>
            <w:bottom w:w="0" w:type="dxa"/>
            <w:right w:w="108" w:type="dxa"/>
          </w:tblCellMar>
        </w:tblPrEx>
        <w:trPr>
          <w:trHeight w:val="936" w:hRule="atLeast"/>
          <w:jc w:val="center"/>
        </w:trPr>
        <w:tc>
          <w:tcPr>
            <w:tcW w:w="4680" w:type="dxa"/>
            <w:noWrap/>
            <w:vAlign w:val="center"/>
          </w:tcPr>
          <w:p w14:paraId="21FC5119">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传真：________________</w:t>
            </w:r>
          </w:p>
        </w:tc>
        <w:tc>
          <w:tcPr>
            <w:tcW w:w="4680" w:type="dxa"/>
            <w:noWrap/>
            <w:vAlign w:val="center"/>
          </w:tcPr>
          <w:p w14:paraId="5D95F8B9">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传真：________________</w:t>
            </w:r>
          </w:p>
        </w:tc>
      </w:tr>
      <w:tr w14:paraId="30229986">
        <w:tblPrEx>
          <w:tblCellMar>
            <w:top w:w="0" w:type="dxa"/>
            <w:left w:w="108" w:type="dxa"/>
            <w:bottom w:w="0" w:type="dxa"/>
            <w:right w:w="108" w:type="dxa"/>
          </w:tblCellMar>
        </w:tblPrEx>
        <w:trPr>
          <w:trHeight w:val="936" w:hRule="atLeast"/>
          <w:jc w:val="center"/>
        </w:trPr>
        <w:tc>
          <w:tcPr>
            <w:tcW w:w="4680" w:type="dxa"/>
            <w:noWrap/>
            <w:vAlign w:val="center"/>
          </w:tcPr>
          <w:p w14:paraId="6D1F9F21">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电子信箱：________________</w:t>
            </w:r>
          </w:p>
        </w:tc>
        <w:tc>
          <w:tcPr>
            <w:tcW w:w="4680" w:type="dxa"/>
            <w:noWrap/>
            <w:vAlign w:val="center"/>
          </w:tcPr>
          <w:p w14:paraId="55AB61A4">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电子信箱：</w:t>
            </w:r>
            <w:r>
              <w:rPr>
                <w:rFonts w:hint="eastAsia" w:ascii="仿宋" w:hAnsi="仿宋" w:eastAsia="仿宋" w:cs="仿宋"/>
                <w:b/>
                <w:color w:val="auto"/>
                <w:szCs w:val="21"/>
                <w:highlight w:val="none"/>
              </w:rPr>
              <w:t>________________________________</w:t>
            </w:r>
          </w:p>
        </w:tc>
      </w:tr>
      <w:tr w14:paraId="35DBDD28">
        <w:tblPrEx>
          <w:tblCellMar>
            <w:top w:w="0" w:type="dxa"/>
            <w:left w:w="108" w:type="dxa"/>
            <w:bottom w:w="0" w:type="dxa"/>
            <w:right w:w="108" w:type="dxa"/>
          </w:tblCellMar>
        </w:tblPrEx>
        <w:trPr>
          <w:trHeight w:val="936" w:hRule="atLeast"/>
          <w:jc w:val="center"/>
        </w:trPr>
        <w:tc>
          <w:tcPr>
            <w:tcW w:w="4680" w:type="dxa"/>
            <w:noWrap/>
            <w:vAlign w:val="center"/>
          </w:tcPr>
          <w:p w14:paraId="06FBC16B">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开户银行：________________</w:t>
            </w:r>
          </w:p>
        </w:tc>
        <w:tc>
          <w:tcPr>
            <w:tcW w:w="4680" w:type="dxa"/>
            <w:noWrap/>
            <w:vAlign w:val="center"/>
          </w:tcPr>
          <w:p w14:paraId="5E473D7D">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开户银行：________________</w:t>
            </w:r>
          </w:p>
        </w:tc>
      </w:tr>
      <w:tr w14:paraId="5EC30CDB">
        <w:tblPrEx>
          <w:tblCellMar>
            <w:top w:w="0" w:type="dxa"/>
            <w:left w:w="108" w:type="dxa"/>
            <w:bottom w:w="0" w:type="dxa"/>
            <w:right w:w="108" w:type="dxa"/>
          </w:tblCellMar>
        </w:tblPrEx>
        <w:trPr>
          <w:trHeight w:val="936" w:hRule="atLeast"/>
          <w:jc w:val="center"/>
        </w:trPr>
        <w:tc>
          <w:tcPr>
            <w:tcW w:w="4680" w:type="dxa"/>
            <w:noWrap/>
            <w:vAlign w:val="center"/>
          </w:tcPr>
          <w:p w14:paraId="3F19CF28">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账号：________________</w:t>
            </w:r>
          </w:p>
        </w:tc>
        <w:tc>
          <w:tcPr>
            <w:tcW w:w="4680" w:type="dxa"/>
            <w:noWrap/>
            <w:vAlign w:val="center"/>
          </w:tcPr>
          <w:p w14:paraId="40EBFB19">
            <w:pPr>
              <w:pStyle w:val="29"/>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账号：________________</w:t>
            </w:r>
          </w:p>
        </w:tc>
      </w:tr>
      <w:bookmarkEnd w:id="119"/>
    </w:tbl>
    <w:p w14:paraId="2D422CD5">
      <w:pPr>
        <w:rPr>
          <w:rFonts w:ascii="仿宋" w:hAnsi="仿宋" w:eastAsia="仿宋" w:cs="仿宋"/>
          <w:color w:val="auto"/>
          <w:sz w:val="20"/>
          <w:highlight w:val="none"/>
        </w:rPr>
        <w:sectPr>
          <w:pgSz w:w="11906" w:h="16838"/>
          <w:pgMar w:top="1440" w:right="1134" w:bottom="1440" w:left="1418" w:header="851" w:footer="992" w:gutter="0"/>
          <w:cols w:space="720" w:num="1"/>
          <w:docGrid w:type="lines" w:linePitch="312" w:charSpace="0"/>
        </w:sectPr>
      </w:pPr>
    </w:p>
    <w:p w14:paraId="6691AB25">
      <w:pPr>
        <w:pStyle w:val="3"/>
        <w:jc w:val="center"/>
        <w:rPr>
          <w:rFonts w:ascii="仿宋" w:hAnsi="仿宋" w:eastAsia="仿宋" w:cs="仿宋"/>
          <w:color w:val="auto"/>
          <w:highlight w:val="none"/>
        </w:rPr>
      </w:pPr>
      <w:bookmarkStart w:id="120" w:name="_Toc12657"/>
      <w:bookmarkStart w:id="121" w:name="_Toc389065256"/>
      <w:bookmarkStart w:id="122" w:name="_Toc12426"/>
      <w:bookmarkStart w:id="123" w:name="_Toc83895639"/>
      <w:bookmarkStart w:id="124" w:name="_Toc13757"/>
      <w:bookmarkStart w:id="125" w:name="_Toc18554"/>
      <w:bookmarkStart w:id="126" w:name="_Toc256000128"/>
      <w:bookmarkStart w:id="127" w:name="_Toc9127"/>
      <w:bookmarkStart w:id="128" w:name="_Toc407135192"/>
      <w:bookmarkStart w:id="129" w:name="_Toc373227691"/>
      <w:bookmarkStart w:id="130" w:name="_Toc373478338"/>
      <w:bookmarkStart w:id="131" w:name="_Toc351203632"/>
      <w:r>
        <w:rPr>
          <w:rFonts w:hint="eastAsia" w:ascii="仿宋" w:hAnsi="仿宋" w:eastAsia="仿宋" w:cs="仿宋"/>
          <w:color w:val="auto"/>
          <w:highlight w:val="none"/>
        </w:rPr>
        <w:t>第二部分 通用合同条款</w:t>
      </w:r>
      <w:bookmarkEnd w:id="120"/>
      <w:bookmarkEnd w:id="121"/>
      <w:bookmarkEnd w:id="122"/>
      <w:bookmarkEnd w:id="123"/>
      <w:bookmarkEnd w:id="124"/>
      <w:bookmarkEnd w:id="125"/>
      <w:bookmarkEnd w:id="126"/>
      <w:bookmarkEnd w:id="127"/>
      <w:bookmarkEnd w:id="128"/>
    </w:p>
    <w:p w14:paraId="2D540D0E">
      <w:pPr>
        <w:spacing w:line="360" w:lineRule="auto"/>
        <w:ind w:firstLine="420" w:firstLineChars="200"/>
        <w:rPr>
          <w:rFonts w:ascii="仿宋" w:hAnsi="仿宋" w:eastAsia="仿宋" w:cs="仿宋"/>
          <w:color w:val="auto"/>
          <w:kern w:val="0"/>
          <w:highlight w:val="none"/>
        </w:rPr>
      </w:pPr>
    </w:p>
    <w:p w14:paraId="2C2C0F41">
      <w:pPr>
        <w:spacing w:line="360" w:lineRule="auto"/>
        <w:ind w:firstLine="422" w:firstLineChars="200"/>
        <w:rPr>
          <w:rFonts w:ascii="仿宋" w:hAnsi="仿宋" w:eastAsia="仿宋" w:cs="仿宋"/>
          <w:b/>
          <w:bCs/>
          <w:color w:val="auto"/>
          <w:kern w:val="0"/>
          <w:highlight w:val="none"/>
        </w:rPr>
      </w:pPr>
      <w:r>
        <w:rPr>
          <w:rFonts w:hint="eastAsia" w:ascii="仿宋" w:hAnsi="仿宋" w:eastAsia="仿宋" w:cs="仿宋"/>
          <w:b/>
          <w:bCs/>
          <w:color w:val="auto"/>
          <w:kern w:val="0"/>
          <w:highlight w:val="none"/>
        </w:rPr>
        <w:t>采用《建设工程施工合同（示范文本）》（GF—2017—0201）。</w:t>
      </w:r>
    </w:p>
    <w:p w14:paraId="5CEE1CD6">
      <w:pPr>
        <w:pStyle w:val="4"/>
        <w:rPr>
          <w:rFonts w:ascii="仿宋" w:hAnsi="仿宋" w:eastAsia="仿宋" w:cs="仿宋"/>
          <w:color w:val="auto"/>
          <w:highlight w:val="none"/>
        </w:rPr>
      </w:pPr>
      <w:bookmarkStart w:id="132" w:name="_Toc24797"/>
      <w:bookmarkStart w:id="133" w:name="_Toc26059"/>
      <w:bookmarkStart w:id="134" w:name="_Toc26265"/>
      <w:bookmarkStart w:id="135" w:name="_Toc30964"/>
      <w:r>
        <w:rPr>
          <w:rFonts w:hint="eastAsia" w:ascii="仿宋" w:hAnsi="仿宋" w:eastAsia="仿宋" w:cs="仿宋"/>
          <w:color w:val="auto"/>
          <w:highlight w:val="none"/>
        </w:rPr>
        <w:t>1.一般约定</w:t>
      </w:r>
      <w:bookmarkEnd w:id="132"/>
      <w:bookmarkEnd w:id="133"/>
      <w:bookmarkEnd w:id="134"/>
      <w:bookmarkEnd w:id="135"/>
    </w:p>
    <w:p w14:paraId="23E103DA">
      <w:pPr>
        <w:pStyle w:val="5"/>
        <w:numPr>
          <w:ilvl w:val="3"/>
          <w:numId w:val="0"/>
        </w:numPr>
        <w:tabs>
          <w:tab w:val="left" w:pos="2155"/>
          <w:tab w:val="clear" w:pos="912"/>
        </w:tabs>
        <w:rPr>
          <w:rFonts w:ascii="仿宋" w:hAnsi="仿宋" w:eastAsia="仿宋" w:cs="仿宋"/>
          <w:color w:val="auto"/>
          <w:highlight w:val="none"/>
        </w:rPr>
      </w:pPr>
      <w:bookmarkStart w:id="136" w:name="_Toc11858"/>
      <w:bookmarkStart w:id="137" w:name="_Toc11122"/>
      <w:r>
        <w:rPr>
          <w:rFonts w:hint="eastAsia" w:ascii="仿宋" w:hAnsi="仿宋" w:eastAsia="仿宋" w:cs="仿宋"/>
          <w:color w:val="auto"/>
          <w:highlight w:val="none"/>
        </w:rPr>
        <w:t>1.1词语定义与解释</w:t>
      </w:r>
      <w:bookmarkEnd w:id="136"/>
      <w:bookmarkEnd w:id="137"/>
    </w:p>
    <w:p w14:paraId="53EF2E7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合同协议书、通用合同条款、专用合同条款中的下列词语具有本款所赋予的含义：</w:t>
      </w:r>
    </w:p>
    <w:p w14:paraId="163A5C7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1.1.1合同</w:t>
      </w:r>
    </w:p>
    <w:p w14:paraId="69BD65C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1.1.1.1合同：是指根据法律规定和合同当事人约定具有约束力的文件，构成合同的文件包括合同协议书、成交通知书（如果有）、响应函及其附录（如果有）、专用合同条款及其附件、通用合同条款、技术标准和要求、图纸、已标价工程量清单或预算书以及其他合同文件。</w:t>
      </w:r>
    </w:p>
    <w:p w14:paraId="6DBB667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1.1.1.2合同协议书：是指构成合同的由发包人和承包人共同签署的称为“合同协议书”的书面文件。</w:t>
      </w:r>
    </w:p>
    <w:p w14:paraId="6ACE18E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1.1.1.3成交通知书：是指构成合同的由发包人通知承包人中标的书面文件。</w:t>
      </w:r>
    </w:p>
    <w:p w14:paraId="7839543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1.1.1.4响应函：是指构成合同的由承包人填写并签署的用于投标的称为“响应函”的文件。</w:t>
      </w:r>
    </w:p>
    <w:p w14:paraId="55203A6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1.1.1.5响应函附录：是指构成合同的附在响应函后的称为“响应函附录”的文件。</w:t>
      </w:r>
    </w:p>
    <w:p w14:paraId="3483DE3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1.1.1.6技术标准和要求：是指构成合同的施工应当遵守的或指导施工的国家、行业或地方的技术标准和要求，以及合同约定的技术标准和要求。</w:t>
      </w:r>
    </w:p>
    <w:p w14:paraId="26D9A79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1.1.1.7图纸：是指构成合同的图纸，包括由发包人按照合同约定提供或经发包人批准的设计文件、施工图、鸟瞰图及模型等，以及在合同履行过程中形成的图纸文件。图纸应当按照法律规定审查合格。</w:t>
      </w:r>
    </w:p>
    <w:p w14:paraId="37B0F2A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1.1.1.8已标价工程量清单：是指构成合同的由承包人按照规定的格式和要求填写并标明价格的工程量清单，包括说明和表格。</w:t>
      </w:r>
    </w:p>
    <w:p w14:paraId="3363CFB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1.1.1.9预算书：是指构成合同的由承包人按照发包人规定的格式和要求编制的工程预算文件。</w:t>
      </w:r>
    </w:p>
    <w:p w14:paraId="49C8C97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1.1.1.10其他合同文件：是指经合同当事人约定的与工程施工有关的具有合同约束力的文件或书面协议。合同当事人可以在专用合同条款中进行约定。</w:t>
      </w:r>
    </w:p>
    <w:p w14:paraId="01F8392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1.1.2合同当事人及其他相关方</w:t>
      </w:r>
    </w:p>
    <w:p w14:paraId="1E6E2D9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1.1.2.1合同当事人：是指发包人和（或）承包人。</w:t>
      </w:r>
    </w:p>
    <w:p w14:paraId="67A1188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1.1.2.2发包人：是指与承包人签订合同协议书的当事人及取得该当事人资格的合法继承人。</w:t>
      </w:r>
    </w:p>
    <w:p w14:paraId="7237124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1.1.2.3承包人：是指与发包人签订合同协议书的，具有相应工程施工承包资质的当事人及取得该当事人资格的合法继承人。</w:t>
      </w:r>
    </w:p>
    <w:p w14:paraId="600CF1B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1.1.2.4监理人：是指在专用合同条款中指明的，受发包人委托按照法律规定进行工程监督管理的法人或其他组织。</w:t>
      </w:r>
    </w:p>
    <w:p w14:paraId="7314BA7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1.1.2.5设计人：是指在专用合同条款中指明的，受发包人委托负责工程设计并具备相应工程设计资质的法人或其他组织。</w:t>
      </w:r>
    </w:p>
    <w:p w14:paraId="23FBB64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1.1.2.6分包人：是指按照法律规定和合同约定，分包部分工程或工作，并与承包人签订分包合同的具有相应资质的法人。</w:t>
      </w:r>
    </w:p>
    <w:p w14:paraId="293C927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1.1.2.7发包人代表：是指由发包人任命并派驻施工现场在发包人授权范围内行使发包人权利的人。</w:t>
      </w:r>
    </w:p>
    <w:p w14:paraId="3B972EC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1.1.2.8项目经理：是指由承包人任命并派驻施工现场，在承包人授权范围内负责合同履行，且按照法律规定具有相应资格的项目负责人。</w:t>
      </w:r>
    </w:p>
    <w:p w14:paraId="758F799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1.1.2.9总监理工程师：是指由监理人任命并派驻施工现场进行工程监理的总负责人。</w:t>
      </w:r>
    </w:p>
    <w:p w14:paraId="0942FD1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1.1.3工程和设备</w:t>
      </w:r>
    </w:p>
    <w:p w14:paraId="4ECA851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1.1.3.1工程：是指与合同协议书中工程承包范围对应的永久工程和（或）临时工程。</w:t>
      </w:r>
    </w:p>
    <w:p w14:paraId="291D5B0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1.1.3.2永久工程：是指按合同约定建造并移交给发包人的工程，包括工程设备。</w:t>
      </w:r>
    </w:p>
    <w:p w14:paraId="237153D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1.1.3.3临时工程：是指为完成合同约定的永久工程所修建的各类临时性工程，不包括施工设备。</w:t>
      </w:r>
    </w:p>
    <w:p w14:paraId="4C21302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1.1.3.4单位工程：是指在合同协议书中指明的，具备独立施工条件并能形成独立使用功能的永久工程。</w:t>
      </w:r>
    </w:p>
    <w:p w14:paraId="7363609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1.1.3.5工程设备：是指构成永久工程的机电设备、金属结构设备、仪器及其他类似的设备和装置。</w:t>
      </w:r>
    </w:p>
    <w:p w14:paraId="3D78FA2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1.1.3.6施工设备：是指为完成合同约定的各项工作所需的设备、器具和其他物品，但不包括工程设备、临时工程和材料。</w:t>
      </w:r>
    </w:p>
    <w:p w14:paraId="2457A34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1.1.3.7施工现场：是指用于工程施工的场所，以及在专用合同条款中指明作为施工场所组成部分的其他场所，包括永久占地和临时占地。</w:t>
      </w:r>
    </w:p>
    <w:p w14:paraId="4DE0D99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1.1.3.8临时设施：是指为完成合同约定的各项工作所服务的临时性生产和生活设施。</w:t>
      </w:r>
    </w:p>
    <w:p w14:paraId="6E4734A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1.1.3.9永久占地：是指专用合同条款中指明为实施工程需永久占用的土地。</w:t>
      </w:r>
    </w:p>
    <w:p w14:paraId="2EA5699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1.1.3.10临时占地：是指专用合同条款中指明为实施工程需要临时占用的土地。</w:t>
      </w:r>
    </w:p>
    <w:p w14:paraId="69613CB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1.1.4日期和期限</w:t>
      </w:r>
    </w:p>
    <w:p w14:paraId="03E82AF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7004CB2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1.1.4.2竣工日期：包括计划竣工日期和实际竣工日期。计划竣工日期是指合同协议书约定的竣工日期；实际竣工日期按照第13.2.3项〔竣工日期〕的约定确定。</w:t>
      </w:r>
    </w:p>
    <w:p w14:paraId="174B133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1.1.4.3工期：是指在合同协议书约定的承包人完成工程所需的期限，包括按照合同约定所作的期限变更。</w:t>
      </w:r>
    </w:p>
    <w:p w14:paraId="20DE0DD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1.1.4.4缺陷责任期：是指承包人按照合同约定承担缺陷修复义务，且发包人预留质量保证金（已缴纳履约保证金的除外）的期限，自工程实际竣工日期起计算。</w:t>
      </w:r>
    </w:p>
    <w:p w14:paraId="59C8C3C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1.1.4.5保修期：是指承包人按照合同约定对工程承担保修责任的期限，从工程竣工验收合格之日起计算。</w:t>
      </w:r>
    </w:p>
    <w:p w14:paraId="7C3FE8B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1.1.4.6基准日期：招标发包的工程以投标截止日前28天的日期为基准日期，直接发包的工程以合同签订日前28天的日期为基准日期。</w:t>
      </w:r>
    </w:p>
    <w:p w14:paraId="76EFEFE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1.1.4.7天：除特别指明外，均指日历天。合同中按天计算时间的，开始当天不计入，从次日开始计算，期限最后一天的截止时间为当天24：00时。</w:t>
      </w:r>
    </w:p>
    <w:p w14:paraId="360436E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1.1.5合同价格和费用</w:t>
      </w:r>
    </w:p>
    <w:p w14:paraId="24B0C53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1.1.5.1签约合同价：是指发包人和承包人在合同协议书中确定的总金额，包括安全文明施工费、暂估价及暂列金额等。</w:t>
      </w:r>
    </w:p>
    <w:p w14:paraId="5778AEC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1.1.5.2合同价格：是指发包人用于支付承包人按照合同约定完成承包范围内全部工作的金额，包括合同履行过程中按合同约定发生的价格变化。</w:t>
      </w:r>
    </w:p>
    <w:p w14:paraId="3ABDDA1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1.1.5.3费用：是指为履行合同所发生的或将要发生的所有必需的开支，包括管理费和应分摊的其他费用，但不包括利润。</w:t>
      </w:r>
    </w:p>
    <w:p w14:paraId="4975314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1.1.5.4暂估价：是指发包人在工程量清单或预算书中提供的用于支付必然发生但暂时不能确定价格的材料、工程设备的单价、专业工程以及服务工作的金额。</w:t>
      </w:r>
    </w:p>
    <w:p w14:paraId="7BDFB7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079C60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1.1.5.6计日工：是指合同履行过程中，承包人完成发包人提出的零星工作或需要采用计日工计价的变更工作时，按合同中约定的单价计价的一种方式。</w:t>
      </w:r>
    </w:p>
    <w:p w14:paraId="2AF5573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1.1.5.7质量保证金：是指按照第15.3款〔质量保证金〕约定承包人用于保证其在缺陷责任期内履行缺陷修补义务的担保。</w:t>
      </w:r>
    </w:p>
    <w:p w14:paraId="2BEE3DE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1.1.5.8总价项目：是指在现行国家、行业以及地方的计量规则中无工程量计算规则，在已标价工程量清单或预算书中以总价或以费率形式计算的项目。</w:t>
      </w:r>
    </w:p>
    <w:p w14:paraId="73424B0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1.1.6其他</w:t>
      </w:r>
    </w:p>
    <w:p w14:paraId="03E3ED7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1.1.6.1书面形式：是指合同文件、信函、电报、传真等可以有形地表现所载内容的形式。</w:t>
      </w:r>
    </w:p>
    <w:p w14:paraId="6022EDBA">
      <w:pPr>
        <w:pStyle w:val="5"/>
        <w:numPr>
          <w:ilvl w:val="3"/>
          <w:numId w:val="0"/>
        </w:numPr>
        <w:tabs>
          <w:tab w:val="left" w:pos="2155"/>
          <w:tab w:val="clear" w:pos="912"/>
        </w:tabs>
        <w:rPr>
          <w:rFonts w:ascii="仿宋" w:hAnsi="仿宋" w:eastAsia="仿宋" w:cs="仿宋"/>
          <w:color w:val="auto"/>
          <w:highlight w:val="none"/>
        </w:rPr>
      </w:pPr>
      <w:bookmarkStart w:id="138" w:name="_Toc10296"/>
      <w:bookmarkStart w:id="139" w:name="_Toc25375"/>
      <w:r>
        <w:rPr>
          <w:rFonts w:hint="eastAsia" w:ascii="仿宋" w:hAnsi="仿宋" w:eastAsia="仿宋" w:cs="仿宋"/>
          <w:color w:val="auto"/>
          <w:highlight w:val="none"/>
        </w:rPr>
        <w:t>1.2语言文字</w:t>
      </w:r>
      <w:bookmarkEnd w:id="138"/>
      <w:bookmarkEnd w:id="139"/>
    </w:p>
    <w:p w14:paraId="466689B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合同以中国的汉语简体文字编写、解释和说明。合同当事人在专用合同条款中约定使用两种以上语言时，汉语为优先解释和说明合同的语言。</w:t>
      </w:r>
    </w:p>
    <w:p w14:paraId="78DD2992">
      <w:pPr>
        <w:pStyle w:val="5"/>
        <w:numPr>
          <w:ilvl w:val="3"/>
          <w:numId w:val="0"/>
        </w:numPr>
        <w:tabs>
          <w:tab w:val="left" w:pos="2155"/>
          <w:tab w:val="clear" w:pos="912"/>
        </w:tabs>
        <w:rPr>
          <w:rFonts w:ascii="仿宋" w:hAnsi="仿宋" w:eastAsia="仿宋" w:cs="仿宋"/>
          <w:color w:val="auto"/>
          <w:highlight w:val="none"/>
        </w:rPr>
      </w:pPr>
      <w:bookmarkStart w:id="140" w:name="_Toc5416"/>
      <w:bookmarkStart w:id="141" w:name="_Toc4133"/>
      <w:r>
        <w:rPr>
          <w:rFonts w:hint="eastAsia" w:ascii="仿宋" w:hAnsi="仿宋" w:eastAsia="仿宋" w:cs="仿宋"/>
          <w:color w:val="auto"/>
          <w:highlight w:val="none"/>
        </w:rPr>
        <w:t>1.3法律</w:t>
      </w:r>
      <w:bookmarkEnd w:id="140"/>
      <w:bookmarkEnd w:id="141"/>
    </w:p>
    <w:p w14:paraId="6C93581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合同所称法律是指中华人民共和国法律、行政法规、部门规章，以及工程所在地的地方性法规、自治条例、单行条例和地方政府规章等。</w:t>
      </w:r>
    </w:p>
    <w:p w14:paraId="74AADB8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合同当事人可以在专用合同条款中约定合同适用的其他规范性文件。</w:t>
      </w:r>
    </w:p>
    <w:p w14:paraId="58FBDE06">
      <w:pPr>
        <w:pStyle w:val="5"/>
        <w:numPr>
          <w:ilvl w:val="3"/>
          <w:numId w:val="0"/>
        </w:numPr>
        <w:tabs>
          <w:tab w:val="left" w:pos="2155"/>
          <w:tab w:val="clear" w:pos="912"/>
        </w:tabs>
        <w:rPr>
          <w:rFonts w:ascii="仿宋" w:hAnsi="仿宋" w:eastAsia="仿宋" w:cs="仿宋"/>
          <w:color w:val="auto"/>
          <w:highlight w:val="none"/>
        </w:rPr>
      </w:pPr>
      <w:bookmarkStart w:id="142" w:name="_Toc5380"/>
      <w:bookmarkStart w:id="143" w:name="_Toc32257"/>
      <w:r>
        <w:rPr>
          <w:rFonts w:hint="eastAsia" w:ascii="仿宋" w:hAnsi="仿宋" w:eastAsia="仿宋" w:cs="仿宋"/>
          <w:color w:val="auto"/>
          <w:highlight w:val="none"/>
        </w:rPr>
        <w:t>1.4标准和规范</w:t>
      </w:r>
      <w:bookmarkEnd w:id="142"/>
      <w:bookmarkEnd w:id="143"/>
    </w:p>
    <w:p w14:paraId="4CC5B92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1.4.1适用于工程的国家标准、行业标准、工程所在地的地方性标准，以及相应的规范、规程等，合同当事人有特别要求的，应在专用合同条款中约定。</w:t>
      </w:r>
    </w:p>
    <w:p w14:paraId="52763FD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1.4.2发包人要求使用国外标准、规范的，发包人负责提供原文版本和中文译本，并在专用合同条款中约定提供标准规范的名称、份数和时间。</w:t>
      </w:r>
    </w:p>
    <w:p w14:paraId="41F8588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9100181">
      <w:pPr>
        <w:pStyle w:val="5"/>
        <w:numPr>
          <w:ilvl w:val="3"/>
          <w:numId w:val="0"/>
        </w:numPr>
        <w:tabs>
          <w:tab w:val="left" w:pos="2155"/>
          <w:tab w:val="clear" w:pos="912"/>
        </w:tabs>
        <w:rPr>
          <w:rFonts w:ascii="仿宋" w:hAnsi="仿宋" w:eastAsia="仿宋" w:cs="仿宋"/>
          <w:color w:val="auto"/>
          <w:highlight w:val="none"/>
        </w:rPr>
      </w:pPr>
      <w:bookmarkStart w:id="144" w:name="_Toc12316"/>
      <w:bookmarkStart w:id="145" w:name="_Toc4120"/>
      <w:r>
        <w:rPr>
          <w:rFonts w:hint="eastAsia" w:ascii="仿宋" w:hAnsi="仿宋" w:eastAsia="仿宋" w:cs="仿宋"/>
          <w:color w:val="auto"/>
          <w:highlight w:val="none"/>
        </w:rPr>
        <w:t>1.5合同文件的优先顺序</w:t>
      </w:r>
      <w:bookmarkEnd w:id="144"/>
      <w:bookmarkEnd w:id="145"/>
    </w:p>
    <w:p w14:paraId="3F7374D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组成合同的各项文件应互相解释，互为说明。除专用合同条款另有约定外，解释合同文件的优先顺序如下：</w:t>
      </w:r>
    </w:p>
    <w:p w14:paraId="7C89E51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（1）合同协议书；</w:t>
      </w:r>
    </w:p>
    <w:p w14:paraId="38831D0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（2）成交通知书（如果有）；</w:t>
      </w:r>
    </w:p>
    <w:p w14:paraId="7A8EAAF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（3）响应函及其附录（如果有）；</w:t>
      </w:r>
    </w:p>
    <w:p w14:paraId="282B35B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（4）专用合同条款及其附件；</w:t>
      </w:r>
    </w:p>
    <w:p w14:paraId="1759051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（5）通用合同条款；</w:t>
      </w:r>
    </w:p>
    <w:p w14:paraId="7EEFEA7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（6）技术标准和要求；</w:t>
      </w:r>
    </w:p>
    <w:p w14:paraId="65BC148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（7）已标价工程量清单或预算书；</w:t>
      </w:r>
    </w:p>
    <w:p w14:paraId="2CBDC5F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（8）图纸；</w:t>
      </w:r>
    </w:p>
    <w:p w14:paraId="2E2BB75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（9）其他合同文件：</w:t>
      </w:r>
      <w:r>
        <w:rPr>
          <w:rFonts w:hint="eastAsia" w:ascii="仿宋" w:hAnsi="仿宋" w:eastAsia="仿宋" w:cs="仿宋"/>
          <w:color w:val="auto"/>
          <w:szCs w:val="21"/>
          <w:highlight w:val="none"/>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Pr>
          <w:rFonts w:hint="eastAsia" w:ascii="仿宋" w:hAnsi="仿宋" w:eastAsia="仿宋" w:cs="仿宋"/>
          <w:color w:val="auto"/>
          <w:szCs w:val="21"/>
          <w:highlight w:val="none"/>
        </w:rPr>
        <w:t>。</w:t>
      </w:r>
    </w:p>
    <w:p w14:paraId="5153C54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上述各项合同文件包括合同当事人就该项合同文件所作出的补充和修改，属于同一类内容的文件，应以最新签署的为准。</w:t>
      </w:r>
    </w:p>
    <w:p w14:paraId="18B86D9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在合同订立及履行过程中形成的与合同有关的文件均构成合同文件组成部分，并根据其性质确定优先解释顺序。</w:t>
      </w:r>
    </w:p>
    <w:p w14:paraId="64FE249A">
      <w:pPr>
        <w:pStyle w:val="5"/>
        <w:numPr>
          <w:ilvl w:val="3"/>
          <w:numId w:val="0"/>
        </w:numPr>
        <w:tabs>
          <w:tab w:val="left" w:pos="2155"/>
          <w:tab w:val="clear" w:pos="912"/>
        </w:tabs>
        <w:rPr>
          <w:rFonts w:ascii="仿宋" w:hAnsi="仿宋" w:eastAsia="仿宋" w:cs="仿宋"/>
          <w:color w:val="auto"/>
          <w:highlight w:val="none"/>
        </w:rPr>
      </w:pPr>
      <w:bookmarkStart w:id="146" w:name="_Toc22396"/>
      <w:bookmarkStart w:id="147" w:name="_Toc702"/>
      <w:r>
        <w:rPr>
          <w:rFonts w:hint="eastAsia" w:ascii="仿宋" w:hAnsi="仿宋" w:eastAsia="仿宋" w:cs="仿宋"/>
          <w:color w:val="auto"/>
          <w:highlight w:val="none"/>
        </w:rPr>
        <w:t>1.6图纸和承包人文件</w:t>
      </w:r>
      <w:bookmarkEnd w:id="146"/>
      <w:bookmarkEnd w:id="147"/>
    </w:p>
    <w:p w14:paraId="4A353F4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1.6.1图纸的提供和交底</w:t>
      </w:r>
    </w:p>
    <w:p w14:paraId="45D8C72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40870F0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因发包人未按合同约定提供图纸导致承包人费用增加和（或）工期延误的，按照第7.5.1项〔因发包人原因导致工期延误〕约定办理。</w:t>
      </w:r>
    </w:p>
    <w:p w14:paraId="02832CA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1.6.2图纸的错误</w:t>
      </w:r>
    </w:p>
    <w:p w14:paraId="04DA304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7EDA72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1.6.3图纸的修改和补充</w:t>
      </w:r>
    </w:p>
    <w:p w14:paraId="0962BA5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05E6FD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1.6.4承包人文件</w:t>
      </w:r>
    </w:p>
    <w:p w14:paraId="2CF4796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承包人应按照专用合同条款的约定提供应当由其编制的与工程施工有关的文件，并按照专用合同条款约定的期限、数量和形式提交监理人，并由监理人报送发包人。</w:t>
      </w:r>
    </w:p>
    <w:p w14:paraId="19E28DB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7798F6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1.6.5图纸和承包人文件的保管</w:t>
      </w:r>
    </w:p>
    <w:p w14:paraId="5C30B38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除专用合同条款另有约定外，承包人应在施工现场另外保存一套完整的图纸和承包人文件，供发包人、监理人及有关人员进行工程检查时使用。</w:t>
      </w:r>
    </w:p>
    <w:p w14:paraId="77682057">
      <w:pPr>
        <w:pStyle w:val="5"/>
        <w:numPr>
          <w:ilvl w:val="3"/>
          <w:numId w:val="0"/>
        </w:numPr>
        <w:tabs>
          <w:tab w:val="left" w:pos="2155"/>
          <w:tab w:val="clear" w:pos="912"/>
        </w:tabs>
        <w:rPr>
          <w:rFonts w:ascii="仿宋" w:hAnsi="仿宋" w:eastAsia="仿宋" w:cs="仿宋"/>
          <w:color w:val="auto"/>
          <w:highlight w:val="none"/>
        </w:rPr>
      </w:pPr>
      <w:bookmarkStart w:id="148" w:name="_Toc5696"/>
      <w:bookmarkStart w:id="149" w:name="_Toc839"/>
      <w:r>
        <w:rPr>
          <w:rFonts w:hint="eastAsia" w:ascii="仿宋" w:hAnsi="仿宋" w:eastAsia="仿宋" w:cs="仿宋"/>
          <w:color w:val="auto"/>
          <w:highlight w:val="none"/>
        </w:rPr>
        <w:t>1.7联络</w:t>
      </w:r>
      <w:bookmarkEnd w:id="148"/>
      <w:bookmarkEnd w:id="149"/>
    </w:p>
    <w:p w14:paraId="63E485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1.7.1与合同有关的通知、批准、证明、证书、指示、指令、要求、请求、同意、意见、确定和决定等，均应采用书面形式，并应在合同约定的期限内送达接收人和送达地点。</w:t>
      </w:r>
    </w:p>
    <w:p w14:paraId="717AA55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1.7.2发包人和承包人应在专用合同条款中约定各自的送达接收人和送达地点。任何一方合同当事人指定的接收人或送达地点发生变动的，应提前3天以书面形式通知对方。</w:t>
      </w:r>
    </w:p>
    <w:p w14:paraId="054A3BE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1.7.3发包人和承包人应当及时签收另一方送达至送达地点和指定接收人的来往信函。拒不签收的，由此增加的费用和（或）延误的工期由拒绝接收一方承担。</w:t>
      </w:r>
    </w:p>
    <w:p w14:paraId="3980D7C3">
      <w:pPr>
        <w:pStyle w:val="5"/>
        <w:numPr>
          <w:ilvl w:val="3"/>
          <w:numId w:val="0"/>
        </w:numPr>
        <w:tabs>
          <w:tab w:val="left" w:pos="2155"/>
          <w:tab w:val="clear" w:pos="912"/>
        </w:tabs>
        <w:rPr>
          <w:rFonts w:ascii="仿宋" w:hAnsi="仿宋" w:eastAsia="仿宋" w:cs="仿宋"/>
          <w:color w:val="auto"/>
          <w:highlight w:val="none"/>
        </w:rPr>
      </w:pPr>
      <w:bookmarkStart w:id="150" w:name="_Toc12630"/>
      <w:bookmarkStart w:id="151" w:name="_Toc11217"/>
      <w:r>
        <w:rPr>
          <w:rFonts w:hint="eastAsia" w:ascii="仿宋" w:hAnsi="仿宋" w:eastAsia="仿宋" w:cs="仿宋"/>
          <w:color w:val="auto"/>
          <w:highlight w:val="none"/>
        </w:rPr>
        <w:t>1.8严禁贿赂</w:t>
      </w:r>
      <w:bookmarkEnd w:id="150"/>
      <w:bookmarkEnd w:id="151"/>
    </w:p>
    <w:p w14:paraId="6944E75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合同当事人不得以贿赂或变相贿赂的方式，谋取非法利益或损害对方权益。因一方合同当事人的贿赂造成对方损失的，应赔偿损失，并承担相应的法律责任。</w:t>
      </w:r>
    </w:p>
    <w:p w14:paraId="65C3E90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3393E9CB">
      <w:pPr>
        <w:pStyle w:val="5"/>
        <w:numPr>
          <w:ilvl w:val="3"/>
          <w:numId w:val="0"/>
        </w:numPr>
        <w:tabs>
          <w:tab w:val="left" w:pos="2155"/>
          <w:tab w:val="clear" w:pos="912"/>
        </w:tabs>
        <w:rPr>
          <w:rFonts w:ascii="仿宋" w:hAnsi="仿宋" w:eastAsia="仿宋" w:cs="仿宋"/>
          <w:color w:val="auto"/>
          <w:highlight w:val="none"/>
        </w:rPr>
      </w:pPr>
      <w:bookmarkStart w:id="152" w:name="_Toc22372"/>
      <w:bookmarkStart w:id="153" w:name="_Toc14705"/>
      <w:r>
        <w:rPr>
          <w:rFonts w:hint="eastAsia" w:ascii="仿宋" w:hAnsi="仿宋" w:eastAsia="仿宋" w:cs="仿宋"/>
          <w:color w:val="auto"/>
          <w:highlight w:val="none"/>
        </w:rPr>
        <w:t>1.9化石、文物</w:t>
      </w:r>
      <w:bookmarkEnd w:id="152"/>
      <w:bookmarkEnd w:id="153"/>
    </w:p>
    <w:p w14:paraId="794AEBE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82F4E6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发包人、监理人和承包人应按有关政府行政管理部门要求采取妥善的保护措施，由此增加的费用和（或）延误的工期由发包人承担。</w:t>
      </w:r>
    </w:p>
    <w:p w14:paraId="41DA314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承包人发现文物后不及时报告或隐瞒不报，致使文物丢失或损坏的，应赔偿损失，并承担相应的法律责任。</w:t>
      </w:r>
    </w:p>
    <w:p w14:paraId="3339B1D7">
      <w:pPr>
        <w:pStyle w:val="5"/>
        <w:numPr>
          <w:ilvl w:val="3"/>
          <w:numId w:val="0"/>
        </w:numPr>
        <w:tabs>
          <w:tab w:val="left" w:pos="2155"/>
          <w:tab w:val="clear" w:pos="912"/>
        </w:tabs>
        <w:rPr>
          <w:rFonts w:ascii="仿宋" w:hAnsi="仿宋" w:eastAsia="仿宋" w:cs="仿宋"/>
          <w:color w:val="auto"/>
          <w:highlight w:val="none"/>
        </w:rPr>
      </w:pPr>
      <w:bookmarkStart w:id="154" w:name="_Toc10693"/>
      <w:bookmarkStart w:id="155" w:name="_Toc18174"/>
      <w:r>
        <w:rPr>
          <w:rFonts w:hint="eastAsia" w:ascii="仿宋" w:hAnsi="仿宋" w:eastAsia="仿宋" w:cs="仿宋"/>
          <w:color w:val="auto"/>
          <w:highlight w:val="none"/>
        </w:rPr>
        <w:t>1.10交通运输</w:t>
      </w:r>
      <w:bookmarkEnd w:id="154"/>
      <w:bookmarkEnd w:id="155"/>
    </w:p>
    <w:p w14:paraId="1B7571A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1.10.1出入现场的权利</w:t>
      </w:r>
    </w:p>
    <w:p w14:paraId="21A0F6F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FD776F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3D61DB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1.10.2场外交通</w:t>
      </w:r>
    </w:p>
    <w:p w14:paraId="2881E6C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7F01DD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1.10.3场内交通</w:t>
      </w:r>
    </w:p>
    <w:p w14:paraId="48B1F71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D9ACCD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330114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场外交通和场内交通的边界由合同当事人在专用合同条款中约定。</w:t>
      </w:r>
    </w:p>
    <w:p w14:paraId="4ACDC8B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1.10.4超大件和超重件的运输</w:t>
      </w:r>
    </w:p>
    <w:p w14:paraId="35A567D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159887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1.10.5道路和桥梁的损坏责任</w:t>
      </w:r>
    </w:p>
    <w:p w14:paraId="435A774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因承包人运输造成施工场地内外公共道路和桥梁损坏的，由承包人承担修复损坏的全部费用和可能引起的赔偿。</w:t>
      </w:r>
    </w:p>
    <w:p w14:paraId="6460A43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1.10.6水路和航空运输</w:t>
      </w:r>
    </w:p>
    <w:p w14:paraId="10C09E8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2D912424">
      <w:pPr>
        <w:pStyle w:val="5"/>
        <w:numPr>
          <w:ilvl w:val="3"/>
          <w:numId w:val="0"/>
        </w:numPr>
        <w:tabs>
          <w:tab w:val="left" w:pos="2155"/>
          <w:tab w:val="clear" w:pos="912"/>
        </w:tabs>
        <w:rPr>
          <w:rFonts w:ascii="仿宋" w:hAnsi="仿宋" w:eastAsia="仿宋" w:cs="仿宋"/>
          <w:color w:val="auto"/>
          <w:highlight w:val="none"/>
        </w:rPr>
      </w:pPr>
      <w:bookmarkStart w:id="156" w:name="_Toc15311"/>
      <w:bookmarkStart w:id="157" w:name="_Toc16480"/>
      <w:r>
        <w:rPr>
          <w:rFonts w:hint="eastAsia" w:ascii="仿宋" w:hAnsi="仿宋" w:eastAsia="仿宋" w:cs="仿宋"/>
          <w:color w:val="auto"/>
          <w:highlight w:val="none"/>
        </w:rPr>
        <w:t>1.11知识产权</w:t>
      </w:r>
      <w:bookmarkEnd w:id="156"/>
      <w:bookmarkEnd w:id="157"/>
    </w:p>
    <w:p w14:paraId="495E237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A98ED8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0A2D67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2955AC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1.11.4除专用合同条款另有约定外，承包人在合同签订前和签订时已确定采用的专利、专有技术、技术秘密的使用费已包含在签约合同价中。</w:t>
      </w:r>
    </w:p>
    <w:p w14:paraId="6D9E6DF3">
      <w:pPr>
        <w:pStyle w:val="5"/>
        <w:numPr>
          <w:ilvl w:val="3"/>
          <w:numId w:val="0"/>
        </w:numPr>
        <w:tabs>
          <w:tab w:val="left" w:pos="2155"/>
          <w:tab w:val="clear" w:pos="912"/>
        </w:tabs>
        <w:rPr>
          <w:rFonts w:ascii="仿宋" w:hAnsi="仿宋" w:eastAsia="仿宋" w:cs="仿宋"/>
          <w:color w:val="auto"/>
          <w:highlight w:val="none"/>
        </w:rPr>
      </w:pPr>
      <w:bookmarkStart w:id="158" w:name="_Toc27706"/>
      <w:bookmarkStart w:id="159" w:name="_Toc6063"/>
      <w:r>
        <w:rPr>
          <w:rFonts w:hint="eastAsia" w:ascii="仿宋" w:hAnsi="仿宋" w:eastAsia="仿宋" w:cs="仿宋"/>
          <w:color w:val="auto"/>
          <w:highlight w:val="none"/>
        </w:rPr>
        <w:t>1.12保密</w:t>
      </w:r>
      <w:bookmarkEnd w:id="158"/>
      <w:bookmarkEnd w:id="159"/>
    </w:p>
    <w:p w14:paraId="41DB385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除法律规定或合同另有约定外，未经发包人同意，承包人不得将发包人提供的图纸、文件以及声明需要保密的资料信息等商业秘密泄露给第三方。</w:t>
      </w:r>
    </w:p>
    <w:p w14:paraId="6B251CA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除法律规定或合同另有约定外，未经承包人同意，发包人不得将承包人提供的技术秘密及声明需要保密的资料信息等商业秘密泄露给第三方。</w:t>
      </w:r>
    </w:p>
    <w:p w14:paraId="4C74D0C8">
      <w:pPr>
        <w:pStyle w:val="5"/>
        <w:numPr>
          <w:ilvl w:val="3"/>
          <w:numId w:val="0"/>
        </w:numPr>
        <w:tabs>
          <w:tab w:val="left" w:pos="2155"/>
          <w:tab w:val="clear" w:pos="912"/>
        </w:tabs>
        <w:rPr>
          <w:rFonts w:ascii="仿宋" w:hAnsi="仿宋" w:eastAsia="仿宋" w:cs="仿宋"/>
          <w:color w:val="auto"/>
          <w:highlight w:val="none"/>
        </w:rPr>
      </w:pPr>
      <w:bookmarkStart w:id="160" w:name="_Toc26202"/>
      <w:bookmarkStart w:id="161" w:name="_Toc1418"/>
      <w:r>
        <w:rPr>
          <w:rFonts w:hint="eastAsia" w:ascii="仿宋" w:hAnsi="仿宋" w:eastAsia="仿宋" w:cs="仿宋"/>
          <w:color w:val="auto"/>
          <w:highlight w:val="none"/>
        </w:rPr>
        <w:t>1.13工程量清单错误的修正</w:t>
      </w:r>
      <w:bookmarkEnd w:id="160"/>
      <w:bookmarkEnd w:id="161"/>
    </w:p>
    <w:p w14:paraId="4726A45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除专用合同条款另有约定外，发包人提供的工程量清单，应被认为是准确的和完整的。出现下列情形之一时，发包人应予以修正，并相应调整合同价格：</w:t>
      </w:r>
    </w:p>
    <w:p w14:paraId="1D55941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（1）工程量清单存在缺项、漏项的；</w:t>
      </w:r>
    </w:p>
    <w:p w14:paraId="09881CB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（2）工程量清单偏差超出专用合同条款约定的工程量偏差范围的；</w:t>
      </w:r>
    </w:p>
    <w:p w14:paraId="2BFE6A7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（3）未按照国家现行计量规范强制性规定计量的。</w:t>
      </w:r>
    </w:p>
    <w:p w14:paraId="3FF64B8A">
      <w:pPr>
        <w:pStyle w:val="4"/>
        <w:rPr>
          <w:rFonts w:ascii="仿宋" w:hAnsi="仿宋" w:eastAsia="仿宋" w:cs="仿宋"/>
          <w:color w:val="auto"/>
          <w:highlight w:val="none"/>
        </w:rPr>
      </w:pPr>
      <w:bookmarkStart w:id="162" w:name="_Toc334"/>
      <w:bookmarkStart w:id="163" w:name="_Toc26166"/>
      <w:bookmarkStart w:id="164" w:name="_Toc22752"/>
      <w:bookmarkStart w:id="165" w:name="_Toc9540"/>
      <w:r>
        <w:rPr>
          <w:rFonts w:hint="eastAsia" w:ascii="仿宋" w:hAnsi="仿宋" w:eastAsia="仿宋" w:cs="仿宋"/>
          <w:color w:val="auto"/>
          <w:highlight w:val="none"/>
        </w:rPr>
        <w:t>2.发包人</w:t>
      </w:r>
      <w:bookmarkEnd w:id="162"/>
      <w:bookmarkEnd w:id="163"/>
      <w:bookmarkEnd w:id="164"/>
      <w:bookmarkEnd w:id="165"/>
    </w:p>
    <w:p w14:paraId="24F9CE12">
      <w:pPr>
        <w:pStyle w:val="5"/>
        <w:numPr>
          <w:ilvl w:val="3"/>
          <w:numId w:val="0"/>
        </w:numPr>
        <w:tabs>
          <w:tab w:val="left" w:pos="2155"/>
          <w:tab w:val="clear" w:pos="912"/>
        </w:tabs>
        <w:rPr>
          <w:rFonts w:ascii="仿宋" w:hAnsi="仿宋" w:eastAsia="仿宋" w:cs="仿宋"/>
          <w:color w:val="auto"/>
          <w:highlight w:val="none"/>
        </w:rPr>
      </w:pPr>
      <w:bookmarkStart w:id="166" w:name="_Toc31084"/>
      <w:bookmarkStart w:id="167" w:name="_Toc4300"/>
      <w:r>
        <w:rPr>
          <w:rFonts w:hint="eastAsia" w:ascii="仿宋" w:hAnsi="仿宋" w:eastAsia="仿宋" w:cs="仿宋"/>
          <w:color w:val="auto"/>
          <w:highlight w:val="none"/>
        </w:rPr>
        <w:t>2.1许可或批准</w:t>
      </w:r>
      <w:bookmarkEnd w:id="166"/>
      <w:bookmarkEnd w:id="167"/>
    </w:p>
    <w:p w14:paraId="683C8E5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467540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因发包人原因未能及时办理完毕前述许可、批准或备案，由发包人承担由此增加的费用和（或）延误的工期，并支付承包人合理的利润。</w:t>
      </w:r>
    </w:p>
    <w:p w14:paraId="0EF3C9ED">
      <w:pPr>
        <w:pStyle w:val="5"/>
        <w:numPr>
          <w:ilvl w:val="3"/>
          <w:numId w:val="0"/>
        </w:numPr>
        <w:tabs>
          <w:tab w:val="left" w:pos="2155"/>
          <w:tab w:val="clear" w:pos="912"/>
        </w:tabs>
        <w:rPr>
          <w:rFonts w:ascii="仿宋" w:hAnsi="仿宋" w:eastAsia="仿宋" w:cs="仿宋"/>
          <w:color w:val="auto"/>
          <w:highlight w:val="none"/>
        </w:rPr>
      </w:pPr>
      <w:bookmarkStart w:id="168" w:name="_Toc25604"/>
      <w:bookmarkStart w:id="169" w:name="_Toc17481"/>
      <w:r>
        <w:rPr>
          <w:rFonts w:hint="eastAsia" w:ascii="仿宋" w:hAnsi="仿宋" w:eastAsia="仿宋" w:cs="仿宋"/>
          <w:color w:val="auto"/>
          <w:highlight w:val="none"/>
        </w:rPr>
        <w:t>2.2发包人代表</w:t>
      </w:r>
      <w:bookmarkEnd w:id="168"/>
      <w:bookmarkEnd w:id="169"/>
    </w:p>
    <w:p w14:paraId="172F5C5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17E280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发包人代表不能按照合同约定履行其职责及义务，并导致合同无法继续正常履行的，承包人可以要求发包人撤换发包人代表。</w:t>
      </w:r>
    </w:p>
    <w:p w14:paraId="1492700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不属于法定必须监理的工程，监理人的职权可以由发包人代表或发包人指定的其他人员行使。</w:t>
      </w:r>
    </w:p>
    <w:p w14:paraId="025F24AE">
      <w:pPr>
        <w:pStyle w:val="5"/>
        <w:numPr>
          <w:ilvl w:val="3"/>
          <w:numId w:val="0"/>
        </w:numPr>
        <w:tabs>
          <w:tab w:val="left" w:pos="2155"/>
          <w:tab w:val="clear" w:pos="912"/>
        </w:tabs>
        <w:rPr>
          <w:rFonts w:ascii="仿宋" w:hAnsi="仿宋" w:eastAsia="仿宋" w:cs="仿宋"/>
          <w:color w:val="auto"/>
          <w:highlight w:val="none"/>
        </w:rPr>
      </w:pPr>
      <w:bookmarkStart w:id="170" w:name="_Toc10662"/>
      <w:bookmarkStart w:id="171" w:name="_Toc15636"/>
      <w:r>
        <w:rPr>
          <w:rFonts w:hint="eastAsia" w:ascii="仿宋" w:hAnsi="仿宋" w:eastAsia="仿宋" w:cs="仿宋"/>
          <w:color w:val="auto"/>
          <w:highlight w:val="none"/>
        </w:rPr>
        <w:t>2.3发包人人员</w:t>
      </w:r>
      <w:bookmarkEnd w:id="170"/>
      <w:bookmarkEnd w:id="171"/>
    </w:p>
    <w:p w14:paraId="5D8356E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7790287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发包人人员包括发包人代表及其他由发包人派驻施工现场的人员。</w:t>
      </w:r>
    </w:p>
    <w:p w14:paraId="5A7AAB86">
      <w:pPr>
        <w:pStyle w:val="5"/>
        <w:numPr>
          <w:ilvl w:val="3"/>
          <w:numId w:val="0"/>
        </w:numPr>
        <w:tabs>
          <w:tab w:val="left" w:pos="2155"/>
          <w:tab w:val="clear" w:pos="912"/>
        </w:tabs>
        <w:rPr>
          <w:rFonts w:ascii="仿宋" w:hAnsi="仿宋" w:eastAsia="仿宋" w:cs="仿宋"/>
          <w:color w:val="auto"/>
          <w:highlight w:val="none"/>
        </w:rPr>
      </w:pPr>
      <w:bookmarkStart w:id="172" w:name="_Toc28000"/>
      <w:bookmarkStart w:id="173" w:name="_Toc11945"/>
      <w:r>
        <w:rPr>
          <w:rFonts w:hint="eastAsia" w:ascii="仿宋" w:hAnsi="仿宋" w:eastAsia="仿宋" w:cs="仿宋"/>
          <w:color w:val="auto"/>
          <w:highlight w:val="none"/>
        </w:rPr>
        <w:t>2.4施工现场、施工条件和基础资料的提供</w:t>
      </w:r>
      <w:bookmarkEnd w:id="172"/>
      <w:bookmarkEnd w:id="173"/>
    </w:p>
    <w:p w14:paraId="28FD905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2.4.1提供施工现场</w:t>
      </w:r>
    </w:p>
    <w:p w14:paraId="6BE72F8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除专用合同条款另有约定外，发包人应最迟于开工日期7天前向承包人移交施工现场。</w:t>
      </w:r>
    </w:p>
    <w:p w14:paraId="6010043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2.4.2提供施工条件</w:t>
      </w:r>
    </w:p>
    <w:p w14:paraId="211B703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除专用合同条款另有约定外，发包人应负责提供施工所需要的条件，包括：</w:t>
      </w:r>
    </w:p>
    <w:p w14:paraId="7472050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（1）将施工用水、电力、通讯线路等施工所必需的条件接至施工现场内；</w:t>
      </w:r>
    </w:p>
    <w:p w14:paraId="3EDDF89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（2）保证向承包人提供正常施工所需要的进入施工现场的交通条件；</w:t>
      </w:r>
    </w:p>
    <w:p w14:paraId="5227EA4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（3）协调处理施工现场周围地下管线和邻近建筑物、构筑物、古树名木的保护工作，并承担相关费用；</w:t>
      </w:r>
    </w:p>
    <w:p w14:paraId="46F1ADB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（4）按照专用合同条款约定应提供的其他设施和条件。</w:t>
      </w:r>
    </w:p>
    <w:p w14:paraId="5B18824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2.4.3提供基础资料</w:t>
      </w:r>
    </w:p>
    <w:p w14:paraId="0F18658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127E9E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按照法律规定确需在开工后方能提供的基础资料，发包人应尽其努力及时地在相应工程施工前的合理期限内提供，合理期限应以不影响承包人的正常施工为限。</w:t>
      </w:r>
    </w:p>
    <w:p w14:paraId="7C5C449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2.4.4逾期提供的责任</w:t>
      </w:r>
    </w:p>
    <w:p w14:paraId="1A6E911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因发包人原因未能按合同约定及时向承包人提供施工现场、施工条件、基础资料的，由发包人承担由此增加的费用和（或）延误的工期。</w:t>
      </w:r>
    </w:p>
    <w:p w14:paraId="6E505BDE">
      <w:pPr>
        <w:pStyle w:val="5"/>
        <w:numPr>
          <w:ilvl w:val="3"/>
          <w:numId w:val="0"/>
        </w:numPr>
        <w:tabs>
          <w:tab w:val="left" w:pos="2155"/>
          <w:tab w:val="clear" w:pos="912"/>
        </w:tabs>
        <w:rPr>
          <w:rFonts w:ascii="仿宋" w:hAnsi="仿宋" w:eastAsia="仿宋" w:cs="仿宋"/>
          <w:color w:val="auto"/>
          <w:highlight w:val="none"/>
        </w:rPr>
      </w:pPr>
      <w:bookmarkStart w:id="174" w:name="_Toc17607"/>
      <w:bookmarkStart w:id="175" w:name="_Toc13749"/>
      <w:r>
        <w:rPr>
          <w:rFonts w:hint="eastAsia" w:ascii="仿宋" w:hAnsi="仿宋" w:eastAsia="仿宋" w:cs="仿宋"/>
          <w:color w:val="auto"/>
          <w:highlight w:val="none"/>
        </w:rPr>
        <w:t>2.5资金来源证明及支付担保</w:t>
      </w:r>
      <w:bookmarkEnd w:id="174"/>
      <w:bookmarkEnd w:id="175"/>
    </w:p>
    <w:p w14:paraId="7EAEEE6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除专用合同条款另有约定外，发包人应在收到承包人要求提供资金来源证明的书面通知后28天内，向承包人提供能够按照合同约定支付合同价款的相应资金来源证明。</w:t>
      </w:r>
    </w:p>
    <w:p w14:paraId="4D4F3AF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1D4CCF78">
      <w:pPr>
        <w:pStyle w:val="5"/>
        <w:numPr>
          <w:ilvl w:val="3"/>
          <w:numId w:val="0"/>
        </w:numPr>
        <w:tabs>
          <w:tab w:val="left" w:pos="2155"/>
          <w:tab w:val="clear" w:pos="912"/>
        </w:tabs>
        <w:rPr>
          <w:rFonts w:ascii="仿宋" w:hAnsi="仿宋" w:eastAsia="仿宋" w:cs="仿宋"/>
          <w:color w:val="auto"/>
          <w:highlight w:val="none"/>
        </w:rPr>
      </w:pPr>
      <w:bookmarkStart w:id="176" w:name="_Toc5469"/>
      <w:bookmarkStart w:id="177" w:name="_Toc24137"/>
      <w:r>
        <w:rPr>
          <w:rFonts w:hint="eastAsia" w:ascii="仿宋" w:hAnsi="仿宋" w:eastAsia="仿宋" w:cs="仿宋"/>
          <w:color w:val="auto"/>
          <w:highlight w:val="none"/>
        </w:rPr>
        <w:t>2.6支付合同价款</w:t>
      </w:r>
      <w:bookmarkEnd w:id="176"/>
      <w:bookmarkEnd w:id="177"/>
    </w:p>
    <w:p w14:paraId="77AA228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发包人应按合同约定向承包人及时支付合同价款。</w:t>
      </w:r>
    </w:p>
    <w:p w14:paraId="7F4084A8">
      <w:pPr>
        <w:pStyle w:val="5"/>
        <w:numPr>
          <w:ilvl w:val="3"/>
          <w:numId w:val="0"/>
        </w:numPr>
        <w:tabs>
          <w:tab w:val="left" w:pos="2155"/>
          <w:tab w:val="clear" w:pos="912"/>
        </w:tabs>
        <w:rPr>
          <w:rFonts w:ascii="仿宋" w:hAnsi="仿宋" w:eastAsia="仿宋" w:cs="仿宋"/>
          <w:color w:val="auto"/>
          <w:highlight w:val="none"/>
        </w:rPr>
      </w:pPr>
      <w:bookmarkStart w:id="178" w:name="_Toc26849"/>
      <w:bookmarkStart w:id="179" w:name="_Toc13024"/>
      <w:r>
        <w:rPr>
          <w:rFonts w:hint="eastAsia" w:ascii="仿宋" w:hAnsi="仿宋" w:eastAsia="仿宋" w:cs="仿宋"/>
          <w:color w:val="auto"/>
          <w:highlight w:val="none"/>
        </w:rPr>
        <w:t>2.7组织竣工验收</w:t>
      </w:r>
      <w:bookmarkEnd w:id="178"/>
      <w:bookmarkEnd w:id="179"/>
    </w:p>
    <w:p w14:paraId="3BF75C9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发包人应按合同约定及时组织竣工验收。</w:t>
      </w:r>
    </w:p>
    <w:p w14:paraId="1712B7F8">
      <w:pPr>
        <w:pStyle w:val="5"/>
        <w:numPr>
          <w:ilvl w:val="3"/>
          <w:numId w:val="0"/>
        </w:numPr>
        <w:tabs>
          <w:tab w:val="left" w:pos="2155"/>
          <w:tab w:val="clear" w:pos="912"/>
        </w:tabs>
        <w:rPr>
          <w:rFonts w:ascii="仿宋" w:hAnsi="仿宋" w:eastAsia="仿宋" w:cs="仿宋"/>
          <w:color w:val="auto"/>
          <w:highlight w:val="none"/>
        </w:rPr>
      </w:pPr>
      <w:bookmarkStart w:id="180" w:name="_Toc17324"/>
      <w:bookmarkStart w:id="181" w:name="_Toc12693"/>
      <w:r>
        <w:rPr>
          <w:rFonts w:hint="eastAsia" w:ascii="仿宋" w:hAnsi="仿宋" w:eastAsia="仿宋" w:cs="仿宋"/>
          <w:color w:val="auto"/>
          <w:highlight w:val="none"/>
        </w:rPr>
        <w:t>2.8现场统一管理协议</w:t>
      </w:r>
      <w:bookmarkEnd w:id="180"/>
      <w:bookmarkEnd w:id="181"/>
    </w:p>
    <w:p w14:paraId="2A04E19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发包人应与承包人、由发包人直接发包的专业工程的承包人签订施工现场统一管理协议，明确各方的权利义务。施工现场统一管理协议作为专用合同条款的附件。</w:t>
      </w:r>
    </w:p>
    <w:p w14:paraId="7245AC0E">
      <w:pPr>
        <w:pStyle w:val="4"/>
        <w:rPr>
          <w:rFonts w:ascii="仿宋" w:hAnsi="仿宋" w:eastAsia="仿宋" w:cs="仿宋"/>
          <w:color w:val="auto"/>
          <w:highlight w:val="none"/>
        </w:rPr>
      </w:pPr>
      <w:bookmarkStart w:id="182" w:name="_Toc30365"/>
      <w:bookmarkStart w:id="183" w:name="_Toc966"/>
      <w:bookmarkStart w:id="184" w:name="_Toc18860"/>
      <w:bookmarkStart w:id="185" w:name="_Toc26429"/>
      <w:r>
        <w:rPr>
          <w:rFonts w:hint="eastAsia" w:ascii="仿宋" w:hAnsi="仿宋" w:eastAsia="仿宋" w:cs="仿宋"/>
          <w:color w:val="auto"/>
          <w:highlight w:val="none"/>
        </w:rPr>
        <w:t>3.承包人</w:t>
      </w:r>
      <w:bookmarkEnd w:id="182"/>
      <w:bookmarkEnd w:id="183"/>
      <w:bookmarkEnd w:id="184"/>
      <w:bookmarkEnd w:id="185"/>
    </w:p>
    <w:p w14:paraId="2573CEF0">
      <w:pPr>
        <w:pStyle w:val="5"/>
        <w:numPr>
          <w:ilvl w:val="3"/>
          <w:numId w:val="0"/>
        </w:numPr>
        <w:tabs>
          <w:tab w:val="left" w:pos="2155"/>
          <w:tab w:val="clear" w:pos="912"/>
        </w:tabs>
        <w:rPr>
          <w:rFonts w:ascii="仿宋" w:hAnsi="仿宋" w:eastAsia="仿宋" w:cs="仿宋"/>
          <w:color w:val="auto"/>
          <w:highlight w:val="none"/>
        </w:rPr>
      </w:pPr>
      <w:bookmarkStart w:id="186" w:name="_Toc20859"/>
      <w:bookmarkStart w:id="187" w:name="_Toc14066"/>
      <w:r>
        <w:rPr>
          <w:rFonts w:hint="eastAsia" w:ascii="仿宋" w:hAnsi="仿宋" w:eastAsia="仿宋" w:cs="仿宋"/>
          <w:color w:val="auto"/>
          <w:highlight w:val="none"/>
        </w:rPr>
        <w:t>3.1承包人的一般义务</w:t>
      </w:r>
      <w:bookmarkEnd w:id="186"/>
      <w:bookmarkEnd w:id="187"/>
    </w:p>
    <w:p w14:paraId="0291E9B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承包人在履行合同过程中应遵守法律和工程建设标准规范，并履行以下义务：</w:t>
      </w:r>
    </w:p>
    <w:p w14:paraId="23FD147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（1）办理法律规定应由承包人办理的许可和批准，并将办理结果书面报送发包人留存；</w:t>
      </w:r>
    </w:p>
    <w:p w14:paraId="1AF44A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（2）按法律规定和合同约定完成工程，并在保修期内承担保修义务；</w:t>
      </w:r>
    </w:p>
    <w:p w14:paraId="5462F45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（3）按法律规定和合同约定采取施工安全和环境保护措施，办理工伤保险，确保工程及人员、材料、设备和设施的安全；</w:t>
      </w:r>
    </w:p>
    <w:p w14:paraId="0052835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（4）按合同约定的工作内容和施工进度要求，编制施工组织设计和施工措施计划，并对所有施工作业和施工方法的完备性和安全可靠性负责；</w:t>
      </w:r>
    </w:p>
    <w:p w14:paraId="4F40D97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412C33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（6）按照第6.3款〔环境保护〕约定负责施工场地及其周边环境与生态的保护工作；</w:t>
      </w:r>
    </w:p>
    <w:p w14:paraId="2ABEC81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（7）按照第6.1款〔安全文明施工〕约定采取施工安全措施，确保工程及其人员、材料、设备和设施的安全，防止因工程施工造成的人身伤害和财产损失；</w:t>
      </w:r>
    </w:p>
    <w:p w14:paraId="3B8778D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（8）将发包人按合同约定支付的各项价款专用于合同工程，且应及时支付其雇用人员工资，并及时向分包人支付合同价款；</w:t>
      </w:r>
    </w:p>
    <w:p w14:paraId="1815146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（9）按照法律规定和合同约定编制竣工资料，完成竣工资料立卷及归档，并按专用合同条款约定的竣工资料的套数、内容、时间等要求移交发包人；</w:t>
      </w:r>
    </w:p>
    <w:p w14:paraId="66E56D8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（10）应履行的其他义务。</w:t>
      </w:r>
    </w:p>
    <w:p w14:paraId="5E23979D">
      <w:pPr>
        <w:pStyle w:val="5"/>
        <w:numPr>
          <w:ilvl w:val="3"/>
          <w:numId w:val="0"/>
        </w:numPr>
        <w:tabs>
          <w:tab w:val="left" w:pos="2155"/>
          <w:tab w:val="clear" w:pos="912"/>
        </w:tabs>
        <w:rPr>
          <w:rFonts w:ascii="仿宋" w:hAnsi="仿宋" w:eastAsia="仿宋" w:cs="仿宋"/>
          <w:color w:val="auto"/>
          <w:highlight w:val="none"/>
        </w:rPr>
      </w:pPr>
      <w:bookmarkStart w:id="188" w:name="_Toc32766"/>
      <w:bookmarkStart w:id="189" w:name="_Toc14318"/>
      <w:r>
        <w:rPr>
          <w:rFonts w:hint="eastAsia" w:ascii="仿宋" w:hAnsi="仿宋" w:eastAsia="仿宋" w:cs="仿宋"/>
          <w:color w:val="auto"/>
          <w:highlight w:val="none"/>
        </w:rPr>
        <w:t>3.2项目经理</w:t>
      </w:r>
      <w:bookmarkEnd w:id="188"/>
      <w:bookmarkEnd w:id="189"/>
    </w:p>
    <w:p w14:paraId="3E6DA91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68B3D5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63F3E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承包人违反上述约定的，应按照专用合同条款的约定，承担违约责任。</w:t>
      </w:r>
    </w:p>
    <w:p w14:paraId="1F45733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79CDEC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B3C43E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CEA307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33FA5107">
      <w:pPr>
        <w:pStyle w:val="5"/>
        <w:numPr>
          <w:ilvl w:val="3"/>
          <w:numId w:val="0"/>
        </w:numPr>
        <w:tabs>
          <w:tab w:val="left" w:pos="2155"/>
          <w:tab w:val="clear" w:pos="912"/>
        </w:tabs>
        <w:rPr>
          <w:rFonts w:ascii="仿宋" w:hAnsi="仿宋" w:eastAsia="仿宋" w:cs="仿宋"/>
          <w:color w:val="auto"/>
          <w:highlight w:val="none"/>
        </w:rPr>
      </w:pPr>
      <w:bookmarkStart w:id="190" w:name="_Toc10368"/>
      <w:bookmarkStart w:id="191" w:name="_Toc24130"/>
      <w:r>
        <w:rPr>
          <w:rFonts w:hint="eastAsia" w:ascii="仿宋" w:hAnsi="仿宋" w:eastAsia="仿宋" w:cs="仿宋"/>
          <w:color w:val="auto"/>
          <w:highlight w:val="none"/>
        </w:rPr>
        <w:t>3.3承包人人员</w:t>
      </w:r>
      <w:bookmarkEnd w:id="190"/>
      <w:bookmarkEnd w:id="191"/>
    </w:p>
    <w:p w14:paraId="01526D5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31E7C5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C15F44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特殊工种作业人员均应持有相应的资格证明，监理人可以随时检查。</w:t>
      </w:r>
    </w:p>
    <w:p w14:paraId="569D826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136025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D8480F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3.3.5承包人擅自更换主要施工管理人员，或前述人员未经监理人或发包人同意擅自离开施工现场的，应按照专用合同条款约定承担违约责任。</w:t>
      </w:r>
    </w:p>
    <w:p w14:paraId="26D00A89">
      <w:pPr>
        <w:pStyle w:val="5"/>
        <w:numPr>
          <w:ilvl w:val="3"/>
          <w:numId w:val="0"/>
        </w:numPr>
        <w:tabs>
          <w:tab w:val="left" w:pos="2155"/>
          <w:tab w:val="clear" w:pos="912"/>
        </w:tabs>
        <w:rPr>
          <w:rFonts w:ascii="仿宋" w:hAnsi="仿宋" w:eastAsia="仿宋" w:cs="仿宋"/>
          <w:color w:val="auto"/>
          <w:highlight w:val="none"/>
        </w:rPr>
      </w:pPr>
      <w:bookmarkStart w:id="192" w:name="_Toc9310"/>
      <w:bookmarkStart w:id="193" w:name="_Toc25099"/>
      <w:r>
        <w:rPr>
          <w:rFonts w:hint="eastAsia" w:ascii="仿宋" w:hAnsi="仿宋" w:eastAsia="仿宋" w:cs="仿宋"/>
          <w:color w:val="auto"/>
          <w:highlight w:val="none"/>
        </w:rPr>
        <w:t>3.4承包人现场查勘</w:t>
      </w:r>
      <w:bookmarkEnd w:id="192"/>
      <w:bookmarkEnd w:id="193"/>
    </w:p>
    <w:p w14:paraId="11ADC9F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承包人应对基于发包人按照第2.4.3项〔提供基础资料〕提交的基础资料所做出的解释和推断负责，但因基础资料存在错误、遗漏导致承包人解释或推断失实的，由发包人承担责任。</w:t>
      </w:r>
    </w:p>
    <w:p w14:paraId="1228E53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66067B9">
      <w:pPr>
        <w:pStyle w:val="5"/>
        <w:numPr>
          <w:ilvl w:val="3"/>
          <w:numId w:val="0"/>
        </w:numPr>
        <w:tabs>
          <w:tab w:val="left" w:pos="2155"/>
          <w:tab w:val="clear" w:pos="912"/>
        </w:tabs>
        <w:rPr>
          <w:rFonts w:ascii="仿宋" w:hAnsi="仿宋" w:eastAsia="仿宋" w:cs="仿宋"/>
          <w:color w:val="auto"/>
          <w:highlight w:val="none"/>
        </w:rPr>
      </w:pPr>
      <w:bookmarkStart w:id="194" w:name="_Toc28326"/>
      <w:bookmarkStart w:id="195" w:name="_Toc18421"/>
      <w:r>
        <w:rPr>
          <w:rFonts w:hint="eastAsia" w:ascii="仿宋" w:hAnsi="仿宋" w:eastAsia="仿宋" w:cs="仿宋"/>
          <w:color w:val="auto"/>
          <w:highlight w:val="none"/>
        </w:rPr>
        <w:t>3.5分包</w:t>
      </w:r>
      <w:bookmarkEnd w:id="194"/>
      <w:bookmarkEnd w:id="195"/>
    </w:p>
    <w:p w14:paraId="05B31CA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3.5.1分包的一般约定</w:t>
      </w:r>
    </w:p>
    <w:p w14:paraId="483A277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2E1F5B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承包人不得以劳务分包的名义转包或违法分包工程。</w:t>
      </w:r>
    </w:p>
    <w:p w14:paraId="5A48A3C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3.5.2分包的确定</w:t>
      </w:r>
    </w:p>
    <w:p w14:paraId="1E7B7E5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83620B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3.5.3分包管理</w:t>
      </w:r>
    </w:p>
    <w:p w14:paraId="398E07C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承包人应向监理人提交分包人的主要施工管理人员表，并对分包人的施工人员进行实名制管理，包括但不限于进出场管理、登记造册以及各种证照的办理。</w:t>
      </w:r>
    </w:p>
    <w:p w14:paraId="1163F19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3.5.4分包合同价款</w:t>
      </w:r>
    </w:p>
    <w:p w14:paraId="5689DDE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（1）除本项第（2）目约定的情况或专用合同条款另有约定外，分包合同价款由承包人与分包人结算，未经承包人同意，发包人不得向分包人支付分包工程价款；</w:t>
      </w:r>
    </w:p>
    <w:p w14:paraId="3D82493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（2）生效法律文书要求发包人向分包人支付分包合同价款的，发包人有权从应付承包人工程款中扣除该部分款项。</w:t>
      </w:r>
    </w:p>
    <w:p w14:paraId="61DD0B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3.5.5分包合同权益的转让</w:t>
      </w:r>
    </w:p>
    <w:p w14:paraId="2922AE0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2F2264BE">
      <w:pPr>
        <w:pStyle w:val="5"/>
        <w:numPr>
          <w:ilvl w:val="3"/>
          <w:numId w:val="0"/>
        </w:numPr>
        <w:tabs>
          <w:tab w:val="left" w:pos="2155"/>
          <w:tab w:val="clear" w:pos="912"/>
        </w:tabs>
        <w:rPr>
          <w:rFonts w:ascii="仿宋" w:hAnsi="仿宋" w:eastAsia="仿宋" w:cs="仿宋"/>
          <w:color w:val="auto"/>
          <w:highlight w:val="none"/>
        </w:rPr>
      </w:pPr>
      <w:bookmarkStart w:id="196" w:name="_Toc26068"/>
      <w:bookmarkStart w:id="197" w:name="_Toc22491"/>
      <w:r>
        <w:rPr>
          <w:rFonts w:hint="eastAsia" w:ascii="仿宋" w:hAnsi="仿宋" w:eastAsia="仿宋" w:cs="仿宋"/>
          <w:color w:val="auto"/>
          <w:highlight w:val="none"/>
        </w:rPr>
        <w:t>3.6工程照管与成品、半成品保护</w:t>
      </w:r>
      <w:bookmarkEnd w:id="196"/>
      <w:bookmarkEnd w:id="197"/>
    </w:p>
    <w:p w14:paraId="111B187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（1）除专用合同条款另有约定外，自发包人向承包人移交施工现场之日起，承包人应负责照管工程及工程相关的材料、工程设备，直到颁发工程接收证书之日止。</w:t>
      </w:r>
    </w:p>
    <w:p w14:paraId="048F509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（2）在承包人负责照管期间，因承包人原因造成工程、材料、工程设备损坏的，由承包人负责修复或更换，并承担由此增加的费用和（或）延误的工期。</w:t>
      </w:r>
    </w:p>
    <w:p w14:paraId="649B2BE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7569EF9C">
      <w:pPr>
        <w:pStyle w:val="5"/>
        <w:numPr>
          <w:ilvl w:val="3"/>
          <w:numId w:val="0"/>
        </w:numPr>
        <w:tabs>
          <w:tab w:val="left" w:pos="2155"/>
          <w:tab w:val="clear" w:pos="912"/>
        </w:tabs>
        <w:rPr>
          <w:rFonts w:ascii="仿宋" w:hAnsi="仿宋" w:eastAsia="仿宋" w:cs="仿宋"/>
          <w:color w:val="auto"/>
          <w:highlight w:val="none"/>
        </w:rPr>
      </w:pPr>
      <w:bookmarkStart w:id="198" w:name="_Toc3895"/>
      <w:bookmarkStart w:id="199" w:name="_Toc25304"/>
      <w:r>
        <w:rPr>
          <w:rFonts w:hint="eastAsia" w:ascii="仿宋" w:hAnsi="仿宋" w:eastAsia="仿宋" w:cs="仿宋"/>
          <w:color w:val="auto"/>
          <w:highlight w:val="none"/>
        </w:rPr>
        <w:t>3.7履约担保</w:t>
      </w:r>
      <w:bookmarkEnd w:id="198"/>
      <w:bookmarkEnd w:id="199"/>
    </w:p>
    <w:p w14:paraId="1862F15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1B2B7C0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因承包人原因导致工期延长的，继续提供履约担保所增加的费用由承包人承担；非因承包人原因导致工期延长的，继续提供履约担保所增加的费用由发包人承担。</w:t>
      </w:r>
    </w:p>
    <w:p w14:paraId="1377A7DF">
      <w:pPr>
        <w:pStyle w:val="5"/>
        <w:numPr>
          <w:ilvl w:val="3"/>
          <w:numId w:val="0"/>
        </w:numPr>
        <w:tabs>
          <w:tab w:val="left" w:pos="2155"/>
          <w:tab w:val="clear" w:pos="912"/>
        </w:tabs>
        <w:rPr>
          <w:rFonts w:ascii="仿宋" w:hAnsi="仿宋" w:eastAsia="仿宋" w:cs="仿宋"/>
          <w:color w:val="auto"/>
          <w:highlight w:val="none"/>
        </w:rPr>
      </w:pPr>
      <w:bookmarkStart w:id="200" w:name="_Toc29814"/>
      <w:bookmarkStart w:id="201" w:name="_Toc20931"/>
      <w:r>
        <w:rPr>
          <w:rFonts w:hint="eastAsia" w:ascii="仿宋" w:hAnsi="仿宋" w:eastAsia="仿宋" w:cs="仿宋"/>
          <w:color w:val="auto"/>
          <w:highlight w:val="none"/>
        </w:rPr>
        <w:t>3.8联合体</w:t>
      </w:r>
      <w:bookmarkEnd w:id="200"/>
      <w:bookmarkEnd w:id="201"/>
    </w:p>
    <w:p w14:paraId="64B20D3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3.8.1联合体各方应共同与发包人签订合同协议书。联合体各方应为履行合同向发包人承担连带责任。</w:t>
      </w:r>
    </w:p>
    <w:p w14:paraId="10AE660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3.8.2联合体协议经发包人确认后作为合同附件。在履行合同过程中，未经发包人同意，不得修改联合体协议。</w:t>
      </w:r>
    </w:p>
    <w:p w14:paraId="65F32D2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3.8.3联合体牵头人负责与发包人和监理人联系，并接受指示，负责组织联合体各成员全面履行合同。</w:t>
      </w:r>
    </w:p>
    <w:p w14:paraId="2DAC23E6">
      <w:pPr>
        <w:pStyle w:val="4"/>
        <w:rPr>
          <w:rFonts w:ascii="仿宋" w:hAnsi="仿宋" w:eastAsia="仿宋" w:cs="仿宋"/>
          <w:color w:val="auto"/>
          <w:highlight w:val="none"/>
        </w:rPr>
      </w:pPr>
      <w:bookmarkStart w:id="202" w:name="_Toc21899"/>
      <w:bookmarkStart w:id="203" w:name="_Toc9595"/>
      <w:bookmarkStart w:id="204" w:name="_Toc2791"/>
      <w:bookmarkStart w:id="205" w:name="_Toc13813"/>
      <w:r>
        <w:rPr>
          <w:rFonts w:hint="eastAsia" w:ascii="仿宋" w:hAnsi="仿宋" w:eastAsia="仿宋" w:cs="仿宋"/>
          <w:color w:val="auto"/>
          <w:highlight w:val="none"/>
        </w:rPr>
        <w:t>4.监理人</w:t>
      </w:r>
      <w:bookmarkEnd w:id="202"/>
      <w:bookmarkEnd w:id="203"/>
      <w:bookmarkEnd w:id="204"/>
      <w:bookmarkEnd w:id="205"/>
    </w:p>
    <w:p w14:paraId="130D2F93">
      <w:pPr>
        <w:pStyle w:val="5"/>
        <w:numPr>
          <w:ilvl w:val="3"/>
          <w:numId w:val="0"/>
        </w:numPr>
        <w:tabs>
          <w:tab w:val="left" w:pos="2155"/>
          <w:tab w:val="clear" w:pos="912"/>
        </w:tabs>
        <w:rPr>
          <w:rFonts w:ascii="仿宋" w:hAnsi="仿宋" w:eastAsia="仿宋" w:cs="仿宋"/>
          <w:color w:val="auto"/>
          <w:highlight w:val="none"/>
        </w:rPr>
      </w:pPr>
      <w:bookmarkStart w:id="206" w:name="_Toc6151"/>
      <w:bookmarkStart w:id="207" w:name="_Toc7538"/>
      <w:r>
        <w:rPr>
          <w:rFonts w:hint="eastAsia" w:ascii="仿宋" w:hAnsi="仿宋" w:eastAsia="仿宋" w:cs="仿宋"/>
          <w:color w:val="auto"/>
          <w:highlight w:val="none"/>
        </w:rPr>
        <w:t>4.1监理人的一般规定</w:t>
      </w:r>
      <w:bookmarkEnd w:id="206"/>
      <w:bookmarkEnd w:id="207"/>
    </w:p>
    <w:p w14:paraId="4218B78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34884B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除专用合同条款另有约定外，监理人在施工现场的办公场所、生活场所由承包人提供，所发生的费用由发包人承担。</w:t>
      </w:r>
    </w:p>
    <w:p w14:paraId="01A5DA9C">
      <w:pPr>
        <w:pStyle w:val="5"/>
        <w:numPr>
          <w:ilvl w:val="3"/>
          <w:numId w:val="0"/>
        </w:numPr>
        <w:tabs>
          <w:tab w:val="left" w:pos="2155"/>
          <w:tab w:val="clear" w:pos="912"/>
        </w:tabs>
        <w:rPr>
          <w:rFonts w:ascii="仿宋" w:hAnsi="仿宋" w:eastAsia="仿宋" w:cs="仿宋"/>
          <w:color w:val="auto"/>
          <w:highlight w:val="none"/>
        </w:rPr>
      </w:pPr>
      <w:bookmarkStart w:id="208" w:name="_Toc9209"/>
      <w:bookmarkStart w:id="209" w:name="_Toc26821"/>
      <w:r>
        <w:rPr>
          <w:rFonts w:hint="eastAsia" w:ascii="仿宋" w:hAnsi="仿宋" w:eastAsia="仿宋" w:cs="仿宋"/>
          <w:color w:val="auto"/>
          <w:highlight w:val="none"/>
        </w:rPr>
        <w:t>4.2监理人员</w:t>
      </w:r>
      <w:bookmarkEnd w:id="208"/>
      <w:bookmarkEnd w:id="209"/>
    </w:p>
    <w:p w14:paraId="051084C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0DB4A3E0">
      <w:pPr>
        <w:pStyle w:val="5"/>
        <w:numPr>
          <w:ilvl w:val="3"/>
          <w:numId w:val="0"/>
        </w:numPr>
        <w:tabs>
          <w:tab w:val="left" w:pos="2155"/>
          <w:tab w:val="clear" w:pos="912"/>
        </w:tabs>
        <w:rPr>
          <w:rFonts w:ascii="仿宋" w:hAnsi="仿宋" w:eastAsia="仿宋" w:cs="仿宋"/>
          <w:color w:val="auto"/>
          <w:highlight w:val="none"/>
        </w:rPr>
      </w:pPr>
      <w:bookmarkStart w:id="210" w:name="_Toc22174"/>
      <w:bookmarkStart w:id="211" w:name="_Toc26854"/>
      <w:r>
        <w:rPr>
          <w:rFonts w:hint="eastAsia" w:ascii="仿宋" w:hAnsi="仿宋" w:eastAsia="仿宋" w:cs="仿宋"/>
          <w:color w:val="auto"/>
          <w:highlight w:val="none"/>
        </w:rPr>
        <w:t>4.3监理人的指示</w:t>
      </w:r>
      <w:bookmarkEnd w:id="210"/>
      <w:bookmarkEnd w:id="211"/>
    </w:p>
    <w:p w14:paraId="451CBCF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B733FB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5C197E6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承包人对监理人发出的指示有疑问的，应向监理人提出书面异议，监理人应在48小时内对该指示予以确认、更改或撤销，监理人逾期未回复的，承包人有权拒绝执行上述指示。</w:t>
      </w:r>
    </w:p>
    <w:p w14:paraId="7D7FF06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29CF3CF7">
      <w:pPr>
        <w:pStyle w:val="5"/>
        <w:numPr>
          <w:ilvl w:val="3"/>
          <w:numId w:val="0"/>
        </w:numPr>
        <w:tabs>
          <w:tab w:val="left" w:pos="2155"/>
          <w:tab w:val="clear" w:pos="912"/>
        </w:tabs>
        <w:rPr>
          <w:rFonts w:ascii="仿宋" w:hAnsi="仿宋" w:eastAsia="仿宋" w:cs="仿宋"/>
          <w:color w:val="auto"/>
          <w:highlight w:val="none"/>
        </w:rPr>
      </w:pPr>
      <w:bookmarkStart w:id="212" w:name="_Toc8358"/>
      <w:bookmarkStart w:id="213" w:name="_Toc13432"/>
      <w:r>
        <w:rPr>
          <w:rFonts w:hint="eastAsia" w:ascii="仿宋" w:hAnsi="仿宋" w:eastAsia="仿宋" w:cs="仿宋"/>
          <w:color w:val="auto"/>
          <w:highlight w:val="none"/>
        </w:rPr>
        <w:t>4.4商定或确定</w:t>
      </w:r>
      <w:bookmarkEnd w:id="212"/>
      <w:bookmarkEnd w:id="213"/>
    </w:p>
    <w:p w14:paraId="055EBC6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合同当事人进行商定或确定时，总监理工程师应当会同合同当事人尽量通过协商达成一致，不能达成一致的，由总监理工程师按照合同约定审慎做出公正的确定。</w:t>
      </w:r>
    </w:p>
    <w:p w14:paraId="1E30C3A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C8B1F16">
      <w:pPr>
        <w:pStyle w:val="4"/>
        <w:rPr>
          <w:rFonts w:ascii="仿宋" w:hAnsi="仿宋" w:eastAsia="仿宋" w:cs="仿宋"/>
          <w:color w:val="auto"/>
          <w:highlight w:val="none"/>
        </w:rPr>
      </w:pPr>
      <w:bookmarkStart w:id="214" w:name="_Toc21370"/>
      <w:bookmarkStart w:id="215" w:name="_Toc25456"/>
      <w:bookmarkStart w:id="216" w:name="_Toc3668"/>
      <w:bookmarkStart w:id="217" w:name="_Toc8251"/>
      <w:r>
        <w:rPr>
          <w:rFonts w:hint="eastAsia" w:ascii="仿宋" w:hAnsi="仿宋" w:eastAsia="仿宋" w:cs="仿宋"/>
          <w:color w:val="auto"/>
          <w:highlight w:val="none"/>
        </w:rPr>
        <w:t>5.工程质量</w:t>
      </w:r>
      <w:bookmarkEnd w:id="214"/>
      <w:bookmarkEnd w:id="215"/>
      <w:bookmarkEnd w:id="216"/>
      <w:bookmarkEnd w:id="217"/>
    </w:p>
    <w:p w14:paraId="72A832CB">
      <w:pPr>
        <w:pStyle w:val="5"/>
        <w:numPr>
          <w:ilvl w:val="3"/>
          <w:numId w:val="0"/>
        </w:numPr>
        <w:tabs>
          <w:tab w:val="left" w:pos="2155"/>
          <w:tab w:val="clear" w:pos="912"/>
        </w:tabs>
        <w:rPr>
          <w:rFonts w:ascii="仿宋" w:hAnsi="仿宋" w:eastAsia="仿宋" w:cs="仿宋"/>
          <w:color w:val="auto"/>
          <w:highlight w:val="none"/>
        </w:rPr>
      </w:pPr>
      <w:bookmarkStart w:id="218" w:name="_Toc22763"/>
      <w:bookmarkStart w:id="219" w:name="_Toc26020"/>
      <w:r>
        <w:rPr>
          <w:rFonts w:hint="eastAsia" w:ascii="仿宋" w:hAnsi="仿宋" w:eastAsia="仿宋" w:cs="仿宋"/>
          <w:color w:val="auto"/>
          <w:highlight w:val="none"/>
        </w:rPr>
        <w:t>5.1质量要求</w:t>
      </w:r>
      <w:bookmarkEnd w:id="218"/>
      <w:bookmarkEnd w:id="219"/>
    </w:p>
    <w:p w14:paraId="2B6146B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5.1.1工程质量标准必须符合现行国家有关工程施工质量验收规范和标准的要求。有关工程质量的特殊标准或要求由合同当事人在专用合同条款中约定。</w:t>
      </w:r>
    </w:p>
    <w:p w14:paraId="5905848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5.1.2因发包人原因造成工程质量未达到合同约定标准的，由发包人承担由此增加的费用和（或）延误的工期，并支付承包人合理的利润。</w:t>
      </w:r>
    </w:p>
    <w:p w14:paraId="67EE879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7D3D2546">
      <w:pPr>
        <w:pStyle w:val="5"/>
        <w:numPr>
          <w:ilvl w:val="3"/>
          <w:numId w:val="0"/>
        </w:numPr>
        <w:tabs>
          <w:tab w:val="left" w:pos="2155"/>
          <w:tab w:val="clear" w:pos="912"/>
        </w:tabs>
        <w:rPr>
          <w:rFonts w:ascii="仿宋" w:hAnsi="仿宋" w:eastAsia="仿宋" w:cs="仿宋"/>
          <w:color w:val="auto"/>
          <w:highlight w:val="none"/>
        </w:rPr>
      </w:pPr>
      <w:bookmarkStart w:id="220" w:name="_Toc22304"/>
      <w:bookmarkStart w:id="221" w:name="_Toc9541"/>
      <w:r>
        <w:rPr>
          <w:rFonts w:hint="eastAsia" w:ascii="仿宋" w:hAnsi="仿宋" w:eastAsia="仿宋" w:cs="仿宋"/>
          <w:color w:val="auto"/>
          <w:highlight w:val="none"/>
        </w:rPr>
        <w:t>5.2质量保证措施</w:t>
      </w:r>
      <w:bookmarkEnd w:id="220"/>
      <w:bookmarkEnd w:id="221"/>
    </w:p>
    <w:p w14:paraId="430846A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5.2.1发包人的质量管理</w:t>
      </w:r>
    </w:p>
    <w:p w14:paraId="1240183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发包人应按照法律规定及合同约定完成与工程质量有关的各项工作。</w:t>
      </w:r>
    </w:p>
    <w:p w14:paraId="48ECCAE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5.2.2承包人的质量管理</w:t>
      </w:r>
    </w:p>
    <w:p w14:paraId="2681112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0B4873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承包人应对施工人员进行质量教育和技术培训，定期考核施工人员的劳动技能，严格执行施工规范和操作规程。</w:t>
      </w:r>
    </w:p>
    <w:p w14:paraId="026D2CC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C8F775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5.2.3监理人的质量检查和检验</w:t>
      </w:r>
    </w:p>
    <w:p w14:paraId="74A4A60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B91A3D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291CDD8">
      <w:pPr>
        <w:pStyle w:val="5"/>
        <w:numPr>
          <w:ilvl w:val="3"/>
          <w:numId w:val="0"/>
        </w:numPr>
        <w:tabs>
          <w:tab w:val="left" w:pos="2155"/>
          <w:tab w:val="clear" w:pos="912"/>
        </w:tabs>
        <w:rPr>
          <w:rFonts w:ascii="仿宋" w:hAnsi="仿宋" w:eastAsia="仿宋" w:cs="仿宋"/>
          <w:color w:val="auto"/>
          <w:highlight w:val="none"/>
        </w:rPr>
      </w:pPr>
      <w:bookmarkStart w:id="222" w:name="_Toc3292"/>
      <w:bookmarkStart w:id="223" w:name="_Toc25047"/>
      <w:r>
        <w:rPr>
          <w:rFonts w:hint="eastAsia" w:ascii="仿宋" w:hAnsi="仿宋" w:eastAsia="仿宋" w:cs="仿宋"/>
          <w:color w:val="auto"/>
          <w:highlight w:val="none"/>
        </w:rPr>
        <w:t>5.3隐蔽工程检查</w:t>
      </w:r>
      <w:bookmarkEnd w:id="222"/>
      <w:bookmarkEnd w:id="223"/>
    </w:p>
    <w:p w14:paraId="6F03C66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5.3.1承包人自检</w:t>
      </w:r>
    </w:p>
    <w:p w14:paraId="414A624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承包人应当对工程隐蔽部位进行自检，并经自检确认是否具备覆盖条件。</w:t>
      </w:r>
    </w:p>
    <w:p w14:paraId="0E23F73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5.3.2检查程序</w:t>
      </w:r>
    </w:p>
    <w:p w14:paraId="5012329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42767C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79C3F8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E55CFD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5.3.3重新检查</w:t>
      </w:r>
    </w:p>
    <w:p w14:paraId="182012E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2479CF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5.3.4承包人私自覆盖</w:t>
      </w:r>
    </w:p>
    <w:p w14:paraId="43836A9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FF25990">
      <w:pPr>
        <w:pStyle w:val="5"/>
        <w:numPr>
          <w:ilvl w:val="3"/>
          <w:numId w:val="0"/>
        </w:numPr>
        <w:tabs>
          <w:tab w:val="left" w:pos="2155"/>
          <w:tab w:val="clear" w:pos="912"/>
        </w:tabs>
        <w:rPr>
          <w:rFonts w:ascii="仿宋" w:hAnsi="仿宋" w:eastAsia="仿宋" w:cs="仿宋"/>
          <w:color w:val="auto"/>
          <w:highlight w:val="none"/>
        </w:rPr>
      </w:pPr>
      <w:bookmarkStart w:id="224" w:name="_Toc10581"/>
      <w:bookmarkStart w:id="225" w:name="_Toc3887"/>
      <w:r>
        <w:rPr>
          <w:rFonts w:hint="eastAsia" w:ascii="仿宋" w:hAnsi="仿宋" w:eastAsia="仿宋" w:cs="仿宋"/>
          <w:color w:val="auto"/>
          <w:highlight w:val="none"/>
        </w:rPr>
        <w:t>5.4不合格工程的处理</w:t>
      </w:r>
      <w:bookmarkEnd w:id="224"/>
      <w:bookmarkEnd w:id="225"/>
    </w:p>
    <w:p w14:paraId="032F01F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02558E3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5.4.2因发包人原因造成工程不合格的，由此增加的费用和（或）延误的工期由发包人承担，并支付承包人合理的利润。</w:t>
      </w:r>
    </w:p>
    <w:p w14:paraId="7342B032">
      <w:pPr>
        <w:pStyle w:val="5"/>
        <w:numPr>
          <w:ilvl w:val="3"/>
          <w:numId w:val="0"/>
        </w:numPr>
        <w:tabs>
          <w:tab w:val="left" w:pos="2155"/>
          <w:tab w:val="clear" w:pos="912"/>
        </w:tabs>
        <w:rPr>
          <w:rFonts w:ascii="仿宋" w:hAnsi="仿宋" w:eastAsia="仿宋" w:cs="仿宋"/>
          <w:color w:val="auto"/>
          <w:highlight w:val="none"/>
        </w:rPr>
      </w:pPr>
      <w:bookmarkStart w:id="226" w:name="_Toc7600"/>
      <w:bookmarkStart w:id="227" w:name="_Toc15927"/>
      <w:r>
        <w:rPr>
          <w:rFonts w:hint="eastAsia" w:ascii="仿宋" w:hAnsi="仿宋" w:eastAsia="仿宋" w:cs="仿宋"/>
          <w:color w:val="auto"/>
          <w:highlight w:val="none"/>
        </w:rPr>
        <w:t>5.5质量争议检测</w:t>
      </w:r>
      <w:bookmarkEnd w:id="226"/>
      <w:bookmarkEnd w:id="227"/>
    </w:p>
    <w:p w14:paraId="0637F1D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合同当事人对工程质量有争议的，由双方协商确定的工程质量检测机构鉴定，由此产生的费用及因此造成的损失，由责任方承担。</w:t>
      </w:r>
    </w:p>
    <w:p w14:paraId="2FF2F72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合同当事人均有责任的，由双方根据其责任分别承担。合同当事人无法达成一致的，按照第4.4款〔商定或确定〕执行。</w:t>
      </w:r>
    </w:p>
    <w:p w14:paraId="25454B97">
      <w:pPr>
        <w:pStyle w:val="4"/>
        <w:rPr>
          <w:rFonts w:ascii="仿宋" w:hAnsi="仿宋" w:eastAsia="仿宋" w:cs="仿宋"/>
          <w:color w:val="auto"/>
          <w:highlight w:val="none"/>
        </w:rPr>
      </w:pPr>
      <w:bookmarkStart w:id="228" w:name="_Toc19995"/>
      <w:bookmarkStart w:id="229" w:name="_Toc19964"/>
      <w:bookmarkStart w:id="230" w:name="_Toc12155"/>
      <w:bookmarkStart w:id="231" w:name="_Toc16156"/>
      <w:r>
        <w:rPr>
          <w:rFonts w:hint="eastAsia" w:ascii="仿宋" w:hAnsi="仿宋" w:eastAsia="仿宋" w:cs="仿宋"/>
          <w:color w:val="auto"/>
          <w:highlight w:val="none"/>
        </w:rPr>
        <w:t>6.安全文明施工与环境保护</w:t>
      </w:r>
      <w:bookmarkEnd w:id="228"/>
      <w:bookmarkEnd w:id="229"/>
      <w:bookmarkEnd w:id="230"/>
      <w:bookmarkEnd w:id="231"/>
    </w:p>
    <w:p w14:paraId="0AB7054E">
      <w:pPr>
        <w:pStyle w:val="5"/>
        <w:numPr>
          <w:ilvl w:val="3"/>
          <w:numId w:val="0"/>
        </w:numPr>
        <w:tabs>
          <w:tab w:val="left" w:pos="2155"/>
          <w:tab w:val="clear" w:pos="912"/>
        </w:tabs>
        <w:rPr>
          <w:rFonts w:ascii="仿宋" w:hAnsi="仿宋" w:eastAsia="仿宋" w:cs="仿宋"/>
          <w:color w:val="auto"/>
          <w:highlight w:val="none"/>
        </w:rPr>
      </w:pPr>
      <w:bookmarkStart w:id="232" w:name="_Toc17026"/>
      <w:bookmarkStart w:id="233" w:name="_Toc32611"/>
      <w:r>
        <w:rPr>
          <w:rFonts w:hint="eastAsia" w:ascii="仿宋" w:hAnsi="仿宋" w:eastAsia="仿宋" w:cs="仿宋"/>
          <w:color w:val="auto"/>
          <w:highlight w:val="none"/>
        </w:rPr>
        <w:t>6.1安全文明施工</w:t>
      </w:r>
      <w:bookmarkEnd w:id="232"/>
      <w:bookmarkEnd w:id="233"/>
    </w:p>
    <w:p w14:paraId="4A93F08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6.1.1安全生产要求</w:t>
      </w:r>
    </w:p>
    <w:p w14:paraId="03F89C8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0C3931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55CFF1E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因安全生产需要暂停施工的，按照第7.8款〔暂停施工〕的约定执行。</w:t>
      </w:r>
    </w:p>
    <w:p w14:paraId="5E1962F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6.1.2安全生产保证措施</w:t>
      </w:r>
    </w:p>
    <w:p w14:paraId="1F46F5C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7853D8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6.1.3特别安全生产事项</w:t>
      </w:r>
    </w:p>
    <w:p w14:paraId="5D66655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867440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承包人在动力设备、输电线路、地下管道、密封防震车间、易燃易爆地段以及临街交通要道附近施工时，施工开始前应向发包人和监理人提出安全防护措施，经发包人认可后实施。</w:t>
      </w:r>
    </w:p>
    <w:p w14:paraId="3A3CCC0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5B83315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需单独编制危险性较大分部分项专项工程施工方案的，及要求进行专家论证的超过一定规模的危险性较大的分部分项工程，承包人应及时编制和组织论证。</w:t>
      </w:r>
    </w:p>
    <w:p w14:paraId="4AB7F73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6.1.4治安保卫</w:t>
      </w:r>
    </w:p>
    <w:p w14:paraId="72B8C0E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除专用合同条款另有约定外，发包人应与当地公安部门协商，在现场建立治安管理机构或联防组织，统一管理施工场地的治安保卫事项，履行合同工程的治安保卫职责。</w:t>
      </w:r>
    </w:p>
    <w:p w14:paraId="385E3C0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发包人和承包人除应协助现场治安管理机构或联防组织维护施工场地的社会治安外，还应做好包括生活区在内的各自管辖区的治安保卫工作。</w:t>
      </w:r>
    </w:p>
    <w:p w14:paraId="437236B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B1B22D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6.1.5文明施工</w:t>
      </w:r>
    </w:p>
    <w:p w14:paraId="287D50B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56B31C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351287E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6.1.6安全文明施工费</w:t>
      </w:r>
    </w:p>
    <w:p w14:paraId="2F69832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安全文明施工费由发包人承担，发包人不得以任何形式扣减该部分费用。因基准日期后合同所适用的法律或政府有关规定发生变化，增加的安全文明施工费由发包人承担。</w:t>
      </w:r>
    </w:p>
    <w:p w14:paraId="39545CD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57C81E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5ED0CB2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C2F271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6.1.7紧急情况处理</w:t>
      </w:r>
    </w:p>
    <w:p w14:paraId="770A24B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9FD73B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6.1.8事故处理</w:t>
      </w:r>
    </w:p>
    <w:p w14:paraId="73C91AD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283A83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6.1.9安全生产责任</w:t>
      </w:r>
    </w:p>
    <w:p w14:paraId="20D7101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6.1.9.1发包人的安全责任</w:t>
      </w:r>
    </w:p>
    <w:p w14:paraId="4F08E9B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发包人应负责赔偿以下各种情况造成的损失：</w:t>
      </w:r>
    </w:p>
    <w:p w14:paraId="3B47D94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（1）工程或工程的任何部分对土地的占用所造成的第三者财产损失；</w:t>
      </w:r>
    </w:p>
    <w:p w14:paraId="3CD518E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（2）由于发包人原因在施工场地及其毗邻地带造成的第三者人身伤亡和财产损失；</w:t>
      </w:r>
    </w:p>
    <w:p w14:paraId="5CFE7BD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（3）由于发包人原因对承包人、监理人造成的人员人身伤亡和财产损失；</w:t>
      </w:r>
    </w:p>
    <w:p w14:paraId="271151B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（4）由于发包人原因造成的发包人自身人员的人身伤害以及财产损失。</w:t>
      </w:r>
    </w:p>
    <w:p w14:paraId="4DA3AA9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6.1.9.2承包人的安全责任</w:t>
      </w:r>
    </w:p>
    <w:p w14:paraId="2855689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由于承包人原因在施工场地内及其毗邻地带造成的发包人、监理人以及第三者人员伤亡和财产损失，由承包人负责赔偿。</w:t>
      </w:r>
    </w:p>
    <w:p w14:paraId="09640B82">
      <w:pPr>
        <w:pStyle w:val="5"/>
        <w:numPr>
          <w:ilvl w:val="3"/>
          <w:numId w:val="0"/>
        </w:numPr>
        <w:tabs>
          <w:tab w:val="left" w:pos="2155"/>
          <w:tab w:val="clear" w:pos="912"/>
        </w:tabs>
        <w:rPr>
          <w:rFonts w:ascii="仿宋" w:hAnsi="仿宋" w:eastAsia="仿宋" w:cs="仿宋"/>
          <w:color w:val="auto"/>
          <w:highlight w:val="none"/>
        </w:rPr>
      </w:pPr>
      <w:bookmarkStart w:id="234" w:name="_Toc6149"/>
      <w:bookmarkStart w:id="235" w:name="_Toc2118"/>
      <w:r>
        <w:rPr>
          <w:rFonts w:hint="eastAsia" w:ascii="仿宋" w:hAnsi="仿宋" w:eastAsia="仿宋" w:cs="仿宋"/>
          <w:color w:val="auto"/>
          <w:highlight w:val="none"/>
        </w:rPr>
        <w:t>6.2职业健康</w:t>
      </w:r>
      <w:bookmarkEnd w:id="234"/>
      <w:bookmarkEnd w:id="235"/>
    </w:p>
    <w:p w14:paraId="0CB5C7B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6.2.1劳动保护</w:t>
      </w:r>
    </w:p>
    <w:p w14:paraId="57F0673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95155C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D19ABC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58337EA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6.2.2生活条件</w:t>
      </w:r>
    </w:p>
    <w:p w14:paraId="6508684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404F7D04">
      <w:pPr>
        <w:pStyle w:val="5"/>
        <w:numPr>
          <w:ilvl w:val="3"/>
          <w:numId w:val="0"/>
        </w:numPr>
        <w:tabs>
          <w:tab w:val="left" w:pos="2155"/>
          <w:tab w:val="clear" w:pos="912"/>
        </w:tabs>
        <w:rPr>
          <w:rFonts w:ascii="仿宋" w:hAnsi="仿宋" w:eastAsia="仿宋" w:cs="仿宋"/>
          <w:color w:val="auto"/>
          <w:highlight w:val="none"/>
        </w:rPr>
      </w:pPr>
      <w:bookmarkStart w:id="236" w:name="_Toc10879"/>
      <w:bookmarkStart w:id="237" w:name="_Toc25229"/>
      <w:r>
        <w:rPr>
          <w:rFonts w:hint="eastAsia" w:ascii="仿宋" w:hAnsi="仿宋" w:eastAsia="仿宋" w:cs="仿宋"/>
          <w:color w:val="auto"/>
          <w:highlight w:val="none"/>
        </w:rPr>
        <w:t>6.3环境保护</w:t>
      </w:r>
      <w:bookmarkEnd w:id="236"/>
      <w:bookmarkEnd w:id="237"/>
    </w:p>
    <w:p w14:paraId="78DDD72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03287E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承包人应当承担因其原因引起的环境污染侵权损害赔偿责任，因上述环境污染引起纠纷而导致暂停施工的，由此增加的费用和（或）延误的工期由承包人承担。</w:t>
      </w:r>
    </w:p>
    <w:p w14:paraId="02364F1D">
      <w:pPr>
        <w:pStyle w:val="4"/>
        <w:rPr>
          <w:rFonts w:ascii="仿宋" w:hAnsi="仿宋" w:eastAsia="仿宋" w:cs="仿宋"/>
          <w:color w:val="auto"/>
          <w:highlight w:val="none"/>
        </w:rPr>
      </w:pPr>
      <w:bookmarkStart w:id="238" w:name="_Toc9007"/>
      <w:bookmarkStart w:id="239" w:name="_Toc12701"/>
      <w:bookmarkStart w:id="240" w:name="_Toc29461"/>
      <w:bookmarkStart w:id="241" w:name="_Toc22812"/>
      <w:r>
        <w:rPr>
          <w:rFonts w:hint="eastAsia" w:ascii="仿宋" w:hAnsi="仿宋" w:eastAsia="仿宋" w:cs="仿宋"/>
          <w:color w:val="auto"/>
          <w:highlight w:val="none"/>
        </w:rPr>
        <w:t>7.工期和进度</w:t>
      </w:r>
      <w:bookmarkEnd w:id="238"/>
      <w:bookmarkEnd w:id="239"/>
      <w:bookmarkEnd w:id="240"/>
      <w:bookmarkEnd w:id="241"/>
    </w:p>
    <w:p w14:paraId="24375031">
      <w:pPr>
        <w:pStyle w:val="5"/>
        <w:numPr>
          <w:ilvl w:val="3"/>
          <w:numId w:val="0"/>
        </w:numPr>
        <w:tabs>
          <w:tab w:val="left" w:pos="2155"/>
          <w:tab w:val="clear" w:pos="912"/>
        </w:tabs>
        <w:rPr>
          <w:rFonts w:ascii="仿宋" w:hAnsi="仿宋" w:eastAsia="仿宋" w:cs="仿宋"/>
          <w:color w:val="auto"/>
          <w:highlight w:val="none"/>
        </w:rPr>
      </w:pPr>
      <w:bookmarkStart w:id="242" w:name="_Toc15433"/>
      <w:bookmarkStart w:id="243" w:name="_Toc27032"/>
      <w:r>
        <w:rPr>
          <w:rFonts w:hint="eastAsia" w:ascii="仿宋" w:hAnsi="仿宋" w:eastAsia="仿宋" w:cs="仿宋"/>
          <w:color w:val="auto"/>
          <w:highlight w:val="none"/>
        </w:rPr>
        <w:t>7.1施工组织设计</w:t>
      </w:r>
      <w:bookmarkEnd w:id="242"/>
      <w:bookmarkEnd w:id="243"/>
    </w:p>
    <w:p w14:paraId="600CA04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7.1.1施工组织设计的内容</w:t>
      </w:r>
    </w:p>
    <w:p w14:paraId="4AE46FE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施工组织设计应包含以下内容：</w:t>
      </w:r>
    </w:p>
    <w:p w14:paraId="2158882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（1）施工方案；</w:t>
      </w:r>
    </w:p>
    <w:p w14:paraId="73B1BF6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（2）施工现场平面布置图；</w:t>
      </w:r>
    </w:p>
    <w:p w14:paraId="48E2481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（3）施工进度计划和保证措施；</w:t>
      </w:r>
    </w:p>
    <w:p w14:paraId="36A7FE2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（4）劳动力及材料供应计划；</w:t>
      </w:r>
    </w:p>
    <w:p w14:paraId="2024F67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（5）施工机械设备的选用；</w:t>
      </w:r>
    </w:p>
    <w:p w14:paraId="7A48D5A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（6）质量保证体系及措施；</w:t>
      </w:r>
    </w:p>
    <w:p w14:paraId="2FC642F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（7）安全生产、文明施工措施；</w:t>
      </w:r>
    </w:p>
    <w:p w14:paraId="3EC75AA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（8）环境保护、成本控制措施；</w:t>
      </w:r>
    </w:p>
    <w:p w14:paraId="5AE0C3C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（9）合同当事人约定的其他内容。</w:t>
      </w:r>
    </w:p>
    <w:p w14:paraId="550C983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7.1.2施工组织设计的提交和修改</w:t>
      </w:r>
    </w:p>
    <w:p w14:paraId="5820108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F53EE4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施工进度计划的编制和修改按照第7.2款〔施工进度计划〕执行。</w:t>
      </w:r>
    </w:p>
    <w:p w14:paraId="00D0EB8A">
      <w:pPr>
        <w:pStyle w:val="5"/>
        <w:numPr>
          <w:ilvl w:val="3"/>
          <w:numId w:val="0"/>
        </w:numPr>
        <w:tabs>
          <w:tab w:val="left" w:pos="2155"/>
          <w:tab w:val="clear" w:pos="912"/>
        </w:tabs>
        <w:rPr>
          <w:rFonts w:ascii="仿宋" w:hAnsi="仿宋" w:eastAsia="仿宋" w:cs="仿宋"/>
          <w:color w:val="auto"/>
          <w:highlight w:val="none"/>
        </w:rPr>
      </w:pPr>
      <w:bookmarkStart w:id="244" w:name="_Toc3736"/>
      <w:bookmarkStart w:id="245" w:name="_Toc27886"/>
      <w:r>
        <w:rPr>
          <w:rFonts w:hint="eastAsia" w:ascii="仿宋" w:hAnsi="仿宋" w:eastAsia="仿宋" w:cs="仿宋"/>
          <w:color w:val="auto"/>
          <w:highlight w:val="none"/>
        </w:rPr>
        <w:t>7.2施工进度计划</w:t>
      </w:r>
      <w:bookmarkEnd w:id="244"/>
      <w:bookmarkEnd w:id="245"/>
    </w:p>
    <w:p w14:paraId="6FF5532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7.2.1施工进度计划的编制</w:t>
      </w:r>
    </w:p>
    <w:p w14:paraId="2FF94CF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C6176B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7.2.2施工进度计划的修订</w:t>
      </w:r>
    </w:p>
    <w:p w14:paraId="329D3B5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03AECD79">
      <w:pPr>
        <w:pStyle w:val="5"/>
        <w:numPr>
          <w:ilvl w:val="3"/>
          <w:numId w:val="0"/>
        </w:numPr>
        <w:tabs>
          <w:tab w:val="left" w:pos="2155"/>
          <w:tab w:val="clear" w:pos="912"/>
        </w:tabs>
        <w:rPr>
          <w:rFonts w:ascii="仿宋" w:hAnsi="仿宋" w:eastAsia="仿宋" w:cs="仿宋"/>
          <w:color w:val="auto"/>
          <w:highlight w:val="none"/>
        </w:rPr>
      </w:pPr>
      <w:bookmarkStart w:id="246" w:name="_Toc81"/>
      <w:bookmarkStart w:id="247" w:name="_Toc23021"/>
      <w:r>
        <w:rPr>
          <w:rFonts w:hint="eastAsia" w:ascii="仿宋" w:hAnsi="仿宋" w:eastAsia="仿宋" w:cs="仿宋"/>
          <w:color w:val="auto"/>
          <w:highlight w:val="none"/>
        </w:rPr>
        <w:t>7.3开工</w:t>
      </w:r>
      <w:bookmarkEnd w:id="246"/>
      <w:bookmarkEnd w:id="247"/>
    </w:p>
    <w:p w14:paraId="46C8667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7.3.1开工准备</w:t>
      </w:r>
    </w:p>
    <w:p w14:paraId="66AD880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D3AEAA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除专用合同条款另有约定外，合同当事人应按约定完成开工准备工作。</w:t>
      </w:r>
    </w:p>
    <w:p w14:paraId="694357E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7.3.2开工通知</w:t>
      </w:r>
    </w:p>
    <w:p w14:paraId="79BAD0B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181EA6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60D84DC">
      <w:pPr>
        <w:pStyle w:val="5"/>
        <w:numPr>
          <w:ilvl w:val="3"/>
          <w:numId w:val="0"/>
        </w:numPr>
        <w:tabs>
          <w:tab w:val="left" w:pos="2155"/>
          <w:tab w:val="clear" w:pos="912"/>
        </w:tabs>
        <w:rPr>
          <w:rFonts w:ascii="仿宋" w:hAnsi="仿宋" w:eastAsia="仿宋" w:cs="仿宋"/>
          <w:color w:val="auto"/>
          <w:highlight w:val="none"/>
        </w:rPr>
      </w:pPr>
      <w:bookmarkStart w:id="248" w:name="_Toc19105"/>
      <w:bookmarkStart w:id="249" w:name="_Toc20449"/>
      <w:r>
        <w:rPr>
          <w:rFonts w:hint="eastAsia" w:ascii="仿宋" w:hAnsi="仿宋" w:eastAsia="仿宋" w:cs="仿宋"/>
          <w:color w:val="auto"/>
          <w:highlight w:val="none"/>
        </w:rPr>
        <w:t>7.4测量放线</w:t>
      </w:r>
      <w:bookmarkEnd w:id="248"/>
      <w:bookmarkEnd w:id="249"/>
    </w:p>
    <w:p w14:paraId="7C8D4E1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2B0E748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34774A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58472A6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施工过程中对施工现场内水准点等测量标志物的保护工作由承包人负责。</w:t>
      </w:r>
    </w:p>
    <w:p w14:paraId="586DE96A">
      <w:pPr>
        <w:pStyle w:val="5"/>
        <w:numPr>
          <w:ilvl w:val="3"/>
          <w:numId w:val="0"/>
        </w:numPr>
        <w:tabs>
          <w:tab w:val="left" w:pos="2155"/>
          <w:tab w:val="clear" w:pos="912"/>
        </w:tabs>
        <w:rPr>
          <w:rFonts w:ascii="仿宋" w:hAnsi="仿宋" w:eastAsia="仿宋" w:cs="仿宋"/>
          <w:color w:val="auto"/>
          <w:highlight w:val="none"/>
        </w:rPr>
      </w:pPr>
      <w:bookmarkStart w:id="250" w:name="_Toc4449"/>
      <w:bookmarkStart w:id="251" w:name="_Toc16631"/>
      <w:r>
        <w:rPr>
          <w:rFonts w:hint="eastAsia" w:ascii="仿宋" w:hAnsi="仿宋" w:eastAsia="仿宋" w:cs="仿宋"/>
          <w:color w:val="auto"/>
          <w:highlight w:val="none"/>
        </w:rPr>
        <w:t>7.5工期延误</w:t>
      </w:r>
      <w:bookmarkEnd w:id="250"/>
      <w:bookmarkEnd w:id="251"/>
    </w:p>
    <w:p w14:paraId="438CA1D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7.5.1因发包人原因导致工期延误</w:t>
      </w:r>
    </w:p>
    <w:p w14:paraId="25D5205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在合同履行过程中，因下列情况导致工期延误和（或）费用增加的，由发包人承担由此延误的工期和（或）增加的费用，且发包人应支付承包人合理的利润：</w:t>
      </w:r>
    </w:p>
    <w:p w14:paraId="2AC9763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（1）发包人未能按合同约定提供图纸或所提供图纸不符合合同约定的；</w:t>
      </w:r>
    </w:p>
    <w:p w14:paraId="7D901BA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（2）发包人未能按合同约定提供施工现场、施工条件、基础资料、许可、批准等开工条件的；</w:t>
      </w:r>
    </w:p>
    <w:p w14:paraId="034DD62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（3）发包人提供的测量基准点、基准线和水准点及其书面资料存在错误或疏漏的；</w:t>
      </w:r>
    </w:p>
    <w:p w14:paraId="5057F94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（4）发包人未能在计划开工日期之日起7天内同意下达开工通知的；</w:t>
      </w:r>
    </w:p>
    <w:p w14:paraId="4D4FC62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（5）发包人未能按合同约定日期支付工程预付款、进度款或竣工结算款的；</w:t>
      </w:r>
    </w:p>
    <w:p w14:paraId="0B46BB6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（6）监理人未按合同约定发出指示、批准等文件的；</w:t>
      </w:r>
    </w:p>
    <w:p w14:paraId="484215C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（7）专用合同条款中约定的其他情形。</w:t>
      </w:r>
    </w:p>
    <w:p w14:paraId="6483721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34F1B46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7.5.2因承包人原因导致工期延误</w:t>
      </w:r>
    </w:p>
    <w:p w14:paraId="388BA6E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00B6DAAA">
      <w:pPr>
        <w:pStyle w:val="5"/>
        <w:numPr>
          <w:ilvl w:val="3"/>
          <w:numId w:val="0"/>
        </w:numPr>
        <w:tabs>
          <w:tab w:val="left" w:pos="2155"/>
          <w:tab w:val="clear" w:pos="912"/>
        </w:tabs>
        <w:rPr>
          <w:rFonts w:ascii="仿宋" w:hAnsi="仿宋" w:eastAsia="仿宋" w:cs="仿宋"/>
          <w:color w:val="auto"/>
          <w:highlight w:val="none"/>
        </w:rPr>
      </w:pPr>
      <w:bookmarkStart w:id="252" w:name="_Toc8505"/>
      <w:bookmarkStart w:id="253" w:name="_Toc30229"/>
      <w:r>
        <w:rPr>
          <w:rFonts w:hint="eastAsia" w:ascii="仿宋" w:hAnsi="仿宋" w:eastAsia="仿宋" w:cs="仿宋"/>
          <w:color w:val="auto"/>
          <w:highlight w:val="none"/>
        </w:rPr>
        <w:t>7.6不利物质条件</w:t>
      </w:r>
      <w:bookmarkEnd w:id="252"/>
      <w:bookmarkEnd w:id="253"/>
    </w:p>
    <w:p w14:paraId="47F23BC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BB9562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610F5412">
      <w:pPr>
        <w:pStyle w:val="5"/>
        <w:numPr>
          <w:ilvl w:val="3"/>
          <w:numId w:val="0"/>
        </w:numPr>
        <w:tabs>
          <w:tab w:val="left" w:pos="2155"/>
          <w:tab w:val="clear" w:pos="912"/>
        </w:tabs>
        <w:rPr>
          <w:rFonts w:ascii="仿宋" w:hAnsi="仿宋" w:eastAsia="仿宋" w:cs="仿宋"/>
          <w:color w:val="auto"/>
          <w:highlight w:val="none"/>
        </w:rPr>
      </w:pPr>
      <w:bookmarkStart w:id="254" w:name="_Toc1674"/>
      <w:bookmarkStart w:id="255" w:name="_Toc31062"/>
      <w:r>
        <w:rPr>
          <w:rFonts w:hint="eastAsia" w:ascii="仿宋" w:hAnsi="仿宋" w:eastAsia="仿宋" w:cs="仿宋"/>
          <w:color w:val="auto"/>
          <w:highlight w:val="none"/>
        </w:rPr>
        <w:t>7.7异常恶劣的气候条件</w:t>
      </w:r>
      <w:bookmarkEnd w:id="254"/>
      <w:bookmarkEnd w:id="255"/>
    </w:p>
    <w:p w14:paraId="1ABD789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AA3C7B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3B1961D5">
      <w:pPr>
        <w:pStyle w:val="5"/>
        <w:numPr>
          <w:ilvl w:val="3"/>
          <w:numId w:val="0"/>
        </w:numPr>
        <w:tabs>
          <w:tab w:val="left" w:pos="2155"/>
          <w:tab w:val="clear" w:pos="912"/>
        </w:tabs>
        <w:rPr>
          <w:rFonts w:ascii="仿宋" w:hAnsi="仿宋" w:eastAsia="仿宋" w:cs="仿宋"/>
          <w:color w:val="auto"/>
          <w:highlight w:val="none"/>
        </w:rPr>
      </w:pPr>
      <w:bookmarkStart w:id="256" w:name="_Toc7470"/>
      <w:bookmarkStart w:id="257" w:name="_Toc3077"/>
      <w:r>
        <w:rPr>
          <w:rFonts w:hint="eastAsia" w:ascii="仿宋" w:hAnsi="仿宋" w:eastAsia="仿宋" w:cs="仿宋"/>
          <w:color w:val="auto"/>
          <w:highlight w:val="none"/>
        </w:rPr>
        <w:t>7.8暂停施工</w:t>
      </w:r>
      <w:bookmarkEnd w:id="256"/>
      <w:bookmarkEnd w:id="257"/>
    </w:p>
    <w:p w14:paraId="2295520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7.8.1发包人原因引起的暂停施工</w:t>
      </w:r>
    </w:p>
    <w:p w14:paraId="672AC68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因发包人原因引起暂停施工的，监理人经发包人同意后，应及时下达暂停施工指示。情况紧急且监理人未及时下达暂停施工指示的，按照第7.8.4项〔紧急情况下的暂停施工〕执行。</w:t>
      </w:r>
    </w:p>
    <w:p w14:paraId="1DFB83C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因发包人原因引起的暂停施工，发包人应承担由此增加的费用和（或）延误的工期，并支付承包人合理的利润。</w:t>
      </w:r>
    </w:p>
    <w:p w14:paraId="12BC46F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7.8.2承包人原因引起的暂停施工</w:t>
      </w:r>
    </w:p>
    <w:p w14:paraId="55A3275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8F475F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7.8.3指示暂停施工</w:t>
      </w:r>
    </w:p>
    <w:p w14:paraId="198B8FE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监理人认为有必要时，并经发包人批准后，可向承包人作出暂停施工的指示，承包人应按监理人指示暂停施工。</w:t>
      </w:r>
    </w:p>
    <w:p w14:paraId="0C01549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7.8.4紧急情况下的暂停施工</w:t>
      </w:r>
    </w:p>
    <w:p w14:paraId="342665E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26F4A5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7.8.5暂停施工后的复工</w:t>
      </w:r>
    </w:p>
    <w:p w14:paraId="1488831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59E121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承包人无故拖延和拒绝复工的，承包人承担由此增加的费用和（或）延误的工期；因发包人原因无法按时复工的，按照第7.5.1项〔因发包人原因导致工期延误〕约定办理。</w:t>
      </w:r>
    </w:p>
    <w:p w14:paraId="4FCFFAF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7.8.6暂停施工持续56天以上</w:t>
      </w:r>
    </w:p>
    <w:p w14:paraId="50D125A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FB6D88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180172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7.8.7暂停施工期间的工程照管</w:t>
      </w:r>
    </w:p>
    <w:p w14:paraId="5712631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暂停施工期间，承包人应负责妥善照管工程并提供安全保障，由此增加的费用由责任方承担。</w:t>
      </w:r>
    </w:p>
    <w:p w14:paraId="10ECB8E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7.8.8暂停施工的措施</w:t>
      </w:r>
    </w:p>
    <w:p w14:paraId="4FF10B0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暂停施工期间，发包人和承包人均应采取必要的措施确保工程质量及安全，防止因暂停施工扩大损失。</w:t>
      </w:r>
    </w:p>
    <w:p w14:paraId="6692B48D">
      <w:pPr>
        <w:pStyle w:val="5"/>
        <w:numPr>
          <w:ilvl w:val="3"/>
          <w:numId w:val="0"/>
        </w:numPr>
        <w:tabs>
          <w:tab w:val="left" w:pos="2155"/>
          <w:tab w:val="clear" w:pos="912"/>
        </w:tabs>
        <w:rPr>
          <w:rFonts w:ascii="仿宋" w:hAnsi="仿宋" w:eastAsia="仿宋" w:cs="仿宋"/>
          <w:color w:val="auto"/>
          <w:highlight w:val="none"/>
        </w:rPr>
      </w:pPr>
      <w:bookmarkStart w:id="258" w:name="_Toc11545"/>
      <w:bookmarkStart w:id="259" w:name="_Toc15082"/>
      <w:r>
        <w:rPr>
          <w:rFonts w:hint="eastAsia" w:ascii="仿宋" w:hAnsi="仿宋" w:eastAsia="仿宋" w:cs="仿宋"/>
          <w:color w:val="auto"/>
          <w:highlight w:val="none"/>
        </w:rPr>
        <w:t>7.9提前竣工</w:t>
      </w:r>
      <w:bookmarkEnd w:id="258"/>
      <w:bookmarkEnd w:id="259"/>
    </w:p>
    <w:p w14:paraId="2E01F24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059EE2C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7.9.2发包人要求承包人提前竣工，或承包人提出提前竣工的建议能够给发包人带来效益的，合同当事人可以在专用合同条款中约定提前竣工的奖励。</w:t>
      </w:r>
    </w:p>
    <w:p w14:paraId="5CB64916">
      <w:pPr>
        <w:pStyle w:val="4"/>
        <w:rPr>
          <w:rFonts w:ascii="仿宋" w:hAnsi="仿宋" w:eastAsia="仿宋" w:cs="仿宋"/>
          <w:color w:val="auto"/>
          <w:highlight w:val="none"/>
        </w:rPr>
      </w:pPr>
      <w:bookmarkStart w:id="260" w:name="_Toc11104"/>
      <w:bookmarkStart w:id="261" w:name="_Toc20398"/>
      <w:bookmarkStart w:id="262" w:name="_Toc20418"/>
      <w:bookmarkStart w:id="263" w:name="_Toc32744"/>
      <w:r>
        <w:rPr>
          <w:rFonts w:hint="eastAsia" w:ascii="仿宋" w:hAnsi="仿宋" w:eastAsia="仿宋" w:cs="仿宋"/>
          <w:color w:val="auto"/>
          <w:highlight w:val="none"/>
        </w:rPr>
        <w:t>8.材料与设备</w:t>
      </w:r>
      <w:bookmarkEnd w:id="260"/>
      <w:bookmarkEnd w:id="261"/>
      <w:bookmarkEnd w:id="262"/>
      <w:bookmarkEnd w:id="263"/>
    </w:p>
    <w:p w14:paraId="2CE0DDE8">
      <w:pPr>
        <w:pStyle w:val="5"/>
        <w:numPr>
          <w:ilvl w:val="3"/>
          <w:numId w:val="0"/>
        </w:numPr>
        <w:tabs>
          <w:tab w:val="left" w:pos="2155"/>
          <w:tab w:val="clear" w:pos="912"/>
        </w:tabs>
        <w:rPr>
          <w:rFonts w:ascii="仿宋" w:hAnsi="仿宋" w:eastAsia="仿宋" w:cs="仿宋"/>
          <w:color w:val="auto"/>
          <w:highlight w:val="none"/>
        </w:rPr>
      </w:pPr>
      <w:bookmarkStart w:id="264" w:name="_Toc24840"/>
      <w:bookmarkStart w:id="265" w:name="_Toc20139"/>
      <w:r>
        <w:rPr>
          <w:rFonts w:hint="eastAsia" w:ascii="仿宋" w:hAnsi="仿宋" w:eastAsia="仿宋" w:cs="仿宋"/>
          <w:color w:val="auto"/>
          <w:highlight w:val="none"/>
        </w:rPr>
        <w:t>8.1发包人供应材料与工程设备</w:t>
      </w:r>
      <w:bookmarkEnd w:id="264"/>
      <w:bookmarkEnd w:id="265"/>
    </w:p>
    <w:p w14:paraId="67A2893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发包人自行供应材料、工程设备的，应在签订合同时在专用合同条款的附件《发包人供应材料设备一览表》中明确材料、工程设备的品种、规格、型号、数量、单价、质量等级和送达地点。</w:t>
      </w:r>
    </w:p>
    <w:p w14:paraId="0A78C65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2B27DF0">
      <w:pPr>
        <w:pStyle w:val="5"/>
        <w:numPr>
          <w:ilvl w:val="3"/>
          <w:numId w:val="0"/>
        </w:numPr>
        <w:tabs>
          <w:tab w:val="left" w:pos="2155"/>
          <w:tab w:val="clear" w:pos="912"/>
        </w:tabs>
        <w:rPr>
          <w:rFonts w:ascii="仿宋" w:hAnsi="仿宋" w:eastAsia="仿宋" w:cs="仿宋"/>
          <w:color w:val="auto"/>
          <w:highlight w:val="none"/>
        </w:rPr>
      </w:pPr>
      <w:bookmarkStart w:id="266" w:name="_Toc17484"/>
      <w:bookmarkStart w:id="267" w:name="_Toc32238"/>
      <w:r>
        <w:rPr>
          <w:rFonts w:hint="eastAsia" w:ascii="仿宋" w:hAnsi="仿宋" w:eastAsia="仿宋" w:cs="仿宋"/>
          <w:color w:val="auto"/>
          <w:highlight w:val="none"/>
        </w:rPr>
        <w:t>8.2承包人采购材料与工程设备</w:t>
      </w:r>
      <w:bookmarkEnd w:id="266"/>
      <w:bookmarkEnd w:id="267"/>
    </w:p>
    <w:p w14:paraId="0DD22BA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C950674">
      <w:pPr>
        <w:pStyle w:val="5"/>
        <w:numPr>
          <w:ilvl w:val="3"/>
          <w:numId w:val="0"/>
        </w:numPr>
        <w:tabs>
          <w:tab w:val="left" w:pos="2155"/>
          <w:tab w:val="clear" w:pos="912"/>
        </w:tabs>
        <w:rPr>
          <w:rFonts w:ascii="仿宋" w:hAnsi="仿宋" w:eastAsia="仿宋" w:cs="仿宋"/>
          <w:color w:val="auto"/>
          <w:highlight w:val="none"/>
        </w:rPr>
      </w:pPr>
      <w:bookmarkStart w:id="268" w:name="_Toc19535"/>
      <w:bookmarkStart w:id="269" w:name="_Toc16285"/>
      <w:r>
        <w:rPr>
          <w:rFonts w:hint="eastAsia" w:ascii="仿宋" w:hAnsi="仿宋" w:eastAsia="仿宋" w:cs="仿宋"/>
          <w:color w:val="auto"/>
          <w:highlight w:val="none"/>
        </w:rPr>
        <w:t>8.3材料与工程设备的接收与拒收</w:t>
      </w:r>
      <w:bookmarkEnd w:id="268"/>
      <w:bookmarkEnd w:id="269"/>
    </w:p>
    <w:p w14:paraId="3A2B1DA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835609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发包人提供的材料和工程设备的规格、数量或质量不符合合同约定的，或因发包人原因导致交货日期延误或交货地点变更等情况的，按照第16.1款〔发包人违约〕约定办理。</w:t>
      </w:r>
    </w:p>
    <w:p w14:paraId="4E1A8D4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74205C9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70155FC">
      <w:pPr>
        <w:pStyle w:val="5"/>
        <w:numPr>
          <w:ilvl w:val="3"/>
          <w:numId w:val="0"/>
        </w:numPr>
        <w:tabs>
          <w:tab w:val="left" w:pos="2155"/>
          <w:tab w:val="clear" w:pos="912"/>
        </w:tabs>
        <w:rPr>
          <w:rFonts w:ascii="仿宋" w:hAnsi="仿宋" w:eastAsia="仿宋" w:cs="仿宋"/>
          <w:color w:val="auto"/>
          <w:highlight w:val="none"/>
        </w:rPr>
      </w:pPr>
      <w:bookmarkStart w:id="270" w:name="_Toc30593"/>
      <w:bookmarkStart w:id="271" w:name="_Toc26074"/>
      <w:r>
        <w:rPr>
          <w:rFonts w:hint="eastAsia" w:ascii="仿宋" w:hAnsi="仿宋" w:eastAsia="仿宋" w:cs="仿宋"/>
          <w:color w:val="auto"/>
          <w:highlight w:val="none"/>
        </w:rPr>
        <w:t>8.4材料与工程设备的保管与使用</w:t>
      </w:r>
      <w:bookmarkEnd w:id="270"/>
      <w:bookmarkEnd w:id="271"/>
    </w:p>
    <w:p w14:paraId="6442E30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8.4.1发包人供应材料与工程设备的保管与使用</w:t>
      </w:r>
    </w:p>
    <w:p w14:paraId="48E767F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D54D39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发包人供应的材料和工程设备使用前，由承包人负责检验，检验费用由发包人承担，不合格的不得使用。</w:t>
      </w:r>
    </w:p>
    <w:p w14:paraId="272117F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8.4.2承包人采购材料与工程设备的保管与使用</w:t>
      </w:r>
    </w:p>
    <w:p w14:paraId="5BE3DCB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C797B5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C41841B">
      <w:pPr>
        <w:pStyle w:val="5"/>
        <w:numPr>
          <w:ilvl w:val="3"/>
          <w:numId w:val="0"/>
        </w:numPr>
        <w:tabs>
          <w:tab w:val="left" w:pos="2155"/>
          <w:tab w:val="clear" w:pos="912"/>
        </w:tabs>
        <w:rPr>
          <w:rFonts w:ascii="仿宋" w:hAnsi="仿宋" w:eastAsia="仿宋" w:cs="仿宋"/>
          <w:color w:val="auto"/>
          <w:highlight w:val="none"/>
        </w:rPr>
      </w:pPr>
      <w:bookmarkStart w:id="272" w:name="_Toc29287"/>
      <w:bookmarkStart w:id="273" w:name="_Toc21495"/>
      <w:r>
        <w:rPr>
          <w:rFonts w:hint="eastAsia" w:ascii="仿宋" w:hAnsi="仿宋" w:eastAsia="仿宋" w:cs="仿宋"/>
          <w:color w:val="auto"/>
          <w:highlight w:val="none"/>
        </w:rPr>
        <w:t>8.5禁止使用不合格的材料和工程设备</w:t>
      </w:r>
      <w:bookmarkEnd w:id="272"/>
      <w:bookmarkEnd w:id="273"/>
    </w:p>
    <w:p w14:paraId="118FD4F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8.5.1监理人有权拒绝承包人提供的不合格材料或工程设备，并要求承包人立即进行更换。监理人应在更换后再次进行检查和检验，由此增加的费用和（或）延误的工期由承包人承担。</w:t>
      </w:r>
    </w:p>
    <w:p w14:paraId="1A10DB8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8.5.2监理人发现承包人使用了不合格的材料和工程设备，承包人应按照监理人的指示立即改正，并禁止在工程中继续使用不合格的材料和工程设备。</w:t>
      </w:r>
    </w:p>
    <w:p w14:paraId="0452D13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8.5.3发包人提供的材料或工程设备不符合合同要求的，承包人有权拒绝，并可要求发包人更换，由此增加的费用和（或）延误的工期由发包人承担，并支付承包人合理的利润。</w:t>
      </w:r>
    </w:p>
    <w:p w14:paraId="56CF2DBF">
      <w:pPr>
        <w:pStyle w:val="5"/>
        <w:numPr>
          <w:ilvl w:val="3"/>
          <w:numId w:val="0"/>
        </w:numPr>
        <w:tabs>
          <w:tab w:val="left" w:pos="2155"/>
          <w:tab w:val="clear" w:pos="912"/>
        </w:tabs>
        <w:rPr>
          <w:rFonts w:ascii="仿宋" w:hAnsi="仿宋" w:eastAsia="仿宋" w:cs="仿宋"/>
          <w:color w:val="auto"/>
          <w:highlight w:val="none"/>
        </w:rPr>
      </w:pPr>
      <w:bookmarkStart w:id="274" w:name="_Toc16144"/>
      <w:bookmarkStart w:id="275" w:name="_Toc31153"/>
      <w:r>
        <w:rPr>
          <w:rFonts w:hint="eastAsia" w:ascii="仿宋" w:hAnsi="仿宋" w:eastAsia="仿宋" w:cs="仿宋"/>
          <w:color w:val="auto"/>
          <w:highlight w:val="none"/>
        </w:rPr>
        <w:t>8.6样品</w:t>
      </w:r>
      <w:bookmarkEnd w:id="274"/>
      <w:bookmarkEnd w:id="275"/>
    </w:p>
    <w:p w14:paraId="10CD022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8.6.1样品的报送与封存</w:t>
      </w:r>
    </w:p>
    <w:p w14:paraId="194EB86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需要承包人报送样品的材料或工程设备，样品的种类、名称、规格、数量等要求均应在专用合同条款中约定。样品的报送程序如下：</w:t>
      </w:r>
    </w:p>
    <w:p w14:paraId="66C009D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9CE43E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73174D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（3）经发包人和监理人审批确认的样品应按约定的方法封样，封存的样品作为检验工程相关部分的标准之一。承包人在施工过程中不得使用与样品不符的材料或工程设备。</w:t>
      </w:r>
    </w:p>
    <w:p w14:paraId="0B01E35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1EBF2E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8.6.2样品的保管</w:t>
      </w:r>
    </w:p>
    <w:p w14:paraId="7D1C7D3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经批准的样品应由监理人负责封存于现场，承包人应在现场为保存样品提供适当和固定的场所并保持适当和良好的存储环境条件。</w:t>
      </w:r>
    </w:p>
    <w:p w14:paraId="6B64BB6C">
      <w:pPr>
        <w:pStyle w:val="5"/>
        <w:numPr>
          <w:ilvl w:val="3"/>
          <w:numId w:val="0"/>
        </w:numPr>
        <w:tabs>
          <w:tab w:val="left" w:pos="2155"/>
          <w:tab w:val="clear" w:pos="912"/>
        </w:tabs>
        <w:rPr>
          <w:rFonts w:ascii="仿宋" w:hAnsi="仿宋" w:eastAsia="仿宋" w:cs="仿宋"/>
          <w:color w:val="auto"/>
          <w:highlight w:val="none"/>
        </w:rPr>
      </w:pPr>
      <w:bookmarkStart w:id="276" w:name="_Toc5541"/>
      <w:bookmarkStart w:id="277" w:name="_Toc29589"/>
      <w:r>
        <w:rPr>
          <w:rFonts w:hint="eastAsia" w:ascii="仿宋" w:hAnsi="仿宋" w:eastAsia="仿宋" w:cs="仿宋"/>
          <w:color w:val="auto"/>
          <w:highlight w:val="none"/>
        </w:rPr>
        <w:t>8.7材料与工程设备的替代</w:t>
      </w:r>
      <w:bookmarkEnd w:id="276"/>
      <w:bookmarkEnd w:id="277"/>
    </w:p>
    <w:p w14:paraId="3BAD5B7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8.7.1出现下列情况需要使用替代材料和工程设备的，承包人应按照第8.7.2项约定的程序执行：</w:t>
      </w:r>
    </w:p>
    <w:p w14:paraId="1FABC6E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（1）基准日期后生效的法律规定禁止使用的；</w:t>
      </w:r>
    </w:p>
    <w:p w14:paraId="70C123C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（2）发包人要求使用替代品的；</w:t>
      </w:r>
    </w:p>
    <w:p w14:paraId="2CF8C25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（3）因其他原因必须使用替代品的。</w:t>
      </w:r>
    </w:p>
    <w:p w14:paraId="284E07B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8.7.2承包人应在使用替代材料和工程设备28天前书面通知监理人，并附下列文件：</w:t>
      </w:r>
    </w:p>
    <w:p w14:paraId="40DFA82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（1）被替代的材料和工程设备的名称、数量、规格、型号、品牌、性能、价格及其他相关资料；</w:t>
      </w:r>
    </w:p>
    <w:p w14:paraId="33F316B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（2）替代品的名称、数量、规格、型号、品牌、性能、价格及其他相关资料；</w:t>
      </w:r>
    </w:p>
    <w:p w14:paraId="69C29BB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（3）替代品与被替代产品之间的差异以及使用替代品可能对工程产生的影响；</w:t>
      </w:r>
    </w:p>
    <w:p w14:paraId="2DCC2BB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（4）替代品与被替代产品的价格差异；</w:t>
      </w:r>
    </w:p>
    <w:p w14:paraId="30DF67D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（5）使用替代品的理由和原因说明；</w:t>
      </w:r>
    </w:p>
    <w:p w14:paraId="64BDDDA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（6）监理人要求的其他文件。</w:t>
      </w:r>
    </w:p>
    <w:p w14:paraId="781F003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监理人应在收到通知后14天内向承包人发出经发包人签认的书面指示；监理人逾期发出书面指示的，视为发包人和监理人同意使用替代品。</w:t>
      </w:r>
    </w:p>
    <w:p w14:paraId="6181FE6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8874F7C">
      <w:pPr>
        <w:pStyle w:val="5"/>
        <w:numPr>
          <w:ilvl w:val="3"/>
          <w:numId w:val="0"/>
        </w:numPr>
        <w:tabs>
          <w:tab w:val="left" w:pos="2155"/>
          <w:tab w:val="clear" w:pos="912"/>
        </w:tabs>
        <w:rPr>
          <w:rFonts w:ascii="仿宋" w:hAnsi="仿宋" w:eastAsia="仿宋" w:cs="仿宋"/>
          <w:color w:val="auto"/>
          <w:highlight w:val="none"/>
        </w:rPr>
      </w:pPr>
      <w:bookmarkStart w:id="278" w:name="_Toc12179"/>
      <w:bookmarkStart w:id="279" w:name="_Toc25018"/>
      <w:r>
        <w:rPr>
          <w:rFonts w:hint="eastAsia" w:ascii="仿宋" w:hAnsi="仿宋" w:eastAsia="仿宋" w:cs="仿宋"/>
          <w:color w:val="auto"/>
          <w:highlight w:val="none"/>
        </w:rPr>
        <w:t>8.8施工设备和临时设施</w:t>
      </w:r>
      <w:bookmarkEnd w:id="278"/>
      <w:bookmarkEnd w:id="279"/>
    </w:p>
    <w:p w14:paraId="4D6C580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8.8.1承包人提供的施工设备和临时设施</w:t>
      </w:r>
    </w:p>
    <w:p w14:paraId="4E78C2F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7260194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除专用合同条款另有约定外，承包人应自行承担修建临时设施的费用，需要临时占地的，应由发包人办理申请手续并承担相应费用。</w:t>
      </w:r>
    </w:p>
    <w:p w14:paraId="43D8037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8.8.2发包人提供的施工设备和临时设施</w:t>
      </w:r>
    </w:p>
    <w:p w14:paraId="05F363A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发包人提供的施工设备或临时设施在专用合同条款中约定。</w:t>
      </w:r>
    </w:p>
    <w:p w14:paraId="2172B9D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8.8.3要求承包人增加或更换施工设备</w:t>
      </w:r>
    </w:p>
    <w:p w14:paraId="1FCD7A6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2AE39717">
      <w:pPr>
        <w:pStyle w:val="5"/>
        <w:numPr>
          <w:ilvl w:val="3"/>
          <w:numId w:val="0"/>
        </w:numPr>
        <w:tabs>
          <w:tab w:val="left" w:pos="2155"/>
          <w:tab w:val="clear" w:pos="912"/>
        </w:tabs>
        <w:rPr>
          <w:rFonts w:ascii="仿宋" w:hAnsi="仿宋" w:eastAsia="仿宋" w:cs="仿宋"/>
          <w:color w:val="auto"/>
          <w:highlight w:val="none"/>
        </w:rPr>
      </w:pPr>
      <w:bookmarkStart w:id="280" w:name="_Toc1971"/>
      <w:bookmarkStart w:id="281" w:name="_Toc13254"/>
      <w:r>
        <w:rPr>
          <w:rFonts w:hint="eastAsia" w:ascii="仿宋" w:hAnsi="仿宋" w:eastAsia="仿宋" w:cs="仿宋"/>
          <w:color w:val="auto"/>
          <w:highlight w:val="none"/>
        </w:rPr>
        <w:t>8.9材料与设备专用要求</w:t>
      </w:r>
      <w:bookmarkEnd w:id="280"/>
      <w:bookmarkEnd w:id="281"/>
    </w:p>
    <w:p w14:paraId="2E0C863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04135BEE">
      <w:pPr>
        <w:pStyle w:val="4"/>
        <w:rPr>
          <w:rFonts w:ascii="仿宋" w:hAnsi="仿宋" w:eastAsia="仿宋" w:cs="仿宋"/>
          <w:color w:val="auto"/>
          <w:highlight w:val="none"/>
        </w:rPr>
      </w:pPr>
      <w:bookmarkStart w:id="282" w:name="_Toc30814"/>
      <w:bookmarkStart w:id="283" w:name="_Toc18959"/>
      <w:bookmarkStart w:id="284" w:name="_Toc27346"/>
      <w:bookmarkStart w:id="285" w:name="_Toc7957"/>
      <w:r>
        <w:rPr>
          <w:rFonts w:hint="eastAsia" w:ascii="仿宋" w:hAnsi="仿宋" w:eastAsia="仿宋" w:cs="仿宋"/>
          <w:color w:val="auto"/>
          <w:highlight w:val="none"/>
        </w:rPr>
        <w:t>9.试验与检验</w:t>
      </w:r>
      <w:bookmarkEnd w:id="282"/>
      <w:bookmarkEnd w:id="283"/>
      <w:bookmarkEnd w:id="284"/>
      <w:bookmarkEnd w:id="285"/>
    </w:p>
    <w:p w14:paraId="353A0F03">
      <w:pPr>
        <w:pStyle w:val="5"/>
        <w:numPr>
          <w:ilvl w:val="3"/>
          <w:numId w:val="0"/>
        </w:numPr>
        <w:tabs>
          <w:tab w:val="left" w:pos="2155"/>
          <w:tab w:val="clear" w:pos="912"/>
        </w:tabs>
        <w:rPr>
          <w:rFonts w:ascii="仿宋" w:hAnsi="仿宋" w:eastAsia="仿宋" w:cs="仿宋"/>
          <w:color w:val="auto"/>
          <w:highlight w:val="none"/>
        </w:rPr>
      </w:pPr>
      <w:bookmarkStart w:id="286" w:name="_Toc21537"/>
      <w:bookmarkStart w:id="287" w:name="_Toc11604"/>
      <w:r>
        <w:rPr>
          <w:rFonts w:hint="eastAsia" w:ascii="仿宋" w:hAnsi="仿宋" w:eastAsia="仿宋" w:cs="仿宋"/>
          <w:color w:val="auto"/>
          <w:highlight w:val="none"/>
        </w:rPr>
        <w:t>9.1试验设备与试验人员</w:t>
      </w:r>
      <w:bookmarkEnd w:id="286"/>
      <w:bookmarkEnd w:id="287"/>
    </w:p>
    <w:p w14:paraId="6352854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D1DDCB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9.1.2承包人应按专用合同条款的约定提供试验设备、取样装置、试验场所和试验条件，并向监理人提交相应进场计划表。</w:t>
      </w:r>
    </w:p>
    <w:p w14:paraId="1BC54C1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承包人配置的试验设备要符合相应试验规程的要求并经过具有资质的检测单位检测，且在正式使用该试验设备前，需要经过监理人与承包人共同校定。</w:t>
      </w:r>
    </w:p>
    <w:p w14:paraId="1C9E13D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9.1.3承包人应向监理人提交试验人员的名单及其岗位、资格等证明资料，试验人员必须能够熟练进行相应的检测试验，承包人对试验人员的试验程序和试验结果的正确性负责。</w:t>
      </w:r>
    </w:p>
    <w:p w14:paraId="69065479">
      <w:pPr>
        <w:pStyle w:val="5"/>
        <w:numPr>
          <w:ilvl w:val="3"/>
          <w:numId w:val="0"/>
        </w:numPr>
        <w:tabs>
          <w:tab w:val="left" w:pos="2155"/>
          <w:tab w:val="clear" w:pos="912"/>
        </w:tabs>
        <w:rPr>
          <w:rFonts w:ascii="仿宋" w:hAnsi="仿宋" w:eastAsia="仿宋" w:cs="仿宋"/>
          <w:color w:val="auto"/>
          <w:highlight w:val="none"/>
        </w:rPr>
      </w:pPr>
      <w:bookmarkStart w:id="288" w:name="_Toc28397"/>
      <w:bookmarkStart w:id="289" w:name="_Toc29699"/>
      <w:r>
        <w:rPr>
          <w:rFonts w:hint="eastAsia" w:ascii="仿宋" w:hAnsi="仿宋" w:eastAsia="仿宋" w:cs="仿宋"/>
          <w:color w:val="auto"/>
          <w:highlight w:val="none"/>
        </w:rPr>
        <w:t>9.2取样</w:t>
      </w:r>
      <w:bookmarkEnd w:id="288"/>
      <w:bookmarkEnd w:id="289"/>
    </w:p>
    <w:p w14:paraId="5FD78F4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试验属于自检性质的，承包人可以单独取样。试验属于监理人抽检性质的，可由监理人取样，也可由承包人的试验人员在监理人的监督下取样。</w:t>
      </w:r>
    </w:p>
    <w:p w14:paraId="102930DB">
      <w:pPr>
        <w:pStyle w:val="5"/>
        <w:numPr>
          <w:ilvl w:val="3"/>
          <w:numId w:val="0"/>
        </w:numPr>
        <w:tabs>
          <w:tab w:val="left" w:pos="2155"/>
          <w:tab w:val="clear" w:pos="912"/>
        </w:tabs>
        <w:rPr>
          <w:rFonts w:ascii="仿宋" w:hAnsi="仿宋" w:eastAsia="仿宋" w:cs="仿宋"/>
          <w:color w:val="auto"/>
          <w:highlight w:val="none"/>
        </w:rPr>
      </w:pPr>
      <w:bookmarkStart w:id="290" w:name="_Toc11129"/>
      <w:bookmarkStart w:id="291" w:name="_Toc26776"/>
      <w:r>
        <w:rPr>
          <w:rFonts w:hint="eastAsia" w:ascii="仿宋" w:hAnsi="仿宋" w:eastAsia="仿宋" w:cs="仿宋"/>
          <w:color w:val="auto"/>
          <w:highlight w:val="none"/>
        </w:rPr>
        <w:t>9.3材料、工程设备和工程的试验和检验</w:t>
      </w:r>
      <w:bookmarkEnd w:id="290"/>
      <w:bookmarkEnd w:id="291"/>
    </w:p>
    <w:p w14:paraId="10E8603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26E81C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27C614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50F28E6">
      <w:pPr>
        <w:pStyle w:val="5"/>
        <w:numPr>
          <w:ilvl w:val="3"/>
          <w:numId w:val="0"/>
        </w:numPr>
        <w:tabs>
          <w:tab w:val="left" w:pos="2155"/>
          <w:tab w:val="clear" w:pos="912"/>
        </w:tabs>
        <w:rPr>
          <w:rFonts w:ascii="仿宋" w:hAnsi="仿宋" w:eastAsia="仿宋" w:cs="仿宋"/>
          <w:color w:val="auto"/>
          <w:highlight w:val="none"/>
        </w:rPr>
      </w:pPr>
      <w:bookmarkStart w:id="292" w:name="_Toc825"/>
      <w:bookmarkStart w:id="293" w:name="_Toc32291"/>
      <w:r>
        <w:rPr>
          <w:rFonts w:hint="eastAsia" w:ascii="仿宋" w:hAnsi="仿宋" w:eastAsia="仿宋" w:cs="仿宋"/>
          <w:color w:val="auto"/>
          <w:highlight w:val="none"/>
        </w:rPr>
        <w:t>9.4现场工艺试验</w:t>
      </w:r>
      <w:bookmarkEnd w:id="292"/>
      <w:bookmarkEnd w:id="293"/>
    </w:p>
    <w:p w14:paraId="7F0CC71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7D85A310">
      <w:pPr>
        <w:pStyle w:val="4"/>
        <w:rPr>
          <w:rFonts w:ascii="仿宋" w:hAnsi="仿宋" w:eastAsia="仿宋" w:cs="仿宋"/>
          <w:color w:val="auto"/>
          <w:highlight w:val="none"/>
        </w:rPr>
      </w:pPr>
      <w:bookmarkStart w:id="294" w:name="_Toc7761"/>
      <w:bookmarkStart w:id="295" w:name="_Toc30532"/>
      <w:bookmarkStart w:id="296" w:name="_Toc5691"/>
      <w:bookmarkStart w:id="297" w:name="_Toc15373"/>
      <w:r>
        <w:rPr>
          <w:rFonts w:hint="eastAsia" w:ascii="仿宋" w:hAnsi="仿宋" w:eastAsia="仿宋" w:cs="仿宋"/>
          <w:color w:val="auto"/>
          <w:highlight w:val="none"/>
        </w:rPr>
        <w:t>10.变更</w:t>
      </w:r>
      <w:bookmarkEnd w:id="294"/>
      <w:bookmarkEnd w:id="295"/>
      <w:bookmarkEnd w:id="296"/>
      <w:bookmarkEnd w:id="297"/>
    </w:p>
    <w:p w14:paraId="6DBCFC8D">
      <w:pPr>
        <w:pStyle w:val="5"/>
        <w:numPr>
          <w:ilvl w:val="3"/>
          <w:numId w:val="0"/>
        </w:numPr>
        <w:tabs>
          <w:tab w:val="left" w:pos="2155"/>
          <w:tab w:val="clear" w:pos="912"/>
        </w:tabs>
        <w:rPr>
          <w:rFonts w:ascii="仿宋" w:hAnsi="仿宋" w:eastAsia="仿宋" w:cs="仿宋"/>
          <w:color w:val="auto"/>
          <w:highlight w:val="none"/>
        </w:rPr>
      </w:pPr>
      <w:bookmarkStart w:id="298" w:name="_Toc13338"/>
      <w:bookmarkStart w:id="299" w:name="_Toc2098"/>
      <w:r>
        <w:rPr>
          <w:rFonts w:hint="eastAsia" w:ascii="仿宋" w:hAnsi="仿宋" w:eastAsia="仿宋" w:cs="仿宋"/>
          <w:color w:val="auto"/>
          <w:highlight w:val="none"/>
        </w:rPr>
        <w:t>10.1变更的范围</w:t>
      </w:r>
      <w:bookmarkEnd w:id="298"/>
      <w:bookmarkEnd w:id="299"/>
    </w:p>
    <w:p w14:paraId="7D77530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除专用合同条款另有约定外，合同履行过程中发生以下情形的，应按照本条约定进行变更：</w:t>
      </w:r>
    </w:p>
    <w:p w14:paraId="4F52284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（1）增加或减少合同中任何工作，或追加额外的工作；</w:t>
      </w:r>
    </w:p>
    <w:p w14:paraId="5168BAB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（2）取消合同中任何工作，但转由他人实施的工作除外；</w:t>
      </w:r>
    </w:p>
    <w:p w14:paraId="38C31F8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（3）改变合同中任何工作的质量标准或其他特性；</w:t>
      </w:r>
    </w:p>
    <w:p w14:paraId="19FCDBE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（4）改变工程的基线、标高、位置和尺寸；</w:t>
      </w:r>
    </w:p>
    <w:p w14:paraId="10EDF7B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（5）改变工程的时间安排或实施顺序。</w:t>
      </w:r>
    </w:p>
    <w:p w14:paraId="1A22EF29">
      <w:pPr>
        <w:pStyle w:val="5"/>
        <w:numPr>
          <w:ilvl w:val="3"/>
          <w:numId w:val="0"/>
        </w:numPr>
        <w:tabs>
          <w:tab w:val="left" w:pos="2155"/>
          <w:tab w:val="clear" w:pos="912"/>
        </w:tabs>
        <w:rPr>
          <w:rFonts w:ascii="仿宋" w:hAnsi="仿宋" w:eastAsia="仿宋" w:cs="仿宋"/>
          <w:color w:val="auto"/>
          <w:highlight w:val="none"/>
        </w:rPr>
      </w:pPr>
      <w:bookmarkStart w:id="300" w:name="_Toc12651"/>
      <w:bookmarkStart w:id="301" w:name="_Toc28228"/>
      <w:r>
        <w:rPr>
          <w:rFonts w:hint="eastAsia" w:ascii="仿宋" w:hAnsi="仿宋" w:eastAsia="仿宋" w:cs="仿宋"/>
          <w:color w:val="auto"/>
          <w:highlight w:val="none"/>
        </w:rPr>
        <w:t>10.2变更权</w:t>
      </w:r>
      <w:bookmarkEnd w:id="300"/>
      <w:bookmarkEnd w:id="301"/>
    </w:p>
    <w:p w14:paraId="02210E2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B1168D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涉及设计变更的，应由设计人提供变更后的图纸和说明。如变更超过原设计标准或批准的建设规模时，发包人应及时办理规划、设计变更等审批手续。</w:t>
      </w:r>
    </w:p>
    <w:p w14:paraId="17665378">
      <w:pPr>
        <w:pStyle w:val="5"/>
        <w:numPr>
          <w:ilvl w:val="3"/>
          <w:numId w:val="0"/>
        </w:numPr>
        <w:tabs>
          <w:tab w:val="left" w:pos="2155"/>
          <w:tab w:val="clear" w:pos="912"/>
        </w:tabs>
        <w:rPr>
          <w:rFonts w:ascii="仿宋" w:hAnsi="仿宋" w:eastAsia="仿宋" w:cs="仿宋"/>
          <w:color w:val="auto"/>
          <w:highlight w:val="none"/>
        </w:rPr>
      </w:pPr>
      <w:bookmarkStart w:id="302" w:name="_Toc30760"/>
      <w:bookmarkStart w:id="303" w:name="_Toc29121"/>
      <w:r>
        <w:rPr>
          <w:rFonts w:hint="eastAsia" w:ascii="仿宋" w:hAnsi="仿宋" w:eastAsia="仿宋" w:cs="仿宋"/>
          <w:color w:val="auto"/>
          <w:highlight w:val="none"/>
        </w:rPr>
        <w:t>10.3变更程序</w:t>
      </w:r>
      <w:bookmarkEnd w:id="302"/>
      <w:bookmarkEnd w:id="303"/>
    </w:p>
    <w:p w14:paraId="0FC2787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10.3.1发包人提出变更</w:t>
      </w:r>
    </w:p>
    <w:p w14:paraId="1D80ED0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发包人提出变更的，应通过监理人向承包人发出变更指示，变更指示应说明计划变更的工程范围和变更的内容。</w:t>
      </w:r>
    </w:p>
    <w:p w14:paraId="7D37ED9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10.3.2监理人提出变更建议</w:t>
      </w:r>
    </w:p>
    <w:p w14:paraId="2A5F5AA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98124E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10.3.3变更执行</w:t>
      </w:r>
    </w:p>
    <w:p w14:paraId="2E61B33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3F5C707">
      <w:pPr>
        <w:pStyle w:val="5"/>
        <w:numPr>
          <w:ilvl w:val="3"/>
          <w:numId w:val="0"/>
        </w:numPr>
        <w:tabs>
          <w:tab w:val="left" w:pos="2155"/>
          <w:tab w:val="clear" w:pos="912"/>
        </w:tabs>
        <w:rPr>
          <w:rFonts w:ascii="仿宋" w:hAnsi="仿宋" w:eastAsia="仿宋" w:cs="仿宋"/>
          <w:color w:val="auto"/>
          <w:highlight w:val="none"/>
        </w:rPr>
      </w:pPr>
      <w:bookmarkStart w:id="304" w:name="_Toc6506"/>
      <w:bookmarkStart w:id="305" w:name="_Toc18057"/>
      <w:r>
        <w:rPr>
          <w:rFonts w:hint="eastAsia" w:ascii="仿宋" w:hAnsi="仿宋" w:eastAsia="仿宋" w:cs="仿宋"/>
          <w:color w:val="auto"/>
          <w:highlight w:val="none"/>
        </w:rPr>
        <w:t>10.4变更估价</w:t>
      </w:r>
      <w:bookmarkEnd w:id="304"/>
      <w:bookmarkEnd w:id="305"/>
    </w:p>
    <w:p w14:paraId="4F9C6CE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10.4.1变更估价原则</w:t>
      </w:r>
    </w:p>
    <w:p w14:paraId="6A4D9C3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除专用合同条款另有约定外，变更估价按照本款约定处理：</w:t>
      </w:r>
    </w:p>
    <w:p w14:paraId="1E1FEA8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（1）已标价工程量清单或预算书有相同项目的，按照相同项目单价认定；</w:t>
      </w:r>
    </w:p>
    <w:p w14:paraId="24D31A6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（2）已标价工程量清单或预算书中无相同项目，但有类似项目的，参照类似项目的单价认定；</w:t>
      </w:r>
    </w:p>
    <w:p w14:paraId="7127A04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061BB05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10.4.2变更估价程序</w:t>
      </w:r>
    </w:p>
    <w:p w14:paraId="0CF7A0F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2D7E01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因变更引起的价格调整应计入最近一期的进度款中支付。</w:t>
      </w:r>
    </w:p>
    <w:p w14:paraId="7B1B21E1">
      <w:pPr>
        <w:pStyle w:val="5"/>
        <w:numPr>
          <w:ilvl w:val="3"/>
          <w:numId w:val="0"/>
        </w:numPr>
        <w:tabs>
          <w:tab w:val="left" w:pos="2155"/>
          <w:tab w:val="clear" w:pos="912"/>
        </w:tabs>
        <w:rPr>
          <w:rFonts w:ascii="仿宋" w:hAnsi="仿宋" w:eastAsia="仿宋" w:cs="仿宋"/>
          <w:color w:val="auto"/>
          <w:highlight w:val="none"/>
        </w:rPr>
      </w:pPr>
      <w:bookmarkStart w:id="306" w:name="_Toc2794"/>
      <w:bookmarkStart w:id="307" w:name="_Toc24358"/>
      <w:r>
        <w:rPr>
          <w:rFonts w:hint="eastAsia" w:ascii="仿宋" w:hAnsi="仿宋" w:eastAsia="仿宋" w:cs="仿宋"/>
          <w:color w:val="auto"/>
          <w:highlight w:val="none"/>
        </w:rPr>
        <w:t>10.5承包人的合理化建议</w:t>
      </w:r>
      <w:bookmarkEnd w:id="306"/>
      <w:bookmarkEnd w:id="307"/>
    </w:p>
    <w:p w14:paraId="13F227E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承包人提出合理化建议的，应向监理人提交合理化建议说明，说明建议的内容和理由，以及实施该建议对合同价格和工期的影响。</w:t>
      </w:r>
    </w:p>
    <w:p w14:paraId="0070F72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CAEAFF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合理化建议降低了合同价格或者提高了工程经济效益的，发包人可对承包人给予奖励，奖励的方法和金额在专用合同条款中约定。</w:t>
      </w:r>
    </w:p>
    <w:p w14:paraId="55CE5F53">
      <w:pPr>
        <w:pStyle w:val="5"/>
        <w:numPr>
          <w:ilvl w:val="3"/>
          <w:numId w:val="0"/>
        </w:numPr>
        <w:tabs>
          <w:tab w:val="left" w:pos="2155"/>
          <w:tab w:val="clear" w:pos="912"/>
        </w:tabs>
        <w:rPr>
          <w:rFonts w:ascii="仿宋" w:hAnsi="仿宋" w:eastAsia="仿宋" w:cs="仿宋"/>
          <w:color w:val="auto"/>
          <w:highlight w:val="none"/>
        </w:rPr>
      </w:pPr>
      <w:bookmarkStart w:id="308" w:name="_Toc13208"/>
      <w:bookmarkStart w:id="309" w:name="_Toc5199"/>
      <w:r>
        <w:rPr>
          <w:rFonts w:hint="eastAsia" w:ascii="仿宋" w:hAnsi="仿宋" w:eastAsia="仿宋" w:cs="仿宋"/>
          <w:color w:val="auto"/>
          <w:highlight w:val="none"/>
        </w:rPr>
        <w:t>10.6变更引起的工期调整</w:t>
      </w:r>
      <w:bookmarkEnd w:id="308"/>
      <w:bookmarkEnd w:id="309"/>
    </w:p>
    <w:p w14:paraId="7314A96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因变更引起工期变化的，合同当事人均可要求调整合同工期，由合同当事人按照第4.4款〔商定或确定〕并参考工程所在地的工期定额标准确定增减工期天数。</w:t>
      </w:r>
    </w:p>
    <w:p w14:paraId="0BD2C8B3">
      <w:pPr>
        <w:pStyle w:val="5"/>
        <w:numPr>
          <w:ilvl w:val="3"/>
          <w:numId w:val="0"/>
        </w:numPr>
        <w:tabs>
          <w:tab w:val="left" w:pos="2155"/>
          <w:tab w:val="clear" w:pos="912"/>
        </w:tabs>
        <w:rPr>
          <w:rFonts w:ascii="仿宋" w:hAnsi="仿宋" w:eastAsia="仿宋" w:cs="仿宋"/>
          <w:color w:val="auto"/>
          <w:highlight w:val="none"/>
        </w:rPr>
      </w:pPr>
      <w:bookmarkStart w:id="310" w:name="_Toc7868"/>
      <w:bookmarkStart w:id="311" w:name="_Toc22648"/>
      <w:r>
        <w:rPr>
          <w:rFonts w:hint="eastAsia" w:ascii="仿宋" w:hAnsi="仿宋" w:eastAsia="仿宋" w:cs="仿宋"/>
          <w:color w:val="auto"/>
          <w:highlight w:val="none"/>
        </w:rPr>
        <w:t>10.7暂估价</w:t>
      </w:r>
      <w:bookmarkEnd w:id="310"/>
      <w:bookmarkEnd w:id="311"/>
    </w:p>
    <w:p w14:paraId="6D4A050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暂估价专业分包工程、服务、材料和工程设备的明细由合同当事人在专用合同条款中约定。</w:t>
      </w:r>
    </w:p>
    <w:p w14:paraId="67BB673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10.7.1依法必须招标的暂估价项目</w:t>
      </w:r>
    </w:p>
    <w:p w14:paraId="5F05A5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对于依法必须招标的暂估价项目，采取以下第1种方式确定。合同当事人也可以在专用合同条款中选择其他招标方式。</w:t>
      </w:r>
    </w:p>
    <w:p w14:paraId="0D0FDF5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第1种方式：对于依法必须招标的暂估价项目，由承包人招标，对该暂估价项目的确认和批准按照以下约定执行：</w:t>
      </w:r>
    </w:p>
    <w:p w14:paraId="452E356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3FEEE5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40D98F5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CA8F70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C13EBE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10.7.2不属于依法必须招标的暂估价项目</w:t>
      </w:r>
    </w:p>
    <w:p w14:paraId="38493AF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除专用合同条款另有约定外，对于不属于依法必须招标的暂估价项目，采取以下第1种方式确定：</w:t>
      </w:r>
    </w:p>
    <w:p w14:paraId="59E98D3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第1种方式：对于不属于依法必须招标的暂估价项目，按本项约定确认和批准：</w:t>
      </w:r>
    </w:p>
    <w:p w14:paraId="1AF60C5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2CF247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（2）发包人认为承包人确定的供应商、分包人无法满足工程质量或合同要求的，发包人可以要求承包人重新确定暂估价项目的供应商、分包人；</w:t>
      </w:r>
    </w:p>
    <w:p w14:paraId="2862D54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（3）承包人应当在签订暂估价合同后7天内，将暂估价合同副本报送发包人留存。</w:t>
      </w:r>
    </w:p>
    <w:p w14:paraId="2A77A29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第2种方式：承包人按照第10.7.1项〔依法必须招标的暂估价项目〕约定的第1种方式确定暂估价项目。</w:t>
      </w:r>
    </w:p>
    <w:p w14:paraId="22A299C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第3种方式：承包人直接实施的暂估价项目</w:t>
      </w:r>
    </w:p>
    <w:p w14:paraId="080BF90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承包人具备实施暂估价项目的资格和条件的，经发包人和承包人协商一致后，可由承包人自行实施暂估价项目，合同当事人可以在专用合同条款约定具体事项。</w:t>
      </w:r>
    </w:p>
    <w:p w14:paraId="6232C7C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47FA852">
      <w:pPr>
        <w:pStyle w:val="5"/>
        <w:numPr>
          <w:ilvl w:val="3"/>
          <w:numId w:val="0"/>
        </w:numPr>
        <w:tabs>
          <w:tab w:val="left" w:pos="2155"/>
          <w:tab w:val="clear" w:pos="912"/>
        </w:tabs>
        <w:rPr>
          <w:rFonts w:ascii="仿宋" w:hAnsi="仿宋" w:eastAsia="仿宋" w:cs="仿宋"/>
          <w:color w:val="auto"/>
          <w:highlight w:val="none"/>
        </w:rPr>
      </w:pPr>
      <w:bookmarkStart w:id="312" w:name="_Toc32550"/>
      <w:bookmarkStart w:id="313" w:name="_Toc22420"/>
      <w:r>
        <w:rPr>
          <w:rFonts w:hint="eastAsia" w:ascii="仿宋" w:hAnsi="仿宋" w:eastAsia="仿宋" w:cs="仿宋"/>
          <w:color w:val="auto"/>
          <w:highlight w:val="none"/>
        </w:rPr>
        <w:t>10.8暂列金额</w:t>
      </w:r>
      <w:bookmarkEnd w:id="312"/>
      <w:bookmarkEnd w:id="313"/>
    </w:p>
    <w:p w14:paraId="72F54EC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暂列金额应按照发包人的要求使用，发包人的要求应通过监理人发出。合同当事人可以在专用合同条款中协商确定有关事项。</w:t>
      </w:r>
    </w:p>
    <w:p w14:paraId="5BFF0B2E">
      <w:pPr>
        <w:pStyle w:val="5"/>
        <w:numPr>
          <w:ilvl w:val="3"/>
          <w:numId w:val="0"/>
        </w:numPr>
        <w:tabs>
          <w:tab w:val="left" w:pos="2155"/>
          <w:tab w:val="clear" w:pos="912"/>
        </w:tabs>
        <w:rPr>
          <w:rFonts w:ascii="仿宋" w:hAnsi="仿宋" w:eastAsia="仿宋" w:cs="仿宋"/>
          <w:color w:val="auto"/>
          <w:highlight w:val="none"/>
        </w:rPr>
      </w:pPr>
      <w:bookmarkStart w:id="314" w:name="_Toc13580"/>
      <w:bookmarkStart w:id="315" w:name="_Toc25393"/>
      <w:r>
        <w:rPr>
          <w:rFonts w:hint="eastAsia" w:ascii="仿宋" w:hAnsi="仿宋" w:eastAsia="仿宋" w:cs="仿宋"/>
          <w:color w:val="auto"/>
          <w:highlight w:val="none"/>
        </w:rPr>
        <w:t>10.9计日工</w:t>
      </w:r>
      <w:bookmarkEnd w:id="314"/>
      <w:bookmarkEnd w:id="315"/>
    </w:p>
    <w:p w14:paraId="0A5DB91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DF1283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采用计日工计价的任何一项工作，承包人应在该项工作实施过程中，每天提交以下报表和有关凭证报送监理人审查：</w:t>
      </w:r>
    </w:p>
    <w:p w14:paraId="1CF4C37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（1）工作名称、内容和数量；</w:t>
      </w:r>
    </w:p>
    <w:p w14:paraId="10E212A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（2）投入该工作的所有人员的姓名、专业、工种、级别和耗用工时；</w:t>
      </w:r>
    </w:p>
    <w:p w14:paraId="556D002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（3）投入该工作的材料类别和数量；</w:t>
      </w:r>
    </w:p>
    <w:p w14:paraId="1FC6FF3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（4）投入该工作的施工设备型号、台数和耗用台时；</w:t>
      </w:r>
    </w:p>
    <w:p w14:paraId="0DA2E2E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（5）其他有关资料和凭证。</w:t>
      </w:r>
    </w:p>
    <w:p w14:paraId="6917707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计日工由承包人汇总后，列入最近一期进度付款申请单，由监理人审查并经发包人批准后列入进度付款。</w:t>
      </w:r>
    </w:p>
    <w:p w14:paraId="10C7DF0B">
      <w:pPr>
        <w:pStyle w:val="4"/>
        <w:rPr>
          <w:rFonts w:ascii="仿宋" w:hAnsi="仿宋" w:eastAsia="仿宋" w:cs="仿宋"/>
          <w:color w:val="auto"/>
          <w:highlight w:val="none"/>
        </w:rPr>
      </w:pPr>
      <w:bookmarkStart w:id="316" w:name="_Toc19254"/>
      <w:bookmarkStart w:id="317" w:name="_Toc31253"/>
      <w:bookmarkStart w:id="318" w:name="_Toc18166"/>
      <w:bookmarkStart w:id="319" w:name="_Toc28450"/>
      <w:r>
        <w:rPr>
          <w:rFonts w:hint="eastAsia" w:ascii="仿宋" w:hAnsi="仿宋" w:eastAsia="仿宋" w:cs="仿宋"/>
          <w:color w:val="auto"/>
          <w:highlight w:val="none"/>
        </w:rPr>
        <w:t>11.价格调整</w:t>
      </w:r>
      <w:bookmarkEnd w:id="316"/>
      <w:bookmarkEnd w:id="317"/>
      <w:bookmarkEnd w:id="318"/>
      <w:bookmarkEnd w:id="319"/>
    </w:p>
    <w:p w14:paraId="7AFDD58F">
      <w:pPr>
        <w:pStyle w:val="5"/>
        <w:numPr>
          <w:ilvl w:val="3"/>
          <w:numId w:val="0"/>
        </w:numPr>
        <w:tabs>
          <w:tab w:val="left" w:pos="2155"/>
          <w:tab w:val="clear" w:pos="912"/>
        </w:tabs>
        <w:rPr>
          <w:rFonts w:ascii="仿宋" w:hAnsi="仿宋" w:eastAsia="仿宋" w:cs="仿宋"/>
          <w:color w:val="auto"/>
          <w:highlight w:val="none"/>
        </w:rPr>
      </w:pPr>
      <w:bookmarkStart w:id="320" w:name="_Toc2917"/>
      <w:bookmarkStart w:id="321" w:name="_Toc25"/>
      <w:r>
        <w:rPr>
          <w:rFonts w:hint="eastAsia" w:ascii="仿宋" w:hAnsi="仿宋" w:eastAsia="仿宋" w:cs="仿宋"/>
          <w:color w:val="auto"/>
          <w:highlight w:val="none"/>
        </w:rPr>
        <w:t>11.1市场价格波动引起的调整</w:t>
      </w:r>
      <w:bookmarkEnd w:id="320"/>
      <w:bookmarkEnd w:id="321"/>
    </w:p>
    <w:p w14:paraId="39918C9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除专用合同条款另有约定外，市场价格波动超过合同当事人约定的范围，合同价格应当调整。合同当事人可以在专用合同条款中约定选择以下一种方式对合同价格进行调整：</w:t>
      </w:r>
    </w:p>
    <w:p w14:paraId="5387E30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第1种方式：采用价格指数进行价格调整。</w:t>
      </w:r>
    </w:p>
    <w:p w14:paraId="209AC16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（1）价格调整公式</w:t>
      </w:r>
    </w:p>
    <w:p w14:paraId="507F5E2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因人工、材料和设备等价格波动影响合同价格时，根据专用合同条款中约定的数据，按以下公式计算差额并调整合同价格：</w:t>
      </w:r>
    </w:p>
    <w:p w14:paraId="0053D0B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公式中：ΔP——需调整的价格差额；</w:t>
      </w:r>
    </w:p>
    <w:p w14:paraId="1100211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35CC9F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A——定值权重（即不调部分的权重）；</w:t>
      </w:r>
    </w:p>
    <w:p w14:paraId="5C17BD9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——各可调因子的变值权重（即可调部分的权重），为各可调因子在签约合同价中所占的比例；</w:t>
      </w:r>
    </w:p>
    <w:p w14:paraId="4E498E3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——各可调因子的现行价格指数，指约定的付款证书相关周期最后一天的前42天的各可调因子的价格指数；</w:t>
      </w:r>
    </w:p>
    <w:p w14:paraId="13A30C4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——各可调因子的基本价格指数，指基准日期的各可调因子的价格指数。</w:t>
      </w:r>
    </w:p>
    <w:p w14:paraId="4C4A208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以上价格调整公式中的各可调因子、定值和变值权重，以及基本价格指数及其来源在响应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166323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（2）暂时确定调整差额</w:t>
      </w:r>
    </w:p>
    <w:p w14:paraId="562B7B5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在计算调整差额时无现行价格指数的，合同当事人同意暂用前次价格指数计算。实际价格指数有调整的，合同当事人进行相应调整。</w:t>
      </w:r>
    </w:p>
    <w:p w14:paraId="3144089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（3）权重的调整</w:t>
      </w:r>
    </w:p>
    <w:p w14:paraId="352141F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因变更导致合同约定的权重不合理时，按照第4.4款〔商定或确定〕执行。</w:t>
      </w:r>
    </w:p>
    <w:p w14:paraId="29E5F8C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（4）因承包人原因工期延误后的价格调整</w:t>
      </w:r>
    </w:p>
    <w:p w14:paraId="7BA37E7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B997FA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第2种方式：采用造价信息进行价格调整。</w:t>
      </w:r>
    </w:p>
    <w:p w14:paraId="4F943DF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1052AC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84DB29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（2）材料、工程设备价格变化的价款调整按照发包人提供的基准价格，按以下风险范围规定执行：</w:t>
      </w:r>
    </w:p>
    <w:p w14:paraId="7846A6C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C28C06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900393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3133787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D000E8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3E3E440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（3）施工机械台班单价或施工机械使用费发生变化超过省级或行业建设主管部门或其授权的工程造价管理机构规定的范围时，按规定调整合同价格。</w:t>
      </w:r>
    </w:p>
    <w:p w14:paraId="4C3F487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第3种方式：专用合同条款约定的其他方式。</w:t>
      </w:r>
    </w:p>
    <w:p w14:paraId="054253AC">
      <w:pPr>
        <w:pStyle w:val="5"/>
        <w:numPr>
          <w:ilvl w:val="3"/>
          <w:numId w:val="0"/>
        </w:numPr>
        <w:tabs>
          <w:tab w:val="left" w:pos="2155"/>
          <w:tab w:val="clear" w:pos="912"/>
        </w:tabs>
        <w:rPr>
          <w:rFonts w:ascii="仿宋" w:hAnsi="仿宋" w:eastAsia="仿宋" w:cs="仿宋"/>
          <w:color w:val="auto"/>
          <w:highlight w:val="none"/>
        </w:rPr>
      </w:pPr>
      <w:bookmarkStart w:id="322" w:name="_Toc20744"/>
      <w:bookmarkStart w:id="323" w:name="_Toc24194"/>
      <w:r>
        <w:rPr>
          <w:rFonts w:hint="eastAsia" w:ascii="仿宋" w:hAnsi="仿宋" w:eastAsia="仿宋" w:cs="仿宋"/>
          <w:color w:val="auto"/>
          <w:highlight w:val="none"/>
        </w:rPr>
        <w:t>11.2法律变化引起的调整</w:t>
      </w:r>
      <w:bookmarkEnd w:id="322"/>
      <w:bookmarkEnd w:id="323"/>
    </w:p>
    <w:p w14:paraId="2DEC5BF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55866EE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因法律变化引起的合同价格和工期调整，合同当事人无法达成一致的，由总监理工程师按第4.4款〔商定或确定〕的约定处理。</w:t>
      </w:r>
    </w:p>
    <w:p w14:paraId="3FBCD0B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因承包人原因造成工期延误，在工期延误期间出现法律变化的，由此增加的费用和（或）延误的工期由承包人承担。</w:t>
      </w:r>
    </w:p>
    <w:p w14:paraId="03116771">
      <w:pPr>
        <w:pStyle w:val="4"/>
        <w:rPr>
          <w:rFonts w:ascii="仿宋" w:hAnsi="仿宋" w:eastAsia="仿宋" w:cs="仿宋"/>
          <w:color w:val="auto"/>
          <w:highlight w:val="none"/>
        </w:rPr>
      </w:pPr>
      <w:bookmarkStart w:id="324" w:name="_Toc24781"/>
      <w:bookmarkStart w:id="325" w:name="_Toc2901"/>
      <w:bookmarkStart w:id="326" w:name="_Toc25213"/>
      <w:bookmarkStart w:id="327" w:name="_Toc14115"/>
      <w:r>
        <w:rPr>
          <w:rFonts w:hint="eastAsia" w:ascii="仿宋" w:hAnsi="仿宋" w:eastAsia="仿宋" w:cs="仿宋"/>
          <w:color w:val="auto"/>
          <w:highlight w:val="none"/>
        </w:rPr>
        <w:t>12.合同价格、计量与支付</w:t>
      </w:r>
      <w:bookmarkEnd w:id="324"/>
      <w:bookmarkEnd w:id="325"/>
      <w:bookmarkEnd w:id="326"/>
      <w:bookmarkEnd w:id="327"/>
    </w:p>
    <w:p w14:paraId="23AE8EE0">
      <w:pPr>
        <w:pStyle w:val="5"/>
        <w:numPr>
          <w:ilvl w:val="3"/>
          <w:numId w:val="0"/>
        </w:numPr>
        <w:tabs>
          <w:tab w:val="left" w:pos="2155"/>
          <w:tab w:val="clear" w:pos="912"/>
        </w:tabs>
        <w:rPr>
          <w:rFonts w:ascii="仿宋" w:hAnsi="仿宋" w:eastAsia="仿宋" w:cs="仿宋"/>
          <w:color w:val="auto"/>
          <w:highlight w:val="none"/>
        </w:rPr>
      </w:pPr>
      <w:bookmarkStart w:id="328" w:name="_Toc16289"/>
      <w:bookmarkStart w:id="329" w:name="_Toc30103"/>
      <w:r>
        <w:rPr>
          <w:rFonts w:hint="eastAsia" w:ascii="仿宋" w:hAnsi="仿宋" w:eastAsia="仿宋" w:cs="仿宋"/>
          <w:color w:val="auto"/>
          <w:highlight w:val="none"/>
        </w:rPr>
        <w:t>12.1合同价格形式</w:t>
      </w:r>
      <w:bookmarkEnd w:id="328"/>
      <w:bookmarkEnd w:id="329"/>
    </w:p>
    <w:p w14:paraId="493162F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发包人和承包人应在合同协议书中选择下列一种合同价格形式：</w:t>
      </w:r>
    </w:p>
    <w:p w14:paraId="56C8A53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1.单价合同</w:t>
      </w:r>
    </w:p>
    <w:p w14:paraId="0C32D18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2C9CEE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2.总价合同</w:t>
      </w:r>
    </w:p>
    <w:p w14:paraId="561EC34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10A4876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3.其它价格形式</w:t>
      </w:r>
    </w:p>
    <w:p w14:paraId="3E6847D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合同当事人可在专用合同条款中约定其他合同价格形式。</w:t>
      </w:r>
    </w:p>
    <w:p w14:paraId="4FB9B649">
      <w:pPr>
        <w:pStyle w:val="5"/>
        <w:numPr>
          <w:ilvl w:val="3"/>
          <w:numId w:val="0"/>
        </w:numPr>
        <w:tabs>
          <w:tab w:val="left" w:pos="2155"/>
          <w:tab w:val="clear" w:pos="912"/>
        </w:tabs>
        <w:rPr>
          <w:rFonts w:ascii="仿宋" w:hAnsi="仿宋" w:eastAsia="仿宋" w:cs="仿宋"/>
          <w:color w:val="auto"/>
          <w:highlight w:val="none"/>
        </w:rPr>
      </w:pPr>
      <w:bookmarkStart w:id="330" w:name="_Toc10522"/>
      <w:bookmarkStart w:id="331" w:name="_Toc10278"/>
      <w:r>
        <w:rPr>
          <w:rFonts w:hint="eastAsia" w:ascii="仿宋" w:hAnsi="仿宋" w:eastAsia="仿宋" w:cs="仿宋"/>
          <w:color w:val="auto"/>
          <w:highlight w:val="none"/>
        </w:rPr>
        <w:t>12.2预付款</w:t>
      </w:r>
      <w:bookmarkEnd w:id="330"/>
      <w:bookmarkEnd w:id="331"/>
    </w:p>
    <w:p w14:paraId="2C465F5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12.2.1预付款的支付</w:t>
      </w:r>
    </w:p>
    <w:p w14:paraId="0B3DE76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0C9E32C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除专用合同条款另有约定外，预付款在进度付款中同比例扣回。在颁发工程接收证书前，提前解除合同的，尚未扣完的预付款应与合同价款一并结算。</w:t>
      </w:r>
    </w:p>
    <w:p w14:paraId="0CEF32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7555FDE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12.2.2预付款担保</w:t>
      </w:r>
    </w:p>
    <w:p w14:paraId="6DD72DF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FB9C4F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发包人在工程款中逐期扣回预付款后，预付款担保额度应相应减少，但剩余的预付款担保金额不得低于未被扣回的预付款金额。</w:t>
      </w:r>
    </w:p>
    <w:p w14:paraId="7CD81495">
      <w:pPr>
        <w:pStyle w:val="5"/>
        <w:numPr>
          <w:ilvl w:val="3"/>
          <w:numId w:val="0"/>
        </w:numPr>
        <w:tabs>
          <w:tab w:val="left" w:pos="2155"/>
          <w:tab w:val="clear" w:pos="912"/>
        </w:tabs>
        <w:rPr>
          <w:rFonts w:ascii="仿宋" w:hAnsi="仿宋" w:eastAsia="仿宋" w:cs="仿宋"/>
          <w:color w:val="auto"/>
          <w:highlight w:val="none"/>
        </w:rPr>
      </w:pPr>
      <w:bookmarkStart w:id="332" w:name="_Toc4422"/>
      <w:bookmarkStart w:id="333" w:name="_Toc10825"/>
      <w:r>
        <w:rPr>
          <w:rFonts w:hint="eastAsia" w:ascii="仿宋" w:hAnsi="仿宋" w:eastAsia="仿宋" w:cs="仿宋"/>
          <w:color w:val="auto"/>
          <w:highlight w:val="none"/>
        </w:rPr>
        <w:t>12.3计量</w:t>
      </w:r>
      <w:bookmarkEnd w:id="332"/>
      <w:bookmarkEnd w:id="333"/>
    </w:p>
    <w:p w14:paraId="6734D8E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12.3.1计量原则</w:t>
      </w:r>
    </w:p>
    <w:p w14:paraId="3BD033F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工程量计量按照合同约定的工程量计算规则、图纸及变更指示等进行计量。工程量计算规则应以相关的国家标准、行业标准等为依据，由合同当事人在专用合同条款中约定。</w:t>
      </w:r>
    </w:p>
    <w:p w14:paraId="6D8C7E7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12.3.2计量周期</w:t>
      </w:r>
    </w:p>
    <w:p w14:paraId="5328299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除专用合同条款另有约定外，工程量的计量按月进行。</w:t>
      </w:r>
    </w:p>
    <w:p w14:paraId="24A1060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12.3.3单价合同的计量</w:t>
      </w:r>
    </w:p>
    <w:p w14:paraId="657A924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除专用合同条款另有约定外，单价合同的计量按照本项约定执行：</w:t>
      </w:r>
    </w:p>
    <w:p w14:paraId="24FCA2A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（1）承包人应于每月25日向监理人报送上月20日至当月19日已完成的工程量报告，并附具进度付款申请单、已完成工程量报表和有关资料。</w:t>
      </w:r>
    </w:p>
    <w:p w14:paraId="623EF6F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94B37F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（3）监理人未在收到承包人提交的工程量报表后的7天内完成审核的，承包人报送的工程量报告中的工程量视为承包人实际完成的工程量，据此计算工程价款。</w:t>
      </w:r>
    </w:p>
    <w:p w14:paraId="1ED8692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12.3.4总价合同的计量</w:t>
      </w:r>
    </w:p>
    <w:p w14:paraId="7D20DFF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除专用合同条款另有约定外，按月计量支付的总价合同，按照本项约定执行：</w:t>
      </w:r>
    </w:p>
    <w:p w14:paraId="0E952CF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（1）承包人应于每月25日向监理人报送上月20日至当月19日已完成的工程量报告，并附具进度付款申请单、已完成工程量报表和有关资料。</w:t>
      </w:r>
    </w:p>
    <w:p w14:paraId="45771D2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F94E2E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（3）监理人未在收到承包人提交的工程量报表后的7天内完成复核的，承包人提交的工程量报告中的工程量视为承包人实际完成的工程量。</w:t>
      </w:r>
    </w:p>
    <w:p w14:paraId="0C341E2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12.3.5总价合同采用支付分解表计量支付的，可以按照第12.3.4项〔总价合同的计量〕约定进行计量，但合同价款按照支付分解表进行支付。</w:t>
      </w:r>
    </w:p>
    <w:p w14:paraId="71096B2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12.3.6其他价格形式合同的计量</w:t>
      </w:r>
    </w:p>
    <w:p w14:paraId="0C124D8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合同当事人可在专用合同条款中约定其他价格形式合同的计量方式和程序。</w:t>
      </w:r>
    </w:p>
    <w:p w14:paraId="491AEB3B">
      <w:pPr>
        <w:pStyle w:val="5"/>
        <w:numPr>
          <w:ilvl w:val="3"/>
          <w:numId w:val="0"/>
        </w:numPr>
        <w:tabs>
          <w:tab w:val="left" w:pos="2155"/>
          <w:tab w:val="clear" w:pos="912"/>
        </w:tabs>
        <w:rPr>
          <w:rFonts w:ascii="仿宋" w:hAnsi="仿宋" w:eastAsia="仿宋" w:cs="仿宋"/>
          <w:color w:val="auto"/>
          <w:highlight w:val="none"/>
        </w:rPr>
      </w:pPr>
      <w:bookmarkStart w:id="334" w:name="_Toc27910"/>
      <w:bookmarkStart w:id="335" w:name="_Toc6347"/>
      <w:r>
        <w:rPr>
          <w:rFonts w:hint="eastAsia" w:ascii="仿宋" w:hAnsi="仿宋" w:eastAsia="仿宋" w:cs="仿宋"/>
          <w:color w:val="auto"/>
          <w:highlight w:val="none"/>
        </w:rPr>
        <w:t>12.4工程进度款支付</w:t>
      </w:r>
      <w:bookmarkEnd w:id="334"/>
      <w:bookmarkEnd w:id="335"/>
    </w:p>
    <w:p w14:paraId="7220EF4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12.4.1付款周期</w:t>
      </w:r>
    </w:p>
    <w:p w14:paraId="78765CF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除专用合同条款另有约定外，付款周期应按照第12.3.2项〔计量周期〕的约定与计量周期保持一致。</w:t>
      </w:r>
    </w:p>
    <w:p w14:paraId="71B9CE2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12.4.2进度付款申请单的编制</w:t>
      </w:r>
    </w:p>
    <w:p w14:paraId="69BFC50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除专用合同条款另有约定外，进度付款申请单应包括下列内容：</w:t>
      </w:r>
    </w:p>
    <w:p w14:paraId="7EEE07A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（1）截至本次付款周期已完成工作对应的金额；</w:t>
      </w:r>
    </w:p>
    <w:p w14:paraId="6FFFD5E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（2）根据第10条〔变更〕应增加和扣减的变更金额；</w:t>
      </w:r>
    </w:p>
    <w:p w14:paraId="3AF0474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（3）根据第12.2款〔预付款〕约定应支付的预付款和扣减的返还预付款；</w:t>
      </w:r>
    </w:p>
    <w:p w14:paraId="3DFA918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（4）根据第15.3款〔质量保证金〕约定应扣减的质量保证金；</w:t>
      </w:r>
    </w:p>
    <w:p w14:paraId="0973276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（5）根据第19条〔索赔〕应增加和扣减的索赔金额；</w:t>
      </w:r>
    </w:p>
    <w:p w14:paraId="73D9704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（6）对已签发的进度款支付证书中出现错误的修正，应在本次进度付款中支付或扣除的金额；</w:t>
      </w:r>
    </w:p>
    <w:p w14:paraId="5674633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（7）根据合同约定应增加和扣减的其他金额。</w:t>
      </w:r>
    </w:p>
    <w:p w14:paraId="0087113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12.4.3进度付款申请单的提交</w:t>
      </w:r>
    </w:p>
    <w:p w14:paraId="21EAA86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（1）单价合同进度付款申请单的提交</w:t>
      </w:r>
    </w:p>
    <w:p w14:paraId="7726E34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1E674B8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（2）总价合同进度付款申请单的提交</w:t>
      </w:r>
    </w:p>
    <w:p w14:paraId="0FFDC2A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总价合同按月计量支付的，承包人按照第12.3.4项〔总价合同的计量〕约定的时间按月向监理人提交进度付款申请单，并附上已完成工程量报表和有关资料。</w:t>
      </w:r>
    </w:p>
    <w:p w14:paraId="386D79D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总价合同按支付分解表支付的，承包人应按照第12.4.6项〔支付分解表〕及第12.4.2项〔进度付款申请单的编制〕的约定向监理人提交进度付款申请单。</w:t>
      </w:r>
    </w:p>
    <w:p w14:paraId="115D7DC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（3）其他价格形式合同的进度付款申请单的提交</w:t>
      </w:r>
    </w:p>
    <w:p w14:paraId="072C16F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合同当事人可在专用合同条款中约定其他价格形式合同的进度付款申请单的编制和提交程序。</w:t>
      </w:r>
    </w:p>
    <w:p w14:paraId="333D535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12.4.4进度款审核和支付</w:t>
      </w:r>
    </w:p>
    <w:p w14:paraId="522917B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D9BD17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6AA606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5EE5DCD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（3）发包人签发进度款支付证书或临时进度款支付证书，不表明发包人已同意、批准或接受了承包人完成的相应部分的工作。</w:t>
      </w:r>
    </w:p>
    <w:p w14:paraId="44173AC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12.4.5进度付款的修正</w:t>
      </w:r>
    </w:p>
    <w:p w14:paraId="61A4630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1BC5F8A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12.4.6支付分解表</w:t>
      </w:r>
    </w:p>
    <w:p w14:paraId="0D654E2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1.支付分解表的编制要求</w:t>
      </w:r>
    </w:p>
    <w:p w14:paraId="77CE508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（1）支付分解表中所列的每期付款金额，应为第12.4.2项〔进度付款申请单的编制〕第（1）目的估算金额；</w:t>
      </w:r>
    </w:p>
    <w:p w14:paraId="5BAA001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（2）实际进度与施工进度计划不一致的，合同当事人可按照第4.4款〔商定或确定〕修改支付分解表；</w:t>
      </w:r>
    </w:p>
    <w:p w14:paraId="383BB79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（3）不采用支付分解表的，承包人应向发包人和监理人提交按季度编制的支付估算分解表，用于支付参考。</w:t>
      </w:r>
    </w:p>
    <w:p w14:paraId="7BD9E2A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2.总价合同支付分解表的编制与审批</w:t>
      </w:r>
    </w:p>
    <w:p w14:paraId="50B6166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A6782D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3971B09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（3）发包人逾期未完成支付分解表审批的，也未及时要求承包人进行修正和提供补充资料的，则承包人提交的支付分解表视为已经获得发包人批准。</w:t>
      </w:r>
    </w:p>
    <w:p w14:paraId="621317C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3.单价合同的总价项目支付分解表的编制与审批</w:t>
      </w:r>
    </w:p>
    <w:p w14:paraId="0FDC17C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1500C36">
      <w:pPr>
        <w:pStyle w:val="5"/>
        <w:numPr>
          <w:ilvl w:val="3"/>
          <w:numId w:val="0"/>
        </w:numPr>
        <w:tabs>
          <w:tab w:val="left" w:pos="2155"/>
          <w:tab w:val="clear" w:pos="912"/>
        </w:tabs>
        <w:rPr>
          <w:rFonts w:ascii="仿宋" w:hAnsi="仿宋" w:eastAsia="仿宋" w:cs="仿宋"/>
          <w:color w:val="auto"/>
          <w:highlight w:val="none"/>
        </w:rPr>
      </w:pPr>
      <w:bookmarkStart w:id="336" w:name="_Toc17828"/>
      <w:bookmarkStart w:id="337" w:name="_Toc30907"/>
      <w:r>
        <w:rPr>
          <w:rFonts w:hint="eastAsia" w:ascii="仿宋" w:hAnsi="仿宋" w:eastAsia="仿宋" w:cs="仿宋"/>
          <w:color w:val="auto"/>
          <w:highlight w:val="none"/>
        </w:rPr>
        <w:t>12.5支付账户</w:t>
      </w:r>
      <w:bookmarkEnd w:id="336"/>
      <w:bookmarkEnd w:id="337"/>
    </w:p>
    <w:p w14:paraId="5BCB688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发包人应将合同价款支付至合同协议书中约定的承包人账户。</w:t>
      </w:r>
    </w:p>
    <w:p w14:paraId="0483A705">
      <w:pPr>
        <w:pStyle w:val="4"/>
        <w:rPr>
          <w:rFonts w:ascii="仿宋" w:hAnsi="仿宋" w:eastAsia="仿宋" w:cs="仿宋"/>
          <w:color w:val="auto"/>
          <w:highlight w:val="none"/>
        </w:rPr>
      </w:pPr>
      <w:bookmarkStart w:id="338" w:name="_Toc11318"/>
      <w:bookmarkStart w:id="339" w:name="_Toc9051"/>
      <w:bookmarkStart w:id="340" w:name="_Toc30688"/>
      <w:r>
        <w:rPr>
          <w:rFonts w:hint="eastAsia" w:ascii="仿宋" w:hAnsi="仿宋" w:eastAsia="仿宋" w:cs="仿宋"/>
          <w:color w:val="auto"/>
          <w:highlight w:val="none"/>
        </w:rPr>
        <w:t>13.验收和工程试车</w:t>
      </w:r>
      <w:bookmarkEnd w:id="338"/>
      <w:bookmarkEnd w:id="339"/>
      <w:bookmarkEnd w:id="340"/>
    </w:p>
    <w:p w14:paraId="51E110B3">
      <w:pPr>
        <w:pStyle w:val="5"/>
        <w:numPr>
          <w:ilvl w:val="3"/>
          <w:numId w:val="0"/>
        </w:numPr>
        <w:tabs>
          <w:tab w:val="left" w:pos="2155"/>
          <w:tab w:val="clear" w:pos="912"/>
        </w:tabs>
        <w:rPr>
          <w:rFonts w:ascii="仿宋" w:hAnsi="仿宋" w:eastAsia="仿宋" w:cs="仿宋"/>
          <w:color w:val="auto"/>
          <w:highlight w:val="none"/>
        </w:rPr>
      </w:pPr>
      <w:bookmarkStart w:id="341" w:name="_Toc22079"/>
      <w:bookmarkStart w:id="342" w:name="_Toc24139"/>
      <w:r>
        <w:rPr>
          <w:rFonts w:hint="eastAsia" w:ascii="仿宋" w:hAnsi="仿宋" w:eastAsia="仿宋" w:cs="仿宋"/>
          <w:color w:val="auto"/>
          <w:highlight w:val="none"/>
        </w:rPr>
        <w:t>13.1分部分项工程验收</w:t>
      </w:r>
      <w:bookmarkEnd w:id="341"/>
      <w:bookmarkEnd w:id="342"/>
    </w:p>
    <w:p w14:paraId="4157470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13.1.1分部分项工程质量应符合国家有关工程施工验收规范、标准及合同约定，承包人应按照施工组织设计的要求完成分部分项工程施工。</w:t>
      </w:r>
    </w:p>
    <w:p w14:paraId="44C793C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13.1.2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321770B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分部分项工程的验收资料应当作为竣工资料的组成部分。</w:t>
      </w:r>
    </w:p>
    <w:p w14:paraId="79EFC6AC">
      <w:pPr>
        <w:pStyle w:val="5"/>
        <w:numPr>
          <w:ilvl w:val="3"/>
          <w:numId w:val="0"/>
        </w:numPr>
        <w:tabs>
          <w:tab w:val="left" w:pos="2155"/>
          <w:tab w:val="clear" w:pos="912"/>
        </w:tabs>
        <w:rPr>
          <w:rFonts w:ascii="仿宋" w:hAnsi="仿宋" w:eastAsia="仿宋" w:cs="仿宋"/>
          <w:color w:val="auto"/>
          <w:highlight w:val="none"/>
        </w:rPr>
      </w:pPr>
      <w:bookmarkStart w:id="343" w:name="_Toc15789"/>
      <w:bookmarkStart w:id="344" w:name="_Toc3794"/>
      <w:r>
        <w:rPr>
          <w:rFonts w:hint="eastAsia" w:ascii="仿宋" w:hAnsi="仿宋" w:eastAsia="仿宋" w:cs="仿宋"/>
          <w:color w:val="auto"/>
          <w:highlight w:val="none"/>
        </w:rPr>
        <w:t>13.2竣工验收</w:t>
      </w:r>
      <w:bookmarkEnd w:id="343"/>
      <w:bookmarkEnd w:id="344"/>
    </w:p>
    <w:p w14:paraId="5919FF2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13.2.1竣工验收条件</w:t>
      </w:r>
    </w:p>
    <w:p w14:paraId="0D45391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工程具备以下条件的，承包人可以申请竣工验收：</w:t>
      </w:r>
    </w:p>
    <w:p w14:paraId="7CFE6A3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（1）除发包人同意的甩项工作和缺陷修补工作外，合同范围内的全部工程以及有关工作，包括合同要求的试验、试运行以及检验均已完成，并符合合同要求；</w:t>
      </w:r>
    </w:p>
    <w:p w14:paraId="5445578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（2）已按合同约定编制了甩项工作和缺陷修补工作清单以及相应的施工计划；</w:t>
      </w:r>
    </w:p>
    <w:p w14:paraId="261A262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（3）已按合同约定的内容和份数备齐竣工资料。</w:t>
      </w:r>
    </w:p>
    <w:p w14:paraId="5B2428A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13.2.2竣工验收程序</w:t>
      </w:r>
    </w:p>
    <w:p w14:paraId="0293FB0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除专用合同条款另有约定外，承包人申请竣工验收的，应当按照以下程序进行：</w:t>
      </w:r>
    </w:p>
    <w:p w14:paraId="34EFE32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E4D7B4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57C48A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67AA1E9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1CA4A6B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5A3FD94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2FCE25C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13.2.3竣工日期</w:t>
      </w:r>
    </w:p>
    <w:p w14:paraId="5665853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741CA64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13.2.4拒绝接收全部或部分工程</w:t>
      </w:r>
    </w:p>
    <w:p w14:paraId="2718B18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8B8E2D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13.2.5移交、接收全部与部分工程</w:t>
      </w:r>
    </w:p>
    <w:p w14:paraId="598E11A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除专用合同条款另有约定外，合同当事人应当在颁发工程接收证书后7天内完成工程的移交。</w:t>
      </w:r>
    </w:p>
    <w:p w14:paraId="4C456FC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E66B78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245510AD">
      <w:pPr>
        <w:pStyle w:val="5"/>
        <w:numPr>
          <w:ilvl w:val="3"/>
          <w:numId w:val="0"/>
        </w:numPr>
        <w:tabs>
          <w:tab w:val="left" w:pos="2155"/>
          <w:tab w:val="clear" w:pos="912"/>
        </w:tabs>
        <w:rPr>
          <w:rFonts w:ascii="仿宋" w:hAnsi="仿宋" w:eastAsia="仿宋" w:cs="仿宋"/>
          <w:color w:val="auto"/>
          <w:highlight w:val="none"/>
        </w:rPr>
      </w:pPr>
      <w:bookmarkStart w:id="345" w:name="_Toc12140"/>
      <w:bookmarkStart w:id="346" w:name="_Toc32246"/>
      <w:r>
        <w:rPr>
          <w:rFonts w:hint="eastAsia" w:ascii="仿宋" w:hAnsi="仿宋" w:eastAsia="仿宋" w:cs="仿宋"/>
          <w:color w:val="auto"/>
          <w:highlight w:val="none"/>
        </w:rPr>
        <w:t>13.3工程试车</w:t>
      </w:r>
      <w:bookmarkEnd w:id="345"/>
      <w:bookmarkEnd w:id="346"/>
    </w:p>
    <w:p w14:paraId="0F38233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13.3.1试车程序</w:t>
      </w:r>
    </w:p>
    <w:p w14:paraId="24B1DE0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工程需要试车的，除专用合同条款另有约定外，试车内容应与承包人承包范围相一致，试车费用由承包人承担。工程试车应按如下程序进行：</w:t>
      </w:r>
    </w:p>
    <w:p w14:paraId="481FE35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D18FAD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03055E6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6D1239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13.3.2试车中的责任</w:t>
      </w:r>
    </w:p>
    <w:p w14:paraId="649CDA0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2AA4D0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43BCEC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13.3.3投料试车</w:t>
      </w:r>
    </w:p>
    <w:p w14:paraId="4A0F22A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4B13A84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6C2A46F">
      <w:pPr>
        <w:pStyle w:val="5"/>
        <w:numPr>
          <w:ilvl w:val="3"/>
          <w:numId w:val="0"/>
        </w:numPr>
        <w:tabs>
          <w:tab w:val="left" w:pos="2155"/>
          <w:tab w:val="clear" w:pos="912"/>
        </w:tabs>
        <w:rPr>
          <w:rFonts w:ascii="仿宋" w:hAnsi="仿宋" w:eastAsia="仿宋" w:cs="仿宋"/>
          <w:color w:val="auto"/>
          <w:highlight w:val="none"/>
        </w:rPr>
      </w:pPr>
      <w:bookmarkStart w:id="347" w:name="_Toc7891"/>
      <w:bookmarkStart w:id="348" w:name="_Toc11218"/>
      <w:r>
        <w:rPr>
          <w:rFonts w:hint="eastAsia" w:ascii="仿宋" w:hAnsi="仿宋" w:eastAsia="仿宋" w:cs="仿宋"/>
          <w:color w:val="auto"/>
          <w:highlight w:val="none"/>
        </w:rPr>
        <w:t>13.4提前交付单位工程的验收</w:t>
      </w:r>
      <w:bookmarkEnd w:id="347"/>
      <w:bookmarkEnd w:id="348"/>
    </w:p>
    <w:p w14:paraId="5E58021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13.4.1发包人需要在工程竣工前使用单位工程的，或承包人提出提前交付已经竣工的单位工程且经发包人同意的，可进行单位工程验收，验收的程序按照第13.2款〔竣工验收〕的约定进行。</w:t>
      </w:r>
    </w:p>
    <w:p w14:paraId="686ECDA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7720EB1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13.4.2发包人要求在工程竣工前交付单位工程，由此导致承包人费用增加和（或）工期延误的，由发包人承担由此增加的费用和（或）延误的工期，并支付承包人合理的利润。</w:t>
      </w:r>
    </w:p>
    <w:p w14:paraId="455F5C50">
      <w:pPr>
        <w:pStyle w:val="5"/>
        <w:numPr>
          <w:ilvl w:val="3"/>
          <w:numId w:val="0"/>
        </w:numPr>
        <w:tabs>
          <w:tab w:val="left" w:pos="2155"/>
          <w:tab w:val="clear" w:pos="912"/>
        </w:tabs>
        <w:rPr>
          <w:rFonts w:ascii="仿宋" w:hAnsi="仿宋" w:eastAsia="仿宋" w:cs="仿宋"/>
          <w:color w:val="auto"/>
          <w:highlight w:val="none"/>
        </w:rPr>
      </w:pPr>
      <w:bookmarkStart w:id="349" w:name="_Toc1730"/>
      <w:bookmarkStart w:id="350" w:name="_Toc2929"/>
      <w:r>
        <w:rPr>
          <w:rFonts w:hint="eastAsia" w:ascii="仿宋" w:hAnsi="仿宋" w:eastAsia="仿宋" w:cs="仿宋"/>
          <w:color w:val="auto"/>
          <w:highlight w:val="none"/>
        </w:rPr>
        <w:t>13.5施工期运行</w:t>
      </w:r>
      <w:bookmarkEnd w:id="349"/>
      <w:bookmarkEnd w:id="350"/>
    </w:p>
    <w:p w14:paraId="30229C5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C1D9EF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13.5.2在施工期运行中发现工程或工程设备损坏或存在缺陷的，由承包人按第15.2款〔缺陷责任期〕约定进行修复。</w:t>
      </w:r>
    </w:p>
    <w:p w14:paraId="67E67448">
      <w:pPr>
        <w:pStyle w:val="5"/>
        <w:numPr>
          <w:ilvl w:val="3"/>
          <w:numId w:val="0"/>
        </w:numPr>
        <w:tabs>
          <w:tab w:val="left" w:pos="2155"/>
          <w:tab w:val="clear" w:pos="912"/>
        </w:tabs>
        <w:rPr>
          <w:rFonts w:ascii="仿宋" w:hAnsi="仿宋" w:eastAsia="仿宋" w:cs="仿宋"/>
          <w:color w:val="auto"/>
          <w:highlight w:val="none"/>
        </w:rPr>
      </w:pPr>
      <w:bookmarkStart w:id="351" w:name="_Toc24529"/>
      <w:bookmarkStart w:id="352" w:name="_Toc24656"/>
      <w:r>
        <w:rPr>
          <w:rFonts w:hint="eastAsia" w:ascii="仿宋" w:hAnsi="仿宋" w:eastAsia="仿宋" w:cs="仿宋"/>
          <w:color w:val="auto"/>
          <w:highlight w:val="none"/>
        </w:rPr>
        <w:t>13.6竣工退场</w:t>
      </w:r>
      <w:bookmarkEnd w:id="351"/>
      <w:bookmarkEnd w:id="352"/>
    </w:p>
    <w:p w14:paraId="53A05B6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13.6.1竣工退场</w:t>
      </w:r>
    </w:p>
    <w:p w14:paraId="153C12A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颁发工程接收证书后，承包人应按以下要求对施工现场进行清理：</w:t>
      </w:r>
    </w:p>
    <w:p w14:paraId="3BED177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（1）施工现场内残留的垃圾已全部清除出场；</w:t>
      </w:r>
    </w:p>
    <w:p w14:paraId="1EE0BE4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（2）临时工程已拆除，场地已进行清理、平整或复原；</w:t>
      </w:r>
    </w:p>
    <w:p w14:paraId="127BAF3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（3）按合同约定应撤离的人员、承包人施工设备和剩余的材料，包括废弃的施工设备和材料，已按计划撤离施工现场；</w:t>
      </w:r>
    </w:p>
    <w:p w14:paraId="51D0022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（4）施工现场周边及其附近道路、河道的施工堆积物，已全部清理；</w:t>
      </w:r>
    </w:p>
    <w:p w14:paraId="37616AF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（5）施工现场其他场地清理工作已全部完成。</w:t>
      </w:r>
    </w:p>
    <w:p w14:paraId="28C00F7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1A1D9A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13.6.2地表还原</w:t>
      </w:r>
    </w:p>
    <w:p w14:paraId="5DF64B4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7D850A82">
      <w:pPr>
        <w:pStyle w:val="4"/>
        <w:rPr>
          <w:rFonts w:ascii="仿宋" w:hAnsi="仿宋" w:eastAsia="仿宋" w:cs="仿宋"/>
          <w:color w:val="auto"/>
          <w:highlight w:val="none"/>
        </w:rPr>
      </w:pPr>
      <w:bookmarkStart w:id="353" w:name="_Toc30528"/>
      <w:bookmarkStart w:id="354" w:name="_Toc27273"/>
      <w:bookmarkStart w:id="355" w:name="_Toc3273"/>
      <w:bookmarkStart w:id="356" w:name="_Toc29671"/>
      <w:r>
        <w:rPr>
          <w:rFonts w:hint="eastAsia" w:ascii="仿宋" w:hAnsi="仿宋" w:eastAsia="仿宋" w:cs="仿宋"/>
          <w:color w:val="auto"/>
          <w:highlight w:val="none"/>
        </w:rPr>
        <w:t>14.竣工结算</w:t>
      </w:r>
      <w:bookmarkEnd w:id="353"/>
      <w:bookmarkEnd w:id="354"/>
      <w:bookmarkEnd w:id="355"/>
      <w:bookmarkEnd w:id="356"/>
    </w:p>
    <w:p w14:paraId="54E7B2EB">
      <w:pPr>
        <w:pStyle w:val="5"/>
        <w:numPr>
          <w:ilvl w:val="3"/>
          <w:numId w:val="0"/>
        </w:numPr>
        <w:tabs>
          <w:tab w:val="left" w:pos="2155"/>
          <w:tab w:val="clear" w:pos="912"/>
        </w:tabs>
        <w:rPr>
          <w:rFonts w:ascii="仿宋" w:hAnsi="仿宋" w:eastAsia="仿宋" w:cs="仿宋"/>
          <w:color w:val="auto"/>
          <w:highlight w:val="none"/>
        </w:rPr>
      </w:pPr>
      <w:bookmarkStart w:id="357" w:name="_Toc21602"/>
      <w:bookmarkStart w:id="358" w:name="_Toc818"/>
      <w:r>
        <w:rPr>
          <w:rFonts w:hint="eastAsia" w:ascii="仿宋" w:hAnsi="仿宋" w:eastAsia="仿宋" w:cs="仿宋"/>
          <w:color w:val="auto"/>
          <w:highlight w:val="none"/>
        </w:rPr>
        <w:t>14.1竣工结算申请</w:t>
      </w:r>
      <w:bookmarkEnd w:id="357"/>
      <w:bookmarkEnd w:id="358"/>
    </w:p>
    <w:p w14:paraId="66E498B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6E16D5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除专用合同条款另有约定外，竣工结算申请单应包括以下内容：</w:t>
      </w:r>
    </w:p>
    <w:p w14:paraId="1CCB522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（1）竣工结算合同价格；</w:t>
      </w:r>
    </w:p>
    <w:p w14:paraId="603A28A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（2）发包人已支付承包人的款项；</w:t>
      </w:r>
    </w:p>
    <w:p w14:paraId="518982E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（3）应扣留的质量保证金。已缴纳履约保证金的或提供其他工程质量担保方式的除外；</w:t>
      </w:r>
    </w:p>
    <w:p w14:paraId="56EADFA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（4）发包人应支付承包人的合同价款。</w:t>
      </w:r>
    </w:p>
    <w:p w14:paraId="7CC3083E">
      <w:pPr>
        <w:pStyle w:val="5"/>
        <w:numPr>
          <w:ilvl w:val="3"/>
          <w:numId w:val="0"/>
        </w:numPr>
        <w:tabs>
          <w:tab w:val="left" w:pos="2155"/>
          <w:tab w:val="clear" w:pos="912"/>
        </w:tabs>
        <w:rPr>
          <w:rFonts w:ascii="仿宋" w:hAnsi="仿宋" w:eastAsia="仿宋" w:cs="仿宋"/>
          <w:color w:val="auto"/>
          <w:highlight w:val="none"/>
        </w:rPr>
      </w:pPr>
      <w:bookmarkStart w:id="359" w:name="_Toc27959"/>
      <w:bookmarkStart w:id="360" w:name="_Toc13593"/>
      <w:r>
        <w:rPr>
          <w:rFonts w:hint="eastAsia" w:ascii="仿宋" w:hAnsi="仿宋" w:eastAsia="仿宋" w:cs="仿宋"/>
          <w:color w:val="auto"/>
          <w:highlight w:val="none"/>
        </w:rPr>
        <w:t>14.2竣工结算审核</w:t>
      </w:r>
      <w:bookmarkEnd w:id="359"/>
      <w:bookmarkEnd w:id="360"/>
    </w:p>
    <w:p w14:paraId="11BE647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2FB39AC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814541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1094091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3AC12ED">
      <w:pPr>
        <w:pStyle w:val="5"/>
        <w:numPr>
          <w:ilvl w:val="3"/>
          <w:numId w:val="0"/>
        </w:numPr>
        <w:tabs>
          <w:tab w:val="left" w:pos="2155"/>
          <w:tab w:val="clear" w:pos="912"/>
        </w:tabs>
        <w:rPr>
          <w:rFonts w:ascii="仿宋" w:hAnsi="仿宋" w:eastAsia="仿宋" w:cs="仿宋"/>
          <w:color w:val="auto"/>
          <w:highlight w:val="none"/>
        </w:rPr>
      </w:pPr>
      <w:bookmarkStart w:id="361" w:name="_Toc30913"/>
      <w:bookmarkStart w:id="362" w:name="_Toc4046"/>
      <w:r>
        <w:rPr>
          <w:rFonts w:hint="eastAsia" w:ascii="仿宋" w:hAnsi="仿宋" w:eastAsia="仿宋" w:cs="仿宋"/>
          <w:color w:val="auto"/>
          <w:highlight w:val="none"/>
        </w:rPr>
        <w:t>14.3甩项竣工协议</w:t>
      </w:r>
      <w:bookmarkEnd w:id="361"/>
      <w:bookmarkEnd w:id="362"/>
    </w:p>
    <w:p w14:paraId="333895F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75BD7A7B">
      <w:pPr>
        <w:pStyle w:val="5"/>
        <w:numPr>
          <w:ilvl w:val="3"/>
          <w:numId w:val="0"/>
        </w:numPr>
        <w:tabs>
          <w:tab w:val="left" w:pos="2155"/>
          <w:tab w:val="clear" w:pos="912"/>
        </w:tabs>
        <w:rPr>
          <w:rFonts w:ascii="仿宋" w:hAnsi="仿宋" w:eastAsia="仿宋" w:cs="仿宋"/>
          <w:color w:val="auto"/>
          <w:highlight w:val="none"/>
        </w:rPr>
      </w:pPr>
      <w:bookmarkStart w:id="363" w:name="_Toc27897"/>
      <w:bookmarkStart w:id="364" w:name="_Toc30626"/>
      <w:r>
        <w:rPr>
          <w:rFonts w:hint="eastAsia" w:ascii="仿宋" w:hAnsi="仿宋" w:eastAsia="仿宋" w:cs="仿宋"/>
          <w:color w:val="auto"/>
          <w:highlight w:val="none"/>
        </w:rPr>
        <w:t>14.4最终结清</w:t>
      </w:r>
      <w:bookmarkEnd w:id="363"/>
      <w:bookmarkEnd w:id="364"/>
    </w:p>
    <w:p w14:paraId="7AE17C4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14.4.1最终结清申请单</w:t>
      </w:r>
    </w:p>
    <w:p w14:paraId="59F2315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（1）除专用合同条款另有约定外，承包人应在缺陷责任期终止证书颁发后7天内，按专用合同条款约定的份数向发包人提交最终结清申请单，并提供相关证明材料。</w:t>
      </w:r>
    </w:p>
    <w:p w14:paraId="28CB7C8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除专用合同条款另有约定外，最终结清申请单应列明质量保证金、应扣除的质量保证金、缺陷责任期内发生的增减费用。</w:t>
      </w:r>
    </w:p>
    <w:p w14:paraId="73B97E1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（2）发包人对最终结清申请单内容有异议的，有权要求承包人进行修正和提供补充资料，承包人应向发包人提交修正后的最终结清申请单。</w:t>
      </w:r>
    </w:p>
    <w:p w14:paraId="42EDD3E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14.4.2最终结清证书和支付</w:t>
      </w:r>
    </w:p>
    <w:p w14:paraId="50FEEB4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8D15B4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746AA2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（3）承包人对发包人颁发的最终结清证书有异议的，按第20条〔争议解决〕的约定办理。</w:t>
      </w:r>
    </w:p>
    <w:p w14:paraId="37B9A259">
      <w:pPr>
        <w:pStyle w:val="4"/>
        <w:rPr>
          <w:rFonts w:ascii="仿宋" w:hAnsi="仿宋" w:eastAsia="仿宋" w:cs="仿宋"/>
          <w:color w:val="auto"/>
          <w:highlight w:val="none"/>
        </w:rPr>
      </w:pPr>
      <w:bookmarkStart w:id="365" w:name="_Toc27096"/>
      <w:bookmarkStart w:id="366" w:name="_Toc19420"/>
      <w:bookmarkStart w:id="367" w:name="_Toc23457"/>
      <w:bookmarkStart w:id="368" w:name="_Toc8726"/>
      <w:r>
        <w:rPr>
          <w:rFonts w:hint="eastAsia" w:ascii="仿宋" w:hAnsi="仿宋" w:eastAsia="仿宋" w:cs="仿宋"/>
          <w:color w:val="auto"/>
          <w:highlight w:val="none"/>
        </w:rPr>
        <w:t>15.缺陷责任与保修</w:t>
      </w:r>
      <w:bookmarkEnd w:id="365"/>
      <w:bookmarkEnd w:id="366"/>
      <w:bookmarkEnd w:id="367"/>
      <w:bookmarkEnd w:id="368"/>
    </w:p>
    <w:p w14:paraId="1CBD7D15">
      <w:pPr>
        <w:pStyle w:val="5"/>
        <w:numPr>
          <w:ilvl w:val="3"/>
          <w:numId w:val="0"/>
        </w:numPr>
        <w:tabs>
          <w:tab w:val="left" w:pos="2155"/>
          <w:tab w:val="clear" w:pos="912"/>
        </w:tabs>
        <w:rPr>
          <w:rFonts w:ascii="仿宋" w:hAnsi="仿宋" w:eastAsia="仿宋" w:cs="仿宋"/>
          <w:color w:val="auto"/>
          <w:highlight w:val="none"/>
        </w:rPr>
      </w:pPr>
      <w:bookmarkStart w:id="369" w:name="_Toc2703"/>
      <w:bookmarkStart w:id="370" w:name="_Toc4908"/>
      <w:r>
        <w:rPr>
          <w:rFonts w:hint="eastAsia" w:ascii="仿宋" w:hAnsi="仿宋" w:eastAsia="仿宋" w:cs="仿宋"/>
          <w:color w:val="auto"/>
          <w:highlight w:val="none"/>
        </w:rPr>
        <w:t>15.1工程保修的原则</w:t>
      </w:r>
      <w:bookmarkEnd w:id="369"/>
      <w:bookmarkEnd w:id="370"/>
    </w:p>
    <w:p w14:paraId="7BEA091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14:paraId="6E707358">
      <w:pPr>
        <w:pStyle w:val="5"/>
        <w:numPr>
          <w:ilvl w:val="3"/>
          <w:numId w:val="0"/>
        </w:numPr>
        <w:tabs>
          <w:tab w:val="left" w:pos="2155"/>
          <w:tab w:val="clear" w:pos="912"/>
        </w:tabs>
        <w:rPr>
          <w:rFonts w:ascii="仿宋" w:hAnsi="仿宋" w:eastAsia="仿宋" w:cs="仿宋"/>
          <w:color w:val="auto"/>
          <w:highlight w:val="none"/>
        </w:rPr>
      </w:pPr>
      <w:bookmarkStart w:id="371" w:name="_Toc29091"/>
      <w:bookmarkStart w:id="372" w:name="_Toc12450"/>
      <w:r>
        <w:rPr>
          <w:rFonts w:hint="eastAsia" w:ascii="仿宋" w:hAnsi="仿宋" w:eastAsia="仿宋" w:cs="仿宋"/>
          <w:color w:val="auto"/>
          <w:highlight w:val="none"/>
        </w:rPr>
        <w:t>15.2缺陷责任期</w:t>
      </w:r>
      <w:bookmarkEnd w:id="371"/>
      <w:bookmarkEnd w:id="372"/>
    </w:p>
    <w:p w14:paraId="62C9D29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15.2.1缺陷责任期从工程通过竣工验收之日起计算，合同当事人应在专用合同条款约定缺陷责任期的具体期限，但该期限最长不超过24个月。</w:t>
      </w:r>
    </w:p>
    <w:p w14:paraId="164A8F1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5CFCFB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5A4398D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由他人原因造成的缺陷，发包人负责组织维修，承包人不承担费用，且发包人不得从保证金中扣除费用。</w:t>
      </w:r>
    </w:p>
    <w:p w14:paraId="08E24DF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15.2.3任何一项缺陷或损坏修复后，经检查证明其影响了工程或工程设备的使用性能，承包人应重新进行合同约定的试验和试运行，试验和试运行的全部费用应由责任方承担。</w:t>
      </w:r>
    </w:p>
    <w:p w14:paraId="023749A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9CBC78B">
      <w:pPr>
        <w:pStyle w:val="5"/>
        <w:numPr>
          <w:ilvl w:val="3"/>
          <w:numId w:val="0"/>
        </w:numPr>
        <w:tabs>
          <w:tab w:val="left" w:pos="2155"/>
          <w:tab w:val="clear" w:pos="912"/>
        </w:tabs>
        <w:rPr>
          <w:rFonts w:ascii="仿宋" w:hAnsi="仿宋" w:eastAsia="仿宋" w:cs="仿宋"/>
          <w:color w:val="auto"/>
          <w:highlight w:val="none"/>
        </w:rPr>
      </w:pPr>
      <w:bookmarkStart w:id="373" w:name="_Toc30697"/>
      <w:bookmarkStart w:id="374" w:name="_Toc31523"/>
      <w:r>
        <w:rPr>
          <w:rFonts w:hint="eastAsia" w:ascii="仿宋" w:hAnsi="仿宋" w:eastAsia="仿宋" w:cs="仿宋"/>
          <w:color w:val="auto"/>
          <w:highlight w:val="none"/>
        </w:rPr>
        <w:t>15.3质量保证金</w:t>
      </w:r>
      <w:bookmarkEnd w:id="373"/>
      <w:bookmarkEnd w:id="374"/>
    </w:p>
    <w:p w14:paraId="178EB36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经合同当事人协商一致扣留质量保证金的，应在专用合同条款中予以明确。</w:t>
      </w:r>
    </w:p>
    <w:p w14:paraId="042433C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在工程项目竣工前，承包人已经提供履约担保的，发包人不得同时预留工程质量保证金。</w:t>
      </w:r>
    </w:p>
    <w:p w14:paraId="2464AE5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15.3.1承包人提供质量保证金的方式</w:t>
      </w:r>
    </w:p>
    <w:p w14:paraId="27857C3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承包人提供质量保证金有以下三种方式：</w:t>
      </w:r>
    </w:p>
    <w:p w14:paraId="46F8DF7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（1）质量保证金保函；</w:t>
      </w:r>
    </w:p>
    <w:p w14:paraId="45A5AE0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（2）相应比例的工程款；</w:t>
      </w:r>
    </w:p>
    <w:p w14:paraId="3188654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（3）双方约定的其他方式。</w:t>
      </w:r>
    </w:p>
    <w:p w14:paraId="6454C03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除专用合同条款另有约定外，质量保证金原则上采用上述第（1）种方式。</w:t>
      </w:r>
    </w:p>
    <w:p w14:paraId="6FDDDBA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15.3.2质量保证金的扣留</w:t>
      </w:r>
    </w:p>
    <w:p w14:paraId="7E7B98B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质量保证金的扣留有以下三种方式：</w:t>
      </w:r>
    </w:p>
    <w:p w14:paraId="2D973CF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（1）在支付工程进度款时逐次扣留，在此情形下，质量保证金的计算基数不包括预付款的支付、扣回以及价格调整的金额；</w:t>
      </w:r>
    </w:p>
    <w:p w14:paraId="3499B8E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（2）工程竣工结算时一次性扣留质量保证金；</w:t>
      </w:r>
    </w:p>
    <w:p w14:paraId="1A37DC9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（3）双方约定的其他扣留方式。</w:t>
      </w:r>
    </w:p>
    <w:p w14:paraId="59D195E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除专用合同条款另有约定外，质量保证金的扣留原则上采用上述第（1）种方式。</w:t>
      </w:r>
    </w:p>
    <w:p w14:paraId="35313E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BC904F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发包人在退还质量保证金的同时按照中国人民银行发布的同期同类贷款基准利率支付利息。</w:t>
      </w:r>
    </w:p>
    <w:p w14:paraId="412ED99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15.3.3质量保证金的退还</w:t>
      </w:r>
    </w:p>
    <w:p w14:paraId="6AE6BEE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缺陷责任期内，承包人认真履行合同约定的责任，到期后，承包人可向发包人申请返还保证金。</w:t>
      </w:r>
    </w:p>
    <w:p w14:paraId="7F89B9E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9E04F0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发包人和承包人对保证金预留、返还以及工程维修质量、费用有争议的，按本合同第20条约定的争议和纠纷解决程序处理。</w:t>
      </w:r>
    </w:p>
    <w:p w14:paraId="47DB10D4">
      <w:pPr>
        <w:pStyle w:val="5"/>
        <w:numPr>
          <w:ilvl w:val="3"/>
          <w:numId w:val="0"/>
        </w:numPr>
        <w:tabs>
          <w:tab w:val="left" w:pos="2155"/>
          <w:tab w:val="clear" w:pos="912"/>
        </w:tabs>
        <w:rPr>
          <w:rFonts w:ascii="仿宋" w:hAnsi="仿宋" w:eastAsia="仿宋" w:cs="仿宋"/>
          <w:color w:val="auto"/>
          <w:highlight w:val="none"/>
        </w:rPr>
      </w:pPr>
      <w:bookmarkStart w:id="375" w:name="_Toc11593"/>
      <w:bookmarkStart w:id="376" w:name="_Toc5094"/>
      <w:r>
        <w:rPr>
          <w:rFonts w:hint="eastAsia" w:ascii="仿宋" w:hAnsi="仿宋" w:eastAsia="仿宋" w:cs="仿宋"/>
          <w:color w:val="auto"/>
          <w:highlight w:val="none"/>
        </w:rPr>
        <w:t>15.4保修</w:t>
      </w:r>
      <w:bookmarkEnd w:id="375"/>
      <w:bookmarkEnd w:id="376"/>
    </w:p>
    <w:p w14:paraId="201861C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15.4.1保修责任</w:t>
      </w:r>
    </w:p>
    <w:p w14:paraId="069DB01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3934FA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发包人未经竣工验收擅自使用工程的，保修期自转移占有之日起算。</w:t>
      </w:r>
    </w:p>
    <w:p w14:paraId="6352271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15.4.2修复费用</w:t>
      </w:r>
    </w:p>
    <w:p w14:paraId="4946910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保修期内，修复的费用按照以下约定处理：</w:t>
      </w:r>
    </w:p>
    <w:p w14:paraId="608E9EE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（1）保修期内，因承包人原因造成工程的缺陷、损坏，承包人应负责修复，并承担修复的费用以及因工程的缺陷、损坏造成的人身伤害和财产损失；</w:t>
      </w:r>
    </w:p>
    <w:p w14:paraId="294B6C9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（2）保修期内，因发包人使用不当造成工程的缺陷、损坏，可以委托承包人修复，但发包人应承担修复的费用，并支付承包人合理利润；</w:t>
      </w:r>
    </w:p>
    <w:p w14:paraId="578D76D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（3）因其他原因造成工程的缺陷、损坏，可以委托承包人修复，发包人应承担修复的费用，并支付承包人合理的利润，因工程的缺陷、损坏造成的人身伤害和财产损失由责任方承担。</w:t>
      </w:r>
    </w:p>
    <w:p w14:paraId="1FE90C2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15.4.3修复通知</w:t>
      </w:r>
    </w:p>
    <w:p w14:paraId="3510676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40332D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15.4.4未能修复</w:t>
      </w:r>
    </w:p>
    <w:p w14:paraId="3BE0890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157659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15.4.5承包人出入权</w:t>
      </w:r>
    </w:p>
    <w:p w14:paraId="367168C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C8E1291">
      <w:pPr>
        <w:pStyle w:val="4"/>
        <w:rPr>
          <w:rFonts w:ascii="仿宋" w:hAnsi="仿宋" w:eastAsia="仿宋" w:cs="仿宋"/>
          <w:color w:val="auto"/>
          <w:highlight w:val="none"/>
        </w:rPr>
      </w:pPr>
      <w:bookmarkStart w:id="377" w:name="_Toc24424"/>
      <w:bookmarkStart w:id="378" w:name="_Toc5482"/>
      <w:bookmarkStart w:id="379" w:name="_Toc5499"/>
      <w:bookmarkStart w:id="380" w:name="_Toc27902"/>
      <w:r>
        <w:rPr>
          <w:rFonts w:hint="eastAsia" w:ascii="仿宋" w:hAnsi="仿宋" w:eastAsia="仿宋" w:cs="仿宋"/>
          <w:color w:val="auto"/>
          <w:highlight w:val="none"/>
        </w:rPr>
        <w:t>16.违约</w:t>
      </w:r>
      <w:bookmarkEnd w:id="377"/>
      <w:bookmarkEnd w:id="378"/>
      <w:bookmarkEnd w:id="379"/>
      <w:bookmarkEnd w:id="380"/>
    </w:p>
    <w:p w14:paraId="650E444C">
      <w:pPr>
        <w:pStyle w:val="5"/>
        <w:numPr>
          <w:ilvl w:val="3"/>
          <w:numId w:val="0"/>
        </w:numPr>
        <w:tabs>
          <w:tab w:val="left" w:pos="2155"/>
          <w:tab w:val="clear" w:pos="912"/>
        </w:tabs>
        <w:rPr>
          <w:rFonts w:ascii="仿宋" w:hAnsi="仿宋" w:eastAsia="仿宋" w:cs="仿宋"/>
          <w:color w:val="auto"/>
          <w:highlight w:val="none"/>
        </w:rPr>
      </w:pPr>
      <w:bookmarkStart w:id="381" w:name="_Toc9485"/>
      <w:bookmarkStart w:id="382" w:name="_Toc20237"/>
      <w:r>
        <w:rPr>
          <w:rFonts w:hint="eastAsia" w:ascii="仿宋" w:hAnsi="仿宋" w:eastAsia="仿宋" w:cs="仿宋"/>
          <w:color w:val="auto"/>
          <w:highlight w:val="none"/>
        </w:rPr>
        <w:t>16.1发包人违约</w:t>
      </w:r>
      <w:bookmarkEnd w:id="381"/>
      <w:bookmarkEnd w:id="382"/>
    </w:p>
    <w:p w14:paraId="61C54C6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16.1.1发包人违约的情形</w:t>
      </w:r>
    </w:p>
    <w:p w14:paraId="323D98F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在合同履行过程中发生的下列情形，属于发包人违约：</w:t>
      </w:r>
    </w:p>
    <w:p w14:paraId="52DBE92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（1）因发包人原因未能在计划开工日期前7天内下达开工通知的；</w:t>
      </w:r>
    </w:p>
    <w:p w14:paraId="1F2BAEF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（2）因发包人原因未能按合同约定支付合同价款的；</w:t>
      </w:r>
    </w:p>
    <w:p w14:paraId="6A2364F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（3）发包人违反第10.1款〔变更的范围〕第（2）项约定，自行实施被取消的工作或转由他人实施的；</w:t>
      </w:r>
    </w:p>
    <w:p w14:paraId="14DFB58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（4）发包人提供的材料、工程设备的规格、数量或质量不符合合同约定，或因发包人原因导致交货日期延误或交货地点变更等情况的；</w:t>
      </w:r>
    </w:p>
    <w:p w14:paraId="7E9D0B3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（5）因发包人违反合同约定造成暂停施工的；</w:t>
      </w:r>
    </w:p>
    <w:p w14:paraId="48BC6D9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（6）发包人无正当理由没有在约定期限内发出复工指示，导致承包人无法复工的；</w:t>
      </w:r>
    </w:p>
    <w:p w14:paraId="4E8C699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（7）发包人明确表示或者以其行为表明不履行合同主要义务的；</w:t>
      </w:r>
    </w:p>
    <w:p w14:paraId="2F701BA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（8）发包人未能按照合同约定履行其他义务的。</w:t>
      </w:r>
    </w:p>
    <w:p w14:paraId="4E0CCE0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BA500D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16.1.2发包人违约的责任</w:t>
      </w:r>
    </w:p>
    <w:p w14:paraId="1E7849D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51E0EF7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16.1.3因发包人违约解除合同</w:t>
      </w:r>
    </w:p>
    <w:p w14:paraId="6800C3B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97353E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16.1.4因发包人违约解除合同后的付款</w:t>
      </w:r>
    </w:p>
    <w:p w14:paraId="2D1BA22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承包人按照本款约定解除合同的，发包人应在解除合同后28天内支付下列款项，并解除履约担保：</w:t>
      </w:r>
    </w:p>
    <w:p w14:paraId="481BD10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（1）合同解除前所完成工作的价款；</w:t>
      </w:r>
    </w:p>
    <w:p w14:paraId="4FB9BAF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（2）承包人为工程施工订购并已付款的材料、工程设备和其他物品的价款；</w:t>
      </w:r>
    </w:p>
    <w:p w14:paraId="368C4B4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（3）承包人撤离施工现场以及遣散承包人人员的款项；</w:t>
      </w:r>
    </w:p>
    <w:p w14:paraId="01D7940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（4）按照合同约定在合同解除前应支付的违约金；</w:t>
      </w:r>
    </w:p>
    <w:p w14:paraId="62C6715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（5）按照合同约定应当支付给承包人的其他款项；</w:t>
      </w:r>
    </w:p>
    <w:p w14:paraId="3C8BD2C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（6）按照合同约定应退还的质量保证金；</w:t>
      </w:r>
    </w:p>
    <w:p w14:paraId="5E7CB78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（7）因解除合同给承包人造成的损失。</w:t>
      </w:r>
    </w:p>
    <w:p w14:paraId="77C7420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合同当事人未能就解除合同后的结清达成一致的，按照第20条〔争议解决〕的约定处理。</w:t>
      </w:r>
    </w:p>
    <w:p w14:paraId="01E8B87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承包人应妥善做好已完工程和与工程有关的已购材料、工程设备的保护和移交工作，并将施工设备和人员撤出施工现场，发包人应为承包人撤出提供必要条件。</w:t>
      </w:r>
    </w:p>
    <w:p w14:paraId="039F704C">
      <w:pPr>
        <w:pStyle w:val="5"/>
        <w:numPr>
          <w:ilvl w:val="3"/>
          <w:numId w:val="0"/>
        </w:numPr>
        <w:tabs>
          <w:tab w:val="left" w:pos="2155"/>
          <w:tab w:val="clear" w:pos="912"/>
        </w:tabs>
        <w:rPr>
          <w:rFonts w:ascii="仿宋" w:hAnsi="仿宋" w:eastAsia="仿宋" w:cs="仿宋"/>
          <w:color w:val="auto"/>
          <w:highlight w:val="none"/>
        </w:rPr>
      </w:pPr>
      <w:bookmarkStart w:id="383" w:name="_Toc16788"/>
      <w:bookmarkStart w:id="384" w:name="_Toc20892"/>
      <w:r>
        <w:rPr>
          <w:rFonts w:hint="eastAsia" w:ascii="仿宋" w:hAnsi="仿宋" w:eastAsia="仿宋" w:cs="仿宋"/>
          <w:color w:val="auto"/>
          <w:highlight w:val="none"/>
        </w:rPr>
        <w:t>16.2承包人违约</w:t>
      </w:r>
      <w:bookmarkEnd w:id="383"/>
      <w:bookmarkEnd w:id="384"/>
    </w:p>
    <w:p w14:paraId="64726F2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16.2.1承包人违约的情形</w:t>
      </w:r>
    </w:p>
    <w:p w14:paraId="78B78AC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在合同履行过程中发生的下列情形，属于承包人违约：</w:t>
      </w:r>
    </w:p>
    <w:p w14:paraId="3B8BCF9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（1）承包人违反合同约定进行转包或违法分包的；</w:t>
      </w:r>
    </w:p>
    <w:p w14:paraId="7231A92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（2）承包人违反合同约定采购和使用不合格的材料和工程设备的；</w:t>
      </w:r>
    </w:p>
    <w:p w14:paraId="4787F5C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（3）因承包人原因导致工程质量不符合合同要求的；</w:t>
      </w:r>
    </w:p>
    <w:p w14:paraId="1F48EE9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（4）承包人违反第8.9款〔材料与设备专用要求〕的约定，未经批准，私自将已按照合同约定进入施工现场的材料或设备撤离施工现场的；</w:t>
      </w:r>
    </w:p>
    <w:p w14:paraId="22BE128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（5）承包人未能按施工进度计划及时完成合同约定的工作，造成工期延误的；</w:t>
      </w:r>
    </w:p>
    <w:p w14:paraId="2B3EC34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（6）承包人在缺陷责任期及保修期内，未能在合理期限对工程缺陷进行修复，或拒绝按发包人要求进行修复的；</w:t>
      </w:r>
    </w:p>
    <w:p w14:paraId="0AD5960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（7）承包人明确表示或者以其行为表明不履行合同主要义务的；</w:t>
      </w:r>
    </w:p>
    <w:p w14:paraId="05B2823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（8）承包人未能按照合同约定履行其他义务的。</w:t>
      </w:r>
    </w:p>
    <w:p w14:paraId="1D688F1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承包人发生除本项第（7）目约定以外的其他违约情况时，监理人可向承包人发出整改通知，要求其在指定的期限内改正。</w:t>
      </w:r>
    </w:p>
    <w:p w14:paraId="5839B04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16.2.2承包人违约的责任</w:t>
      </w:r>
    </w:p>
    <w:p w14:paraId="410388F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承包人应承担因其违约行为而增加的费用和（或）延误的工期。此外，合同当事人可在专用合同条款中另行约定承包人违约责任的承担方式和计算方法。</w:t>
      </w:r>
    </w:p>
    <w:p w14:paraId="4BBD625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16.2.3因承包人违约解除合同</w:t>
      </w:r>
    </w:p>
    <w:p w14:paraId="0B30D7D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08432F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16.2.4因承包人违约解除合同后的处理</w:t>
      </w:r>
    </w:p>
    <w:p w14:paraId="74F60D5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因承包人原因导致合同解除的，则合同当事人应在合同解除后28天内完成估价、付款和清算，并按以下约定执行：</w:t>
      </w:r>
    </w:p>
    <w:p w14:paraId="22DF3CC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（1）合同解除后，按第4.4款〔商定或确定〕商定或确定承包人实际完成工作对应的合同价款，以及承包人已提供的材料、工程设备、施工设备和临时工程等的价值；</w:t>
      </w:r>
    </w:p>
    <w:p w14:paraId="27664FA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（2）合同解除后，承包人应支付的违约金；</w:t>
      </w:r>
    </w:p>
    <w:p w14:paraId="338C4ED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（3）合同解除后，因解除合同给发包人造成的损失；</w:t>
      </w:r>
    </w:p>
    <w:p w14:paraId="5A2FCF5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（4）合同解除后，承包人应按照发包人要求和监理人的指示完成现场的清理和撤离；</w:t>
      </w:r>
    </w:p>
    <w:p w14:paraId="363A3E2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（5）发包人和承包人应在合同解除后进行清算，出具最终结清付款证书，结清全部款项。</w:t>
      </w:r>
    </w:p>
    <w:p w14:paraId="43D5867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5C417C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16.2.5采购合同权益转让</w:t>
      </w:r>
    </w:p>
    <w:p w14:paraId="5AA7799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6151B7D">
      <w:pPr>
        <w:pStyle w:val="5"/>
        <w:numPr>
          <w:ilvl w:val="3"/>
          <w:numId w:val="0"/>
        </w:numPr>
        <w:tabs>
          <w:tab w:val="left" w:pos="2155"/>
          <w:tab w:val="clear" w:pos="912"/>
        </w:tabs>
        <w:rPr>
          <w:rFonts w:ascii="仿宋" w:hAnsi="仿宋" w:eastAsia="仿宋" w:cs="仿宋"/>
          <w:color w:val="auto"/>
          <w:highlight w:val="none"/>
        </w:rPr>
      </w:pPr>
      <w:bookmarkStart w:id="385" w:name="_Toc22281"/>
      <w:bookmarkStart w:id="386" w:name="_Toc15798"/>
      <w:r>
        <w:rPr>
          <w:rFonts w:hint="eastAsia" w:ascii="仿宋" w:hAnsi="仿宋" w:eastAsia="仿宋" w:cs="仿宋"/>
          <w:color w:val="auto"/>
          <w:highlight w:val="none"/>
        </w:rPr>
        <w:t>16.3第三人造成的违约</w:t>
      </w:r>
      <w:bookmarkEnd w:id="385"/>
      <w:bookmarkEnd w:id="386"/>
    </w:p>
    <w:p w14:paraId="119A583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在履行合同过程中，一方当事人因第三人的原因造成违约的，应当向对方当事人承担违约责任。一方当事人和第三人之间的纠纷，依照法律规定或者按照约定解决。</w:t>
      </w:r>
    </w:p>
    <w:p w14:paraId="5659CDAB">
      <w:pPr>
        <w:pStyle w:val="4"/>
        <w:rPr>
          <w:rFonts w:ascii="仿宋" w:hAnsi="仿宋" w:eastAsia="仿宋" w:cs="仿宋"/>
          <w:color w:val="auto"/>
          <w:highlight w:val="none"/>
        </w:rPr>
      </w:pPr>
      <w:bookmarkStart w:id="387" w:name="_Toc3619"/>
      <w:bookmarkStart w:id="388" w:name="_Toc26846"/>
      <w:bookmarkStart w:id="389" w:name="_Toc31196"/>
      <w:bookmarkStart w:id="390" w:name="_Toc13090"/>
      <w:r>
        <w:rPr>
          <w:rFonts w:hint="eastAsia" w:ascii="仿宋" w:hAnsi="仿宋" w:eastAsia="仿宋" w:cs="仿宋"/>
          <w:color w:val="auto"/>
          <w:highlight w:val="none"/>
        </w:rPr>
        <w:t>17.不可抗力</w:t>
      </w:r>
      <w:bookmarkEnd w:id="387"/>
      <w:bookmarkEnd w:id="388"/>
      <w:bookmarkEnd w:id="389"/>
      <w:bookmarkEnd w:id="390"/>
    </w:p>
    <w:p w14:paraId="2D7FA02D">
      <w:pPr>
        <w:pStyle w:val="5"/>
        <w:numPr>
          <w:ilvl w:val="3"/>
          <w:numId w:val="0"/>
        </w:numPr>
        <w:tabs>
          <w:tab w:val="left" w:pos="2155"/>
          <w:tab w:val="clear" w:pos="912"/>
        </w:tabs>
        <w:rPr>
          <w:rFonts w:ascii="仿宋" w:hAnsi="仿宋" w:eastAsia="仿宋" w:cs="仿宋"/>
          <w:color w:val="auto"/>
          <w:highlight w:val="none"/>
        </w:rPr>
      </w:pPr>
      <w:bookmarkStart w:id="391" w:name="_Toc28857"/>
      <w:bookmarkStart w:id="392" w:name="_Toc4260"/>
      <w:r>
        <w:rPr>
          <w:rFonts w:hint="eastAsia" w:ascii="仿宋" w:hAnsi="仿宋" w:eastAsia="仿宋" w:cs="仿宋"/>
          <w:color w:val="auto"/>
          <w:highlight w:val="none"/>
        </w:rPr>
        <w:t>17.1不可抗力的确认</w:t>
      </w:r>
      <w:bookmarkEnd w:id="391"/>
      <w:bookmarkEnd w:id="392"/>
    </w:p>
    <w:p w14:paraId="4509817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26C7132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2C91C82">
      <w:pPr>
        <w:pStyle w:val="5"/>
        <w:numPr>
          <w:ilvl w:val="3"/>
          <w:numId w:val="0"/>
        </w:numPr>
        <w:tabs>
          <w:tab w:val="left" w:pos="2155"/>
          <w:tab w:val="clear" w:pos="912"/>
        </w:tabs>
        <w:rPr>
          <w:rFonts w:ascii="仿宋" w:hAnsi="仿宋" w:eastAsia="仿宋" w:cs="仿宋"/>
          <w:color w:val="auto"/>
          <w:highlight w:val="none"/>
        </w:rPr>
      </w:pPr>
      <w:bookmarkStart w:id="393" w:name="_Toc15848"/>
      <w:bookmarkStart w:id="394" w:name="_Toc4961"/>
      <w:r>
        <w:rPr>
          <w:rFonts w:hint="eastAsia" w:ascii="仿宋" w:hAnsi="仿宋" w:eastAsia="仿宋" w:cs="仿宋"/>
          <w:color w:val="auto"/>
          <w:highlight w:val="none"/>
        </w:rPr>
        <w:t>17.2不可抗力的通知</w:t>
      </w:r>
      <w:bookmarkEnd w:id="393"/>
      <w:bookmarkEnd w:id="394"/>
    </w:p>
    <w:p w14:paraId="2AD90C9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14:paraId="2C35E65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40DCF279">
      <w:pPr>
        <w:pStyle w:val="5"/>
        <w:numPr>
          <w:ilvl w:val="3"/>
          <w:numId w:val="0"/>
        </w:numPr>
        <w:tabs>
          <w:tab w:val="left" w:pos="2155"/>
          <w:tab w:val="clear" w:pos="912"/>
        </w:tabs>
        <w:rPr>
          <w:rFonts w:ascii="仿宋" w:hAnsi="仿宋" w:eastAsia="仿宋" w:cs="仿宋"/>
          <w:color w:val="auto"/>
          <w:highlight w:val="none"/>
        </w:rPr>
      </w:pPr>
      <w:bookmarkStart w:id="395" w:name="_Toc21299"/>
      <w:bookmarkStart w:id="396" w:name="_Toc14877"/>
      <w:r>
        <w:rPr>
          <w:rFonts w:hint="eastAsia" w:ascii="仿宋" w:hAnsi="仿宋" w:eastAsia="仿宋" w:cs="仿宋"/>
          <w:color w:val="auto"/>
          <w:highlight w:val="none"/>
        </w:rPr>
        <w:t>17.3不可抗力后果的承担</w:t>
      </w:r>
      <w:bookmarkEnd w:id="395"/>
      <w:bookmarkEnd w:id="396"/>
    </w:p>
    <w:p w14:paraId="6A206A9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17.3.1不可抗力引起的后果及造成的损失由合同当事人按照法律规定及合同约定各自承担。不可抗力发生前已完成的工程应当按照合同约定进行计量支付。</w:t>
      </w:r>
    </w:p>
    <w:p w14:paraId="5EA0768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17.3.2不可抗力导致的人员伤亡、财产损失、费用增加和（或）工期延误等后果，由合同当事人按以下原则承担：</w:t>
      </w:r>
    </w:p>
    <w:p w14:paraId="001CAF5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（1）永久工程、已运至施工现场的材料和工程设备的损坏，以及因工程损坏造成的第三人人员伤亡和财产损失由发包人承担；</w:t>
      </w:r>
    </w:p>
    <w:p w14:paraId="684F685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（2）承包人施工设备的损坏由承包人承担；</w:t>
      </w:r>
    </w:p>
    <w:p w14:paraId="3C4CBE0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（3）发包人和承包人承担各自人员伤亡和财产的损失；</w:t>
      </w:r>
    </w:p>
    <w:p w14:paraId="71B1F56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374A89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（5）因不可抗力引起或将引起工期延误，发包人要求赶工的，由此增加的赶工费用由发包人承担；</w:t>
      </w:r>
    </w:p>
    <w:p w14:paraId="7E4DF20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（6）承包人在停工期间按照发包人要求照管、清理和修复工程的费用由发包人承担。</w:t>
      </w:r>
    </w:p>
    <w:p w14:paraId="42717F9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不可抗力发生后，合同当事人均应采取措施尽量避免和减少损失的扩大，任何一方当事人没有采取有效措施导致损失扩大的，应对扩大的损失承担责任。</w:t>
      </w:r>
    </w:p>
    <w:p w14:paraId="3AE4329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因合同一方迟延履行合同义务，在迟延履行期间遭遇不可抗力的，不免除其违约责任。</w:t>
      </w:r>
    </w:p>
    <w:p w14:paraId="0B484733">
      <w:pPr>
        <w:pStyle w:val="5"/>
        <w:numPr>
          <w:ilvl w:val="3"/>
          <w:numId w:val="0"/>
        </w:numPr>
        <w:tabs>
          <w:tab w:val="left" w:pos="2155"/>
          <w:tab w:val="clear" w:pos="912"/>
        </w:tabs>
        <w:rPr>
          <w:rFonts w:ascii="仿宋" w:hAnsi="仿宋" w:eastAsia="仿宋" w:cs="仿宋"/>
          <w:color w:val="auto"/>
          <w:highlight w:val="none"/>
        </w:rPr>
      </w:pPr>
      <w:bookmarkStart w:id="397" w:name="_Toc12482"/>
      <w:bookmarkStart w:id="398" w:name="_Toc10653"/>
      <w:r>
        <w:rPr>
          <w:rFonts w:hint="eastAsia" w:ascii="仿宋" w:hAnsi="仿宋" w:eastAsia="仿宋" w:cs="仿宋"/>
          <w:color w:val="auto"/>
          <w:highlight w:val="none"/>
        </w:rPr>
        <w:t>17.4因不可抗力解除合同</w:t>
      </w:r>
      <w:bookmarkEnd w:id="397"/>
      <w:bookmarkEnd w:id="398"/>
    </w:p>
    <w:p w14:paraId="30611FD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45A8717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（1）合同解除前承包人已完成工作的价款；</w:t>
      </w:r>
    </w:p>
    <w:p w14:paraId="2CAACE2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（2）承包人为工程订购的并已交付给承包人，或承包人有责任接受交付的材料、工程设备和其他物品的价款；</w:t>
      </w:r>
    </w:p>
    <w:p w14:paraId="7A5D966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（3）发包人要求承包人退货或解除订货合同而产生的费用，或因不能退货或解除合同而产生的损失；</w:t>
      </w:r>
    </w:p>
    <w:p w14:paraId="3AE5E95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（4）承包人撤离施工现场以及遣散承包人人员的费用；</w:t>
      </w:r>
    </w:p>
    <w:p w14:paraId="22B0561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（5）按照合同约定在合同解除前应支付给承包人的其他款项；</w:t>
      </w:r>
    </w:p>
    <w:p w14:paraId="1195101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（6）扣减承包人按照合同约定应向发包人支付的款项；</w:t>
      </w:r>
    </w:p>
    <w:p w14:paraId="47D4EC3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（7）双方商定或确定的其他款项。</w:t>
      </w:r>
    </w:p>
    <w:p w14:paraId="517AC84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除专用合同条款另有约定外，合同解除后，发包人应在商定或确定上述款项后28天内完成上述款项的支付。</w:t>
      </w:r>
    </w:p>
    <w:p w14:paraId="097079A7">
      <w:pPr>
        <w:pStyle w:val="4"/>
        <w:rPr>
          <w:rFonts w:ascii="仿宋" w:hAnsi="仿宋" w:eastAsia="仿宋" w:cs="仿宋"/>
          <w:color w:val="auto"/>
          <w:highlight w:val="none"/>
        </w:rPr>
      </w:pPr>
      <w:bookmarkStart w:id="399" w:name="_Toc8628"/>
      <w:bookmarkStart w:id="400" w:name="_Toc23989"/>
      <w:bookmarkStart w:id="401" w:name="_Toc11616"/>
      <w:bookmarkStart w:id="402" w:name="_Toc13339"/>
      <w:r>
        <w:rPr>
          <w:rFonts w:hint="eastAsia" w:ascii="仿宋" w:hAnsi="仿宋" w:eastAsia="仿宋" w:cs="仿宋"/>
          <w:color w:val="auto"/>
          <w:highlight w:val="none"/>
        </w:rPr>
        <w:t>18.保险</w:t>
      </w:r>
      <w:bookmarkEnd w:id="399"/>
      <w:bookmarkEnd w:id="400"/>
      <w:bookmarkEnd w:id="401"/>
      <w:bookmarkEnd w:id="402"/>
    </w:p>
    <w:p w14:paraId="4976C783">
      <w:pPr>
        <w:pStyle w:val="5"/>
        <w:numPr>
          <w:ilvl w:val="3"/>
          <w:numId w:val="0"/>
        </w:numPr>
        <w:tabs>
          <w:tab w:val="left" w:pos="2155"/>
          <w:tab w:val="clear" w:pos="912"/>
        </w:tabs>
        <w:rPr>
          <w:rFonts w:ascii="仿宋" w:hAnsi="仿宋" w:eastAsia="仿宋" w:cs="仿宋"/>
          <w:color w:val="auto"/>
          <w:highlight w:val="none"/>
        </w:rPr>
      </w:pPr>
      <w:bookmarkStart w:id="403" w:name="_Toc1643"/>
      <w:bookmarkStart w:id="404" w:name="_Toc19499"/>
      <w:r>
        <w:rPr>
          <w:rFonts w:hint="eastAsia" w:ascii="仿宋" w:hAnsi="仿宋" w:eastAsia="仿宋" w:cs="仿宋"/>
          <w:color w:val="auto"/>
          <w:highlight w:val="none"/>
        </w:rPr>
        <w:t>18.1工程保险</w:t>
      </w:r>
      <w:bookmarkEnd w:id="403"/>
      <w:bookmarkEnd w:id="404"/>
    </w:p>
    <w:p w14:paraId="1EB7A77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除专用合同条款另有约定外，发包人应投保建筑工程一切险或安装工程一切险；发包人委托承包人投保的，因投保产生的保险费和其他相关费用由发包人承担。</w:t>
      </w:r>
    </w:p>
    <w:p w14:paraId="082D61B6">
      <w:pPr>
        <w:pStyle w:val="5"/>
        <w:numPr>
          <w:ilvl w:val="3"/>
          <w:numId w:val="0"/>
        </w:numPr>
        <w:tabs>
          <w:tab w:val="left" w:pos="2155"/>
          <w:tab w:val="clear" w:pos="912"/>
        </w:tabs>
        <w:rPr>
          <w:rFonts w:ascii="仿宋" w:hAnsi="仿宋" w:eastAsia="仿宋" w:cs="仿宋"/>
          <w:color w:val="auto"/>
          <w:highlight w:val="none"/>
        </w:rPr>
      </w:pPr>
      <w:bookmarkStart w:id="405" w:name="_Toc17999"/>
      <w:bookmarkStart w:id="406" w:name="_Toc26363"/>
      <w:r>
        <w:rPr>
          <w:rFonts w:hint="eastAsia" w:ascii="仿宋" w:hAnsi="仿宋" w:eastAsia="仿宋" w:cs="仿宋"/>
          <w:color w:val="auto"/>
          <w:highlight w:val="none"/>
        </w:rPr>
        <w:t>18.2工伤保险</w:t>
      </w:r>
      <w:bookmarkEnd w:id="405"/>
      <w:bookmarkEnd w:id="406"/>
    </w:p>
    <w:p w14:paraId="3C06D6E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18.2.1发包人应依照法律规定参加工伤保险，并为在施工现场的全部员工办理工伤保险，缴纳工伤保险费，并要求监理人及由发包人为履行合同聘请的第三方依法参加工伤保险。</w:t>
      </w:r>
    </w:p>
    <w:p w14:paraId="62AB981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18.2.2承包人应依照法律规定参加工伤保险，并为其履行合同的全部员工办理工伤保险，缴纳工伤保险费，并要求分包人及由承包人为履行合同聘请的第三方依法参加工伤保险。</w:t>
      </w:r>
    </w:p>
    <w:p w14:paraId="4A4E9208">
      <w:pPr>
        <w:pStyle w:val="5"/>
        <w:numPr>
          <w:ilvl w:val="3"/>
          <w:numId w:val="0"/>
        </w:numPr>
        <w:tabs>
          <w:tab w:val="left" w:pos="2155"/>
          <w:tab w:val="clear" w:pos="912"/>
        </w:tabs>
        <w:rPr>
          <w:rFonts w:ascii="仿宋" w:hAnsi="仿宋" w:eastAsia="仿宋" w:cs="仿宋"/>
          <w:color w:val="auto"/>
          <w:highlight w:val="none"/>
        </w:rPr>
      </w:pPr>
      <w:bookmarkStart w:id="407" w:name="_Toc30752"/>
      <w:bookmarkStart w:id="408" w:name="_Toc22270"/>
      <w:r>
        <w:rPr>
          <w:rFonts w:hint="eastAsia" w:ascii="仿宋" w:hAnsi="仿宋" w:eastAsia="仿宋" w:cs="仿宋"/>
          <w:color w:val="auto"/>
          <w:highlight w:val="none"/>
        </w:rPr>
        <w:t>18.3其他保险</w:t>
      </w:r>
      <w:bookmarkEnd w:id="407"/>
      <w:bookmarkEnd w:id="408"/>
    </w:p>
    <w:p w14:paraId="7346A64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704D8F5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除专用合同条款另有约定外，承包人应为其施工设备等办理财产保险。</w:t>
      </w:r>
    </w:p>
    <w:p w14:paraId="2B38788D">
      <w:pPr>
        <w:pStyle w:val="5"/>
        <w:numPr>
          <w:ilvl w:val="3"/>
          <w:numId w:val="0"/>
        </w:numPr>
        <w:tabs>
          <w:tab w:val="left" w:pos="2155"/>
          <w:tab w:val="clear" w:pos="912"/>
        </w:tabs>
        <w:rPr>
          <w:rFonts w:ascii="仿宋" w:hAnsi="仿宋" w:eastAsia="仿宋" w:cs="仿宋"/>
          <w:color w:val="auto"/>
          <w:highlight w:val="none"/>
        </w:rPr>
      </w:pPr>
      <w:bookmarkStart w:id="409" w:name="_Toc9360"/>
      <w:bookmarkStart w:id="410" w:name="_Toc9061"/>
      <w:r>
        <w:rPr>
          <w:rFonts w:hint="eastAsia" w:ascii="仿宋" w:hAnsi="仿宋" w:eastAsia="仿宋" w:cs="仿宋"/>
          <w:color w:val="auto"/>
          <w:highlight w:val="none"/>
        </w:rPr>
        <w:t>18.4持续保险</w:t>
      </w:r>
      <w:bookmarkEnd w:id="409"/>
      <w:bookmarkEnd w:id="410"/>
    </w:p>
    <w:p w14:paraId="280306B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合同当事人应与保险人保持联系，使保险人能够随时了解工程实施中的变动，并确保按保险合同条款要求持续保险。</w:t>
      </w:r>
    </w:p>
    <w:p w14:paraId="4E8C73B9">
      <w:pPr>
        <w:pStyle w:val="5"/>
        <w:numPr>
          <w:ilvl w:val="3"/>
          <w:numId w:val="0"/>
        </w:numPr>
        <w:tabs>
          <w:tab w:val="left" w:pos="2155"/>
          <w:tab w:val="clear" w:pos="912"/>
        </w:tabs>
        <w:rPr>
          <w:rFonts w:ascii="仿宋" w:hAnsi="仿宋" w:eastAsia="仿宋" w:cs="仿宋"/>
          <w:color w:val="auto"/>
          <w:highlight w:val="none"/>
        </w:rPr>
      </w:pPr>
      <w:bookmarkStart w:id="411" w:name="_Toc1576"/>
      <w:bookmarkStart w:id="412" w:name="_Toc24555"/>
      <w:r>
        <w:rPr>
          <w:rFonts w:hint="eastAsia" w:ascii="仿宋" w:hAnsi="仿宋" w:eastAsia="仿宋" w:cs="仿宋"/>
          <w:color w:val="auto"/>
          <w:highlight w:val="none"/>
        </w:rPr>
        <w:t>18.5保险凭证</w:t>
      </w:r>
      <w:bookmarkEnd w:id="411"/>
      <w:bookmarkEnd w:id="412"/>
    </w:p>
    <w:p w14:paraId="4795FB7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合同当事人应及时向另一方当事人提交其已投保的各项保险的凭证和保险单复印件。</w:t>
      </w:r>
    </w:p>
    <w:p w14:paraId="7E6CBD2B">
      <w:pPr>
        <w:pStyle w:val="5"/>
        <w:numPr>
          <w:ilvl w:val="3"/>
          <w:numId w:val="0"/>
        </w:numPr>
        <w:tabs>
          <w:tab w:val="left" w:pos="2155"/>
          <w:tab w:val="clear" w:pos="912"/>
        </w:tabs>
        <w:rPr>
          <w:rFonts w:ascii="仿宋" w:hAnsi="仿宋" w:eastAsia="仿宋" w:cs="仿宋"/>
          <w:color w:val="auto"/>
          <w:highlight w:val="none"/>
        </w:rPr>
      </w:pPr>
      <w:bookmarkStart w:id="413" w:name="_Toc8204"/>
      <w:bookmarkStart w:id="414" w:name="_Toc26341"/>
      <w:r>
        <w:rPr>
          <w:rFonts w:hint="eastAsia" w:ascii="仿宋" w:hAnsi="仿宋" w:eastAsia="仿宋" w:cs="仿宋"/>
          <w:color w:val="auto"/>
          <w:highlight w:val="none"/>
        </w:rPr>
        <w:t>18.6未按约定投保的补救</w:t>
      </w:r>
      <w:bookmarkEnd w:id="413"/>
      <w:bookmarkEnd w:id="414"/>
    </w:p>
    <w:p w14:paraId="0E3FA9D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681251A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49F08293">
      <w:pPr>
        <w:pStyle w:val="5"/>
        <w:numPr>
          <w:ilvl w:val="3"/>
          <w:numId w:val="0"/>
        </w:numPr>
        <w:tabs>
          <w:tab w:val="left" w:pos="2155"/>
          <w:tab w:val="clear" w:pos="912"/>
        </w:tabs>
        <w:rPr>
          <w:rFonts w:ascii="仿宋" w:hAnsi="仿宋" w:eastAsia="仿宋" w:cs="仿宋"/>
          <w:color w:val="auto"/>
          <w:highlight w:val="none"/>
        </w:rPr>
      </w:pPr>
      <w:bookmarkStart w:id="415" w:name="_Toc11393"/>
      <w:bookmarkStart w:id="416" w:name="_Toc18127"/>
      <w:r>
        <w:rPr>
          <w:rFonts w:hint="eastAsia" w:ascii="仿宋" w:hAnsi="仿宋" w:eastAsia="仿宋" w:cs="仿宋"/>
          <w:color w:val="auto"/>
          <w:highlight w:val="none"/>
        </w:rPr>
        <w:t>8.7通知义务</w:t>
      </w:r>
      <w:bookmarkEnd w:id="415"/>
      <w:bookmarkEnd w:id="416"/>
    </w:p>
    <w:p w14:paraId="07D0BCD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361EE7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保险事故发生时，投保人应按照保险合同规定的条件和期限及时向保险人报告。发包人和承包人应当在知道保险事故发生后及时通知对方。</w:t>
      </w:r>
    </w:p>
    <w:p w14:paraId="4E910A84">
      <w:pPr>
        <w:pStyle w:val="4"/>
        <w:rPr>
          <w:rFonts w:ascii="仿宋" w:hAnsi="仿宋" w:eastAsia="仿宋" w:cs="仿宋"/>
          <w:color w:val="auto"/>
          <w:highlight w:val="none"/>
        </w:rPr>
      </w:pPr>
      <w:bookmarkStart w:id="417" w:name="_Toc22218"/>
      <w:bookmarkStart w:id="418" w:name="_Toc74"/>
      <w:bookmarkStart w:id="419" w:name="_Toc16326"/>
      <w:bookmarkStart w:id="420" w:name="_Toc10399"/>
      <w:r>
        <w:rPr>
          <w:rFonts w:hint="eastAsia" w:ascii="仿宋" w:hAnsi="仿宋" w:eastAsia="仿宋" w:cs="仿宋"/>
          <w:color w:val="auto"/>
          <w:highlight w:val="none"/>
        </w:rPr>
        <w:t>19.索赔</w:t>
      </w:r>
      <w:bookmarkEnd w:id="417"/>
      <w:bookmarkEnd w:id="418"/>
      <w:bookmarkEnd w:id="419"/>
      <w:bookmarkEnd w:id="420"/>
    </w:p>
    <w:p w14:paraId="5AE85230">
      <w:pPr>
        <w:pStyle w:val="5"/>
        <w:numPr>
          <w:ilvl w:val="3"/>
          <w:numId w:val="0"/>
        </w:numPr>
        <w:tabs>
          <w:tab w:val="left" w:pos="2155"/>
          <w:tab w:val="clear" w:pos="912"/>
        </w:tabs>
        <w:rPr>
          <w:rFonts w:ascii="仿宋" w:hAnsi="仿宋" w:eastAsia="仿宋" w:cs="仿宋"/>
          <w:color w:val="auto"/>
          <w:highlight w:val="none"/>
        </w:rPr>
      </w:pPr>
      <w:bookmarkStart w:id="421" w:name="_Toc9914"/>
      <w:bookmarkStart w:id="422" w:name="_Toc1637"/>
      <w:r>
        <w:rPr>
          <w:rFonts w:hint="eastAsia" w:ascii="仿宋" w:hAnsi="仿宋" w:eastAsia="仿宋" w:cs="仿宋"/>
          <w:color w:val="auto"/>
          <w:highlight w:val="none"/>
        </w:rPr>
        <w:t>19.1承包人的索赔</w:t>
      </w:r>
      <w:bookmarkEnd w:id="421"/>
      <w:bookmarkEnd w:id="422"/>
    </w:p>
    <w:p w14:paraId="134F762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根据合同约定，承包人认为有权得到追加付款和（或）延长工期的，应按以下程序向发包人提出索赔：</w:t>
      </w:r>
    </w:p>
    <w:p w14:paraId="3D5A333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70992D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04DAE48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（3）索赔事件具有持续影响的，承包人应按合理时间间隔继续递交延续索赔通知，说明持续影响的实际情况和记录，列出累计的追加付款金额和（或）工期延长天数；</w:t>
      </w:r>
    </w:p>
    <w:p w14:paraId="0164A2A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（4）在索赔事件影响结束后28天内，承包人应向监理人递交最终索赔报告，说明最终要求索赔的追加付款金额和（或）延长的工期，并附必要的记录和证明材料。</w:t>
      </w:r>
    </w:p>
    <w:p w14:paraId="0AD9C10A">
      <w:pPr>
        <w:pStyle w:val="5"/>
        <w:numPr>
          <w:ilvl w:val="3"/>
          <w:numId w:val="0"/>
        </w:numPr>
        <w:tabs>
          <w:tab w:val="left" w:pos="2155"/>
          <w:tab w:val="clear" w:pos="912"/>
        </w:tabs>
        <w:rPr>
          <w:rFonts w:ascii="仿宋" w:hAnsi="仿宋" w:eastAsia="仿宋" w:cs="仿宋"/>
          <w:color w:val="auto"/>
          <w:highlight w:val="none"/>
        </w:rPr>
      </w:pPr>
      <w:bookmarkStart w:id="423" w:name="_Toc21473"/>
      <w:bookmarkStart w:id="424" w:name="_Toc2358"/>
      <w:r>
        <w:rPr>
          <w:rFonts w:hint="eastAsia" w:ascii="仿宋" w:hAnsi="仿宋" w:eastAsia="仿宋" w:cs="仿宋"/>
          <w:color w:val="auto"/>
          <w:highlight w:val="none"/>
        </w:rPr>
        <w:t>19.2对承包人索赔的处理</w:t>
      </w:r>
      <w:bookmarkEnd w:id="423"/>
      <w:bookmarkEnd w:id="424"/>
    </w:p>
    <w:p w14:paraId="3864D87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对承包人索赔的处理如下：</w:t>
      </w:r>
    </w:p>
    <w:p w14:paraId="53BFC2F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（1）监理人应在收到索赔报告后14天内完成审查并报送发包人。监理人对索赔报告存在异议的，有权要求承包人提交全部原始记录副本；</w:t>
      </w:r>
    </w:p>
    <w:p w14:paraId="4DAB653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5B2A5CB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（3）承包人接受索赔处理结果的，索赔款项在当期进度款中进行支付；承包人不接受索赔处理结果的，按照第20条〔争议解决〕约定处理。</w:t>
      </w:r>
    </w:p>
    <w:p w14:paraId="352C01EF">
      <w:pPr>
        <w:pStyle w:val="5"/>
        <w:numPr>
          <w:ilvl w:val="3"/>
          <w:numId w:val="0"/>
        </w:numPr>
        <w:tabs>
          <w:tab w:val="left" w:pos="2155"/>
          <w:tab w:val="clear" w:pos="912"/>
        </w:tabs>
        <w:rPr>
          <w:rFonts w:ascii="仿宋" w:hAnsi="仿宋" w:eastAsia="仿宋" w:cs="仿宋"/>
          <w:color w:val="auto"/>
          <w:highlight w:val="none"/>
        </w:rPr>
      </w:pPr>
      <w:bookmarkStart w:id="425" w:name="_Toc13575"/>
      <w:bookmarkStart w:id="426" w:name="_Toc24438"/>
      <w:r>
        <w:rPr>
          <w:rFonts w:hint="eastAsia" w:ascii="仿宋" w:hAnsi="仿宋" w:eastAsia="仿宋" w:cs="仿宋"/>
          <w:color w:val="auto"/>
          <w:highlight w:val="none"/>
        </w:rPr>
        <w:t>19.3发包人的索赔</w:t>
      </w:r>
      <w:bookmarkEnd w:id="425"/>
      <w:bookmarkEnd w:id="426"/>
    </w:p>
    <w:p w14:paraId="60537D3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根据合同约定，发包人认为有权得到赔付金额和（或）延长缺陷责任期的，监理人应向承包人发出通知并附有详细的证明。</w:t>
      </w:r>
    </w:p>
    <w:p w14:paraId="6F551D2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232404D">
      <w:pPr>
        <w:pStyle w:val="5"/>
        <w:numPr>
          <w:ilvl w:val="3"/>
          <w:numId w:val="0"/>
        </w:numPr>
        <w:tabs>
          <w:tab w:val="left" w:pos="2155"/>
          <w:tab w:val="clear" w:pos="912"/>
        </w:tabs>
        <w:rPr>
          <w:rFonts w:ascii="仿宋" w:hAnsi="仿宋" w:eastAsia="仿宋" w:cs="仿宋"/>
          <w:color w:val="auto"/>
          <w:highlight w:val="none"/>
        </w:rPr>
      </w:pPr>
      <w:bookmarkStart w:id="427" w:name="_Toc15032"/>
      <w:bookmarkStart w:id="428" w:name="_Toc1487"/>
      <w:r>
        <w:rPr>
          <w:rFonts w:hint="eastAsia" w:ascii="仿宋" w:hAnsi="仿宋" w:eastAsia="仿宋" w:cs="仿宋"/>
          <w:color w:val="auto"/>
          <w:highlight w:val="none"/>
        </w:rPr>
        <w:t>19.4对发包人索赔的处理</w:t>
      </w:r>
      <w:bookmarkEnd w:id="427"/>
      <w:bookmarkEnd w:id="428"/>
    </w:p>
    <w:p w14:paraId="0921D61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对发包人索赔的处理如下：</w:t>
      </w:r>
    </w:p>
    <w:p w14:paraId="4375083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（1）承包人收到发包人提交的索赔报告后，应及时审查索赔报告的内容、查验发包人证明材料；</w:t>
      </w:r>
    </w:p>
    <w:p w14:paraId="5374CB1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（2）承包人应在收到索赔报告或有关索赔的进一步证明材料后28天内，将索赔处理结果答复发包人。如果承包人未在上述期限内作出答复的，则视为对发包人索赔要求的认可；</w:t>
      </w:r>
    </w:p>
    <w:p w14:paraId="4D21912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14:paraId="46EA4DD9">
      <w:pPr>
        <w:pStyle w:val="5"/>
        <w:numPr>
          <w:ilvl w:val="3"/>
          <w:numId w:val="0"/>
        </w:numPr>
        <w:tabs>
          <w:tab w:val="left" w:pos="2155"/>
          <w:tab w:val="clear" w:pos="912"/>
        </w:tabs>
        <w:rPr>
          <w:rFonts w:ascii="仿宋" w:hAnsi="仿宋" w:eastAsia="仿宋" w:cs="仿宋"/>
          <w:color w:val="auto"/>
          <w:highlight w:val="none"/>
        </w:rPr>
      </w:pPr>
      <w:bookmarkStart w:id="429" w:name="_Toc2023"/>
      <w:bookmarkStart w:id="430" w:name="_Toc17769"/>
      <w:r>
        <w:rPr>
          <w:rFonts w:hint="eastAsia" w:ascii="仿宋" w:hAnsi="仿宋" w:eastAsia="仿宋" w:cs="仿宋"/>
          <w:color w:val="auto"/>
          <w:highlight w:val="none"/>
        </w:rPr>
        <w:t>19.5提出索赔的期限</w:t>
      </w:r>
      <w:bookmarkEnd w:id="429"/>
      <w:bookmarkEnd w:id="430"/>
    </w:p>
    <w:p w14:paraId="15A1236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（1）承包人按第14.2款〔竣工结算审核〕约定接收竣工付款证书后，应被视为已无权再提出在工程接收证书颁发前所发生的任何索赔。</w:t>
      </w:r>
    </w:p>
    <w:p w14:paraId="324D7A8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（2）承包人按第14.4款〔最终结清〕提交的最终结清申请单中，只限于提出工程接收证书颁发后发生的索赔。提出索赔的期限自接受最终结清证书时终止。</w:t>
      </w:r>
    </w:p>
    <w:p w14:paraId="0A5713E4">
      <w:pPr>
        <w:pStyle w:val="4"/>
        <w:rPr>
          <w:rFonts w:ascii="仿宋" w:hAnsi="仿宋" w:eastAsia="仿宋" w:cs="仿宋"/>
          <w:color w:val="auto"/>
          <w:highlight w:val="none"/>
        </w:rPr>
      </w:pPr>
      <w:bookmarkStart w:id="431" w:name="_Toc28899"/>
      <w:bookmarkStart w:id="432" w:name="_Toc23055"/>
      <w:bookmarkStart w:id="433" w:name="_Toc7388"/>
      <w:bookmarkStart w:id="434" w:name="_Toc27771"/>
      <w:r>
        <w:rPr>
          <w:rFonts w:hint="eastAsia" w:ascii="仿宋" w:hAnsi="仿宋" w:eastAsia="仿宋" w:cs="仿宋"/>
          <w:color w:val="auto"/>
          <w:highlight w:val="none"/>
        </w:rPr>
        <w:t>20.争议解决</w:t>
      </w:r>
      <w:bookmarkEnd w:id="431"/>
      <w:bookmarkEnd w:id="432"/>
      <w:bookmarkEnd w:id="433"/>
      <w:bookmarkEnd w:id="434"/>
    </w:p>
    <w:p w14:paraId="7567B2E8">
      <w:pPr>
        <w:pStyle w:val="5"/>
        <w:numPr>
          <w:ilvl w:val="3"/>
          <w:numId w:val="0"/>
        </w:numPr>
        <w:tabs>
          <w:tab w:val="left" w:pos="2155"/>
          <w:tab w:val="clear" w:pos="912"/>
        </w:tabs>
        <w:rPr>
          <w:rFonts w:ascii="仿宋" w:hAnsi="仿宋" w:eastAsia="仿宋" w:cs="仿宋"/>
          <w:color w:val="auto"/>
          <w:highlight w:val="none"/>
        </w:rPr>
      </w:pPr>
      <w:bookmarkStart w:id="435" w:name="_Toc15379"/>
      <w:bookmarkStart w:id="436" w:name="_Toc4743"/>
      <w:r>
        <w:rPr>
          <w:rFonts w:hint="eastAsia" w:ascii="仿宋" w:hAnsi="仿宋" w:eastAsia="仿宋" w:cs="仿宋"/>
          <w:color w:val="auto"/>
          <w:highlight w:val="none"/>
        </w:rPr>
        <w:t>20.1和解</w:t>
      </w:r>
      <w:bookmarkEnd w:id="435"/>
      <w:bookmarkEnd w:id="436"/>
    </w:p>
    <w:p w14:paraId="3787D58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合同当事人可以就争议自行和解，自行和解达成协议的经双方签字并盖章后作为合同补充文件，双方均应遵照执行。</w:t>
      </w:r>
    </w:p>
    <w:p w14:paraId="2A25A02D">
      <w:pPr>
        <w:pStyle w:val="5"/>
        <w:numPr>
          <w:ilvl w:val="3"/>
          <w:numId w:val="0"/>
        </w:numPr>
        <w:tabs>
          <w:tab w:val="left" w:pos="2155"/>
          <w:tab w:val="clear" w:pos="912"/>
        </w:tabs>
        <w:rPr>
          <w:rFonts w:ascii="仿宋" w:hAnsi="仿宋" w:eastAsia="仿宋" w:cs="仿宋"/>
          <w:color w:val="auto"/>
          <w:highlight w:val="none"/>
        </w:rPr>
      </w:pPr>
      <w:bookmarkStart w:id="437" w:name="_Toc3145"/>
      <w:bookmarkStart w:id="438" w:name="_Toc15498"/>
      <w:r>
        <w:rPr>
          <w:rFonts w:hint="eastAsia" w:ascii="仿宋" w:hAnsi="仿宋" w:eastAsia="仿宋" w:cs="仿宋"/>
          <w:color w:val="auto"/>
          <w:highlight w:val="none"/>
        </w:rPr>
        <w:t>20.2调解</w:t>
      </w:r>
      <w:bookmarkEnd w:id="437"/>
      <w:bookmarkEnd w:id="438"/>
    </w:p>
    <w:p w14:paraId="7F21486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合同当事人可以就争议请求建设行政主管部门、行业协会或其他第三方进行调解，调解达成协议的，经双方签字并盖章后作为合同补充文件，双方均应遵照执行。</w:t>
      </w:r>
    </w:p>
    <w:p w14:paraId="5ECA07BF">
      <w:pPr>
        <w:pStyle w:val="5"/>
        <w:numPr>
          <w:ilvl w:val="3"/>
          <w:numId w:val="0"/>
        </w:numPr>
        <w:tabs>
          <w:tab w:val="left" w:pos="2155"/>
          <w:tab w:val="clear" w:pos="912"/>
        </w:tabs>
        <w:rPr>
          <w:rFonts w:ascii="仿宋" w:hAnsi="仿宋" w:eastAsia="仿宋" w:cs="仿宋"/>
          <w:color w:val="auto"/>
          <w:highlight w:val="none"/>
        </w:rPr>
      </w:pPr>
      <w:bookmarkStart w:id="439" w:name="_Toc24635"/>
      <w:bookmarkStart w:id="440" w:name="_Toc31173"/>
      <w:r>
        <w:rPr>
          <w:rFonts w:hint="eastAsia" w:ascii="仿宋" w:hAnsi="仿宋" w:eastAsia="仿宋" w:cs="仿宋"/>
          <w:color w:val="auto"/>
          <w:highlight w:val="none"/>
        </w:rPr>
        <w:t>20.3争议评审</w:t>
      </w:r>
      <w:bookmarkEnd w:id="439"/>
      <w:bookmarkEnd w:id="440"/>
    </w:p>
    <w:p w14:paraId="566CEC4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合同当事人在专用合同条款中约定采取争议评审方式解决争议以及评审规则，并按下列约定执行：</w:t>
      </w:r>
    </w:p>
    <w:p w14:paraId="37DB3A7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20.3.1争议评审小组的确定</w:t>
      </w:r>
    </w:p>
    <w:p w14:paraId="5C10DB4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1980A09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5785F28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除专用合同条款另有约定外，评审员报酬由发包人和承包人各承担一半。</w:t>
      </w:r>
    </w:p>
    <w:p w14:paraId="6DC3DB1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20.3.2争议评审小组的决定</w:t>
      </w:r>
    </w:p>
    <w:p w14:paraId="3BA9248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3D64D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20.3.3争议评审小组决定的效力</w:t>
      </w:r>
    </w:p>
    <w:p w14:paraId="1540A03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争议评审小组作出的书面决定经合同当事人签字确认后，对双方具有约束力，双方应遵照执行。</w:t>
      </w:r>
    </w:p>
    <w:p w14:paraId="4B58E43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任何一方当事人不接受争议评审小组决定或不履行争议评审小组决定的，双方可选择采用其他争议解决方式。</w:t>
      </w:r>
    </w:p>
    <w:p w14:paraId="7C63350B">
      <w:pPr>
        <w:pStyle w:val="5"/>
        <w:numPr>
          <w:ilvl w:val="3"/>
          <w:numId w:val="0"/>
        </w:numPr>
        <w:tabs>
          <w:tab w:val="left" w:pos="2155"/>
          <w:tab w:val="clear" w:pos="912"/>
        </w:tabs>
        <w:rPr>
          <w:rFonts w:ascii="仿宋" w:hAnsi="仿宋" w:eastAsia="仿宋" w:cs="仿宋"/>
          <w:color w:val="auto"/>
          <w:highlight w:val="none"/>
        </w:rPr>
      </w:pPr>
      <w:bookmarkStart w:id="441" w:name="_Toc31911"/>
      <w:bookmarkStart w:id="442" w:name="_Toc28014"/>
      <w:r>
        <w:rPr>
          <w:rFonts w:hint="eastAsia" w:ascii="仿宋" w:hAnsi="仿宋" w:eastAsia="仿宋" w:cs="仿宋"/>
          <w:color w:val="auto"/>
          <w:highlight w:val="none"/>
        </w:rPr>
        <w:t>20.4仲裁或诉讼</w:t>
      </w:r>
      <w:bookmarkEnd w:id="441"/>
      <w:bookmarkEnd w:id="442"/>
    </w:p>
    <w:p w14:paraId="7DC73E7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因合同及合同有关事项产生的争议，合同当事人可以在专用合同条款中约定以下一种方式解决争议：</w:t>
      </w:r>
    </w:p>
    <w:p w14:paraId="3C4A42B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（1）向约定的仲裁委员会申请仲裁；</w:t>
      </w:r>
    </w:p>
    <w:p w14:paraId="60F5409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（2）向有管辖权的人民法院起诉。</w:t>
      </w:r>
    </w:p>
    <w:p w14:paraId="05F45BD6">
      <w:pPr>
        <w:pStyle w:val="5"/>
        <w:numPr>
          <w:ilvl w:val="3"/>
          <w:numId w:val="0"/>
        </w:numPr>
        <w:tabs>
          <w:tab w:val="left" w:pos="2155"/>
          <w:tab w:val="clear" w:pos="912"/>
        </w:tabs>
        <w:rPr>
          <w:rFonts w:ascii="仿宋" w:hAnsi="仿宋" w:eastAsia="仿宋" w:cs="仿宋"/>
          <w:color w:val="auto"/>
          <w:highlight w:val="none"/>
        </w:rPr>
      </w:pPr>
      <w:bookmarkStart w:id="443" w:name="_Toc8430"/>
      <w:bookmarkStart w:id="444" w:name="_Toc1203"/>
      <w:r>
        <w:rPr>
          <w:rFonts w:hint="eastAsia" w:ascii="仿宋" w:hAnsi="仿宋" w:eastAsia="仿宋" w:cs="仿宋"/>
          <w:color w:val="auto"/>
          <w:highlight w:val="none"/>
        </w:rPr>
        <w:t>20.5争议解决条款效力</w:t>
      </w:r>
      <w:bookmarkEnd w:id="443"/>
      <w:bookmarkEnd w:id="444"/>
    </w:p>
    <w:p w14:paraId="53200C0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合同有关争议解决的条款独立存在，合同的变更、解除、终止、无效或者被撤销均不影响其效力。</w:t>
      </w:r>
    </w:p>
    <w:p w14:paraId="199FDED6">
      <w:pPr>
        <w:pStyle w:val="30"/>
        <w:spacing w:line="360" w:lineRule="auto"/>
        <w:ind w:firstLine="420" w:firstLineChars="200"/>
        <w:rPr>
          <w:rFonts w:ascii="仿宋" w:hAnsi="仿宋" w:eastAsia="仿宋" w:cs="仿宋"/>
          <w:color w:val="auto"/>
          <w:szCs w:val="21"/>
          <w:highlight w:val="none"/>
        </w:rPr>
        <w:sectPr>
          <w:pgSz w:w="11906" w:h="16838"/>
          <w:pgMar w:top="1440" w:right="1134" w:bottom="1440" w:left="1418" w:header="851" w:footer="992" w:gutter="0"/>
          <w:cols w:space="720" w:num="1"/>
          <w:docGrid w:type="lines" w:linePitch="312" w:charSpace="0"/>
        </w:sectPr>
      </w:pPr>
      <w:bookmarkStart w:id="445" w:name="_Toc83895640"/>
      <w:bookmarkStart w:id="446" w:name="_Toc407135193"/>
      <w:bookmarkStart w:id="447" w:name="_Toc256000129"/>
      <w:bookmarkStart w:id="448" w:name="_Toc389065257"/>
    </w:p>
    <w:p w14:paraId="3F9BC172">
      <w:pPr>
        <w:pStyle w:val="3"/>
        <w:jc w:val="center"/>
        <w:rPr>
          <w:rFonts w:ascii="仿宋" w:hAnsi="仿宋" w:eastAsia="仿宋" w:cs="仿宋"/>
          <w:color w:val="auto"/>
          <w:highlight w:val="none"/>
        </w:rPr>
      </w:pPr>
      <w:bookmarkStart w:id="449" w:name="_Toc780"/>
      <w:bookmarkStart w:id="450" w:name="_Toc16519"/>
      <w:bookmarkStart w:id="451" w:name="_Toc20903"/>
      <w:bookmarkStart w:id="452" w:name="_Toc19259"/>
      <w:bookmarkStart w:id="453" w:name="_Toc21448"/>
      <w:r>
        <w:rPr>
          <w:rFonts w:hint="eastAsia" w:ascii="仿宋" w:hAnsi="仿宋" w:eastAsia="仿宋" w:cs="仿宋"/>
          <w:color w:val="auto"/>
          <w:highlight w:val="none"/>
        </w:rPr>
        <w:t>第三部分 专用合同条款</w:t>
      </w:r>
      <w:bookmarkEnd w:id="129"/>
      <w:bookmarkEnd w:id="130"/>
      <w:bookmarkEnd w:id="131"/>
      <w:bookmarkEnd w:id="445"/>
      <w:bookmarkEnd w:id="446"/>
      <w:bookmarkEnd w:id="447"/>
      <w:bookmarkEnd w:id="448"/>
      <w:bookmarkEnd w:id="449"/>
      <w:bookmarkEnd w:id="450"/>
      <w:bookmarkEnd w:id="451"/>
      <w:bookmarkEnd w:id="452"/>
      <w:bookmarkEnd w:id="453"/>
    </w:p>
    <w:p w14:paraId="5C2432E5">
      <w:pPr>
        <w:rPr>
          <w:rFonts w:ascii="仿宋" w:hAnsi="仿宋" w:eastAsia="仿宋" w:cs="仿宋"/>
          <w:color w:val="auto"/>
          <w:sz w:val="20"/>
          <w:highlight w:val="none"/>
        </w:rPr>
      </w:pPr>
    </w:p>
    <w:p w14:paraId="787819FC">
      <w:pPr>
        <w:pStyle w:val="4"/>
        <w:rPr>
          <w:rFonts w:ascii="仿宋" w:hAnsi="仿宋" w:eastAsia="仿宋" w:cs="仿宋"/>
          <w:color w:val="auto"/>
          <w:highlight w:val="none"/>
        </w:rPr>
      </w:pPr>
      <w:bookmarkStart w:id="454" w:name="_Toc166155221"/>
      <w:bookmarkStart w:id="455" w:name="_Toc17119"/>
      <w:bookmarkStart w:id="456" w:name="_Toc20861"/>
      <w:bookmarkStart w:id="457" w:name="_Toc14284"/>
      <w:bookmarkStart w:id="458" w:name="_Toc29813"/>
      <w:r>
        <w:rPr>
          <w:rFonts w:hint="eastAsia" w:ascii="仿宋" w:hAnsi="仿宋" w:eastAsia="仿宋" w:cs="仿宋"/>
          <w:color w:val="auto"/>
          <w:highlight w:val="none"/>
        </w:rPr>
        <w:t>1.一般约定</w:t>
      </w:r>
      <w:bookmarkEnd w:id="454"/>
      <w:bookmarkEnd w:id="455"/>
      <w:bookmarkEnd w:id="456"/>
      <w:bookmarkEnd w:id="457"/>
      <w:bookmarkEnd w:id="458"/>
    </w:p>
    <w:p w14:paraId="3863215F">
      <w:pPr>
        <w:pStyle w:val="5"/>
        <w:numPr>
          <w:ilvl w:val="3"/>
          <w:numId w:val="0"/>
        </w:numPr>
        <w:tabs>
          <w:tab w:val="left" w:pos="2155"/>
          <w:tab w:val="clear" w:pos="912"/>
        </w:tabs>
        <w:rPr>
          <w:rFonts w:ascii="仿宋" w:hAnsi="仿宋" w:eastAsia="仿宋" w:cs="仿宋"/>
          <w:color w:val="auto"/>
          <w:highlight w:val="none"/>
        </w:rPr>
      </w:pPr>
      <w:bookmarkStart w:id="459" w:name="_Toc17693"/>
      <w:bookmarkStart w:id="460" w:name="_Toc166155222"/>
      <w:bookmarkStart w:id="461" w:name="_Toc16907"/>
      <w:r>
        <w:rPr>
          <w:rFonts w:hint="eastAsia" w:ascii="仿宋" w:hAnsi="仿宋" w:eastAsia="仿宋" w:cs="仿宋"/>
          <w:color w:val="auto"/>
          <w:highlight w:val="none"/>
        </w:rPr>
        <w:t>1.1词语定义</w:t>
      </w:r>
      <w:bookmarkEnd w:id="459"/>
      <w:bookmarkEnd w:id="460"/>
      <w:bookmarkEnd w:id="461"/>
    </w:p>
    <w:p w14:paraId="1986B04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1.1.1合同</w:t>
      </w:r>
    </w:p>
    <w:p w14:paraId="303CEF4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1.1.1.10其他合同文件包括：</w:t>
      </w:r>
      <w:r>
        <w:rPr>
          <w:rFonts w:hint="eastAsia" w:ascii="仿宋" w:hAnsi="仿宋" w:eastAsia="仿宋" w:cs="仿宋"/>
          <w:color w:val="auto"/>
          <w:szCs w:val="21"/>
          <w:highlight w:val="none"/>
          <w:u w:val="single"/>
        </w:rPr>
        <w:t>履行合同过程中双方法定代表人（或经确认被授权的双方工地代表人）书面确认的对合同内容有实质性影响的会议纪要、签证、设计变更等资料</w:t>
      </w:r>
      <w:r>
        <w:rPr>
          <w:rFonts w:hint="eastAsia" w:ascii="仿宋" w:hAnsi="仿宋" w:eastAsia="仿宋" w:cs="仿宋"/>
          <w:color w:val="auto"/>
          <w:szCs w:val="21"/>
          <w:highlight w:val="none"/>
        </w:rPr>
        <w:t>。</w:t>
      </w:r>
    </w:p>
    <w:p w14:paraId="5DF3F84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1.1.2合同当事人及其他相关方</w:t>
      </w:r>
    </w:p>
    <w:p w14:paraId="71CBB0A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1.1.2.4监理人：</w:t>
      </w:r>
    </w:p>
    <w:p w14:paraId="503D6B7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名称：</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300F894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资质类别和等级：</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3BB1C79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6019F14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电子信箱：</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2F71560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通信地址：</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3533C47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1.1.2.5设计人：</w:t>
      </w:r>
    </w:p>
    <w:p w14:paraId="525EAB5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6933036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资质类别和等级：</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3B3B7BE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57A61CA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电子信箱：</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2883E4F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通信地址：</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0E3A950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1.1.3工程和设备</w:t>
      </w:r>
    </w:p>
    <w:p w14:paraId="4F65274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1.1.3.7作为施工现场组成部分的其他场所包括：</w:t>
      </w:r>
      <w:r>
        <w:rPr>
          <w:rFonts w:hint="eastAsia" w:ascii="仿宋" w:hAnsi="仿宋" w:eastAsia="仿宋" w:cs="仿宋"/>
          <w:color w:val="auto"/>
          <w:szCs w:val="21"/>
          <w:highlight w:val="none"/>
          <w:u w:val="single"/>
        </w:rPr>
        <w:t>指为完成合同约定的各项工作所服务的临时性生产和生活设施及临时用地</w:t>
      </w:r>
      <w:r>
        <w:rPr>
          <w:rFonts w:hint="eastAsia" w:ascii="仿宋" w:hAnsi="仿宋" w:eastAsia="仿宋" w:cs="仿宋"/>
          <w:color w:val="auto"/>
          <w:szCs w:val="21"/>
          <w:highlight w:val="none"/>
        </w:rPr>
        <w:t>。</w:t>
      </w:r>
    </w:p>
    <w:p w14:paraId="4623842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1.1.3.9永久占地包括：</w:t>
      </w:r>
      <w:r>
        <w:rPr>
          <w:rFonts w:hint="eastAsia" w:ascii="仿宋" w:hAnsi="仿宋" w:eastAsia="仿宋" w:cs="仿宋"/>
          <w:color w:val="auto"/>
          <w:szCs w:val="21"/>
          <w:highlight w:val="none"/>
          <w:u w:val="single"/>
        </w:rPr>
        <w:t>无永久占地</w:t>
      </w:r>
      <w:r>
        <w:rPr>
          <w:rFonts w:hint="eastAsia" w:ascii="仿宋" w:hAnsi="仿宋" w:eastAsia="仿宋" w:cs="仿宋"/>
          <w:color w:val="auto"/>
          <w:szCs w:val="21"/>
          <w:highlight w:val="none"/>
        </w:rPr>
        <w:t>。</w:t>
      </w:r>
    </w:p>
    <w:p w14:paraId="0325C11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1.1.3.10临时占地包括：</w:t>
      </w:r>
      <w:r>
        <w:rPr>
          <w:rFonts w:hint="eastAsia" w:ascii="仿宋" w:hAnsi="仿宋" w:eastAsia="仿宋" w:cs="仿宋"/>
          <w:color w:val="auto"/>
          <w:szCs w:val="21"/>
          <w:highlight w:val="none"/>
          <w:u w:val="single"/>
        </w:rPr>
        <w:t>临时设施、运料通道、材料堆放、材料加工等为实施合同工程需临时占用的土地</w:t>
      </w:r>
      <w:r>
        <w:rPr>
          <w:rFonts w:hint="eastAsia" w:ascii="仿宋" w:hAnsi="仿宋" w:eastAsia="仿宋" w:cs="仿宋"/>
          <w:color w:val="auto"/>
          <w:szCs w:val="21"/>
          <w:highlight w:val="none"/>
        </w:rPr>
        <w:t>。</w:t>
      </w:r>
    </w:p>
    <w:p w14:paraId="34A29CAE">
      <w:pPr>
        <w:pStyle w:val="5"/>
        <w:numPr>
          <w:ilvl w:val="3"/>
          <w:numId w:val="0"/>
        </w:numPr>
        <w:tabs>
          <w:tab w:val="left" w:pos="2155"/>
          <w:tab w:val="clear" w:pos="912"/>
        </w:tabs>
        <w:rPr>
          <w:rFonts w:ascii="仿宋" w:hAnsi="仿宋" w:eastAsia="仿宋" w:cs="仿宋"/>
          <w:color w:val="auto"/>
          <w:highlight w:val="none"/>
        </w:rPr>
      </w:pPr>
      <w:bookmarkStart w:id="462" w:name="_Toc16931"/>
      <w:bookmarkStart w:id="463" w:name="_Toc166155223"/>
      <w:bookmarkStart w:id="464" w:name="_Toc23681"/>
      <w:r>
        <w:rPr>
          <w:rFonts w:hint="eastAsia" w:ascii="仿宋" w:hAnsi="仿宋" w:eastAsia="仿宋" w:cs="仿宋"/>
          <w:color w:val="auto"/>
          <w:highlight w:val="none"/>
        </w:rPr>
        <w:t>1.3法律</w:t>
      </w:r>
      <w:bookmarkEnd w:id="462"/>
      <w:bookmarkEnd w:id="463"/>
      <w:bookmarkEnd w:id="464"/>
    </w:p>
    <w:p w14:paraId="2475D2E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适用于合同的其他规范性文件：</w:t>
      </w:r>
      <w:r>
        <w:rPr>
          <w:rFonts w:hint="eastAsia" w:ascii="仿宋" w:hAnsi="仿宋" w:eastAsia="仿宋" w:cs="仿宋"/>
          <w:color w:val="auto"/>
          <w:szCs w:val="21"/>
          <w:highlight w:val="none"/>
          <w:u w:val="single"/>
        </w:rPr>
        <w:t>《中华人民共和国民法典》、《中华人民共和国建筑法》、《建设工程质量管理条例》以及现行国家和地方关于建设工程管理的有关法规、条例等，上述法律、法规、地方性规章有修订的，按新修订的执行，有冲突的按较严格的执行</w:t>
      </w:r>
      <w:r>
        <w:rPr>
          <w:rFonts w:hint="eastAsia" w:ascii="仿宋" w:hAnsi="仿宋" w:eastAsia="仿宋" w:cs="仿宋"/>
          <w:color w:val="auto"/>
          <w:szCs w:val="21"/>
          <w:highlight w:val="none"/>
        </w:rPr>
        <w:t>。</w:t>
      </w:r>
    </w:p>
    <w:p w14:paraId="43B0BECF">
      <w:pPr>
        <w:pStyle w:val="5"/>
        <w:numPr>
          <w:ilvl w:val="3"/>
          <w:numId w:val="0"/>
        </w:numPr>
        <w:tabs>
          <w:tab w:val="left" w:pos="2155"/>
          <w:tab w:val="clear" w:pos="912"/>
        </w:tabs>
        <w:rPr>
          <w:rFonts w:ascii="仿宋" w:hAnsi="仿宋" w:eastAsia="仿宋" w:cs="仿宋"/>
          <w:color w:val="auto"/>
          <w:highlight w:val="none"/>
        </w:rPr>
      </w:pPr>
      <w:bookmarkStart w:id="465" w:name="_Toc31055"/>
      <w:bookmarkStart w:id="466" w:name="_Toc166155224"/>
      <w:bookmarkStart w:id="467" w:name="_Toc20010"/>
      <w:r>
        <w:rPr>
          <w:rFonts w:hint="eastAsia" w:ascii="仿宋" w:hAnsi="仿宋" w:eastAsia="仿宋" w:cs="仿宋"/>
          <w:color w:val="auto"/>
          <w:highlight w:val="none"/>
        </w:rPr>
        <w:t>1.4标准和规范</w:t>
      </w:r>
      <w:bookmarkEnd w:id="465"/>
      <w:bookmarkEnd w:id="466"/>
      <w:bookmarkEnd w:id="467"/>
    </w:p>
    <w:p w14:paraId="034CF2D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1.4.1适用于工程的标准规范包括：</w:t>
      </w:r>
    </w:p>
    <w:p w14:paraId="7BD1019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1.4.1.1</w:t>
      </w:r>
      <w:r>
        <w:rPr>
          <w:rFonts w:hint="eastAsia" w:ascii="仿宋" w:hAnsi="仿宋" w:eastAsia="仿宋" w:cs="仿宋"/>
          <w:b/>
          <w:bCs/>
          <w:color w:val="auto"/>
          <w:szCs w:val="21"/>
          <w:highlight w:val="none"/>
          <w:u w:val="single"/>
        </w:rPr>
        <w:t>执行国家、行业和地方颁布的所有现行建筑工程及相关现行工程验收规范、质量检验评定标准 ；若上述标准和规范作出修改时，则以修订后的新标准和规范为准，有冲突的则以比较严格的为准。</w:t>
      </w:r>
    </w:p>
    <w:p w14:paraId="2A72217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1.4.1.2本工程设计文件指定的标准、规范；</w:t>
      </w:r>
    </w:p>
    <w:p w14:paraId="1B29ACF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1.4.1.3 经发包人认可的承包人提供的施工操作标准、规范；</w:t>
      </w:r>
    </w:p>
    <w:p w14:paraId="387EF0A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1.4.1.4 发包人提供的施工技术工艺要求。</w:t>
      </w:r>
    </w:p>
    <w:p w14:paraId="74ED0C9D">
      <w:pPr>
        <w:pStyle w:val="30"/>
        <w:spacing w:line="360" w:lineRule="auto"/>
        <w:ind w:firstLine="420" w:firstLineChars="200"/>
        <w:rPr>
          <w:rFonts w:ascii="仿宋" w:hAnsi="仿宋" w:eastAsia="仿宋" w:cs="仿宋"/>
          <w:color w:val="auto"/>
          <w:szCs w:val="21"/>
          <w:highlight w:val="none"/>
        </w:rPr>
      </w:pPr>
    </w:p>
    <w:p w14:paraId="5C38730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1.4.2发包人提供国外标准、规范的名称：</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11D8EED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发包人提供国外标准、规范的份数：</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3EE421A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发包人提供国外标准、规范的名称：</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2EC06F3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1.4.3发包人对工程的技术标准和功能要求的特殊要求：</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3C6346C2">
      <w:pPr>
        <w:pStyle w:val="5"/>
        <w:numPr>
          <w:ilvl w:val="3"/>
          <w:numId w:val="0"/>
        </w:numPr>
        <w:tabs>
          <w:tab w:val="left" w:pos="2155"/>
          <w:tab w:val="clear" w:pos="912"/>
        </w:tabs>
        <w:rPr>
          <w:rFonts w:ascii="仿宋" w:hAnsi="仿宋" w:eastAsia="仿宋" w:cs="仿宋"/>
          <w:color w:val="auto"/>
          <w:highlight w:val="none"/>
        </w:rPr>
      </w:pPr>
      <w:bookmarkStart w:id="468" w:name="_Toc12705"/>
      <w:bookmarkStart w:id="469" w:name="_Toc23330"/>
      <w:bookmarkStart w:id="470" w:name="_Toc166155225"/>
      <w:r>
        <w:rPr>
          <w:rFonts w:hint="eastAsia" w:ascii="仿宋" w:hAnsi="仿宋" w:eastAsia="仿宋" w:cs="仿宋"/>
          <w:color w:val="auto"/>
          <w:highlight w:val="none"/>
        </w:rPr>
        <w:t>1.5合同文件的优先顺序</w:t>
      </w:r>
      <w:bookmarkEnd w:id="468"/>
      <w:bookmarkEnd w:id="469"/>
      <w:bookmarkEnd w:id="470"/>
    </w:p>
    <w:p w14:paraId="6984656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合同文件组成及优先顺序为：</w:t>
      </w:r>
    </w:p>
    <w:p w14:paraId="5C6E1AE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（1）合同协议书；</w:t>
      </w:r>
    </w:p>
    <w:p w14:paraId="48CB699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（2）成交通知书；</w:t>
      </w:r>
    </w:p>
    <w:p w14:paraId="3185DAD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（3）响应函及响应函附录；</w:t>
      </w:r>
    </w:p>
    <w:p w14:paraId="22E210D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（4）专用合同条款；</w:t>
      </w:r>
    </w:p>
    <w:p w14:paraId="49D5366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（5）通用合同条款；</w:t>
      </w:r>
    </w:p>
    <w:p w14:paraId="670158F6">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（6）工程量清单或预算书</w:t>
      </w:r>
    </w:p>
    <w:p w14:paraId="6DFACE0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（7）技术标准和要求；</w:t>
      </w:r>
    </w:p>
    <w:p w14:paraId="664B59E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（8）图纸；</w:t>
      </w:r>
    </w:p>
    <w:p w14:paraId="031D0AE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（9）其他合同文件。</w:t>
      </w:r>
    </w:p>
    <w:p w14:paraId="5137D52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635BBDB">
      <w:pPr>
        <w:pStyle w:val="5"/>
        <w:numPr>
          <w:ilvl w:val="3"/>
          <w:numId w:val="0"/>
        </w:numPr>
        <w:tabs>
          <w:tab w:val="left" w:pos="2155"/>
          <w:tab w:val="clear" w:pos="912"/>
        </w:tabs>
        <w:rPr>
          <w:rFonts w:ascii="仿宋" w:hAnsi="仿宋" w:eastAsia="仿宋" w:cs="仿宋"/>
          <w:color w:val="auto"/>
          <w:highlight w:val="none"/>
        </w:rPr>
      </w:pPr>
      <w:bookmarkStart w:id="471" w:name="_Toc8856"/>
      <w:bookmarkStart w:id="472" w:name="_Toc166155226"/>
      <w:bookmarkStart w:id="473" w:name="_Toc12811"/>
      <w:r>
        <w:rPr>
          <w:rFonts w:hint="eastAsia" w:ascii="仿宋" w:hAnsi="仿宋" w:eastAsia="仿宋" w:cs="仿宋"/>
          <w:color w:val="auto"/>
          <w:highlight w:val="none"/>
        </w:rPr>
        <w:t>1.6图纸和承包人文件</w:t>
      </w:r>
      <w:bookmarkEnd w:id="471"/>
      <w:bookmarkEnd w:id="472"/>
      <w:bookmarkEnd w:id="473"/>
    </w:p>
    <w:p w14:paraId="7A98232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1.6.1图纸的提供</w:t>
      </w:r>
    </w:p>
    <w:p w14:paraId="168D0DE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发包人向承包人提供图纸的期限：</w:t>
      </w:r>
      <w:r>
        <w:rPr>
          <w:rFonts w:hint="eastAsia" w:ascii="仿宋" w:hAnsi="仿宋" w:eastAsia="仿宋" w:cs="仿宋"/>
          <w:color w:val="auto"/>
          <w:szCs w:val="21"/>
          <w:highlight w:val="none"/>
          <w:u w:val="single"/>
        </w:rPr>
        <w:t>不晚于开工前10天</w:t>
      </w:r>
      <w:r>
        <w:rPr>
          <w:rFonts w:hint="eastAsia" w:ascii="仿宋" w:hAnsi="仿宋" w:eastAsia="仿宋" w:cs="仿宋"/>
          <w:color w:val="auto"/>
          <w:szCs w:val="21"/>
          <w:highlight w:val="none"/>
        </w:rPr>
        <w:t>；</w:t>
      </w:r>
    </w:p>
    <w:p w14:paraId="5E912E5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发包人向承包人提供图纸的数量：</w:t>
      </w:r>
      <w:r>
        <w:rPr>
          <w:rFonts w:hint="eastAsia" w:ascii="仿宋" w:hAnsi="仿宋" w:eastAsia="仿宋" w:cs="仿宋"/>
          <w:color w:val="auto"/>
          <w:szCs w:val="21"/>
          <w:highlight w:val="none"/>
          <w:u w:val="single"/>
        </w:rPr>
        <w:t>免费提供贰套完整的施工图纸及相关技术资料，承包人需要增加图纸套数的，发包人应代为复制，复制费用由承包人承担</w:t>
      </w:r>
      <w:r>
        <w:rPr>
          <w:rFonts w:hint="eastAsia" w:ascii="仿宋" w:hAnsi="仿宋" w:eastAsia="仿宋" w:cs="仿宋"/>
          <w:color w:val="auto"/>
          <w:szCs w:val="21"/>
          <w:highlight w:val="none"/>
        </w:rPr>
        <w:t>；</w:t>
      </w:r>
    </w:p>
    <w:p w14:paraId="64641F2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发包人向承包人提供图纸的内容：</w:t>
      </w:r>
      <w:r>
        <w:rPr>
          <w:rFonts w:hint="eastAsia" w:ascii="仿宋" w:hAnsi="仿宋" w:eastAsia="仿宋" w:cs="仿宋"/>
          <w:color w:val="auto"/>
          <w:szCs w:val="21"/>
          <w:highlight w:val="none"/>
          <w:u w:val="single"/>
        </w:rPr>
        <w:t>全套施工蓝图</w:t>
      </w:r>
      <w:r>
        <w:rPr>
          <w:rFonts w:hint="eastAsia" w:ascii="仿宋" w:hAnsi="仿宋" w:eastAsia="仿宋" w:cs="仿宋"/>
          <w:color w:val="auto"/>
          <w:szCs w:val="21"/>
          <w:highlight w:val="none"/>
        </w:rPr>
        <w:t>。</w:t>
      </w:r>
    </w:p>
    <w:p w14:paraId="4D31C06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1.6.4承包人文件</w:t>
      </w:r>
    </w:p>
    <w:p w14:paraId="110F143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需要由承包人提供的文件，包括：</w:t>
      </w:r>
      <w:r>
        <w:rPr>
          <w:rStyle w:val="31"/>
          <w:rFonts w:hint="eastAsia" w:ascii="仿宋" w:hAnsi="仿宋" w:eastAsia="仿宋" w:cs="仿宋"/>
          <w:color w:val="auto"/>
          <w:kern w:val="0"/>
          <w:szCs w:val="21"/>
          <w:highlight w:val="none"/>
          <w:u w:val="single"/>
        </w:rPr>
        <w:t>承包人承包范围内的所有图纸和有关技术资料</w:t>
      </w:r>
      <w:r>
        <w:rPr>
          <w:rFonts w:hint="eastAsia" w:ascii="仿宋" w:hAnsi="仿宋" w:eastAsia="仿宋" w:cs="仿宋"/>
          <w:color w:val="auto"/>
          <w:szCs w:val="21"/>
          <w:highlight w:val="none"/>
        </w:rPr>
        <w:t>；</w:t>
      </w:r>
    </w:p>
    <w:p w14:paraId="3549653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承包人提供的文件的期限为：</w:t>
      </w:r>
      <w:r>
        <w:rPr>
          <w:rFonts w:hint="eastAsia" w:ascii="仿宋" w:hAnsi="仿宋" w:eastAsia="仿宋" w:cs="仿宋"/>
          <w:color w:val="auto"/>
          <w:szCs w:val="21"/>
          <w:highlight w:val="none"/>
          <w:u w:val="single"/>
        </w:rPr>
        <w:t>按发包人要求的时间提供</w:t>
      </w:r>
      <w:r>
        <w:rPr>
          <w:rFonts w:hint="eastAsia" w:ascii="仿宋" w:hAnsi="仿宋" w:eastAsia="仿宋" w:cs="仿宋"/>
          <w:color w:val="auto"/>
          <w:szCs w:val="21"/>
          <w:highlight w:val="none"/>
        </w:rPr>
        <w:t>；</w:t>
      </w:r>
    </w:p>
    <w:p w14:paraId="48F3A6B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承包人提供的文件的数量为：</w:t>
      </w:r>
      <w:r>
        <w:rPr>
          <w:rFonts w:hint="eastAsia" w:ascii="仿宋" w:hAnsi="仿宋" w:eastAsia="仿宋" w:cs="仿宋"/>
          <w:color w:val="auto"/>
          <w:szCs w:val="21"/>
          <w:highlight w:val="none"/>
          <w:u w:val="single"/>
        </w:rPr>
        <w:t>按发包人要求的数量提供</w:t>
      </w:r>
      <w:r>
        <w:rPr>
          <w:rFonts w:hint="eastAsia" w:ascii="仿宋" w:hAnsi="仿宋" w:eastAsia="仿宋" w:cs="仿宋"/>
          <w:color w:val="auto"/>
          <w:szCs w:val="21"/>
          <w:highlight w:val="none"/>
        </w:rPr>
        <w:t>；</w:t>
      </w:r>
    </w:p>
    <w:p w14:paraId="4AC2D7C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承包人提供的文件的形式为：</w:t>
      </w:r>
      <w:r>
        <w:rPr>
          <w:rFonts w:hint="eastAsia" w:ascii="仿宋" w:hAnsi="仿宋" w:eastAsia="仿宋" w:cs="仿宋"/>
          <w:color w:val="auto"/>
          <w:szCs w:val="21"/>
          <w:highlight w:val="none"/>
          <w:u w:val="single"/>
        </w:rPr>
        <w:t>书面形式（纸质版）和电子版</w:t>
      </w:r>
      <w:r>
        <w:rPr>
          <w:rFonts w:hint="eastAsia" w:ascii="仿宋" w:hAnsi="仿宋" w:eastAsia="仿宋" w:cs="仿宋"/>
          <w:color w:val="auto"/>
          <w:szCs w:val="21"/>
          <w:highlight w:val="none"/>
        </w:rPr>
        <w:t>；</w:t>
      </w:r>
    </w:p>
    <w:p w14:paraId="44368A5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发包人审批承包人文件的期限：</w:t>
      </w:r>
      <w:r>
        <w:rPr>
          <w:rStyle w:val="31"/>
          <w:rFonts w:hint="eastAsia" w:ascii="仿宋" w:hAnsi="仿宋" w:eastAsia="仿宋" w:cs="仿宋"/>
          <w:color w:val="auto"/>
          <w:szCs w:val="21"/>
          <w:highlight w:val="none"/>
          <w:u w:val="single"/>
        </w:rPr>
        <w:t>收到承包人报送的相关文件之日起15日内</w:t>
      </w:r>
      <w:r>
        <w:rPr>
          <w:rFonts w:hint="eastAsia" w:ascii="仿宋" w:hAnsi="仿宋" w:eastAsia="仿宋" w:cs="仿宋"/>
          <w:color w:val="auto"/>
          <w:szCs w:val="21"/>
          <w:highlight w:val="none"/>
        </w:rPr>
        <w:t>。</w:t>
      </w:r>
    </w:p>
    <w:p w14:paraId="08D4234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1.6.5现场图纸准备</w:t>
      </w:r>
    </w:p>
    <w:p w14:paraId="55F7135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关于现场图纸准备的约定：</w:t>
      </w:r>
      <w:r>
        <w:rPr>
          <w:rStyle w:val="31"/>
          <w:rFonts w:hint="eastAsia" w:ascii="仿宋" w:hAnsi="仿宋" w:eastAsia="仿宋" w:cs="仿宋"/>
          <w:color w:val="auto"/>
          <w:szCs w:val="21"/>
          <w:highlight w:val="none"/>
          <w:u w:val="single"/>
        </w:rPr>
        <w:t>承包人应在施工现场保留一套完整的施工图纸，供工程师及有关人员进行工程检查时使用，未经发包人同意不许将图纸泄露和转让给第三方</w:t>
      </w:r>
      <w:r>
        <w:rPr>
          <w:rFonts w:hint="eastAsia" w:ascii="仿宋" w:hAnsi="仿宋" w:eastAsia="仿宋" w:cs="仿宋"/>
          <w:color w:val="auto"/>
          <w:szCs w:val="21"/>
          <w:highlight w:val="none"/>
        </w:rPr>
        <w:t>。</w:t>
      </w:r>
    </w:p>
    <w:p w14:paraId="04565704">
      <w:pPr>
        <w:pStyle w:val="5"/>
        <w:numPr>
          <w:ilvl w:val="3"/>
          <w:numId w:val="0"/>
        </w:numPr>
        <w:tabs>
          <w:tab w:val="left" w:pos="2155"/>
          <w:tab w:val="clear" w:pos="912"/>
        </w:tabs>
        <w:rPr>
          <w:rFonts w:ascii="仿宋" w:hAnsi="仿宋" w:eastAsia="仿宋" w:cs="仿宋"/>
          <w:color w:val="auto"/>
          <w:highlight w:val="none"/>
        </w:rPr>
      </w:pPr>
      <w:bookmarkStart w:id="474" w:name="_Toc2255"/>
      <w:bookmarkStart w:id="475" w:name="_Toc166155227"/>
      <w:bookmarkStart w:id="476" w:name="_Toc10139"/>
      <w:r>
        <w:rPr>
          <w:rFonts w:hint="eastAsia" w:ascii="仿宋" w:hAnsi="仿宋" w:eastAsia="仿宋" w:cs="仿宋"/>
          <w:color w:val="auto"/>
          <w:highlight w:val="none"/>
        </w:rPr>
        <w:t>1.7联络</w:t>
      </w:r>
      <w:bookmarkEnd w:id="474"/>
      <w:bookmarkEnd w:id="475"/>
      <w:bookmarkEnd w:id="476"/>
    </w:p>
    <w:p w14:paraId="3256884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1.7.1发包人和承包人应当在</w:t>
      </w:r>
      <w:r>
        <w:rPr>
          <w:rFonts w:hint="eastAsia" w:ascii="仿宋" w:hAnsi="仿宋" w:eastAsia="仿宋" w:cs="仿宋"/>
          <w:color w:val="auto"/>
          <w:szCs w:val="21"/>
          <w:highlight w:val="none"/>
          <w:u w:val="single"/>
        </w:rPr>
        <w:t>1</w:t>
      </w:r>
      <w:r>
        <w:rPr>
          <w:rFonts w:hint="eastAsia" w:ascii="仿宋" w:hAnsi="仿宋" w:eastAsia="仿宋" w:cs="仿宋"/>
          <w:color w:val="auto"/>
          <w:szCs w:val="21"/>
          <w:highlight w:val="none"/>
        </w:rPr>
        <w:t>天内将与合同有关的通知、批准、证明、证书、指示、指令、要求、请求、同意、意见、确定和决定等书面函件送达对方当事人。</w:t>
      </w:r>
    </w:p>
    <w:p w14:paraId="55365FE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1.7.2发包人接收文件的地点：</w:t>
      </w:r>
      <w:r>
        <w:rPr>
          <w:rFonts w:hint="eastAsia" w:ascii="仿宋" w:hAnsi="仿宋" w:eastAsia="仿宋" w:cs="仿宋"/>
          <w:color w:val="auto"/>
          <w:szCs w:val="21"/>
          <w:highlight w:val="none"/>
          <w:u w:val="single"/>
        </w:rPr>
        <w:t>发包人指定地点</w:t>
      </w:r>
      <w:r>
        <w:rPr>
          <w:rFonts w:hint="eastAsia" w:ascii="仿宋" w:hAnsi="仿宋" w:eastAsia="仿宋" w:cs="仿宋"/>
          <w:color w:val="auto"/>
          <w:szCs w:val="21"/>
          <w:highlight w:val="none"/>
        </w:rPr>
        <w:t>；</w:t>
      </w:r>
    </w:p>
    <w:p w14:paraId="55C64CA2">
      <w:pPr>
        <w:pStyle w:val="30"/>
        <w:tabs>
          <w:tab w:val="center" w:pos="4887"/>
        </w:tabs>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发包人指定的接收人为：</w:t>
      </w:r>
      <w:r>
        <w:rPr>
          <w:rFonts w:hint="eastAsia" w:ascii="仿宋" w:hAnsi="仿宋" w:eastAsia="仿宋" w:cs="仿宋"/>
          <w:color w:val="auto"/>
          <w:szCs w:val="21"/>
          <w:highlight w:val="none"/>
          <w:u w:val="single"/>
        </w:rPr>
        <w:t>发包人代表</w:t>
      </w:r>
      <w:r>
        <w:rPr>
          <w:rFonts w:hint="eastAsia" w:ascii="仿宋" w:hAnsi="仿宋" w:eastAsia="仿宋" w:cs="仿宋"/>
          <w:color w:val="auto"/>
          <w:szCs w:val="21"/>
          <w:highlight w:val="none"/>
        </w:rPr>
        <w:t>；</w:t>
      </w:r>
    </w:p>
    <w:p w14:paraId="5803322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承包人接收文件的地点：</w:t>
      </w:r>
      <w:r>
        <w:rPr>
          <w:rFonts w:hint="eastAsia" w:ascii="仿宋" w:hAnsi="仿宋" w:eastAsia="仿宋" w:cs="仿宋"/>
          <w:color w:val="auto"/>
          <w:szCs w:val="21"/>
          <w:highlight w:val="none"/>
          <w:u w:val="single"/>
        </w:rPr>
        <w:t>项目部现场</w:t>
      </w:r>
      <w:r>
        <w:rPr>
          <w:rFonts w:hint="eastAsia" w:ascii="仿宋" w:hAnsi="仿宋" w:eastAsia="仿宋" w:cs="仿宋"/>
          <w:color w:val="auto"/>
          <w:szCs w:val="21"/>
          <w:highlight w:val="none"/>
        </w:rPr>
        <w:t>；</w:t>
      </w:r>
    </w:p>
    <w:p w14:paraId="33C18B9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承包人指定的接收人为：</w:t>
      </w:r>
      <w:r>
        <w:rPr>
          <w:rFonts w:hint="eastAsia" w:ascii="仿宋" w:hAnsi="仿宋" w:eastAsia="仿宋" w:cs="仿宋"/>
          <w:color w:val="auto"/>
          <w:szCs w:val="21"/>
          <w:highlight w:val="none"/>
          <w:u w:val="single"/>
        </w:rPr>
        <w:t>承包人项目代表</w:t>
      </w:r>
      <w:r>
        <w:rPr>
          <w:rFonts w:hint="eastAsia" w:ascii="仿宋" w:hAnsi="仿宋" w:eastAsia="仿宋" w:cs="仿宋"/>
          <w:color w:val="auto"/>
          <w:szCs w:val="21"/>
          <w:highlight w:val="none"/>
        </w:rPr>
        <w:t>；</w:t>
      </w:r>
    </w:p>
    <w:p w14:paraId="68A3435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监理人接收文件的地点：</w:t>
      </w:r>
      <w:r>
        <w:rPr>
          <w:rFonts w:hint="eastAsia" w:ascii="仿宋" w:hAnsi="仿宋" w:eastAsia="仿宋" w:cs="仿宋"/>
          <w:color w:val="auto"/>
          <w:szCs w:val="21"/>
          <w:highlight w:val="none"/>
          <w:u w:val="single"/>
        </w:rPr>
        <w:t>项目部现场</w:t>
      </w:r>
      <w:r>
        <w:rPr>
          <w:rFonts w:hint="eastAsia" w:ascii="仿宋" w:hAnsi="仿宋" w:eastAsia="仿宋" w:cs="仿宋"/>
          <w:color w:val="auto"/>
          <w:szCs w:val="21"/>
          <w:highlight w:val="none"/>
        </w:rPr>
        <w:t>；</w:t>
      </w:r>
    </w:p>
    <w:p w14:paraId="41740A9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监理人指定的接收人为：</w:t>
      </w:r>
      <w:r>
        <w:rPr>
          <w:rFonts w:hint="eastAsia" w:ascii="仿宋" w:hAnsi="仿宋" w:eastAsia="仿宋" w:cs="仿宋"/>
          <w:color w:val="auto"/>
          <w:szCs w:val="21"/>
          <w:highlight w:val="none"/>
          <w:u w:val="single"/>
        </w:rPr>
        <w:t>监理人项目代表。</w:t>
      </w:r>
    </w:p>
    <w:p w14:paraId="3A8C5077">
      <w:pPr>
        <w:pStyle w:val="5"/>
        <w:numPr>
          <w:ilvl w:val="3"/>
          <w:numId w:val="0"/>
        </w:numPr>
        <w:tabs>
          <w:tab w:val="left" w:pos="2155"/>
          <w:tab w:val="clear" w:pos="912"/>
        </w:tabs>
        <w:rPr>
          <w:rFonts w:ascii="仿宋" w:hAnsi="仿宋" w:eastAsia="仿宋" w:cs="仿宋"/>
          <w:color w:val="auto"/>
          <w:highlight w:val="none"/>
        </w:rPr>
      </w:pPr>
      <w:bookmarkStart w:id="477" w:name="_Toc24524"/>
      <w:bookmarkStart w:id="478" w:name="_Toc166155228"/>
      <w:bookmarkStart w:id="479" w:name="_Toc13111"/>
      <w:r>
        <w:rPr>
          <w:rFonts w:hint="eastAsia" w:ascii="仿宋" w:hAnsi="仿宋" w:eastAsia="仿宋" w:cs="仿宋"/>
          <w:color w:val="auto"/>
          <w:highlight w:val="none"/>
        </w:rPr>
        <w:t>1.10交通运输</w:t>
      </w:r>
      <w:bookmarkEnd w:id="477"/>
      <w:bookmarkEnd w:id="478"/>
      <w:bookmarkEnd w:id="479"/>
    </w:p>
    <w:p w14:paraId="3D0CB12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1.10.1出入现场的权利</w:t>
      </w:r>
    </w:p>
    <w:p w14:paraId="712AFD1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关于出入现场的权利的约定：</w:t>
      </w:r>
      <w:r>
        <w:rPr>
          <w:rFonts w:hint="eastAsia" w:ascii="仿宋" w:hAnsi="仿宋" w:eastAsia="仿宋" w:cs="仿宋"/>
          <w:color w:val="auto"/>
          <w:highlight w:val="none"/>
          <w:u w:val="single"/>
        </w:rPr>
        <w:t>与施工无关的人员需出入现场须经承发包双方同意</w:t>
      </w:r>
      <w:r>
        <w:rPr>
          <w:rFonts w:hint="eastAsia" w:ascii="仿宋" w:hAnsi="仿宋" w:eastAsia="仿宋" w:cs="仿宋"/>
          <w:color w:val="auto"/>
          <w:szCs w:val="21"/>
          <w:highlight w:val="none"/>
        </w:rPr>
        <w:t>。</w:t>
      </w:r>
    </w:p>
    <w:p w14:paraId="21394C9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1.10.3场内交通</w:t>
      </w:r>
    </w:p>
    <w:p w14:paraId="2328739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关于场外交通和场内交通的边界的约定：</w:t>
      </w:r>
      <w:r>
        <w:rPr>
          <w:rFonts w:hint="eastAsia" w:ascii="仿宋" w:hAnsi="仿宋" w:eastAsia="仿宋" w:cs="仿宋"/>
          <w:color w:val="auto"/>
          <w:szCs w:val="21"/>
          <w:highlight w:val="none"/>
          <w:u w:val="single"/>
        </w:rPr>
        <w:t>以本合同施工图纸为准</w:t>
      </w:r>
      <w:r>
        <w:rPr>
          <w:rFonts w:hint="eastAsia" w:ascii="仿宋" w:hAnsi="仿宋" w:eastAsia="仿宋" w:cs="仿宋"/>
          <w:color w:val="auto"/>
          <w:szCs w:val="21"/>
          <w:highlight w:val="none"/>
        </w:rPr>
        <w:t>。</w:t>
      </w:r>
    </w:p>
    <w:p w14:paraId="7B1C7A8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关于发包人向承包人免费提供满足工程施工需要的场内道路和交通设施的约定：</w:t>
      </w:r>
      <w:r>
        <w:rPr>
          <w:rFonts w:hint="eastAsia" w:ascii="仿宋" w:hAnsi="仿宋" w:eastAsia="仿宋" w:cs="仿宋"/>
          <w:color w:val="auto"/>
          <w:szCs w:val="21"/>
          <w:highlight w:val="none"/>
          <w:u w:val="single"/>
        </w:rPr>
        <w:t>由承包人自行解决</w:t>
      </w:r>
      <w:r>
        <w:rPr>
          <w:rFonts w:hint="eastAsia" w:ascii="仿宋" w:hAnsi="仿宋" w:eastAsia="仿宋" w:cs="仿宋"/>
          <w:color w:val="auto"/>
          <w:szCs w:val="21"/>
          <w:highlight w:val="none"/>
        </w:rPr>
        <w:t>。</w:t>
      </w:r>
    </w:p>
    <w:p w14:paraId="49310A2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1.10.4超大件和超重件的运输</w:t>
      </w:r>
    </w:p>
    <w:p w14:paraId="1431164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运输超大件或超重件所需的道路和桥梁临时加固改造费用和其他有关费用由</w:t>
      </w:r>
      <w:r>
        <w:rPr>
          <w:rFonts w:hint="eastAsia" w:ascii="仿宋" w:hAnsi="仿宋" w:eastAsia="仿宋" w:cs="仿宋"/>
          <w:color w:val="auto"/>
          <w:szCs w:val="21"/>
          <w:highlight w:val="none"/>
          <w:u w:val="single"/>
        </w:rPr>
        <w:t>承包人</w:t>
      </w:r>
      <w:r>
        <w:rPr>
          <w:rFonts w:hint="eastAsia" w:ascii="仿宋" w:hAnsi="仿宋" w:eastAsia="仿宋" w:cs="仿宋"/>
          <w:color w:val="auto"/>
          <w:szCs w:val="21"/>
          <w:highlight w:val="none"/>
        </w:rPr>
        <w:t>承担。</w:t>
      </w:r>
    </w:p>
    <w:p w14:paraId="553D0902">
      <w:pPr>
        <w:pStyle w:val="5"/>
        <w:numPr>
          <w:ilvl w:val="3"/>
          <w:numId w:val="0"/>
        </w:numPr>
        <w:tabs>
          <w:tab w:val="left" w:pos="2155"/>
          <w:tab w:val="clear" w:pos="912"/>
        </w:tabs>
        <w:rPr>
          <w:rFonts w:ascii="仿宋" w:hAnsi="仿宋" w:eastAsia="仿宋" w:cs="仿宋"/>
          <w:color w:val="auto"/>
          <w:highlight w:val="none"/>
        </w:rPr>
      </w:pPr>
      <w:bookmarkStart w:id="480" w:name="_Toc166155229"/>
      <w:bookmarkStart w:id="481" w:name="_Toc13498"/>
      <w:bookmarkStart w:id="482" w:name="_Toc9298"/>
      <w:r>
        <w:rPr>
          <w:rFonts w:hint="eastAsia" w:ascii="仿宋" w:hAnsi="仿宋" w:eastAsia="仿宋" w:cs="仿宋"/>
          <w:color w:val="auto"/>
          <w:highlight w:val="none"/>
        </w:rPr>
        <w:t>1.11知识产权</w:t>
      </w:r>
      <w:bookmarkEnd w:id="480"/>
      <w:bookmarkEnd w:id="481"/>
      <w:bookmarkEnd w:id="482"/>
    </w:p>
    <w:p w14:paraId="38883A0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Cs w:val="21"/>
          <w:highlight w:val="none"/>
          <w:u w:val="single"/>
        </w:rPr>
        <w:t>按通用条款执行</w:t>
      </w:r>
      <w:r>
        <w:rPr>
          <w:rFonts w:hint="eastAsia" w:ascii="仿宋" w:hAnsi="仿宋" w:eastAsia="仿宋" w:cs="仿宋"/>
          <w:color w:val="auto"/>
          <w:szCs w:val="21"/>
          <w:highlight w:val="none"/>
        </w:rPr>
        <w:t>。</w:t>
      </w:r>
    </w:p>
    <w:p w14:paraId="2022CCD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关于发包人提供的上述文件的使用限制的要求：</w:t>
      </w:r>
      <w:r>
        <w:rPr>
          <w:rFonts w:hint="eastAsia" w:ascii="仿宋" w:hAnsi="仿宋" w:eastAsia="仿宋" w:cs="仿宋"/>
          <w:color w:val="auto"/>
          <w:szCs w:val="21"/>
          <w:highlight w:val="none"/>
          <w:u w:val="single"/>
        </w:rPr>
        <w:t>按通用条款执行</w:t>
      </w:r>
      <w:r>
        <w:rPr>
          <w:rFonts w:hint="eastAsia" w:ascii="仿宋" w:hAnsi="仿宋" w:eastAsia="仿宋" w:cs="仿宋"/>
          <w:color w:val="auto"/>
          <w:szCs w:val="21"/>
          <w:highlight w:val="none"/>
        </w:rPr>
        <w:t>。</w:t>
      </w:r>
    </w:p>
    <w:p w14:paraId="535336D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1.11.2关于承包人为实施工程所编制文件的著作权的归属：</w:t>
      </w:r>
      <w:r>
        <w:rPr>
          <w:rFonts w:hint="eastAsia" w:ascii="仿宋" w:hAnsi="仿宋" w:eastAsia="仿宋" w:cs="仿宋"/>
          <w:color w:val="auto"/>
          <w:szCs w:val="21"/>
          <w:highlight w:val="none"/>
          <w:u w:val="single"/>
        </w:rPr>
        <w:t>按通用条款执行</w:t>
      </w:r>
      <w:r>
        <w:rPr>
          <w:rFonts w:hint="eastAsia" w:ascii="仿宋" w:hAnsi="仿宋" w:eastAsia="仿宋" w:cs="仿宋"/>
          <w:color w:val="auto"/>
          <w:szCs w:val="21"/>
          <w:highlight w:val="none"/>
        </w:rPr>
        <w:t>。</w:t>
      </w:r>
    </w:p>
    <w:p w14:paraId="6E7DB8C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关于承包人提供的上述文件的使用限制的要求：</w:t>
      </w:r>
      <w:r>
        <w:rPr>
          <w:rFonts w:hint="eastAsia" w:ascii="仿宋" w:hAnsi="仿宋" w:eastAsia="仿宋" w:cs="仿宋"/>
          <w:color w:val="auto"/>
          <w:szCs w:val="21"/>
          <w:highlight w:val="none"/>
          <w:u w:val="single"/>
        </w:rPr>
        <w:t>按通用条款执行</w:t>
      </w:r>
      <w:r>
        <w:rPr>
          <w:rFonts w:hint="eastAsia" w:ascii="仿宋" w:hAnsi="仿宋" w:eastAsia="仿宋" w:cs="仿宋"/>
          <w:color w:val="auto"/>
          <w:szCs w:val="21"/>
          <w:highlight w:val="none"/>
        </w:rPr>
        <w:t>。</w:t>
      </w:r>
    </w:p>
    <w:p w14:paraId="6BC8ADE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1.11.4承包人在施工过程中所采用的专利、专有技术、技术秘密的使用费的承担方式：</w:t>
      </w:r>
      <w:r>
        <w:rPr>
          <w:rFonts w:hint="eastAsia" w:ascii="仿宋" w:hAnsi="仿宋" w:eastAsia="仿宋" w:cs="仿宋"/>
          <w:color w:val="auto"/>
          <w:szCs w:val="21"/>
          <w:highlight w:val="none"/>
          <w:u w:val="single"/>
        </w:rPr>
        <w:t>按通用条款执行</w:t>
      </w:r>
      <w:r>
        <w:rPr>
          <w:rFonts w:hint="eastAsia" w:ascii="仿宋" w:hAnsi="仿宋" w:eastAsia="仿宋" w:cs="仿宋"/>
          <w:color w:val="auto"/>
          <w:szCs w:val="21"/>
          <w:highlight w:val="none"/>
        </w:rPr>
        <w:t>。</w:t>
      </w:r>
    </w:p>
    <w:p w14:paraId="0E1FF6C6">
      <w:pPr>
        <w:pStyle w:val="5"/>
        <w:numPr>
          <w:ilvl w:val="3"/>
          <w:numId w:val="0"/>
        </w:numPr>
        <w:tabs>
          <w:tab w:val="left" w:pos="2155"/>
          <w:tab w:val="clear" w:pos="912"/>
        </w:tabs>
        <w:rPr>
          <w:rFonts w:ascii="仿宋" w:hAnsi="仿宋" w:eastAsia="仿宋" w:cs="仿宋"/>
          <w:color w:val="auto"/>
          <w:highlight w:val="none"/>
        </w:rPr>
      </w:pPr>
      <w:bookmarkStart w:id="483" w:name="_Toc995"/>
      <w:bookmarkStart w:id="484" w:name="_Toc19130"/>
      <w:bookmarkStart w:id="485" w:name="_Toc166155230"/>
      <w:r>
        <w:rPr>
          <w:rFonts w:hint="eastAsia" w:ascii="仿宋" w:hAnsi="仿宋" w:eastAsia="仿宋" w:cs="仿宋"/>
          <w:color w:val="auto"/>
          <w:highlight w:val="none"/>
        </w:rPr>
        <w:t>1.13工程量清单错误的修正</w:t>
      </w:r>
      <w:bookmarkEnd w:id="483"/>
      <w:bookmarkEnd w:id="484"/>
      <w:bookmarkEnd w:id="485"/>
    </w:p>
    <w:p w14:paraId="667028D1">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出现工程量清单工程量偏差时，是否调整合同价格：</w:t>
      </w:r>
      <w:r>
        <w:rPr>
          <w:rFonts w:hint="eastAsia" w:ascii="仿宋" w:hAnsi="仿宋" w:eastAsia="仿宋" w:cs="仿宋"/>
          <w:color w:val="auto"/>
          <w:highlight w:val="none"/>
          <w:u w:val="single"/>
        </w:rPr>
        <w:t>□是  ☑否</w:t>
      </w:r>
      <w:r>
        <w:rPr>
          <w:rFonts w:hint="eastAsia" w:ascii="仿宋" w:hAnsi="仿宋" w:eastAsia="仿宋" w:cs="仿宋"/>
          <w:color w:val="auto"/>
          <w:kern w:val="0"/>
          <w:highlight w:val="none"/>
        </w:rPr>
        <w:t>。</w:t>
      </w:r>
    </w:p>
    <w:p w14:paraId="1F1AFF43">
      <w:pPr>
        <w:pStyle w:val="4"/>
        <w:rPr>
          <w:rFonts w:ascii="仿宋" w:hAnsi="仿宋" w:eastAsia="仿宋" w:cs="仿宋"/>
          <w:color w:val="auto"/>
          <w:highlight w:val="none"/>
        </w:rPr>
      </w:pPr>
      <w:bookmarkStart w:id="486" w:name="_Toc6462"/>
      <w:bookmarkStart w:id="487" w:name="_Toc166155231"/>
      <w:bookmarkStart w:id="488" w:name="_Toc19019"/>
      <w:bookmarkStart w:id="489" w:name="_Toc26221"/>
      <w:bookmarkStart w:id="490" w:name="_Toc14108"/>
      <w:r>
        <w:rPr>
          <w:rFonts w:hint="eastAsia" w:ascii="仿宋" w:hAnsi="仿宋" w:eastAsia="仿宋" w:cs="仿宋"/>
          <w:color w:val="auto"/>
          <w:highlight w:val="none"/>
        </w:rPr>
        <w:t>2.发包人</w:t>
      </w:r>
      <w:bookmarkEnd w:id="486"/>
      <w:bookmarkEnd w:id="487"/>
      <w:bookmarkEnd w:id="488"/>
      <w:bookmarkEnd w:id="489"/>
      <w:bookmarkEnd w:id="490"/>
    </w:p>
    <w:p w14:paraId="22EE6B1E">
      <w:pPr>
        <w:pStyle w:val="5"/>
        <w:numPr>
          <w:ilvl w:val="3"/>
          <w:numId w:val="0"/>
        </w:numPr>
        <w:tabs>
          <w:tab w:val="left" w:pos="2155"/>
          <w:tab w:val="clear" w:pos="912"/>
        </w:tabs>
        <w:rPr>
          <w:rFonts w:ascii="仿宋" w:hAnsi="仿宋" w:eastAsia="仿宋" w:cs="仿宋"/>
          <w:color w:val="auto"/>
          <w:highlight w:val="none"/>
        </w:rPr>
      </w:pPr>
      <w:bookmarkStart w:id="491" w:name="_Toc166155232"/>
      <w:bookmarkStart w:id="492" w:name="_Toc19099"/>
      <w:bookmarkStart w:id="493" w:name="_Toc4971"/>
      <w:r>
        <w:rPr>
          <w:rFonts w:hint="eastAsia" w:ascii="仿宋" w:hAnsi="仿宋" w:eastAsia="仿宋" w:cs="仿宋"/>
          <w:color w:val="auto"/>
          <w:highlight w:val="none"/>
        </w:rPr>
        <w:t>2.1许可或批准</w:t>
      </w:r>
      <w:bookmarkEnd w:id="491"/>
      <w:bookmarkEnd w:id="492"/>
      <w:bookmarkEnd w:id="493"/>
    </w:p>
    <w:p w14:paraId="37DDC4A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规划核实、消防验收等许可和批准。发包人应协助承包人办理法律规定的有关施工证件和批件。因发包人原因未能及时办理完毕前述许可、批准或备案，造成工期延误的，由发包人承担。</w:t>
      </w:r>
    </w:p>
    <w:p w14:paraId="5433AA48">
      <w:pPr>
        <w:pStyle w:val="5"/>
        <w:numPr>
          <w:ilvl w:val="3"/>
          <w:numId w:val="0"/>
        </w:numPr>
        <w:tabs>
          <w:tab w:val="left" w:pos="2155"/>
          <w:tab w:val="clear" w:pos="912"/>
        </w:tabs>
        <w:rPr>
          <w:rFonts w:ascii="仿宋" w:hAnsi="仿宋" w:eastAsia="仿宋" w:cs="仿宋"/>
          <w:color w:val="auto"/>
          <w:highlight w:val="none"/>
        </w:rPr>
      </w:pPr>
      <w:bookmarkStart w:id="494" w:name="_Toc166155233"/>
      <w:bookmarkStart w:id="495" w:name="_Toc16390"/>
      <w:bookmarkStart w:id="496" w:name="_Toc13414"/>
      <w:r>
        <w:rPr>
          <w:rFonts w:hint="eastAsia" w:ascii="仿宋" w:hAnsi="仿宋" w:eastAsia="仿宋" w:cs="仿宋"/>
          <w:color w:val="auto"/>
          <w:highlight w:val="none"/>
        </w:rPr>
        <w:t>2.2发包人代表</w:t>
      </w:r>
      <w:bookmarkEnd w:id="494"/>
      <w:bookmarkEnd w:id="495"/>
      <w:bookmarkEnd w:id="496"/>
    </w:p>
    <w:p w14:paraId="0F8EFF2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姓名：_______；</w:t>
      </w:r>
    </w:p>
    <w:p w14:paraId="4CF61F8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身份证号：_______；</w:t>
      </w:r>
    </w:p>
    <w:p w14:paraId="1385B9D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职务：_______；</w:t>
      </w:r>
    </w:p>
    <w:p w14:paraId="7F9C0F8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联系电话：_______；</w:t>
      </w:r>
    </w:p>
    <w:p w14:paraId="1150879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电子信箱：_______；</w:t>
      </w:r>
    </w:p>
    <w:p w14:paraId="1552118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通信地址：</w:t>
      </w:r>
      <w:r>
        <w:rPr>
          <w:rFonts w:hint="eastAsia" w:ascii="仿宋" w:hAnsi="仿宋" w:eastAsia="仿宋" w:cs="仿宋"/>
          <w:color w:val="auto"/>
          <w:szCs w:val="21"/>
          <w:highlight w:val="none"/>
          <w:u w:val="single"/>
        </w:rPr>
        <w:t>南宁市青秀区葛村路22号</w:t>
      </w:r>
      <w:r>
        <w:rPr>
          <w:rFonts w:hint="eastAsia" w:ascii="仿宋" w:hAnsi="仿宋" w:eastAsia="仿宋" w:cs="仿宋"/>
          <w:color w:val="auto"/>
          <w:szCs w:val="21"/>
          <w:highlight w:val="none"/>
        </w:rPr>
        <w:t>。</w:t>
      </w:r>
    </w:p>
    <w:p w14:paraId="00AA0B4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发包人对发包人代表授权范围如下：</w:t>
      </w:r>
      <w:r>
        <w:rPr>
          <w:rStyle w:val="31"/>
          <w:rFonts w:hint="eastAsia" w:ascii="仿宋" w:hAnsi="仿宋" w:eastAsia="仿宋" w:cs="仿宋"/>
          <w:color w:val="auto"/>
          <w:kern w:val="0"/>
          <w:szCs w:val="21"/>
          <w:highlight w:val="none"/>
          <w:u w:val="single"/>
        </w:rPr>
        <w:t>督促指导监理工程师行使职权，协调施工现场各方面的关系，协调工程质量、进度和安全文明施工中存在的问题，解决有关设计和技术签证，办理、签认现场经济技术签证，审核工程进度报表。开工前7天，发包人应将所派驻的发包人代表的姓名、委托的事项及权限、委托期限等事项书面通知承包人</w:t>
      </w:r>
      <w:r>
        <w:rPr>
          <w:rFonts w:hint="eastAsia" w:ascii="仿宋" w:hAnsi="仿宋" w:eastAsia="仿宋" w:cs="仿宋"/>
          <w:color w:val="auto"/>
          <w:szCs w:val="21"/>
          <w:highlight w:val="none"/>
          <w:u w:val="single"/>
        </w:rPr>
        <w:t>。</w:t>
      </w:r>
      <w:bookmarkStart w:id="497" w:name="_Toc166155234"/>
    </w:p>
    <w:p w14:paraId="35F04427">
      <w:pPr>
        <w:pStyle w:val="5"/>
        <w:numPr>
          <w:ilvl w:val="3"/>
          <w:numId w:val="0"/>
        </w:numPr>
        <w:tabs>
          <w:tab w:val="left" w:pos="2155"/>
          <w:tab w:val="clear" w:pos="912"/>
        </w:tabs>
        <w:rPr>
          <w:rFonts w:ascii="仿宋" w:hAnsi="仿宋" w:eastAsia="仿宋" w:cs="仿宋"/>
          <w:color w:val="auto"/>
          <w:highlight w:val="none"/>
        </w:rPr>
      </w:pPr>
      <w:bookmarkStart w:id="498" w:name="_Toc18123"/>
      <w:bookmarkStart w:id="499" w:name="_Toc17392"/>
      <w:r>
        <w:rPr>
          <w:rFonts w:hint="eastAsia" w:ascii="仿宋" w:hAnsi="仿宋" w:eastAsia="仿宋" w:cs="仿宋"/>
          <w:color w:val="auto"/>
          <w:highlight w:val="none"/>
        </w:rPr>
        <w:t>2.4施工现场、施工条件和基础资料的提供</w:t>
      </w:r>
      <w:bookmarkEnd w:id="497"/>
      <w:bookmarkEnd w:id="498"/>
      <w:bookmarkEnd w:id="499"/>
    </w:p>
    <w:p w14:paraId="3B629B3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2.4.1提供施工现场</w:t>
      </w:r>
    </w:p>
    <w:p w14:paraId="06FCEB0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关于发包人移交施工现场的期限要求：</w:t>
      </w:r>
      <w:r>
        <w:rPr>
          <w:rFonts w:hint="eastAsia" w:ascii="仿宋" w:hAnsi="仿宋" w:eastAsia="仿宋" w:cs="仿宋"/>
          <w:color w:val="auto"/>
          <w:szCs w:val="21"/>
          <w:highlight w:val="none"/>
          <w:u w:val="single"/>
        </w:rPr>
        <w:t>发包人应最迟于开工日期7天前向承包人移交施工现场</w:t>
      </w:r>
      <w:r>
        <w:rPr>
          <w:rFonts w:hint="eastAsia" w:ascii="仿宋" w:hAnsi="仿宋" w:eastAsia="仿宋" w:cs="仿宋"/>
          <w:color w:val="auto"/>
          <w:szCs w:val="21"/>
          <w:highlight w:val="none"/>
        </w:rPr>
        <w:t>。</w:t>
      </w:r>
    </w:p>
    <w:p w14:paraId="6EF8AA3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2.4.2提供施工条件</w:t>
      </w:r>
    </w:p>
    <w:p w14:paraId="38CE2A6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将施工所需的水、电（含变压器的报装、施工等）、电讯线路接至施工场地的时间、地点和供应要求：由承包人在投标报价中自行考虑。若供电、供水部门的原因造成停电、停水，承包人必须自行解决施工用电、用水，费用自理。</w:t>
      </w:r>
    </w:p>
    <w:p w14:paraId="3FD60641">
      <w:pPr>
        <w:pStyle w:val="5"/>
        <w:numPr>
          <w:ilvl w:val="3"/>
          <w:numId w:val="0"/>
        </w:numPr>
        <w:tabs>
          <w:tab w:val="left" w:pos="2155"/>
          <w:tab w:val="clear" w:pos="912"/>
        </w:tabs>
        <w:rPr>
          <w:rFonts w:ascii="仿宋" w:hAnsi="仿宋" w:eastAsia="仿宋" w:cs="仿宋"/>
          <w:color w:val="auto"/>
          <w:highlight w:val="none"/>
        </w:rPr>
      </w:pPr>
      <w:bookmarkStart w:id="500" w:name="_Toc30197"/>
      <w:bookmarkStart w:id="501" w:name="_Toc1022"/>
      <w:bookmarkStart w:id="502" w:name="_Toc166155235"/>
      <w:r>
        <w:rPr>
          <w:rFonts w:hint="eastAsia" w:ascii="仿宋" w:hAnsi="仿宋" w:eastAsia="仿宋" w:cs="仿宋"/>
          <w:color w:val="auto"/>
          <w:highlight w:val="none"/>
        </w:rPr>
        <w:t>2.5资金来源证明及支付担保</w:t>
      </w:r>
      <w:bookmarkEnd w:id="500"/>
      <w:bookmarkEnd w:id="501"/>
      <w:bookmarkEnd w:id="502"/>
    </w:p>
    <w:p w14:paraId="55A016C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发包人提供资金来源证明的期限要求：</w:t>
      </w:r>
      <w:r>
        <w:rPr>
          <w:rFonts w:hint="eastAsia" w:ascii="仿宋" w:hAnsi="仿宋" w:eastAsia="仿宋" w:cs="仿宋"/>
          <w:color w:val="auto"/>
          <w:szCs w:val="21"/>
          <w:highlight w:val="none"/>
          <w:u w:val="single"/>
        </w:rPr>
        <w:t>不提供</w:t>
      </w:r>
      <w:r>
        <w:rPr>
          <w:rFonts w:hint="eastAsia" w:ascii="仿宋" w:hAnsi="仿宋" w:eastAsia="仿宋" w:cs="仿宋"/>
          <w:color w:val="auto"/>
          <w:szCs w:val="21"/>
          <w:highlight w:val="none"/>
        </w:rPr>
        <w:t>。</w:t>
      </w:r>
    </w:p>
    <w:p w14:paraId="0C11036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发包人是否提供支付担保：</w:t>
      </w:r>
      <w:r>
        <w:rPr>
          <w:rFonts w:hint="eastAsia" w:ascii="仿宋" w:hAnsi="仿宋" w:eastAsia="仿宋" w:cs="仿宋"/>
          <w:color w:val="auto"/>
          <w:szCs w:val="21"/>
          <w:highlight w:val="none"/>
          <w:u w:val="single"/>
        </w:rPr>
        <w:t>不提供</w:t>
      </w:r>
      <w:r>
        <w:rPr>
          <w:rFonts w:hint="eastAsia" w:ascii="仿宋" w:hAnsi="仿宋" w:eastAsia="仿宋" w:cs="仿宋"/>
          <w:color w:val="auto"/>
          <w:szCs w:val="21"/>
          <w:highlight w:val="none"/>
        </w:rPr>
        <w:t>。</w:t>
      </w:r>
    </w:p>
    <w:p w14:paraId="0E24C4C0">
      <w:pPr>
        <w:pStyle w:val="4"/>
        <w:rPr>
          <w:rFonts w:ascii="仿宋" w:hAnsi="仿宋" w:eastAsia="仿宋" w:cs="仿宋"/>
          <w:color w:val="auto"/>
          <w:highlight w:val="none"/>
        </w:rPr>
      </w:pPr>
      <w:bookmarkStart w:id="503" w:name="_Toc166155236"/>
      <w:bookmarkStart w:id="504" w:name="_Toc26507"/>
      <w:bookmarkStart w:id="505" w:name="_Toc21967"/>
      <w:bookmarkStart w:id="506" w:name="_Toc19414"/>
      <w:bookmarkStart w:id="507" w:name="_Toc1074"/>
      <w:r>
        <w:rPr>
          <w:rFonts w:hint="eastAsia" w:ascii="仿宋" w:hAnsi="仿宋" w:eastAsia="仿宋" w:cs="仿宋"/>
          <w:color w:val="auto"/>
          <w:highlight w:val="none"/>
        </w:rPr>
        <w:t>3.承包人</w:t>
      </w:r>
      <w:bookmarkEnd w:id="503"/>
      <w:bookmarkEnd w:id="504"/>
      <w:bookmarkEnd w:id="505"/>
      <w:bookmarkEnd w:id="506"/>
      <w:bookmarkEnd w:id="507"/>
    </w:p>
    <w:p w14:paraId="3CA7F71A">
      <w:pPr>
        <w:pStyle w:val="5"/>
        <w:numPr>
          <w:ilvl w:val="3"/>
          <w:numId w:val="0"/>
        </w:numPr>
        <w:tabs>
          <w:tab w:val="left" w:pos="2155"/>
          <w:tab w:val="clear" w:pos="912"/>
        </w:tabs>
        <w:rPr>
          <w:rFonts w:ascii="仿宋" w:hAnsi="仿宋" w:eastAsia="仿宋" w:cs="仿宋"/>
          <w:color w:val="auto"/>
          <w:highlight w:val="none"/>
        </w:rPr>
      </w:pPr>
      <w:bookmarkStart w:id="508" w:name="_Toc166155237"/>
      <w:bookmarkStart w:id="509" w:name="_Toc1780"/>
      <w:bookmarkStart w:id="510" w:name="_Toc23900"/>
      <w:r>
        <w:rPr>
          <w:rFonts w:hint="eastAsia" w:ascii="仿宋" w:hAnsi="仿宋" w:eastAsia="仿宋" w:cs="仿宋"/>
          <w:color w:val="auto"/>
          <w:highlight w:val="none"/>
        </w:rPr>
        <w:t>3.1承包人的一般义务</w:t>
      </w:r>
      <w:bookmarkEnd w:id="508"/>
      <w:bookmarkEnd w:id="509"/>
      <w:bookmarkEnd w:id="510"/>
    </w:p>
    <w:p w14:paraId="10AF2EA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（9）承包人提交的竣工资料的内容：</w:t>
      </w:r>
      <w:r>
        <w:rPr>
          <w:rFonts w:hint="eastAsia" w:ascii="仿宋" w:hAnsi="仿宋" w:eastAsia="仿宋" w:cs="仿宋"/>
          <w:color w:val="auto"/>
          <w:szCs w:val="21"/>
          <w:highlight w:val="none"/>
          <w:u w:val="single"/>
        </w:rPr>
        <w:t>按国家和当地建设行政管理部门规定竣工资料的内容执行</w:t>
      </w:r>
      <w:r>
        <w:rPr>
          <w:rFonts w:hint="eastAsia" w:ascii="仿宋" w:hAnsi="仿宋" w:eastAsia="仿宋" w:cs="仿宋"/>
          <w:color w:val="auto"/>
          <w:szCs w:val="21"/>
          <w:highlight w:val="none"/>
        </w:rPr>
        <w:t>。</w:t>
      </w:r>
    </w:p>
    <w:p w14:paraId="015D0C2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承包人需要提交的竣工资料套数：</w:t>
      </w:r>
      <w:r>
        <w:rPr>
          <w:rFonts w:hint="eastAsia" w:ascii="仿宋" w:hAnsi="仿宋" w:eastAsia="仿宋" w:cs="仿宋"/>
          <w:color w:val="auto"/>
          <w:szCs w:val="21"/>
          <w:highlight w:val="none"/>
          <w:u w:val="single"/>
        </w:rPr>
        <w:t>一式捌套</w:t>
      </w:r>
      <w:r>
        <w:rPr>
          <w:rFonts w:hint="eastAsia" w:ascii="仿宋" w:hAnsi="仿宋" w:eastAsia="仿宋" w:cs="仿宋"/>
          <w:color w:val="auto"/>
          <w:szCs w:val="21"/>
          <w:highlight w:val="none"/>
        </w:rPr>
        <w:t>。</w:t>
      </w:r>
    </w:p>
    <w:p w14:paraId="2C65C40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承包人提交的竣工资料的费用承担：</w:t>
      </w:r>
      <w:r>
        <w:rPr>
          <w:rFonts w:hint="eastAsia" w:ascii="仿宋" w:hAnsi="仿宋" w:eastAsia="仿宋" w:cs="仿宋"/>
          <w:color w:val="auto"/>
          <w:szCs w:val="21"/>
          <w:highlight w:val="none"/>
          <w:u w:val="single"/>
        </w:rPr>
        <w:t>由承包人承担</w:t>
      </w:r>
      <w:r>
        <w:rPr>
          <w:rFonts w:hint="eastAsia" w:ascii="仿宋" w:hAnsi="仿宋" w:eastAsia="仿宋" w:cs="仿宋"/>
          <w:color w:val="auto"/>
          <w:szCs w:val="21"/>
          <w:highlight w:val="none"/>
        </w:rPr>
        <w:t>。</w:t>
      </w:r>
    </w:p>
    <w:p w14:paraId="55D23D1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承包人提交的竣工资料移交时间：</w:t>
      </w:r>
      <w:r>
        <w:rPr>
          <w:rFonts w:hint="eastAsia" w:ascii="仿宋" w:hAnsi="仿宋" w:eastAsia="仿宋" w:cs="仿宋"/>
          <w:color w:val="auto"/>
          <w:szCs w:val="21"/>
          <w:highlight w:val="none"/>
          <w:u w:val="single"/>
        </w:rPr>
        <w:t>全部工程竣工验收合格后30天内</w:t>
      </w:r>
      <w:r>
        <w:rPr>
          <w:rFonts w:hint="eastAsia" w:ascii="仿宋" w:hAnsi="仿宋" w:eastAsia="仿宋" w:cs="仿宋"/>
          <w:color w:val="auto"/>
          <w:szCs w:val="21"/>
          <w:highlight w:val="none"/>
        </w:rPr>
        <w:t>。</w:t>
      </w:r>
    </w:p>
    <w:p w14:paraId="53712D9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承包人提交的竣工资料形式要求：</w:t>
      </w:r>
      <w:r>
        <w:rPr>
          <w:rFonts w:hint="eastAsia" w:ascii="仿宋" w:hAnsi="仿宋" w:eastAsia="仿宋" w:cs="仿宋"/>
          <w:color w:val="auto"/>
          <w:szCs w:val="21"/>
          <w:highlight w:val="none"/>
          <w:u w:val="single"/>
        </w:rPr>
        <w:t>纸质文件和电子文件</w:t>
      </w:r>
      <w:r>
        <w:rPr>
          <w:rFonts w:hint="eastAsia" w:ascii="仿宋" w:hAnsi="仿宋" w:eastAsia="仿宋" w:cs="仿宋"/>
          <w:color w:val="auto"/>
          <w:szCs w:val="21"/>
          <w:highlight w:val="none"/>
        </w:rPr>
        <w:t>。</w:t>
      </w:r>
    </w:p>
    <w:p w14:paraId="693F486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（10）承包人应履行的其他义务：</w:t>
      </w:r>
    </w:p>
    <w:p w14:paraId="4CB3CEE8">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1）承包人必须如期开工、竣工并按时保质移交整个工程。在任何情况下（除发生不可抗力之外），未经发包人书面同意承包人均不能擅自停工。</w:t>
      </w:r>
    </w:p>
    <w:p w14:paraId="37D3A1A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2）执行发包人项目现场代表和总监理工程师的指令，如有异议，应立即向发包人的项目现场代表、总监理工程师提出。</w:t>
      </w:r>
    </w:p>
    <w:p w14:paraId="29E442EA">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3）承包人必须严格执行发包人现场代表和总监理工程师的指令，如承包人对发出指令存有异议的，应立即向发包人现场代表、总监理工程师提出，但不得拒绝执行或消极执行。</w:t>
      </w:r>
    </w:p>
    <w:p w14:paraId="4AB4F61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4）承包人要听从发包人、监理人现场管理人员的统筹指挥，认真做好施工组织设计，涉及到与其他施工单位配合的，应服从发包人、监理人现场管理人员的统筹安排。</w:t>
      </w:r>
    </w:p>
    <w:p w14:paraId="766629A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5）须按发包人或监理人通知要求的人员、时间、地点参加发包人或监理人组织的工程会议，否则每迟到1人次按（人民币）500元/人▪次向发包人支付违约金，每缺席1人次按（人民币）1000元/人▪次向发包人支付违约金，迟到超过1小时的视为缺席；与会人员需按发包人或监理人的要求，及时在达成一致意见的会议记录（或会议纪要或会议备忘录）上签字，否则按（人民币）1000元/人▪次向发包人支付违约金。</w:t>
      </w:r>
    </w:p>
    <w:p w14:paraId="64DC014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6）施工时全面协调好周边关系，如因承包人原因未处理好周边环境关系而导致工程停工的后果由承包人自行承担，发包人将不承担由此引起的工期延误及其他损失。</w:t>
      </w:r>
    </w:p>
    <w:p w14:paraId="4391564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7）承包人应在货物发运前对其进行满足运输距离、防潮、防震、防锈和防破损装卸等要求包装，以保证货物安全运达发包人指定地点。</w:t>
      </w:r>
    </w:p>
    <w:p w14:paraId="11E7E14C">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8）使用说明书、质量检验证明书、随配附件和工具以及清单一并附于货物内。</w:t>
      </w:r>
    </w:p>
    <w:p w14:paraId="0E23B57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9）承包人在货物发运手续办理完毕后24小时内或货到发包人48小时前通知发包人，以准备接货。</w:t>
      </w:r>
    </w:p>
    <w:p w14:paraId="43566D6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10）货物在交付发包人前发生的风险均由承包人负责。</w:t>
      </w:r>
    </w:p>
    <w:p w14:paraId="0536EE70">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11）货物在规定的交付期限内由承包人送达发包人指定的地点并取得发包人签收后，视为交付。</w:t>
      </w:r>
    </w:p>
    <w:p w14:paraId="72C38C3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12）承包人交货前应对产品作出全面检查和对验收文件进行整理，并列出清单，作为发包人收货验收和使用的技术条件依据，检验的结果应随货物交发包人。</w:t>
      </w:r>
    </w:p>
    <w:p w14:paraId="5878B50B">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13）发包人对承包人提供的货物在使用前进行调试时，承包人需负责安装并培训发包人的使用操作人员，并协助发包人一起调试，直到符合技术要求，发包人才做最终验收。</w:t>
      </w:r>
    </w:p>
    <w:p w14:paraId="55380D1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14）对技术复杂的货物，发包人应请国家认可的专业检测机构参与初步验收及最终验收，并由其出具质量检测报告。验收费用由承包人负责。</w:t>
      </w:r>
    </w:p>
    <w:p w14:paraId="21A99DD6">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15）验收时承包人必须在现场，验收完毕后作出验收结果报告；验收费用由承包人负责。</w:t>
      </w:r>
    </w:p>
    <w:p w14:paraId="7EA3D598">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16）项目如出现场内挖方区土方不能利用至回填区（土方不能场内平衡）的情况，承包人应配合发包人、设计单位、地勘单位等相关单位履行内部控制职责，对土方挖运方案和金额进行论证，并提供相关证明材料。</w:t>
      </w:r>
    </w:p>
    <w:p w14:paraId="452FE016">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17）承包人发生的土石方工程费用，应提供经发包人等相关单位核实的真实、完整有效的发票、银行转账凭证、账户或收据、合同等资料。</w:t>
      </w:r>
    </w:p>
    <w:p w14:paraId="01A75398">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18）承包人对实际施工与报送竣工结算相符情况负责，如因此出现较大的争议，在不影响工程结构安全的条件下，应配合进行随机钻芯取样抽查，并按设计图纸和抽查结果由点及面推算实际工程量进行竣工结算。</w:t>
      </w:r>
    </w:p>
    <w:p w14:paraId="518ECF95">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19）土石方工程的取土场、弃土场的租用、青苗补偿、场地恢复、平整、压实、检测、临时道路等一切作业费用由承包人自行考虑。施工过程不对土石方类别、施工机械、转运、降水、排水等其他费用，含政府临时性管制政策影响因素而发生的费用，如城乡清洁工程管理要求等因素进行费用签证。</w:t>
      </w:r>
    </w:p>
    <w:p w14:paraId="3CEB9171">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20）验收产生的一切费用由承包人承担。</w:t>
      </w:r>
    </w:p>
    <w:p w14:paraId="2FDE75EF">
      <w:pPr>
        <w:pStyle w:val="30"/>
        <w:spacing w:line="360" w:lineRule="auto"/>
        <w:ind w:firstLine="420" w:firstLineChars="200"/>
        <w:rPr>
          <w:rFonts w:ascii="仿宋" w:hAnsi="仿宋" w:eastAsia="仿宋" w:cs="仿宋"/>
          <w:color w:val="auto"/>
          <w:szCs w:val="21"/>
          <w:highlight w:val="none"/>
          <w:u w:val="single"/>
        </w:rPr>
      </w:pPr>
    </w:p>
    <w:p w14:paraId="1A565EBE">
      <w:pPr>
        <w:pStyle w:val="5"/>
        <w:numPr>
          <w:ilvl w:val="3"/>
          <w:numId w:val="0"/>
        </w:numPr>
        <w:tabs>
          <w:tab w:val="left" w:pos="2155"/>
          <w:tab w:val="clear" w:pos="912"/>
        </w:tabs>
        <w:rPr>
          <w:rFonts w:ascii="仿宋" w:hAnsi="仿宋" w:eastAsia="仿宋" w:cs="仿宋"/>
          <w:color w:val="auto"/>
          <w:highlight w:val="none"/>
        </w:rPr>
      </w:pPr>
      <w:bookmarkStart w:id="511" w:name="_Toc10781"/>
      <w:bookmarkStart w:id="512" w:name="_Toc166155238"/>
      <w:bookmarkStart w:id="513" w:name="_Toc257"/>
      <w:r>
        <w:rPr>
          <w:rFonts w:hint="eastAsia" w:ascii="仿宋" w:hAnsi="仿宋" w:eastAsia="仿宋" w:cs="仿宋"/>
          <w:color w:val="auto"/>
          <w:highlight w:val="none"/>
        </w:rPr>
        <w:t>3.2项目经理</w:t>
      </w:r>
      <w:bookmarkEnd w:id="511"/>
      <w:bookmarkEnd w:id="512"/>
      <w:bookmarkEnd w:id="513"/>
    </w:p>
    <w:p w14:paraId="3AA5664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3.2.1项目经理：</w:t>
      </w:r>
    </w:p>
    <w:p w14:paraId="4F5363E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姓名：_______，签名：</w:t>
      </w:r>
      <w:r>
        <w:rPr>
          <w:rFonts w:hint="eastAsia" w:ascii="仿宋" w:hAnsi="仿宋" w:eastAsia="仿宋" w:cs="仿宋"/>
          <w:b/>
          <w:color w:val="auto"/>
          <w:szCs w:val="21"/>
          <w:highlight w:val="none"/>
        </w:rPr>
        <w:t>__________________</w:t>
      </w:r>
      <w:r>
        <w:rPr>
          <w:rFonts w:hint="eastAsia" w:ascii="仿宋" w:hAnsi="仿宋" w:eastAsia="仿宋" w:cs="仿宋"/>
          <w:color w:val="auto"/>
          <w:szCs w:val="21"/>
          <w:highlight w:val="none"/>
        </w:rPr>
        <w:t>（本人手写）；</w:t>
      </w:r>
    </w:p>
    <w:p w14:paraId="178D715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身份证号：_______；</w:t>
      </w:r>
    </w:p>
    <w:p w14:paraId="3F39128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建造师执业资格等级：_______；</w:t>
      </w:r>
    </w:p>
    <w:p w14:paraId="16226E7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建造师注册证书号：_______；</w:t>
      </w:r>
    </w:p>
    <w:p w14:paraId="62C15CB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安全生产考核合格证书号：_______；</w:t>
      </w:r>
    </w:p>
    <w:p w14:paraId="0BA372B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0A3F543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电子信箱：</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4AB4D4B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通信地址：_______；</w:t>
      </w:r>
    </w:p>
    <w:p w14:paraId="1D254F5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承包人对项目经理的授权范围如下：</w:t>
      </w:r>
      <w:r>
        <w:rPr>
          <w:rFonts w:hint="eastAsia" w:ascii="仿宋" w:hAnsi="仿宋" w:eastAsia="仿宋" w:cs="仿宋"/>
          <w:color w:val="auto"/>
          <w:szCs w:val="21"/>
          <w:highlight w:val="none"/>
          <w:u w:val="single"/>
        </w:rPr>
        <w:t>代表承包人履行合同，以承包人名义协调处理与本工程有关的对内对外相关事务，签署签证，签发文件</w:t>
      </w:r>
      <w:r>
        <w:rPr>
          <w:rFonts w:hint="eastAsia" w:ascii="仿宋" w:hAnsi="仿宋" w:eastAsia="仿宋" w:cs="仿宋"/>
          <w:color w:val="auto"/>
          <w:szCs w:val="21"/>
          <w:highlight w:val="none"/>
        </w:rPr>
        <w:t>。</w:t>
      </w:r>
    </w:p>
    <w:p w14:paraId="0FA15AE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关于项目经理每月在施工现场的时间要求：</w:t>
      </w:r>
      <w:r>
        <w:rPr>
          <w:rFonts w:hint="eastAsia" w:ascii="仿宋" w:hAnsi="仿宋" w:eastAsia="仿宋" w:cs="仿宋"/>
          <w:color w:val="auto"/>
          <w:szCs w:val="21"/>
          <w:highlight w:val="none"/>
          <w:u w:val="single"/>
        </w:rPr>
        <w:t>建筑工程施工许可证颁发之日起到工程竣工验收合格之日止，每月不少于22天，每天不少于8小时，以发包人提供的指纹考勤机考勤记录为准，考勤记录没有的按不在现场处理，若出现考勤时弄虚作假的，当月均按不在现场处理</w:t>
      </w:r>
      <w:r>
        <w:rPr>
          <w:rFonts w:hint="eastAsia" w:ascii="仿宋" w:hAnsi="仿宋" w:eastAsia="仿宋" w:cs="仿宋"/>
          <w:color w:val="auto"/>
          <w:szCs w:val="21"/>
          <w:highlight w:val="none"/>
        </w:rPr>
        <w:t>。</w:t>
      </w:r>
    </w:p>
    <w:p w14:paraId="5EF2AD52">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承包人未提交劳动合同，以及没有为项目经理缴纳社会保险证明的违约责任：</w:t>
      </w:r>
      <w:r>
        <w:rPr>
          <w:rFonts w:hint="eastAsia" w:ascii="仿宋" w:hAnsi="仿宋" w:eastAsia="仿宋" w:cs="仿宋"/>
          <w:color w:val="auto"/>
          <w:szCs w:val="21"/>
          <w:highlight w:val="none"/>
          <w:u w:val="single"/>
        </w:rPr>
        <w:t>承包人需在开工期前20日内提交项目经理的劳动合同和社会保险证明，逾期未提交，承包人向发包人支付违约金（人民币）2000元/人•日，且发包人有权书面通知承包人更换项目经理。</w:t>
      </w:r>
    </w:p>
    <w:p w14:paraId="69AFAD5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项目经理未经批准，擅自离开施工现场的违约责任：</w:t>
      </w:r>
      <w:r>
        <w:rPr>
          <w:rFonts w:hint="eastAsia" w:ascii="仿宋" w:hAnsi="仿宋" w:eastAsia="仿宋" w:cs="仿宋"/>
          <w:color w:val="auto"/>
          <w:szCs w:val="21"/>
          <w:highlight w:val="none"/>
          <w:u w:val="single"/>
        </w:rPr>
        <w:t>项目经理每月在岗带班时间不得少于当月施工时间的80%。未经发包人同意或正当理由，项目经理每月在岗带班时间少于当月施工时间80%的，少在岗带班一天，发包人有权按（人民币）500元/日的标准计收（扣）违约金；项目经理确需离开施工现场时，必须事前书面请假，由项目总监理工程师审核后，经发包人项目现场代表、发包人分管该项目副处长签字同意后，才能有效请假，否则按不在现场处理。不得事后补办请假手续</w:t>
      </w:r>
      <w:r>
        <w:rPr>
          <w:rFonts w:hint="eastAsia" w:ascii="仿宋" w:hAnsi="仿宋" w:eastAsia="仿宋" w:cs="仿宋"/>
          <w:color w:val="auto"/>
          <w:szCs w:val="21"/>
          <w:highlight w:val="none"/>
        </w:rPr>
        <w:t>。</w:t>
      </w:r>
    </w:p>
    <w:p w14:paraId="082F5D4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3.2.3承包人擅自更换项目经理的违约责任：</w:t>
      </w:r>
      <w:r>
        <w:rPr>
          <w:rFonts w:hint="eastAsia" w:ascii="仿宋" w:hAnsi="仿宋" w:eastAsia="仿宋" w:cs="仿宋"/>
          <w:color w:val="auto"/>
          <w:szCs w:val="21"/>
          <w:highlight w:val="none"/>
          <w:u w:val="single"/>
        </w:rPr>
        <w:t>承包人项目经理必须与承包人投标时所承诺的人员一致，并在开工前到任，如开工后不能到任，视为违约，发包人有权解除合同。在监理人向承包人颁发竣工验收证明前，项目经理不得同时兼任其他任何项目的项目经理（符合《广西壮族自治区建筑市场诚信卡管理暂行办法》第十六条第一款及桂建管﹝2016﹞70号、桂建管〔2020〕11号文除外）。未经发包人书面同意，承包人擅自更换项目经理的视为违约，发包人有权解除合同并追究违约责任，违约金为（人民币）5000元/人•次</w:t>
      </w:r>
      <w:r>
        <w:rPr>
          <w:rFonts w:hint="eastAsia" w:ascii="仿宋" w:hAnsi="仿宋" w:eastAsia="仿宋" w:cs="仿宋"/>
          <w:color w:val="auto"/>
          <w:szCs w:val="21"/>
          <w:highlight w:val="none"/>
        </w:rPr>
        <w:t>。</w:t>
      </w:r>
    </w:p>
    <w:p w14:paraId="22AE98C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3.2.4承包人无正当理由拒绝更换项目经理的违约责任：</w:t>
      </w:r>
      <w:r>
        <w:rPr>
          <w:rFonts w:hint="eastAsia" w:ascii="仿宋" w:hAnsi="仿宋" w:eastAsia="仿宋" w:cs="仿宋"/>
          <w:color w:val="auto"/>
          <w:szCs w:val="21"/>
          <w:highlight w:val="none"/>
          <w:u w:val="single"/>
        </w:rPr>
        <w:t>因承包人项目经理不称职，发包人要求调换而15天内未调换的，视为承包人违约，必须立即更换并向发包人支付违约金（人民币）5000元/人•次</w:t>
      </w:r>
      <w:r>
        <w:rPr>
          <w:rFonts w:hint="eastAsia" w:ascii="仿宋" w:hAnsi="仿宋" w:eastAsia="仿宋" w:cs="仿宋"/>
          <w:color w:val="auto"/>
          <w:szCs w:val="21"/>
          <w:highlight w:val="none"/>
        </w:rPr>
        <w:t>。</w:t>
      </w:r>
    </w:p>
    <w:p w14:paraId="0BB3137C">
      <w:pPr>
        <w:pStyle w:val="5"/>
        <w:numPr>
          <w:ilvl w:val="3"/>
          <w:numId w:val="0"/>
        </w:numPr>
        <w:tabs>
          <w:tab w:val="left" w:pos="2155"/>
          <w:tab w:val="clear" w:pos="912"/>
        </w:tabs>
        <w:rPr>
          <w:rFonts w:ascii="仿宋" w:hAnsi="仿宋" w:eastAsia="仿宋" w:cs="仿宋"/>
          <w:color w:val="auto"/>
          <w:highlight w:val="none"/>
        </w:rPr>
      </w:pPr>
      <w:bookmarkStart w:id="514" w:name="_Toc4951"/>
      <w:bookmarkStart w:id="515" w:name="_Toc25286"/>
      <w:bookmarkStart w:id="516" w:name="_Toc166155239"/>
      <w:r>
        <w:rPr>
          <w:rFonts w:hint="eastAsia" w:ascii="仿宋" w:hAnsi="仿宋" w:eastAsia="仿宋" w:cs="仿宋"/>
          <w:color w:val="auto"/>
          <w:highlight w:val="none"/>
        </w:rPr>
        <w:t>3.3承包人人员</w:t>
      </w:r>
      <w:bookmarkEnd w:id="514"/>
      <w:bookmarkEnd w:id="515"/>
      <w:bookmarkEnd w:id="516"/>
    </w:p>
    <w:p w14:paraId="4FCE98A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3.3.1承包人提交项目管理机构及施工现场管理人员安排报告（格式见合同附件5）的期限：</w:t>
      </w:r>
      <w:r>
        <w:rPr>
          <w:rFonts w:hint="eastAsia" w:ascii="仿宋" w:hAnsi="仿宋" w:eastAsia="仿宋" w:cs="仿宋"/>
          <w:color w:val="auto"/>
          <w:szCs w:val="21"/>
          <w:highlight w:val="none"/>
          <w:u w:val="single"/>
        </w:rPr>
        <w:t>按通用条款执行</w:t>
      </w:r>
      <w:r>
        <w:rPr>
          <w:rFonts w:hint="eastAsia" w:ascii="仿宋" w:hAnsi="仿宋" w:eastAsia="仿宋" w:cs="仿宋"/>
          <w:color w:val="auto"/>
          <w:szCs w:val="21"/>
          <w:highlight w:val="none"/>
        </w:rPr>
        <w:t>。</w:t>
      </w:r>
    </w:p>
    <w:p w14:paraId="4F3C146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3.3.3承包人无正当理由拒绝撤换主要施工管理人员的违约责任：</w:t>
      </w:r>
      <w:r>
        <w:rPr>
          <w:rFonts w:hint="eastAsia" w:ascii="仿宋" w:hAnsi="仿宋" w:eastAsia="仿宋" w:cs="仿宋"/>
          <w:color w:val="auto"/>
          <w:szCs w:val="21"/>
          <w:highlight w:val="none"/>
          <w:u w:val="single"/>
        </w:rPr>
        <w:t>因承包人主要施工管理人员不称职，发包人要求调换而无正当理由拒绝撤换或未及时调换的，视为承包人违约，必须立即更换并向发包人支付违约金，违约金标准：技术负责人（人民币）2000元/人•次；其他管理人员（人民币）500元/人•次。主要施工管理人员（以投标文件中承诺的项目管理机构配备人员）详见附件5</w:t>
      </w:r>
      <w:r>
        <w:rPr>
          <w:rFonts w:hint="eastAsia" w:ascii="仿宋" w:hAnsi="仿宋" w:eastAsia="仿宋" w:cs="仿宋"/>
          <w:color w:val="auto"/>
          <w:szCs w:val="21"/>
          <w:highlight w:val="none"/>
        </w:rPr>
        <w:t>。</w:t>
      </w:r>
    </w:p>
    <w:p w14:paraId="50E0BC8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3.3.4承包人主要施工管理人员离开施工现场的批准要求：</w:t>
      </w:r>
      <w:r>
        <w:rPr>
          <w:rFonts w:hint="eastAsia" w:ascii="仿宋" w:hAnsi="仿宋" w:eastAsia="仿宋" w:cs="仿宋"/>
          <w:color w:val="auto"/>
          <w:szCs w:val="21"/>
          <w:highlight w:val="none"/>
          <w:u w:val="single"/>
        </w:rPr>
        <w:t>建筑工程施工许可证颁发之日起到工程竣工验收合格之日止的施工过程，项目技术负责人、专职安全生产管理人员、施工员、质检员每周至少5天、每天不少于8小时在现场组织项目实施，其他管理人员，每月至少15天、每天不少于8小时在现场。以发包人提供的指纹考勤机考勤记录为准，考勤记录没有的按不在现场处理，若出现考勤时弄虚作假的，当月均按不在现场处理；确需离开施工现场时，必须事前书面请假，由项目总监理工程师审核后，经发包人项目现场代表、发包人分管该项目副处长签字同意后，才能有效请假，否则按不在现场处理。不得事后补办请假手续</w:t>
      </w:r>
      <w:r>
        <w:rPr>
          <w:rFonts w:hint="eastAsia" w:ascii="仿宋" w:hAnsi="仿宋" w:eastAsia="仿宋" w:cs="仿宋"/>
          <w:color w:val="auto"/>
          <w:szCs w:val="21"/>
          <w:highlight w:val="none"/>
        </w:rPr>
        <w:t>。</w:t>
      </w:r>
    </w:p>
    <w:p w14:paraId="205A6D8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3.3.5承包人擅自更换主要施工管理人员的违约责任：</w:t>
      </w:r>
      <w:r>
        <w:rPr>
          <w:rFonts w:hint="eastAsia" w:ascii="仿宋" w:hAnsi="仿宋" w:eastAsia="仿宋" w:cs="仿宋"/>
          <w:color w:val="auto"/>
          <w:szCs w:val="21"/>
          <w:highlight w:val="none"/>
          <w:u w:val="single"/>
        </w:rPr>
        <w:t>项目技术负责人、专职安全生产管理人员及其承诺的其他在场管理人员未经发包人书面同意不准擅自更换，擅自更换项目技术负责人的，发包人有权按2000元/人•次的标准计收（扣）违约金；擅自更换专职安全生产管理人员的，发包人有权按（人民币）1000元/人•次的标准计收（扣）违约金；擅自更换其他在场管理人员的，发包人有权按（人民币）500元/人•次的标准计收（扣）违约金</w:t>
      </w:r>
      <w:r>
        <w:rPr>
          <w:rFonts w:hint="eastAsia" w:ascii="仿宋" w:hAnsi="仿宋" w:eastAsia="仿宋" w:cs="仿宋"/>
          <w:color w:val="auto"/>
          <w:szCs w:val="21"/>
          <w:highlight w:val="none"/>
        </w:rPr>
        <w:t>。</w:t>
      </w:r>
    </w:p>
    <w:p w14:paraId="28788B4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3.3.6承包人主要施工管理人员擅自离开施工现场的违约责任：</w:t>
      </w:r>
      <w:r>
        <w:rPr>
          <w:rFonts w:hint="eastAsia" w:ascii="仿宋" w:hAnsi="仿宋" w:eastAsia="仿宋" w:cs="仿宋"/>
          <w:color w:val="auto"/>
          <w:szCs w:val="21"/>
          <w:highlight w:val="none"/>
          <w:u w:val="single"/>
        </w:rPr>
        <w:t>未经发包人同意，项目技术负责人擅自离岗的，视为承包人违约，发包人有权按（人民币）2000元/人•次的标准计收（扣）违约金；未经发包人同意，专职安全生产管理人员擅自离岗的，视为承包人违约，发包人有权按（人民币）1000元/人•次的标准计收（扣）违约金；其他在场管理人员擅自离岗的，视为承包人违约，发包人有权按（人民币）500元/人•次的标准计收（扣）违约金</w:t>
      </w:r>
      <w:r>
        <w:rPr>
          <w:rFonts w:hint="eastAsia" w:ascii="仿宋" w:hAnsi="仿宋" w:eastAsia="仿宋" w:cs="仿宋"/>
          <w:color w:val="auto"/>
          <w:szCs w:val="21"/>
          <w:highlight w:val="none"/>
        </w:rPr>
        <w:t>。</w:t>
      </w:r>
    </w:p>
    <w:p w14:paraId="36FD6AFF">
      <w:pPr>
        <w:pStyle w:val="5"/>
        <w:numPr>
          <w:ilvl w:val="3"/>
          <w:numId w:val="0"/>
        </w:numPr>
        <w:tabs>
          <w:tab w:val="left" w:pos="2155"/>
          <w:tab w:val="clear" w:pos="912"/>
        </w:tabs>
        <w:rPr>
          <w:rFonts w:ascii="仿宋" w:hAnsi="仿宋" w:eastAsia="仿宋" w:cs="仿宋"/>
          <w:color w:val="auto"/>
          <w:highlight w:val="none"/>
        </w:rPr>
      </w:pPr>
      <w:bookmarkStart w:id="517" w:name="_Toc16524"/>
      <w:bookmarkStart w:id="518" w:name="_Toc1136"/>
      <w:bookmarkStart w:id="519" w:name="_Toc166155240"/>
      <w:r>
        <w:rPr>
          <w:rFonts w:hint="eastAsia" w:ascii="仿宋" w:hAnsi="仿宋" w:eastAsia="仿宋" w:cs="仿宋"/>
          <w:color w:val="auto"/>
          <w:highlight w:val="none"/>
        </w:rPr>
        <w:t>3.5分包</w:t>
      </w:r>
      <w:bookmarkEnd w:id="517"/>
      <w:bookmarkEnd w:id="518"/>
      <w:bookmarkEnd w:id="519"/>
    </w:p>
    <w:p w14:paraId="592F765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highlight w:val="none"/>
          <w:u w:val="single"/>
        </w:rPr>
        <w:t xml:space="preserve">    本工程不允许分包       </w:t>
      </w:r>
      <w:r>
        <w:rPr>
          <w:rFonts w:hint="eastAsia" w:ascii="仿宋" w:hAnsi="仿宋" w:eastAsia="仿宋" w:cs="仿宋"/>
          <w:color w:val="auto"/>
          <w:highlight w:val="none"/>
        </w:rPr>
        <w:t>。</w:t>
      </w:r>
    </w:p>
    <w:p w14:paraId="17890814">
      <w:pPr>
        <w:pStyle w:val="5"/>
        <w:numPr>
          <w:ilvl w:val="3"/>
          <w:numId w:val="0"/>
        </w:numPr>
        <w:tabs>
          <w:tab w:val="left" w:pos="2155"/>
          <w:tab w:val="clear" w:pos="912"/>
        </w:tabs>
        <w:rPr>
          <w:rFonts w:ascii="仿宋" w:hAnsi="仿宋" w:eastAsia="仿宋" w:cs="仿宋"/>
          <w:color w:val="auto"/>
          <w:highlight w:val="none"/>
        </w:rPr>
      </w:pPr>
      <w:bookmarkStart w:id="520" w:name="_Toc6406"/>
      <w:bookmarkStart w:id="521" w:name="_Toc166155241"/>
      <w:bookmarkStart w:id="522" w:name="_Toc1390"/>
      <w:r>
        <w:rPr>
          <w:rFonts w:hint="eastAsia" w:ascii="仿宋" w:hAnsi="仿宋" w:eastAsia="仿宋" w:cs="仿宋"/>
          <w:color w:val="auto"/>
          <w:highlight w:val="none"/>
        </w:rPr>
        <w:t>3.6工程照管与成品、半成品保护</w:t>
      </w:r>
      <w:bookmarkEnd w:id="520"/>
      <w:bookmarkEnd w:id="521"/>
      <w:bookmarkEnd w:id="522"/>
    </w:p>
    <w:p w14:paraId="467DA5F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承包人负责照管工程及工程相关的材料、工程设备的起始时间：</w:t>
      </w:r>
      <w:r>
        <w:rPr>
          <w:rFonts w:hint="eastAsia" w:ascii="仿宋" w:hAnsi="仿宋" w:eastAsia="仿宋" w:cs="仿宋"/>
          <w:color w:val="auto"/>
          <w:szCs w:val="21"/>
          <w:highlight w:val="none"/>
          <w:u w:val="single"/>
        </w:rPr>
        <w:t>按通用条款执行</w:t>
      </w:r>
      <w:r>
        <w:rPr>
          <w:rFonts w:hint="eastAsia" w:ascii="仿宋" w:hAnsi="仿宋" w:eastAsia="仿宋" w:cs="仿宋"/>
          <w:color w:val="auto"/>
          <w:szCs w:val="21"/>
          <w:highlight w:val="none"/>
        </w:rPr>
        <w:t>。</w:t>
      </w:r>
    </w:p>
    <w:p w14:paraId="2412D26B">
      <w:pPr>
        <w:pStyle w:val="5"/>
        <w:numPr>
          <w:ilvl w:val="3"/>
          <w:numId w:val="0"/>
        </w:numPr>
        <w:tabs>
          <w:tab w:val="left" w:pos="2155"/>
          <w:tab w:val="clear" w:pos="912"/>
        </w:tabs>
        <w:rPr>
          <w:rFonts w:ascii="仿宋" w:hAnsi="仿宋" w:eastAsia="仿宋" w:cs="仿宋"/>
          <w:color w:val="auto"/>
          <w:highlight w:val="none"/>
        </w:rPr>
      </w:pPr>
      <w:bookmarkStart w:id="523" w:name="_Toc31705"/>
      <w:bookmarkStart w:id="524" w:name="_Toc17168"/>
      <w:bookmarkStart w:id="525" w:name="_Toc166155242"/>
      <w:r>
        <w:rPr>
          <w:rFonts w:hint="eastAsia" w:ascii="仿宋" w:hAnsi="仿宋" w:eastAsia="仿宋" w:cs="仿宋"/>
          <w:color w:val="auto"/>
          <w:highlight w:val="none"/>
        </w:rPr>
        <w:t>3.7履约保证金</w:t>
      </w:r>
      <w:bookmarkEnd w:id="523"/>
      <w:bookmarkEnd w:id="524"/>
      <w:bookmarkEnd w:id="525"/>
    </w:p>
    <w:p w14:paraId="6D3E3B00">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承包人提供履约担保金额及期限：</w:t>
      </w:r>
      <w:r>
        <w:rPr>
          <w:rFonts w:hint="eastAsia" w:ascii="仿宋" w:hAnsi="仿宋" w:eastAsia="仿宋" w:cs="仿宋"/>
          <w:color w:val="auto"/>
          <w:szCs w:val="21"/>
          <w:highlight w:val="none"/>
          <w:u w:val="single"/>
        </w:rPr>
        <w:t>本项目不收取履约保证金。</w:t>
      </w:r>
    </w:p>
    <w:p w14:paraId="11D7ED91">
      <w:pPr>
        <w:pStyle w:val="4"/>
        <w:rPr>
          <w:rFonts w:ascii="仿宋" w:hAnsi="仿宋" w:eastAsia="仿宋" w:cs="仿宋"/>
          <w:color w:val="auto"/>
          <w:highlight w:val="none"/>
        </w:rPr>
      </w:pPr>
      <w:bookmarkStart w:id="526" w:name="_Toc21399"/>
      <w:bookmarkStart w:id="527" w:name="_Toc28477"/>
      <w:bookmarkStart w:id="528" w:name="_Toc166155243"/>
      <w:bookmarkStart w:id="529" w:name="_Toc27794"/>
      <w:bookmarkStart w:id="530" w:name="_Toc27214"/>
      <w:r>
        <w:rPr>
          <w:rFonts w:hint="eastAsia" w:ascii="仿宋" w:hAnsi="仿宋" w:eastAsia="仿宋" w:cs="仿宋"/>
          <w:color w:val="auto"/>
          <w:highlight w:val="none"/>
        </w:rPr>
        <w:t>4.监理人</w:t>
      </w:r>
      <w:bookmarkEnd w:id="526"/>
      <w:bookmarkEnd w:id="527"/>
      <w:bookmarkEnd w:id="528"/>
      <w:bookmarkEnd w:id="529"/>
      <w:bookmarkEnd w:id="530"/>
    </w:p>
    <w:p w14:paraId="7965AACE">
      <w:pPr>
        <w:pStyle w:val="5"/>
        <w:numPr>
          <w:ilvl w:val="3"/>
          <w:numId w:val="0"/>
        </w:numPr>
        <w:tabs>
          <w:tab w:val="left" w:pos="2155"/>
          <w:tab w:val="clear" w:pos="912"/>
        </w:tabs>
        <w:rPr>
          <w:rFonts w:ascii="仿宋" w:hAnsi="仿宋" w:eastAsia="仿宋" w:cs="仿宋"/>
          <w:color w:val="auto"/>
          <w:highlight w:val="none"/>
        </w:rPr>
      </w:pPr>
      <w:bookmarkStart w:id="531" w:name="_Toc166155244"/>
      <w:bookmarkStart w:id="532" w:name="_Toc1736"/>
      <w:bookmarkStart w:id="533" w:name="_Toc1791"/>
      <w:r>
        <w:rPr>
          <w:rFonts w:hint="eastAsia" w:ascii="仿宋" w:hAnsi="仿宋" w:eastAsia="仿宋" w:cs="仿宋"/>
          <w:color w:val="auto"/>
          <w:highlight w:val="none"/>
        </w:rPr>
        <w:t>4.1监理人的一般规定</w:t>
      </w:r>
      <w:bookmarkEnd w:id="531"/>
      <w:bookmarkEnd w:id="532"/>
      <w:bookmarkEnd w:id="533"/>
    </w:p>
    <w:p w14:paraId="487C4D2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关于监理人的监理内容：</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14:paraId="183FF06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关于监理人的监理权限：</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14:paraId="7E1CD45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关于监理人在施工现场的办公场所、生活场所的提供和费用承担的约定：</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w:t>
      </w:r>
    </w:p>
    <w:p w14:paraId="24D531D4">
      <w:pPr>
        <w:pStyle w:val="5"/>
        <w:numPr>
          <w:ilvl w:val="3"/>
          <w:numId w:val="0"/>
        </w:numPr>
        <w:tabs>
          <w:tab w:val="left" w:pos="2155"/>
          <w:tab w:val="clear" w:pos="912"/>
        </w:tabs>
        <w:rPr>
          <w:rFonts w:ascii="仿宋" w:hAnsi="仿宋" w:eastAsia="仿宋" w:cs="仿宋"/>
          <w:color w:val="auto"/>
          <w:highlight w:val="none"/>
        </w:rPr>
      </w:pPr>
      <w:bookmarkStart w:id="534" w:name="_Toc23328"/>
      <w:bookmarkStart w:id="535" w:name="_Toc166155245"/>
      <w:bookmarkStart w:id="536" w:name="_Toc8493"/>
      <w:r>
        <w:rPr>
          <w:rFonts w:hint="eastAsia" w:ascii="仿宋" w:hAnsi="仿宋" w:eastAsia="仿宋" w:cs="仿宋"/>
          <w:color w:val="auto"/>
          <w:highlight w:val="none"/>
        </w:rPr>
        <w:t>4.2监理人员</w:t>
      </w:r>
      <w:bookmarkEnd w:id="534"/>
      <w:bookmarkEnd w:id="535"/>
      <w:bookmarkEnd w:id="536"/>
    </w:p>
    <w:p w14:paraId="7E7DE06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总监理工程师：</w:t>
      </w:r>
    </w:p>
    <w:p w14:paraId="6FB9C30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3AB8A0D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职务：</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711FD06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监理工程师注册证书号：</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1D58607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联系电话：</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34CA8C8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电子信箱：</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33C7963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通信地址：</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0AFAFAE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关于监理人的其他约定：</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49589F45">
      <w:pPr>
        <w:pStyle w:val="5"/>
        <w:numPr>
          <w:ilvl w:val="3"/>
          <w:numId w:val="0"/>
        </w:numPr>
        <w:tabs>
          <w:tab w:val="left" w:pos="2155"/>
          <w:tab w:val="clear" w:pos="912"/>
        </w:tabs>
        <w:rPr>
          <w:rFonts w:ascii="仿宋" w:hAnsi="仿宋" w:eastAsia="仿宋" w:cs="仿宋"/>
          <w:color w:val="auto"/>
          <w:highlight w:val="none"/>
        </w:rPr>
      </w:pPr>
      <w:bookmarkStart w:id="537" w:name="_Toc166155246"/>
      <w:bookmarkStart w:id="538" w:name="_Toc32667"/>
      <w:bookmarkStart w:id="539" w:name="_Toc18574"/>
      <w:r>
        <w:rPr>
          <w:rFonts w:hint="eastAsia" w:ascii="仿宋" w:hAnsi="仿宋" w:eastAsia="仿宋" w:cs="仿宋"/>
          <w:color w:val="auto"/>
          <w:highlight w:val="none"/>
        </w:rPr>
        <w:t>4.4商定或确定</w:t>
      </w:r>
      <w:bookmarkEnd w:id="537"/>
      <w:bookmarkEnd w:id="538"/>
      <w:bookmarkEnd w:id="539"/>
    </w:p>
    <w:p w14:paraId="5D0AE28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在发包人和承包人不能通过协商达成一致意见时，发包人授权监理人对以下事项进行确定：</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4150496A">
      <w:pPr>
        <w:pStyle w:val="4"/>
        <w:rPr>
          <w:rFonts w:ascii="仿宋" w:hAnsi="仿宋" w:eastAsia="仿宋" w:cs="仿宋"/>
          <w:color w:val="auto"/>
          <w:highlight w:val="none"/>
        </w:rPr>
      </w:pPr>
      <w:bookmarkStart w:id="540" w:name="_Toc5715"/>
      <w:bookmarkStart w:id="541" w:name="_Toc23559"/>
      <w:bookmarkStart w:id="542" w:name="_Toc26234"/>
      <w:bookmarkStart w:id="543" w:name="_Toc23708"/>
      <w:bookmarkStart w:id="544" w:name="_Toc166155247"/>
      <w:r>
        <w:rPr>
          <w:rFonts w:hint="eastAsia" w:ascii="仿宋" w:hAnsi="仿宋" w:eastAsia="仿宋" w:cs="仿宋"/>
          <w:color w:val="auto"/>
          <w:highlight w:val="none"/>
        </w:rPr>
        <w:t>5.工程质量</w:t>
      </w:r>
      <w:bookmarkEnd w:id="540"/>
      <w:bookmarkEnd w:id="541"/>
      <w:bookmarkEnd w:id="542"/>
      <w:bookmarkEnd w:id="543"/>
      <w:bookmarkEnd w:id="544"/>
    </w:p>
    <w:p w14:paraId="4B0CBE29">
      <w:pPr>
        <w:pStyle w:val="5"/>
        <w:numPr>
          <w:ilvl w:val="3"/>
          <w:numId w:val="0"/>
        </w:numPr>
        <w:tabs>
          <w:tab w:val="left" w:pos="2155"/>
          <w:tab w:val="clear" w:pos="912"/>
        </w:tabs>
        <w:rPr>
          <w:rFonts w:ascii="仿宋" w:hAnsi="仿宋" w:eastAsia="仿宋" w:cs="仿宋"/>
          <w:color w:val="auto"/>
          <w:highlight w:val="none"/>
        </w:rPr>
      </w:pPr>
      <w:bookmarkStart w:id="545" w:name="_Toc166155248"/>
      <w:bookmarkStart w:id="546" w:name="_Toc19362"/>
      <w:bookmarkStart w:id="547" w:name="_Toc32272"/>
      <w:r>
        <w:rPr>
          <w:rFonts w:hint="eastAsia" w:ascii="仿宋" w:hAnsi="仿宋" w:eastAsia="仿宋" w:cs="仿宋"/>
          <w:color w:val="auto"/>
          <w:highlight w:val="none"/>
        </w:rPr>
        <w:t>5.1质量要求</w:t>
      </w:r>
      <w:bookmarkEnd w:id="545"/>
      <w:bookmarkEnd w:id="546"/>
      <w:bookmarkEnd w:id="547"/>
    </w:p>
    <w:p w14:paraId="1795D59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5.1.1特殊质量标准和要求：</w:t>
      </w:r>
      <w:r>
        <w:rPr>
          <w:rFonts w:hint="eastAsia" w:ascii="仿宋" w:hAnsi="仿宋" w:eastAsia="仿宋" w:cs="仿宋"/>
          <w:color w:val="auto"/>
          <w:szCs w:val="21"/>
          <w:highlight w:val="none"/>
          <w:u w:val="single"/>
        </w:rPr>
        <w:t>工程质量标准必须符合现行国家有关工程施工质量验收规范和标准的要求达到合格标准。严格执行广西壮族自治区住房和城乡建设厅《关于严格实行房屋建筑和市政基础设施工程质量终身责任承诺、永久性质量责任标牌、终身责任信息档案等制度的通知》（桂建管[2014]96号）和南宁市城乡建设委员会《关于落实建设工程质量终身责任，加强工程质量管理的通知》（南建质安[2014]155号）要求，落实建设工程质量终身责任</w:t>
      </w:r>
      <w:r>
        <w:rPr>
          <w:rFonts w:hint="eastAsia" w:ascii="仿宋" w:hAnsi="仿宋" w:eastAsia="仿宋" w:cs="仿宋"/>
          <w:color w:val="auto"/>
          <w:szCs w:val="21"/>
          <w:highlight w:val="none"/>
        </w:rPr>
        <w:t>。</w:t>
      </w:r>
    </w:p>
    <w:p w14:paraId="6A7C7FC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关于工程奖项的约定：</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5B0B260E">
      <w:pPr>
        <w:pStyle w:val="5"/>
        <w:numPr>
          <w:ilvl w:val="3"/>
          <w:numId w:val="0"/>
        </w:numPr>
        <w:tabs>
          <w:tab w:val="left" w:pos="2155"/>
          <w:tab w:val="clear" w:pos="912"/>
        </w:tabs>
        <w:rPr>
          <w:rFonts w:ascii="仿宋" w:hAnsi="仿宋" w:eastAsia="仿宋" w:cs="仿宋"/>
          <w:color w:val="auto"/>
          <w:highlight w:val="none"/>
        </w:rPr>
      </w:pPr>
      <w:bookmarkStart w:id="548" w:name="_Toc28034"/>
      <w:bookmarkStart w:id="549" w:name="_Toc19534"/>
      <w:bookmarkStart w:id="550" w:name="_Toc166155249"/>
      <w:r>
        <w:rPr>
          <w:rFonts w:hint="eastAsia" w:ascii="仿宋" w:hAnsi="仿宋" w:eastAsia="仿宋" w:cs="仿宋"/>
          <w:color w:val="auto"/>
          <w:highlight w:val="none"/>
        </w:rPr>
        <w:t>5.3隐蔽工程检查</w:t>
      </w:r>
      <w:bookmarkEnd w:id="548"/>
      <w:bookmarkEnd w:id="549"/>
      <w:bookmarkEnd w:id="550"/>
    </w:p>
    <w:p w14:paraId="72BF1F7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5.3.2承包人提前通知监理人隐蔽工程检查的期限的约定：工程隐蔽或中间验收前24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703D43A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监理人不能按时进行检查时，应提前</w:t>
      </w:r>
      <w:r>
        <w:rPr>
          <w:rFonts w:hint="eastAsia" w:ascii="仿宋" w:hAnsi="仿宋" w:eastAsia="仿宋" w:cs="仿宋"/>
          <w:color w:val="auto"/>
          <w:szCs w:val="21"/>
          <w:highlight w:val="none"/>
          <w:u w:val="single"/>
        </w:rPr>
        <w:t>12</w:t>
      </w:r>
      <w:r>
        <w:rPr>
          <w:rFonts w:hint="eastAsia" w:ascii="仿宋" w:hAnsi="仿宋" w:eastAsia="仿宋" w:cs="仿宋"/>
          <w:color w:val="auto"/>
          <w:szCs w:val="21"/>
          <w:highlight w:val="none"/>
        </w:rPr>
        <w:t>小时提交书面延期要求。</w:t>
      </w:r>
    </w:p>
    <w:p w14:paraId="7CD8AE4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关于延期最长不得超过：</w:t>
      </w:r>
      <w:r>
        <w:rPr>
          <w:rFonts w:hint="eastAsia" w:ascii="仿宋" w:hAnsi="仿宋" w:eastAsia="仿宋" w:cs="仿宋"/>
          <w:color w:val="auto"/>
          <w:szCs w:val="21"/>
          <w:highlight w:val="none"/>
          <w:u w:val="single"/>
        </w:rPr>
        <w:t>24</w:t>
      </w:r>
      <w:r>
        <w:rPr>
          <w:rFonts w:hint="eastAsia" w:ascii="仿宋" w:hAnsi="仿宋" w:eastAsia="仿宋" w:cs="仿宋"/>
          <w:color w:val="auto"/>
          <w:szCs w:val="21"/>
          <w:highlight w:val="none"/>
        </w:rPr>
        <w:t>小时。</w:t>
      </w:r>
    </w:p>
    <w:p w14:paraId="663FCC4A">
      <w:pPr>
        <w:pStyle w:val="4"/>
        <w:rPr>
          <w:rFonts w:ascii="仿宋" w:hAnsi="仿宋" w:eastAsia="仿宋" w:cs="仿宋"/>
          <w:color w:val="auto"/>
          <w:highlight w:val="none"/>
        </w:rPr>
      </w:pPr>
      <w:bookmarkStart w:id="551" w:name="_Toc2811"/>
      <w:bookmarkStart w:id="552" w:name="_Toc31633"/>
      <w:bookmarkStart w:id="553" w:name="_Toc30694"/>
      <w:bookmarkStart w:id="554" w:name="_Toc166155250"/>
      <w:bookmarkStart w:id="555" w:name="_Toc10098"/>
      <w:r>
        <w:rPr>
          <w:rFonts w:hint="eastAsia" w:ascii="仿宋" w:hAnsi="仿宋" w:eastAsia="仿宋" w:cs="仿宋"/>
          <w:color w:val="auto"/>
          <w:highlight w:val="none"/>
        </w:rPr>
        <w:t>6.安全文明施工与环境保护</w:t>
      </w:r>
      <w:bookmarkEnd w:id="551"/>
      <w:bookmarkEnd w:id="552"/>
      <w:bookmarkEnd w:id="553"/>
      <w:bookmarkEnd w:id="554"/>
      <w:bookmarkEnd w:id="555"/>
    </w:p>
    <w:p w14:paraId="72A01BAE">
      <w:pPr>
        <w:pStyle w:val="5"/>
        <w:numPr>
          <w:ilvl w:val="3"/>
          <w:numId w:val="0"/>
        </w:numPr>
        <w:tabs>
          <w:tab w:val="left" w:pos="2155"/>
          <w:tab w:val="clear" w:pos="912"/>
        </w:tabs>
        <w:rPr>
          <w:rFonts w:ascii="仿宋" w:hAnsi="仿宋" w:eastAsia="仿宋" w:cs="仿宋"/>
          <w:color w:val="auto"/>
          <w:highlight w:val="none"/>
        </w:rPr>
      </w:pPr>
      <w:bookmarkStart w:id="556" w:name="_Toc10333"/>
      <w:bookmarkStart w:id="557" w:name="_Toc166155251"/>
      <w:bookmarkStart w:id="558" w:name="_Toc27486"/>
      <w:r>
        <w:rPr>
          <w:rFonts w:hint="eastAsia" w:ascii="仿宋" w:hAnsi="仿宋" w:eastAsia="仿宋" w:cs="仿宋"/>
          <w:color w:val="auto"/>
          <w:highlight w:val="none"/>
        </w:rPr>
        <w:t>6.1安全文明施工</w:t>
      </w:r>
      <w:bookmarkEnd w:id="556"/>
      <w:bookmarkEnd w:id="557"/>
      <w:bookmarkEnd w:id="558"/>
    </w:p>
    <w:p w14:paraId="43FDEC8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6.1.1项目安全生产的达标目标及相应事项的约定：</w:t>
      </w:r>
      <w:r>
        <w:rPr>
          <w:rFonts w:hint="eastAsia" w:ascii="仿宋" w:hAnsi="仿宋" w:eastAsia="仿宋" w:cs="仿宋"/>
          <w:color w:val="auto"/>
          <w:szCs w:val="21"/>
          <w:highlight w:val="none"/>
          <w:u w:val="single"/>
        </w:rPr>
        <w:t>承包人对项目的施工应达到《建筑施工安全检查标准》（JGJ59-2011）要求，同时承包人应严格遵守《建设工程安全生产管理条例》和建设部《建筑工程安全防护、文明施工措施费及使用管理规定》、《广西壮族自治区建筑工程安全防护、文明施工措施费及使用管理细则》及国家、行业、地方其他有关安全生产管理规定或办法制度的有关规定，严格组织实施，并随时接受行业安全检查人员依法实施的监督检查，采取必要的安全防护措施，消除事故隐患，确保无安全生产事故发生，承包人承担因承包人责任而引发的任何事故</w:t>
      </w:r>
      <w:r>
        <w:rPr>
          <w:rFonts w:hint="eastAsia" w:ascii="仿宋" w:hAnsi="仿宋" w:eastAsia="仿宋" w:cs="仿宋"/>
          <w:color w:val="auto"/>
          <w:szCs w:val="21"/>
          <w:highlight w:val="none"/>
        </w:rPr>
        <w:t>。</w:t>
      </w:r>
    </w:p>
    <w:p w14:paraId="06133A1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关于安全文明施工奖项的约定：</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58F44AD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6.1.4关于治安保卫的特别约定：</w:t>
      </w:r>
      <w:r>
        <w:rPr>
          <w:rFonts w:hint="eastAsia" w:ascii="仿宋" w:hAnsi="仿宋" w:eastAsia="仿宋" w:cs="仿宋"/>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地应自费配备消防设备，防止火灾发生。同时承包人应按照发包人相关规定做好安全管理工作。承包人承担因承包人责任而引发的任何事故。</w:t>
      </w:r>
    </w:p>
    <w:p w14:paraId="540ABF3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关于编制施工场地治安管理计划的约定：</w:t>
      </w:r>
      <w:r>
        <w:rPr>
          <w:rFonts w:hint="eastAsia" w:ascii="仿宋" w:hAnsi="仿宋" w:eastAsia="仿宋" w:cs="仿宋"/>
          <w:color w:val="auto"/>
          <w:szCs w:val="21"/>
          <w:highlight w:val="none"/>
          <w:u w:val="single"/>
        </w:rPr>
        <w:t>必须严格按照《中华人民共和国治安管理法》及《广西壮族自治区社会治安综合治理条例》要求编制治安管理计划，开工前提供经发包人同意的施工场地治安管理计划</w:t>
      </w:r>
      <w:r>
        <w:rPr>
          <w:rFonts w:hint="eastAsia" w:ascii="仿宋" w:hAnsi="仿宋" w:eastAsia="仿宋" w:cs="仿宋"/>
          <w:color w:val="auto"/>
          <w:szCs w:val="21"/>
          <w:highlight w:val="none"/>
        </w:rPr>
        <w:t>。</w:t>
      </w:r>
    </w:p>
    <w:p w14:paraId="5D5D626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6.1.5文明施工</w:t>
      </w:r>
    </w:p>
    <w:p w14:paraId="4A6583B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合同当事人对文明施工的要求：</w:t>
      </w:r>
      <w:r>
        <w:rPr>
          <w:rFonts w:hint="eastAsia" w:ascii="仿宋" w:hAnsi="仿宋" w:eastAsia="仿宋" w:cs="仿宋"/>
          <w:color w:val="auto"/>
          <w:szCs w:val="21"/>
          <w:highlight w:val="none"/>
          <w:u w:val="single"/>
        </w:rPr>
        <w:t>严格执行《大气污染防治法》、《广西壮族自治区建筑工程安全生产管理办法》以及南宁市关于安全生产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r>
        <w:rPr>
          <w:rFonts w:hint="eastAsia" w:ascii="仿宋" w:hAnsi="仿宋" w:eastAsia="仿宋" w:cs="仿宋"/>
          <w:color w:val="auto"/>
          <w:szCs w:val="21"/>
          <w:highlight w:val="none"/>
        </w:rPr>
        <w:t>。</w:t>
      </w:r>
    </w:p>
    <w:p w14:paraId="23DBBCCD">
      <w:pPr>
        <w:pStyle w:val="30"/>
        <w:spacing w:line="360" w:lineRule="auto"/>
        <w:ind w:firstLine="420" w:firstLineChars="200"/>
        <w:rPr>
          <w:rFonts w:ascii="仿宋" w:hAnsi="仿宋" w:eastAsia="仿宋" w:cs="仿宋"/>
          <w:color w:val="auto"/>
          <w:szCs w:val="21"/>
          <w:highlight w:val="none"/>
        </w:rPr>
      </w:pPr>
    </w:p>
    <w:p w14:paraId="13C1E948">
      <w:pPr>
        <w:pStyle w:val="5"/>
        <w:numPr>
          <w:ilvl w:val="3"/>
          <w:numId w:val="0"/>
        </w:numPr>
        <w:tabs>
          <w:tab w:val="left" w:pos="2155"/>
          <w:tab w:val="clear" w:pos="912"/>
        </w:tabs>
        <w:rPr>
          <w:rFonts w:ascii="仿宋" w:hAnsi="仿宋" w:eastAsia="仿宋" w:cs="仿宋"/>
          <w:color w:val="auto"/>
          <w:highlight w:val="none"/>
        </w:rPr>
      </w:pPr>
      <w:bookmarkStart w:id="559" w:name="_Toc166155252"/>
      <w:bookmarkStart w:id="560" w:name="_Toc27328"/>
      <w:bookmarkStart w:id="561" w:name="_Toc2302"/>
      <w:r>
        <w:rPr>
          <w:rFonts w:hint="eastAsia" w:ascii="仿宋" w:hAnsi="仿宋" w:eastAsia="仿宋" w:cs="仿宋"/>
          <w:color w:val="auto"/>
          <w:highlight w:val="none"/>
        </w:rPr>
        <w:t>6.3环境保护</w:t>
      </w:r>
      <w:bookmarkEnd w:id="559"/>
      <w:bookmarkEnd w:id="560"/>
      <w:bookmarkEnd w:id="561"/>
    </w:p>
    <w:p w14:paraId="0D932971">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因施工需要，经发包人批准，由承包人办理有关施工场地交通、环卫和施工噪音管理等手续，费用由承包人负责。</w:t>
      </w:r>
    </w:p>
    <w:p w14:paraId="16D98CB1">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经过城市道路的施工车辆，必须按交警、城管、运输等部门相关规定执行。由于施工车辆造成的道路、环境等污染，其责任和费用均由承包人承担。</w:t>
      </w:r>
    </w:p>
    <w:p w14:paraId="7E8C057A">
      <w:pPr>
        <w:pStyle w:val="4"/>
        <w:rPr>
          <w:rFonts w:ascii="仿宋" w:hAnsi="仿宋" w:eastAsia="仿宋" w:cs="仿宋"/>
          <w:color w:val="auto"/>
          <w:highlight w:val="none"/>
        </w:rPr>
      </w:pPr>
      <w:bookmarkStart w:id="562" w:name="_Toc27034"/>
      <w:bookmarkStart w:id="563" w:name="_Toc166155253"/>
      <w:bookmarkStart w:id="564" w:name="_Toc11898"/>
      <w:bookmarkStart w:id="565" w:name="_Toc23381"/>
      <w:bookmarkStart w:id="566" w:name="_Toc11834"/>
      <w:r>
        <w:rPr>
          <w:rFonts w:hint="eastAsia" w:ascii="仿宋" w:hAnsi="仿宋" w:eastAsia="仿宋" w:cs="仿宋"/>
          <w:color w:val="auto"/>
          <w:highlight w:val="none"/>
        </w:rPr>
        <w:t>7.工期和进度</w:t>
      </w:r>
      <w:bookmarkEnd w:id="562"/>
      <w:bookmarkEnd w:id="563"/>
      <w:bookmarkEnd w:id="564"/>
      <w:bookmarkEnd w:id="565"/>
      <w:bookmarkEnd w:id="566"/>
    </w:p>
    <w:p w14:paraId="428EF42C">
      <w:pPr>
        <w:pStyle w:val="5"/>
        <w:numPr>
          <w:ilvl w:val="3"/>
          <w:numId w:val="0"/>
        </w:numPr>
        <w:tabs>
          <w:tab w:val="left" w:pos="2155"/>
          <w:tab w:val="clear" w:pos="912"/>
        </w:tabs>
        <w:rPr>
          <w:rFonts w:ascii="仿宋" w:hAnsi="仿宋" w:eastAsia="仿宋" w:cs="仿宋"/>
          <w:color w:val="auto"/>
          <w:highlight w:val="none"/>
        </w:rPr>
      </w:pPr>
      <w:bookmarkStart w:id="567" w:name="_Toc20889"/>
      <w:bookmarkStart w:id="568" w:name="_Toc166155254"/>
      <w:bookmarkStart w:id="569" w:name="_Toc6841"/>
      <w:r>
        <w:rPr>
          <w:rFonts w:hint="eastAsia" w:ascii="仿宋" w:hAnsi="仿宋" w:eastAsia="仿宋" w:cs="仿宋"/>
          <w:color w:val="auto"/>
          <w:highlight w:val="none"/>
        </w:rPr>
        <w:t>7.1施工组织设计</w:t>
      </w:r>
      <w:bookmarkEnd w:id="567"/>
      <w:bookmarkEnd w:id="568"/>
      <w:bookmarkEnd w:id="569"/>
    </w:p>
    <w:p w14:paraId="3E08F73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7.1.1合同当事人约定的施工组织设计应包括的其他内容：</w:t>
      </w:r>
      <w:r>
        <w:rPr>
          <w:rFonts w:hint="eastAsia" w:ascii="仿宋" w:hAnsi="仿宋" w:eastAsia="仿宋" w:cs="仿宋"/>
          <w:color w:val="auto"/>
          <w:szCs w:val="21"/>
          <w:highlight w:val="none"/>
          <w:u w:val="single"/>
        </w:rPr>
        <w:t>按通用条款执行，无其他内容要求</w:t>
      </w:r>
      <w:r>
        <w:rPr>
          <w:rFonts w:hint="eastAsia" w:ascii="仿宋" w:hAnsi="仿宋" w:eastAsia="仿宋" w:cs="仿宋"/>
          <w:color w:val="auto"/>
          <w:szCs w:val="21"/>
          <w:highlight w:val="none"/>
        </w:rPr>
        <w:t>。</w:t>
      </w:r>
    </w:p>
    <w:p w14:paraId="7341567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7.1.2施工组织设计的提交和修改</w:t>
      </w:r>
    </w:p>
    <w:p w14:paraId="725E355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承包人提交详细施工组织设计的期限的约定：</w:t>
      </w:r>
      <w:r>
        <w:rPr>
          <w:rFonts w:hint="eastAsia" w:ascii="仿宋" w:hAnsi="仿宋" w:eastAsia="仿宋" w:cs="仿宋"/>
          <w:color w:val="auto"/>
          <w:szCs w:val="21"/>
          <w:highlight w:val="none"/>
          <w:u w:val="single"/>
        </w:rPr>
        <w:t>承包人应在合同签订后5天内，但最迟不得晚于第7.3.2项〔开工通知〕载明的开工日期前7天，向监理人提交详细的施工组织设计，并由监理人报送发包人</w:t>
      </w:r>
      <w:r>
        <w:rPr>
          <w:rFonts w:hint="eastAsia" w:ascii="仿宋" w:hAnsi="仿宋" w:eastAsia="仿宋" w:cs="仿宋"/>
          <w:color w:val="auto"/>
          <w:szCs w:val="21"/>
          <w:highlight w:val="none"/>
        </w:rPr>
        <w:t>。</w:t>
      </w:r>
    </w:p>
    <w:p w14:paraId="5E9BEEC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发包人和监理人在收到详细的施工组织设计后确认或提出修改意见的期限：</w:t>
      </w:r>
      <w:r>
        <w:rPr>
          <w:rFonts w:hint="eastAsia" w:ascii="仿宋" w:hAnsi="仿宋" w:eastAsia="仿宋" w:cs="仿宋"/>
          <w:color w:val="auto"/>
          <w:szCs w:val="21"/>
          <w:highlight w:val="none"/>
          <w:u w:val="single"/>
        </w:rPr>
        <w:t>7天内</w:t>
      </w:r>
      <w:r>
        <w:rPr>
          <w:rFonts w:hint="eastAsia" w:ascii="仿宋" w:hAnsi="仿宋" w:eastAsia="仿宋" w:cs="仿宋"/>
          <w:color w:val="auto"/>
          <w:szCs w:val="21"/>
          <w:highlight w:val="none"/>
        </w:rPr>
        <w:t>。</w:t>
      </w:r>
    </w:p>
    <w:p w14:paraId="2BC7174F">
      <w:pPr>
        <w:pStyle w:val="5"/>
        <w:numPr>
          <w:ilvl w:val="3"/>
          <w:numId w:val="0"/>
        </w:numPr>
        <w:tabs>
          <w:tab w:val="left" w:pos="2155"/>
          <w:tab w:val="clear" w:pos="912"/>
        </w:tabs>
        <w:rPr>
          <w:rFonts w:ascii="仿宋" w:hAnsi="仿宋" w:eastAsia="仿宋" w:cs="仿宋"/>
          <w:color w:val="auto"/>
          <w:highlight w:val="none"/>
        </w:rPr>
      </w:pPr>
      <w:bookmarkStart w:id="570" w:name="_Toc13560"/>
      <w:bookmarkStart w:id="571" w:name="_Toc20553"/>
      <w:bookmarkStart w:id="572" w:name="_Toc166155255"/>
      <w:r>
        <w:rPr>
          <w:rFonts w:hint="eastAsia" w:ascii="仿宋" w:hAnsi="仿宋" w:eastAsia="仿宋" w:cs="仿宋"/>
          <w:color w:val="auto"/>
          <w:highlight w:val="none"/>
        </w:rPr>
        <w:t>7.2施工进度计划</w:t>
      </w:r>
      <w:bookmarkEnd w:id="570"/>
      <w:bookmarkEnd w:id="571"/>
      <w:bookmarkEnd w:id="572"/>
    </w:p>
    <w:p w14:paraId="1D82C2F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7.2.2施工进度计划的修订</w:t>
      </w:r>
    </w:p>
    <w:p w14:paraId="0CE054E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发包人和监理人在收到修订的施工进度计划后确认或提出修改意见的期限：</w:t>
      </w:r>
      <w:r>
        <w:rPr>
          <w:rFonts w:hint="eastAsia" w:ascii="仿宋" w:hAnsi="仿宋" w:eastAsia="仿宋" w:cs="仿宋"/>
          <w:color w:val="auto"/>
          <w:szCs w:val="21"/>
          <w:highlight w:val="none"/>
          <w:u w:val="single"/>
        </w:rPr>
        <w:t>7天内</w:t>
      </w:r>
      <w:r>
        <w:rPr>
          <w:rFonts w:hint="eastAsia" w:ascii="仿宋" w:hAnsi="仿宋" w:eastAsia="仿宋" w:cs="仿宋"/>
          <w:color w:val="auto"/>
          <w:szCs w:val="21"/>
          <w:highlight w:val="none"/>
        </w:rPr>
        <w:t>。</w:t>
      </w:r>
    </w:p>
    <w:p w14:paraId="0FDC9776">
      <w:pPr>
        <w:pStyle w:val="5"/>
        <w:numPr>
          <w:ilvl w:val="3"/>
          <w:numId w:val="0"/>
        </w:numPr>
        <w:tabs>
          <w:tab w:val="left" w:pos="2155"/>
          <w:tab w:val="clear" w:pos="912"/>
        </w:tabs>
        <w:rPr>
          <w:rFonts w:ascii="仿宋" w:hAnsi="仿宋" w:eastAsia="仿宋" w:cs="仿宋"/>
          <w:color w:val="auto"/>
          <w:highlight w:val="none"/>
        </w:rPr>
      </w:pPr>
      <w:bookmarkStart w:id="573" w:name="_Toc20059"/>
      <w:bookmarkStart w:id="574" w:name="_Toc7938"/>
      <w:bookmarkStart w:id="575" w:name="_Toc166155256"/>
      <w:r>
        <w:rPr>
          <w:rFonts w:hint="eastAsia" w:ascii="仿宋" w:hAnsi="仿宋" w:eastAsia="仿宋" w:cs="仿宋"/>
          <w:color w:val="auto"/>
          <w:highlight w:val="none"/>
        </w:rPr>
        <w:t>7.3开工</w:t>
      </w:r>
      <w:bookmarkEnd w:id="573"/>
      <w:bookmarkEnd w:id="574"/>
      <w:bookmarkEnd w:id="575"/>
    </w:p>
    <w:p w14:paraId="3F99964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7.3.1开工准备</w:t>
      </w:r>
    </w:p>
    <w:p w14:paraId="7780B50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关于承包人提交工程开工报审表的期限：</w:t>
      </w:r>
      <w:r>
        <w:rPr>
          <w:rFonts w:hint="eastAsia" w:ascii="仿宋" w:hAnsi="仿宋" w:eastAsia="仿宋" w:cs="仿宋"/>
          <w:color w:val="auto"/>
          <w:szCs w:val="21"/>
          <w:highlight w:val="none"/>
          <w:u w:val="single"/>
        </w:rPr>
        <w:t>发包人应按照法律规定获得工程施工所需的许可。经发包人同意后，监理人发出的开工通知应符合法律规定。监理人应在计划开工日期3天前向承包人发出开工通知，工期自开工通知中载明的开工日期起算</w:t>
      </w:r>
      <w:r>
        <w:rPr>
          <w:rFonts w:hint="eastAsia" w:ascii="仿宋" w:hAnsi="仿宋" w:eastAsia="仿宋" w:cs="仿宋"/>
          <w:color w:val="auto"/>
          <w:szCs w:val="21"/>
          <w:highlight w:val="none"/>
        </w:rPr>
        <w:t>。</w:t>
      </w:r>
    </w:p>
    <w:p w14:paraId="0E3BCB2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关于发包人应完成的其他开工准备工作及期限：</w:t>
      </w:r>
      <w:r>
        <w:rPr>
          <w:rFonts w:hint="eastAsia" w:ascii="仿宋" w:hAnsi="仿宋" w:eastAsia="仿宋" w:cs="仿宋"/>
          <w:color w:val="auto"/>
          <w:szCs w:val="21"/>
          <w:highlight w:val="none"/>
          <w:u w:val="single"/>
        </w:rPr>
        <w:t>开工通知发出前</w:t>
      </w:r>
      <w:r>
        <w:rPr>
          <w:rFonts w:hint="eastAsia" w:ascii="仿宋" w:hAnsi="仿宋" w:eastAsia="仿宋" w:cs="仿宋"/>
          <w:color w:val="auto"/>
          <w:szCs w:val="21"/>
          <w:highlight w:val="none"/>
        </w:rPr>
        <w:t>。</w:t>
      </w:r>
    </w:p>
    <w:p w14:paraId="4868A2A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关于承包人应完成的其他开工准备工作及期限：</w:t>
      </w:r>
      <w:r>
        <w:rPr>
          <w:rFonts w:hint="eastAsia" w:ascii="仿宋" w:hAnsi="仿宋" w:eastAsia="仿宋" w:cs="仿宋"/>
          <w:color w:val="auto"/>
          <w:szCs w:val="21"/>
          <w:highlight w:val="none"/>
          <w:u w:val="single"/>
        </w:rPr>
        <w:t>开工通知发出前</w:t>
      </w:r>
      <w:r>
        <w:rPr>
          <w:rFonts w:hint="eastAsia" w:ascii="仿宋" w:hAnsi="仿宋" w:eastAsia="仿宋" w:cs="仿宋"/>
          <w:color w:val="auto"/>
          <w:szCs w:val="21"/>
          <w:highlight w:val="none"/>
        </w:rPr>
        <w:t>。</w:t>
      </w:r>
    </w:p>
    <w:p w14:paraId="37ED886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7.3.2开工通知</w:t>
      </w:r>
    </w:p>
    <w:p w14:paraId="0AFF23A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因发包人原因造成监理人未能在计划开工日期之日起</w:t>
      </w:r>
      <w:r>
        <w:rPr>
          <w:rFonts w:hint="eastAsia" w:ascii="仿宋" w:hAnsi="仿宋" w:eastAsia="仿宋" w:cs="仿宋"/>
          <w:color w:val="auto"/>
          <w:szCs w:val="21"/>
          <w:highlight w:val="none"/>
          <w:u w:val="single"/>
        </w:rPr>
        <w:t>180</w:t>
      </w:r>
      <w:r>
        <w:rPr>
          <w:rFonts w:hint="eastAsia" w:ascii="仿宋" w:hAnsi="仿宋" w:eastAsia="仿宋" w:cs="仿宋"/>
          <w:color w:val="auto"/>
          <w:szCs w:val="21"/>
          <w:highlight w:val="none"/>
        </w:rPr>
        <w:t>天内发出开工通知的，承包人有权提出价格调整要求，或者解除合同。</w:t>
      </w:r>
    </w:p>
    <w:p w14:paraId="64743129">
      <w:pPr>
        <w:pStyle w:val="5"/>
        <w:numPr>
          <w:ilvl w:val="3"/>
          <w:numId w:val="0"/>
        </w:numPr>
        <w:tabs>
          <w:tab w:val="left" w:pos="2155"/>
          <w:tab w:val="clear" w:pos="912"/>
        </w:tabs>
        <w:rPr>
          <w:rFonts w:ascii="仿宋" w:hAnsi="仿宋" w:eastAsia="仿宋" w:cs="仿宋"/>
          <w:color w:val="auto"/>
          <w:highlight w:val="none"/>
        </w:rPr>
      </w:pPr>
      <w:bookmarkStart w:id="576" w:name="_Toc17930"/>
      <w:bookmarkStart w:id="577" w:name="_Toc166155257"/>
      <w:bookmarkStart w:id="578" w:name="_Toc29662"/>
      <w:r>
        <w:rPr>
          <w:rFonts w:hint="eastAsia" w:ascii="仿宋" w:hAnsi="仿宋" w:eastAsia="仿宋" w:cs="仿宋"/>
          <w:color w:val="auto"/>
          <w:highlight w:val="none"/>
        </w:rPr>
        <w:t>7.4测量放线</w:t>
      </w:r>
      <w:bookmarkEnd w:id="576"/>
      <w:bookmarkEnd w:id="577"/>
      <w:bookmarkEnd w:id="578"/>
    </w:p>
    <w:p w14:paraId="35122CA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7.4.1发包人通过监理人向承包人提供测量基准点、基准线和水准点及其书面资料的期限：</w:t>
      </w:r>
      <w:r>
        <w:rPr>
          <w:rFonts w:hint="eastAsia" w:ascii="仿宋" w:hAnsi="仿宋" w:eastAsia="仿宋" w:cs="仿宋"/>
          <w:color w:val="auto"/>
          <w:szCs w:val="21"/>
          <w:highlight w:val="none"/>
          <w:u w:val="single"/>
        </w:rPr>
        <w:t>开工前3天</w:t>
      </w:r>
      <w:r>
        <w:rPr>
          <w:rFonts w:hint="eastAsia" w:ascii="仿宋" w:hAnsi="仿宋" w:eastAsia="仿宋" w:cs="仿宋"/>
          <w:color w:val="auto"/>
          <w:szCs w:val="21"/>
          <w:highlight w:val="none"/>
        </w:rPr>
        <w:t>。</w:t>
      </w:r>
    </w:p>
    <w:p w14:paraId="57EC32F2">
      <w:pPr>
        <w:pStyle w:val="5"/>
        <w:numPr>
          <w:ilvl w:val="3"/>
          <w:numId w:val="0"/>
        </w:numPr>
        <w:tabs>
          <w:tab w:val="left" w:pos="2155"/>
          <w:tab w:val="clear" w:pos="912"/>
        </w:tabs>
        <w:rPr>
          <w:rFonts w:ascii="仿宋" w:hAnsi="仿宋" w:eastAsia="仿宋" w:cs="仿宋"/>
          <w:color w:val="auto"/>
          <w:highlight w:val="none"/>
        </w:rPr>
      </w:pPr>
      <w:bookmarkStart w:id="579" w:name="_Toc13064"/>
      <w:bookmarkStart w:id="580" w:name="_Toc166155258"/>
      <w:bookmarkStart w:id="581" w:name="_Toc14784"/>
      <w:r>
        <w:rPr>
          <w:rFonts w:hint="eastAsia" w:ascii="仿宋" w:hAnsi="仿宋" w:eastAsia="仿宋" w:cs="仿宋"/>
          <w:color w:val="auto"/>
          <w:highlight w:val="none"/>
        </w:rPr>
        <w:t>7.5工期延误</w:t>
      </w:r>
      <w:bookmarkEnd w:id="579"/>
      <w:bookmarkEnd w:id="580"/>
      <w:bookmarkEnd w:id="581"/>
    </w:p>
    <w:p w14:paraId="7E45C31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7.5.1因发包人原因导致工期延误</w:t>
      </w:r>
    </w:p>
    <w:p w14:paraId="744E29A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（7）因发包人原因导致工期延误的其他情形：</w:t>
      </w:r>
      <w:r>
        <w:rPr>
          <w:rFonts w:hint="eastAsia" w:ascii="仿宋" w:hAnsi="仿宋" w:eastAsia="仿宋" w:cs="仿宋"/>
          <w:color w:val="auto"/>
          <w:szCs w:val="21"/>
          <w:highlight w:val="none"/>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非承包人的责任造成的工期延误其他情形</w:t>
      </w:r>
      <w:r>
        <w:rPr>
          <w:rFonts w:hint="eastAsia" w:ascii="仿宋" w:hAnsi="仿宋" w:eastAsia="仿宋" w:cs="仿宋"/>
          <w:color w:val="auto"/>
          <w:szCs w:val="21"/>
          <w:highlight w:val="none"/>
        </w:rPr>
        <w:t>。</w:t>
      </w:r>
    </w:p>
    <w:p w14:paraId="7DA3E00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非承包人的责任影响关键线路工序施工，导致工期延误的，承包人每月底提交工期延误签证单，并附上相关证明材料，由发包人签证确认，作为工程结算的依据，逾期不再办理。</w:t>
      </w:r>
    </w:p>
    <w:p w14:paraId="4A07A7B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7.5.2因承包人原因导致工期延误</w:t>
      </w:r>
    </w:p>
    <w:p w14:paraId="1C37E10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双方约定经监理工程师确认，工期相应顺延的情况：</w:t>
      </w:r>
      <w:r>
        <w:rPr>
          <w:rFonts w:hint="eastAsia" w:ascii="仿宋" w:hAnsi="仿宋" w:eastAsia="仿宋" w:cs="仿宋"/>
          <w:color w:val="auto"/>
          <w:szCs w:val="21"/>
          <w:highlight w:val="none"/>
          <w:u w:val="single"/>
        </w:rPr>
        <w:t>不可抗力的原因</w:t>
      </w:r>
      <w:r>
        <w:rPr>
          <w:rFonts w:hint="eastAsia" w:ascii="仿宋" w:hAnsi="仿宋" w:eastAsia="仿宋" w:cs="仿宋"/>
          <w:color w:val="auto"/>
          <w:szCs w:val="21"/>
          <w:highlight w:val="none"/>
        </w:rPr>
        <w:t>。</w:t>
      </w:r>
    </w:p>
    <w:p w14:paraId="1D1ADCE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因承包人原因造成工期延误，逾期竣工违约金的计算方法为：</w:t>
      </w:r>
      <w:r>
        <w:rPr>
          <w:rFonts w:hint="eastAsia" w:ascii="仿宋" w:hAnsi="仿宋" w:eastAsia="仿宋" w:cs="仿宋"/>
          <w:color w:val="auto"/>
          <w:szCs w:val="21"/>
          <w:highlight w:val="none"/>
          <w:u w:val="single"/>
        </w:rPr>
        <w:t>每延误1日，承包人按合同总价的1‰/日向发包人支付违约金，并赔偿发包人因此而遭受的其它损失（包括但不限于因此造成发包人对第三方的违约而应支付的赔偿款、补偿款、违约金及诉讼或仲裁中产生的诉讼仲裁费、评估费、鉴定费、律师费等，下同），对于该违约金，发包人可从应向承包人支付的任何金额中扣除，此赔偿款的支付并不能解除承包人应完成工程的责任或合同规定的其他责任。逾期时间从规定竣工日期起直到实际竣工日期的天数（扣除发包人批准顺延的工期）</w:t>
      </w:r>
      <w:r>
        <w:rPr>
          <w:rFonts w:hint="eastAsia" w:ascii="仿宋" w:hAnsi="仿宋" w:eastAsia="仿宋" w:cs="仿宋"/>
          <w:color w:val="auto"/>
          <w:szCs w:val="21"/>
          <w:highlight w:val="none"/>
        </w:rPr>
        <w:t>。</w:t>
      </w:r>
    </w:p>
    <w:p w14:paraId="2B23C26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因承包人原因造成工期延误，逾期竣工违约金的上限：</w:t>
      </w:r>
      <w:r>
        <w:rPr>
          <w:rFonts w:hint="eastAsia" w:ascii="仿宋" w:hAnsi="仿宋" w:eastAsia="仿宋" w:cs="仿宋"/>
          <w:color w:val="auto"/>
          <w:szCs w:val="21"/>
          <w:highlight w:val="none"/>
          <w:u w:val="single"/>
        </w:rPr>
        <w:t>合同总价款的10%</w:t>
      </w:r>
      <w:r>
        <w:rPr>
          <w:rFonts w:hint="eastAsia" w:ascii="仿宋" w:hAnsi="仿宋" w:eastAsia="仿宋" w:cs="仿宋"/>
          <w:color w:val="auto"/>
          <w:szCs w:val="21"/>
          <w:highlight w:val="none"/>
        </w:rPr>
        <w:t>。</w:t>
      </w:r>
    </w:p>
    <w:p w14:paraId="3AA9124A">
      <w:pPr>
        <w:pStyle w:val="5"/>
        <w:numPr>
          <w:ilvl w:val="3"/>
          <w:numId w:val="0"/>
        </w:numPr>
        <w:tabs>
          <w:tab w:val="left" w:pos="2155"/>
          <w:tab w:val="clear" w:pos="912"/>
        </w:tabs>
        <w:rPr>
          <w:rFonts w:ascii="仿宋" w:hAnsi="仿宋" w:eastAsia="仿宋" w:cs="仿宋"/>
          <w:color w:val="auto"/>
          <w:highlight w:val="none"/>
        </w:rPr>
      </w:pPr>
      <w:bookmarkStart w:id="582" w:name="_Toc166155259"/>
      <w:bookmarkStart w:id="583" w:name="_Toc25225"/>
      <w:bookmarkStart w:id="584" w:name="_Toc12987"/>
      <w:r>
        <w:rPr>
          <w:rFonts w:hint="eastAsia" w:ascii="仿宋" w:hAnsi="仿宋" w:eastAsia="仿宋" w:cs="仿宋"/>
          <w:color w:val="auto"/>
          <w:highlight w:val="none"/>
        </w:rPr>
        <w:t>7.6不利物质条件</w:t>
      </w:r>
      <w:bookmarkEnd w:id="582"/>
      <w:bookmarkEnd w:id="583"/>
      <w:bookmarkEnd w:id="584"/>
    </w:p>
    <w:p w14:paraId="7B1D2A4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不利物质条件的其他情形和有关约定：</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23C8CF63">
      <w:pPr>
        <w:pStyle w:val="5"/>
        <w:numPr>
          <w:ilvl w:val="3"/>
          <w:numId w:val="0"/>
        </w:numPr>
        <w:tabs>
          <w:tab w:val="left" w:pos="2155"/>
          <w:tab w:val="clear" w:pos="912"/>
        </w:tabs>
        <w:rPr>
          <w:rFonts w:ascii="仿宋" w:hAnsi="仿宋" w:eastAsia="仿宋" w:cs="仿宋"/>
          <w:color w:val="auto"/>
          <w:highlight w:val="none"/>
        </w:rPr>
      </w:pPr>
      <w:bookmarkStart w:id="585" w:name="_Toc166155260"/>
      <w:bookmarkStart w:id="586" w:name="_Toc24535"/>
      <w:bookmarkStart w:id="587" w:name="_Toc22732"/>
      <w:r>
        <w:rPr>
          <w:rFonts w:hint="eastAsia" w:ascii="仿宋" w:hAnsi="仿宋" w:eastAsia="仿宋" w:cs="仿宋"/>
          <w:color w:val="auto"/>
          <w:highlight w:val="none"/>
        </w:rPr>
        <w:t>7.7异常恶劣的气候条件</w:t>
      </w:r>
      <w:bookmarkEnd w:id="585"/>
      <w:bookmarkEnd w:id="586"/>
      <w:bookmarkEnd w:id="587"/>
    </w:p>
    <w:p w14:paraId="53BA0D4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发包人和承包人同意以下情形视为异常恶劣的气候条件：</w:t>
      </w:r>
    </w:p>
    <w:p w14:paraId="4221AD1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24小时降雨量达到50-99.9mm的暴雨</w:t>
      </w:r>
      <w:r>
        <w:rPr>
          <w:rFonts w:hint="eastAsia" w:ascii="仿宋" w:hAnsi="仿宋" w:eastAsia="仿宋" w:cs="仿宋"/>
          <w:color w:val="auto"/>
          <w:szCs w:val="21"/>
          <w:highlight w:val="none"/>
        </w:rPr>
        <w:t>；</w:t>
      </w:r>
    </w:p>
    <w:p w14:paraId="73897CD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rPr>
        <w:t>风速大于8级以上的台风</w:t>
      </w:r>
      <w:r>
        <w:rPr>
          <w:rFonts w:hint="eastAsia" w:ascii="仿宋" w:hAnsi="仿宋" w:eastAsia="仿宋" w:cs="仿宋"/>
          <w:color w:val="auto"/>
          <w:szCs w:val="21"/>
          <w:highlight w:val="none"/>
        </w:rPr>
        <w:t>；</w:t>
      </w:r>
    </w:p>
    <w:p w14:paraId="414509C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Cs w:val="21"/>
          <w:highlight w:val="none"/>
          <w:u w:val="single"/>
        </w:rPr>
        <w:t>日气温超过38℃大于3天的</w:t>
      </w:r>
      <w:r>
        <w:rPr>
          <w:rFonts w:hint="eastAsia" w:ascii="仿宋" w:hAnsi="仿宋" w:eastAsia="仿宋" w:cs="仿宋"/>
          <w:color w:val="auto"/>
          <w:szCs w:val="21"/>
          <w:highlight w:val="none"/>
        </w:rPr>
        <w:t>。</w:t>
      </w:r>
    </w:p>
    <w:p w14:paraId="62E73513">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（4）</w:t>
      </w:r>
      <w:r>
        <w:rPr>
          <w:rFonts w:hint="eastAsia" w:ascii="仿宋" w:hAnsi="仿宋" w:eastAsia="仿宋" w:cs="仿宋"/>
          <w:color w:val="auto"/>
          <w:szCs w:val="21"/>
          <w:highlight w:val="none"/>
          <w:u w:val="single"/>
        </w:rPr>
        <w:t>5级以上的地震；</w:t>
      </w:r>
    </w:p>
    <w:p w14:paraId="2E244921">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u w:val="single"/>
        </w:rPr>
        <w:t>50年以上未发生过的严寒天气；</w:t>
      </w:r>
    </w:p>
    <w:p w14:paraId="059F6DC2">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（6）</w:t>
      </w:r>
      <w:r>
        <w:rPr>
          <w:rFonts w:hint="eastAsia" w:ascii="仿宋" w:hAnsi="仿宋" w:eastAsia="仿宋" w:cs="仿宋"/>
          <w:color w:val="auto"/>
          <w:szCs w:val="21"/>
          <w:highlight w:val="none"/>
          <w:u w:val="single"/>
        </w:rPr>
        <w:t>50年以上未发生过的洪水。</w:t>
      </w:r>
    </w:p>
    <w:p w14:paraId="67659144">
      <w:pPr>
        <w:pStyle w:val="5"/>
        <w:numPr>
          <w:ilvl w:val="3"/>
          <w:numId w:val="0"/>
        </w:numPr>
        <w:tabs>
          <w:tab w:val="left" w:pos="2155"/>
          <w:tab w:val="clear" w:pos="912"/>
        </w:tabs>
        <w:rPr>
          <w:rFonts w:ascii="仿宋" w:hAnsi="仿宋" w:eastAsia="仿宋" w:cs="仿宋"/>
          <w:color w:val="auto"/>
          <w:highlight w:val="none"/>
        </w:rPr>
      </w:pPr>
      <w:bookmarkStart w:id="588" w:name="_Toc166155261"/>
      <w:bookmarkStart w:id="589" w:name="_Toc19338"/>
      <w:bookmarkStart w:id="590" w:name="_Toc3105"/>
      <w:r>
        <w:rPr>
          <w:rFonts w:hint="eastAsia" w:ascii="仿宋" w:hAnsi="仿宋" w:eastAsia="仿宋" w:cs="仿宋"/>
          <w:color w:val="auto"/>
          <w:highlight w:val="none"/>
        </w:rPr>
        <w:t>7.9提前竣工</w:t>
      </w:r>
      <w:bookmarkEnd w:id="588"/>
      <w:bookmarkEnd w:id="589"/>
      <w:bookmarkEnd w:id="590"/>
    </w:p>
    <w:p w14:paraId="3F4E02F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7.9.2提前竣工（赶工）增加费的计算方法：</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45304595">
      <w:pPr>
        <w:pStyle w:val="4"/>
        <w:rPr>
          <w:rFonts w:ascii="仿宋" w:hAnsi="仿宋" w:eastAsia="仿宋" w:cs="仿宋"/>
          <w:color w:val="auto"/>
          <w:highlight w:val="none"/>
        </w:rPr>
      </w:pPr>
      <w:bookmarkStart w:id="591" w:name="_Toc1836"/>
      <w:bookmarkStart w:id="592" w:name="_Toc27872"/>
      <w:bookmarkStart w:id="593" w:name="_Toc166155262"/>
      <w:bookmarkStart w:id="594" w:name="_Toc4886"/>
      <w:bookmarkStart w:id="595" w:name="_Toc14613"/>
      <w:r>
        <w:rPr>
          <w:rFonts w:hint="eastAsia" w:ascii="仿宋" w:hAnsi="仿宋" w:eastAsia="仿宋" w:cs="仿宋"/>
          <w:color w:val="auto"/>
          <w:highlight w:val="none"/>
        </w:rPr>
        <w:t>8.材料与设备</w:t>
      </w:r>
      <w:bookmarkEnd w:id="591"/>
      <w:bookmarkEnd w:id="592"/>
      <w:bookmarkEnd w:id="593"/>
      <w:bookmarkEnd w:id="594"/>
      <w:bookmarkEnd w:id="595"/>
    </w:p>
    <w:p w14:paraId="6935F8D8">
      <w:pPr>
        <w:pStyle w:val="5"/>
        <w:numPr>
          <w:ilvl w:val="3"/>
          <w:numId w:val="0"/>
        </w:numPr>
        <w:tabs>
          <w:tab w:val="left" w:pos="2155"/>
          <w:tab w:val="clear" w:pos="912"/>
        </w:tabs>
        <w:rPr>
          <w:rFonts w:ascii="仿宋" w:hAnsi="仿宋" w:eastAsia="仿宋" w:cs="仿宋"/>
          <w:color w:val="auto"/>
          <w:highlight w:val="none"/>
        </w:rPr>
      </w:pPr>
      <w:bookmarkStart w:id="596" w:name="_Toc371"/>
      <w:bookmarkStart w:id="597" w:name="_Toc166155263"/>
      <w:bookmarkStart w:id="598" w:name="_Toc4255"/>
      <w:r>
        <w:rPr>
          <w:rFonts w:hint="eastAsia" w:ascii="仿宋" w:hAnsi="仿宋" w:eastAsia="仿宋" w:cs="仿宋"/>
          <w:color w:val="auto"/>
          <w:highlight w:val="none"/>
        </w:rPr>
        <w:t>8.2承包人采购材料与工程设备</w:t>
      </w:r>
      <w:bookmarkEnd w:id="596"/>
      <w:bookmarkEnd w:id="597"/>
      <w:bookmarkEnd w:id="598"/>
    </w:p>
    <w:p w14:paraId="066D552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p>
    <w:p w14:paraId="04D6B77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在结算时按投标单价支付。</w:t>
      </w:r>
    </w:p>
    <w:p w14:paraId="2344FF7D">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对发包人在招标时，没有明确约定“参照或相当于”**品牌、档次的材料和设备，或双方对材料和设备选择有争议的，发包人有权要求承包人按不低于招标控制价相同细目的材料或设备价格进行采购。</w:t>
      </w:r>
    </w:p>
    <w:p w14:paraId="766BABB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禁止使用松木及其制品、松木包装材料设备、种子、苗木、花卉及繁殖材料。</w:t>
      </w:r>
    </w:p>
    <w:p w14:paraId="0E221E82">
      <w:pPr>
        <w:pStyle w:val="5"/>
        <w:numPr>
          <w:ilvl w:val="3"/>
          <w:numId w:val="0"/>
        </w:numPr>
        <w:tabs>
          <w:tab w:val="left" w:pos="2155"/>
          <w:tab w:val="clear" w:pos="912"/>
        </w:tabs>
        <w:rPr>
          <w:rFonts w:ascii="仿宋" w:hAnsi="仿宋" w:eastAsia="仿宋" w:cs="仿宋"/>
          <w:color w:val="auto"/>
          <w:highlight w:val="none"/>
        </w:rPr>
      </w:pPr>
      <w:bookmarkStart w:id="599" w:name="_Toc166155264"/>
      <w:bookmarkStart w:id="600" w:name="_Toc5997"/>
      <w:bookmarkStart w:id="601" w:name="_Toc19607"/>
      <w:r>
        <w:rPr>
          <w:rFonts w:hint="eastAsia" w:ascii="仿宋" w:hAnsi="仿宋" w:eastAsia="仿宋" w:cs="仿宋"/>
          <w:color w:val="auto"/>
          <w:highlight w:val="none"/>
        </w:rPr>
        <w:t>8.4材料与工程设备的保管与使用</w:t>
      </w:r>
      <w:bookmarkEnd w:id="599"/>
      <w:bookmarkEnd w:id="600"/>
      <w:bookmarkEnd w:id="601"/>
    </w:p>
    <w:p w14:paraId="781EBE9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8.4.1发包人供应的材料设备的保管费用的承担：</w:t>
      </w:r>
      <w:r>
        <w:rPr>
          <w:rFonts w:hint="eastAsia" w:ascii="仿宋" w:hAnsi="仿宋" w:eastAsia="仿宋" w:cs="仿宋"/>
          <w:color w:val="auto"/>
          <w:szCs w:val="21"/>
          <w:highlight w:val="none"/>
          <w:u w:val="single"/>
        </w:rPr>
        <w:t>由承包人免费承担保管、运输、接收检验，不得以任何理由拒绝</w:t>
      </w:r>
      <w:r>
        <w:rPr>
          <w:rFonts w:hint="eastAsia" w:ascii="仿宋" w:hAnsi="仿宋" w:eastAsia="仿宋" w:cs="仿宋"/>
          <w:color w:val="auto"/>
          <w:szCs w:val="21"/>
          <w:highlight w:val="none"/>
        </w:rPr>
        <w:t>。</w:t>
      </w:r>
    </w:p>
    <w:p w14:paraId="3E6AC322">
      <w:pPr>
        <w:pStyle w:val="5"/>
        <w:numPr>
          <w:ilvl w:val="3"/>
          <w:numId w:val="0"/>
        </w:numPr>
        <w:tabs>
          <w:tab w:val="left" w:pos="2155"/>
          <w:tab w:val="clear" w:pos="912"/>
        </w:tabs>
        <w:rPr>
          <w:rFonts w:ascii="仿宋" w:hAnsi="仿宋" w:eastAsia="仿宋" w:cs="仿宋"/>
          <w:color w:val="auto"/>
          <w:highlight w:val="none"/>
        </w:rPr>
      </w:pPr>
      <w:bookmarkStart w:id="602" w:name="_Toc20734"/>
      <w:bookmarkStart w:id="603" w:name="_Toc2211"/>
      <w:bookmarkStart w:id="604" w:name="_Toc166155265"/>
      <w:r>
        <w:rPr>
          <w:rFonts w:hint="eastAsia" w:ascii="仿宋" w:hAnsi="仿宋" w:eastAsia="仿宋" w:cs="仿宋"/>
          <w:color w:val="auto"/>
          <w:highlight w:val="none"/>
        </w:rPr>
        <w:t>8.6样品</w:t>
      </w:r>
      <w:bookmarkEnd w:id="602"/>
      <w:bookmarkEnd w:id="603"/>
      <w:bookmarkEnd w:id="604"/>
    </w:p>
    <w:p w14:paraId="06F574E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8.6.1样品的报送与封存</w:t>
      </w:r>
    </w:p>
    <w:p w14:paraId="5D0E1DE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需要承包人报送样品的材料或工程设备，样品的种类、名称、规格、数量要求：</w:t>
      </w:r>
      <w:r>
        <w:rPr>
          <w:rFonts w:hint="eastAsia" w:ascii="仿宋" w:hAnsi="仿宋" w:eastAsia="仿宋" w:cs="仿宋"/>
          <w:color w:val="auto"/>
          <w:szCs w:val="21"/>
          <w:highlight w:val="none"/>
          <w:u w:val="single"/>
        </w:rPr>
        <w:t>主要材料涉及品种、款式、颜色等方面内容的，承包人应提交准备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天面、内外墙面装饰材料，防水材料，门窗，电线电缆、桥架，给排水管等材料）</w:t>
      </w:r>
      <w:r>
        <w:rPr>
          <w:rFonts w:hint="eastAsia" w:ascii="仿宋" w:hAnsi="仿宋" w:eastAsia="仿宋" w:cs="仿宋"/>
          <w:color w:val="auto"/>
          <w:szCs w:val="21"/>
          <w:highlight w:val="none"/>
        </w:rPr>
        <w:t>。</w:t>
      </w:r>
    </w:p>
    <w:p w14:paraId="53A1537D">
      <w:pPr>
        <w:pStyle w:val="5"/>
        <w:numPr>
          <w:ilvl w:val="3"/>
          <w:numId w:val="0"/>
        </w:numPr>
        <w:tabs>
          <w:tab w:val="left" w:pos="2155"/>
          <w:tab w:val="clear" w:pos="912"/>
        </w:tabs>
        <w:rPr>
          <w:rFonts w:ascii="仿宋" w:hAnsi="仿宋" w:eastAsia="仿宋" w:cs="仿宋"/>
          <w:color w:val="auto"/>
          <w:highlight w:val="none"/>
        </w:rPr>
      </w:pPr>
      <w:bookmarkStart w:id="605" w:name="_Toc7554"/>
      <w:bookmarkStart w:id="606" w:name="_Toc166155266"/>
      <w:bookmarkStart w:id="607" w:name="_Toc21516"/>
      <w:r>
        <w:rPr>
          <w:rFonts w:hint="eastAsia" w:ascii="仿宋" w:hAnsi="仿宋" w:eastAsia="仿宋" w:cs="仿宋"/>
          <w:color w:val="auto"/>
          <w:highlight w:val="none"/>
        </w:rPr>
        <w:t>8.8施工设备和临时设施</w:t>
      </w:r>
      <w:bookmarkEnd w:id="605"/>
      <w:bookmarkEnd w:id="606"/>
      <w:bookmarkEnd w:id="607"/>
    </w:p>
    <w:p w14:paraId="6206270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8.8.1承包人提供的施工设备和临时设施</w:t>
      </w:r>
    </w:p>
    <w:p w14:paraId="35B895E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55F1DCD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关于修建临时设施费用承担的约定：</w:t>
      </w:r>
    </w:p>
    <w:p w14:paraId="725E66C5">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①承担修建承包人临时设施的费用的范围：建筑物沿边向外500米以内道路、1000米以内的水、电、管线等临时设施费用（已包含在承包人投标报价中）。</w:t>
      </w:r>
    </w:p>
    <w:p w14:paraId="56ABAB03">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②承包人的临时用地（含项目部驻地等）租用费（含拆迁补偿）、临时用地的环保、恢复、临时用地的青苗补偿及地面附着物拆除等费用均由承包人承担。</w:t>
      </w:r>
    </w:p>
    <w:p w14:paraId="273FC8C4">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③承包人负责合同实施期间其施工场地内临时交通道路（含场内外连接公共交通道路）和交通设施的修建、维修、养护和交通管理工作，并承担一切费用。</w:t>
      </w:r>
    </w:p>
    <w:p w14:paraId="09E22D0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u w:val="single"/>
        </w:rPr>
        <w:t>④承包人修建的临时道路和交通设施，应免费提供给发包人、监理工程师和其他施工人使用，如共同使用的路基损坏严重，发包人或监理工程师将负责通知承包人修复，费用由承包人承担。</w:t>
      </w:r>
    </w:p>
    <w:p w14:paraId="0B2600D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8.8.2发包人提供的施工设备和临时设施</w:t>
      </w:r>
    </w:p>
    <w:p w14:paraId="5221D35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发包人提供的施工设备和临时设施：</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7CECC35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发包人提供的施工设备和临时设施的运行、维护、拆除、清运费用的承担人：</w:t>
      </w:r>
      <w:r>
        <w:rPr>
          <w:rFonts w:hint="eastAsia" w:ascii="仿宋" w:hAnsi="仿宋" w:eastAsia="仿宋" w:cs="仿宋"/>
          <w:color w:val="auto"/>
          <w:szCs w:val="21"/>
          <w:highlight w:val="none"/>
          <w:u w:val="single"/>
        </w:rPr>
        <w:t>承包人</w:t>
      </w:r>
      <w:r>
        <w:rPr>
          <w:rFonts w:hint="eastAsia" w:ascii="仿宋" w:hAnsi="仿宋" w:eastAsia="仿宋" w:cs="仿宋"/>
          <w:color w:val="auto"/>
          <w:szCs w:val="21"/>
          <w:highlight w:val="none"/>
        </w:rPr>
        <w:t>。</w:t>
      </w:r>
    </w:p>
    <w:p w14:paraId="05D96530">
      <w:pPr>
        <w:pStyle w:val="4"/>
        <w:rPr>
          <w:rFonts w:ascii="仿宋" w:hAnsi="仿宋" w:eastAsia="仿宋" w:cs="仿宋"/>
          <w:color w:val="auto"/>
          <w:highlight w:val="none"/>
        </w:rPr>
      </w:pPr>
      <w:bookmarkStart w:id="608" w:name="_Toc28691"/>
      <w:bookmarkStart w:id="609" w:name="_Toc24461"/>
      <w:bookmarkStart w:id="610" w:name="_Toc166155267"/>
      <w:bookmarkStart w:id="611" w:name="_Toc11922"/>
      <w:bookmarkStart w:id="612" w:name="_Toc25403"/>
      <w:r>
        <w:rPr>
          <w:rFonts w:hint="eastAsia" w:ascii="仿宋" w:hAnsi="仿宋" w:eastAsia="仿宋" w:cs="仿宋"/>
          <w:color w:val="auto"/>
          <w:highlight w:val="none"/>
        </w:rPr>
        <w:t>9.试验与检验</w:t>
      </w:r>
      <w:bookmarkEnd w:id="608"/>
      <w:bookmarkEnd w:id="609"/>
      <w:bookmarkEnd w:id="610"/>
      <w:bookmarkEnd w:id="611"/>
      <w:bookmarkEnd w:id="612"/>
    </w:p>
    <w:p w14:paraId="2B264ECF">
      <w:pPr>
        <w:pStyle w:val="5"/>
        <w:numPr>
          <w:ilvl w:val="3"/>
          <w:numId w:val="0"/>
        </w:numPr>
        <w:tabs>
          <w:tab w:val="left" w:pos="2155"/>
          <w:tab w:val="clear" w:pos="912"/>
        </w:tabs>
        <w:rPr>
          <w:rFonts w:ascii="仿宋" w:hAnsi="仿宋" w:eastAsia="仿宋" w:cs="仿宋"/>
          <w:color w:val="auto"/>
          <w:highlight w:val="none"/>
        </w:rPr>
      </w:pPr>
      <w:bookmarkStart w:id="613" w:name="_Toc166155268"/>
      <w:bookmarkStart w:id="614" w:name="_Toc23329"/>
      <w:bookmarkStart w:id="615" w:name="_Toc17513"/>
      <w:r>
        <w:rPr>
          <w:rFonts w:hint="eastAsia" w:ascii="仿宋" w:hAnsi="仿宋" w:eastAsia="仿宋" w:cs="仿宋"/>
          <w:color w:val="auto"/>
          <w:highlight w:val="none"/>
        </w:rPr>
        <w:t>9.1试验设备与试验人员</w:t>
      </w:r>
      <w:bookmarkEnd w:id="613"/>
      <w:bookmarkEnd w:id="614"/>
      <w:bookmarkEnd w:id="615"/>
    </w:p>
    <w:p w14:paraId="2ACFEA5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9.1.2试验设备</w:t>
      </w:r>
    </w:p>
    <w:p w14:paraId="2977A15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施工现场需要配置的试验场所：</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209E3AF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施工现场需要配备的试验设备：</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6EBE766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施工现场需要具备的其他试验条件：</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2D2DA639">
      <w:pPr>
        <w:pStyle w:val="5"/>
        <w:numPr>
          <w:ilvl w:val="3"/>
          <w:numId w:val="0"/>
        </w:numPr>
        <w:tabs>
          <w:tab w:val="left" w:pos="2155"/>
          <w:tab w:val="clear" w:pos="912"/>
        </w:tabs>
        <w:rPr>
          <w:rFonts w:ascii="仿宋" w:hAnsi="仿宋" w:eastAsia="仿宋" w:cs="仿宋"/>
          <w:color w:val="auto"/>
          <w:highlight w:val="none"/>
        </w:rPr>
      </w:pPr>
      <w:bookmarkStart w:id="616" w:name="_Toc19982"/>
      <w:bookmarkStart w:id="617" w:name="_Toc11139"/>
      <w:bookmarkStart w:id="618" w:name="_Toc166155269"/>
      <w:r>
        <w:rPr>
          <w:rFonts w:hint="eastAsia" w:ascii="仿宋" w:hAnsi="仿宋" w:eastAsia="仿宋" w:cs="仿宋"/>
          <w:color w:val="auto"/>
          <w:highlight w:val="none"/>
        </w:rPr>
        <w:t>9.4现场工艺试验</w:t>
      </w:r>
      <w:bookmarkEnd w:id="616"/>
      <w:bookmarkEnd w:id="617"/>
      <w:bookmarkEnd w:id="618"/>
    </w:p>
    <w:p w14:paraId="49FE404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现场工艺试验的有关约定：</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21A24C37">
      <w:pPr>
        <w:pStyle w:val="5"/>
        <w:numPr>
          <w:ilvl w:val="3"/>
          <w:numId w:val="0"/>
        </w:numPr>
        <w:tabs>
          <w:tab w:val="left" w:pos="2155"/>
          <w:tab w:val="clear" w:pos="912"/>
        </w:tabs>
        <w:rPr>
          <w:rFonts w:ascii="仿宋" w:hAnsi="仿宋" w:eastAsia="仿宋" w:cs="仿宋"/>
          <w:color w:val="auto"/>
          <w:highlight w:val="none"/>
        </w:rPr>
      </w:pPr>
      <w:bookmarkStart w:id="619" w:name="_Toc22748"/>
      <w:bookmarkStart w:id="620" w:name="_Toc166155270"/>
      <w:bookmarkStart w:id="621" w:name="_Toc7394"/>
      <w:r>
        <w:rPr>
          <w:rFonts w:hint="eastAsia" w:ascii="仿宋" w:hAnsi="仿宋" w:eastAsia="仿宋" w:cs="仿宋"/>
          <w:color w:val="auto"/>
          <w:highlight w:val="none"/>
        </w:rPr>
        <w:t>9.5检验费用</w:t>
      </w:r>
      <w:bookmarkEnd w:id="619"/>
      <w:bookmarkEnd w:id="620"/>
      <w:bookmarkEnd w:id="621"/>
    </w:p>
    <w:p w14:paraId="206138A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根据《建设工程质量检测管理办法》（2022年12月29日中华人民共和国住房和城乡建设部令第57号）以及《广西壮族自治区建设工程质量检测管理实施细则》（桂建发〔2025〕5号）规定，工程质量检测业务由发包人委托有相应资质的检测机构检测。费用从发包人的项目建设经费中支出并直接支付给检测机构，不计入合同价款内。</w:t>
      </w:r>
    </w:p>
    <w:p w14:paraId="1C82D8BE">
      <w:pPr>
        <w:pStyle w:val="4"/>
        <w:rPr>
          <w:rFonts w:ascii="仿宋" w:hAnsi="仿宋" w:eastAsia="仿宋" w:cs="仿宋"/>
          <w:color w:val="auto"/>
          <w:highlight w:val="none"/>
        </w:rPr>
      </w:pPr>
      <w:bookmarkStart w:id="622" w:name="_Toc21315"/>
      <w:bookmarkStart w:id="623" w:name="_Toc4173"/>
      <w:bookmarkStart w:id="624" w:name="_Toc28627"/>
      <w:bookmarkStart w:id="625" w:name="_Toc166155271"/>
      <w:bookmarkStart w:id="626" w:name="_Toc1715"/>
      <w:r>
        <w:rPr>
          <w:rFonts w:hint="eastAsia" w:ascii="仿宋" w:hAnsi="仿宋" w:eastAsia="仿宋" w:cs="仿宋"/>
          <w:color w:val="auto"/>
          <w:highlight w:val="none"/>
        </w:rPr>
        <w:t>10.变更</w:t>
      </w:r>
      <w:bookmarkEnd w:id="622"/>
      <w:bookmarkEnd w:id="623"/>
      <w:bookmarkEnd w:id="624"/>
      <w:bookmarkEnd w:id="625"/>
      <w:bookmarkEnd w:id="626"/>
    </w:p>
    <w:p w14:paraId="082CB7A0">
      <w:pPr>
        <w:pStyle w:val="5"/>
        <w:numPr>
          <w:ilvl w:val="3"/>
          <w:numId w:val="0"/>
        </w:numPr>
        <w:tabs>
          <w:tab w:val="left" w:pos="2155"/>
          <w:tab w:val="clear" w:pos="912"/>
        </w:tabs>
        <w:rPr>
          <w:rFonts w:ascii="仿宋" w:hAnsi="仿宋" w:eastAsia="仿宋" w:cs="仿宋"/>
          <w:color w:val="auto"/>
          <w:highlight w:val="none"/>
        </w:rPr>
      </w:pPr>
      <w:bookmarkStart w:id="627" w:name="_Toc739"/>
      <w:bookmarkStart w:id="628" w:name="_Toc166155272"/>
      <w:bookmarkStart w:id="629" w:name="_Toc28840"/>
      <w:r>
        <w:rPr>
          <w:rFonts w:hint="eastAsia" w:ascii="仿宋" w:hAnsi="仿宋" w:eastAsia="仿宋" w:cs="仿宋"/>
          <w:color w:val="auto"/>
          <w:highlight w:val="none"/>
        </w:rPr>
        <w:t>10.1变更的范围</w:t>
      </w:r>
      <w:bookmarkEnd w:id="627"/>
      <w:bookmarkEnd w:id="628"/>
      <w:bookmarkEnd w:id="629"/>
    </w:p>
    <w:p w14:paraId="71A0D18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关于变更的范围的约定：</w:t>
      </w:r>
      <w:r>
        <w:rPr>
          <w:rFonts w:hint="eastAsia" w:ascii="仿宋" w:hAnsi="仿宋" w:eastAsia="仿宋" w:cs="仿宋"/>
          <w:color w:val="auto"/>
          <w:szCs w:val="21"/>
          <w:highlight w:val="none"/>
          <w:u w:val="single"/>
        </w:rPr>
        <w:t>按通用条款执行</w:t>
      </w:r>
      <w:r>
        <w:rPr>
          <w:rFonts w:hint="eastAsia" w:ascii="仿宋" w:hAnsi="仿宋" w:eastAsia="仿宋" w:cs="仿宋"/>
          <w:color w:val="auto"/>
          <w:szCs w:val="21"/>
          <w:highlight w:val="none"/>
        </w:rPr>
        <w:t>。</w:t>
      </w:r>
    </w:p>
    <w:p w14:paraId="053AAA79">
      <w:pPr>
        <w:pStyle w:val="5"/>
        <w:numPr>
          <w:ilvl w:val="3"/>
          <w:numId w:val="0"/>
        </w:numPr>
        <w:tabs>
          <w:tab w:val="left" w:pos="2155"/>
          <w:tab w:val="clear" w:pos="912"/>
        </w:tabs>
        <w:rPr>
          <w:rFonts w:ascii="仿宋" w:hAnsi="仿宋" w:eastAsia="仿宋" w:cs="仿宋"/>
          <w:color w:val="auto"/>
          <w:highlight w:val="none"/>
        </w:rPr>
      </w:pPr>
      <w:bookmarkStart w:id="630" w:name="_Toc25847"/>
      <w:bookmarkStart w:id="631" w:name="_Toc6494"/>
      <w:bookmarkStart w:id="632" w:name="_Toc166155273"/>
      <w:r>
        <w:rPr>
          <w:rFonts w:hint="eastAsia" w:ascii="仿宋" w:hAnsi="仿宋" w:eastAsia="仿宋" w:cs="仿宋"/>
          <w:color w:val="auto"/>
          <w:highlight w:val="none"/>
        </w:rPr>
        <w:t>10.3变更程序</w:t>
      </w:r>
      <w:bookmarkEnd w:id="630"/>
      <w:bookmarkEnd w:id="631"/>
      <w:bookmarkEnd w:id="632"/>
    </w:p>
    <w:p w14:paraId="0BCDC80D">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（1）施工中发包人需对原工程设计进行变更，应提前14天以书面形式向承包人发出变更通知，并由原设计单位提供变更的相应图纸和说明；</w:t>
      </w:r>
    </w:p>
    <w:p w14:paraId="7493DF96">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施工中承包人原则上不得对原工程设计进行变更，但是在施工中承包人提出的合理化建议涉及到对设计图纸或施工组织涉及的更改及对材料、设备的换用，须经发包人书面同意，并由原设计单位提供变更的相应图纸和说明；由监理单位下达书面变更通知；</w:t>
      </w:r>
    </w:p>
    <w:p w14:paraId="3050FCBB">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（3）因设计变更而引起的工程量变化的，按原施工图纸与变更后的图纸的工程量之差进行增减计算；</w:t>
      </w:r>
    </w:p>
    <w:p w14:paraId="3A5B0CA4">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（4）设计变更后确有影响进度的，由承包人提出，经监理人及发包人核准，工期相应顺延；</w:t>
      </w:r>
    </w:p>
    <w:p w14:paraId="4B88275A">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（5）在施工中如发生地质、地形情况与施工设计不符时，承包人应及时书面通知设计、监理单位及有关工程师现场核对，共同研究决定，并以书面形式确认是否需要变更以及变更的处理办法；</w:t>
      </w:r>
    </w:p>
    <w:p w14:paraId="2C1CC47B">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（6）承包人须按发包人工程变更审批管理规定办理有关变更手续。未按规定完成审批的工程变更，按无效变更处理，发包人不予认可，由此产生的后果由承包人自负。</w:t>
      </w:r>
    </w:p>
    <w:p w14:paraId="73A4C4B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（7）工程量清单与图纸不一致时，施工前承包人需与发包人履行确认手续，否则，产生的费用由承包人承担。</w:t>
      </w:r>
    </w:p>
    <w:p w14:paraId="3257FC2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（8）承包人提交工程结算后，发包人不再补办承包人提出的任何变更审批手续。</w:t>
      </w:r>
    </w:p>
    <w:p w14:paraId="674B430A">
      <w:pPr>
        <w:pStyle w:val="5"/>
        <w:numPr>
          <w:ilvl w:val="3"/>
          <w:numId w:val="0"/>
        </w:numPr>
        <w:tabs>
          <w:tab w:val="left" w:pos="2155"/>
          <w:tab w:val="clear" w:pos="912"/>
        </w:tabs>
        <w:rPr>
          <w:rFonts w:ascii="仿宋" w:hAnsi="仿宋" w:eastAsia="仿宋" w:cs="仿宋"/>
          <w:color w:val="auto"/>
          <w:highlight w:val="none"/>
        </w:rPr>
      </w:pPr>
      <w:bookmarkStart w:id="633" w:name="_Toc166155274"/>
      <w:bookmarkStart w:id="634" w:name="_Toc17300"/>
      <w:bookmarkStart w:id="635" w:name="_Toc5384"/>
      <w:r>
        <w:rPr>
          <w:rFonts w:hint="eastAsia" w:ascii="仿宋" w:hAnsi="仿宋" w:eastAsia="仿宋" w:cs="仿宋"/>
          <w:color w:val="auto"/>
          <w:highlight w:val="none"/>
        </w:rPr>
        <w:t>10.4变更估价</w:t>
      </w:r>
      <w:bookmarkEnd w:id="633"/>
      <w:bookmarkEnd w:id="634"/>
      <w:bookmarkEnd w:id="635"/>
    </w:p>
    <w:p w14:paraId="02E5C0F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10.4.1变更估价原则</w:t>
      </w:r>
    </w:p>
    <w:p w14:paraId="60C9777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关于变更估价的约定：</w:t>
      </w:r>
      <w:r>
        <w:rPr>
          <w:rFonts w:hint="eastAsia" w:ascii="仿宋" w:hAnsi="仿宋" w:eastAsia="仿宋" w:cs="仿宋"/>
          <w:color w:val="auto"/>
          <w:szCs w:val="21"/>
          <w:highlight w:val="none"/>
          <w:u w:val="single"/>
        </w:rPr>
        <w:t>因设计变更、签证等引起工程项目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材料价格按施工期间的《南宁建设工程造价信息》相应信息价的算数平均值进行计算，《南宁建设工程造价信息》没有相应价格信息的按发包人审定的市场价计算，并乘以下浮系数（成交价</w:t>
      </w:r>
      <w:r>
        <w:rPr>
          <w:rFonts w:hint="eastAsia" w:ascii="仿宋" w:hAnsi="仿宋" w:eastAsia="仿宋" w:cs="仿宋"/>
          <w:b/>
          <w:color w:val="auto"/>
          <w:szCs w:val="21"/>
          <w:highlight w:val="none"/>
          <w:u w:val="single"/>
        </w:rPr>
        <w:t>/</w:t>
      </w:r>
      <w:r>
        <w:rPr>
          <w:rFonts w:hint="eastAsia" w:ascii="仿宋" w:hAnsi="仿宋" w:eastAsia="仿宋" w:cs="仿宋"/>
          <w:color w:val="auto"/>
          <w:szCs w:val="21"/>
          <w:highlight w:val="none"/>
          <w:u w:val="single"/>
        </w:rPr>
        <w:t>招标控制价）；无定额可套的，双方根据市场价格协商确定综合价格，并乘以下浮系数（成交价</w:t>
      </w:r>
      <w:r>
        <w:rPr>
          <w:rFonts w:hint="eastAsia" w:ascii="仿宋" w:hAnsi="仿宋" w:eastAsia="仿宋" w:cs="仿宋"/>
          <w:b/>
          <w:color w:val="auto"/>
          <w:szCs w:val="21"/>
          <w:highlight w:val="none"/>
          <w:u w:val="single"/>
        </w:rPr>
        <w:t>/</w:t>
      </w:r>
      <w:r>
        <w:rPr>
          <w:rFonts w:hint="eastAsia" w:ascii="仿宋" w:hAnsi="仿宋" w:eastAsia="仿宋" w:cs="仿宋"/>
          <w:color w:val="auto"/>
          <w:szCs w:val="21"/>
          <w:highlight w:val="none"/>
          <w:u w:val="single"/>
        </w:rPr>
        <w:t>招标控制价）计算。新增项目的综合单价必须经发包人审定，并乘以下浮系数（成交价</w:t>
      </w:r>
      <w:r>
        <w:rPr>
          <w:rFonts w:hint="eastAsia" w:ascii="仿宋" w:hAnsi="仿宋" w:eastAsia="仿宋" w:cs="仿宋"/>
          <w:b/>
          <w:color w:val="auto"/>
          <w:szCs w:val="21"/>
          <w:highlight w:val="none"/>
          <w:u w:val="single"/>
        </w:rPr>
        <w:t>/</w:t>
      </w:r>
      <w:r>
        <w:rPr>
          <w:rFonts w:hint="eastAsia" w:ascii="仿宋" w:hAnsi="仿宋" w:eastAsia="仿宋" w:cs="仿宋"/>
          <w:color w:val="auto"/>
          <w:szCs w:val="21"/>
          <w:highlight w:val="none"/>
          <w:u w:val="single"/>
        </w:rPr>
        <w:t>招标控制价）计算。（4）不适用上述条款的项，则由发包人和承包人协商签证确定；（5）因不可抗力产生的费用由发包人及承包人双方协商分担。</w:t>
      </w:r>
    </w:p>
    <w:p w14:paraId="6E3A1250">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10.4.2变更估价程序</w:t>
      </w:r>
    </w:p>
    <w:p w14:paraId="6E7647E8">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承包人提出变更价款的时间是：承包人应当在设计变更发生后14天内提供书面变更价款的申请，将设计变更的原因、变更的金额以书面形式通知发包人，超过14天即视为承包人自动放弃变更价款索赔费用和工期的权利。</w:t>
      </w:r>
    </w:p>
    <w:p w14:paraId="284234C8">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发包人确认变更的时间是：收到承包人书面价款的申请及相应变更资料和预算书后14天内进行答复，超过14天不作答复视为已经批准，因承包人资料不全，发包人退回承包人，重新计算答复期。（3）设计变更和签证工程完成后，有关变更文件、签证单、审批件、工程联系单、预算书等工程资料须于7个工作日内送达主管部门审核认可备案后，方可作为工程结算依据。</w:t>
      </w:r>
    </w:p>
    <w:p w14:paraId="3DAB3992">
      <w:pPr>
        <w:pStyle w:val="5"/>
        <w:numPr>
          <w:ilvl w:val="3"/>
          <w:numId w:val="0"/>
        </w:numPr>
        <w:tabs>
          <w:tab w:val="left" w:pos="2155"/>
          <w:tab w:val="clear" w:pos="912"/>
        </w:tabs>
        <w:rPr>
          <w:rFonts w:ascii="仿宋" w:hAnsi="仿宋" w:eastAsia="仿宋" w:cs="仿宋"/>
          <w:color w:val="auto"/>
          <w:highlight w:val="none"/>
        </w:rPr>
      </w:pPr>
      <w:bookmarkStart w:id="636" w:name="_Toc166155275"/>
      <w:bookmarkStart w:id="637" w:name="_Toc6747"/>
      <w:bookmarkStart w:id="638" w:name="_Toc21024"/>
      <w:r>
        <w:rPr>
          <w:rFonts w:hint="eastAsia" w:ascii="仿宋" w:hAnsi="仿宋" w:eastAsia="仿宋" w:cs="仿宋"/>
          <w:color w:val="auto"/>
          <w:highlight w:val="none"/>
        </w:rPr>
        <w:t>10.5承包人的合理化建议</w:t>
      </w:r>
      <w:bookmarkEnd w:id="636"/>
      <w:bookmarkEnd w:id="637"/>
      <w:bookmarkEnd w:id="638"/>
    </w:p>
    <w:p w14:paraId="770E5FA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监理人审查承包人合理化建议的期限：</w:t>
      </w:r>
      <w:r>
        <w:rPr>
          <w:rFonts w:hint="eastAsia" w:ascii="仿宋" w:hAnsi="仿宋" w:eastAsia="仿宋" w:cs="仿宋"/>
          <w:color w:val="auto"/>
          <w:szCs w:val="21"/>
          <w:highlight w:val="none"/>
          <w:u w:val="single"/>
        </w:rPr>
        <w:t>按通用条款执行</w:t>
      </w:r>
      <w:r>
        <w:rPr>
          <w:rFonts w:hint="eastAsia" w:ascii="仿宋" w:hAnsi="仿宋" w:eastAsia="仿宋" w:cs="仿宋"/>
          <w:color w:val="auto"/>
          <w:szCs w:val="21"/>
          <w:highlight w:val="none"/>
        </w:rPr>
        <w:t>。</w:t>
      </w:r>
    </w:p>
    <w:p w14:paraId="2C20DCC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发包人审批承包人合理化建议的期限：</w:t>
      </w:r>
      <w:r>
        <w:rPr>
          <w:rFonts w:hint="eastAsia" w:ascii="仿宋" w:hAnsi="仿宋" w:eastAsia="仿宋" w:cs="仿宋"/>
          <w:color w:val="auto"/>
          <w:szCs w:val="21"/>
          <w:highlight w:val="none"/>
          <w:u w:val="single"/>
        </w:rPr>
        <w:t>按通用条款执行</w:t>
      </w:r>
      <w:r>
        <w:rPr>
          <w:rFonts w:hint="eastAsia" w:ascii="仿宋" w:hAnsi="仿宋" w:eastAsia="仿宋" w:cs="仿宋"/>
          <w:color w:val="auto"/>
          <w:szCs w:val="21"/>
          <w:highlight w:val="none"/>
        </w:rPr>
        <w:t>。</w:t>
      </w:r>
    </w:p>
    <w:p w14:paraId="7E9898C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承包人提出的合理化建议降低了合同价格或者提高了工程经济效益的奖励的方法和金额为：</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6D001C67">
      <w:pPr>
        <w:pStyle w:val="5"/>
        <w:numPr>
          <w:ilvl w:val="3"/>
          <w:numId w:val="0"/>
        </w:numPr>
        <w:tabs>
          <w:tab w:val="left" w:pos="2155"/>
          <w:tab w:val="clear" w:pos="912"/>
        </w:tabs>
        <w:rPr>
          <w:rFonts w:ascii="仿宋" w:hAnsi="仿宋" w:eastAsia="仿宋" w:cs="仿宋"/>
          <w:color w:val="auto"/>
          <w:highlight w:val="none"/>
        </w:rPr>
      </w:pPr>
      <w:bookmarkStart w:id="639" w:name="_Toc21601"/>
      <w:bookmarkStart w:id="640" w:name="_Toc166155276"/>
      <w:bookmarkStart w:id="641" w:name="_Toc15490"/>
      <w:r>
        <w:rPr>
          <w:rFonts w:hint="eastAsia" w:ascii="仿宋" w:hAnsi="仿宋" w:eastAsia="仿宋" w:cs="仿宋"/>
          <w:color w:val="auto"/>
          <w:highlight w:val="none"/>
        </w:rPr>
        <w:t>10.6变更引起的工期调整</w:t>
      </w:r>
      <w:bookmarkEnd w:id="639"/>
      <w:bookmarkEnd w:id="640"/>
      <w:bookmarkEnd w:id="641"/>
    </w:p>
    <w:p w14:paraId="7540073C">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因变更引起的工期变化，承包人应在设计变更发生后14天内书面提出调整工期申请，超过14天即视为承包人自动放弃索赔工期的权利。监理人认为有必要时，可要求承包人提交要求提前或延长工期的施工进度计划及相应施工措施等详细材料。</w:t>
      </w:r>
    </w:p>
    <w:p w14:paraId="10DD51E7">
      <w:pPr>
        <w:pStyle w:val="5"/>
        <w:numPr>
          <w:ilvl w:val="3"/>
          <w:numId w:val="0"/>
        </w:numPr>
        <w:tabs>
          <w:tab w:val="left" w:pos="2155"/>
          <w:tab w:val="clear" w:pos="912"/>
        </w:tabs>
        <w:rPr>
          <w:rFonts w:ascii="仿宋" w:hAnsi="仿宋" w:eastAsia="仿宋" w:cs="仿宋"/>
          <w:color w:val="auto"/>
          <w:highlight w:val="none"/>
        </w:rPr>
      </w:pPr>
      <w:bookmarkStart w:id="642" w:name="_Toc28544"/>
      <w:bookmarkStart w:id="643" w:name="_Toc166155277"/>
      <w:bookmarkStart w:id="644" w:name="_Toc15291"/>
      <w:r>
        <w:rPr>
          <w:rFonts w:hint="eastAsia" w:ascii="仿宋" w:hAnsi="仿宋" w:eastAsia="仿宋" w:cs="仿宋"/>
          <w:color w:val="auto"/>
          <w:highlight w:val="none"/>
        </w:rPr>
        <w:t>10.7暂估价</w:t>
      </w:r>
      <w:bookmarkEnd w:id="642"/>
      <w:bookmarkEnd w:id="643"/>
      <w:bookmarkEnd w:id="644"/>
    </w:p>
    <w:p w14:paraId="705E10D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暂估价材料和工程设备的明细详见已标价工程量清单《材料（工程设备）暂估价格及调整表》（表12-2）和《专业工程暂估价表》（表12-3）。</w:t>
      </w:r>
    </w:p>
    <w:p w14:paraId="5B84E14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10.7.1依法必须招标的暂估价项目</w:t>
      </w:r>
    </w:p>
    <w:p w14:paraId="1FE97F4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对于依法必须招标的暂估价项目的确认和批准采取第</w:t>
      </w:r>
      <w:r>
        <w:rPr>
          <w:rFonts w:hint="eastAsia" w:ascii="仿宋" w:hAnsi="仿宋" w:eastAsia="仿宋" w:cs="仿宋"/>
          <w:color w:val="auto"/>
          <w:szCs w:val="21"/>
          <w:highlight w:val="none"/>
          <w:u w:val="single"/>
        </w:rPr>
        <w:t>1</w:t>
      </w:r>
      <w:r>
        <w:rPr>
          <w:rFonts w:hint="eastAsia" w:ascii="仿宋" w:hAnsi="仿宋" w:eastAsia="仿宋" w:cs="仿宋"/>
          <w:color w:val="auto"/>
          <w:szCs w:val="21"/>
          <w:highlight w:val="none"/>
        </w:rPr>
        <w:t>种方式确定。</w:t>
      </w:r>
    </w:p>
    <w:p w14:paraId="27ED8C8B">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第1种方式：对于依法必须招标的暂估价项目，由承包人招标，对该暂估价项目的确认和批准按照以下约定执行：</w:t>
      </w:r>
    </w:p>
    <w:p w14:paraId="3B0195F6">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A0A0D58">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688DD68">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C40B5A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10.7.2不属于依法必须招标的暂估价项目</w:t>
      </w:r>
    </w:p>
    <w:p w14:paraId="7EC30DB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对于不属于依法必须招标的暂估价项目的确认和批准采取第</w:t>
      </w:r>
      <w:r>
        <w:rPr>
          <w:rFonts w:hint="eastAsia" w:ascii="仿宋" w:hAnsi="仿宋" w:eastAsia="仿宋" w:cs="仿宋"/>
          <w:color w:val="auto"/>
          <w:szCs w:val="21"/>
          <w:highlight w:val="none"/>
          <w:u w:val="single"/>
        </w:rPr>
        <w:t>1</w:t>
      </w:r>
      <w:r>
        <w:rPr>
          <w:rFonts w:hint="eastAsia" w:ascii="仿宋" w:hAnsi="仿宋" w:eastAsia="仿宋" w:cs="仿宋"/>
          <w:color w:val="auto"/>
          <w:szCs w:val="21"/>
          <w:highlight w:val="none"/>
        </w:rPr>
        <w:t>种方式确定。</w:t>
      </w:r>
    </w:p>
    <w:p w14:paraId="44202550">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第1种方式：对于不属于依法必须招标的暂估价项目，按本项约定确认和批准：</w:t>
      </w:r>
    </w:p>
    <w:p w14:paraId="612A634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D68D55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（2）发包人认为承包人确定的供应商、分包人无法满足工程质量或合同要求的，发包人可以要求承包人重新确定暂估价项目的供应商、分包人；</w:t>
      </w:r>
    </w:p>
    <w:p w14:paraId="6B9D7EC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（3）承包人应当在签订暂估价合同后7天内，将暂估价合同副本报送发包人留存。</w:t>
      </w:r>
    </w:p>
    <w:p w14:paraId="70DE1BEE">
      <w:pPr>
        <w:pStyle w:val="5"/>
        <w:numPr>
          <w:ilvl w:val="3"/>
          <w:numId w:val="0"/>
        </w:numPr>
        <w:tabs>
          <w:tab w:val="left" w:pos="2155"/>
          <w:tab w:val="clear" w:pos="912"/>
        </w:tabs>
        <w:rPr>
          <w:rFonts w:ascii="仿宋" w:hAnsi="仿宋" w:eastAsia="仿宋" w:cs="仿宋"/>
          <w:color w:val="auto"/>
          <w:highlight w:val="none"/>
        </w:rPr>
      </w:pPr>
      <w:bookmarkStart w:id="645" w:name="_Toc16801"/>
      <w:bookmarkStart w:id="646" w:name="_Toc166155278"/>
      <w:bookmarkStart w:id="647" w:name="_Toc3330"/>
      <w:r>
        <w:rPr>
          <w:rFonts w:hint="eastAsia" w:ascii="仿宋" w:hAnsi="仿宋" w:eastAsia="仿宋" w:cs="仿宋"/>
          <w:color w:val="auto"/>
          <w:highlight w:val="none"/>
        </w:rPr>
        <w:t>10.8暂列金额</w:t>
      </w:r>
      <w:bookmarkEnd w:id="645"/>
      <w:bookmarkEnd w:id="646"/>
      <w:bookmarkEnd w:id="647"/>
    </w:p>
    <w:p w14:paraId="39B349B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合同当事人关于暂列金额使用的约定：</w:t>
      </w:r>
      <w:r>
        <w:rPr>
          <w:rFonts w:hint="eastAsia" w:ascii="仿宋" w:hAnsi="仿宋" w:eastAsia="仿宋" w:cs="仿宋"/>
          <w:color w:val="auto"/>
          <w:szCs w:val="21"/>
          <w:highlight w:val="none"/>
          <w:u w:val="single"/>
        </w:rPr>
        <w:t>由承包人根据实际情况提出申请，监理人审核后，交发包人最终确认后使用</w:t>
      </w:r>
      <w:r>
        <w:rPr>
          <w:rFonts w:hint="eastAsia" w:ascii="仿宋" w:hAnsi="仿宋" w:eastAsia="仿宋" w:cs="仿宋"/>
          <w:color w:val="auto"/>
          <w:szCs w:val="21"/>
          <w:highlight w:val="none"/>
        </w:rPr>
        <w:t>。</w:t>
      </w:r>
    </w:p>
    <w:p w14:paraId="395B69C5">
      <w:pPr>
        <w:pStyle w:val="4"/>
        <w:rPr>
          <w:rFonts w:ascii="仿宋" w:hAnsi="仿宋" w:eastAsia="仿宋" w:cs="仿宋"/>
          <w:color w:val="auto"/>
          <w:highlight w:val="none"/>
        </w:rPr>
      </w:pPr>
      <w:bookmarkStart w:id="648" w:name="_Toc10543"/>
      <w:bookmarkStart w:id="649" w:name="_Toc30497"/>
      <w:bookmarkStart w:id="650" w:name="_Toc32322"/>
      <w:bookmarkStart w:id="651" w:name="_Toc18571"/>
      <w:bookmarkStart w:id="652" w:name="_Toc166155279"/>
      <w:r>
        <w:rPr>
          <w:rFonts w:hint="eastAsia" w:ascii="仿宋" w:hAnsi="仿宋" w:eastAsia="仿宋" w:cs="仿宋"/>
          <w:color w:val="auto"/>
          <w:highlight w:val="none"/>
        </w:rPr>
        <w:t>11.价格调整</w:t>
      </w:r>
      <w:bookmarkEnd w:id="648"/>
      <w:bookmarkEnd w:id="649"/>
      <w:bookmarkEnd w:id="650"/>
      <w:bookmarkEnd w:id="651"/>
      <w:bookmarkEnd w:id="652"/>
    </w:p>
    <w:p w14:paraId="0D5D563F">
      <w:pPr>
        <w:pStyle w:val="5"/>
        <w:numPr>
          <w:ilvl w:val="3"/>
          <w:numId w:val="0"/>
        </w:numPr>
        <w:tabs>
          <w:tab w:val="left" w:pos="2155"/>
          <w:tab w:val="clear" w:pos="912"/>
        </w:tabs>
        <w:rPr>
          <w:rFonts w:ascii="仿宋" w:hAnsi="仿宋" w:eastAsia="仿宋" w:cs="仿宋"/>
          <w:color w:val="auto"/>
          <w:highlight w:val="none"/>
        </w:rPr>
      </w:pPr>
      <w:bookmarkStart w:id="653" w:name="_Toc15095"/>
      <w:bookmarkStart w:id="654" w:name="_Toc166155280"/>
      <w:bookmarkStart w:id="655" w:name="_Toc30643"/>
      <w:r>
        <w:rPr>
          <w:rFonts w:hint="eastAsia" w:ascii="仿宋" w:hAnsi="仿宋" w:eastAsia="仿宋" w:cs="仿宋"/>
          <w:color w:val="auto"/>
          <w:highlight w:val="none"/>
        </w:rPr>
        <w:t>11.1市场价格波动引起的调整</w:t>
      </w:r>
      <w:bookmarkEnd w:id="653"/>
      <w:bookmarkEnd w:id="654"/>
      <w:bookmarkEnd w:id="655"/>
    </w:p>
    <w:p w14:paraId="07CA47B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市场价格波动是否调整合同价格的约定：</w:t>
      </w:r>
      <w:r>
        <w:rPr>
          <w:rFonts w:hint="eastAsia" w:ascii="仿宋" w:hAnsi="仿宋" w:eastAsia="仿宋" w:cs="仿宋"/>
          <w:color w:val="auto"/>
          <w:szCs w:val="21"/>
          <w:highlight w:val="none"/>
          <w:u w:val="single"/>
        </w:rPr>
        <w:t>否</w:t>
      </w:r>
      <w:r>
        <w:rPr>
          <w:rFonts w:hint="eastAsia" w:ascii="仿宋" w:hAnsi="仿宋" w:eastAsia="仿宋" w:cs="仿宋"/>
          <w:color w:val="auto"/>
          <w:szCs w:val="21"/>
          <w:highlight w:val="none"/>
        </w:rPr>
        <w:t>。</w:t>
      </w:r>
    </w:p>
    <w:p w14:paraId="1D1698E8">
      <w:pPr>
        <w:pStyle w:val="4"/>
        <w:rPr>
          <w:rFonts w:ascii="仿宋" w:hAnsi="仿宋" w:eastAsia="仿宋" w:cs="仿宋"/>
          <w:color w:val="auto"/>
          <w:highlight w:val="none"/>
        </w:rPr>
      </w:pPr>
      <w:bookmarkStart w:id="656" w:name="_Toc2568"/>
      <w:bookmarkStart w:id="657" w:name="_Toc20407"/>
      <w:bookmarkStart w:id="658" w:name="_Toc11039"/>
      <w:bookmarkStart w:id="659" w:name="_Toc11244"/>
      <w:bookmarkStart w:id="660" w:name="_Toc166155281"/>
      <w:r>
        <w:rPr>
          <w:rFonts w:hint="eastAsia" w:ascii="仿宋" w:hAnsi="仿宋" w:eastAsia="仿宋" w:cs="仿宋"/>
          <w:color w:val="auto"/>
          <w:highlight w:val="none"/>
        </w:rPr>
        <w:t>12.合同价格、计量与支付</w:t>
      </w:r>
      <w:bookmarkEnd w:id="656"/>
      <w:bookmarkEnd w:id="657"/>
      <w:bookmarkEnd w:id="658"/>
      <w:bookmarkEnd w:id="659"/>
      <w:bookmarkEnd w:id="660"/>
    </w:p>
    <w:p w14:paraId="38DE7A57">
      <w:pPr>
        <w:pStyle w:val="5"/>
        <w:numPr>
          <w:ilvl w:val="3"/>
          <w:numId w:val="0"/>
        </w:numPr>
        <w:tabs>
          <w:tab w:val="left" w:pos="2155"/>
          <w:tab w:val="clear" w:pos="912"/>
        </w:tabs>
        <w:rPr>
          <w:rFonts w:ascii="仿宋" w:hAnsi="仿宋" w:eastAsia="仿宋" w:cs="仿宋"/>
          <w:color w:val="auto"/>
          <w:highlight w:val="none"/>
        </w:rPr>
      </w:pPr>
      <w:bookmarkStart w:id="661" w:name="_Toc2266"/>
      <w:bookmarkStart w:id="662" w:name="_Toc23454"/>
      <w:bookmarkStart w:id="663" w:name="_Toc166155282"/>
      <w:r>
        <w:rPr>
          <w:rFonts w:hint="eastAsia" w:ascii="仿宋" w:hAnsi="仿宋" w:eastAsia="仿宋" w:cs="仿宋"/>
          <w:color w:val="auto"/>
          <w:highlight w:val="none"/>
        </w:rPr>
        <w:t>12.1合同价格形式</w:t>
      </w:r>
      <w:bookmarkEnd w:id="661"/>
      <w:bookmarkEnd w:id="662"/>
      <w:bookmarkEnd w:id="663"/>
    </w:p>
    <w:p w14:paraId="6190E90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本工程采用</w:t>
      </w:r>
      <w:r>
        <w:rPr>
          <w:rFonts w:hint="eastAsia" w:ascii="仿宋" w:hAnsi="仿宋" w:eastAsia="仿宋" w:cs="仿宋"/>
          <w:color w:val="auto"/>
          <w:szCs w:val="21"/>
          <w:highlight w:val="none"/>
          <w:u w:val="single"/>
        </w:rPr>
        <w:t>固定综合单价（招标控制价中相应清单单价×（1-成交下浮系数））</w:t>
      </w:r>
      <w:r>
        <w:rPr>
          <w:rFonts w:hint="eastAsia" w:ascii="仿宋" w:hAnsi="仿宋" w:eastAsia="仿宋" w:cs="仿宋"/>
          <w:color w:val="auto"/>
          <w:szCs w:val="21"/>
          <w:highlight w:val="none"/>
        </w:rPr>
        <w:t>合同价格形式，合同下浮系数：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%。合同价格包含增值税，本工程计价时采用的增值税计税方法为：☑一般计税法□简易计税法。</w:t>
      </w:r>
    </w:p>
    <w:p w14:paraId="5F33E55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采用综合单价合同方式时，工程量按发包人、监理人、承包人三方确认的与实际相符的竣工图结算。</w:t>
      </w:r>
      <w:r>
        <w:rPr>
          <w:rFonts w:hint="eastAsia" w:ascii="仿宋" w:hAnsi="仿宋" w:eastAsia="仿宋" w:cs="仿宋"/>
          <w:color w:val="auto"/>
          <w:szCs w:val="21"/>
          <w:highlight w:val="none"/>
          <w:u w:val="single"/>
        </w:rPr>
        <w:t>如发现竣工图与实际不符，按不利于承包人的原则结算。</w:t>
      </w:r>
    </w:p>
    <w:p w14:paraId="7EB9B19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固定综合单价包含的风险范围：</w:t>
      </w:r>
      <w:r>
        <w:rPr>
          <w:rFonts w:hint="eastAsia" w:ascii="仿宋" w:hAnsi="仿宋" w:eastAsia="仿宋" w:cs="仿宋"/>
          <w:color w:val="auto"/>
          <w:szCs w:val="21"/>
          <w:highlight w:val="none"/>
          <w:u w:val="single"/>
        </w:rPr>
        <w:t>除工程变更、项目特征不符、工程量偏差、政策性调整、市场价格波动以外的其他风险</w:t>
      </w:r>
      <w:r>
        <w:rPr>
          <w:rFonts w:hint="eastAsia" w:ascii="仿宋" w:hAnsi="仿宋" w:eastAsia="仿宋" w:cs="仿宋"/>
          <w:color w:val="auto"/>
          <w:szCs w:val="21"/>
          <w:highlight w:val="none"/>
        </w:rPr>
        <w:t>。</w:t>
      </w:r>
    </w:p>
    <w:p w14:paraId="1ABEA113">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风险费用的计算方法：单价采用固定综合单价，风险费用已综合考虑在单价中。</w:t>
      </w:r>
    </w:p>
    <w:p w14:paraId="432BE9C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风险范围以外合同价款调整方法：</w:t>
      </w:r>
    </w:p>
    <w:p w14:paraId="673404E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（1）工程变更、项目特征不符：按10.4.1变更估价原则的约定调整。</w:t>
      </w:r>
    </w:p>
    <w:p w14:paraId="4707CC5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（2）工程量偏差：按1.13工程量清单错误修正的约定调整。</w:t>
      </w:r>
    </w:p>
    <w:p w14:paraId="7299F1F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（3）政策性调整：</w:t>
      </w:r>
      <w:r>
        <w:rPr>
          <w:rFonts w:hint="eastAsia" w:ascii="仿宋" w:hAnsi="仿宋" w:eastAsia="仿宋" w:cs="仿宋"/>
          <w:color w:val="auto"/>
          <w:szCs w:val="21"/>
          <w:highlight w:val="none"/>
          <w:u w:val="single"/>
        </w:rPr>
        <w:t>结算时除国家和自治区政策性费用标准及消耗量定额不可进行调整外，其他政策性可调整</w:t>
      </w:r>
      <w:r>
        <w:rPr>
          <w:rFonts w:hint="eastAsia" w:ascii="仿宋" w:hAnsi="仿宋" w:eastAsia="仿宋" w:cs="仿宋"/>
          <w:color w:val="auto"/>
          <w:szCs w:val="21"/>
          <w:highlight w:val="none"/>
        </w:rPr>
        <w:t>。</w:t>
      </w:r>
    </w:p>
    <w:p w14:paraId="25AA061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（4）市场波动引起的调整：按11.1的约定调整。</w:t>
      </w:r>
    </w:p>
    <w:p w14:paraId="590D2C1C">
      <w:pPr>
        <w:pStyle w:val="5"/>
        <w:numPr>
          <w:ilvl w:val="3"/>
          <w:numId w:val="0"/>
        </w:numPr>
        <w:tabs>
          <w:tab w:val="left" w:pos="2155"/>
          <w:tab w:val="clear" w:pos="912"/>
        </w:tabs>
        <w:rPr>
          <w:rFonts w:ascii="仿宋" w:hAnsi="仿宋" w:eastAsia="仿宋" w:cs="仿宋"/>
          <w:color w:val="auto"/>
          <w:highlight w:val="none"/>
        </w:rPr>
      </w:pPr>
      <w:bookmarkStart w:id="664" w:name="_Toc166155283"/>
      <w:bookmarkStart w:id="665" w:name="_Toc394"/>
      <w:bookmarkStart w:id="666" w:name="_Toc13881"/>
      <w:r>
        <w:rPr>
          <w:rFonts w:hint="eastAsia" w:ascii="仿宋" w:hAnsi="仿宋" w:eastAsia="仿宋" w:cs="仿宋"/>
          <w:color w:val="auto"/>
          <w:highlight w:val="none"/>
        </w:rPr>
        <w:t>12.2预付款</w:t>
      </w:r>
      <w:bookmarkEnd w:id="664"/>
      <w:r>
        <w:rPr>
          <w:rFonts w:hint="eastAsia" w:ascii="仿宋" w:hAnsi="仿宋" w:eastAsia="仿宋" w:cs="仿宋"/>
          <w:color w:val="auto"/>
          <w:highlight w:val="none"/>
        </w:rPr>
        <w:t>：</w:t>
      </w:r>
      <w:bookmarkEnd w:id="665"/>
      <w:bookmarkEnd w:id="666"/>
    </w:p>
    <w:p w14:paraId="234AE61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12.2.1预付款的支付</w:t>
      </w:r>
    </w:p>
    <w:p w14:paraId="6BD9FB93">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预付款支付比例或金额：</w:t>
      </w:r>
      <w:r>
        <w:rPr>
          <w:rFonts w:hint="eastAsia" w:ascii="仿宋" w:hAnsi="仿宋" w:eastAsia="仿宋" w:cs="仿宋"/>
          <w:color w:val="auto"/>
          <w:szCs w:val="21"/>
          <w:highlight w:val="none"/>
          <w:u w:val="single"/>
        </w:rPr>
        <w:t>/</w:t>
      </w:r>
    </w:p>
    <w:p w14:paraId="77794F24">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预付款支付期限：</w:t>
      </w:r>
      <w:r>
        <w:rPr>
          <w:rFonts w:hint="eastAsia" w:ascii="仿宋" w:hAnsi="仿宋" w:eastAsia="仿宋" w:cs="仿宋"/>
          <w:color w:val="auto"/>
          <w:szCs w:val="21"/>
          <w:highlight w:val="none"/>
          <w:u w:val="single"/>
        </w:rPr>
        <w:t>/</w:t>
      </w:r>
    </w:p>
    <w:p w14:paraId="4670CCC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预付款扣回的方式：</w:t>
      </w:r>
      <w:r>
        <w:rPr>
          <w:rFonts w:hint="eastAsia" w:ascii="仿宋" w:hAnsi="仿宋" w:eastAsia="仿宋" w:cs="仿宋"/>
          <w:color w:val="auto"/>
          <w:szCs w:val="21"/>
          <w:highlight w:val="none"/>
          <w:u w:val="single"/>
        </w:rPr>
        <w:t>/</w:t>
      </w:r>
    </w:p>
    <w:p w14:paraId="27D0867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12.2.2预付款担保</w:t>
      </w:r>
    </w:p>
    <w:p w14:paraId="69F6E3F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承包人提交预付款担保的期限：</w:t>
      </w:r>
      <w:r>
        <w:rPr>
          <w:rFonts w:hint="eastAsia" w:ascii="仿宋" w:hAnsi="仿宋" w:eastAsia="仿宋" w:cs="仿宋"/>
          <w:color w:val="auto"/>
          <w:szCs w:val="21"/>
          <w:highlight w:val="none"/>
          <w:u w:val="single"/>
        </w:rPr>
        <w:t>/</w:t>
      </w:r>
    </w:p>
    <w:p w14:paraId="1D01DBF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预付款担保的形式为：</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rPr>
        <w:t>工程担保保证人应将出具的保函相关信息录入“广西建筑市场监管云”平台（http：//gxjzsc.caihcloud.com），以实现保函查询及验真功能。</w:t>
      </w:r>
    </w:p>
    <w:p w14:paraId="1C902D7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预付款担保格式见合同附件8。预付款支付申请（核准）表见合同附件10。</w:t>
      </w:r>
    </w:p>
    <w:p w14:paraId="29A79E94">
      <w:pPr>
        <w:pStyle w:val="5"/>
        <w:numPr>
          <w:ilvl w:val="3"/>
          <w:numId w:val="0"/>
        </w:numPr>
        <w:tabs>
          <w:tab w:val="left" w:pos="2155"/>
          <w:tab w:val="clear" w:pos="912"/>
        </w:tabs>
        <w:rPr>
          <w:rFonts w:ascii="仿宋" w:hAnsi="仿宋" w:eastAsia="仿宋" w:cs="仿宋"/>
          <w:color w:val="auto"/>
          <w:highlight w:val="none"/>
        </w:rPr>
      </w:pPr>
      <w:bookmarkStart w:id="667" w:name="_Toc166155284"/>
      <w:bookmarkStart w:id="668" w:name="_Toc25212"/>
      <w:bookmarkStart w:id="669" w:name="_Toc9974"/>
      <w:r>
        <w:rPr>
          <w:rFonts w:hint="eastAsia" w:ascii="仿宋" w:hAnsi="仿宋" w:eastAsia="仿宋" w:cs="仿宋"/>
          <w:color w:val="auto"/>
          <w:highlight w:val="none"/>
        </w:rPr>
        <w:t>12.3计量</w:t>
      </w:r>
      <w:bookmarkEnd w:id="667"/>
      <w:bookmarkEnd w:id="668"/>
      <w:bookmarkEnd w:id="669"/>
    </w:p>
    <w:p w14:paraId="4919CC5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12.3.1计量原则</w:t>
      </w:r>
    </w:p>
    <w:p w14:paraId="6291B4F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工程量计算规则：</w:t>
      </w:r>
      <w:r>
        <w:rPr>
          <w:rFonts w:hint="eastAsia" w:ascii="仿宋" w:hAnsi="仿宋" w:eastAsia="仿宋" w:cs="仿宋"/>
          <w:color w:val="auto"/>
          <w:szCs w:val="21"/>
          <w:highlight w:val="none"/>
          <w:u w:val="single"/>
        </w:rPr>
        <w:t>工程的计量均以《建设工程工程量清单计价规范》（GB50500－2013）及《建设工程工程量计算规范》（GB50854～50862－2013）（修订本）及广西实施细则、本工程补充项目清单为准</w:t>
      </w:r>
      <w:r>
        <w:rPr>
          <w:rFonts w:hint="eastAsia" w:ascii="仿宋" w:hAnsi="仿宋" w:eastAsia="仿宋" w:cs="仿宋"/>
          <w:color w:val="auto"/>
          <w:szCs w:val="21"/>
          <w:highlight w:val="none"/>
        </w:rPr>
        <w:t>。</w:t>
      </w:r>
    </w:p>
    <w:p w14:paraId="13E69FB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12.3.2计量周期</w:t>
      </w:r>
    </w:p>
    <w:p w14:paraId="7B43A32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关于计量周期的约定：</w:t>
      </w:r>
      <w:r>
        <w:rPr>
          <w:rFonts w:hint="eastAsia" w:ascii="仿宋" w:hAnsi="仿宋" w:eastAsia="仿宋" w:cs="仿宋"/>
          <w:color w:val="auto"/>
          <w:szCs w:val="21"/>
          <w:highlight w:val="none"/>
          <w:u w:val="single"/>
        </w:rPr>
        <w:t>每月25日前</w:t>
      </w:r>
      <w:r>
        <w:rPr>
          <w:rFonts w:hint="eastAsia" w:ascii="仿宋" w:hAnsi="仿宋" w:eastAsia="仿宋" w:cs="仿宋"/>
          <w:color w:val="auto"/>
          <w:szCs w:val="21"/>
          <w:highlight w:val="none"/>
        </w:rPr>
        <w:t>。</w:t>
      </w:r>
    </w:p>
    <w:p w14:paraId="6A2F985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12.3.3单价合同的计量</w:t>
      </w:r>
    </w:p>
    <w:p w14:paraId="0C92D91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关于单价合同计量的约定：</w:t>
      </w:r>
      <w:r>
        <w:rPr>
          <w:rFonts w:hint="eastAsia" w:ascii="仿宋" w:hAnsi="仿宋" w:eastAsia="仿宋" w:cs="仿宋"/>
          <w:color w:val="auto"/>
          <w:szCs w:val="21"/>
          <w:highlight w:val="none"/>
          <w:u w:val="single"/>
        </w:rPr>
        <w:t>按通用条款执行，但监理人未及时审核承包人提交的工程量报表时，可以暂按该报表计算工程价款，但监理人或发包人仍有权对报表中的工程量进行审核</w:t>
      </w:r>
      <w:r>
        <w:rPr>
          <w:rFonts w:hint="eastAsia" w:ascii="仿宋" w:hAnsi="仿宋" w:eastAsia="仿宋" w:cs="仿宋"/>
          <w:color w:val="auto"/>
          <w:szCs w:val="21"/>
          <w:highlight w:val="none"/>
        </w:rPr>
        <w:t>。</w:t>
      </w:r>
    </w:p>
    <w:p w14:paraId="1745CF5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u w:val="single"/>
        </w:rPr>
        <w:t>工程量按发包人、监理人、承包人三方确认的与实际相符的竣工图结算。如发现竣工图与实际不符，按不利于承包人的原则结算</w:t>
      </w:r>
      <w:r>
        <w:rPr>
          <w:rFonts w:hint="eastAsia" w:ascii="仿宋" w:hAnsi="仿宋" w:eastAsia="仿宋" w:cs="仿宋"/>
          <w:color w:val="auto"/>
          <w:szCs w:val="21"/>
          <w:highlight w:val="none"/>
        </w:rPr>
        <w:t>。</w:t>
      </w:r>
    </w:p>
    <w:p w14:paraId="43E4575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（2）除另有规定外，工程师应按照合同通过计量来核实确定已完成的工程量和价值，承包人应得到该价值扣除保留金后的价款。当工程师要对已完工的工程量进行计量时，应适时地通知承包人参加。</w:t>
      </w:r>
    </w:p>
    <w:p w14:paraId="4A6EC59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12.3.4总价合同的计量</w:t>
      </w:r>
    </w:p>
    <w:p w14:paraId="56CD165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（1）总价合同计量约定：进度款按支付分解表支付，支付分解表在招标完成后签合同之前制定，具体详见本专用合同条款12.4.6。</w:t>
      </w:r>
    </w:p>
    <w:p w14:paraId="5586603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12.3.6其他价格形式合同的计量</w:t>
      </w:r>
    </w:p>
    <w:p w14:paraId="51D4926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其他价格形式的计量方式和程序：</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3F70EFB0">
      <w:pPr>
        <w:pStyle w:val="5"/>
        <w:numPr>
          <w:ilvl w:val="3"/>
          <w:numId w:val="0"/>
        </w:numPr>
        <w:tabs>
          <w:tab w:val="left" w:pos="2155"/>
          <w:tab w:val="clear" w:pos="912"/>
        </w:tabs>
        <w:rPr>
          <w:rFonts w:ascii="仿宋" w:hAnsi="仿宋" w:eastAsia="仿宋" w:cs="仿宋"/>
          <w:color w:val="auto"/>
          <w:highlight w:val="none"/>
        </w:rPr>
      </w:pPr>
      <w:bookmarkStart w:id="670" w:name="_Toc8351"/>
      <w:bookmarkStart w:id="671" w:name="_Toc166155285"/>
      <w:r>
        <w:rPr>
          <w:rFonts w:hint="eastAsia" w:ascii="仿宋" w:hAnsi="仿宋" w:eastAsia="仿宋" w:cs="仿宋"/>
          <w:color w:val="auto"/>
          <w:highlight w:val="none"/>
        </w:rPr>
        <w:t>12.4工程进度款支付</w:t>
      </w:r>
      <w:bookmarkEnd w:id="670"/>
      <w:bookmarkEnd w:id="671"/>
    </w:p>
    <w:p w14:paraId="69E0BED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12.4.1付款周期</w:t>
      </w:r>
    </w:p>
    <w:p w14:paraId="45246E0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u w:val="single"/>
        </w:rPr>
        <w:t>承包人提交经监理签证的完整的工程进度款支付资料，经项目建设监理/发包人审核后，合同内工程进度款按已完成工程量申请额的80%支付。合同外工程进度款按已完成工程量申请额的50%支付。工程竣工验收合格后支付至合同价的80%。结算经有关部门审定后一次性支付剩余工程款。</w:t>
      </w:r>
      <w:r>
        <w:rPr>
          <w:rFonts w:hint="eastAsia" w:ascii="仿宋" w:hAnsi="仿宋" w:eastAsia="仿宋" w:cs="仿宋"/>
          <w:color w:val="auto"/>
          <w:szCs w:val="21"/>
          <w:highlight w:val="none"/>
        </w:rPr>
        <w:t>承包人在申请支付工程款时，必须提供关于农民工工资已按实发放的书面承诺书。因承包人原因造成工程资料与工程进度不同步，或者资料不真实，发包人暂停支付工程进度款，另按（人民币）1000元/次的标准计收违约金。</w:t>
      </w:r>
    </w:p>
    <w:p w14:paraId="248E68D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12.4.2进度付款申请单的编制</w:t>
      </w:r>
    </w:p>
    <w:p w14:paraId="7DF399A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关于进度付款申请单编制的约定：</w:t>
      </w:r>
      <w:r>
        <w:rPr>
          <w:rFonts w:hint="eastAsia" w:ascii="仿宋" w:hAnsi="仿宋" w:eastAsia="仿宋" w:cs="仿宋"/>
          <w:color w:val="auto"/>
          <w:szCs w:val="21"/>
          <w:highlight w:val="none"/>
          <w:u w:val="single"/>
        </w:rPr>
        <w:t>按实际完成的施工进度提交已完工程量的报表,作为工程价款支付的依据</w:t>
      </w:r>
      <w:r>
        <w:rPr>
          <w:rFonts w:hint="eastAsia" w:ascii="仿宋" w:hAnsi="仿宋" w:eastAsia="仿宋" w:cs="仿宋"/>
          <w:color w:val="auto"/>
          <w:szCs w:val="21"/>
          <w:highlight w:val="none"/>
        </w:rPr>
        <w:t>。</w:t>
      </w:r>
    </w:p>
    <w:p w14:paraId="3A87D22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12.4.3进度付款申请单的提交</w:t>
      </w:r>
    </w:p>
    <w:p w14:paraId="460710A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（1）单价合同进度付款申请单提交的约定：</w:t>
      </w:r>
    </w:p>
    <w:p w14:paraId="5464E941">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承包人向发包人申请工程进度款时，承包人应配合发包人提供以下资料：①《工程用款支付证书》；②工程量计量报表；③其他需要补充说明的材料。</w:t>
      </w:r>
    </w:p>
    <w:p w14:paraId="12437E3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（2）总价合同进度付款申请单提交的约定：</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0DDDD63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（3）其他价格形式合同进度付款申请单提交的约定：</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02ACF25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12.4.4进度款审核和支付</w:t>
      </w:r>
    </w:p>
    <w:p w14:paraId="4D5CCC1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（1）进度款支付方式：</w:t>
      </w:r>
      <w:r>
        <w:rPr>
          <w:rFonts w:hint="eastAsia" w:ascii="仿宋" w:hAnsi="仿宋" w:eastAsia="仿宋" w:cs="仿宋"/>
          <w:color w:val="auto"/>
          <w:szCs w:val="21"/>
          <w:highlight w:val="none"/>
          <w:u w:val="single"/>
        </w:rPr>
        <w:t>银行转账</w:t>
      </w:r>
      <w:r>
        <w:rPr>
          <w:rFonts w:hint="eastAsia" w:ascii="仿宋" w:hAnsi="仿宋" w:eastAsia="仿宋" w:cs="仿宋"/>
          <w:color w:val="auto"/>
          <w:szCs w:val="21"/>
          <w:highlight w:val="none"/>
        </w:rPr>
        <w:t>。</w:t>
      </w:r>
    </w:p>
    <w:p w14:paraId="1937D34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u w:val="single"/>
        </w:rPr>
        <w:t>发包人同意承包人请款申请后，承包人及时开具发票，发包人收到发票后按约定支付。承包人向发包人提供的工程发票必须是有效的正式发票。若经发包人或相关主管部门发现承包人提交的发票为无效发票或假发票的，视为承包人同意发包人延迟支付当次工程款，直至承包人向发包人重新提交有效的正式发票后七个工作日止，并承担由此造成的一切责任及损失</w:t>
      </w:r>
      <w:r>
        <w:rPr>
          <w:rFonts w:hint="eastAsia" w:ascii="仿宋" w:hAnsi="仿宋" w:eastAsia="仿宋" w:cs="仿宋"/>
          <w:color w:val="auto"/>
          <w:szCs w:val="21"/>
          <w:highlight w:val="none"/>
        </w:rPr>
        <w:t>。</w:t>
      </w:r>
    </w:p>
    <w:p w14:paraId="011FD73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（3）农民工工资支付</w:t>
      </w:r>
    </w:p>
    <w:p w14:paraId="30794E2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承包人在中标后7个工作日内，按南宁市住房和城乡建设局（各市住房城乡建设行政主管部门）规定将农民工工资保证金存入账户。工程竣工验收结算经审定后，按照规定程序，将农民工工资保证金没有使用或剩余的金额退还给承包人。</w:t>
      </w:r>
    </w:p>
    <w:p w14:paraId="2480CD2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人工费应与工程进度款分账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账出来的人工费转入承包人农民工工资支付专用账户，转入农民工工资支付专用账户环节必须有银行流水凭证。</w:t>
      </w:r>
    </w:p>
    <w:p w14:paraId="6D04105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3）发包人依据工程进度，审核承包人申报的工程进度款，将人工费及时足额拨付至承包人的农民工工资专用账户，其余工程进度款项由发包人支付到承包人的单位基本户。</w:t>
      </w:r>
    </w:p>
    <w:p w14:paraId="46475B3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51E67B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5）凡未向付款单位提供农民工工资专用账户的，或者请款单位在申请工程进度款时未将人工费单列的，付款单位有权拒绝支付工程进度款。</w:t>
      </w:r>
    </w:p>
    <w:p w14:paraId="3508327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6）人工费使用要求：专款专用，除发放农民工工资外，不得用于其他用途。</w:t>
      </w:r>
    </w:p>
    <w:p w14:paraId="2B8262D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7）承包人将人工费支付情况定期报告发包人和监理单位，并提供相应的材料接受建设行政主管部门和劳动保障行政主管部门对此事项监管。</w:t>
      </w:r>
    </w:p>
    <w:p w14:paraId="3B71EE8B">
      <w:pPr>
        <w:pStyle w:val="32"/>
        <w:tabs>
          <w:tab w:val="left" w:pos="2140"/>
        </w:tabs>
        <w:snapToGrid w:val="0"/>
        <w:spacing w:line="360" w:lineRule="auto"/>
        <w:textAlignment w:val="baseline"/>
        <w:rPr>
          <w:rFonts w:ascii="仿宋" w:hAnsi="仿宋" w:eastAsia="仿宋" w:cs="仿宋"/>
          <w:color w:val="auto"/>
          <w:szCs w:val="21"/>
          <w:highlight w:val="none"/>
        </w:rPr>
      </w:pPr>
      <w:r>
        <w:rPr>
          <w:rFonts w:hint="eastAsia" w:ascii="仿宋" w:hAnsi="仿宋" w:eastAsia="仿宋" w:cs="仿宋"/>
          <w:color w:val="auto"/>
          <w:szCs w:val="21"/>
          <w:highlight w:val="none"/>
        </w:rPr>
        <w:t>8）人工费支付专用账户：</w:t>
      </w:r>
      <w:r>
        <w:rPr>
          <w:rFonts w:hint="eastAsia" w:ascii="仿宋" w:hAnsi="仿宋" w:eastAsia="仿宋" w:cs="仿宋"/>
          <w:color w:val="auto"/>
          <w:szCs w:val="21"/>
          <w:highlight w:val="none"/>
          <w:u w:val="single"/>
        </w:rPr>
        <w:t xml:space="preserve">        /            </w:t>
      </w:r>
    </w:p>
    <w:p w14:paraId="30B98F3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公司农民工工资支付专用账户，账号：</w:t>
      </w:r>
      <w:r>
        <w:rPr>
          <w:rFonts w:hint="eastAsia" w:ascii="仿宋" w:hAnsi="仿宋" w:eastAsia="仿宋" w:cs="仿宋"/>
          <w:color w:val="auto"/>
          <w:szCs w:val="21"/>
          <w:highlight w:val="none"/>
          <w:u w:val="single"/>
        </w:rPr>
        <w:t xml:space="preserve">         /        </w:t>
      </w:r>
      <w:r>
        <w:rPr>
          <w:rFonts w:hint="eastAsia" w:ascii="仿宋" w:hAnsi="仿宋" w:eastAsia="仿宋" w:cs="仿宋"/>
          <w:color w:val="auto"/>
          <w:szCs w:val="21"/>
          <w:highlight w:val="none"/>
          <w:u w:val="single"/>
        </w:rPr>
        <w:tab/>
      </w:r>
      <w:r>
        <w:rPr>
          <w:rFonts w:hint="eastAsia" w:ascii="仿宋" w:hAnsi="仿宋" w:eastAsia="仿宋" w:cs="仿宋"/>
          <w:color w:val="auto"/>
          <w:szCs w:val="21"/>
          <w:highlight w:val="none"/>
        </w:rPr>
        <w:t>。</w:t>
      </w:r>
    </w:p>
    <w:p w14:paraId="0C024EC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9）本项目不允许转包分包，发包人不向除承包人以外的任何分包人农民工工资账户支付任何款项，也不向任何分包人的任何账户支付任何款项。</w:t>
      </w:r>
    </w:p>
    <w:p w14:paraId="54722EF3">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10）承包人必须与包括农民工在内的所有雇用人员签订劳动合同，为雇佣人员购买工伤保险、医疗保险、意外伤害险等，并应及时足额支付劳动报酬，若发现承包人有非法用工或未及时足额支付雇用人员劳动报酬的，发包人有权拒绝支付承包人任何款项至承包人整改完毕为止。</w:t>
      </w:r>
    </w:p>
    <w:p w14:paraId="35D12BB3">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11）承包人与雇佣人员发生劳动纠纷、工伤等情形的，均由承包人负责处理并承担相应的责任，与发包人无关；承包人不得以劳动纠纷或工人纠集闹事等任何理由提前预支任何款项。</w:t>
      </w:r>
    </w:p>
    <w:p w14:paraId="4143CA8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12）承包人不得以任何借口将承包人与包括农民工在内的雇用人员的劳酬纠纷引发的矛盾转嫁发包人，如果出现雇用人员聚众向发包方闹事的情形，承包人须按（人民币）20万元/次的标准向发包人计付违约金，若因此造成发包人工作人员人身伤害、财产损毁的，承包人还须承担赔偿损失等法律责任。</w:t>
      </w:r>
    </w:p>
    <w:p w14:paraId="0C9D1A9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12.4.6支付分解表的编制</w:t>
      </w:r>
    </w:p>
    <w:p w14:paraId="18F3C6D8">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（1）总价合同支付分解表的编制与审批：</w:t>
      </w:r>
      <w:r>
        <w:rPr>
          <w:rFonts w:hint="eastAsia" w:ascii="仿宋" w:hAnsi="仿宋" w:eastAsia="仿宋" w:cs="仿宋"/>
          <w:color w:val="auto"/>
          <w:szCs w:val="21"/>
          <w:highlight w:val="none"/>
          <w:u w:val="single"/>
        </w:rPr>
        <w:t>总价合同支付分解表在招标完成后由发包人和承包人共同编制，发包人审批，并作为本合同内容，具体详见合同附件14。</w:t>
      </w:r>
    </w:p>
    <w:p w14:paraId="3C83995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（2）单价合同的总价项目支付分解表的编制与审批：总价项目不采用支付分解表的方式计算，而按《&lt;建设工程工程量清单计价规范（GB50500-2013）&gt;广西壮族自治区实施细则》的规定执行。</w:t>
      </w:r>
    </w:p>
    <w:p w14:paraId="6585A020">
      <w:pPr>
        <w:pStyle w:val="4"/>
        <w:rPr>
          <w:rFonts w:ascii="仿宋" w:hAnsi="仿宋" w:eastAsia="仿宋" w:cs="仿宋"/>
          <w:color w:val="auto"/>
          <w:highlight w:val="none"/>
        </w:rPr>
      </w:pPr>
      <w:bookmarkStart w:id="672" w:name="_Toc27829"/>
      <w:bookmarkStart w:id="673" w:name="_Toc166155286"/>
      <w:bookmarkStart w:id="674" w:name="_Toc7355"/>
      <w:bookmarkStart w:id="675" w:name="_Toc2752"/>
      <w:bookmarkStart w:id="676" w:name="_Toc20992"/>
      <w:r>
        <w:rPr>
          <w:rFonts w:hint="eastAsia" w:ascii="仿宋" w:hAnsi="仿宋" w:eastAsia="仿宋" w:cs="仿宋"/>
          <w:color w:val="auto"/>
          <w:highlight w:val="none"/>
        </w:rPr>
        <w:t>13.验收和工程试车</w:t>
      </w:r>
      <w:bookmarkEnd w:id="672"/>
      <w:bookmarkEnd w:id="673"/>
      <w:bookmarkEnd w:id="674"/>
      <w:bookmarkEnd w:id="675"/>
      <w:bookmarkEnd w:id="676"/>
    </w:p>
    <w:p w14:paraId="06319457">
      <w:pPr>
        <w:pStyle w:val="5"/>
        <w:numPr>
          <w:ilvl w:val="3"/>
          <w:numId w:val="0"/>
        </w:numPr>
        <w:tabs>
          <w:tab w:val="left" w:pos="2155"/>
          <w:tab w:val="clear" w:pos="912"/>
        </w:tabs>
        <w:rPr>
          <w:rFonts w:ascii="仿宋" w:hAnsi="仿宋" w:eastAsia="仿宋" w:cs="仿宋"/>
          <w:color w:val="auto"/>
          <w:highlight w:val="none"/>
        </w:rPr>
      </w:pPr>
      <w:bookmarkStart w:id="677" w:name="_Toc166155287"/>
      <w:bookmarkStart w:id="678" w:name="_Toc5934"/>
      <w:bookmarkStart w:id="679" w:name="_Toc18222"/>
      <w:r>
        <w:rPr>
          <w:rFonts w:hint="eastAsia" w:ascii="仿宋" w:hAnsi="仿宋" w:eastAsia="仿宋" w:cs="仿宋"/>
          <w:color w:val="auto"/>
          <w:highlight w:val="none"/>
        </w:rPr>
        <w:t>13.2竣工验收</w:t>
      </w:r>
      <w:bookmarkEnd w:id="677"/>
      <w:bookmarkEnd w:id="678"/>
      <w:bookmarkEnd w:id="679"/>
    </w:p>
    <w:p w14:paraId="6D2DAE8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13.2.1竣工验收条件</w:t>
      </w:r>
    </w:p>
    <w:p w14:paraId="5856B70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仿宋" w:hAnsi="仿宋" w:eastAsia="仿宋" w:cs="仿宋"/>
          <w:color w:val="auto"/>
          <w:szCs w:val="21"/>
          <w:highlight w:val="none"/>
          <w:u w:val="single"/>
        </w:rPr>
        <w:t>符合要求的完整施工资料</w:t>
      </w:r>
      <w:r>
        <w:rPr>
          <w:rFonts w:hint="eastAsia" w:ascii="仿宋" w:hAnsi="仿宋" w:eastAsia="仿宋" w:cs="仿宋"/>
          <w:color w:val="auto"/>
          <w:szCs w:val="21"/>
          <w:highlight w:val="none"/>
        </w:rPr>
        <w:t>。</w:t>
      </w:r>
    </w:p>
    <w:p w14:paraId="526EEFC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竣工验收资料的份数：</w:t>
      </w:r>
      <w:r>
        <w:rPr>
          <w:rFonts w:hint="eastAsia" w:ascii="仿宋" w:hAnsi="仿宋" w:eastAsia="仿宋" w:cs="仿宋"/>
          <w:color w:val="auto"/>
          <w:szCs w:val="21"/>
          <w:highlight w:val="none"/>
          <w:u w:val="single"/>
        </w:rPr>
        <w:t>一式捌份</w:t>
      </w:r>
      <w:r>
        <w:rPr>
          <w:rFonts w:hint="eastAsia" w:ascii="仿宋" w:hAnsi="仿宋" w:eastAsia="仿宋" w:cs="仿宋"/>
          <w:color w:val="auto"/>
          <w:szCs w:val="21"/>
          <w:highlight w:val="none"/>
        </w:rPr>
        <w:t>。</w:t>
      </w:r>
    </w:p>
    <w:p w14:paraId="74BEF61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承包人提供竣工图的约定：</w:t>
      </w:r>
      <w:r>
        <w:rPr>
          <w:rFonts w:hint="eastAsia" w:ascii="仿宋" w:hAnsi="仿宋" w:eastAsia="仿宋" w:cs="仿宋"/>
          <w:color w:val="auto"/>
          <w:szCs w:val="21"/>
          <w:highlight w:val="none"/>
          <w:u w:val="single"/>
        </w:rPr>
        <w:t>竣工验收正式通过后15天，提供竣工图8套</w:t>
      </w:r>
      <w:r>
        <w:rPr>
          <w:rFonts w:hint="eastAsia" w:ascii="仿宋" w:hAnsi="仿宋" w:eastAsia="仿宋" w:cs="仿宋"/>
          <w:color w:val="auto"/>
          <w:szCs w:val="21"/>
          <w:highlight w:val="none"/>
        </w:rPr>
        <w:t>。</w:t>
      </w:r>
    </w:p>
    <w:p w14:paraId="04FD2DE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13.2.2竣工验收程序</w:t>
      </w:r>
    </w:p>
    <w:p w14:paraId="22579ED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关于竣工验收程序的约定：</w:t>
      </w:r>
      <w:r>
        <w:rPr>
          <w:rFonts w:hint="eastAsia" w:ascii="仿宋" w:hAnsi="仿宋" w:eastAsia="仿宋" w:cs="仿宋"/>
          <w:color w:val="auto"/>
          <w:szCs w:val="21"/>
          <w:highlight w:val="none"/>
          <w:u w:val="single"/>
        </w:rPr>
        <w:t>按国家有关验收规范执行</w:t>
      </w:r>
      <w:r>
        <w:rPr>
          <w:rFonts w:hint="eastAsia" w:ascii="仿宋" w:hAnsi="仿宋" w:eastAsia="仿宋" w:cs="仿宋"/>
          <w:color w:val="auto"/>
          <w:szCs w:val="21"/>
          <w:highlight w:val="none"/>
        </w:rPr>
        <w:t>。</w:t>
      </w:r>
    </w:p>
    <w:p w14:paraId="1E37853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发包人不按照本项约定组织竣工验收、颁发工程接收证书的违约金的计算方法：</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7BB2922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13.2.5移交、接收全部与部分工程</w:t>
      </w:r>
    </w:p>
    <w:p w14:paraId="32F3957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承包人向发包人移交工程的期限：</w:t>
      </w:r>
      <w:r>
        <w:rPr>
          <w:rFonts w:hint="eastAsia" w:ascii="仿宋" w:hAnsi="仿宋" w:eastAsia="仿宋" w:cs="仿宋"/>
          <w:color w:val="auto"/>
          <w:szCs w:val="21"/>
          <w:highlight w:val="none"/>
          <w:u w:val="single"/>
        </w:rPr>
        <w:t>颁发工程接收合格证书后7天内</w:t>
      </w:r>
      <w:r>
        <w:rPr>
          <w:rFonts w:hint="eastAsia" w:ascii="仿宋" w:hAnsi="仿宋" w:eastAsia="仿宋" w:cs="仿宋"/>
          <w:color w:val="auto"/>
          <w:szCs w:val="21"/>
          <w:highlight w:val="none"/>
        </w:rPr>
        <w:t>。</w:t>
      </w:r>
    </w:p>
    <w:p w14:paraId="18D6ACC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发包人未按本合同约定接收全部或部分工程的，违约金的计算方法为：</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60BB74E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承包人未按时移交工程的，违约金的计算方法为：</w:t>
      </w:r>
      <w:r>
        <w:rPr>
          <w:rFonts w:hint="eastAsia" w:ascii="仿宋" w:hAnsi="仿宋" w:eastAsia="仿宋" w:cs="仿宋"/>
          <w:color w:val="auto"/>
          <w:szCs w:val="21"/>
          <w:highlight w:val="none"/>
          <w:u w:val="single"/>
        </w:rPr>
        <w:t>承包人承担工程照管、成品保护、保管等与工程有关的各项费用，每逾期1天，承包人还应按合同总价的2‰/日向发包人支付违约金，限额为合同价的10%</w:t>
      </w:r>
      <w:r>
        <w:rPr>
          <w:rFonts w:hint="eastAsia" w:ascii="仿宋" w:hAnsi="仿宋" w:eastAsia="仿宋" w:cs="仿宋"/>
          <w:color w:val="auto"/>
          <w:szCs w:val="21"/>
          <w:highlight w:val="none"/>
        </w:rPr>
        <w:t>。</w:t>
      </w:r>
    </w:p>
    <w:p w14:paraId="2E32D32B">
      <w:pPr>
        <w:pStyle w:val="5"/>
        <w:numPr>
          <w:ilvl w:val="3"/>
          <w:numId w:val="0"/>
        </w:numPr>
        <w:tabs>
          <w:tab w:val="left" w:pos="2155"/>
          <w:tab w:val="clear" w:pos="912"/>
        </w:tabs>
        <w:rPr>
          <w:rFonts w:ascii="仿宋" w:hAnsi="仿宋" w:eastAsia="仿宋" w:cs="仿宋"/>
          <w:color w:val="auto"/>
          <w:highlight w:val="none"/>
        </w:rPr>
      </w:pPr>
      <w:bookmarkStart w:id="680" w:name="_Toc166155288"/>
      <w:bookmarkStart w:id="681" w:name="_Toc32195"/>
      <w:bookmarkStart w:id="682" w:name="_Toc10996"/>
      <w:r>
        <w:rPr>
          <w:rFonts w:hint="eastAsia" w:ascii="仿宋" w:hAnsi="仿宋" w:eastAsia="仿宋" w:cs="仿宋"/>
          <w:color w:val="auto"/>
          <w:highlight w:val="none"/>
        </w:rPr>
        <w:t>13.3工程试车</w:t>
      </w:r>
      <w:bookmarkEnd w:id="680"/>
      <w:bookmarkEnd w:id="681"/>
      <w:bookmarkEnd w:id="682"/>
    </w:p>
    <w:p w14:paraId="6376415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13.3.1试车程序</w:t>
      </w:r>
    </w:p>
    <w:p w14:paraId="6F6797C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工程试车内容：</w:t>
      </w:r>
      <w:r>
        <w:rPr>
          <w:rFonts w:hint="eastAsia" w:ascii="仿宋" w:hAnsi="仿宋" w:eastAsia="仿宋" w:cs="仿宋"/>
          <w:color w:val="auto"/>
          <w:szCs w:val="21"/>
          <w:highlight w:val="none"/>
          <w:u w:val="single"/>
        </w:rPr>
        <w:t>按通用合同条款执行</w:t>
      </w:r>
      <w:r>
        <w:rPr>
          <w:rFonts w:hint="eastAsia" w:ascii="仿宋" w:hAnsi="仿宋" w:eastAsia="仿宋" w:cs="仿宋"/>
          <w:color w:val="auto"/>
          <w:szCs w:val="21"/>
          <w:highlight w:val="none"/>
        </w:rPr>
        <w:t>。</w:t>
      </w:r>
    </w:p>
    <w:p w14:paraId="258EFF7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（1）单机无负荷试车费用由</w:t>
      </w:r>
      <w:r>
        <w:rPr>
          <w:rFonts w:hint="eastAsia" w:ascii="仿宋" w:hAnsi="仿宋" w:eastAsia="仿宋" w:cs="仿宋"/>
          <w:color w:val="auto"/>
          <w:szCs w:val="21"/>
          <w:highlight w:val="none"/>
          <w:u w:val="single"/>
        </w:rPr>
        <w:t>承包人</w:t>
      </w:r>
      <w:r>
        <w:rPr>
          <w:rFonts w:hint="eastAsia" w:ascii="仿宋" w:hAnsi="仿宋" w:eastAsia="仿宋" w:cs="仿宋"/>
          <w:color w:val="auto"/>
          <w:szCs w:val="21"/>
          <w:highlight w:val="none"/>
        </w:rPr>
        <w:t>承担；</w:t>
      </w:r>
    </w:p>
    <w:p w14:paraId="1E42022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（2）无负荷联动试车费用由</w:t>
      </w:r>
      <w:r>
        <w:rPr>
          <w:rFonts w:hint="eastAsia" w:ascii="仿宋" w:hAnsi="仿宋" w:eastAsia="仿宋" w:cs="仿宋"/>
          <w:color w:val="auto"/>
          <w:szCs w:val="21"/>
          <w:highlight w:val="none"/>
          <w:u w:val="single"/>
        </w:rPr>
        <w:t>承包人</w:t>
      </w:r>
      <w:r>
        <w:rPr>
          <w:rFonts w:hint="eastAsia" w:ascii="仿宋" w:hAnsi="仿宋" w:eastAsia="仿宋" w:cs="仿宋"/>
          <w:color w:val="auto"/>
          <w:szCs w:val="21"/>
          <w:highlight w:val="none"/>
        </w:rPr>
        <w:t>承担。</w:t>
      </w:r>
    </w:p>
    <w:p w14:paraId="262D38C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13.3.3投料试车</w:t>
      </w:r>
    </w:p>
    <w:p w14:paraId="770823C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关于投料试车相关事项的约定：</w:t>
      </w:r>
      <w:r>
        <w:rPr>
          <w:rFonts w:hint="eastAsia" w:ascii="仿宋" w:hAnsi="仿宋" w:eastAsia="仿宋" w:cs="仿宋"/>
          <w:color w:val="auto"/>
          <w:szCs w:val="21"/>
          <w:highlight w:val="none"/>
          <w:u w:val="single"/>
        </w:rPr>
        <w:t>按通用合同条款</w:t>
      </w:r>
      <w:r>
        <w:rPr>
          <w:rFonts w:hint="eastAsia" w:ascii="仿宋" w:hAnsi="仿宋" w:eastAsia="仿宋" w:cs="仿宋"/>
          <w:color w:val="auto"/>
          <w:szCs w:val="21"/>
          <w:highlight w:val="none"/>
        </w:rPr>
        <w:t>。</w:t>
      </w:r>
    </w:p>
    <w:p w14:paraId="7A3C941B">
      <w:pPr>
        <w:pStyle w:val="5"/>
        <w:numPr>
          <w:ilvl w:val="3"/>
          <w:numId w:val="0"/>
        </w:numPr>
        <w:tabs>
          <w:tab w:val="left" w:pos="2155"/>
          <w:tab w:val="clear" w:pos="912"/>
        </w:tabs>
        <w:rPr>
          <w:rFonts w:ascii="仿宋" w:hAnsi="仿宋" w:eastAsia="仿宋" w:cs="仿宋"/>
          <w:color w:val="auto"/>
          <w:highlight w:val="none"/>
        </w:rPr>
      </w:pPr>
      <w:bookmarkStart w:id="683" w:name="_Toc166155289"/>
      <w:bookmarkStart w:id="684" w:name="_Toc16757"/>
      <w:bookmarkStart w:id="685" w:name="_Toc10802"/>
      <w:r>
        <w:rPr>
          <w:rFonts w:hint="eastAsia" w:ascii="仿宋" w:hAnsi="仿宋" w:eastAsia="仿宋" w:cs="仿宋"/>
          <w:color w:val="auto"/>
          <w:highlight w:val="none"/>
        </w:rPr>
        <w:t>13.6竣工退场</w:t>
      </w:r>
      <w:bookmarkEnd w:id="683"/>
      <w:bookmarkEnd w:id="684"/>
      <w:bookmarkEnd w:id="685"/>
    </w:p>
    <w:p w14:paraId="3031DAC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13.6.1竣工退场</w:t>
      </w:r>
    </w:p>
    <w:p w14:paraId="2B0AF3A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承包人完成竣工退场的期限：</w:t>
      </w:r>
      <w:r>
        <w:rPr>
          <w:rFonts w:hint="eastAsia" w:ascii="仿宋" w:hAnsi="仿宋" w:eastAsia="仿宋" w:cs="仿宋"/>
          <w:color w:val="auto"/>
          <w:szCs w:val="21"/>
          <w:highlight w:val="none"/>
          <w:u w:val="single"/>
        </w:rPr>
        <w:t>监理人颁发（出具）工程接收证书后7日内，承包人负责按照通用合同条款本项约定的要求对施工场地进行清理并承担相关费用，如承包人到期后不退场，发包人有权安排其他人员进行清理，费用从承包人工程款中扣除，因此造成承包人财物损失的，由承包人自行承担</w:t>
      </w:r>
      <w:r>
        <w:rPr>
          <w:rFonts w:hint="eastAsia" w:ascii="仿宋" w:hAnsi="仿宋" w:eastAsia="仿宋" w:cs="仿宋"/>
          <w:color w:val="auto"/>
          <w:szCs w:val="21"/>
          <w:highlight w:val="none"/>
        </w:rPr>
        <w:t>。</w:t>
      </w:r>
    </w:p>
    <w:p w14:paraId="656D5C71">
      <w:pPr>
        <w:pStyle w:val="4"/>
        <w:rPr>
          <w:rFonts w:ascii="仿宋" w:hAnsi="仿宋" w:eastAsia="仿宋" w:cs="仿宋"/>
          <w:color w:val="auto"/>
          <w:highlight w:val="none"/>
        </w:rPr>
      </w:pPr>
      <w:bookmarkStart w:id="686" w:name="_Toc28923"/>
      <w:bookmarkStart w:id="687" w:name="_Toc21435"/>
      <w:bookmarkStart w:id="688" w:name="_Toc166155290"/>
      <w:bookmarkStart w:id="689" w:name="_Toc478"/>
      <w:bookmarkStart w:id="690" w:name="_Toc16661"/>
      <w:r>
        <w:rPr>
          <w:rFonts w:hint="eastAsia" w:ascii="仿宋" w:hAnsi="仿宋" w:eastAsia="仿宋" w:cs="仿宋"/>
          <w:color w:val="auto"/>
          <w:highlight w:val="none"/>
        </w:rPr>
        <w:t>14.竣工结算</w:t>
      </w:r>
      <w:bookmarkEnd w:id="686"/>
      <w:bookmarkEnd w:id="687"/>
      <w:bookmarkEnd w:id="688"/>
      <w:bookmarkEnd w:id="689"/>
      <w:bookmarkEnd w:id="690"/>
    </w:p>
    <w:p w14:paraId="3ACD8FC7">
      <w:pPr>
        <w:pStyle w:val="5"/>
        <w:numPr>
          <w:ilvl w:val="3"/>
          <w:numId w:val="0"/>
        </w:numPr>
        <w:tabs>
          <w:tab w:val="left" w:pos="2155"/>
          <w:tab w:val="clear" w:pos="912"/>
        </w:tabs>
        <w:rPr>
          <w:rFonts w:ascii="仿宋" w:hAnsi="仿宋" w:eastAsia="仿宋" w:cs="仿宋"/>
          <w:color w:val="auto"/>
          <w:highlight w:val="none"/>
        </w:rPr>
      </w:pPr>
      <w:bookmarkStart w:id="691" w:name="_Toc2501"/>
      <w:bookmarkStart w:id="692" w:name="_Toc166155291"/>
      <w:bookmarkStart w:id="693" w:name="_Toc12937"/>
      <w:r>
        <w:rPr>
          <w:rFonts w:hint="eastAsia" w:ascii="仿宋" w:hAnsi="仿宋" w:eastAsia="仿宋" w:cs="仿宋"/>
          <w:color w:val="auto"/>
          <w:highlight w:val="none"/>
        </w:rPr>
        <w:t>14.1竣工结算及竣工付款申请</w:t>
      </w:r>
      <w:bookmarkEnd w:id="691"/>
      <w:bookmarkEnd w:id="692"/>
      <w:bookmarkEnd w:id="693"/>
    </w:p>
    <w:p w14:paraId="46AF4C5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承包人提交竣工结算申请单的期限：</w:t>
      </w:r>
      <w:r>
        <w:rPr>
          <w:rFonts w:hint="eastAsia" w:ascii="仿宋" w:hAnsi="仿宋" w:eastAsia="仿宋" w:cs="仿宋"/>
          <w:color w:val="auto"/>
          <w:szCs w:val="21"/>
          <w:highlight w:val="none"/>
          <w:u w:val="single"/>
        </w:rPr>
        <w:t>工程竣工验收报告经发包人认可后28天内，承包人向发包人递交竣工验收合格资料及完整的结算资料和报告，双方按照本工程合同约定的价格形式及价款调整办法进行工程竣工结算。如承包人逾期递交竣工验收合格资料及完整的结算资料和报告，每延误一天，按签约合同价的0.02%计算逾期违约金，违约金直接从结算款中扣除。违约金上限：签约合同价扣除发包人材料价款、暂估专业工程、暂列金额后的2%</w:t>
      </w:r>
      <w:r>
        <w:rPr>
          <w:rFonts w:hint="eastAsia" w:ascii="仿宋" w:hAnsi="仿宋" w:eastAsia="仿宋" w:cs="仿宋"/>
          <w:color w:val="auto"/>
          <w:szCs w:val="21"/>
          <w:highlight w:val="none"/>
        </w:rPr>
        <w:t>。</w:t>
      </w:r>
    </w:p>
    <w:p w14:paraId="3ABED8C4">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竣工结算申请单应包括的内容：</w:t>
      </w:r>
      <w:r>
        <w:rPr>
          <w:rFonts w:hint="eastAsia" w:ascii="仿宋" w:hAnsi="仿宋" w:eastAsia="仿宋" w:cs="仿宋"/>
          <w:color w:val="auto"/>
          <w:szCs w:val="21"/>
          <w:highlight w:val="none"/>
          <w:u w:val="single"/>
        </w:rPr>
        <w:t>竣工结算由承包人提交相关结算资料，包括但不限于工程结算书及工程量计算底稿；招标文件、投标文件、成交通知书、建设工程质量竣工验收意见书、合同、工程量清单、签证单及工作联系函等资料；电子文档（含计算量底稿及结算书）。</w:t>
      </w:r>
    </w:p>
    <w:p w14:paraId="153669DA">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承包人提交竣工付款申请单的期限：承包人应在工程竣工结算审定完成后28天内向发包人和监理人提交竣工付款申请单。</w:t>
      </w:r>
    </w:p>
    <w:p w14:paraId="7BB9EAD8">
      <w:pPr>
        <w:pStyle w:val="5"/>
        <w:numPr>
          <w:ilvl w:val="3"/>
          <w:numId w:val="0"/>
        </w:numPr>
        <w:tabs>
          <w:tab w:val="left" w:pos="2155"/>
          <w:tab w:val="clear" w:pos="912"/>
        </w:tabs>
        <w:rPr>
          <w:rFonts w:ascii="仿宋" w:hAnsi="仿宋" w:eastAsia="仿宋" w:cs="仿宋"/>
          <w:color w:val="auto"/>
          <w:highlight w:val="none"/>
        </w:rPr>
      </w:pPr>
      <w:bookmarkStart w:id="694" w:name="_Toc16850"/>
      <w:bookmarkStart w:id="695" w:name="_Toc21063"/>
      <w:bookmarkStart w:id="696" w:name="_Toc166155292"/>
      <w:r>
        <w:rPr>
          <w:rFonts w:hint="eastAsia" w:ascii="仿宋" w:hAnsi="仿宋" w:eastAsia="仿宋" w:cs="仿宋"/>
          <w:color w:val="auto"/>
          <w:highlight w:val="none"/>
        </w:rPr>
        <w:t>14.2竣工结算审核及竣工付款</w:t>
      </w:r>
      <w:bookmarkEnd w:id="694"/>
      <w:bookmarkEnd w:id="695"/>
      <w:bookmarkEnd w:id="696"/>
    </w:p>
    <w:p w14:paraId="79F8B8A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为了保证工程结算的严肃性，承包人必须在递交竣工结算资料前做好充分的准备：</w:t>
      </w:r>
    </w:p>
    <w:p w14:paraId="4FEB9C0D">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（1）承包人保证将完整的竣工结算资料（包括所有的签证单、联系单等）递交给发包人，在结算审核过程中，如出现：①因发包人要求或审核意见补充的资料；②因政府部门备案 / 审计要求补充的资料；③因不可抗力导致的资料缺失；承包人需在合理期限内申请补正。结算资料中不合格（变更内容不明确、签字单位不齐全等）的变更签证，承包人同意按无效签证处理。</w:t>
      </w:r>
    </w:p>
    <w:p w14:paraId="3202A941">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（2）承包人报送的工程结算价（以下简称送审价），与发包人最终审定的工程结算价（以下简称审定价）相比，其误差率=（送审价/审定价－1）×100%＜5%以内，否则承包人应当承担违约责任。</w:t>
      </w:r>
    </w:p>
    <w:p w14:paraId="51FBD72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3）承包人应当对提交的工程竣工结算价的准确性、真实性负责，按以上第（2）如送审价≥审定价的1.05倍，承包人承担违约责任并支付违约金，违约金＝（送审价－1.05×审定价）×10%＋（送审价－1.05×审定价）×3.5%。违约金由发包人从承包人工程结算款中扣除。</w:t>
      </w:r>
    </w:p>
    <w:p w14:paraId="3B8BA554">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4）发包人竣工结算报告审查时间：按《建设工程价款结算暂行办法》（财建（2004）369号）规定执行，承包人必须及时向发包人递交竣工结算报告及完整合格的结算资料，因承包人提供的结算资料不完整或不合格而需要补充或承包人不按时对账耽误时间时，审查时间应相应顺延；承包人必须跟发包人委托的审计单位核对结算价。</w:t>
      </w:r>
    </w:p>
    <w:p w14:paraId="1CD5B92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因承包人提供的结算资料不完整而需要补充或承包人不按时对账耽误时间时，审查时间应相应顺延。</w:t>
      </w:r>
    </w:p>
    <w:p w14:paraId="7FB07DD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（5）对符合财政投资评审范围内的项目，按财政评审有关文件规定执行，竣工结算以财政评审意见为准，并同时按照以下约定执行：</w:t>
      </w:r>
    </w:p>
    <w:p w14:paraId="33AA49AA">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（6）承包人对发包人确认的结算价款或审核意见有异议的，应在收到发包人确认的价款或审核意见之日起30天内提出异议，必要时合同当事人要当面核对，直至完成工程竣工结算。</w:t>
      </w:r>
    </w:p>
    <w:p w14:paraId="03F6498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（7）承包人必须提供完整、真实的隐蔽工程原始施工、验收记录。如发现承包人提供的隐蔽工程资料与实际不符时，按不利于承包人原则结算。</w:t>
      </w:r>
    </w:p>
    <w:p w14:paraId="386160BD">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8）安全生产责任保险费按《自治区住房城乡建设厅关于印发广西壮族自治区房屋建筑和市政基础设施工程安全生产责任保险计价规定的通知》（桂建发〔2023〕6号）计算，工程结算时，由发承包双方根据工程实际情况确认的安全生产责任保险费进行结算。</w:t>
      </w:r>
    </w:p>
    <w:p w14:paraId="5E13D2E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发包人完成竣工付款的期限：发包人收到承包人提交的竣工付款申请单后60天内。</w:t>
      </w:r>
    </w:p>
    <w:p w14:paraId="1857AFC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承包人有以下情形的，发包人有权在竣工结算审核完成后的下一年度再支付剩余工程款。</w:t>
      </w:r>
    </w:p>
    <w:p w14:paraId="1617F33A">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1．因承包人原因导致工期延误，造成实际竣工日期超过合同约定的竣工日期所属年度。</w:t>
      </w:r>
    </w:p>
    <w:p w14:paraId="3AC60C7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2．因承包人不按合同约定的时限提供完整的竣工结算资料导致竣工结算延误，造成发包人竣工结算审核完成日期超过合同约定的竣工结算审核完成日期所属年度。</w:t>
      </w:r>
    </w:p>
    <w:p w14:paraId="45AE7E29">
      <w:pPr>
        <w:pStyle w:val="5"/>
        <w:numPr>
          <w:ilvl w:val="3"/>
          <w:numId w:val="0"/>
        </w:numPr>
        <w:tabs>
          <w:tab w:val="left" w:pos="2155"/>
          <w:tab w:val="clear" w:pos="912"/>
        </w:tabs>
        <w:rPr>
          <w:rFonts w:ascii="仿宋" w:hAnsi="仿宋" w:eastAsia="仿宋" w:cs="仿宋"/>
          <w:color w:val="auto"/>
          <w:highlight w:val="none"/>
        </w:rPr>
      </w:pPr>
      <w:bookmarkStart w:id="697" w:name="_Toc25936"/>
      <w:bookmarkStart w:id="698" w:name="_Toc166155293"/>
      <w:bookmarkStart w:id="699" w:name="_Toc5902"/>
      <w:r>
        <w:rPr>
          <w:rFonts w:hint="eastAsia" w:ascii="仿宋" w:hAnsi="仿宋" w:eastAsia="仿宋" w:cs="仿宋"/>
          <w:color w:val="auto"/>
          <w:highlight w:val="none"/>
        </w:rPr>
        <w:t>14.4最终结清</w:t>
      </w:r>
      <w:bookmarkEnd w:id="697"/>
      <w:bookmarkEnd w:id="698"/>
      <w:bookmarkEnd w:id="699"/>
    </w:p>
    <w:p w14:paraId="65DA426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14.4.1最终结清申请单</w:t>
      </w:r>
    </w:p>
    <w:p w14:paraId="26E11E0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承包人提交最终结清申请单的份数：</w:t>
      </w:r>
      <w:r>
        <w:rPr>
          <w:rFonts w:hint="eastAsia" w:ascii="仿宋" w:hAnsi="仿宋" w:eastAsia="仿宋" w:cs="仿宋"/>
          <w:color w:val="auto"/>
          <w:szCs w:val="21"/>
          <w:highlight w:val="none"/>
          <w:u w:val="single"/>
        </w:rPr>
        <w:t>一式陆份</w:t>
      </w:r>
      <w:r>
        <w:rPr>
          <w:rFonts w:hint="eastAsia" w:ascii="仿宋" w:hAnsi="仿宋" w:eastAsia="仿宋" w:cs="仿宋"/>
          <w:color w:val="auto"/>
          <w:szCs w:val="21"/>
          <w:highlight w:val="none"/>
        </w:rPr>
        <w:t>。</w:t>
      </w:r>
    </w:p>
    <w:p w14:paraId="05B52BB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承包人提交最终结算申请单的期限：</w:t>
      </w:r>
      <w:r>
        <w:rPr>
          <w:rFonts w:hint="eastAsia" w:ascii="仿宋" w:hAnsi="仿宋" w:eastAsia="仿宋" w:cs="仿宋"/>
          <w:color w:val="auto"/>
          <w:szCs w:val="21"/>
          <w:highlight w:val="none"/>
          <w:u w:val="single"/>
        </w:rPr>
        <w:t>按照通用合同条款</w:t>
      </w:r>
      <w:r>
        <w:rPr>
          <w:rFonts w:hint="eastAsia" w:ascii="仿宋" w:hAnsi="仿宋" w:eastAsia="仿宋" w:cs="仿宋"/>
          <w:color w:val="auto"/>
          <w:szCs w:val="21"/>
          <w:highlight w:val="none"/>
        </w:rPr>
        <w:t>。</w:t>
      </w:r>
    </w:p>
    <w:p w14:paraId="614831D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最终结算款支付申请（核准）表见合同附件13。</w:t>
      </w:r>
    </w:p>
    <w:p w14:paraId="13AADA2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14.4.2最终结清证书和支付</w:t>
      </w:r>
    </w:p>
    <w:p w14:paraId="2E53830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（1）发包人完成最终结清申请单的审批并颁发最终结清证书的期限：</w:t>
      </w:r>
      <w:r>
        <w:rPr>
          <w:rFonts w:hint="eastAsia" w:ascii="仿宋" w:hAnsi="仿宋" w:eastAsia="仿宋" w:cs="仿宋"/>
          <w:color w:val="auto"/>
          <w:szCs w:val="21"/>
          <w:highlight w:val="none"/>
          <w:u w:val="single"/>
        </w:rPr>
        <w:t>收到该申请14天内</w:t>
      </w:r>
      <w:r>
        <w:rPr>
          <w:rFonts w:hint="eastAsia" w:ascii="仿宋" w:hAnsi="仿宋" w:eastAsia="仿宋" w:cs="仿宋"/>
          <w:color w:val="auto"/>
          <w:szCs w:val="21"/>
          <w:highlight w:val="none"/>
        </w:rPr>
        <w:t>。</w:t>
      </w:r>
    </w:p>
    <w:p w14:paraId="7AA6109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（2）发包人完成支付的期限：</w:t>
      </w:r>
      <w:r>
        <w:rPr>
          <w:rFonts w:hint="eastAsia" w:ascii="仿宋" w:hAnsi="仿宋" w:eastAsia="仿宋" w:cs="仿宋"/>
          <w:color w:val="auto"/>
          <w:szCs w:val="21"/>
          <w:highlight w:val="none"/>
          <w:u w:val="single"/>
        </w:rPr>
        <w:t>缺陷责任期满，且证书颁发后14天内</w:t>
      </w:r>
      <w:r>
        <w:rPr>
          <w:rFonts w:hint="eastAsia" w:ascii="仿宋" w:hAnsi="仿宋" w:eastAsia="仿宋" w:cs="仿宋"/>
          <w:color w:val="auto"/>
          <w:szCs w:val="21"/>
          <w:highlight w:val="none"/>
        </w:rPr>
        <w:t>。</w:t>
      </w:r>
    </w:p>
    <w:p w14:paraId="5C1F5121">
      <w:pPr>
        <w:pStyle w:val="4"/>
        <w:rPr>
          <w:rFonts w:ascii="仿宋" w:hAnsi="仿宋" w:eastAsia="仿宋" w:cs="仿宋"/>
          <w:color w:val="auto"/>
          <w:highlight w:val="none"/>
        </w:rPr>
      </w:pPr>
      <w:bookmarkStart w:id="700" w:name="_Toc7779"/>
      <w:bookmarkStart w:id="701" w:name="_Toc32352"/>
      <w:bookmarkStart w:id="702" w:name="_Toc7830"/>
      <w:bookmarkStart w:id="703" w:name="_Toc166155294"/>
      <w:bookmarkStart w:id="704" w:name="_Toc20804"/>
      <w:r>
        <w:rPr>
          <w:rFonts w:hint="eastAsia" w:ascii="仿宋" w:hAnsi="仿宋" w:eastAsia="仿宋" w:cs="仿宋"/>
          <w:color w:val="auto"/>
          <w:highlight w:val="none"/>
        </w:rPr>
        <w:t>15.缺陷责任期与保修</w:t>
      </w:r>
      <w:bookmarkEnd w:id="700"/>
      <w:bookmarkEnd w:id="701"/>
      <w:bookmarkEnd w:id="702"/>
      <w:bookmarkEnd w:id="703"/>
      <w:bookmarkEnd w:id="704"/>
    </w:p>
    <w:p w14:paraId="00694702">
      <w:pPr>
        <w:pStyle w:val="5"/>
        <w:numPr>
          <w:ilvl w:val="3"/>
          <w:numId w:val="0"/>
        </w:numPr>
        <w:tabs>
          <w:tab w:val="left" w:pos="2155"/>
          <w:tab w:val="clear" w:pos="912"/>
        </w:tabs>
        <w:rPr>
          <w:rFonts w:ascii="仿宋" w:hAnsi="仿宋" w:eastAsia="仿宋" w:cs="仿宋"/>
          <w:color w:val="auto"/>
          <w:highlight w:val="none"/>
        </w:rPr>
      </w:pPr>
      <w:bookmarkStart w:id="705" w:name="_Toc9315"/>
      <w:bookmarkStart w:id="706" w:name="_Toc166155295"/>
      <w:bookmarkStart w:id="707" w:name="_Toc27474"/>
      <w:r>
        <w:rPr>
          <w:rFonts w:hint="eastAsia" w:ascii="仿宋" w:hAnsi="仿宋" w:eastAsia="仿宋" w:cs="仿宋"/>
          <w:color w:val="auto"/>
          <w:highlight w:val="none"/>
        </w:rPr>
        <w:t>15.2缺陷责任期</w:t>
      </w:r>
      <w:bookmarkEnd w:id="705"/>
      <w:bookmarkEnd w:id="706"/>
      <w:bookmarkEnd w:id="707"/>
    </w:p>
    <w:p w14:paraId="1819E9E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缺陷责任期的具体期限：</w:t>
      </w:r>
      <w:r>
        <w:rPr>
          <w:rFonts w:hint="eastAsia" w:ascii="仿宋" w:hAnsi="仿宋" w:eastAsia="仿宋" w:cs="仿宋"/>
          <w:color w:val="auto"/>
          <w:szCs w:val="21"/>
          <w:highlight w:val="none"/>
          <w:u w:val="single"/>
        </w:rPr>
        <w:t>24个月</w:t>
      </w:r>
      <w:r>
        <w:rPr>
          <w:rFonts w:hint="eastAsia" w:ascii="仿宋" w:hAnsi="仿宋" w:eastAsia="仿宋" w:cs="仿宋"/>
          <w:color w:val="auto"/>
          <w:szCs w:val="21"/>
          <w:highlight w:val="none"/>
        </w:rPr>
        <w:t>。</w:t>
      </w:r>
    </w:p>
    <w:p w14:paraId="06598EBA">
      <w:pPr>
        <w:pStyle w:val="5"/>
        <w:numPr>
          <w:ilvl w:val="3"/>
          <w:numId w:val="0"/>
        </w:numPr>
        <w:tabs>
          <w:tab w:val="left" w:pos="2155"/>
          <w:tab w:val="clear" w:pos="912"/>
        </w:tabs>
        <w:rPr>
          <w:rFonts w:ascii="仿宋" w:hAnsi="仿宋" w:eastAsia="仿宋" w:cs="仿宋"/>
          <w:color w:val="auto"/>
          <w:highlight w:val="none"/>
        </w:rPr>
      </w:pPr>
      <w:bookmarkStart w:id="708" w:name="_Toc166155296"/>
      <w:bookmarkStart w:id="709" w:name="_Toc8137"/>
      <w:bookmarkStart w:id="710" w:name="_Toc10587"/>
      <w:r>
        <w:rPr>
          <w:rFonts w:hint="eastAsia" w:ascii="仿宋" w:hAnsi="仿宋" w:eastAsia="仿宋" w:cs="仿宋"/>
          <w:color w:val="auto"/>
          <w:highlight w:val="none"/>
        </w:rPr>
        <w:t>15.3质量保证金</w:t>
      </w:r>
      <w:bookmarkEnd w:id="708"/>
      <w:bookmarkEnd w:id="709"/>
      <w:bookmarkEnd w:id="710"/>
    </w:p>
    <w:p w14:paraId="4B03B8F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关于是否扣留质量保证金的约定：</w:t>
      </w:r>
      <w:r>
        <w:rPr>
          <w:rFonts w:hint="eastAsia" w:ascii="仿宋" w:hAnsi="仿宋" w:eastAsia="仿宋" w:cs="仿宋"/>
          <w:color w:val="auto"/>
          <w:szCs w:val="21"/>
          <w:highlight w:val="none"/>
          <w:u w:val="single"/>
        </w:rPr>
        <w:t>否</w:t>
      </w:r>
      <w:r>
        <w:rPr>
          <w:rFonts w:hint="eastAsia" w:ascii="仿宋" w:hAnsi="仿宋" w:eastAsia="仿宋" w:cs="仿宋"/>
          <w:color w:val="auto"/>
          <w:szCs w:val="21"/>
          <w:highlight w:val="none"/>
        </w:rPr>
        <w:t>。</w:t>
      </w:r>
    </w:p>
    <w:p w14:paraId="356D6F5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在工程项目竣工前，承包人按专用合同条款第3.7条提供履约担保的，发包人不得同时预留工程质量保证金。</w:t>
      </w:r>
    </w:p>
    <w:p w14:paraId="168BC60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15.3.1承包人提供质量保证金的方式</w:t>
      </w:r>
    </w:p>
    <w:p w14:paraId="304DF8A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质量保证金采用以下第</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种方式：</w:t>
      </w:r>
    </w:p>
    <w:p w14:paraId="3A9D5B2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（1）质量保证金保函；</w:t>
      </w:r>
    </w:p>
    <w:p w14:paraId="13D1AFA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（2）相应比例的工程款</w:t>
      </w:r>
      <w:r>
        <w:rPr>
          <w:rFonts w:hint="eastAsia" w:ascii="仿宋" w:hAnsi="仿宋" w:eastAsia="仿宋" w:cs="仿宋"/>
          <w:color w:val="auto"/>
          <w:kern w:val="0"/>
          <w:szCs w:val="21"/>
          <w:highlight w:val="none"/>
        </w:rPr>
        <w:t>；</w:t>
      </w:r>
    </w:p>
    <w:p w14:paraId="5C7CD12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（3）双方约定的其他方式。</w:t>
      </w:r>
    </w:p>
    <w:p w14:paraId="6D78D11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15.3.2质量保证金的扣留</w:t>
      </w:r>
    </w:p>
    <w:p w14:paraId="3EFE30D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质量保证金的扣留采取以下第</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种方式：</w:t>
      </w:r>
    </w:p>
    <w:p w14:paraId="3EB4A48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（1）在支付工程进度款时逐次扣留，在此情形下，质量保证金的计算基数不包括预付款的支付、扣回以及价格调整的金额；</w:t>
      </w:r>
    </w:p>
    <w:p w14:paraId="13F7C58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（2）工程竣工结算时一次性扣留质量保证金；</w:t>
      </w:r>
    </w:p>
    <w:p w14:paraId="531574D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（3）双方约定的其他扣留方式。</w:t>
      </w:r>
    </w:p>
    <w:p w14:paraId="4E08125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15.3.3质量保证金的退还</w:t>
      </w:r>
    </w:p>
    <w:p w14:paraId="67A47B4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缺陷责任期内，承包人认真履行合同约定的责任，到期后，承包人可向发包人申请返还保证金（无息）。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DC2766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发包人和承包人对保证金预留、返还以及工程维修质量、费用有争议的，按本合同第20条约定的争议和纠纷解决程序处理。</w:t>
      </w:r>
    </w:p>
    <w:p w14:paraId="54747AD4">
      <w:pPr>
        <w:pStyle w:val="5"/>
        <w:numPr>
          <w:ilvl w:val="3"/>
          <w:numId w:val="0"/>
        </w:numPr>
        <w:tabs>
          <w:tab w:val="left" w:pos="2155"/>
          <w:tab w:val="clear" w:pos="912"/>
        </w:tabs>
        <w:rPr>
          <w:rFonts w:ascii="仿宋" w:hAnsi="仿宋" w:eastAsia="仿宋" w:cs="仿宋"/>
          <w:color w:val="auto"/>
          <w:highlight w:val="none"/>
        </w:rPr>
      </w:pPr>
      <w:bookmarkStart w:id="711" w:name="_Toc26425"/>
      <w:bookmarkStart w:id="712" w:name="_Toc166155297"/>
      <w:bookmarkStart w:id="713" w:name="_Toc9328"/>
      <w:r>
        <w:rPr>
          <w:rFonts w:hint="eastAsia" w:ascii="仿宋" w:hAnsi="仿宋" w:eastAsia="仿宋" w:cs="仿宋"/>
          <w:color w:val="auto"/>
          <w:highlight w:val="none"/>
        </w:rPr>
        <w:t>15.4保修</w:t>
      </w:r>
      <w:bookmarkEnd w:id="711"/>
      <w:bookmarkEnd w:id="712"/>
      <w:bookmarkEnd w:id="713"/>
    </w:p>
    <w:p w14:paraId="3E698E2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15.4.1保修责任</w:t>
      </w:r>
    </w:p>
    <w:p w14:paraId="1913166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工程保修期为：</w:t>
      </w:r>
      <w:r>
        <w:rPr>
          <w:rFonts w:hint="eastAsia" w:ascii="仿宋" w:hAnsi="仿宋" w:eastAsia="仿宋" w:cs="仿宋"/>
          <w:color w:val="auto"/>
          <w:szCs w:val="21"/>
          <w:highlight w:val="none"/>
          <w:u w:val="single"/>
        </w:rPr>
        <w:t>按合同附件工程质量保修书规定执行</w:t>
      </w:r>
      <w:r>
        <w:rPr>
          <w:rFonts w:hint="eastAsia" w:ascii="仿宋" w:hAnsi="仿宋" w:eastAsia="仿宋" w:cs="仿宋"/>
          <w:color w:val="auto"/>
          <w:szCs w:val="21"/>
          <w:highlight w:val="none"/>
        </w:rPr>
        <w:t>。</w:t>
      </w:r>
    </w:p>
    <w:p w14:paraId="29E9917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工程保修书具体内容见合同附件2。</w:t>
      </w:r>
    </w:p>
    <w:p w14:paraId="0388981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15.4.3修复通知</w:t>
      </w:r>
    </w:p>
    <w:p w14:paraId="223F0C1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承包人收到保修通知并到达工程现场的合理时间：</w:t>
      </w:r>
      <w:r>
        <w:rPr>
          <w:rFonts w:hint="eastAsia" w:ascii="仿宋" w:hAnsi="仿宋" w:eastAsia="仿宋" w:cs="仿宋"/>
          <w:color w:val="auto"/>
          <w:szCs w:val="21"/>
          <w:highlight w:val="none"/>
          <w:u w:val="single"/>
        </w:rPr>
        <w:t>24小时内</w:t>
      </w:r>
      <w:r>
        <w:rPr>
          <w:rFonts w:hint="eastAsia" w:ascii="仿宋" w:hAnsi="仿宋" w:eastAsia="仿宋" w:cs="仿宋"/>
          <w:color w:val="auto"/>
          <w:szCs w:val="21"/>
          <w:highlight w:val="none"/>
        </w:rPr>
        <w:t>。</w:t>
      </w:r>
    </w:p>
    <w:p w14:paraId="7828827D">
      <w:pPr>
        <w:pStyle w:val="4"/>
        <w:rPr>
          <w:rFonts w:ascii="仿宋" w:hAnsi="仿宋" w:eastAsia="仿宋" w:cs="仿宋"/>
          <w:color w:val="auto"/>
          <w:highlight w:val="none"/>
        </w:rPr>
      </w:pPr>
      <w:bookmarkStart w:id="714" w:name="_Toc21054"/>
      <w:bookmarkStart w:id="715" w:name="_Toc166155298"/>
      <w:bookmarkStart w:id="716" w:name="_Toc24634"/>
      <w:bookmarkStart w:id="717" w:name="_Toc29322"/>
      <w:bookmarkStart w:id="718" w:name="_Toc24020"/>
      <w:r>
        <w:rPr>
          <w:rFonts w:hint="eastAsia" w:ascii="仿宋" w:hAnsi="仿宋" w:eastAsia="仿宋" w:cs="仿宋"/>
          <w:color w:val="auto"/>
          <w:highlight w:val="none"/>
        </w:rPr>
        <w:t>16.违约</w:t>
      </w:r>
      <w:bookmarkEnd w:id="714"/>
      <w:bookmarkEnd w:id="715"/>
      <w:bookmarkEnd w:id="716"/>
      <w:bookmarkEnd w:id="717"/>
      <w:bookmarkEnd w:id="718"/>
    </w:p>
    <w:p w14:paraId="19E09B32">
      <w:pPr>
        <w:pStyle w:val="5"/>
        <w:numPr>
          <w:ilvl w:val="3"/>
          <w:numId w:val="0"/>
        </w:numPr>
        <w:tabs>
          <w:tab w:val="left" w:pos="2155"/>
          <w:tab w:val="clear" w:pos="912"/>
        </w:tabs>
        <w:rPr>
          <w:rFonts w:ascii="仿宋" w:hAnsi="仿宋" w:eastAsia="仿宋" w:cs="仿宋"/>
          <w:color w:val="auto"/>
          <w:highlight w:val="none"/>
        </w:rPr>
      </w:pPr>
      <w:bookmarkStart w:id="719" w:name="_Toc28029"/>
      <w:bookmarkStart w:id="720" w:name="_Toc166155299"/>
      <w:bookmarkStart w:id="721" w:name="_Toc17028"/>
      <w:r>
        <w:rPr>
          <w:rFonts w:hint="eastAsia" w:ascii="仿宋" w:hAnsi="仿宋" w:eastAsia="仿宋" w:cs="仿宋"/>
          <w:color w:val="auto"/>
          <w:highlight w:val="none"/>
        </w:rPr>
        <w:t>16.1发包人违约</w:t>
      </w:r>
      <w:bookmarkEnd w:id="719"/>
      <w:bookmarkEnd w:id="720"/>
      <w:bookmarkEnd w:id="721"/>
    </w:p>
    <w:p w14:paraId="79F0379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16.1.1发包人违约的情形</w:t>
      </w:r>
    </w:p>
    <w:p w14:paraId="4B57349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发包人违约的其他情形：</w:t>
      </w:r>
      <w:r>
        <w:rPr>
          <w:rFonts w:hint="eastAsia" w:ascii="仿宋" w:hAnsi="仿宋" w:eastAsia="仿宋" w:cs="仿宋"/>
          <w:color w:val="auto"/>
          <w:szCs w:val="21"/>
          <w:highlight w:val="none"/>
          <w:u w:val="single"/>
        </w:rPr>
        <w:t>按本合同通用条款</w:t>
      </w:r>
      <w:r>
        <w:rPr>
          <w:rFonts w:hint="eastAsia" w:ascii="仿宋" w:hAnsi="仿宋" w:eastAsia="仿宋" w:cs="仿宋"/>
          <w:color w:val="auto"/>
          <w:szCs w:val="21"/>
          <w:highlight w:val="none"/>
        </w:rPr>
        <w:t>。</w:t>
      </w:r>
    </w:p>
    <w:p w14:paraId="0248FDD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16.1.2发包人违约的责任</w:t>
      </w:r>
    </w:p>
    <w:p w14:paraId="70EFF2E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发包人违约责任的承担方式和计算方法：</w:t>
      </w:r>
    </w:p>
    <w:p w14:paraId="24FEAD6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（1）因发包人原因未能在计划开工日期前7天内下达开工通知的违约责任：</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3D61230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（2）因发包人原因未能按合同约定支付合同价款的违约责任：</w:t>
      </w:r>
      <w:r>
        <w:rPr>
          <w:rFonts w:hint="eastAsia" w:ascii="仿宋" w:hAnsi="仿宋" w:eastAsia="仿宋" w:cs="仿宋"/>
          <w:color w:val="auto"/>
          <w:szCs w:val="21"/>
          <w:highlight w:val="none"/>
          <w:u w:val="single"/>
        </w:rPr>
        <w:t>承包人与发包人签订延期付款协议</w:t>
      </w:r>
      <w:r>
        <w:rPr>
          <w:rFonts w:hint="eastAsia" w:ascii="仿宋" w:hAnsi="仿宋" w:eastAsia="仿宋" w:cs="仿宋"/>
          <w:color w:val="auto"/>
          <w:szCs w:val="21"/>
          <w:highlight w:val="none"/>
        </w:rPr>
        <w:t>。</w:t>
      </w:r>
    </w:p>
    <w:p w14:paraId="219C0E0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（3）发包人违反第10.1款〔变更的范围〕第（2）项约定，自行实施被取消的工作或转由他人实施的违约责任：</w:t>
      </w:r>
      <w:r>
        <w:rPr>
          <w:rFonts w:hint="eastAsia" w:ascii="仿宋" w:hAnsi="仿宋" w:eastAsia="仿宋" w:cs="仿宋"/>
          <w:color w:val="auto"/>
          <w:szCs w:val="21"/>
          <w:highlight w:val="none"/>
          <w:u w:val="single"/>
        </w:rPr>
        <w:t>发包人只赔偿承包人因准备该部分工作而发生的合理费用，但不给予其它赔偿或补偿</w:t>
      </w:r>
      <w:r>
        <w:rPr>
          <w:rFonts w:hint="eastAsia" w:ascii="仿宋" w:hAnsi="仿宋" w:eastAsia="仿宋" w:cs="仿宋"/>
          <w:color w:val="auto"/>
          <w:szCs w:val="21"/>
          <w:highlight w:val="none"/>
        </w:rPr>
        <w:t>。</w:t>
      </w:r>
    </w:p>
    <w:p w14:paraId="167AFD9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zCs w:val="21"/>
          <w:highlight w:val="none"/>
          <w:u w:val="single"/>
        </w:rPr>
        <w:t>按本合同通用条款执行</w:t>
      </w:r>
      <w:r>
        <w:rPr>
          <w:rFonts w:hint="eastAsia" w:ascii="仿宋" w:hAnsi="仿宋" w:eastAsia="仿宋" w:cs="仿宋"/>
          <w:color w:val="auto"/>
          <w:szCs w:val="21"/>
          <w:highlight w:val="none"/>
        </w:rPr>
        <w:t>。</w:t>
      </w:r>
    </w:p>
    <w:p w14:paraId="7D9A1E7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（5）因发包人违反合同约定造成暂停施工的违约责任：</w:t>
      </w:r>
      <w:r>
        <w:rPr>
          <w:rFonts w:hint="eastAsia" w:ascii="仿宋" w:hAnsi="仿宋" w:eastAsia="仿宋" w:cs="仿宋"/>
          <w:color w:val="auto"/>
          <w:szCs w:val="21"/>
          <w:highlight w:val="none"/>
          <w:u w:val="single"/>
        </w:rPr>
        <w:t>可顺延工期</w:t>
      </w:r>
      <w:r>
        <w:rPr>
          <w:rFonts w:hint="eastAsia" w:ascii="仿宋" w:hAnsi="仿宋" w:eastAsia="仿宋" w:cs="仿宋"/>
          <w:color w:val="auto"/>
          <w:szCs w:val="21"/>
          <w:highlight w:val="none"/>
        </w:rPr>
        <w:t>。</w:t>
      </w:r>
    </w:p>
    <w:p w14:paraId="2BED79B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（6）发包人无正当理由没有在约定期限内发出复工指示，导致承包人无法复工的违约责任：</w:t>
      </w:r>
      <w:r>
        <w:rPr>
          <w:rFonts w:hint="eastAsia" w:ascii="仿宋" w:hAnsi="仿宋" w:eastAsia="仿宋" w:cs="仿宋"/>
          <w:color w:val="auto"/>
          <w:szCs w:val="21"/>
          <w:highlight w:val="none"/>
          <w:u w:val="single"/>
        </w:rPr>
        <w:t>可顺延工期，但发包人不赔偿其它损失</w:t>
      </w:r>
      <w:r>
        <w:rPr>
          <w:rFonts w:hint="eastAsia" w:ascii="仿宋" w:hAnsi="仿宋" w:eastAsia="仿宋" w:cs="仿宋"/>
          <w:color w:val="auto"/>
          <w:szCs w:val="21"/>
          <w:highlight w:val="none"/>
        </w:rPr>
        <w:t>。</w:t>
      </w:r>
    </w:p>
    <w:p w14:paraId="1835E56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（7）其他：</w:t>
      </w:r>
      <w:r>
        <w:rPr>
          <w:rFonts w:hint="eastAsia" w:ascii="仿宋" w:hAnsi="仿宋" w:eastAsia="仿宋" w:cs="仿宋"/>
          <w:color w:val="auto"/>
          <w:szCs w:val="21"/>
          <w:highlight w:val="none"/>
          <w:u w:val="single"/>
        </w:rPr>
        <w:t>无</w:t>
      </w:r>
      <w:r>
        <w:rPr>
          <w:rFonts w:hint="eastAsia" w:ascii="仿宋" w:hAnsi="仿宋" w:eastAsia="仿宋" w:cs="仿宋"/>
          <w:color w:val="auto"/>
          <w:szCs w:val="21"/>
          <w:highlight w:val="none"/>
        </w:rPr>
        <w:t>。</w:t>
      </w:r>
    </w:p>
    <w:p w14:paraId="76E0773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16.1.3因发包人违约解除合同</w:t>
      </w:r>
    </w:p>
    <w:p w14:paraId="046B4AD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承包人按16.1.1项〔发包人违约的情形〕约定暂停施工满</w:t>
      </w:r>
      <w:r>
        <w:rPr>
          <w:rFonts w:hint="eastAsia" w:ascii="仿宋" w:hAnsi="仿宋" w:eastAsia="仿宋" w:cs="仿宋"/>
          <w:color w:val="auto"/>
          <w:szCs w:val="21"/>
          <w:highlight w:val="none"/>
          <w:u w:val="single"/>
        </w:rPr>
        <w:t>60</w:t>
      </w:r>
      <w:r>
        <w:rPr>
          <w:rFonts w:hint="eastAsia" w:ascii="仿宋" w:hAnsi="仿宋" w:eastAsia="仿宋" w:cs="仿宋"/>
          <w:color w:val="auto"/>
          <w:szCs w:val="21"/>
          <w:highlight w:val="none"/>
        </w:rPr>
        <w:t>天后发包人仍不纠正其违约行为并致使合同目的不能实现的，承包人有权解除合同。</w:t>
      </w:r>
    </w:p>
    <w:p w14:paraId="2DBBF797">
      <w:pPr>
        <w:pStyle w:val="5"/>
        <w:numPr>
          <w:ilvl w:val="3"/>
          <w:numId w:val="0"/>
        </w:numPr>
        <w:tabs>
          <w:tab w:val="left" w:pos="2155"/>
          <w:tab w:val="clear" w:pos="912"/>
        </w:tabs>
        <w:rPr>
          <w:rFonts w:ascii="仿宋" w:hAnsi="仿宋" w:eastAsia="仿宋" w:cs="仿宋"/>
          <w:color w:val="auto"/>
          <w:highlight w:val="none"/>
        </w:rPr>
      </w:pPr>
      <w:bookmarkStart w:id="722" w:name="_Toc8337"/>
      <w:bookmarkStart w:id="723" w:name="_Toc166155300"/>
      <w:bookmarkStart w:id="724" w:name="_Toc16416"/>
      <w:r>
        <w:rPr>
          <w:rFonts w:hint="eastAsia" w:ascii="仿宋" w:hAnsi="仿宋" w:eastAsia="仿宋" w:cs="仿宋"/>
          <w:color w:val="auto"/>
          <w:highlight w:val="none"/>
        </w:rPr>
        <w:t>16.2承包人违约</w:t>
      </w:r>
      <w:bookmarkEnd w:id="722"/>
      <w:bookmarkEnd w:id="723"/>
      <w:bookmarkEnd w:id="724"/>
    </w:p>
    <w:p w14:paraId="67C5A05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16.2.1承包人违约的情形</w:t>
      </w:r>
    </w:p>
    <w:p w14:paraId="54D057E4">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（1）承包人违反合同约定进行转包或违法分包的或承包人未按合同约定配合发包人对发包人支付给承包人的工程款的流向进行跟踪的；</w:t>
      </w:r>
    </w:p>
    <w:p w14:paraId="6C98DDF2">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（2）承包人违反合同约定采购和使用不合格的材料和工程设备的；</w:t>
      </w:r>
    </w:p>
    <w:p w14:paraId="51AA6D60">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（3）因承包人原因导致工程质量不符合合同要求的；</w:t>
      </w:r>
    </w:p>
    <w:p w14:paraId="6931FD2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（4）承包人违反第8款〔材料与设备专用要求〕的约定，未经批准，私自将已按照合同约定进入施工现场的材料或设备撤离施工现场的；</w:t>
      </w:r>
    </w:p>
    <w:p w14:paraId="0E102689">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（5）承包人未能按施工进度计划及时完成合同约定的工作，造成工期延误的；</w:t>
      </w:r>
    </w:p>
    <w:p w14:paraId="3FCCCF4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（6）承包人在缺陷责任期及保修期内，未能在合理期限对工程缺陷进行修复，或拒绝按发包人要求进行修复的；</w:t>
      </w:r>
    </w:p>
    <w:p w14:paraId="1E93AEBB">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（7）承包人明确表示或者以其行为表明不履行合同主要义务的；</w:t>
      </w:r>
    </w:p>
    <w:p w14:paraId="2437C905">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（8）承包人未按联合体的协议的职责分工约定履行合同的（如承包人为联合体时）；</w:t>
      </w:r>
    </w:p>
    <w:p w14:paraId="692742D5">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（9）承包人未能按照合同约定履行其他义务的。</w:t>
      </w:r>
    </w:p>
    <w:p w14:paraId="0AF394B2">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承包人发生除本项第（7）目约定以外的其他违约情况时，监理人可向承包人发出整改通知，要求其在指定的期限内改正。</w:t>
      </w:r>
    </w:p>
    <w:p w14:paraId="6013263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承包人违约的其他情形：</w:t>
      </w:r>
      <w:r>
        <w:rPr>
          <w:rFonts w:hint="eastAsia" w:ascii="仿宋" w:hAnsi="仿宋" w:eastAsia="仿宋" w:cs="仿宋"/>
          <w:color w:val="auto"/>
          <w:kern w:val="0"/>
          <w:szCs w:val="21"/>
          <w:highlight w:val="none"/>
          <w:u w:val="single"/>
        </w:rPr>
        <w:t>承包人有违反相关规定的，按规定给予处罚</w:t>
      </w:r>
      <w:r>
        <w:rPr>
          <w:rFonts w:hint="eastAsia" w:ascii="仿宋" w:hAnsi="仿宋" w:eastAsia="仿宋" w:cs="仿宋"/>
          <w:color w:val="auto"/>
          <w:szCs w:val="21"/>
          <w:highlight w:val="none"/>
        </w:rPr>
        <w:t>。</w:t>
      </w:r>
    </w:p>
    <w:p w14:paraId="133F32F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16.2.2承包人违约责任</w:t>
      </w:r>
    </w:p>
    <w:p w14:paraId="3E68B1B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承包人违约责任的承担方式和计算方法：</w:t>
      </w:r>
    </w:p>
    <w:p w14:paraId="56BE1312">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0FF4485C">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（2）承包人有本合同通用条款第16.2.1（6）条情形的，或经监理人检验认为修复质量不合格而承包人拒绝再进行修补的，发包人将扣除承包人全部质量保修金。</w:t>
      </w:r>
    </w:p>
    <w:p w14:paraId="68CEA636">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3）承包人有本专用合同条款3.2、3.3条违约责任的，发包人有权扣除承包人的违约金。违约金金额均在承包人的计量支付款内扣除。监理人预先下发含有罚款意向的指令，如承包人不及时采取措施纠正，则在指令下达后五天下发罚款通知书（不再陈述罚款理由）。</w:t>
      </w:r>
    </w:p>
    <w:p w14:paraId="049ADE5A">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4）承包人应协助发包人办理该项目施工许可证，按南宁市质监部门有关安全文明现场施工的规定完成文明施工设施建设并通过质监部门验收，同时按发包人要求及时提供报监相关资料。因承包人未按发包人的要求按时完成文明施工设施建设并通过质监部门验收或未按发包人要求的时间提供报监相关资料而影响施工许可证的办理，视为承包人违约，每延误一日按5000元人民币向发包人支付违约金。</w:t>
      </w:r>
    </w:p>
    <w:p w14:paraId="46299A6C">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（5）承包人必须协助业主办理行政退费手续，如因承包人提供退费资料不全等原因导致业主退费不成功，该笔费用将从工程结算款中予以扣除。</w:t>
      </w:r>
    </w:p>
    <w:p w14:paraId="2B70138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16.2.3因承包人违约解除合同</w:t>
      </w:r>
    </w:p>
    <w:p w14:paraId="25559012">
      <w:pPr>
        <w:spacing w:line="360"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关于承包人违约解除合同的特别约定：</w:t>
      </w:r>
      <w:r>
        <w:rPr>
          <w:rFonts w:hint="eastAsia" w:ascii="仿宋" w:hAnsi="仿宋" w:eastAsia="仿宋" w:cs="仿宋"/>
          <w:color w:val="auto"/>
          <w:kern w:val="0"/>
          <w:szCs w:val="21"/>
          <w:highlight w:val="none"/>
          <w:u w:val="single"/>
        </w:rPr>
        <w:t>承包人有违反以下情况之一的，发包人有权解除合同，造成发包人损失的，承包人还应当予以赔偿。</w:t>
      </w:r>
    </w:p>
    <w:p w14:paraId="301B7C21">
      <w:pPr>
        <w:spacing w:line="360"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r>
        <w:rPr>
          <w:rFonts w:hint="eastAsia" w:ascii="仿宋" w:hAnsi="仿宋" w:eastAsia="仿宋" w:cs="仿宋"/>
          <w:color w:val="auto"/>
          <w:highlight w:val="none"/>
        </w:rPr>
        <w:t>因承包人的原因，造成施工许可证办理期限延误超过一个月、</w:t>
      </w:r>
      <w:r>
        <w:rPr>
          <w:rFonts w:hint="eastAsia" w:ascii="仿宋" w:hAnsi="仿宋" w:eastAsia="仿宋" w:cs="仿宋"/>
          <w:color w:val="auto"/>
          <w:kern w:val="0"/>
          <w:szCs w:val="21"/>
          <w:highlight w:val="none"/>
        </w:rPr>
        <w:t>承包人无正当理由不按开工通知的要求及时进场组织施工</w:t>
      </w:r>
      <w:r>
        <w:rPr>
          <w:rFonts w:hint="eastAsia" w:ascii="仿宋" w:hAnsi="仿宋" w:eastAsia="仿宋" w:cs="仿宋"/>
          <w:color w:val="auto"/>
          <w:highlight w:val="none"/>
        </w:rPr>
        <w:t>超过一个月</w:t>
      </w:r>
      <w:r>
        <w:rPr>
          <w:rFonts w:hint="eastAsia" w:ascii="仿宋" w:hAnsi="仿宋" w:eastAsia="仿宋" w:cs="仿宋"/>
          <w:color w:val="auto"/>
          <w:kern w:val="0"/>
          <w:szCs w:val="21"/>
          <w:highlight w:val="none"/>
        </w:rPr>
        <w:t>和不按签订协议书时商定的进度计划有效地开展施工准备，造成工期延误的；</w:t>
      </w:r>
    </w:p>
    <w:p w14:paraId="50B6AD2A">
      <w:pPr>
        <w:spacing w:line="360"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(2)承包人违反本合同通用条款第3.5条规定私自将合同或合同的任何部分或任何权利转让给其他人，或私自将工程或工程的一部分分包出去的；</w:t>
      </w:r>
    </w:p>
    <w:p w14:paraId="55C1DF50">
      <w:pPr>
        <w:spacing w:line="360"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(3)未经监理人批准，承包人私自将已按投标文件承诺进入工地的工程设备、施工设备、临时工程或材料撤离工地的；</w:t>
      </w:r>
    </w:p>
    <w:p w14:paraId="162D642D">
      <w:pPr>
        <w:spacing w:line="360"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(4)由于承包人原因拒绝按合同进度计划及时完成合同规定的工程，而又未采取有效措施赶上进度，造成工期严重延误的；</w:t>
      </w:r>
    </w:p>
    <w:p w14:paraId="08B31C60">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(5)承包人否认合同有效或拒绝履行合同规定的承包人义务，或由于法律、财务等原因导致承包人无法继续履行或</w:t>
      </w:r>
      <w:r>
        <w:rPr>
          <w:rFonts w:hint="eastAsia" w:ascii="仿宋" w:hAnsi="仿宋" w:eastAsia="仿宋" w:cs="仿宋"/>
          <w:color w:val="auto"/>
          <w:kern w:val="0"/>
          <w:highlight w:val="none"/>
        </w:rPr>
        <w:t>事实全面已停</w:t>
      </w:r>
      <w:r>
        <w:rPr>
          <w:rFonts w:hint="eastAsia" w:ascii="仿宋" w:hAnsi="仿宋" w:eastAsia="仿宋" w:cs="仿宋"/>
          <w:color w:val="auto"/>
          <w:highlight w:val="none"/>
        </w:rPr>
        <w:t>工连续超过一个月</w:t>
      </w:r>
      <w:r>
        <w:rPr>
          <w:rFonts w:hint="eastAsia" w:ascii="仿宋" w:hAnsi="仿宋" w:eastAsia="仿宋" w:cs="仿宋"/>
          <w:color w:val="auto"/>
          <w:kern w:val="0"/>
          <w:highlight w:val="none"/>
        </w:rPr>
        <w:t>的或</w:t>
      </w:r>
      <w:r>
        <w:rPr>
          <w:rFonts w:hint="eastAsia" w:ascii="仿宋" w:hAnsi="仿宋" w:eastAsia="仿宋" w:cs="仿宋"/>
          <w:color w:val="auto"/>
          <w:kern w:val="0"/>
          <w:szCs w:val="21"/>
          <w:highlight w:val="none"/>
        </w:rPr>
        <w:t>实质上已停止履行合同的义务的；</w:t>
      </w:r>
    </w:p>
    <w:p w14:paraId="46074B9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kern w:val="0"/>
          <w:szCs w:val="21"/>
          <w:highlight w:val="none"/>
        </w:rPr>
        <w:t>(6)</w:t>
      </w:r>
      <w:r>
        <w:rPr>
          <w:rFonts w:hint="eastAsia" w:ascii="仿宋" w:hAnsi="仿宋" w:eastAsia="仿宋" w:cs="仿宋"/>
          <w:color w:val="auto"/>
          <w:kern w:val="0"/>
          <w:szCs w:val="22"/>
          <w:highlight w:val="none"/>
        </w:rPr>
        <w:t>合同签订</w:t>
      </w:r>
      <w:r>
        <w:rPr>
          <w:rFonts w:hint="eastAsia" w:ascii="仿宋" w:hAnsi="仿宋" w:eastAsia="仿宋" w:cs="仿宋"/>
          <w:color w:val="auto"/>
          <w:szCs w:val="22"/>
          <w:highlight w:val="none"/>
        </w:rPr>
        <w:t>且具备法定开工条件后</w:t>
      </w:r>
      <w:r>
        <w:rPr>
          <w:rFonts w:hint="eastAsia" w:ascii="仿宋" w:hAnsi="仿宋" w:eastAsia="仿宋" w:cs="仿宋"/>
          <w:color w:val="auto"/>
          <w:kern w:val="0"/>
          <w:szCs w:val="22"/>
          <w:highlight w:val="none"/>
        </w:rPr>
        <w:t>之日起十五日内，承包人无法按合同规定及投标文件的承诺进场经监理工程师认可的该施工阶段应有的全部人员和机械的。</w:t>
      </w:r>
      <w:r>
        <w:rPr>
          <w:rFonts w:hint="eastAsia" w:ascii="仿宋" w:hAnsi="仿宋" w:eastAsia="仿宋" w:cs="仿宋"/>
          <w:color w:val="auto"/>
          <w:szCs w:val="21"/>
          <w:highlight w:val="none"/>
        </w:rPr>
        <w:t>承包人应按发包人解除合同的通知支付合同总价的5%的违约金给发包人，并退回全部的预付款，造成发包人经济损失的，承包人还应赔偿全部损失。</w:t>
      </w:r>
    </w:p>
    <w:p w14:paraId="21EEE5F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kern w:val="0"/>
          <w:szCs w:val="21"/>
          <w:highlight w:val="none"/>
        </w:rPr>
        <w:t>（7）</w:t>
      </w:r>
      <w:r>
        <w:rPr>
          <w:rFonts w:hint="eastAsia" w:ascii="仿宋" w:hAnsi="仿宋" w:eastAsia="仿宋" w:cs="仿宋"/>
          <w:color w:val="auto"/>
          <w:szCs w:val="21"/>
          <w:highlight w:val="none"/>
        </w:rPr>
        <w:t>承包人报监备案的项目经理、技术负责人、施工员、造价员、质量员、材料员、安全员等主要管理人员实际施工现场不到位人数超过50%的。</w:t>
      </w:r>
    </w:p>
    <w:p w14:paraId="7C6B9440">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Cs w:val="21"/>
          <w:highlight w:val="none"/>
          <w:u w:val="single"/>
        </w:rPr>
        <w:t>如有，另行协商</w:t>
      </w:r>
      <w:r>
        <w:rPr>
          <w:rFonts w:hint="eastAsia" w:ascii="仿宋" w:hAnsi="仿宋" w:eastAsia="仿宋" w:cs="仿宋"/>
          <w:color w:val="auto"/>
          <w:kern w:val="0"/>
          <w:szCs w:val="21"/>
          <w:highlight w:val="none"/>
        </w:rPr>
        <w:t>。</w:t>
      </w:r>
    </w:p>
    <w:p w14:paraId="4B190C7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收到发包人解除合同通知后10天内，将所有人员和机械设备和其他财产撤离施工现场，负责按照通用条款本项约定的要求对施工场地进行清理并承担相关费用。承包人的人员逾期撤除施工场地的，按每人每天500元支付违约金给发包人</w:t>
      </w: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rPr>
        <w:t>机械设备和其他财产逾期撤离施工现场的，视为承包人放弃所有权，任由发包人处置，处置所得收益归发包人所有。</w:t>
      </w:r>
    </w:p>
    <w:p w14:paraId="21271B92">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承包人应按合同总价款的5%支付违约金给发包人，已完成单项工程且经验收合格的工程按造价的80%结付工程款，未完成的单项工程或虽已完成单项工程但验收不合格的工程不结付工程款。</w:t>
      </w:r>
    </w:p>
    <w:p w14:paraId="31808A3C">
      <w:pPr>
        <w:pStyle w:val="4"/>
        <w:rPr>
          <w:rFonts w:ascii="仿宋" w:hAnsi="仿宋" w:eastAsia="仿宋" w:cs="仿宋"/>
          <w:color w:val="auto"/>
          <w:highlight w:val="none"/>
        </w:rPr>
      </w:pPr>
      <w:bookmarkStart w:id="725" w:name="_Toc17093"/>
      <w:bookmarkStart w:id="726" w:name="_Toc29872"/>
      <w:bookmarkStart w:id="727" w:name="_Toc166155301"/>
      <w:bookmarkStart w:id="728" w:name="_Toc24703"/>
      <w:bookmarkStart w:id="729" w:name="_Toc32188"/>
      <w:r>
        <w:rPr>
          <w:rFonts w:hint="eastAsia" w:ascii="仿宋" w:hAnsi="仿宋" w:eastAsia="仿宋" w:cs="仿宋"/>
          <w:color w:val="auto"/>
          <w:highlight w:val="none"/>
        </w:rPr>
        <w:t>17.不可抗力</w:t>
      </w:r>
      <w:bookmarkEnd w:id="725"/>
      <w:bookmarkEnd w:id="726"/>
      <w:bookmarkEnd w:id="727"/>
      <w:bookmarkEnd w:id="728"/>
      <w:bookmarkEnd w:id="729"/>
    </w:p>
    <w:p w14:paraId="3E716239">
      <w:pPr>
        <w:pStyle w:val="5"/>
        <w:numPr>
          <w:ilvl w:val="3"/>
          <w:numId w:val="0"/>
        </w:numPr>
        <w:tabs>
          <w:tab w:val="left" w:pos="2155"/>
          <w:tab w:val="clear" w:pos="912"/>
        </w:tabs>
        <w:rPr>
          <w:rFonts w:ascii="仿宋" w:hAnsi="仿宋" w:eastAsia="仿宋" w:cs="仿宋"/>
          <w:color w:val="auto"/>
          <w:highlight w:val="none"/>
        </w:rPr>
      </w:pPr>
      <w:bookmarkStart w:id="730" w:name="_Toc1638"/>
      <w:bookmarkStart w:id="731" w:name="_Toc17602"/>
      <w:bookmarkStart w:id="732" w:name="_Toc166155302"/>
      <w:r>
        <w:rPr>
          <w:rFonts w:hint="eastAsia" w:ascii="仿宋" w:hAnsi="仿宋" w:eastAsia="仿宋" w:cs="仿宋"/>
          <w:color w:val="auto"/>
          <w:highlight w:val="none"/>
        </w:rPr>
        <w:t>17.1不可抗力的确认</w:t>
      </w:r>
      <w:bookmarkEnd w:id="730"/>
      <w:bookmarkEnd w:id="731"/>
      <w:bookmarkEnd w:id="732"/>
    </w:p>
    <w:p w14:paraId="1C52D45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除通用合同条款约定的不可抗力事件之外，视为不可抗力的其他情形：</w:t>
      </w:r>
      <w:r>
        <w:rPr>
          <w:rFonts w:hint="eastAsia" w:ascii="仿宋" w:hAnsi="仿宋" w:eastAsia="仿宋" w:cs="仿宋"/>
          <w:color w:val="auto"/>
          <w:szCs w:val="21"/>
          <w:highlight w:val="none"/>
          <w:u w:val="single"/>
        </w:rPr>
        <w:t>（1）不可抗力的自然灾害认定标准，以政府有关部门的规定为准且必须得到相关权威部门的书面认定方可视为有效；（2）因政府或相关主管部门要求导致项目中断施工</w:t>
      </w:r>
      <w:r>
        <w:rPr>
          <w:rFonts w:hint="eastAsia" w:ascii="仿宋" w:hAnsi="仿宋" w:eastAsia="仿宋" w:cs="仿宋"/>
          <w:color w:val="auto"/>
          <w:szCs w:val="21"/>
          <w:highlight w:val="none"/>
        </w:rPr>
        <w:t>。</w:t>
      </w:r>
    </w:p>
    <w:p w14:paraId="5262DFF0">
      <w:pPr>
        <w:pStyle w:val="5"/>
        <w:numPr>
          <w:ilvl w:val="3"/>
          <w:numId w:val="0"/>
        </w:numPr>
        <w:tabs>
          <w:tab w:val="left" w:pos="2155"/>
          <w:tab w:val="clear" w:pos="912"/>
        </w:tabs>
        <w:rPr>
          <w:rFonts w:ascii="仿宋" w:hAnsi="仿宋" w:eastAsia="仿宋" w:cs="仿宋"/>
          <w:color w:val="auto"/>
          <w:highlight w:val="none"/>
        </w:rPr>
      </w:pPr>
      <w:bookmarkStart w:id="733" w:name="_Toc27000"/>
      <w:bookmarkStart w:id="734" w:name="_Toc166155303"/>
      <w:bookmarkStart w:id="735" w:name="_Toc20494"/>
      <w:r>
        <w:rPr>
          <w:rFonts w:hint="eastAsia" w:ascii="仿宋" w:hAnsi="仿宋" w:eastAsia="仿宋" w:cs="仿宋"/>
          <w:color w:val="auto"/>
          <w:highlight w:val="none"/>
        </w:rPr>
        <w:t>17.4因不可抗力解除合同</w:t>
      </w:r>
      <w:bookmarkEnd w:id="733"/>
      <w:bookmarkEnd w:id="734"/>
      <w:bookmarkEnd w:id="735"/>
    </w:p>
    <w:p w14:paraId="2381D29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合同解除后，发包人应在商定或确定发包人应支付款项后</w:t>
      </w:r>
      <w:r>
        <w:rPr>
          <w:rFonts w:hint="eastAsia" w:ascii="仿宋" w:hAnsi="仿宋" w:eastAsia="仿宋" w:cs="仿宋"/>
          <w:color w:val="auto"/>
          <w:szCs w:val="21"/>
          <w:highlight w:val="none"/>
          <w:u w:val="single"/>
        </w:rPr>
        <w:t>60</w:t>
      </w:r>
      <w:r>
        <w:rPr>
          <w:rFonts w:hint="eastAsia" w:ascii="仿宋" w:hAnsi="仿宋" w:eastAsia="仿宋" w:cs="仿宋"/>
          <w:color w:val="auto"/>
          <w:szCs w:val="21"/>
          <w:highlight w:val="none"/>
        </w:rPr>
        <w:t>天内完成款项的支付。</w:t>
      </w:r>
    </w:p>
    <w:p w14:paraId="2CCEBE25">
      <w:pPr>
        <w:pStyle w:val="4"/>
        <w:rPr>
          <w:rFonts w:ascii="仿宋" w:hAnsi="仿宋" w:eastAsia="仿宋" w:cs="仿宋"/>
          <w:color w:val="auto"/>
          <w:highlight w:val="none"/>
        </w:rPr>
      </w:pPr>
      <w:bookmarkStart w:id="736" w:name="_Toc166155304"/>
      <w:bookmarkStart w:id="737" w:name="_Toc15273"/>
      <w:bookmarkStart w:id="738" w:name="_Toc16506"/>
      <w:bookmarkStart w:id="739" w:name="_Toc25095"/>
      <w:bookmarkStart w:id="740" w:name="_Toc28196"/>
      <w:r>
        <w:rPr>
          <w:rFonts w:hint="eastAsia" w:ascii="仿宋" w:hAnsi="仿宋" w:eastAsia="仿宋" w:cs="仿宋"/>
          <w:color w:val="auto"/>
          <w:highlight w:val="none"/>
        </w:rPr>
        <w:t>18.保险</w:t>
      </w:r>
      <w:bookmarkEnd w:id="736"/>
      <w:bookmarkEnd w:id="737"/>
      <w:bookmarkEnd w:id="738"/>
      <w:bookmarkEnd w:id="739"/>
      <w:bookmarkEnd w:id="740"/>
    </w:p>
    <w:p w14:paraId="44670BA0">
      <w:pPr>
        <w:pStyle w:val="5"/>
        <w:numPr>
          <w:ilvl w:val="3"/>
          <w:numId w:val="0"/>
        </w:numPr>
        <w:tabs>
          <w:tab w:val="left" w:pos="2155"/>
          <w:tab w:val="clear" w:pos="912"/>
        </w:tabs>
        <w:rPr>
          <w:rFonts w:ascii="仿宋" w:hAnsi="仿宋" w:eastAsia="仿宋" w:cs="仿宋"/>
          <w:color w:val="auto"/>
          <w:highlight w:val="none"/>
        </w:rPr>
      </w:pPr>
      <w:bookmarkStart w:id="741" w:name="_Toc166155305"/>
      <w:bookmarkStart w:id="742" w:name="_Toc28431"/>
      <w:bookmarkStart w:id="743" w:name="_Toc5113"/>
      <w:r>
        <w:rPr>
          <w:rFonts w:hint="eastAsia" w:ascii="仿宋" w:hAnsi="仿宋" w:eastAsia="仿宋" w:cs="仿宋"/>
          <w:color w:val="auto"/>
          <w:highlight w:val="none"/>
        </w:rPr>
        <w:t>18.1工程保险</w:t>
      </w:r>
      <w:bookmarkEnd w:id="741"/>
      <w:bookmarkEnd w:id="742"/>
      <w:bookmarkEnd w:id="743"/>
    </w:p>
    <w:p w14:paraId="3114FD4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关于工程保险的特别约定：</w:t>
      </w:r>
      <w:r>
        <w:rPr>
          <w:rFonts w:hint="eastAsia" w:ascii="仿宋" w:hAnsi="仿宋" w:eastAsia="仿宋" w:cs="仿宋"/>
          <w:color w:val="auto"/>
          <w:szCs w:val="21"/>
          <w:highlight w:val="none"/>
          <w:u w:val="single"/>
        </w:rPr>
        <w:t>承包人应必须购买工程一切险和第三者责任险，并承担相关费用，费用已包含在综合单价中不再另计计价</w:t>
      </w:r>
      <w:r>
        <w:rPr>
          <w:rFonts w:hint="eastAsia" w:ascii="仿宋" w:hAnsi="仿宋" w:eastAsia="仿宋" w:cs="仿宋"/>
          <w:color w:val="auto"/>
          <w:szCs w:val="21"/>
          <w:highlight w:val="none"/>
        </w:rPr>
        <w:t>。</w:t>
      </w:r>
    </w:p>
    <w:p w14:paraId="2560A8F0">
      <w:pPr>
        <w:pStyle w:val="5"/>
        <w:numPr>
          <w:ilvl w:val="3"/>
          <w:numId w:val="0"/>
        </w:numPr>
        <w:tabs>
          <w:tab w:val="left" w:pos="2155"/>
          <w:tab w:val="clear" w:pos="912"/>
        </w:tabs>
        <w:rPr>
          <w:rFonts w:ascii="仿宋" w:hAnsi="仿宋" w:eastAsia="仿宋" w:cs="仿宋"/>
          <w:color w:val="auto"/>
          <w:highlight w:val="none"/>
        </w:rPr>
      </w:pPr>
      <w:bookmarkStart w:id="744" w:name="_Toc17001"/>
      <w:bookmarkStart w:id="745" w:name="_Toc166155306"/>
      <w:bookmarkStart w:id="746" w:name="_Toc31796"/>
      <w:r>
        <w:rPr>
          <w:rFonts w:hint="eastAsia" w:ascii="仿宋" w:hAnsi="仿宋" w:eastAsia="仿宋" w:cs="仿宋"/>
          <w:color w:val="auto"/>
          <w:highlight w:val="none"/>
        </w:rPr>
        <w:t>18.3其他保险</w:t>
      </w:r>
      <w:bookmarkEnd w:id="744"/>
      <w:bookmarkEnd w:id="745"/>
      <w:bookmarkEnd w:id="746"/>
    </w:p>
    <w:p w14:paraId="4105E2E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关于其他保险的约定：</w:t>
      </w:r>
      <w:r>
        <w:rPr>
          <w:rFonts w:hint="eastAsia" w:ascii="仿宋" w:hAnsi="仿宋" w:eastAsia="仿宋" w:cs="仿宋"/>
          <w:color w:val="auto"/>
          <w:szCs w:val="21"/>
          <w:highlight w:val="none"/>
          <w:u w:val="single"/>
        </w:rPr>
        <w:t>承包人必须为施工现场从事施工的自有作业人员和管理人员办理意外伤害保险，并支付保险费，费用已包含在综合单价中不再另计价</w:t>
      </w:r>
      <w:r>
        <w:rPr>
          <w:rFonts w:hint="eastAsia" w:ascii="仿宋" w:hAnsi="仿宋" w:eastAsia="仿宋" w:cs="仿宋"/>
          <w:color w:val="auto"/>
          <w:szCs w:val="21"/>
          <w:highlight w:val="none"/>
        </w:rPr>
        <w:t>。</w:t>
      </w:r>
    </w:p>
    <w:p w14:paraId="10EC8B0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承包人是否应为其施工设备等办理财产保险：</w:t>
      </w:r>
      <w:r>
        <w:rPr>
          <w:rFonts w:hint="eastAsia" w:ascii="仿宋" w:hAnsi="仿宋" w:eastAsia="仿宋" w:cs="仿宋"/>
          <w:color w:val="auto"/>
          <w:szCs w:val="21"/>
          <w:highlight w:val="none"/>
          <w:u w:val="single"/>
        </w:rPr>
        <w:t>是，承包人自行办理，并承担相关费用</w:t>
      </w:r>
      <w:r>
        <w:rPr>
          <w:rFonts w:hint="eastAsia" w:ascii="仿宋" w:hAnsi="仿宋" w:eastAsia="仿宋" w:cs="仿宋"/>
          <w:color w:val="auto"/>
          <w:szCs w:val="21"/>
          <w:highlight w:val="none"/>
        </w:rPr>
        <w:t>。</w:t>
      </w:r>
    </w:p>
    <w:p w14:paraId="5BF83AE1">
      <w:pPr>
        <w:pStyle w:val="5"/>
        <w:numPr>
          <w:ilvl w:val="3"/>
          <w:numId w:val="0"/>
        </w:numPr>
        <w:tabs>
          <w:tab w:val="left" w:pos="2155"/>
          <w:tab w:val="clear" w:pos="912"/>
        </w:tabs>
        <w:rPr>
          <w:rFonts w:ascii="仿宋" w:hAnsi="仿宋" w:eastAsia="仿宋" w:cs="仿宋"/>
          <w:color w:val="auto"/>
          <w:highlight w:val="none"/>
        </w:rPr>
      </w:pPr>
      <w:bookmarkStart w:id="747" w:name="_Toc5760"/>
      <w:bookmarkStart w:id="748" w:name="_Toc20260"/>
      <w:bookmarkStart w:id="749" w:name="_Toc166155307"/>
      <w:r>
        <w:rPr>
          <w:rFonts w:hint="eastAsia" w:ascii="仿宋" w:hAnsi="仿宋" w:eastAsia="仿宋" w:cs="仿宋"/>
          <w:color w:val="auto"/>
          <w:highlight w:val="none"/>
        </w:rPr>
        <w:t>18.7通知义务</w:t>
      </w:r>
      <w:bookmarkEnd w:id="747"/>
      <w:bookmarkEnd w:id="748"/>
      <w:bookmarkEnd w:id="749"/>
    </w:p>
    <w:p w14:paraId="392687E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关于变更保险合同时的通知义务的约定：</w:t>
      </w:r>
      <w:r>
        <w:rPr>
          <w:rFonts w:hint="eastAsia" w:ascii="仿宋" w:hAnsi="仿宋" w:eastAsia="仿宋" w:cs="仿宋"/>
          <w:color w:val="auto"/>
          <w:szCs w:val="21"/>
          <w:highlight w:val="none"/>
          <w:u w:val="single"/>
        </w:rPr>
        <w:t>由承包人负责，变更后承包人于7天内通知相关单位</w:t>
      </w:r>
      <w:r>
        <w:rPr>
          <w:rFonts w:hint="eastAsia" w:ascii="仿宋" w:hAnsi="仿宋" w:eastAsia="仿宋" w:cs="仿宋"/>
          <w:color w:val="auto"/>
          <w:szCs w:val="21"/>
          <w:highlight w:val="none"/>
        </w:rPr>
        <w:t>。</w:t>
      </w:r>
    </w:p>
    <w:p w14:paraId="43989E88">
      <w:pPr>
        <w:pStyle w:val="4"/>
        <w:rPr>
          <w:rFonts w:ascii="仿宋" w:hAnsi="仿宋" w:eastAsia="仿宋" w:cs="仿宋"/>
          <w:color w:val="auto"/>
          <w:highlight w:val="none"/>
        </w:rPr>
      </w:pPr>
      <w:bookmarkStart w:id="750" w:name="_Toc26185"/>
      <w:bookmarkStart w:id="751" w:name="_Toc10009"/>
      <w:bookmarkStart w:id="752" w:name="_Toc166155308"/>
      <w:bookmarkStart w:id="753" w:name="_Toc22248"/>
      <w:bookmarkStart w:id="754" w:name="_Toc14625"/>
      <w:r>
        <w:rPr>
          <w:rFonts w:hint="eastAsia" w:ascii="仿宋" w:hAnsi="仿宋" w:eastAsia="仿宋" w:cs="仿宋"/>
          <w:color w:val="auto"/>
          <w:highlight w:val="none"/>
        </w:rPr>
        <w:t>20.争议解决</w:t>
      </w:r>
      <w:bookmarkEnd w:id="750"/>
      <w:bookmarkEnd w:id="751"/>
      <w:bookmarkEnd w:id="752"/>
      <w:bookmarkEnd w:id="753"/>
      <w:bookmarkEnd w:id="754"/>
    </w:p>
    <w:p w14:paraId="36B85776">
      <w:pPr>
        <w:pStyle w:val="5"/>
        <w:numPr>
          <w:ilvl w:val="3"/>
          <w:numId w:val="0"/>
        </w:numPr>
        <w:tabs>
          <w:tab w:val="left" w:pos="2155"/>
          <w:tab w:val="clear" w:pos="912"/>
        </w:tabs>
        <w:rPr>
          <w:rFonts w:ascii="仿宋" w:hAnsi="仿宋" w:eastAsia="仿宋" w:cs="仿宋"/>
          <w:color w:val="auto"/>
          <w:highlight w:val="none"/>
        </w:rPr>
      </w:pPr>
      <w:bookmarkStart w:id="755" w:name="_Toc3458"/>
      <w:bookmarkStart w:id="756" w:name="_Toc13257"/>
      <w:bookmarkStart w:id="757" w:name="_Toc166155309"/>
      <w:r>
        <w:rPr>
          <w:rFonts w:hint="eastAsia" w:ascii="仿宋" w:hAnsi="仿宋" w:eastAsia="仿宋" w:cs="仿宋"/>
          <w:color w:val="auto"/>
          <w:highlight w:val="none"/>
        </w:rPr>
        <w:t>20.3争议评审</w:t>
      </w:r>
      <w:bookmarkEnd w:id="755"/>
      <w:bookmarkEnd w:id="756"/>
      <w:bookmarkEnd w:id="757"/>
    </w:p>
    <w:p w14:paraId="41FEA31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合同当事人是否同意将工程争议提交争议评审小组决定：</w:t>
      </w:r>
      <w:r>
        <w:rPr>
          <w:rFonts w:hint="eastAsia" w:ascii="仿宋" w:hAnsi="仿宋" w:eastAsia="仿宋" w:cs="仿宋"/>
          <w:color w:val="auto"/>
          <w:szCs w:val="21"/>
          <w:highlight w:val="none"/>
          <w:u w:val="single"/>
        </w:rPr>
        <w:t>不同意</w:t>
      </w:r>
      <w:r>
        <w:rPr>
          <w:rFonts w:hint="eastAsia" w:ascii="仿宋" w:hAnsi="仿宋" w:eastAsia="仿宋" w:cs="仿宋"/>
          <w:color w:val="auto"/>
          <w:szCs w:val="21"/>
          <w:highlight w:val="none"/>
        </w:rPr>
        <w:t>。</w:t>
      </w:r>
    </w:p>
    <w:p w14:paraId="496B24E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20.3.1争议评审小组的确定</w:t>
      </w:r>
    </w:p>
    <w:p w14:paraId="5DDC43A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争议评审小组成员的确定：</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2D60F1E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选定争议评审员的期限：</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5F47E8F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争议评审小组成员的报酬承担方式：</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5DF0CD9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其他事项的约定：</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52B1EA2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20.3.2争议评审小组的决定</w:t>
      </w:r>
    </w:p>
    <w:p w14:paraId="5B31AFC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合同当事人关于本项的约定：</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w:t>
      </w:r>
    </w:p>
    <w:p w14:paraId="5BE2B9C2">
      <w:pPr>
        <w:pStyle w:val="5"/>
        <w:numPr>
          <w:ilvl w:val="3"/>
          <w:numId w:val="0"/>
        </w:numPr>
        <w:tabs>
          <w:tab w:val="left" w:pos="2155"/>
          <w:tab w:val="clear" w:pos="912"/>
        </w:tabs>
        <w:rPr>
          <w:rFonts w:ascii="仿宋" w:hAnsi="仿宋" w:eastAsia="仿宋" w:cs="仿宋"/>
          <w:color w:val="auto"/>
          <w:highlight w:val="none"/>
        </w:rPr>
      </w:pPr>
      <w:bookmarkStart w:id="758" w:name="_Toc11669"/>
      <w:bookmarkStart w:id="759" w:name="_Toc166155310"/>
      <w:bookmarkStart w:id="760" w:name="_Toc29105"/>
      <w:r>
        <w:rPr>
          <w:rFonts w:hint="eastAsia" w:ascii="仿宋" w:hAnsi="仿宋" w:eastAsia="仿宋" w:cs="仿宋"/>
          <w:color w:val="auto"/>
          <w:highlight w:val="none"/>
        </w:rPr>
        <w:t>20.4仲裁或诉讼</w:t>
      </w:r>
      <w:bookmarkEnd w:id="758"/>
      <w:bookmarkEnd w:id="759"/>
      <w:bookmarkEnd w:id="760"/>
    </w:p>
    <w:p w14:paraId="6963FFC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因合同及合同有关事项发生的争议，按下列第</w:t>
      </w:r>
      <w:r>
        <w:rPr>
          <w:rFonts w:hint="eastAsia" w:ascii="仿宋" w:hAnsi="仿宋" w:eastAsia="仿宋" w:cs="仿宋"/>
          <w:color w:val="auto"/>
          <w:szCs w:val="21"/>
          <w:highlight w:val="none"/>
          <w:u w:val="single"/>
        </w:rPr>
        <w:t>（2）</w:t>
      </w:r>
      <w:r>
        <w:rPr>
          <w:rFonts w:hint="eastAsia" w:ascii="仿宋" w:hAnsi="仿宋" w:eastAsia="仿宋" w:cs="仿宋"/>
          <w:color w:val="auto"/>
          <w:szCs w:val="21"/>
          <w:highlight w:val="none"/>
        </w:rPr>
        <w:t>种方式解决：</w:t>
      </w:r>
    </w:p>
    <w:p w14:paraId="5D0E609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（1）提请</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仲裁委员会按照该会仲裁规则进行仲裁，仲裁裁决是终局的，对合同双方均有约束力。</w:t>
      </w:r>
    </w:p>
    <w:p w14:paraId="2EE5467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（2）向</w:t>
      </w:r>
      <w:r>
        <w:rPr>
          <w:rFonts w:hint="eastAsia" w:ascii="仿宋" w:hAnsi="仿宋" w:eastAsia="仿宋" w:cs="仿宋"/>
          <w:color w:val="auto"/>
          <w:szCs w:val="21"/>
          <w:highlight w:val="none"/>
          <w:u w:val="single"/>
        </w:rPr>
        <w:t>项目所在地</w:t>
      </w:r>
      <w:r>
        <w:rPr>
          <w:rFonts w:hint="eastAsia" w:ascii="仿宋" w:hAnsi="仿宋" w:eastAsia="仿宋" w:cs="仿宋"/>
          <w:color w:val="auto"/>
          <w:szCs w:val="21"/>
          <w:highlight w:val="none"/>
        </w:rPr>
        <w:t>人民法院起诉。</w:t>
      </w:r>
    </w:p>
    <w:p w14:paraId="14545C4B">
      <w:pPr>
        <w:pStyle w:val="4"/>
        <w:rPr>
          <w:rFonts w:ascii="仿宋" w:hAnsi="仿宋" w:eastAsia="仿宋" w:cs="仿宋"/>
          <w:color w:val="auto"/>
          <w:highlight w:val="none"/>
        </w:rPr>
      </w:pPr>
      <w:bookmarkStart w:id="761" w:name="_Toc5239"/>
      <w:bookmarkStart w:id="762" w:name="_Toc16294"/>
      <w:bookmarkStart w:id="763" w:name="_Toc26423"/>
      <w:bookmarkStart w:id="764" w:name="_Toc166155311"/>
      <w:bookmarkStart w:id="765" w:name="_Toc12200"/>
      <w:r>
        <w:rPr>
          <w:rFonts w:hint="eastAsia" w:ascii="仿宋" w:hAnsi="仿宋" w:eastAsia="仿宋" w:cs="仿宋"/>
          <w:color w:val="auto"/>
          <w:highlight w:val="none"/>
        </w:rPr>
        <w:t>21.补充条款</w:t>
      </w:r>
      <w:bookmarkEnd w:id="761"/>
      <w:bookmarkEnd w:id="762"/>
      <w:bookmarkEnd w:id="763"/>
      <w:bookmarkEnd w:id="764"/>
      <w:bookmarkEnd w:id="765"/>
    </w:p>
    <w:p w14:paraId="45C5600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本工程资金属于财政资金，承包人在施工期间必须保证资金的专项使用，不得挪作他用，并自觉接受发包人和银行的监督，否则将视为承包人违约。承包人挪用项目资金，发包人有权解除合同，并要求承包人赔偿发包人的实际损失。</w:t>
      </w:r>
    </w:p>
    <w:p w14:paraId="530C8802">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（2）承包人必须按施工进度及时支付用于本工程的各种材料、施工机械设备、配件款，不得将材料款挪用。</w:t>
      </w:r>
    </w:p>
    <w:p w14:paraId="747492B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3）本工程要求为承包人自营项目，合同签订后发现属承包方出借资质证书、营业执照以及其他方式给予外单位、个人挂靠经营的，本合同无效。承包人须按合同总造价的5%向发包人支付赔偿金。以承包人名义完成的工程量经验收合格后由发包人按成本支付。承包人按相关法规规定承担相应责任。</w:t>
      </w:r>
    </w:p>
    <w:p w14:paraId="6D58A9D7">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（4）承包人未按时向农民工支付工资而导致工程进度受到影响，发包人有权直接从承包人工程款代扣支付给农民工。</w:t>
      </w:r>
    </w:p>
    <w:p w14:paraId="12E3D514">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（5）散装水泥费由承包人负责缴纳及办理退回手续，发包人协助。</w:t>
      </w:r>
    </w:p>
    <w:p w14:paraId="7B3BEDB9">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（6）承包人必须建立健全消防安全制度，负责建筑工地的消防安全。</w:t>
      </w:r>
    </w:p>
    <w:p w14:paraId="14890605">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（7）禁止使用童工。</w:t>
      </w:r>
    </w:p>
    <w:p w14:paraId="5BF50CB5">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（8）承包人有义务配合发包人办理工程竣工备案工作，以及墙改退费等工作。</w:t>
      </w:r>
    </w:p>
    <w:p w14:paraId="049C3C66">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（9）承包人应及时办理工程质监安监备案、夜间施工备案等手续，发包人给予配合。</w:t>
      </w:r>
    </w:p>
    <w:p w14:paraId="3C0F08E4">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（10）承包人投入本项目的管理机构必须于成交通知书发出之日全部到岗，并于成交通知书发出之日起30日内完成质监、安监备案手续及施工许可证的办理。</w:t>
      </w:r>
    </w:p>
    <w:p w14:paraId="14D8112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（11为防止转包、违法分包，发包人有权对发包人支付给承包人的工程款的流向进行跟踪承包人应配合。</w:t>
      </w:r>
    </w:p>
    <w:p w14:paraId="31B26AFF">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12）保证施工场地清洁卫生符合有关规定：承包人负责做好门前三清工作，包括由于工程施工而使用的市政道路和单位内道路的整修、清理，每天施工完后将施工垃圾清运到指定地点。负责将工程施工所留下的各类临时便道、路基、场地材料等全部清理干净，本工程竣工验收合格交付发包人使用前，负责所有建筑垃圾的清理和外运。本工程竣工验收前7天内，承包人应对建筑物室内、外进行清洁并对施工场地进行清理。建筑物的清洁应达到以下要求：应达到无建筑垃圾、观感整洁的要求，否则应无条件重新组织清理，其费用包含在承包人合同总价中，不另作调整。且无条件修复因承包人施工造成的道路、围墙等被损坏的设施，并达到发包人及监理工程师要求。</w:t>
      </w:r>
    </w:p>
    <w:p w14:paraId="272CE3B2">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（13）本《专用条款》未约定的，双方另行协商。有适用于《通用条款》的，按《通用条款》执行。</w:t>
      </w:r>
    </w:p>
    <w:p w14:paraId="459C7FFB">
      <w:pPr>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2EEA8B73">
      <w:pPr>
        <w:pStyle w:val="30"/>
        <w:spacing w:line="360" w:lineRule="auto"/>
        <w:ind w:firstLine="420" w:firstLineChars="200"/>
        <w:rPr>
          <w:rFonts w:ascii="仿宋" w:hAnsi="仿宋" w:eastAsia="仿宋" w:cs="仿宋"/>
          <w:color w:val="auto"/>
          <w:szCs w:val="21"/>
          <w:highlight w:val="none"/>
        </w:rPr>
      </w:pPr>
    </w:p>
    <w:p w14:paraId="7AFE0AC3">
      <w:pPr>
        <w:pStyle w:val="30"/>
        <w:spacing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w:t>
      </w:r>
    </w:p>
    <w:p w14:paraId="604BC96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附件1：承包人承揽工程项目一览表</w:t>
      </w:r>
    </w:p>
    <w:p w14:paraId="2B12C4C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附件2：工程质量保修书</w:t>
      </w:r>
    </w:p>
    <w:p w14:paraId="5C82970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附件3：主要建设工程文件目录</w:t>
      </w:r>
    </w:p>
    <w:p w14:paraId="1E9FC86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附件4：承包人用于本工程施工的机械设备表</w:t>
      </w:r>
    </w:p>
    <w:p w14:paraId="2F78366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附件5：承包人主要施工管理人员表</w:t>
      </w:r>
    </w:p>
    <w:p w14:paraId="7423ACB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附件6：分包人主要施工管理人员表</w:t>
      </w:r>
    </w:p>
    <w:p w14:paraId="162627C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附件7：履约担保格式（独立保函、非独立保函）</w:t>
      </w:r>
    </w:p>
    <w:p w14:paraId="36C1C5D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附件8：预付款担保格式（独立保函、非独立保函）</w:t>
      </w:r>
    </w:p>
    <w:p w14:paraId="3E0CFDE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附件9：支付保函示范文本（独立保函、非独立保函）</w:t>
      </w:r>
    </w:p>
    <w:p w14:paraId="003FB63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附件10：预付款支付申请（核准）表</w:t>
      </w:r>
    </w:p>
    <w:p w14:paraId="09559E5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附件11：进度款支付申请（核准）表</w:t>
      </w:r>
    </w:p>
    <w:p w14:paraId="0BF745F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附件12：竣工结算款支付申请（核准）表</w:t>
      </w:r>
    </w:p>
    <w:p w14:paraId="0203473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附件13：最终结算款支付申请（核准）表</w:t>
      </w:r>
    </w:p>
    <w:p w14:paraId="3F0BB16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附件14：总价合同进度款支付分解表</w:t>
      </w:r>
    </w:p>
    <w:p w14:paraId="6EA09D0E">
      <w:pPr>
        <w:pStyle w:val="30"/>
        <w:spacing w:line="360" w:lineRule="auto"/>
        <w:ind w:firstLine="420" w:firstLineChars="200"/>
        <w:rPr>
          <w:rFonts w:ascii="仿宋" w:hAnsi="仿宋" w:eastAsia="仿宋" w:cs="仿宋"/>
          <w:color w:val="auto"/>
          <w:szCs w:val="21"/>
          <w:highlight w:val="none"/>
        </w:rPr>
      </w:pPr>
    </w:p>
    <w:p w14:paraId="665D4770">
      <w:pPr>
        <w:pStyle w:val="30"/>
        <w:spacing w:line="360" w:lineRule="auto"/>
        <w:ind w:firstLine="420" w:firstLineChars="200"/>
        <w:rPr>
          <w:rFonts w:ascii="仿宋" w:hAnsi="仿宋" w:eastAsia="仿宋" w:cs="仿宋"/>
          <w:color w:val="auto"/>
          <w:szCs w:val="21"/>
          <w:highlight w:val="none"/>
        </w:rPr>
        <w:sectPr>
          <w:pgSz w:w="11906" w:h="16838"/>
          <w:pgMar w:top="1440" w:right="1134" w:bottom="1440" w:left="1418" w:header="851" w:footer="992" w:gutter="0"/>
          <w:cols w:space="720" w:num="1"/>
          <w:docGrid w:type="lines" w:linePitch="312" w:charSpace="0"/>
        </w:sectPr>
      </w:pPr>
    </w:p>
    <w:p w14:paraId="798CB315">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附件1：</w:t>
      </w:r>
    </w:p>
    <w:p w14:paraId="5376E793">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承包人承揽工程项目一览表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009"/>
        <w:gridCol w:w="1133"/>
        <w:gridCol w:w="426"/>
        <w:gridCol w:w="707"/>
        <w:gridCol w:w="426"/>
        <w:gridCol w:w="426"/>
        <w:gridCol w:w="1551"/>
        <w:gridCol w:w="426"/>
        <w:gridCol w:w="426"/>
      </w:tblGrid>
      <w:tr w14:paraId="397B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noWrap/>
            <w:vAlign w:val="center"/>
          </w:tcPr>
          <w:p w14:paraId="7B05EFB4">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单位工程名称</w:t>
            </w:r>
          </w:p>
        </w:tc>
        <w:tc>
          <w:tcPr>
            <w:tcW w:w="3009" w:type="dxa"/>
            <w:noWrap/>
            <w:vAlign w:val="center"/>
          </w:tcPr>
          <w:p w14:paraId="5929F941">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建设规模</w:t>
            </w:r>
          </w:p>
        </w:tc>
        <w:tc>
          <w:tcPr>
            <w:tcW w:w="1133" w:type="dxa"/>
            <w:noWrap/>
            <w:vAlign w:val="center"/>
          </w:tcPr>
          <w:p w14:paraId="56D5D330">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建筑面积（平方米）</w:t>
            </w:r>
          </w:p>
        </w:tc>
        <w:tc>
          <w:tcPr>
            <w:tcW w:w="426" w:type="dxa"/>
            <w:noWrap/>
            <w:vAlign w:val="center"/>
          </w:tcPr>
          <w:p w14:paraId="3806D724">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结构形式</w:t>
            </w:r>
          </w:p>
        </w:tc>
        <w:tc>
          <w:tcPr>
            <w:tcW w:w="707" w:type="dxa"/>
            <w:noWrap/>
            <w:vAlign w:val="center"/>
          </w:tcPr>
          <w:p w14:paraId="7E3CF4C3">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层数</w:t>
            </w:r>
          </w:p>
        </w:tc>
        <w:tc>
          <w:tcPr>
            <w:tcW w:w="426" w:type="dxa"/>
            <w:noWrap/>
            <w:vAlign w:val="center"/>
          </w:tcPr>
          <w:p w14:paraId="54780A23">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生产能力</w:t>
            </w:r>
          </w:p>
        </w:tc>
        <w:tc>
          <w:tcPr>
            <w:tcW w:w="426" w:type="dxa"/>
            <w:noWrap/>
            <w:vAlign w:val="center"/>
          </w:tcPr>
          <w:p w14:paraId="5054EA93">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设备安装内容</w:t>
            </w:r>
          </w:p>
        </w:tc>
        <w:tc>
          <w:tcPr>
            <w:tcW w:w="1551" w:type="dxa"/>
            <w:noWrap/>
            <w:vAlign w:val="center"/>
          </w:tcPr>
          <w:p w14:paraId="697D2D7B">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合同价格（元）</w:t>
            </w:r>
          </w:p>
        </w:tc>
        <w:tc>
          <w:tcPr>
            <w:tcW w:w="426" w:type="dxa"/>
            <w:noWrap/>
            <w:vAlign w:val="center"/>
          </w:tcPr>
          <w:p w14:paraId="2E76711E">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开工日期</w:t>
            </w:r>
          </w:p>
        </w:tc>
        <w:tc>
          <w:tcPr>
            <w:tcW w:w="426" w:type="dxa"/>
            <w:noWrap/>
            <w:vAlign w:val="center"/>
          </w:tcPr>
          <w:p w14:paraId="7E6DDB23">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竣工日期</w:t>
            </w:r>
          </w:p>
        </w:tc>
      </w:tr>
      <w:tr w14:paraId="35C4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4" w:type="dxa"/>
            <w:noWrap/>
            <w:vAlign w:val="center"/>
          </w:tcPr>
          <w:p w14:paraId="7BCB5B69">
            <w:pPr>
              <w:pStyle w:val="30"/>
              <w:jc w:val="center"/>
              <w:rPr>
                <w:rFonts w:ascii="仿宋" w:hAnsi="仿宋" w:eastAsia="仿宋" w:cs="仿宋"/>
                <w:color w:val="auto"/>
                <w:szCs w:val="21"/>
                <w:highlight w:val="none"/>
              </w:rPr>
            </w:pPr>
          </w:p>
        </w:tc>
        <w:tc>
          <w:tcPr>
            <w:tcW w:w="3009" w:type="dxa"/>
            <w:noWrap/>
            <w:vAlign w:val="center"/>
          </w:tcPr>
          <w:p w14:paraId="3F9C671F">
            <w:pPr>
              <w:pStyle w:val="30"/>
              <w:jc w:val="left"/>
              <w:rPr>
                <w:rFonts w:ascii="仿宋" w:hAnsi="仿宋" w:eastAsia="仿宋" w:cs="仿宋"/>
                <w:color w:val="auto"/>
                <w:szCs w:val="21"/>
                <w:highlight w:val="none"/>
              </w:rPr>
            </w:pPr>
          </w:p>
        </w:tc>
        <w:tc>
          <w:tcPr>
            <w:tcW w:w="1133" w:type="dxa"/>
            <w:noWrap/>
            <w:vAlign w:val="center"/>
          </w:tcPr>
          <w:p w14:paraId="1F69E9B5">
            <w:pPr>
              <w:pStyle w:val="30"/>
              <w:jc w:val="center"/>
              <w:rPr>
                <w:rFonts w:ascii="仿宋" w:hAnsi="仿宋" w:eastAsia="仿宋" w:cs="仿宋"/>
                <w:color w:val="auto"/>
                <w:szCs w:val="21"/>
                <w:highlight w:val="none"/>
              </w:rPr>
            </w:pPr>
          </w:p>
        </w:tc>
        <w:tc>
          <w:tcPr>
            <w:tcW w:w="426" w:type="dxa"/>
            <w:noWrap/>
            <w:vAlign w:val="center"/>
          </w:tcPr>
          <w:p w14:paraId="60D1AF9F">
            <w:pPr>
              <w:pStyle w:val="30"/>
              <w:jc w:val="center"/>
              <w:rPr>
                <w:rFonts w:ascii="仿宋" w:hAnsi="仿宋" w:eastAsia="仿宋" w:cs="仿宋"/>
                <w:color w:val="auto"/>
                <w:szCs w:val="21"/>
                <w:highlight w:val="none"/>
              </w:rPr>
            </w:pPr>
          </w:p>
        </w:tc>
        <w:tc>
          <w:tcPr>
            <w:tcW w:w="707" w:type="dxa"/>
            <w:noWrap/>
            <w:vAlign w:val="center"/>
          </w:tcPr>
          <w:p w14:paraId="7A581EF5">
            <w:pPr>
              <w:pStyle w:val="30"/>
              <w:jc w:val="center"/>
              <w:rPr>
                <w:rFonts w:ascii="仿宋" w:hAnsi="仿宋" w:eastAsia="仿宋" w:cs="仿宋"/>
                <w:color w:val="auto"/>
                <w:szCs w:val="21"/>
                <w:highlight w:val="none"/>
              </w:rPr>
            </w:pPr>
          </w:p>
        </w:tc>
        <w:tc>
          <w:tcPr>
            <w:tcW w:w="426" w:type="dxa"/>
            <w:noWrap/>
            <w:vAlign w:val="center"/>
          </w:tcPr>
          <w:p w14:paraId="7475FFA0">
            <w:pPr>
              <w:pStyle w:val="30"/>
              <w:jc w:val="center"/>
              <w:rPr>
                <w:rFonts w:ascii="仿宋" w:hAnsi="仿宋" w:eastAsia="仿宋" w:cs="仿宋"/>
                <w:color w:val="auto"/>
                <w:szCs w:val="21"/>
                <w:highlight w:val="none"/>
              </w:rPr>
            </w:pPr>
          </w:p>
        </w:tc>
        <w:tc>
          <w:tcPr>
            <w:tcW w:w="426" w:type="dxa"/>
            <w:noWrap/>
            <w:vAlign w:val="center"/>
          </w:tcPr>
          <w:p w14:paraId="704DCB61">
            <w:pPr>
              <w:pStyle w:val="30"/>
              <w:jc w:val="center"/>
              <w:rPr>
                <w:rFonts w:ascii="仿宋" w:hAnsi="仿宋" w:eastAsia="仿宋" w:cs="仿宋"/>
                <w:color w:val="auto"/>
                <w:szCs w:val="21"/>
                <w:highlight w:val="none"/>
              </w:rPr>
            </w:pPr>
          </w:p>
        </w:tc>
        <w:tc>
          <w:tcPr>
            <w:tcW w:w="1551" w:type="dxa"/>
            <w:noWrap/>
            <w:vAlign w:val="center"/>
          </w:tcPr>
          <w:p w14:paraId="11E2FFEE">
            <w:pPr>
              <w:pStyle w:val="30"/>
              <w:jc w:val="center"/>
              <w:rPr>
                <w:rFonts w:ascii="仿宋" w:hAnsi="仿宋" w:eastAsia="仿宋" w:cs="仿宋"/>
                <w:color w:val="auto"/>
                <w:szCs w:val="21"/>
                <w:highlight w:val="none"/>
              </w:rPr>
            </w:pPr>
          </w:p>
        </w:tc>
        <w:tc>
          <w:tcPr>
            <w:tcW w:w="426" w:type="dxa"/>
            <w:noWrap/>
            <w:vAlign w:val="center"/>
          </w:tcPr>
          <w:p w14:paraId="5883F549">
            <w:pPr>
              <w:pStyle w:val="30"/>
              <w:jc w:val="center"/>
              <w:rPr>
                <w:rFonts w:ascii="仿宋" w:hAnsi="仿宋" w:eastAsia="仿宋" w:cs="仿宋"/>
                <w:color w:val="auto"/>
                <w:szCs w:val="21"/>
                <w:highlight w:val="none"/>
              </w:rPr>
            </w:pPr>
          </w:p>
        </w:tc>
        <w:tc>
          <w:tcPr>
            <w:tcW w:w="426" w:type="dxa"/>
            <w:noWrap/>
            <w:vAlign w:val="center"/>
          </w:tcPr>
          <w:p w14:paraId="698429FD">
            <w:pPr>
              <w:pStyle w:val="30"/>
              <w:jc w:val="center"/>
              <w:rPr>
                <w:rFonts w:ascii="仿宋" w:hAnsi="仿宋" w:eastAsia="仿宋" w:cs="仿宋"/>
                <w:color w:val="auto"/>
                <w:szCs w:val="21"/>
                <w:highlight w:val="none"/>
              </w:rPr>
            </w:pPr>
          </w:p>
        </w:tc>
      </w:tr>
    </w:tbl>
    <w:p w14:paraId="7D32C090">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59B68FE8">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附件2：</w:t>
      </w:r>
    </w:p>
    <w:p w14:paraId="38138189">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工程质量保修书（房屋建筑工程）</w:t>
      </w:r>
    </w:p>
    <w:p w14:paraId="1CC82F7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发包人（全称）：</w:t>
      </w:r>
      <w:r>
        <w:rPr>
          <w:rFonts w:hint="eastAsia" w:ascii="仿宋" w:hAnsi="仿宋" w:eastAsia="仿宋" w:cs="仿宋"/>
          <w:color w:val="auto"/>
          <w:szCs w:val="21"/>
          <w:highlight w:val="none"/>
          <w:u w:val="single"/>
        </w:rPr>
        <w:t>南宁市城市照明事务服务中心</w:t>
      </w:r>
    </w:p>
    <w:p w14:paraId="5A9CC91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承包人（全称）：________________</w:t>
      </w:r>
    </w:p>
    <w:p w14:paraId="6D1BD5C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发包人和承包人根据《中华人民共和国建筑法》和《建设工程质量管理条例》，经协商一致就</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（工程全称）签订工程质量保修书。</w:t>
      </w:r>
    </w:p>
    <w:p w14:paraId="0BD24146">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一、工程质量保修范围和内容</w:t>
      </w:r>
    </w:p>
    <w:p w14:paraId="6BE1D74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承包人在质量保修期内，按照有关法律规定和合同约定，承担工程质量保修责任。</w:t>
      </w:r>
    </w:p>
    <w:p w14:paraId="5F41FAC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0B8FDB9">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3279FF10">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ABDCC54">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二、质量保修期</w:t>
      </w:r>
    </w:p>
    <w:p w14:paraId="28E808A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根据《建设工程质量管理条例》及有关规定，工程的质量保修期如下：</w:t>
      </w:r>
    </w:p>
    <w:p w14:paraId="4AA3FF0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1．地基基础工程和主体结构工程为设计文件规定的工程合理使用年限；</w:t>
      </w:r>
    </w:p>
    <w:p w14:paraId="4F97083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2．屋面防水工程、有防水要求的卫生间、房间和外墙面的防渗为</w:t>
      </w:r>
      <w:r>
        <w:rPr>
          <w:rFonts w:hint="eastAsia" w:ascii="仿宋" w:hAnsi="仿宋" w:eastAsia="仿宋" w:cs="仿宋"/>
          <w:color w:val="auto"/>
          <w:szCs w:val="21"/>
          <w:highlight w:val="none"/>
          <w:u w:val="single"/>
        </w:rPr>
        <w:t>5</w:t>
      </w:r>
      <w:r>
        <w:rPr>
          <w:rFonts w:hint="eastAsia" w:ascii="仿宋" w:hAnsi="仿宋" w:eastAsia="仿宋" w:cs="仿宋"/>
          <w:color w:val="auto"/>
          <w:szCs w:val="21"/>
          <w:highlight w:val="none"/>
        </w:rPr>
        <w:t>年；</w:t>
      </w:r>
    </w:p>
    <w:p w14:paraId="6E405E3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3．装修工程为</w:t>
      </w:r>
      <w:r>
        <w:rPr>
          <w:rFonts w:hint="eastAsia" w:ascii="仿宋" w:hAnsi="仿宋" w:eastAsia="仿宋" w:cs="仿宋"/>
          <w:color w:val="auto"/>
          <w:szCs w:val="21"/>
          <w:highlight w:val="none"/>
          <w:u w:val="single"/>
        </w:rPr>
        <w:t>2</w:t>
      </w:r>
      <w:r>
        <w:rPr>
          <w:rFonts w:hint="eastAsia" w:ascii="仿宋" w:hAnsi="仿宋" w:eastAsia="仿宋" w:cs="仿宋"/>
          <w:color w:val="auto"/>
          <w:szCs w:val="21"/>
          <w:highlight w:val="none"/>
        </w:rPr>
        <w:t>年；</w:t>
      </w:r>
    </w:p>
    <w:p w14:paraId="29DBAF4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4．电气管线、给排水管道、设备安装工程为</w:t>
      </w:r>
      <w:r>
        <w:rPr>
          <w:rFonts w:hint="eastAsia" w:ascii="仿宋" w:hAnsi="仿宋" w:eastAsia="仿宋" w:cs="仿宋"/>
          <w:color w:val="auto"/>
          <w:szCs w:val="21"/>
          <w:highlight w:val="none"/>
          <w:u w:val="single"/>
        </w:rPr>
        <w:t>2</w:t>
      </w:r>
      <w:r>
        <w:rPr>
          <w:rFonts w:hint="eastAsia" w:ascii="仿宋" w:hAnsi="仿宋" w:eastAsia="仿宋" w:cs="仿宋"/>
          <w:color w:val="auto"/>
          <w:szCs w:val="21"/>
          <w:highlight w:val="none"/>
        </w:rPr>
        <w:t>年；</w:t>
      </w:r>
    </w:p>
    <w:p w14:paraId="7AABA35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5．供热与供冷系统为</w:t>
      </w:r>
      <w:r>
        <w:rPr>
          <w:rFonts w:hint="eastAsia" w:ascii="仿宋" w:hAnsi="仿宋" w:eastAsia="仿宋" w:cs="仿宋"/>
          <w:color w:val="auto"/>
          <w:szCs w:val="21"/>
          <w:highlight w:val="none"/>
          <w:u w:val="single"/>
        </w:rPr>
        <w:t>2</w:t>
      </w:r>
      <w:r>
        <w:rPr>
          <w:rFonts w:hint="eastAsia" w:ascii="仿宋" w:hAnsi="仿宋" w:eastAsia="仿宋" w:cs="仿宋"/>
          <w:color w:val="auto"/>
          <w:szCs w:val="21"/>
          <w:highlight w:val="none"/>
        </w:rPr>
        <w:t>个采暖期、供冷期；</w:t>
      </w:r>
    </w:p>
    <w:p w14:paraId="514E483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6．住宅小区内的给排水设施、道路等配套工程为</w:t>
      </w:r>
      <w:r>
        <w:rPr>
          <w:rFonts w:hint="eastAsia" w:ascii="仿宋" w:hAnsi="仿宋" w:eastAsia="仿宋" w:cs="仿宋"/>
          <w:color w:val="auto"/>
          <w:szCs w:val="21"/>
          <w:highlight w:val="none"/>
          <w:u w:val="single"/>
        </w:rPr>
        <w:t>2</w:t>
      </w:r>
      <w:r>
        <w:rPr>
          <w:rFonts w:hint="eastAsia" w:ascii="仿宋" w:hAnsi="仿宋" w:eastAsia="仿宋" w:cs="仿宋"/>
          <w:color w:val="auto"/>
          <w:szCs w:val="21"/>
          <w:highlight w:val="none"/>
        </w:rPr>
        <w:t>年；</w:t>
      </w:r>
    </w:p>
    <w:p w14:paraId="3EA4FF8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7．其他项目保修期限约定如下：</w:t>
      </w:r>
      <w:r>
        <w:rPr>
          <w:rFonts w:hint="eastAsia" w:ascii="仿宋" w:hAnsi="仿宋" w:eastAsia="仿宋" w:cs="仿宋"/>
          <w:color w:val="auto"/>
          <w:szCs w:val="21"/>
          <w:highlight w:val="none"/>
          <w:u w:val="single"/>
        </w:rPr>
        <w:t>2年</w:t>
      </w:r>
      <w:r>
        <w:rPr>
          <w:rFonts w:hint="eastAsia" w:ascii="仿宋" w:hAnsi="仿宋" w:eastAsia="仿宋" w:cs="仿宋"/>
          <w:color w:val="auto"/>
          <w:szCs w:val="21"/>
          <w:highlight w:val="none"/>
        </w:rPr>
        <w:t>。</w:t>
      </w:r>
    </w:p>
    <w:p w14:paraId="717D0C6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质量保修期自工程竣工验收合格之日起计算。</w:t>
      </w:r>
    </w:p>
    <w:p w14:paraId="2D147BFF">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三、缺陷责任期</w:t>
      </w:r>
    </w:p>
    <w:p w14:paraId="5786B2F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工程缺陷责任期为</w:t>
      </w:r>
      <w:r>
        <w:rPr>
          <w:rFonts w:hint="eastAsia" w:ascii="仿宋" w:hAnsi="仿宋" w:eastAsia="仿宋" w:cs="仿宋"/>
          <w:color w:val="auto"/>
          <w:szCs w:val="21"/>
          <w:highlight w:val="none"/>
          <w:u w:val="single"/>
        </w:rPr>
        <w:t>24</w:t>
      </w:r>
      <w:r>
        <w:rPr>
          <w:rFonts w:hint="eastAsia" w:ascii="仿宋" w:hAnsi="仿宋" w:eastAsia="仿宋" w:cs="仿宋"/>
          <w:color w:val="auto"/>
          <w:szCs w:val="21"/>
          <w:highlight w:val="none"/>
        </w:rPr>
        <w:t>个月（最长不超过24个月），缺陷责任期自工程竣工验收合格之日起计算。单位工程先于全部工程进行验收，单位工程缺陷责任期自单位工程验收合格之日起算。</w:t>
      </w:r>
    </w:p>
    <w:p w14:paraId="76398F50">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四、质量保修责任</w:t>
      </w:r>
    </w:p>
    <w:p w14:paraId="6612267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1．属于保修范围、内容的项目，</w:t>
      </w:r>
      <w:r>
        <w:rPr>
          <w:rFonts w:hint="eastAsia" w:ascii="仿宋" w:hAnsi="仿宋" w:eastAsia="仿宋" w:cs="仿宋"/>
          <w:color w:val="auto"/>
          <w:szCs w:val="21"/>
          <w:highlight w:val="none"/>
          <w:u w:val="single"/>
        </w:rPr>
        <w:t>门（窗）锁、水龙头（冲水阀）、灯具等</w:t>
      </w:r>
      <w:r>
        <w:rPr>
          <w:rFonts w:hint="eastAsia" w:ascii="仿宋" w:hAnsi="仿宋" w:eastAsia="仿宋" w:cs="仿宋"/>
          <w:color w:val="auto"/>
          <w:szCs w:val="21"/>
          <w:highlight w:val="none"/>
        </w:rPr>
        <w:t>，承包人应在接到保修电话通知后</w:t>
      </w:r>
      <w:r>
        <w:rPr>
          <w:rFonts w:hint="eastAsia" w:ascii="仿宋" w:hAnsi="仿宋" w:eastAsia="仿宋" w:cs="仿宋"/>
          <w:color w:val="auto"/>
          <w:szCs w:val="21"/>
          <w:highlight w:val="none"/>
          <w:u w:val="single"/>
        </w:rPr>
        <w:t>8小时</w:t>
      </w:r>
      <w:r>
        <w:rPr>
          <w:rFonts w:hint="eastAsia" w:ascii="仿宋" w:hAnsi="仿宋" w:eastAsia="仿宋" w:cs="仿宋"/>
          <w:color w:val="auto"/>
          <w:szCs w:val="21"/>
          <w:highlight w:val="none"/>
        </w:rPr>
        <w:t>内派人保修，</w:t>
      </w:r>
      <w:r>
        <w:rPr>
          <w:rFonts w:hint="eastAsia" w:ascii="仿宋" w:hAnsi="仿宋" w:eastAsia="仿宋" w:cs="仿宋"/>
          <w:color w:val="auto"/>
          <w:szCs w:val="21"/>
          <w:highlight w:val="none"/>
          <w:u w:val="single"/>
        </w:rPr>
        <w:t>其余项目在2天内派人保修</w:t>
      </w:r>
      <w:r>
        <w:rPr>
          <w:rFonts w:hint="eastAsia" w:ascii="仿宋" w:hAnsi="仿宋" w:eastAsia="仿宋" w:cs="仿宋"/>
          <w:color w:val="auto"/>
          <w:szCs w:val="21"/>
          <w:highlight w:val="none"/>
        </w:rPr>
        <w:t>。承包人不在约定期限内派人保修的，发包人可以委托他人修理，修理费用从</w:t>
      </w:r>
      <w:r>
        <w:rPr>
          <w:rFonts w:hint="eastAsia" w:ascii="仿宋" w:hAnsi="仿宋" w:eastAsia="仿宋" w:cs="仿宋"/>
          <w:color w:val="auto"/>
          <w:szCs w:val="21"/>
          <w:highlight w:val="none"/>
          <w:u w:val="single"/>
        </w:rPr>
        <w:t>应支付承包人的款项</w:t>
      </w:r>
      <w:r>
        <w:rPr>
          <w:rFonts w:hint="eastAsia" w:ascii="仿宋" w:hAnsi="仿宋" w:eastAsia="仿宋" w:cs="仿宋"/>
          <w:color w:val="auto"/>
          <w:szCs w:val="21"/>
          <w:highlight w:val="none"/>
        </w:rPr>
        <w:t>内扣除。</w:t>
      </w:r>
    </w:p>
    <w:p w14:paraId="6F11A9C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2．发生紧急事故需抢修的，承包人在接到事故通知后，应当立即到达事故现场抢修。</w:t>
      </w:r>
    </w:p>
    <w:p w14:paraId="1FCFB10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DBDA9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4．质量保修完成后，由发包人组织验收。</w:t>
      </w:r>
    </w:p>
    <w:p w14:paraId="7D2A381D">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五、保修费用</w:t>
      </w:r>
    </w:p>
    <w:p w14:paraId="6608406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保修费用由造成质量缺陷的责任方承担。</w:t>
      </w:r>
    </w:p>
    <w:p w14:paraId="498688CF">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六、双方约定的其他工程质量保修事项：</w:t>
      </w:r>
    </w:p>
    <w:p w14:paraId="6FACBE9C">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74AA8A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u w:val="single"/>
        </w:rPr>
        <w:t>前述处理方式，并不表示承包人可以不再履行质量保修义务、免于承担违约责任</w:t>
      </w:r>
      <w:r>
        <w:rPr>
          <w:rFonts w:hint="eastAsia" w:ascii="仿宋" w:hAnsi="仿宋" w:eastAsia="仿宋" w:cs="仿宋"/>
          <w:color w:val="auto"/>
          <w:szCs w:val="21"/>
          <w:highlight w:val="none"/>
        </w:rPr>
        <w:t>。</w:t>
      </w:r>
    </w:p>
    <w:p w14:paraId="314C2C9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工程质量保修书由发包人、承包人在工程竣工验收前共同签署，作为施工合同附件，其有效期限至保修期满。</w:t>
      </w:r>
    </w:p>
    <w:p w14:paraId="3A42DAA5">
      <w:pPr>
        <w:pStyle w:val="30"/>
        <w:spacing w:line="360" w:lineRule="auto"/>
        <w:ind w:firstLine="420" w:firstLineChars="200"/>
        <w:rPr>
          <w:rFonts w:ascii="仿宋" w:hAnsi="仿宋" w:eastAsia="仿宋" w:cs="仿宋"/>
          <w:color w:val="auto"/>
          <w:szCs w:val="21"/>
          <w:highlight w:val="none"/>
        </w:rPr>
        <w:sectPr>
          <w:pgSz w:w="11906" w:h="16838"/>
          <w:pgMar w:top="1440" w:right="1134" w:bottom="1440" w:left="1418" w:header="851" w:footer="992" w:gutter="0"/>
          <w:cols w:space="720" w:num="1"/>
          <w:docGrid w:type="lines" w:linePitch="312" w:charSpace="0"/>
        </w:sectPr>
      </w:pPr>
    </w:p>
    <w:p w14:paraId="2A44E69D">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（签章页，无正文）</w:t>
      </w:r>
    </w:p>
    <w:p w14:paraId="44797024">
      <w:pPr>
        <w:pStyle w:val="29"/>
        <w:spacing w:line="360" w:lineRule="auto"/>
        <w:ind w:firstLine="420" w:firstLineChars="200"/>
        <w:rPr>
          <w:rFonts w:ascii="仿宋" w:hAnsi="仿宋" w:eastAsia="仿宋" w:cs="仿宋"/>
          <w:color w:val="auto"/>
          <w:szCs w:val="21"/>
          <w:highlight w:val="none"/>
        </w:rPr>
      </w:pPr>
    </w:p>
    <w:tbl>
      <w:tblPr>
        <w:tblStyle w:val="19"/>
        <w:tblW w:w="0" w:type="auto"/>
        <w:jc w:val="center"/>
        <w:tblLayout w:type="autofit"/>
        <w:tblCellMar>
          <w:top w:w="0" w:type="dxa"/>
          <w:left w:w="108" w:type="dxa"/>
          <w:bottom w:w="0" w:type="dxa"/>
          <w:right w:w="108" w:type="dxa"/>
        </w:tblCellMar>
      </w:tblPr>
      <w:tblGrid>
        <w:gridCol w:w="4672"/>
        <w:gridCol w:w="4672"/>
      </w:tblGrid>
      <w:tr w14:paraId="32D0A00F">
        <w:tblPrEx>
          <w:tblCellMar>
            <w:top w:w="0" w:type="dxa"/>
            <w:left w:w="108" w:type="dxa"/>
            <w:bottom w:w="0" w:type="dxa"/>
            <w:right w:w="108" w:type="dxa"/>
          </w:tblCellMar>
        </w:tblPrEx>
        <w:trPr>
          <w:trHeight w:val="1134" w:hRule="atLeast"/>
          <w:jc w:val="center"/>
        </w:trPr>
        <w:tc>
          <w:tcPr>
            <w:tcW w:w="4672" w:type="dxa"/>
            <w:noWrap/>
          </w:tcPr>
          <w:p w14:paraId="0CB2FEED">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发包人（公章）：</w:t>
            </w:r>
            <w:r>
              <w:rPr>
                <w:rFonts w:hint="eastAsia" w:ascii="仿宋" w:hAnsi="仿宋" w:eastAsia="仿宋" w:cs="仿宋"/>
                <w:color w:val="auto"/>
                <w:szCs w:val="21"/>
                <w:highlight w:val="none"/>
                <w:u w:val="single"/>
              </w:rPr>
              <w:t>南宁市城市照明事务服务中心</w:t>
            </w:r>
          </w:p>
        </w:tc>
        <w:tc>
          <w:tcPr>
            <w:tcW w:w="4672" w:type="dxa"/>
            <w:noWrap/>
          </w:tcPr>
          <w:p w14:paraId="081C4FD7">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承包人（公章）：________________</w:t>
            </w:r>
          </w:p>
        </w:tc>
      </w:tr>
      <w:tr w14:paraId="7D6F79FC">
        <w:tblPrEx>
          <w:tblCellMar>
            <w:top w:w="0" w:type="dxa"/>
            <w:left w:w="108" w:type="dxa"/>
            <w:bottom w:w="0" w:type="dxa"/>
            <w:right w:w="108" w:type="dxa"/>
          </w:tblCellMar>
        </w:tblPrEx>
        <w:trPr>
          <w:trHeight w:val="1134" w:hRule="atLeast"/>
          <w:jc w:val="center"/>
        </w:trPr>
        <w:tc>
          <w:tcPr>
            <w:tcW w:w="4672" w:type="dxa"/>
            <w:noWrap/>
          </w:tcPr>
          <w:p w14:paraId="7D9137E4">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南宁市青秀区葛村路22号</w:t>
            </w:r>
          </w:p>
        </w:tc>
        <w:tc>
          <w:tcPr>
            <w:tcW w:w="4672" w:type="dxa"/>
            <w:noWrap/>
          </w:tcPr>
          <w:p w14:paraId="17AAFC9F">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地址：________________</w:t>
            </w:r>
          </w:p>
        </w:tc>
      </w:tr>
      <w:tr w14:paraId="2BBF87E4">
        <w:tblPrEx>
          <w:tblCellMar>
            <w:top w:w="0" w:type="dxa"/>
            <w:left w:w="108" w:type="dxa"/>
            <w:bottom w:w="0" w:type="dxa"/>
            <w:right w:w="108" w:type="dxa"/>
          </w:tblCellMar>
        </w:tblPrEx>
        <w:trPr>
          <w:trHeight w:val="1134" w:hRule="atLeast"/>
          <w:jc w:val="center"/>
        </w:trPr>
        <w:tc>
          <w:tcPr>
            <w:tcW w:w="4672" w:type="dxa"/>
            <w:noWrap/>
          </w:tcPr>
          <w:p w14:paraId="44CD5382">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法定代表人（签字）：______________________</w:t>
            </w:r>
          </w:p>
        </w:tc>
        <w:tc>
          <w:tcPr>
            <w:tcW w:w="4672" w:type="dxa"/>
            <w:noWrap/>
          </w:tcPr>
          <w:p w14:paraId="0CF0F2E5">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法定代表人（签字）：</w:t>
            </w:r>
            <w:r>
              <w:rPr>
                <w:rFonts w:hint="eastAsia" w:ascii="仿宋" w:hAnsi="仿宋" w:eastAsia="仿宋" w:cs="仿宋"/>
                <w:b/>
                <w:color w:val="auto"/>
                <w:szCs w:val="21"/>
                <w:highlight w:val="none"/>
              </w:rPr>
              <w:t>______________________</w:t>
            </w:r>
          </w:p>
        </w:tc>
      </w:tr>
      <w:tr w14:paraId="1BAAC55D">
        <w:tblPrEx>
          <w:tblCellMar>
            <w:top w:w="0" w:type="dxa"/>
            <w:left w:w="108" w:type="dxa"/>
            <w:bottom w:w="0" w:type="dxa"/>
            <w:right w:w="108" w:type="dxa"/>
          </w:tblCellMar>
        </w:tblPrEx>
        <w:trPr>
          <w:trHeight w:val="1134" w:hRule="atLeast"/>
          <w:jc w:val="center"/>
        </w:trPr>
        <w:tc>
          <w:tcPr>
            <w:tcW w:w="4672" w:type="dxa"/>
            <w:noWrap/>
          </w:tcPr>
          <w:p w14:paraId="62061F17">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委托代理人（签字）：______________________</w:t>
            </w:r>
          </w:p>
        </w:tc>
        <w:tc>
          <w:tcPr>
            <w:tcW w:w="4672" w:type="dxa"/>
            <w:noWrap/>
          </w:tcPr>
          <w:p w14:paraId="0A120CC8">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委托代理人（签字）：</w:t>
            </w:r>
            <w:r>
              <w:rPr>
                <w:rFonts w:hint="eastAsia" w:ascii="仿宋" w:hAnsi="仿宋" w:eastAsia="仿宋" w:cs="仿宋"/>
                <w:b/>
                <w:color w:val="auto"/>
                <w:szCs w:val="21"/>
                <w:highlight w:val="none"/>
              </w:rPr>
              <w:t>______________________</w:t>
            </w:r>
          </w:p>
        </w:tc>
      </w:tr>
      <w:tr w14:paraId="563A83CB">
        <w:tblPrEx>
          <w:tblCellMar>
            <w:top w:w="0" w:type="dxa"/>
            <w:left w:w="108" w:type="dxa"/>
            <w:bottom w:w="0" w:type="dxa"/>
            <w:right w:w="108" w:type="dxa"/>
          </w:tblCellMar>
        </w:tblPrEx>
        <w:trPr>
          <w:trHeight w:val="1134" w:hRule="atLeast"/>
          <w:jc w:val="center"/>
        </w:trPr>
        <w:tc>
          <w:tcPr>
            <w:tcW w:w="4672" w:type="dxa"/>
            <w:noWrap/>
          </w:tcPr>
          <w:p w14:paraId="32DDCFBE">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电话：________________</w:t>
            </w:r>
          </w:p>
        </w:tc>
        <w:tc>
          <w:tcPr>
            <w:tcW w:w="4672" w:type="dxa"/>
            <w:noWrap/>
          </w:tcPr>
          <w:p w14:paraId="4D01FE95">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电话：________________</w:t>
            </w:r>
          </w:p>
        </w:tc>
      </w:tr>
      <w:tr w14:paraId="1EC9A149">
        <w:tblPrEx>
          <w:tblCellMar>
            <w:top w:w="0" w:type="dxa"/>
            <w:left w:w="108" w:type="dxa"/>
            <w:bottom w:w="0" w:type="dxa"/>
            <w:right w:w="108" w:type="dxa"/>
          </w:tblCellMar>
        </w:tblPrEx>
        <w:trPr>
          <w:trHeight w:val="1134" w:hRule="atLeast"/>
          <w:jc w:val="center"/>
        </w:trPr>
        <w:tc>
          <w:tcPr>
            <w:tcW w:w="4672" w:type="dxa"/>
            <w:noWrap/>
          </w:tcPr>
          <w:p w14:paraId="52BD5948">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传真：________________</w:t>
            </w:r>
          </w:p>
        </w:tc>
        <w:tc>
          <w:tcPr>
            <w:tcW w:w="4672" w:type="dxa"/>
            <w:noWrap/>
          </w:tcPr>
          <w:p w14:paraId="2BC4EC9B">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传真：________________</w:t>
            </w:r>
          </w:p>
        </w:tc>
      </w:tr>
      <w:tr w14:paraId="06655374">
        <w:tblPrEx>
          <w:tblCellMar>
            <w:top w:w="0" w:type="dxa"/>
            <w:left w:w="108" w:type="dxa"/>
            <w:bottom w:w="0" w:type="dxa"/>
            <w:right w:w="108" w:type="dxa"/>
          </w:tblCellMar>
        </w:tblPrEx>
        <w:trPr>
          <w:trHeight w:val="1134" w:hRule="atLeast"/>
          <w:jc w:val="center"/>
        </w:trPr>
        <w:tc>
          <w:tcPr>
            <w:tcW w:w="4672" w:type="dxa"/>
            <w:noWrap/>
          </w:tcPr>
          <w:p w14:paraId="00A5311A">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开户银行：________________</w:t>
            </w:r>
          </w:p>
        </w:tc>
        <w:tc>
          <w:tcPr>
            <w:tcW w:w="4672" w:type="dxa"/>
            <w:noWrap/>
          </w:tcPr>
          <w:p w14:paraId="0DF64F74">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开户银行：________________</w:t>
            </w:r>
          </w:p>
        </w:tc>
      </w:tr>
      <w:tr w14:paraId="5ECDC41D">
        <w:tblPrEx>
          <w:tblCellMar>
            <w:top w:w="0" w:type="dxa"/>
            <w:left w:w="108" w:type="dxa"/>
            <w:bottom w:w="0" w:type="dxa"/>
            <w:right w:w="108" w:type="dxa"/>
          </w:tblCellMar>
        </w:tblPrEx>
        <w:trPr>
          <w:trHeight w:val="1134" w:hRule="atLeast"/>
          <w:jc w:val="center"/>
        </w:trPr>
        <w:tc>
          <w:tcPr>
            <w:tcW w:w="4672" w:type="dxa"/>
            <w:noWrap/>
          </w:tcPr>
          <w:p w14:paraId="221A244F">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账号：________________</w:t>
            </w:r>
          </w:p>
        </w:tc>
        <w:tc>
          <w:tcPr>
            <w:tcW w:w="4672" w:type="dxa"/>
            <w:noWrap/>
          </w:tcPr>
          <w:p w14:paraId="07125AE7">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账号：________________</w:t>
            </w:r>
          </w:p>
        </w:tc>
      </w:tr>
      <w:tr w14:paraId="0C8AF795">
        <w:tblPrEx>
          <w:tblCellMar>
            <w:top w:w="0" w:type="dxa"/>
            <w:left w:w="108" w:type="dxa"/>
            <w:bottom w:w="0" w:type="dxa"/>
            <w:right w:w="108" w:type="dxa"/>
          </w:tblCellMar>
        </w:tblPrEx>
        <w:trPr>
          <w:trHeight w:val="1134" w:hRule="atLeast"/>
          <w:jc w:val="center"/>
        </w:trPr>
        <w:tc>
          <w:tcPr>
            <w:tcW w:w="4672" w:type="dxa"/>
            <w:noWrap/>
          </w:tcPr>
          <w:p w14:paraId="4BD6A72F">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邮政编码：________________</w:t>
            </w:r>
          </w:p>
        </w:tc>
        <w:tc>
          <w:tcPr>
            <w:tcW w:w="4672" w:type="dxa"/>
            <w:noWrap/>
          </w:tcPr>
          <w:p w14:paraId="069AB7D0">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邮政编码：________________</w:t>
            </w:r>
          </w:p>
        </w:tc>
      </w:tr>
    </w:tbl>
    <w:p w14:paraId="605B44CD">
      <w:pPr>
        <w:pStyle w:val="30"/>
        <w:spacing w:line="360" w:lineRule="auto"/>
        <w:jc w:val="center"/>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0E573560">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工程质量保修书（市政公用工程）</w:t>
      </w:r>
    </w:p>
    <w:p w14:paraId="45821026">
      <w:pPr>
        <w:pStyle w:val="30"/>
        <w:spacing w:line="360" w:lineRule="auto"/>
        <w:ind w:firstLine="420" w:firstLineChars="200"/>
        <w:rPr>
          <w:rFonts w:ascii="仿宋" w:hAnsi="仿宋" w:eastAsia="仿宋" w:cs="仿宋"/>
          <w:color w:val="auto"/>
          <w:szCs w:val="21"/>
          <w:highlight w:val="none"/>
        </w:rPr>
      </w:pPr>
    </w:p>
    <w:p w14:paraId="5F903876">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发包人（全称）：</w:t>
      </w:r>
      <w:r>
        <w:rPr>
          <w:rFonts w:hint="eastAsia" w:ascii="仿宋" w:hAnsi="仿宋" w:eastAsia="仿宋" w:cs="仿宋"/>
          <w:color w:val="auto"/>
          <w:szCs w:val="21"/>
          <w:highlight w:val="none"/>
          <w:u w:val="single"/>
        </w:rPr>
        <w:t>南宁市城市照明事务服务中心</w:t>
      </w:r>
    </w:p>
    <w:p w14:paraId="3AC64F89">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承包人（全称）：________________</w:t>
      </w:r>
    </w:p>
    <w:p w14:paraId="24064D8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发包人和承包人根据《中华人民共和国建筑法》和《建设工程质量管理条例》，经协商一致就</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（工程全称）签订工程质量保修书。</w:t>
      </w:r>
    </w:p>
    <w:p w14:paraId="3E7740AF">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一、工程质量保修范围和内容</w:t>
      </w:r>
    </w:p>
    <w:p w14:paraId="470946C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承包人在质量保修期内，按照有关法律规定和合同约定，承担工程质量保修责任。</w:t>
      </w:r>
    </w:p>
    <w:p w14:paraId="2571C94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质量保修范围包括</w:t>
      </w:r>
      <w:r>
        <w:rPr>
          <w:rFonts w:hint="eastAsia" w:ascii="仿宋" w:hAnsi="仿宋" w:eastAsia="仿宋" w:cs="仿宋"/>
          <w:color w:val="auto"/>
          <w:szCs w:val="21"/>
          <w:highlight w:val="none"/>
          <w:u w:val="single"/>
        </w:rPr>
        <w:t>地基基础工程、主体结构工程、路基路面工程、附属管线工程和附属设施工程等承包人施工的所有内容</w:t>
      </w:r>
      <w:r>
        <w:rPr>
          <w:rFonts w:hint="eastAsia" w:ascii="仿宋" w:hAnsi="仿宋" w:eastAsia="仿宋" w:cs="仿宋"/>
          <w:color w:val="auto"/>
          <w:szCs w:val="21"/>
          <w:highlight w:val="none"/>
        </w:rPr>
        <w:t>，以及双方约定的其他项目。具体保修的内容，双方约定如下：</w:t>
      </w:r>
    </w:p>
    <w:p w14:paraId="0F0D5E0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B795BAE">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2.缺陷责任期结束后质保期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49EB2165">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二、质量保修期</w:t>
      </w:r>
    </w:p>
    <w:p w14:paraId="71D09CC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根据《建设工程质量管理条例》及有关规定，工程的质量保修期如下：</w:t>
      </w:r>
    </w:p>
    <w:p w14:paraId="1865388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1．桥梁工程为</w:t>
      </w:r>
      <w:r>
        <w:rPr>
          <w:rFonts w:hint="eastAsia" w:ascii="仿宋" w:hAnsi="仿宋" w:eastAsia="仿宋" w:cs="仿宋"/>
          <w:color w:val="auto"/>
          <w:szCs w:val="21"/>
          <w:highlight w:val="none"/>
          <w:u w:val="single"/>
        </w:rPr>
        <w:t>1</w:t>
      </w:r>
      <w:r>
        <w:rPr>
          <w:rFonts w:hint="eastAsia" w:ascii="仿宋" w:hAnsi="仿宋" w:eastAsia="仿宋" w:cs="仿宋"/>
          <w:color w:val="auto"/>
          <w:szCs w:val="21"/>
          <w:highlight w:val="none"/>
        </w:rPr>
        <w:t>年（建议桥梁隧道主体结构工程为设计文件规定的合理使用年限）；</w:t>
      </w:r>
    </w:p>
    <w:p w14:paraId="5917FCB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2．道路工程为</w:t>
      </w:r>
      <w:r>
        <w:rPr>
          <w:rFonts w:hint="eastAsia" w:ascii="仿宋" w:hAnsi="仿宋" w:eastAsia="仿宋" w:cs="仿宋"/>
          <w:color w:val="auto"/>
          <w:szCs w:val="21"/>
          <w:highlight w:val="none"/>
          <w:u w:val="single"/>
        </w:rPr>
        <w:t>2</w:t>
      </w:r>
      <w:r>
        <w:rPr>
          <w:rFonts w:hint="eastAsia" w:ascii="仿宋" w:hAnsi="仿宋" w:eastAsia="仿宋" w:cs="仿宋"/>
          <w:color w:val="auto"/>
          <w:szCs w:val="21"/>
          <w:highlight w:val="none"/>
        </w:rPr>
        <w:t>年（建议路基、路面、桥面为2年）；</w:t>
      </w:r>
    </w:p>
    <w:p w14:paraId="1BA5EFA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3．排水（雨水）工程为</w:t>
      </w:r>
      <w:r>
        <w:rPr>
          <w:rFonts w:hint="eastAsia" w:ascii="仿宋" w:hAnsi="仿宋" w:eastAsia="仿宋" w:cs="仿宋"/>
          <w:color w:val="auto"/>
          <w:szCs w:val="21"/>
          <w:highlight w:val="none"/>
          <w:u w:val="single"/>
        </w:rPr>
        <w:t>3</w:t>
      </w:r>
      <w:r>
        <w:rPr>
          <w:rFonts w:hint="eastAsia" w:ascii="仿宋" w:hAnsi="仿宋" w:eastAsia="仿宋" w:cs="仿宋"/>
          <w:color w:val="auto"/>
          <w:szCs w:val="21"/>
          <w:highlight w:val="none"/>
        </w:rPr>
        <w:t>年（建议道路工程中的排水工程为3年）；</w:t>
      </w:r>
    </w:p>
    <w:p w14:paraId="6586E55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4．绿化工程为单位工程竣工验收合格后</w:t>
      </w:r>
      <w:r>
        <w:rPr>
          <w:rFonts w:hint="eastAsia" w:ascii="仿宋" w:hAnsi="仿宋" w:eastAsia="仿宋" w:cs="仿宋"/>
          <w:color w:val="auto"/>
          <w:szCs w:val="21"/>
          <w:highlight w:val="none"/>
          <w:u w:val="single"/>
        </w:rPr>
        <w:t>1</w:t>
      </w:r>
      <w:r>
        <w:rPr>
          <w:rFonts w:hint="eastAsia" w:ascii="仿宋" w:hAnsi="仿宋" w:eastAsia="仿宋" w:cs="仿宋"/>
          <w:color w:val="auto"/>
          <w:szCs w:val="21"/>
          <w:highlight w:val="none"/>
        </w:rPr>
        <w:t>年；</w:t>
      </w:r>
    </w:p>
    <w:p w14:paraId="01B4114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5.地下防水工程为</w:t>
      </w:r>
      <w:r>
        <w:rPr>
          <w:rFonts w:hint="eastAsia" w:ascii="仿宋" w:hAnsi="仿宋" w:eastAsia="仿宋" w:cs="仿宋"/>
          <w:color w:val="auto"/>
          <w:szCs w:val="21"/>
          <w:highlight w:val="none"/>
          <w:u w:val="single"/>
        </w:rPr>
        <w:t>5</w:t>
      </w:r>
      <w:r>
        <w:rPr>
          <w:rFonts w:hint="eastAsia" w:ascii="仿宋" w:hAnsi="仿宋" w:eastAsia="仿宋" w:cs="仿宋"/>
          <w:color w:val="auto"/>
          <w:szCs w:val="21"/>
          <w:highlight w:val="none"/>
        </w:rPr>
        <w:t>年（建议为5年）；</w:t>
      </w:r>
    </w:p>
    <w:p w14:paraId="56C8B42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6．其他附属工程为</w:t>
      </w:r>
      <w:r>
        <w:rPr>
          <w:rFonts w:hint="eastAsia" w:ascii="仿宋" w:hAnsi="仿宋" w:eastAsia="仿宋" w:cs="仿宋"/>
          <w:color w:val="auto"/>
          <w:szCs w:val="21"/>
          <w:highlight w:val="none"/>
          <w:u w:val="single"/>
        </w:rPr>
        <w:t>1</w:t>
      </w:r>
      <w:r>
        <w:rPr>
          <w:rFonts w:hint="eastAsia" w:ascii="仿宋" w:hAnsi="仿宋" w:eastAsia="仿宋" w:cs="仿宋"/>
          <w:color w:val="auto"/>
          <w:szCs w:val="21"/>
          <w:highlight w:val="none"/>
        </w:rPr>
        <w:t>年；</w:t>
      </w:r>
    </w:p>
    <w:p w14:paraId="68AD30F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7．其他项目保修期限约定如下：</w:t>
      </w:r>
      <w:r>
        <w:rPr>
          <w:rFonts w:hint="eastAsia" w:ascii="仿宋" w:hAnsi="仿宋" w:eastAsia="仿宋" w:cs="仿宋"/>
          <w:color w:val="auto"/>
          <w:szCs w:val="21"/>
          <w:highlight w:val="none"/>
          <w:u w:val="single"/>
        </w:rPr>
        <w:t>2年</w:t>
      </w:r>
      <w:r>
        <w:rPr>
          <w:rFonts w:hint="eastAsia" w:ascii="仿宋" w:hAnsi="仿宋" w:eastAsia="仿宋" w:cs="仿宋"/>
          <w:color w:val="auto"/>
          <w:szCs w:val="21"/>
          <w:highlight w:val="none"/>
        </w:rPr>
        <w:t>。</w:t>
      </w:r>
    </w:p>
    <w:p w14:paraId="1CF8EBF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质量保修期自工程竣工验收合格之日起计算。</w:t>
      </w:r>
    </w:p>
    <w:p w14:paraId="4390917C">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三、缺陷责任期</w:t>
      </w:r>
    </w:p>
    <w:p w14:paraId="63A0139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工程缺陷责任期为</w:t>
      </w:r>
      <w:r>
        <w:rPr>
          <w:rFonts w:hint="eastAsia" w:ascii="仿宋" w:hAnsi="仿宋" w:eastAsia="仿宋" w:cs="仿宋"/>
          <w:color w:val="auto"/>
          <w:szCs w:val="21"/>
          <w:highlight w:val="none"/>
          <w:u w:val="single"/>
        </w:rPr>
        <w:t>24</w:t>
      </w:r>
      <w:r>
        <w:rPr>
          <w:rFonts w:hint="eastAsia" w:ascii="仿宋" w:hAnsi="仿宋" w:eastAsia="仿宋" w:cs="仿宋"/>
          <w:color w:val="auto"/>
          <w:szCs w:val="21"/>
          <w:highlight w:val="none"/>
        </w:rPr>
        <w:t>个月（最长不超过24个月），缺陷责任期自工程竣工验收合格之日起计算。单位工程先于全部工程进行验收，单位工程缺陷责任期自单位工程验收合格之日起算。</w:t>
      </w:r>
    </w:p>
    <w:p w14:paraId="0C91C75E">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四、质量保修责任</w:t>
      </w:r>
    </w:p>
    <w:p w14:paraId="3CB0811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1．属于保修范围、内容的项目，承包人应当在接到保修通知之日起</w:t>
      </w:r>
      <w:r>
        <w:rPr>
          <w:rFonts w:hint="eastAsia" w:ascii="仿宋" w:hAnsi="仿宋" w:eastAsia="仿宋" w:cs="仿宋"/>
          <w:b/>
          <w:color w:val="auto"/>
          <w:szCs w:val="21"/>
          <w:highlight w:val="none"/>
          <w:u w:val="single"/>
        </w:rPr>
        <w:t>2</w:t>
      </w:r>
      <w:r>
        <w:rPr>
          <w:rFonts w:hint="eastAsia" w:ascii="仿宋" w:hAnsi="仿宋" w:eastAsia="仿宋" w:cs="仿宋"/>
          <w:color w:val="auto"/>
          <w:szCs w:val="21"/>
          <w:highlight w:val="none"/>
        </w:rPr>
        <w:t>天内派人保修。承包人不在约定期限内派人保修的，发包人可以委托他人修理，修理费用从</w:t>
      </w:r>
      <w:r>
        <w:rPr>
          <w:rFonts w:hint="eastAsia" w:ascii="仿宋" w:hAnsi="仿宋" w:eastAsia="仿宋" w:cs="仿宋"/>
          <w:color w:val="auto"/>
          <w:szCs w:val="21"/>
          <w:highlight w:val="none"/>
          <w:u w:val="single"/>
        </w:rPr>
        <w:t>应支付承包人的款项</w:t>
      </w:r>
      <w:r>
        <w:rPr>
          <w:rFonts w:hint="eastAsia" w:ascii="仿宋" w:hAnsi="仿宋" w:eastAsia="仿宋" w:cs="仿宋"/>
          <w:color w:val="auto"/>
          <w:szCs w:val="21"/>
          <w:highlight w:val="none"/>
        </w:rPr>
        <w:t>内扣除。</w:t>
      </w:r>
    </w:p>
    <w:p w14:paraId="4101490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2．发生紧急事故需抢修的，承包人在接到事故通知后，应当立即到达事故现场抢修。</w:t>
      </w:r>
    </w:p>
    <w:p w14:paraId="1CA4D20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15B8D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4．质量保修完成后，由发包人组织验收。</w:t>
      </w:r>
    </w:p>
    <w:p w14:paraId="09698381">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五、保修费用</w:t>
      </w:r>
    </w:p>
    <w:p w14:paraId="5204A45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保修费用由造成质量缺陷的责任方承担。</w:t>
      </w:r>
    </w:p>
    <w:p w14:paraId="08A0E4B4">
      <w:pPr>
        <w:pStyle w:val="30"/>
        <w:spacing w:line="360" w:lineRule="auto"/>
        <w:ind w:firstLine="422" w:firstLineChars="200"/>
        <w:rPr>
          <w:rFonts w:ascii="仿宋" w:hAnsi="仿宋" w:eastAsia="仿宋" w:cs="仿宋"/>
          <w:color w:val="auto"/>
          <w:szCs w:val="21"/>
          <w:highlight w:val="none"/>
          <w:u w:val="single"/>
        </w:rPr>
      </w:pPr>
      <w:r>
        <w:rPr>
          <w:rFonts w:hint="eastAsia" w:ascii="仿宋" w:hAnsi="仿宋" w:eastAsia="仿宋" w:cs="仿宋"/>
          <w:b/>
          <w:color w:val="auto"/>
          <w:szCs w:val="21"/>
          <w:highlight w:val="none"/>
        </w:rPr>
        <w:t>六、双方约定的其他工程质量保修事项</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632A5444">
      <w:pPr>
        <w:pStyle w:val="3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u w:val="single"/>
        </w:rPr>
        <w:t>前述处理方式，并不表示承包人可以不再履行质量保修义务、免于承担违约责任。</w:t>
      </w:r>
    </w:p>
    <w:p w14:paraId="52BA0C4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工程质量保修书由发包人、承包人在工程竣工验收前共同签署，作为施工合同附件，其有效期限至保修期满。</w:t>
      </w:r>
    </w:p>
    <w:p w14:paraId="0891C16A">
      <w:pPr>
        <w:pStyle w:val="30"/>
        <w:spacing w:line="360" w:lineRule="auto"/>
        <w:jc w:val="center"/>
        <w:rPr>
          <w:rFonts w:ascii="仿宋" w:hAnsi="仿宋" w:eastAsia="仿宋" w:cs="仿宋"/>
          <w:color w:val="auto"/>
          <w:szCs w:val="21"/>
          <w:highlight w:val="none"/>
        </w:rPr>
        <w:sectPr>
          <w:pgSz w:w="11906" w:h="16838"/>
          <w:pgMar w:top="1440" w:right="1134" w:bottom="1440" w:left="1418" w:header="851" w:footer="992" w:gutter="0"/>
          <w:cols w:space="720" w:num="1"/>
          <w:docGrid w:type="lines" w:linePitch="312" w:charSpace="0"/>
        </w:sectPr>
      </w:pPr>
    </w:p>
    <w:p w14:paraId="64C47D8A">
      <w:pPr>
        <w:pStyle w:val="29"/>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（签章页，无正文）</w:t>
      </w:r>
    </w:p>
    <w:p w14:paraId="2CF06168">
      <w:pPr>
        <w:pStyle w:val="29"/>
        <w:spacing w:line="360" w:lineRule="auto"/>
        <w:ind w:firstLine="420" w:firstLineChars="200"/>
        <w:rPr>
          <w:rFonts w:ascii="仿宋" w:hAnsi="仿宋" w:eastAsia="仿宋" w:cs="仿宋"/>
          <w:color w:val="auto"/>
          <w:szCs w:val="21"/>
          <w:highlight w:val="none"/>
        </w:rPr>
      </w:pPr>
    </w:p>
    <w:tbl>
      <w:tblPr>
        <w:tblStyle w:val="19"/>
        <w:tblW w:w="0" w:type="auto"/>
        <w:jc w:val="center"/>
        <w:tblLayout w:type="autofit"/>
        <w:tblCellMar>
          <w:top w:w="0" w:type="dxa"/>
          <w:left w:w="108" w:type="dxa"/>
          <w:bottom w:w="0" w:type="dxa"/>
          <w:right w:w="108" w:type="dxa"/>
        </w:tblCellMar>
      </w:tblPr>
      <w:tblGrid>
        <w:gridCol w:w="4672"/>
        <w:gridCol w:w="4672"/>
      </w:tblGrid>
      <w:tr w14:paraId="3629ED42">
        <w:tblPrEx>
          <w:tblCellMar>
            <w:top w:w="0" w:type="dxa"/>
            <w:left w:w="108" w:type="dxa"/>
            <w:bottom w:w="0" w:type="dxa"/>
            <w:right w:w="108" w:type="dxa"/>
          </w:tblCellMar>
        </w:tblPrEx>
        <w:trPr>
          <w:trHeight w:val="1134" w:hRule="atLeast"/>
          <w:jc w:val="center"/>
        </w:trPr>
        <w:tc>
          <w:tcPr>
            <w:tcW w:w="4672" w:type="dxa"/>
            <w:noWrap/>
          </w:tcPr>
          <w:p w14:paraId="251E21E9">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发包人（公章）：</w:t>
            </w:r>
            <w:r>
              <w:rPr>
                <w:rFonts w:hint="eastAsia" w:ascii="仿宋" w:hAnsi="仿宋" w:eastAsia="仿宋" w:cs="仿宋"/>
                <w:color w:val="auto"/>
                <w:szCs w:val="21"/>
                <w:highlight w:val="none"/>
                <w:u w:val="single"/>
              </w:rPr>
              <w:t>南宁市城市照明事务服务中心</w:t>
            </w:r>
          </w:p>
        </w:tc>
        <w:tc>
          <w:tcPr>
            <w:tcW w:w="4672" w:type="dxa"/>
            <w:noWrap/>
          </w:tcPr>
          <w:p w14:paraId="5158C0F0">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承包人（公章）：________________</w:t>
            </w:r>
          </w:p>
        </w:tc>
      </w:tr>
      <w:tr w14:paraId="4742E195">
        <w:tblPrEx>
          <w:tblCellMar>
            <w:top w:w="0" w:type="dxa"/>
            <w:left w:w="108" w:type="dxa"/>
            <w:bottom w:w="0" w:type="dxa"/>
            <w:right w:w="108" w:type="dxa"/>
          </w:tblCellMar>
        </w:tblPrEx>
        <w:trPr>
          <w:trHeight w:val="1134" w:hRule="atLeast"/>
          <w:jc w:val="center"/>
        </w:trPr>
        <w:tc>
          <w:tcPr>
            <w:tcW w:w="4672" w:type="dxa"/>
            <w:noWrap/>
          </w:tcPr>
          <w:p w14:paraId="40F56E03">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南宁市青秀区葛村路22号</w:t>
            </w:r>
          </w:p>
        </w:tc>
        <w:tc>
          <w:tcPr>
            <w:tcW w:w="4672" w:type="dxa"/>
            <w:noWrap/>
          </w:tcPr>
          <w:p w14:paraId="3E3121EB">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地址：________________</w:t>
            </w:r>
          </w:p>
        </w:tc>
      </w:tr>
      <w:tr w14:paraId="218701C8">
        <w:tblPrEx>
          <w:tblCellMar>
            <w:top w:w="0" w:type="dxa"/>
            <w:left w:w="108" w:type="dxa"/>
            <w:bottom w:w="0" w:type="dxa"/>
            <w:right w:w="108" w:type="dxa"/>
          </w:tblCellMar>
        </w:tblPrEx>
        <w:trPr>
          <w:trHeight w:val="1134" w:hRule="atLeast"/>
          <w:jc w:val="center"/>
        </w:trPr>
        <w:tc>
          <w:tcPr>
            <w:tcW w:w="4672" w:type="dxa"/>
            <w:noWrap/>
          </w:tcPr>
          <w:p w14:paraId="08CF05D2">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法定代表人（签字）：______________________</w:t>
            </w:r>
          </w:p>
        </w:tc>
        <w:tc>
          <w:tcPr>
            <w:tcW w:w="4672" w:type="dxa"/>
            <w:noWrap/>
          </w:tcPr>
          <w:p w14:paraId="5A4DF95E">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法定代表人（签字）：</w:t>
            </w:r>
            <w:r>
              <w:rPr>
                <w:rFonts w:hint="eastAsia" w:ascii="仿宋" w:hAnsi="仿宋" w:eastAsia="仿宋" w:cs="仿宋"/>
                <w:b/>
                <w:color w:val="auto"/>
                <w:szCs w:val="21"/>
                <w:highlight w:val="none"/>
              </w:rPr>
              <w:t>______________________</w:t>
            </w:r>
          </w:p>
        </w:tc>
      </w:tr>
      <w:tr w14:paraId="1B6F3B3E">
        <w:tblPrEx>
          <w:tblCellMar>
            <w:top w:w="0" w:type="dxa"/>
            <w:left w:w="108" w:type="dxa"/>
            <w:bottom w:w="0" w:type="dxa"/>
            <w:right w:w="108" w:type="dxa"/>
          </w:tblCellMar>
        </w:tblPrEx>
        <w:trPr>
          <w:trHeight w:val="1134" w:hRule="atLeast"/>
          <w:jc w:val="center"/>
        </w:trPr>
        <w:tc>
          <w:tcPr>
            <w:tcW w:w="4672" w:type="dxa"/>
            <w:noWrap/>
          </w:tcPr>
          <w:p w14:paraId="7A4D3919">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委托代理人（签字）：______________________</w:t>
            </w:r>
          </w:p>
        </w:tc>
        <w:tc>
          <w:tcPr>
            <w:tcW w:w="4672" w:type="dxa"/>
            <w:noWrap/>
          </w:tcPr>
          <w:p w14:paraId="312BB684">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委托代理人（签字）：</w:t>
            </w:r>
            <w:r>
              <w:rPr>
                <w:rFonts w:hint="eastAsia" w:ascii="仿宋" w:hAnsi="仿宋" w:eastAsia="仿宋" w:cs="仿宋"/>
                <w:b/>
                <w:color w:val="auto"/>
                <w:szCs w:val="21"/>
                <w:highlight w:val="none"/>
              </w:rPr>
              <w:t>______________________</w:t>
            </w:r>
          </w:p>
        </w:tc>
      </w:tr>
      <w:tr w14:paraId="21DDF5D8">
        <w:tblPrEx>
          <w:tblCellMar>
            <w:top w:w="0" w:type="dxa"/>
            <w:left w:w="108" w:type="dxa"/>
            <w:bottom w:w="0" w:type="dxa"/>
            <w:right w:w="108" w:type="dxa"/>
          </w:tblCellMar>
        </w:tblPrEx>
        <w:trPr>
          <w:trHeight w:val="1134" w:hRule="atLeast"/>
          <w:jc w:val="center"/>
        </w:trPr>
        <w:tc>
          <w:tcPr>
            <w:tcW w:w="4672" w:type="dxa"/>
            <w:noWrap/>
          </w:tcPr>
          <w:p w14:paraId="0A8D164A">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电话：________________</w:t>
            </w:r>
          </w:p>
        </w:tc>
        <w:tc>
          <w:tcPr>
            <w:tcW w:w="4672" w:type="dxa"/>
            <w:noWrap/>
          </w:tcPr>
          <w:p w14:paraId="24D23404">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电话：________________</w:t>
            </w:r>
          </w:p>
        </w:tc>
      </w:tr>
      <w:tr w14:paraId="33001F2A">
        <w:tblPrEx>
          <w:tblCellMar>
            <w:top w:w="0" w:type="dxa"/>
            <w:left w:w="108" w:type="dxa"/>
            <w:bottom w:w="0" w:type="dxa"/>
            <w:right w:w="108" w:type="dxa"/>
          </w:tblCellMar>
        </w:tblPrEx>
        <w:trPr>
          <w:trHeight w:val="1134" w:hRule="atLeast"/>
          <w:jc w:val="center"/>
        </w:trPr>
        <w:tc>
          <w:tcPr>
            <w:tcW w:w="4672" w:type="dxa"/>
            <w:noWrap/>
          </w:tcPr>
          <w:p w14:paraId="02709F27">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传真：________________</w:t>
            </w:r>
          </w:p>
        </w:tc>
        <w:tc>
          <w:tcPr>
            <w:tcW w:w="4672" w:type="dxa"/>
            <w:noWrap/>
          </w:tcPr>
          <w:p w14:paraId="7941A148">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传真：________________</w:t>
            </w:r>
          </w:p>
        </w:tc>
      </w:tr>
      <w:tr w14:paraId="5F497671">
        <w:tblPrEx>
          <w:tblCellMar>
            <w:top w:w="0" w:type="dxa"/>
            <w:left w:w="108" w:type="dxa"/>
            <w:bottom w:w="0" w:type="dxa"/>
            <w:right w:w="108" w:type="dxa"/>
          </w:tblCellMar>
        </w:tblPrEx>
        <w:trPr>
          <w:trHeight w:val="1134" w:hRule="atLeast"/>
          <w:jc w:val="center"/>
        </w:trPr>
        <w:tc>
          <w:tcPr>
            <w:tcW w:w="4672" w:type="dxa"/>
            <w:noWrap/>
          </w:tcPr>
          <w:p w14:paraId="2ED5899C">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开户银行：________________</w:t>
            </w:r>
          </w:p>
        </w:tc>
        <w:tc>
          <w:tcPr>
            <w:tcW w:w="4672" w:type="dxa"/>
            <w:noWrap/>
          </w:tcPr>
          <w:p w14:paraId="32577A78">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开户银行：________________</w:t>
            </w:r>
          </w:p>
        </w:tc>
      </w:tr>
      <w:tr w14:paraId="4705F7C4">
        <w:tblPrEx>
          <w:tblCellMar>
            <w:top w:w="0" w:type="dxa"/>
            <w:left w:w="108" w:type="dxa"/>
            <w:bottom w:w="0" w:type="dxa"/>
            <w:right w:w="108" w:type="dxa"/>
          </w:tblCellMar>
        </w:tblPrEx>
        <w:trPr>
          <w:trHeight w:val="1134" w:hRule="atLeast"/>
          <w:jc w:val="center"/>
        </w:trPr>
        <w:tc>
          <w:tcPr>
            <w:tcW w:w="4672" w:type="dxa"/>
            <w:noWrap/>
          </w:tcPr>
          <w:p w14:paraId="2D6F3FED">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账号：________________</w:t>
            </w:r>
          </w:p>
        </w:tc>
        <w:tc>
          <w:tcPr>
            <w:tcW w:w="4672" w:type="dxa"/>
            <w:noWrap/>
          </w:tcPr>
          <w:p w14:paraId="608E6FE8">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账号：________________</w:t>
            </w:r>
          </w:p>
        </w:tc>
      </w:tr>
      <w:tr w14:paraId="2877BD91">
        <w:tblPrEx>
          <w:tblCellMar>
            <w:top w:w="0" w:type="dxa"/>
            <w:left w:w="108" w:type="dxa"/>
            <w:bottom w:w="0" w:type="dxa"/>
            <w:right w:w="108" w:type="dxa"/>
          </w:tblCellMar>
        </w:tblPrEx>
        <w:trPr>
          <w:trHeight w:val="1134" w:hRule="atLeast"/>
          <w:jc w:val="center"/>
        </w:trPr>
        <w:tc>
          <w:tcPr>
            <w:tcW w:w="4672" w:type="dxa"/>
            <w:noWrap/>
          </w:tcPr>
          <w:p w14:paraId="4E4CB22A">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邮政编码：________________</w:t>
            </w:r>
          </w:p>
        </w:tc>
        <w:tc>
          <w:tcPr>
            <w:tcW w:w="4672" w:type="dxa"/>
            <w:noWrap/>
          </w:tcPr>
          <w:p w14:paraId="098D5478">
            <w:pPr>
              <w:pStyle w:val="30"/>
              <w:spacing w:line="360" w:lineRule="auto"/>
              <w:jc w:val="left"/>
              <w:rPr>
                <w:rFonts w:ascii="仿宋" w:hAnsi="仿宋" w:eastAsia="仿宋" w:cs="仿宋"/>
                <w:color w:val="auto"/>
                <w:szCs w:val="21"/>
                <w:highlight w:val="none"/>
              </w:rPr>
            </w:pPr>
            <w:r>
              <w:rPr>
                <w:rFonts w:hint="eastAsia" w:ascii="仿宋" w:hAnsi="仿宋" w:eastAsia="仿宋" w:cs="仿宋"/>
                <w:color w:val="auto"/>
                <w:szCs w:val="21"/>
                <w:highlight w:val="none"/>
              </w:rPr>
              <w:t>邮政编码：________________</w:t>
            </w:r>
          </w:p>
        </w:tc>
      </w:tr>
    </w:tbl>
    <w:p w14:paraId="78149EA1">
      <w:pPr>
        <w:pStyle w:val="30"/>
        <w:spacing w:line="360" w:lineRule="auto"/>
        <w:jc w:val="center"/>
        <w:rPr>
          <w:rFonts w:ascii="仿宋" w:hAnsi="仿宋" w:eastAsia="仿宋" w:cs="仿宋"/>
          <w:color w:val="auto"/>
          <w:szCs w:val="21"/>
          <w:highlight w:val="none"/>
        </w:rPr>
      </w:pPr>
    </w:p>
    <w:p w14:paraId="36D27AD2">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514EB1A9">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附件3：</w:t>
      </w:r>
    </w:p>
    <w:p w14:paraId="262E9436">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主要建设工程文件目录</w:t>
      </w:r>
    </w:p>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557"/>
        <w:gridCol w:w="1557"/>
        <w:gridCol w:w="1557"/>
        <w:gridCol w:w="1558"/>
        <w:gridCol w:w="1558"/>
      </w:tblGrid>
      <w:tr w14:paraId="2AFE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tcPr>
          <w:p w14:paraId="7CB132D9">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文件名称</w:t>
            </w:r>
          </w:p>
        </w:tc>
        <w:tc>
          <w:tcPr>
            <w:tcW w:w="1557" w:type="dxa"/>
            <w:noWrap/>
          </w:tcPr>
          <w:p w14:paraId="659E08C5">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套数</w:t>
            </w:r>
          </w:p>
        </w:tc>
        <w:tc>
          <w:tcPr>
            <w:tcW w:w="1557" w:type="dxa"/>
            <w:noWrap/>
          </w:tcPr>
          <w:p w14:paraId="1EB5AEDC">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费用（元）</w:t>
            </w:r>
          </w:p>
        </w:tc>
        <w:tc>
          <w:tcPr>
            <w:tcW w:w="1557" w:type="dxa"/>
            <w:noWrap/>
          </w:tcPr>
          <w:p w14:paraId="10521982">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质量</w:t>
            </w:r>
          </w:p>
        </w:tc>
        <w:tc>
          <w:tcPr>
            <w:tcW w:w="1558" w:type="dxa"/>
            <w:noWrap/>
          </w:tcPr>
          <w:p w14:paraId="3AD16D59">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移交时间</w:t>
            </w:r>
          </w:p>
        </w:tc>
        <w:tc>
          <w:tcPr>
            <w:tcW w:w="1558" w:type="dxa"/>
            <w:noWrap/>
          </w:tcPr>
          <w:p w14:paraId="24E94997">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责任人</w:t>
            </w:r>
          </w:p>
        </w:tc>
      </w:tr>
      <w:tr w14:paraId="79DD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tcPr>
          <w:p w14:paraId="38C58322">
            <w:pPr>
              <w:pStyle w:val="30"/>
              <w:spacing w:line="360" w:lineRule="auto"/>
              <w:jc w:val="center"/>
              <w:rPr>
                <w:rFonts w:ascii="仿宋" w:hAnsi="仿宋" w:eastAsia="仿宋" w:cs="仿宋"/>
                <w:color w:val="auto"/>
                <w:szCs w:val="21"/>
                <w:highlight w:val="none"/>
              </w:rPr>
            </w:pPr>
          </w:p>
        </w:tc>
        <w:tc>
          <w:tcPr>
            <w:tcW w:w="1557" w:type="dxa"/>
            <w:noWrap/>
          </w:tcPr>
          <w:p w14:paraId="4CBD4C14">
            <w:pPr>
              <w:pStyle w:val="30"/>
              <w:spacing w:line="360" w:lineRule="auto"/>
              <w:jc w:val="center"/>
              <w:rPr>
                <w:rFonts w:ascii="仿宋" w:hAnsi="仿宋" w:eastAsia="仿宋" w:cs="仿宋"/>
                <w:color w:val="auto"/>
                <w:szCs w:val="21"/>
                <w:highlight w:val="none"/>
              </w:rPr>
            </w:pPr>
          </w:p>
        </w:tc>
        <w:tc>
          <w:tcPr>
            <w:tcW w:w="1557" w:type="dxa"/>
            <w:noWrap/>
          </w:tcPr>
          <w:p w14:paraId="1A3AD06F">
            <w:pPr>
              <w:pStyle w:val="30"/>
              <w:spacing w:line="360" w:lineRule="auto"/>
              <w:jc w:val="center"/>
              <w:rPr>
                <w:rFonts w:ascii="仿宋" w:hAnsi="仿宋" w:eastAsia="仿宋" w:cs="仿宋"/>
                <w:color w:val="auto"/>
                <w:szCs w:val="21"/>
                <w:highlight w:val="none"/>
              </w:rPr>
            </w:pPr>
          </w:p>
        </w:tc>
        <w:tc>
          <w:tcPr>
            <w:tcW w:w="1557" w:type="dxa"/>
            <w:noWrap/>
          </w:tcPr>
          <w:p w14:paraId="50A92853">
            <w:pPr>
              <w:pStyle w:val="30"/>
              <w:spacing w:line="360" w:lineRule="auto"/>
              <w:jc w:val="center"/>
              <w:rPr>
                <w:rFonts w:ascii="仿宋" w:hAnsi="仿宋" w:eastAsia="仿宋" w:cs="仿宋"/>
                <w:color w:val="auto"/>
                <w:szCs w:val="21"/>
                <w:highlight w:val="none"/>
              </w:rPr>
            </w:pPr>
          </w:p>
        </w:tc>
        <w:tc>
          <w:tcPr>
            <w:tcW w:w="1558" w:type="dxa"/>
            <w:noWrap/>
          </w:tcPr>
          <w:p w14:paraId="706D63BD">
            <w:pPr>
              <w:pStyle w:val="30"/>
              <w:spacing w:line="360" w:lineRule="auto"/>
              <w:jc w:val="center"/>
              <w:rPr>
                <w:rFonts w:ascii="仿宋" w:hAnsi="仿宋" w:eastAsia="仿宋" w:cs="仿宋"/>
                <w:color w:val="auto"/>
                <w:szCs w:val="21"/>
                <w:highlight w:val="none"/>
              </w:rPr>
            </w:pPr>
          </w:p>
        </w:tc>
        <w:tc>
          <w:tcPr>
            <w:tcW w:w="1558" w:type="dxa"/>
            <w:noWrap/>
          </w:tcPr>
          <w:p w14:paraId="4DC63BEB">
            <w:pPr>
              <w:pStyle w:val="30"/>
              <w:spacing w:line="360" w:lineRule="auto"/>
              <w:jc w:val="center"/>
              <w:rPr>
                <w:rFonts w:ascii="仿宋" w:hAnsi="仿宋" w:eastAsia="仿宋" w:cs="仿宋"/>
                <w:color w:val="auto"/>
                <w:szCs w:val="21"/>
                <w:highlight w:val="none"/>
              </w:rPr>
            </w:pPr>
          </w:p>
        </w:tc>
      </w:tr>
      <w:tr w14:paraId="0E54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tcPr>
          <w:p w14:paraId="0CB362D3">
            <w:pPr>
              <w:pStyle w:val="30"/>
              <w:spacing w:line="360" w:lineRule="auto"/>
              <w:jc w:val="center"/>
              <w:rPr>
                <w:rFonts w:ascii="仿宋" w:hAnsi="仿宋" w:eastAsia="仿宋" w:cs="仿宋"/>
                <w:color w:val="auto"/>
                <w:szCs w:val="21"/>
                <w:highlight w:val="none"/>
              </w:rPr>
            </w:pPr>
          </w:p>
        </w:tc>
        <w:tc>
          <w:tcPr>
            <w:tcW w:w="1557" w:type="dxa"/>
            <w:noWrap/>
          </w:tcPr>
          <w:p w14:paraId="54AD95E8">
            <w:pPr>
              <w:pStyle w:val="30"/>
              <w:spacing w:line="360" w:lineRule="auto"/>
              <w:jc w:val="center"/>
              <w:rPr>
                <w:rFonts w:ascii="仿宋" w:hAnsi="仿宋" w:eastAsia="仿宋" w:cs="仿宋"/>
                <w:color w:val="auto"/>
                <w:szCs w:val="21"/>
                <w:highlight w:val="none"/>
              </w:rPr>
            </w:pPr>
          </w:p>
        </w:tc>
        <w:tc>
          <w:tcPr>
            <w:tcW w:w="1557" w:type="dxa"/>
            <w:noWrap/>
          </w:tcPr>
          <w:p w14:paraId="49038A50">
            <w:pPr>
              <w:pStyle w:val="30"/>
              <w:spacing w:line="360" w:lineRule="auto"/>
              <w:jc w:val="center"/>
              <w:rPr>
                <w:rFonts w:ascii="仿宋" w:hAnsi="仿宋" w:eastAsia="仿宋" w:cs="仿宋"/>
                <w:color w:val="auto"/>
                <w:szCs w:val="21"/>
                <w:highlight w:val="none"/>
              </w:rPr>
            </w:pPr>
          </w:p>
        </w:tc>
        <w:tc>
          <w:tcPr>
            <w:tcW w:w="1557" w:type="dxa"/>
            <w:noWrap/>
          </w:tcPr>
          <w:p w14:paraId="6E613724">
            <w:pPr>
              <w:pStyle w:val="30"/>
              <w:spacing w:line="360" w:lineRule="auto"/>
              <w:jc w:val="center"/>
              <w:rPr>
                <w:rFonts w:ascii="仿宋" w:hAnsi="仿宋" w:eastAsia="仿宋" w:cs="仿宋"/>
                <w:color w:val="auto"/>
                <w:szCs w:val="21"/>
                <w:highlight w:val="none"/>
              </w:rPr>
            </w:pPr>
          </w:p>
        </w:tc>
        <w:tc>
          <w:tcPr>
            <w:tcW w:w="1558" w:type="dxa"/>
            <w:noWrap/>
          </w:tcPr>
          <w:p w14:paraId="4F9F963C">
            <w:pPr>
              <w:pStyle w:val="30"/>
              <w:spacing w:line="360" w:lineRule="auto"/>
              <w:jc w:val="center"/>
              <w:rPr>
                <w:rFonts w:ascii="仿宋" w:hAnsi="仿宋" w:eastAsia="仿宋" w:cs="仿宋"/>
                <w:color w:val="auto"/>
                <w:szCs w:val="21"/>
                <w:highlight w:val="none"/>
              </w:rPr>
            </w:pPr>
          </w:p>
        </w:tc>
        <w:tc>
          <w:tcPr>
            <w:tcW w:w="1558" w:type="dxa"/>
            <w:noWrap/>
          </w:tcPr>
          <w:p w14:paraId="799F1772">
            <w:pPr>
              <w:pStyle w:val="30"/>
              <w:spacing w:line="360" w:lineRule="auto"/>
              <w:jc w:val="center"/>
              <w:rPr>
                <w:rFonts w:ascii="仿宋" w:hAnsi="仿宋" w:eastAsia="仿宋" w:cs="仿宋"/>
                <w:color w:val="auto"/>
                <w:szCs w:val="21"/>
                <w:highlight w:val="none"/>
              </w:rPr>
            </w:pPr>
          </w:p>
        </w:tc>
      </w:tr>
      <w:tr w14:paraId="7501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tcPr>
          <w:p w14:paraId="558441FE">
            <w:pPr>
              <w:pStyle w:val="30"/>
              <w:spacing w:line="360" w:lineRule="auto"/>
              <w:jc w:val="center"/>
              <w:rPr>
                <w:rFonts w:ascii="仿宋" w:hAnsi="仿宋" w:eastAsia="仿宋" w:cs="仿宋"/>
                <w:color w:val="auto"/>
                <w:szCs w:val="21"/>
                <w:highlight w:val="none"/>
              </w:rPr>
            </w:pPr>
          </w:p>
        </w:tc>
        <w:tc>
          <w:tcPr>
            <w:tcW w:w="1557" w:type="dxa"/>
            <w:noWrap/>
          </w:tcPr>
          <w:p w14:paraId="4C93F70D">
            <w:pPr>
              <w:pStyle w:val="30"/>
              <w:spacing w:line="360" w:lineRule="auto"/>
              <w:jc w:val="center"/>
              <w:rPr>
                <w:rFonts w:ascii="仿宋" w:hAnsi="仿宋" w:eastAsia="仿宋" w:cs="仿宋"/>
                <w:color w:val="auto"/>
                <w:szCs w:val="21"/>
                <w:highlight w:val="none"/>
              </w:rPr>
            </w:pPr>
          </w:p>
        </w:tc>
        <w:tc>
          <w:tcPr>
            <w:tcW w:w="1557" w:type="dxa"/>
            <w:noWrap/>
          </w:tcPr>
          <w:p w14:paraId="2C41B361">
            <w:pPr>
              <w:pStyle w:val="30"/>
              <w:spacing w:line="360" w:lineRule="auto"/>
              <w:jc w:val="center"/>
              <w:rPr>
                <w:rFonts w:ascii="仿宋" w:hAnsi="仿宋" w:eastAsia="仿宋" w:cs="仿宋"/>
                <w:color w:val="auto"/>
                <w:szCs w:val="21"/>
                <w:highlight w:val="none"/>
              </w:rPr>
            </w:pPr>
          </w:p>
        </w:tc>
        <w:tc>
          <w:tcPr>
            <w:tcW w:w="1557" w:type="dxa"/>
            <w:noWrap/>
          </w:tcPr>
          <w:p w14:paraId="0F55835D">
            <w:pPr>
              <w:pStyle w:val="30"/>
              <w:spacing w:line="360" w:lineRule="auto"/>
              <w:jc w:val="center"/>
              <w:rPr>
                <w:rFonts w:ascii="仿宋" w:hAnsi="仿宋" w:eastAsia="仿宋" w:cs="仿宋"/>
                <w:color w:val="auto"/>
                <w:szCs w:val="21"/>
                <w:highlight w:val="none"/>
              </w:rPr>
            </w:pPr>
          </w:p>
        </w:tc>
        <w:tc>
          <w:tcPr>
            <w:tcW w:w="1558" w:type="dxa"/>
            <w:noWrap/>
          </w:tcPr>
          <w:p w14:paraId="6225F2C7">
            <w:pPr>
              <w:pStyle w:val="30"/>
              <w:spacing w:line="360" w:lineRule="auto"/>
              <w:jc w:val="center"/>
              <w:rPr>
                <w:rFonts w:ascii="仿宋" w:hAnsi="仿宋" w:eastAsia="仿宋" w:cs="仿宋"/>
                <w:color w:val="auto"/>
                <w:szCs w:val="21"/>
                <w:highlight w:val="none"/>
              </w:rPr>
            </w:pPr>
          </w:p>
        </w:tc>
        <w:tc>
          <w:tcPr>
            <w:tcW w:w="1558" w:type="dxa"/>
            <w:noWrap/>
          </w:tcPr>
          <w:p w14:paraId="4CFEDEA3">
            <w:pPr>
              <w:pStyle w:val="30"/>
              <w:spacing w:line="360" w:lineRule="auto"/>
              <w:jc w:val="center"/>
              <w:rPr>
                <w:rFonts w:ascii="仿宋" w:hAnsi="仿宋" w:eastAsia="仿宋" w:cs="仿宋"/>
                <w:color w:val="auto"/>
                <w:szCs w:val="21"/>
                <w:highlight w:val="none"/>
              </w:rPr>
            </w:pPr>
          </w:p>
        </w:tc>
      </w:tr>
      <w:tr w14:paraId="6753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tcPr>
          <w:p w14:paraId="41ECB6CD">
            <w:pPr>
              <w:pStyle w:val="30"/>
              <w:spacing w:line="360" w:lineRule="auto"/>
              <w:jc w:val="center"/>
              <w:rPr>
                <w:rFonts w:ascii="仿宋" w:hAnsi="仿宋" w:eastAsia="仿宋" w:cs="仿宋"/>
                <w:color w:val="auto"/>
                <w:szCs w:val="21"/>
                <w:highlight w:val="none"/>
              </w:rPr>
            </w:pPr>
          </w:p>
        </w:tc>
        <w:tc>
          <w:tcPr>
            <w:tcW w:w="1557" w:type="dxa"/>
            <w:noWrap/>
          </w:tcPr>
          <w:p w14:paraId="7E16853C">
            <w:pPr>
              <w:pStyle w:val="30"/>
              <w:spacing w:line="360" w:lineRule="auto"/>
              <w:jc w:val="center"/>
              <w:rPr>
                <w:rFonts w:ascii="仿宋" w:hAnsi="仿宋" w:eastAsia="仿宋" w:cs="仿宋"/>
                <w:color w:val="auto"/>
                <w:szCs w:val="21"/>
                <w:highlight w:val="none"/>
              </w:rPr>
            </w:pPr>
          </w:p>
        </w:tc>
        <w:tc>
          <w:tcPr>
            <w:tcW w:w="1557" w:type="dxa"/>
            <w:noWrap/>
          </w:tcPr>
          <w:p w14:paraId="16F17A5D">
            <w:pPr>
              <w:pStyle w:val="30"/>
              <w:spacing w:line="360" w:lineRule="auto"/>
              <w:jc w:val="center"/>
              <w:rPr>
                <w:rFonts w:ascii="仿宋" w:hAnsi="仿宋" w:eastAsia="仿宋" w:cs="仿宋"/>
                <w:color w:val="auto"/>
                <w:szCs w:val="21"/>
                <w:highlight w:val="none"/>
              </w:rPr>
            </w:pPr>
          </w:p>
        </w:tc>
        <w:tc>
          <w:tcPr>
            <w:tcW w:w="1557" w:type="dxa"/>
            <w:noWrap/>
          </w:tcPr>
          <w:p w14:paraId="20F8CCAB">
            <w:pPr>
              <w:pStyle w:val="30"/>
              <w:spacing w:line="360" w:lineRule="auto"/>
              <w:jc w:val="center"/>
              <w:rPr>
                <w:rFonts w:ascii="仿宋" w:hAnsi="仿宋" w:eastAsia="仿宋" w:cs="仿宋"/>
                <w:color w:val="auto"/>
                <w:szCs w:val="21"/>
                <w:highlight w:val="none"/>
              </w:rPr>
            </w:pPr>
          </w:p>
        </w:tc>
        <w:tc>
          <w:tcPr>
            <w:tcW w:w="1558" w:type="dxa"/>
            <w:noWrap/>
          </w:tcPr>
          <w:p w14:paraId="23880967">
            <w:pPr>
              <w:pStyle w:val="30"/>
              <w:spacing w:line="360" w:lineRule="auto"/>
              <w:jc w:val="center"/>
              <w:rPr>
                <w:rFonts w:ascii="仿宋" w:hAnsi="仿宋" w:eastAsia="仿宋" w:cs="仿宋"/>
                <w:color w:val="auto"/>
                <w:szCs w:val="21"/>
                <w:highlight w:val="none"/>
              </w:rPr>
            </w:pPr>
          </w:p>
        </w:tc>
        <w:tc>
          <w:tcPr>
            <w:tcW w:w="1558" w:type="dxa"/>
            <w:noWrap/>
          </w:tcPr>
          <w:p w14:paraId="4C15CBB6">
            <w:pPr>
              <w:pStyle w:val="30"/>
              <w:spacing w:line="360" w:lineRule="auto"/>
              <w:jc w:val="center"/>
              <w:rPr>
                <w:rFonts w:ascii="仿宋" w:hAnsi="仿宋" w:eastAsia="仿宋" w:cs="仿宋"/>
                <w:color w:val="auto"/>
                <w:szCs w:val="21"/>
                <w:highlight w:val="none"/>
              </w:rPr>
            </w:pPr>
          </w:p>
        </w:tc>
      </w:tr>
      <w:tr w14:paraId="6DFA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tcPr>
          <w:p w14:paraId="546BDE03">
            <w:pPr>
              <w:pStyle w:val="30"/>
              <w:spacing w:line="360" w:lineRule="auto"/>
              <w:jc w:val="center"/>
              <w:rPr>
                <w:rFonts w:ascii="仿宋" w:hAnsi="仿宋" w:eastAsia="仿宋" w:cs="仿宋"/>
                <w:color w:val="auto"/>
                <w:szCs w:val="21"/>
                <w:highlight w:val="none"/>
              </w:rPr>
            </w:pPr>
          </w:p>
        </w:tc>
        <w:tc>
          <w:tcPr>
            <w:tcW w:w="1557" w:type="dxa"/>
            <w:noWrap/>
          </w:tcPr>
          <w:p w14:paraId="6DAD448D">
            <w:pPr>
              <w:pStyle w:val="30"/>
              <w:spacing w:line="360" w:lineRule="auto"/>
              <w:jc w:val="center"/>
              <w:rPr>
                <w:rFonts w:ascii="仿宋" w:hAnsi="仿宋" w:eastAsia="仿宋" w:cs="仿宋"/>
                <w:color w:val="auto"/>
                <w:szCs w:val="21"/>
                <w:highlight w:val="none"/>
              </w:rPr>
            </w:pPr>
          </w:p>
        </w:tc>
        <w:tc>
          <w:tcPr>
            <w:tcW w:w="1557" w:type="dxa"/>
            <w:noWrap/>
          </w:tcPr>
          <w:p w14:paraId="0ADC0306">
            <w:pPr>
              <w:pStyle w:val="30"/>
              <w:spacing w:line="360" w:lineRule="auto"/>
              <w:jc w:val="center"/>
              <w:rPr>
                <w:rFonts w:ascii="仿宋" w:hAnsi="仿宋" w:eastAsia="仿宋" w:cs="仿宋"/>
                <w:color w:val="auto"/>
                <w:szCs w:val="21"/>
                <w:highlight w:val="none"/>
              </w:rPr>
            </w:pPr>
          </w:p>
        </w:tc>
        <w:tc>
          <w:tcPr>
            <w:tcW w:w="1557" w:type="dxa"/>
            <w:noWrap/>
          </w:tcPr>
          <w:p w14:paraId="124B24E7">
            <w:pPr>
              <w:pStyle w:val="30"/>
              <w:spacing w:line="360" w:lineRule="auto"/>
              <w:jc w:val="center"/>
              <w:rPr>
                <w:rFonts w:ascii="仿宋" w:hAnsi="仿宋" w:eastAsia="仿宋" w:cs="仿宋"/>
                <w:color w:val="auto"/>
                <w:szCs w:val="21"/>
                <w:highlight w:val="none"/>
              </w:rPr>
            </w:pPr>
          </w:p>
        </w:tc>
        <w:tc>
          <w:tcPr>
            <w:tcW w:w="1558" w:type="dxa"/>
            <w:noWrap/>
          </w:tcPr>
          <w:p w14:paraId="000696EA">
            <w:pPr>
              <w:pStyle w:val="30"/>
              <w:spacing w:line="360" w:lineRule="auto"/>
              <w:jc w:val="center"/>
              <w:rPr>
                <w:rFonts w:ascii="仿宋" w:hAnsi="仿宋" w:eastAsia="仿宋" w:cs="仿宋"/>
                <w:color w:val="auto"/>
                <w:szCs w:val="21"/>
                <w:highlight w:val="none"/>
              </w:rPr>
            </w:pPr>
          </w:p>
        </w:tc>
        <w:tc>
          <w:tcPr>
            <w:tcW w:w="1558" w:type="dxa"/>
            <w:noWrap/>
          </w:tcPr>
          <w:p w14:paraId="67A328C3">
            <w:pPr>
              <w:pStyle w:val="30"/>
              <w:spacing w:line="360" w:lineRule="auto"/>
              <w:jc w:val="center"/>
              <w:rPr>
                <w:rFonts w:ascii="仿宋" w:hAnsi="仿宋" w:eastAsia="仿宋" w:cs="仿宋"/>
                <w:color w:val="auto"/>
                <w:szCs w:val="21"/>
                <w:highlight w:val="none"/>
              </w:rPr>
            </w:pPr>
          </w:p>
        </w:tc>
      </w:tr>
      <w:tr w14:paraId="4EAD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tcPr>
          <w:p w14:paraId="61899454">
            <w:pPr>
              <w:pStyle w:val="30"/>
              <w:spacing w:line="360" w:lineRule="auto"/>
              <w:jc w:val="center"/>
              <w:rPr>
                <w:rFonts w:ascii="仿宋" w:hAnsi="仿宋" w:eastAsia="仿宋" w:cs="仿宋"/>
                <w:color w:val="auto"/>
                <w:szCs w:val="21"/>
                <w:highlight w:val="none"/>
              </w:rPr>
            </w:pPr>
          </w:p>
        </w:tc>
        <w:tc>
          <w:tcPr>
            <w:tcW w:w="1557" w:type="dxa"/>
            <w:noWrap/>
          </w:tcPr>
          <w:p w14:paraId="495E82CF">
            <w:pPr>
              <w:pStyle w:val="30"/>
              <w:spacing w:line="360" w:lineRule="auto"/>
              <w:jc w:val="center"/>
              <w:rPr>
                <w:rFonts w:ascii="仿宋" w:hAnsi="仿宋" w:eastAsia="仿宋" w:cs="仿宋"/>
                <w:color w:val="auto"/>
                <w:szCs w:val="21"/>
                <w:highlight w:val="none"/>
              </w:rPr>
            </w:pPr>
          </w:p>
        </w:tc>
        <w:tc>
          <w:tcPr>
            <w:tcW w:w="1557" w:type="dxa"/>
            <w:noWrap/>
          </w:tcPr>
          <w:p w14:paraId="45103C06">
            <w:pPr>
              <w:pStyle w:val="30"/>
              <w:spacing w:line="360" w:lineRule="auto"/>
              <w:jc w:val="center"/>
              <w:rPr>
                <w:rFonts w:ascii="仿宋" w:hAnsi="仿宋" w:eastAsia="仿宋" w:cs="仿宋"/>
                <w:color w:val="auto"/>
                <w:szCs w:val="21"/>
                <w:highlight w:val="none"/>
              </w:rPr>
            </w:pPr>
          </w:p>
        </w:tc>
        <w:tc>
          <w:tcPr>
            <w:tcW w:w="1557" w:type="dxa"/>
            <w:noWrap/>
          </w:tcPr>
          <w:p w14:paraId="4CD0DB95">
            <w:pPr>
              <w:pStyle w:val="30"/>
              <w:spacing w:line="360" w:lineRule="auto"/>
              <w:jc w:val="center"/>
              <w:rPr>
                <w:rFonts w:ascii="仿宋" w:hAnsi="仿宋" w:eastAsia="仿宋" w:cs="仿宋"/>
                <w:color w:val="auto"/>
                <w:szCs w:val="21"/>
                <w:highlight w:val="none"/>
              </w:rPr>
            </w:pPr>
          </w:p>
        </w:tc>
        <w:tc>
          <w:tcPr>
            <w:tcW w:w="1558" w:type="dxa"/>
            <w:noWrap/>
          </w:tcPr>
          <w:p w14:paraId="16DAB2BB">
            <w:pPr>
              <w:pStyle w:val="30"/>
              <w:spacing w:line="360" w:lineRule="auto"/>
              <w:jc w:val="center"/>
              <w:rPr>
                <w:rFonts w:ascii="仿宋" w:hAnsi="仿宋" w:eastAsia="仿宋" w:cs="仿宋"/>
                <w:color w:val="auto"/>
                <w:szCs w:val="21"/>
                <w:highlight w:val="none"/>
              </w:rPr>
            </w:pPr>
          </w:p>
        </w:tc>
        <w:tc>
          <w:tcPr>
            <w:tcW w:w="1558" w:type="dxa"/>
            <w:noWrap/>
          </w:tcPr>
          <w:p w14:paraId="316DA182">
            <w:pPr>
              <w:pStyle w:val="30"/>
              <w:spacing w:line="360" w:lineRule="auto"/>
              <w:jc w:val="center"/>
              <w:rPr>
                <w:rFonts w:ascii="仿宋" w:hAnsi="仿宋" w:eastAsia="仿宋" w:cs="仿宋"/>
                <w:color w:val="auto"/>
                <w:szCs w:val="21"/>
                <w:highlight w:val="none"/>
              </w:rPr>
            </w:pPr>
          </w:p>
        </w:tc>
      </w:tr>
      <w:tr w14:paraId="77FA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noWrap/>
          </w:tcPr>
          <w:p w14:paraId="111CE7EE">
            <w:pPr>
              <w:pStyle w:val="30"/>
              <w:spacing w:line="360" w:lineRule="auto"/>
              <w:jc w:val="center"/>
              <w:rPr>
                <w:rFonts w:ascii="仿宋" w:hAnsi="仿宋" w:eastAsia="仿宋" w:cs="仿宋"/>
                <w:color w:val="auto"/>
                <w:szCs w:val="21"/>
                <w:highlight w:val="none"/>
              </w:rPr>
            </w:pPr>
          </w:p>
        </w:tc>
        <w:tc>
          <w:tcPr>
            <w:tcW w:w="1557" w:type="dxa"/>
            <w:noWrap/>
          </w:tcPr>
          <w:p w14:paraId="1ED09D87">
            <w:pPr>
              <w:pStyle w:val="30"/>
              <w:spacing w:line="360" w:lineRule="auto"/>
              <w:jc w:val="center"/>
              <w:rPr>
                <w:rFonts w:ascii="仿宋" w:hAnsi="仿宋" w:eastAsia="仿宋" w:cs="仿宋"/>
                <w:color w:val="auto"/>
                <w:szCs w:val="21"/>
                <w:highlight w:val="none"/>
              </w:rPr>
            </w:pPr>
          </w:p>
        </w:tc>
        <w:tc>
          <w:tcPr>
            <w:tcW w:w="1557" w:type="dxa"/>
            <w:noWrap/>
          </w:tcPr>
          <w:p w14:paraId="263134F3">
            <w:pPr>
              <w:pStyle w:val="30"/>
              <w:spacing w:line="360" w:lineRule="auto"/>
              <w:jc w:val="center"/>
              <w:rPr>
                <w:rFonts w:ascii="仿宋" w:hAnsi="仿宋" w:eastAsia="仿宋" w:cs="仿宋"/>
                <w:color w:val="auto"/>
                <w:szCs w:val="21"/>
                <w:highlight w:val="none"/>
              </w:rPr>
            </w:pPr>
          </w:p>
        </w:tc>
        <w:tc>
          <w:tcPr>
            <w:tcW w:w="1557" w:type="dxa"/>
            <w:noWrap/>
          </w:tcPr>
          <w:p w14:paraId="13C3B12E">
            <w:pPr>
              <w:pStyle w:val="30"/>
              <w:spacing w:line="360" w:lineRule="auto"/>
              <w:jc w:val="center"/>
              <w:rPr>
                <w:rFonts w:ascii="仿宋" w:hAnsi="仿宋" w:eastAsia="仿宋" w:cs="仿宋"/>
                <w:color w:val="auto"/>
                <w:szCs w:val="21"/>
                <w:highlight w:val="none"/>
              </w:rPr>
            </w:pPr>
          </w:p>
        </w:tc>
        <w:tc>
          <w:tcPr>
            <w:tcW w:w="1558" w:type="dxa"/>
            <w:noWrap/>
          </w:tcPr>
          <w:p w14:paraId="2B8ED7B2">
            <w:pPr>
              <w:pStyle w:val="30"/>
              <w:spacing w:line="360" w:lineRule="auto"/>
              <w:jc w:val="center"/>
              <w:rPr>
                <w:rFonts w:ascii="仿宋" w:hAnsi="仿宋" w:eastAsia="仿宋" w:cs="仿宋"/>
                <w:color w:val="auto"/>
                <w:szCs w:val="21"/>
                <w:highlight w:val="none"/>
              </w:rPr>
            </w:pPr>
          </w:p>
        </w:tc>
        <w:tc>
          <w:tcPr>
            <w:tcW w:w="1558" w:type="dxa"/>
            <w:noWrap/>
          </w:tcPr>
          <w:p w14:paraId="577E2199">
            <w:pPr>
              <w:pStyle w:val="30"/>
              <w:spacing w:line="360" w:lineRule="auto"/>
              <w:jc w:val="center"/>
              <w:rPr>
                <w:rFonts w:ascii="仿宋" w:hAnsi="仿宋" w:eastAsia="仿宋" w:cs="仿宋"/>
                <w:color w:val="auto"/>
                <w:szCs w:val="21"/>
                <w:highlight w:val="none"/>
              </w:rPr>
            </w:pPr>
          </w:p>
        </w:tc>
      </w:tr>
    </w:tbl>
    <w:p w14:paraId="6E6D5F91">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024AFA5E">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附件4：</w:t>
      </w:r>
    </w:p>
    <w:p w14:paraId="47E94ECC">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承包人用于本工程施工的机械设备表</w:t>
      </w:r>
    </w:p>
    <w:p w14:paraId="5E58FC25">
      <w:pPr>
        <w:pStyle w:val="30"/>
        <w:spacing w:line="360" w:lineRule="auto"/>
        <w:jc w:val="center"/>
        <w:rPr>
          <w:rFonts w:ascii="仿宋" w:hAnsi="仿宋" w:eastAsia="仿宋" w:cs="仿宋"/>
          <w:color w:val="auto"/>
          <w:sz w:val="30"/>
          <w:szCs w:val="30"/>
          <w:highlight w:val="none"/>
        </w:rPr>
      </w:pPr>
    </w:p>
    <w:p w14:paraId="2847107C">
      <w:pPr>
        <w:pStyle w:val="30"/>
        <w:spacing w:line="360" w:lineRule="auto"/>
        <w:rPr>
          <w:rFonts w:ascii="仿宋" w:hAnsi="仿宋" w:eastAsia="仿宋" w:cs="仿宋"/>
          <w:color w:val="auto"/>
          <w:sz w:val="30"/>
          <w:szCs w:val="30"/>
          <w:highlight w:val="none"/>
        </w:rPr>
      </w:pPr>
    </w:p>
    <w:p w14:paraId="1253BEA4">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00116B3E">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附件5：</w:t>
      </w:r>
    </w:p>
    <w:p w14:paraId="3270B55A">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承包人主要施工管理人员表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417"/>
        <w:gridCol w:w="2268"/>
        <w:gridCol w:w="2126"/>
        <w:gridCol w:w="1978"/>
      </w:tblGrid>
      <w:tr w14:paraId="49F8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noWrap/>
            <w:vAlign w:val="center"/>
          </w:tcPr>
          <w:p w14:paraId="11CBA45B">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417" w:type="dxa"/>
            <w:noWrap/>
            <w:vAlign w:val="center"/>
          </w:tcPr>
          <w:p w14:paraId="53986459">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2268" w:type="dxa"/>
            <w:noWrap/>
            <w:vAlign w:val="center"/>
          </w:tcPr>
          <w:p w14:paraId="315B5C04">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2126" w:type="dxa"/>
            <w:noWrap/>
            <w:vAlign w:val="center"/>
          </w:tcPr>
          <w:p w14:paraId="37D5ECDB">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职称</w:t>
            </w:r>
          </w:p>
        </w:tc>
        <w:tc>
          <w:tcPr>
            <w:tcW w:w="1978" w:type="dxa"/>
            <w:noWrap/>
            <w:vAlign w:val="center"/>
          </w:tcPr>
          <w:p w14:paraId="4ECB5B9D">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计划进场时间</w:t>
            </w:r>
          </w:p>
        </w:tc>
      </w:tr>
      <w:tr w14:paraId="4490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noWrap/>
            <w:vAlign w:val="center"/>
          </w:tcPr>
          <w:p w14:paraId="7D2D9252">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项目经理</w:t>
            </w:r>
          </w:p>
        </w:tc>
        <w:tc>
          <w:tcPr>
            <w:tcW w:w="1417" w:type="dxa"/>
            <w:noWrap/>
            <w:vAlign w:val="center"/>
          </w:tcPr>
          <w:p w14:paraId="6830349D">
            <w:pPr>
              <w:pStyle w:val="30"/>
              <w:spacing w:line="360" w:lineRule="auto"/>
              <w:jc w:val="center"/>
              <w:rPr>
                <w:rFonts w:ascii="仿宋" w:hAnsi="仿宋" w:eastAsia="仿宋" w:cs="仿宋"/>
                <w:color w:val="auto"/>
                <w:szCs w:val="21"/>
                <w:highlight w:val="none"/>
              </w:rPr>
            </w:pPr>
          </w:p>
        </w:tc>
        <w:tc>
          <w:tcPr>
            <w:tcW w:w="2268" w:type="dxa"/>
            <w:noWrap/>
            <w:vAlign w:val="center"/>
          </w:tcPr>
          <w:p w14:paraId="44C42AB3">
            <w:pPr>
              <w:pStyle w:val="30"/>
              <w:spacing w:line="360" w:lineRule="auto"/>
              <w:jc w:val="center"/>
              <w:rPr>
                <w:rFonts w:ascii="仿宋" w:hAnsi="仿宋" w:eastAsia="仿宋" w:cs="仿宋"/>
                <w:color w:val="auto"/>
                <w:szCs w:val="21"/>
                <w:highlight w:val="none"/>
              </w:rPr>
            </w:pPr>
          </w:p>
        </w:tc>
        <w:tc>
          <w:tcPr>
            <w:tcW w:w="2126" w:type="dxa"/>
            <w:noWrap/>
            <w:vAlign w:val="center"/>
          </w:tcPr>
          <w:p w14:paraId="3DC5ABC4">
            <w:pPr>
              <w:pStyle w:val="30"/>
              <w:spacing w:line="360" w:lineRule="auto"/>
              <w:jc w:val="center"/>
              <w:rPr>
                <w:rFonts w:ascii="仿宋" w:hAnsi="仿宋" w:eastAsia="仿宋" w:cs="仿宋"/>
                <w:color w:val="auto"/>
                <w:szCs w:val="21"/>
                <w:highlight w:val="none"/>
              </w:rPr>
            </w:pPr>
          </w:p>
        </w:tc>
        <w:tc>
          <w:tcPr>
            <w:tcW w:w="1978" w:type="dxa"/>
            <w:noWrap/>
            <w:vAlign w:val="center"/>
          </w:tcPr>
          <w:p w14:paraId="6C71886E">
            <w:pPr>
              <w:pStyle w:val="30"/>
              <w:spacing w:line="360" w:lineRule="auto"/>
              <w:jc w:val="center"/>
              <w:rPr>
                <w:rFonts w:ascii="仿宋" w:hAnsi="仿宋" w:eastAsia="仿宋" w:cs="仿宋"/>
                <w:color w:val="auto"/>
                <w:szCs w:val="21"/>
                <w:highlight w:val="none"/>
              </w:rPr>
            </w:pPr>
          </w:p>
        </w:tc>
      </w:tr>
      <w:tr w14:paraId="31CD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noWrap/>
            <w:vAlign w:val="center"/>
          </w:tcPr>
          <w:p w14:paraId="1A0D55AF">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项目副经理</w:t>
            </w:r>
          </w:p>
        </w:tc>
        <w:tc>
          <w:tcPr>
            <w:tcW w:w="1417" w:type="dxa"/>
            <w:noWrap/>
            <w:vAlign w:val="center"/>
          </w:tcPr>
          <w:p w14:paraId="4D214626">
            <w:pPr>
              <w:pStyle w:val="30"/>
              <w:spacing w:line="360" w:lineRule="auto"/>
              <w:jc w:val="center"/>
              <w:rPr>
                <w:rFonts w:ascii="仿宋" w:hAnsi="仿宋" w:eastAsia="仿宋" w:cs="仿宋"/>
                <w:color w:val="auto"/>
                <w:szCs w:val="21"/>
                <w:highlight w:val="none"/>
              </w:rPr>
            </w:pPr>
          </w:p>
        </w:tc>
        <w:tc>
          <w:tcPr>
            <w:tcW w:w="2268" w:type="dxa"/>
            <w:noWrap/>
            <w:vAlign w:val="center"/>
          </w:tcPr>
          <w:p w14:paraId="3AE0B6AC">
            <w:pPr>
              <w:pStyle w:val="30"/>
              <w:spacing w:line="360" w:lineRule="auto"/>
              <w:jc w:val="center"/>
              <w:rPr>
                <w:rFonts w:ascii="仿宋" w:hAnsi="仿宋" w:eastAsia="仿宋" w:cs="仿宋"/>
                <w:color w:val="auto"/>
                <w:szCs w:val="21"/>
                <w:highlight w:val="none"/>
              </w:rPr>
            </w:pPr>
          </w:p>
        </w:tc>
        <w:tc>
          <w:tcPr>
            <w:tcW w:w="2126" w:type="dxa"/>
            <w:noWrap/>
            <w:vAlign w:val="center"/>
          </w:tcPr>
          <w:p w14:paraId="67BFCCEE">
            <w:pPr>
              <w:pStyle w:val="30"/>
              <w:spacing w:line="360" w:lineRule="auto"/>
              <w:jc w:val="center"/>
              <w:rPr>
                <w:rFonts w:ascii="仿宋" w:hAnsi="仿宋" w:eastAsia="仿宋" w:cs="仿宋"/>
                <w:color w:val="auto"/>
                <w:szCs w:val="21"/>
                <w:highlight w:val="none"/>
              </w:rPr>
            </w:pPr>
          </w:p>
        </w:tc>
        <w:tc>
          <w:tcPr>
            <w:tcW w:w="1978" w:type="dxa"/>
            <w:noWrap/>
            <w:vAlign w:val="center"/>
          </w:tcPr>
          <w:p w14:paraId="7644B154">
            <w:pPr>
              <w:pStyle w:val="30"/>
              <w:spacing w:line="360" w:lineRule="auto"/>
              <w:jc w:val="center"/>
              <w:rPr>
                <w:rFonts w:ascii="仿宋" w:hAnsi="仿宋" w:eastAsia="仿宋" w:cs="仿宋"/>
                <w:color w:val="auto"/>
                <w:szCs w:val="21"/>
                <w:highlight w:val="none"/>
              </w:rPr>
            </w:pPr>
          </w:p>
        </w:tc>
      </w:tr>
      <w:tr w14:paraId="6C60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noWrap/>
            <w:vAlign w:val="center"/>
          </w:tcPr>
          <w:p w14:paraId="2C4EE53B">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技术负责人</w:t>
            </w:r>
          </w:p>
        </w:tc>
        <w:tc>
          <w:tcPr>
            <w:tcW w:w="1417" w:type="dxa"/>
            <w:noWrap/>
            <w:vAlign w:val="center"/>
          </w:tcPr>
          <w:p w14:paraId="7A1B6733">
            <w:pPr>
              <w:pStyle w:val="30"/>
              <w:spacing w:line="360" w:lineRule="auto"/>
              <w:jc w:val="center"/>
              <w:rPr>
                <w:rFonts w:ascii="仿宋" w:hAnsi="仿宋" w:eastAsia="仿宋" w:cs="仿宋"/>
                <w:color w:val="auto"/>
                <w:szCs w:val="21"/>
                <w:highlight w:val="none"/>
              </w:rPr>
            </w:pPr>
          </w:p>
        </w:tc>
        <w:tc>
          <w:tcPr>
            <w:tcW w:w="2268" w:type="dxa"/>
            <w:noWrap/>
            <w:vAlign w:val="center"/>
          </w:tcPr>
          <w:p w14:paraId="0417C0E6">
            <w:pPr>
              <w:pStyle w:val="30"/>
              <w:spacing w:line="360" w:lineRule="auto"/>
              <w:jc w:val="center"/>
              <w:rPr>
                <w:rFonts w:ascii="仿宋" w:hAnsi="仿宋" w:eastAsia="仿宋" w:cs="仿宋"/>
                <w:color w:val="auto"/>
                <w:szCs w:val="21"/>
                <w:highlight w:val="none"/>
              </w:rPr>
            </w:pPr>
          </w:p>
        </w:tc>
        <w:tc>
          <w:tcPr>
            <w:tcW w:w="2126" w:type="dxa"/>
            <w:noWrap/>
            <w:vAlign w:val="center"/>
          </w:tcPr>
          <w:p w14:paraId="4617FBCC">
            <w:pPr>
              <w:pStyle w:val="30"/>
              <w:spacing w:line="360" w:lineRule="auto"/>
              <w:jc w:val="center"/>
              <w:rPr>
                <w:rFonts w:ascii="仿宋" w:hAnsi="仿宋" w:eastAsia="仿宋" w:cs="仿宋"/>
                <w:color w:val="auto"/>
                <w:szCs w:val="21"/>
                <w:highlight w:val="none"/>
              </w:rPr>
            </w:pPr>
          </w:p>
        </w:tc>
        <w:tc>
          <w:tcPr>
            <w:tcW w:w="1978" w:type="dxa"/>
            <w:noWrap/>
            <w:vAlign w:val="center"/>
          </w:tcPr>
          <w:p w14:paraId="18C8D5B7">
            <w:pPr>
              <w:pStyle w:val="30"/>
              <w:spacing w:line="360" w:lineRule="auto"/>
              <w:jc w:val="center"/>
              <w:rPr>
                <w:rFonts w:ascii="仿宋" w:hAnsi="仿宋" w:eastAsia="仿宋" w:cs="仿宋"/>
                <w:color w:val="auto"/>
                <w:szCs w:val="21"/>
                <w:highlight w:val="none"/>
              </w:rPr>
            </w:pPr>
          </w:p>
        </w:tc>
      </w:tr>
      <w:tr w14:paraId="3E00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noWrap/>
            <w:vAlign w:val="center"/>
          </w:tcPr>
          <w:p w14:paraId="5CA0446E">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造价管理</w:t>
            </w:r>
          </w:p>
        </w:tc>
        <w:tc>
          <w:tcPr>
            <w:tcW w:w="1417" w:type="dxa"/>
            <w:noWrap/>
            <w:vAlign w:val="center"/>
          </w:tcPr>
          <w:p w14:paraId="46439A2F">
            <w:pPr>
              <w:pStyle w:val="30"/>
              <w:spacing w:line="360" w:lineRule="auto"/>
              <w:jc w:val="center"/>
              <w:rPr>
                <w:rFonts w:ascii="仿宋" w:hAnsi="仿宋" w:eastAsia="仿宋" w:cs="仿宋"/>
                <w:color w:val="auto"/>
                <w:szCs w:val="21"/>
                <w:highlight w:val="none"/>
              </w:rPr>
            </w:pPr>
          </w:p>
        </w:tc>
        <w:tc>
          <w:tcPr>
            <w:tcW w:w="2268" w:type="dxa"/>
            <w:noWrap/>
            <w:vAlign w:val="center"/>
          </w:tcPr>
          <w:p w14:paraId="78AF058D">
            <w:pPr>
              <w:pStyle w:val="30"/>
              <w:spacing w:line="360" w:lineRule="auto"/>
              <w:jc w:val="center"/>
              <w:rPr>
                <w:rFonts w:ascii="仿宋" w:hAnsi="仿宋" w:eastAsia="仿宋" w:cs="仿宋"/>
                <w:color w:val="auto"/>
                <w:szCs w:val="21"/>
                <w:highlight w:val="none"/>
              </w:rPr>
            </w:pPr>
          </w:p>
        </w:tc>
        <w:tc>
          <w:tcPr>
            <w:tcW w:w="2126" w:type="dxa"/>
            <w:noWrap/>
            <w:vAlign w:val="center"/>
          </w:tcPr>
          <w:p w14:paraId="567C06E7">
            <w:pPr>
              <w:pStyle w:val="30"/>
              <w:spacing w:line="360" w:lineRule="auto"/>
              <w:jc w:val="center"/>
              <w:rPr>
                <w:rFonts w:ascii="仿宋" w:hAnsi="仿宋" w:eastAsia="仿宋" w:cs="仿宋"/>
                <w:color w:val="auto"/>
                <w:szCs w:val="21"/>
                <w:highlight w:val="none"/>
              </w:rPr>
            </w:pPr>
          </w:p>
        </w:tc>
        <w:tc>
          <w:tcPr>
            <w:tcW w:w="1978" w:type="dxa"/>
            <w:noWrap/>
            <w:vAlign w:val="center"/>
          </w:tcPr>
          <w:p w14:paraId="07AA9944">
            <w:pPr>
              <w:pStyle w:val="30"/>
              <w:spacing w:line="360" w:lineRule="auto"/>
              <w:jc w:val="center"/>
              <w:rPr>
                <w:rFonts w:ascii="仿宋" w:hAnsi="仿宋" w:eastAsia="仿宋" w:cs="仿宋"/>
                <w:color w:val="auto"/>
                <w:szCs w:val="21"/>
                <w:highlight w:val="none"/>
              </w:rPr>
            </w:pPr>
          </w:p>
        </w:tc>
      </w:tr>
      <w:tr w14:paraId="5772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37425A2E">
            <w:pPr>
              <w:pStyle w:val="30"/>
              <w:spacing w:line="360" w:lineRule="auto"/>
              <w:jc w:val="center"/>
              <w:rPr>
                <w:rFonts w:ascii="仿宋" w:hAnsi="仿宋" w:eastAsia="仿宋" w:cs="仿宋"/>
                <w:color w:val="auto"/>
                <w:szCs w:val="21"/>
                <w:highlight w:val="none"/>
              </w:rPr>
            </w:pPr>
          </w:p>
        </w:tc>
        <w:tc>
          <w:tcPr>
            <w:tcW w:w="1417" w:type="dxa"/>
            <w:noWrap/>
            <w:vAlign w:val="center"/>
          </w:tcPr>
          <w:p w14:paraId="1358F083">
            <w:pPr>
              <w:pStyle w:val="30"/>
              <w:spacing w:line="360" w:lineRule="auto"/>
              <w:jc w:val="center"/>
              <w:rPr>
                <w:rFonts w:ascii="仿宋" w:hAnsi="仿宋" w:eastAsia="仿宋" w:cs="仿宋"/>
                <w:color w:val="auto"/>
                <w:szCs w:val="21"/>
                <w:highlight w:val="none"/>
              </w:rPr>
            </w:pPr>
          </w:p>
        </w:tc>
        <w:tc>
          <w:tcPr>
            <w:tcW w:w="2268" w:type="dxa"/>
            <w:noWrap/>
            <w:vAlign w:val="center"/>
          </w:tcPr>
          <w:p w14:paraId="1C06AA3C">
            <w:pPr>
              <w:pStyle w:val="30"/>
              <w:spacing w:line="360" w:lineRule="auto"/>
              <w:jc w:val="center"/>
              <w:rPr>
                <w:rFonts w:ascii="仿宋" w:hAnsi="仿宋" w:eastAsia="仿宋" w:cs="仿宋"/>
                <w:color w:val="auto"/>
                <w:szCs w:val="21"/>
                <w:highlight w:val="none"/>
              </w:rPr>
            </w:pPr>
          </w:p>
        </w:tc>
        <w:tc>
          <w:tcPr>
            <w:tcW w:w="2126" w:type="dxa"/>
            <w:noWrap/>
            <w:vAlign w:val="center"/>
          </w:tcPr>
          <w:p w14:paraId="12172B8E">
            <w:pPr>
              <w:pStyle w:val="30"/>
              <w:spacing w:line="360" w:lineRule="auto"/>
              <w:jc w:val="center"/>
              <w:rPr>
                <w:rFonts w:ascii="仿宋" w:hAnsi="仿宋" w:eastAsia="仿宋" w:cs="仿宋"/>
                <w:color w:val="auto"/>
                <w:szCs w:val="21"/>
                <w:highlight w:val="none"/>
              </w:rPr>
            </w:pPr>
          </w:p>
        </w:tc>
        <w:tc>
          <w:tcPr>
            <w:tcW w:w="1978" w:type="dxa"/>
            <w:noWrap/>
            <w:vAlign w:val="center"/>
          </w:tcPr>
          <w:p w14:paraId="2057606C">
            <w:pPr>
              <w:pStyle w:val="30"/>
              <w:spacing w:line="360" w:lineRule="auto"/>
              <w:jc w:val="center"/>
              <w:rPr>
                <w:rFonts w:ascii="仿宋" w:hAnsi="仿宋" w:eastAsia="仿宋" w:cs="仿宋"/>
                <w:color w:val="auto"/>
                <w:szCs w:val="21"/>
                <w:highlight w:val="none"/>
              </w:rPr>
            </w:pPr>
          </w:p>
        </w:tc>
      </w:tr>
      <w:tr w14:paraId="3574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noWrap/>
            <w:vAlign w:val="center"/>
          </w:tcPr>
          <w:p w14:paraId="123C054B">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质量管理</w:t>
            </w:r>
          </w:p>
        </w:tc>
        <w:tc>
          <w:tcPr>
            <w:tcW w:w="1417" w:type="dxa"/>
            <w:noWrap/>
            <w:vAlign w:val="center"/>
          </w:tcPr>
          <w:p w14:paraId="292CFCEB">
            <w:pPr>
              <w:pStyle w:val="30"/>
              <w:spacing w:line="360" w:lineRule="auto"/>
              <w:jc w:val="center"/>
              <w:rPr>
                <w:rFonts w:ascii="仿宋" w:hAnsi="仿宋" w:eastAsia="仿宋" w:cs="仿宋"/>
                <w:color w:val="auto"/>
                <w:szCs w:val="21"/>
                <w:highlight w:val="none"/>
              </w:rPr>
            </w:pPr>
          </w:p>
        </w:tc>
        <w:tc>
          <w:tcPr>
            <w:tcW w:w="2268" w:type="dxa"/>
            <w:noWrap/>
            <w:vAlign w:val="center"/>
          </w:tcPr>
          <w:p w14:paraId="68888280">
            <w:pPr>
              <w:pStyle w:val="30"/>
              <w:spacing w:line="360" w:lineRule="auto"/>
              <w:jc w:val="center"/>
              <w:rPr>
                <w:rFonts w:ascii="仿宋" w:hAnsi="仿宋" w:eastAsia="仿宋" w:cs="仿宋"/>
                <w:color w:val="auto"/>
                <w:szCs w:val="21"/>
                <w:highlight w:val="none"/>
              </w:rPr>
            </w:pPr>
          </w:p>
        </w:tc>
        <w:tc>
          <w:tcPr>
            <w:tcW w:w="2126" w:type="dxa"/>
            <w:noWrap/>
            <w:vAlign w:val="center"/>
          </w:tcPr>
          <w:p w14:paraId="79153BDA">
            <w:pPr>
              <w:pStyle w:val="30"/>
              <w:spacing w:line="360" w:lineRule="auto"/>
              <w:jc w:val="center"/>
              <w:rPr>
                <w:rFonts w:ascii="仿宋" w:hAnsi="仿宋" w:eastAsia="仿宋" w:cs="仿宋"/>
                <w:color w:val="auto"/>
                <w:szCs w:val="21"/>
                <w:highlight w:val="none"/>
              </w:rPr>
            </w:pPr>
          </w:p>
        </w:tc>
        <w:tc>
          <w:tcPr>
            <w:tcW w:w="1978" w:type="dxa"/>
            <w:noWrap/>
            <w:vAlign w:val="center"/>
          </w:tcPr>
          <w:p w14:paraId="350EB200">
            <w:pPr>
              <w:pStyle w:val="30"/>
              <w:spacing w:line="360" w:lineRule="auto"/>
              <w:jc w:val="center"/>
              <w:rPr>
                <w:rFonts w:ascii="仿宋" w:hAnsi="仿宋" w:eastAsia="仿宋" w:cs="仿宋"/>
                <w:color w:val="auto"/>
                <w:szCs w:val="21"/>
                <w:highlight w:val="none"/>
              </w:rPr>
            </w:pPr>
          </w:p>
        </w:tc>
      </w:tr>
      <w:tr w14:paraId="3244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58D1A2E2">
            <w:pPr>
              <w:pStyle w:val="30"/>
              <w:spacing w:line="360" w:lineRule="auto"/>
              <w:jc w:val="center"/>
              <w:rPr>
                <w:rFonts w:ascii="仿宋" w:hAnsi="仿宋" w:eastAsia="仿宋" w:cs="仿宋"/>
                <w:color w:val="auto"/>
                <w:szCs w:val="21"/>
                <w:highlight w:val="none"/>
              </w:rPr>
            </w:pPr>
          </w:p>
        </w:tc>
        <w:tc>
          <w:tcPr>
            <w:tcW w:w="1417" w:type="dxa"/>
            <w:noWrap/>
            <w:vAlign w:val="center"/>
          </w:tcPr>
          <w:p w14:paraId="7A1DFB46">
            <w:pPr>
              <w:pStyle w:val="30"/>
              <w:spacing w:line="360" w:lineRule="auto"/>
              <w:jc w:val="center"/>
              <w:rPr>
                <w:rFonts w:ascii="仿宋" w:hAnsi="仿宋" w:eastAsia="仿宋" w:cs="仿宋"/>
                <w:color w:val="auto"/>
                <w:szCs w:val="21"/>
                <w:highlight w:val="none"/>
              </w:rPr>
            </w:pPr>
          </w:p>
        </w:tc>
        <w:tc>
          <w:tcPr>
            <w:tcW w:w="2268" w:type="dxa"/>
            <w:noWrap/>
            <w:vAlign w:val="center"/>
          </w:tcPr>
          <w:p w14:paraId="3FB192DE">
            <w:pPr>
              <w:pStyle w:val="30"/>
              <w:spacing w:line="360" w:lineRule="auto"/>
              <w:jc w:val="center"/>
              <w:rPr>
                <w:rFonts w:ascii="仿宋" w:hAnsi="仿宋" w:eastAsia="仿宋" w:cs="仿宋"/>
                <w:color w:val="auto"/>
                <w:szCs w:val="21"/>
                <w:highlight w:val="none"/>
              </w:rPr>
            </w:pPr>
          </w:p>
        </w:tc>
        <w:tc>
          <w:tcPr>
            <w:tcW w:w="2126" w:type="dxa"/>
            <w:noWrap/>
            <w:vAlign w:val="center"/>
          </w:tcPr>
          <w:p w14:paraId="1AD764E4">
            <w:pPr>
              <w:pStyle w:val="30"/>
              <w:spacing w:line="360" w:lineRule="auto"/>
              <w:jc w:val="center"/>
              <w:rPr>
                <w:rFonts w:ascii="仿宋" w:hAnsi="仿宋" w:eastAsia="仿宋" w:cs="仿宋"/>
                <w:color w:val="auto"/>
                <w:szCs w:val="21"/>
                <w:highlight w:val="none"/>
              </w:rPr>
            </w:pPr>
          </w:p>
        </w:tc>
        <w:tc>
          <w:tcPr>
            <w:tcW w:w="1978" w:type="dxa"/>
            <w:noWrap/>
            <w:vAlign w:val="center"/>
          </w:tcPr>
          <w:p w14:paraId="1DD8C246">
            <w:pPr>
              <w:pStyle w:val="30"/>
              <w:spacing w:line="360" w:lineRule="auto"/>
              <w:jc w:val="center"/>
              <w:rPr>
                <w:rFonts w:ascii="仿宋" w:hAnsi="仿宋" w:eastAsia="仿宋" w:cs="仿宋"/>
                <w:color w:val="auto"/>
                <w:szCs w:val="21"/>
                <w:highlight w:val="none"/>
              </w:rPr>
            </w:pPr>
          </w:p>
        </w:tc>
      </w:tr>
      <w:tr w14:paraId="21060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065A3928">
            <w:pPr>
              <w:pStyle w:val="30"/>
              <w:spacing w:line="360" w:lineRule="auto"/>
              <w:jc w:val="center"/>
              <w:rPr>
                <w:rFonts w:ascii="仿宋" w:hAnsi="仿宋" w:eastAsia="仿宋" w:cs="仿宋"/>
                <w:color w:val="auto"/>
                <w:szCs w:val="21"/>
                <w:highlight w:val="none"/>
              </w:rPr>
            </w:pPr>
          </w:p>
        </w:tc>
        <w:tc>
          <w:tcPr>
            <w:tcW w:w="1417" w:type="dxa"/>
            <w:noWrap/>
            <w:vAlign w:val="center"/>
          </w:tcPr>
          <w:p w14:paraId="327A6C01">
            <w:pPr>
              <w:pStyle w:val="30"/>
              <w:spacing w:line="360" w:lineRule="auto"/>
              <w:jc w:val="center"/>
              <w:rPr>
                <w:rFonts w:ascii="仿宋" w:hAnsi="仿宋" w:eastAsia="仿宋" w:cs="仿宋"/>
                <w:color w:val="auto"/>
                <w:szCs w:val="21"/>
                <w:highlight w:val="none"/>
              </w:rPr>
            </w:pPr>
          </w:p>
        </w:tc>
        <w:tc>
          <w:tcPr>
            <w:tcW w:w="2268" w:type="dxa"/>
            <w:noWrap/>
            <w:vAlign w:val="center"/>
          </w:tcPr>
          <w:p w14:paraId="6FBC0452">
            <w:pPr>
              <w:pStyle w:val="30"/>
              <w:spacing w:line="360" w:lineRule="auto"/>
              <w:jc w:val="center"/>
              <w:rPr>
                <w:rFonts w:ascii="仿宋" w:hAnsi="仿宋" w:eastAsia="仿宋" w:cs="仿宋"/>
                <w:color w:val="auto"/>
                <w:szCs w:val="21"/>
                <w:highlight w:val="none"/>
              </w:rPr>
            </w:pPr>
          </w:p>
        </w:tc>
        <w:tc>
          <w:tcPr>
            <w:tcW w:w="2126" w:type="dxa"/>
            <w:noWrap/>
            <w:vAlign w:val="center"/>
          </w:tcPr>
          <w:p w14:paraId="45BDF090">
            <w:pPr>
              <w:pStyle w:val="30"/>
              <w:spacing w:line="360" w:lineRule="auto"/>
              <w:jc w:val="center"/>
              <w:rPr>
                <w:rFonts w:ascii="仿宋" w:hAnsi="仿宋" w:eastAsia="仿宋" w:cs="仿宋"/>
                <w:color w:val="auto"/>
                <w:szCs w:val="21"/>
                <w:highlight w:val="none"/>
              </w:rPr>
            </w:pPr>
          </w:p>
        </w:tc>
        <w:tc>
          <w:tcPr>
            <w:tcW w:w="1978" w:type="dxa"/>
            <w:noWrap/>
            <w:vAlign w:val="center"/>
          </w:tcPr>
          <w:p w14:paraId="6BDA5237">
            <w:pPr>
              <w:pStyle w:val="30"/>
              <w:spacing w:line="360" w:lineRule="auto"/>
              <w:jc w:val="center"/>
              <w:rPr>
                <w:rFonts w:ascii="仿宋" w:hAnsi="仿宋" w:eastAsia="仿宋" w:cs="仿宋"/>
                <w:color w:val="auto"/>
                <w:szCs w:val="21"/>
                <w:highlight w:val="none"/>
              </w:rPr>
            </w:pPr>
          </w:p>
        </w:tc>
      </w:tr>
      <w:tr w14:paraId="5437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524CA4E4">
            <w:pPr>
              <w:pStyle w:val="30"/>
              <w:spacing w:line="360" w:lineRule="auto"/>
              <w:jc w:val="center"/>
              <w:rPr>
                <w:rFonts w:ascii="仿宋" w:hAnsi="仿宋" w:eastAsia="仿宋" w:cs="仿宋"/>
                <w:color w:val="auto"/>
                <w:szCs w:val="21"/>
                <w:highlight w:val="none"/>
              </w:rPr>
            </w:pPr>
          </w:p>
        </w:tc>
        <w:tc>
          <w:tcPr>
            <w:tcW w:w="1417" w:type="dxa"/>
            <w:noWrap/>
            <w:vAlign w:val="center"/>
          </w:tcPr>
          <w:p w14:paraId="1FE24EA0">
            <w:pPr>
              <w:pStyle w:val="30"/>
              <w:spacing w:line="360" w:lineRule="auto"/>
              <w:jc w:val="center"/>
              <w:rPr>
                <w:rFonts w:ascii="仿宋" w:hAnsi="仿宋" w:eastAsia="仿宋" w:cs="仿宋"/>
                <w:color w:val="auto"/>
                <w:szCs w:val="21"/>
                <w:highlight w:val="none"/>
              </w:rPr>
            </w:pPr>
          </w:p>
        </w:tc>
        <w:tc>
          <w:tcPr>
            <w:tcW w:w="2268" w:type="dxa"/>
            <w:noWrap/>
            <w:vAlign w:val="center"/>
          </w:tcPr>
          <w:p w14:paraId="5433C511">
            <w:pPr>
              <w:pStyle w:val="30"/>
              <w:spacing w:line="360" w:lineRule="auto"/>
              <w:jc w:val="center"/>
              <w:rPr>
                <w:rFonts w:ascii="仿宋" w:hAnsi="仿宋" w:eastAsia="仿宋" w:cs="仿宋"/>
                <w:color w:val="auto"/>
                <w:szCs w:val="21"/>
                <w:highlight w:val="none"/>
              </w:rPr>
            </w:pPr>
          </w:p>
        </w:tc>
        <w:tc>
          <w:tcPr>
            <w:tcW w:w="2126" w:type="dxa"/>
            <w:noWrap/>
            <w:vAlign w:val="center"/>
          </w:tcPr>
          <w:p w14:paraId="72680848">
            <w:pPr>
              <w:pStyle w:val="30"/>
              <w:spacing w:line="360" w:lineRule="auto"/>
              <w:jc w:val="center"/>
              <w:rPr>
                <w:rFonts w:ascii="仿宋" w:hAnsi="仿宋" w:eastAsia="仿宋" w:cs="仿宋"/>
                <w:color w:val="auto"/>
                <w:szCs w:val="21"/>
                <w:highlight w:val="none"/>
              </w:rPr>
            </w:pPr>
          </w:p>
        </w:tc>
        <w:tc>
          <w:tcPr>
            <w:tcW w:w="1978" w:type="dxa"/>
            <w:noWrap/>
            <w:vAlign w:val="center"/>
          </w:tcPr>
          <w:p w14:paraId="4A384044">
            <w:pPr>
              <w:pStyle w:val="30"/>
              <w:spacing w:line="360" w:lineRule="auto"/>
              <w:jc w:val="center"/>
              <w:rPr>
                <w:rFonts w:ascii="仿宋" w:hAnsi="仿宋" w:eastAsia="仿宋" w:cs="仿宋"/>
                <w:color w:val="auto"/>
                <w:szCs w:val="21"/>
                <w:highlight w:val="none"/>
              </w:rPr>
            </w:pPr>
          </w:p>
        </w:tc>
      </w:tr>
      <w:tr w14:paraId="53EC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6A803B2D">
            <w:pPr>
              <w:pStyle w:val="30"/>
              <w:spacing w:line="360" w:lineRule="auto"/>
              <w:jc w:val="center"/>
              <w:rPr>
                <w:rFonts w:ascii="仿宋" w:hAnsi="仿宋" w:eastAsia="仿宋" w:cs="仿宋"/>
                <w:color w:val="auto"/>
                <w:szCs w:val="21"/>
                <w:highlight w:val="none"/>
              </w:rPr>
            </w:pPr>
          </w:p>
        </w:tc>
        <w:tc>
          <w:tcPr>
            <w:tcW w:w="1417" w:type="dxa"/>
            <w:noWrap/>
            <w:vAlign w:val="center"/>
          </w:tcPr>
          <w:p w14:paraId="121B2930">
            <w:pPr>
              <w:pStyle w:val="30"/>
              <w:spacing w:line="360" w:lineRule="auto"/>
              <w:jc w:val="center"/>
              <w:rPr>
                <w:rFonts w:ascii="仿宋" w:hAnsi="仿宋" w:eastAsia="仿宋" w:cs="仿宋"/>
                <w:color w:val="auto"/>
                <w:szCs w:val="21"/>
                <w:highlight w:val="none"/>
              </w:rPr>
            </w:pPr>
          </w:p>
        </w:tc>
        <w:tc>
          <w:tcPr>
            <w:tcW w:w="2268" w:type="dxa"/>
            <w:noWrap/>
            <w:vAlign w:val="center"/>
          </w:tcPr>
          <w:p w14:paraId="3C813691">
            <w:pPr>
              <w:pStyle w:val="30"/>
              <w:spacing w:line="360" w:lineRule="auto"/>
              <w:jc w:val="center"/>
              <w:rPr>
                <w:rFonts w:ascii="仿宋" w:hAnsi="仿宋" w:eastAsia="仿宋" w:cs="仿宋"/>
                <w:color w:val="auto"/>
                <w:szCs w:val="21"/>
                <w:highlight w:val="none"/>
              </w:rPr>
            </w:pPr>
          </w:p>
        </w:tc>
        <w:tc>
          <w:tcPr>
            <w:tcW w:w="2126" w:type="dxa"/>
            <w:noWrap/>
            <w:vAlign w:val="center"/>
          </w:tcPr>
          <w:p w14:paraId="554D8FBB">
            <w:pPr>
              <w:pStyle w:val="30"/>
              <w:spacing w:line="360" w:lineRule="auto"/>
              <w:jc w:val="center"/>
              <w:rPr>
                <w:rFonts w:ascii="仿宋" w:hAnsi="仿宋" w:eastAsia="仿宋" w:cs="仿宋"/>
                <w:color w:val="auto"/>
                <w:szCs w:val="21"/>
                <w:highlight w:val="none"/>
              </w:rPr>
            </w:pPr>
          </w:p>
        </w:tc>
        <w:tc>
          <w:tcPr>
            <w:tcW w:w="1978" w:type="dxa"/>
            <w:noWrap/>
            <w:vAlign w:val="center"/>
          </w:tcPr>
          <w:p w14:paraId="670B9BBF">
            <w:pPr>
              <w:pStyle w:val="30"/>
              <w:spacing w:line="360" w:lineRule="auto"/>
              <w:jc w:val="center"/>
              <w:rPr>
                <w:rFonts w:ascii="仿宋" w:hAnsi="仿宋" w:eastAsia="仿宋" w:cs="仿宋"/>
                <w:color w:val="auto"/>
                <w:szCs w:val="21"/>
                <w:highlight w:val="none"/>
              </w:rPr>
            </w:pPr>
          </w:p>
        </w:tc>
      </w:tr>
      <w:tr w14:paraId="106C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noWrap/>
            <w:vAlign w:val="center"/>
          </w:tcPr>
          <w:p w14:paraId="430C7706">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材料管理</w:t>
            </w:r>
          </w:p>
        </w:tc>
        <w:tc>
          <w:tcPr>
            <w:tcW w:w="1417" w:type="dxa"/>
            <w:noWrap/>
            <w:vAlign w:val="center"/>
          </w:tcPr>
          <w:p w14:paraId="568F3640">
            <w:pPr>
              <w:pStyle w:val="30"/>
              <w:spacing w:line="360" w:lineRule="auto"/>
              <w:jc w:val="center"/>
              <w:rPr>
                <w:rFonts w:ascii="仿宋" w:hAnsi="仿宋" w:eastAsia="仿宋" w:cs="仿宋"/>
                <w:color w:val="auto"/>
                <w:szCs w:val="21"/>
                <w:highlight w:val="none"/>
              </w:rPr>
            </w:pPr>
          </w:p>
        </w:tc>
        <w:tc>
          <w:tcPr>
            <w:tcW w:w="2268" w:type="dxa"/>
            <w:noWrap/>
            <w:vAlign w:val="center"/>
          </w:tcPr>
          <w:p w14:paraId="02EE8119">
            <w:pPr>
              <w:pStyle w:val="30"/>
              <w:spacing w:line="360" w:lineRule="auto"/>
              <w:jc w:val="center"/>
              <w:rPr>
                <w:rFonts w:ascii="仿宋" w:hAnsi="仿宋" w:eastAsia="仿宋" w:cs="仿宋"/>
                <w:color w:val="auto"/>
                <w:szCs w:val="21"/>
                <w:highlight w:val="none"/>
              </w:rPr>
            </w:pPr>
          </w:p>
        </w:tc>
        <w:tc>
          <w:tcPr>
            <w:tcW w:w="2126" w:type="dxa"/>
            <w:noWrap/>
            <w:vAlign w:val="center"/>
          </w:tcPr>
          <w:p w14:paraId="6CC31304">
            <w:pPr>
              <w:pStyle w:val="30"/>
              <w:spacing w:line="360" w:lineRule="auto"/>
              <w:jc w:val="center"/>
              <w:rPr>
                <w:rFonts w:ascii="仿宋" w:hAnsi="仿宋" w:eastAsia="仿宋" w:cs="仿宋"/>
                <w:color w:val="auto"/>
                <w:szCs w:val="21"/>
                <w:highlight w:val="none"/>
              </w:rPr>
            </w:pPr>
          </w:p>
        </w:tc>
        <w:tc>
          <w:tcPr>
            <w:tcW w:w="1978" w:type="dxa"/>
            <w:noWrap/>
            <w:vAlign w:val="center"/>
          </w:tcPr>
          <w:p w14:paraId="2488DC92">
            <w:pPr>
              <w:pStyle w:val="30"/>
              <w:spacing w:line="360" w:lineRule="auto"/>
              <w:jc w:val="center"/>
              <w:rPr>
                <w:rFonts w:ascii="仿宋" w:hAnsi="仿宋" w:eastAsia="仿宋" w:cs="仿宋"/>
                <w:color w:val="auto"/>
                <w:szCs w:val="21"/>
                <w:highlight w:val="none"/>
              </w:rPr>
            </w:pPr>
          </w:p>
        </w:tc>
      </w:tr>
      <w:tr w14:paraId="7243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5D9F991A">
            <w:pPr>
              <w:pStyle w:val="30"/>
              <w:spacing w:line="360" w:lineRule="auto"/>
              <w:jc w:val="center"/>
              <w:rPr>
                <w:rFonts w:ascii="仿宋" w:hAnsi="仿宋" w:eastAsia="仿宋" w:cs="仿宋"/>
                <w:color w:val="auto"/>
                <w:szCs w:val="21"/>
                <w:highlight w:val="none"/>
              </w:rPr>
            </w:pPr>
          </w:p>
        </w:tc>
        <w:tc>
          <w:tcPr>
            <w:tcW w:w="1417" w:type="dxa"/>
            <w:noWrap/>
            <w:vAlign w:val="center"/>
          </w:tcPr>
          <w:p w14:paraId="6D48EFF6">
            <w:pPr>
              <w:pStyle w:val="30"/>
              <w:spacing w:line="360" w:lineRule="auto"/>
              <w:jc w:val="center"/>
              <w:rPr>
                <w:rFonts w:ascii="仿宋" w:hAnsi="仿宋" w:eastAsia="仿宋" w:cs="仿宋"/>
                <w:color w:val="auto"/>
                <w:szCs w:val="21"/>
                <w:highlight w:val="none"/>
              </w:rPr>
            </w:pPr>
          </w:p>
        </w:tc>
        <w:tc>
          <w:tcPr>
            <w:tcW w:w="2268" w:type="dxa"/>
            <w:noWrap/>
            <w:vAlign w:val="center"/>
          </w:tcPr>
          <w:p w14:paraId="74040E63">
            <w:pPr>
              <w:pStyle w:val="30"/>
              <w:spacing w:line="360" w:lineRule="auto"/>
              <w:jc w:val="center"/>
              <w:rPr>
                <w:rFonts w:ascii="仿宋" w:hAnsi="仿宋" w:eastAsia="仿宋" w:cs="仿宋"/>
                <w:color w:val="auto"/>
                <w:szCs w:val="21"/>
                <w:highlight w:val="none"/>
              </w:rPr>
            </w:pPr>
          </w:p>
        </w:tc>
        <w:tc>
          <w:tcPr>
            <w:tcW w:w="2126" w:type="dxa"/>
            <w:noWrap/>
            <w:vAlign w:val="center"/>
          </w:tcPr>
          <w:p w14:paraId="47A9CD73">
            <w:pPr>
              <w:pStyle w:val="30"/>
              <w:spacing w:line="360" w:lineRule="auto"/>
              <w:jc w:val="center"/>
              <w:rPr>
                <w:rFonts w:ascii="仿宋" w:hAnsi="仿宋" w:eastAsia="仿宋" w:cs="仿宋"/>
                <w:color w:val="auto"/>
                <w:szCs w:val="21"/>
                <w:highlight w:val="none"/>
              </w:rPr>
            </w:pPr>
          </w:p>
        </w:tc>
        <w:tc>
          <w:tcPr>
            <w:tcW w:w="1978" w:type="dxa"/>
            <w:noWrap/>
            <w:vAlign w:val="center"/>
          </w:tcPr>
          <w:p w14:paraId="247692F4">
            <w:pPr>
              <w:pStyle w:val="30"/>
              <w:spacing w:line="360" w:lineRule="auto"/>
              <w:jc w:val="center"/>
              <w:rPr>
                <w:rFonts w:ascii="仿宋" w:hAnsi="仿宋" w:eastAsia="仿宋" w:cs="仿宋"/>
                <w:color w:val="auto"/>
                <w:szCs w:val="21"/>
                <w:highlight w:val="none"/>
              </w:rPr>
            </w:pPr>
          </w:p>
        </w:tc>
      </w:tr>
      <w:tr w14:paraId="7C0E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42494E33">
            <w:pPr>
              <w:pStyle w:val="30"/>
              <w:spacing w:line="360" w:lineRule="auto"/>
              <w:jc w:val="center"/>
              <w:rPr>
                <w:rFonts w:ascii="仿宋" w:hAnsi="仿宋" w:eastAsia="仿宋" w:cs="仿宋"/>
                <w:color w:val="auto"/>
                <w:szCs w:val="21"/>
                <w:highlight w:val="none"/>
              </w:rPr>
            </w:pPr>
          </w:p>
        </w:tc>
        <w:tc>
          <w:tcPr>
            <w:tcW w:w="1417" w:type="dxa"/>
            <w:noWrap/>
            <w:vAlign w:val="center"/>
          </w:tcPr>
          <w:p w14:paraId="6ED7AD5E">
            <w:pPr>
              <w:pStyle w:val="30"/>
              <w:spacing w:line="360" w:lineRule="auto"/>
              <w:jc w:val="center"/>
              <w:rPr>
                <w:rFonts w:ascii="仿宋" w:hAnsi="仿宋" w:eastAsia="仿宋" w:cs="仿宋"/>
                <w:color w:val="auto"/>
                <w:szCs w:val="21"/>
                <w:highlight w:val="none"/>
              </w:rPr>
            </w:pPr>
          </w:p>
        </w:tc>
        <w:tc>
          <w:tcPr>
            <w:tcW w:w="2268" w:type="dxa"/>
            <w:noWrap/>
            <w:vAlign w:val="center"/>
          </w:tcPr>
          <w:p w14:paraId="78AAEE30">
            <w:pPr>
              <w:pStyle w:val="30"/>
              <w:spacing w:line="360" w:lineRule="auto"/>
              <w:jc w:val="center"/>
              <w:rPr>
                <w:rFonts w:ascii="仿宋" w:hAnsi="仿宋" w:eastAsia="仿宋" w:cs="仿宋"/>
                <w:color w:val="auto"/>
                <w:szCs w:val="21"/>
                <w:highlight w:val="none"/>
              </w:rPr>
            </w:pPr>
          </w:p>
        </w:tc>
        <w:tc>
          <w:tcPr>
            <w:tcW w:w="2126" w:type="dxa"/>
            <w:noWrap/>
            <w:vAlign w:val="center"/>
          </w:tcPr>
          <w:p w14:paraId="5EB8D068">
            <w:pPr>
              <w:pStyle w:val="30"/>
              <w:spacing w:line="360" w:lineRule="auto"/>
              <w:jc w:val="center"/>
              <w:rPr>
                <w:rFonts w:ascii="仿宋" w:hAnsi="仿宋" w:eastAsia="仿宋" w:cs="仿宋"/>
                <w:color w:val="auto"/>
                <w:szCs w:val="21"/>
                <w:highlight w:val="none"/>
              </w:rPr>
            </w:pPr>
          </w:p>
        </w:tc>
        <w:tc>
          <w:tcPr>
            <w:tcW w:w="1978" w:type="dxa"/>
            <w:noWrap/>
            <w:vAlign w:val="center"/>
          </w:tcPr>
          <w:p w14:paraId="34DCF701">
            <w:pPr>
              <w:pStyle w:val="30"/>
              <w:spacing w:line="360" w:lineRule="auto"/>
              <w:jc w:val="center"/>
              <w:rPr>
                <w:rFonts w:ascii="仿宋" w:hAnsi="仿宋" w:eastAsia="仿宋" w:cs="仿宋"/>
                <w:color w:val="auto"/>
                <w:szCs w:val="21"/>
                <w:highlight w:val="none"/>
              </w:rPr>
            </w:pPr>
          </w:p>
        </w:tc>
      </w:tr>
      <w:tr w14:paraId="7994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6F592149">
            <w:pPr>
              <w:pStyle w:val="30"/>
              <w:spacing w:line="360" w:lineRule="auto"/>
              <w:jc w:val="center"/>
              <w:rPr>
                <w:rFonts w:ascii="仿宋" w:hAnsi="仿宋" w:eastAsia="仿宋" w:cs="仿宋"/>
                <w:color w:val="auto"/>
                <w:szCs w:val="21"/>
                <w:highlight w:val="none"/>
              </w:rPr>
            </w:pPr>
          </w:p>
        </w:tc>
        <w:tc>
          <w:tcPr>
            <w:tcW w:w="1417" w:type="dxa"/>
            <w:noWrap/>
            <w:vAlign w:val="center"/>
          </w:tcPr>
          <w:p w14:paraId="0A7F20AE">
            <w:pPr>
              <w:pStyle w:val="30"/>
              <w:spacing w:line="360" w:lineRule="auto"/>
              <w:jc w:val="center"/>
              <w:rPr>
                <w:rFonts w:ascii="仿宋" w:hAnsi="仿宋" w:eastAsia="仿宋" w:cs="仿宋"/>
                <w:color w:val="auto"/>
                <w:szCs w:val="21"/>
                <w:highlight w:val="none"/>
              </w:rPr>
            </w:pPr>
          </w:p>
        </w:tc>
        <w:tc>
          <w:tcPr>
            <w:tcW w:w="2268" w:type="dxa"/>
            <w:noWrap/>
            <w:vAlign w:val="center"/>
          </w:tcPr>
          <w:p w14:paraId="29445E45">
            <w:pPr>
              <w:pStyle w:val="30"/>
              <w:spacing w:line="360" w:lineRule="auto"/>
              <w:jc w:val="center"/>
              <w:rPr>
                <w:rFonts w:ascii="仿宋" w:hAnsi="仿宋" w:eastAsia="仿宋" w:cs="仿宋"/>
                <w:color w:val="auto"/>
                <w:szCs w:val="21"/>
                <w:highlight w:val="none"/>
              </w:rPr>
            </w:pPr>
          </w:p>
        </w:tc>
        <w:tc>
          <w:tcPr>
            <w:tcW w:w="2126" w:type="dxa"/>
            <w:noWrap/>
            <w:vAlign w:val="center"/>
          </w:tcPr>
          <w:p w14:paraId="7A872B06">
            <w:pPr>
              <w:pStyle w:val="30"/>
              <w:spacing w:line="360" w:lineRule="auto"/>
              <w:jc w:val="center"/>
              <w:rPr>
                <w:rFonts w:ascii="仿宋" w:hAnsi="仿宋" w:eastAsia="仿宋" w:cs="仿宋"/>
                <w:color w:val="auto"/>
                <w:szCs w:val="21"/>
                <w:highlight w:val="none"/>
              </w:rPr>
            </w:pPr>
          </w:p>
        </w:tc>
        <w:tc>
          <w:tcPr>
            <w:tcW w:w="1978" w:type="dxa"/>
            <w:noWrap/>
            <w:vAlign w:val="center"/>
          </w:tcPr>
          <w:p w14:paraId="31A6F10B">
            <w:pPr>
              <w:pStyle w:val="30"/>
              <w:spacing w:line="360" w:lineRule="auto"/>
              <w:jc w:val="center"/>
              <w:rPr>
                <w:rFonts w:ascii="仿宋" w:hAnsi="仿宋" w:eastAsia="仿宋" w:cs="仿宋"/>
                <w:color w:val="auto"/>
                <w:szCs w:val="21"/>
                <w:highlight w:val="none"/>
              </w:rPr>
            </w:pPr>
          </w:p>
        </w:tc>
      </w:tr>
      <w:tr w14:paraId="21BC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15E6F04F">
            <w:pPr>
              <w:pStyle w:val="30"/>
              <w:spacing w:line="360" w:lineRule="auto"/>
              <w:jc w:val="center"/>
              <w:rPr>
                <w:rFonts w:ascii="仿宋" w:hAnsi="仿宋" w:eastAsia="仿宋" w:cs="仿宋"/>
                <w:color w:val="auto"/>
                <w:szCs w:val="21"/>
                <w:highlight w:val="none"/>
              </w:rPr>
            </w:pPr>
          </w:p>
        </w:tc>
        <w:tc>
          <w:tcPr>
            <w:tcW w:w="1417" w:type="dxa"/>
            <w:noWrap/>
            <w:vAlign w:val="center"/>
          </w:tcPr>
          <w:p w14:paraId="2BCEFE02">
            <w:pPr>
              <w:pStyle w:val="30"/>
              <w:spacing w:line="360" w:lineRule="auto"/>
              <w:jc w:val="center"/>
              <w:rPr>
                <w:rFonts w:ascii="仿宋" w:hAnsi="仿宋" w:eastAsia="仿宋" w:cs="仿宋"/>
                <w:color w:val="auto"/>
                <w:szCs w:val="21"/>
                <w:highlight w:val="none"/>
              </w:rPr>
            </w:pPr>
          </w:p>
        </w:tc>
        <w:tc>
          <w:tcPr>
            <w:tcW w:w="2268" w:type="dxa"/>
            <w:noWrap/>
            <w:vAlign w:val="center"/>
          </w:tcPr>
          <w:p w14:paraId="5D61D9AF">
            <w:pPr>
              <w:pStyle w:val="30"/>
              <w:spacing w:line="360" w:lineRule="auto"/>
              <w:jc w:val="center"/>
              <w:rPr>
                <w:rFonts w:ascii="仿宋" w:hAnsi="仿宋" w:eastAsia="仿宋" w:cs="仿宋"/>
                <w:color w:val="auto"/>
                <w:szCs w:val="21"/>
                <w:highlight w:val="none"/>
              </w:rPr>
            </w:pPr>
          </w:p>
        </w:tc>
        <w:tc>
          <w:tcPr>
            <w:tcW w:w="2126" w:type="dxa"/>
            <w:noWrap/>
            <w:vAlign w:val="center"/>
          </w:tcPr>
          <w:p w14:paraId="2B5C09FE">
            <w:pPr>
              <w:pStyle w:val="30"/>
              <w:spacing w:line="360" w:lineRule="auto"/>
              <w:jc w:val="center"/>
              <w:rPr>
                <w:rFonts w:ascii="仿宋" w:hAnsi="仿宋" w:eastAsia="仿宋" w:cs="仿宋"/>
                <w:color w:val="auto"/>
                <w:szCs w:val="21"/>
                <w:highlight w:val="none"/>
              </w:rPr>
            </w:pPr>
          </w:p>
        </w:tc>
        <w:tc>
          <w:tcPr>
            <w:tcW w:w="1978" w:type="dxa"/>
            <w:noWrap/>
            <w:vAlign w:val="center"/>
          </w:tcPr>
          <w:p w14:paraId="129D2880">
            <w:pPr>
              <w:pStyle w:val="30"/>
              <w:spacing w:line="360" w:lineRule="auto"/>
              <w:jc w:val="center"/>
              <w:rPr>
                <w:rFonts w:ascii="仿宋" w:hAnsi="仿宋" w:eastAsia="仿宋" w:cs="仿宋"/>
                <w:color w:val="auto"/>
                <w:szCs w:val="21"/>
                <w:highlight w:val="none"/>
              </w:rPr>
            </w:pPr>
          </w:p>
        </w:tc>
      </w:tr>
      <w:tr w14:paraId="0F4C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noWrap/>
            <w:vAlign w:val="center"/>
          </w:tcPr>
          <w:p w14:paraId="65D1C91A">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计划管理</w:t>
            </w:r>
          </w:p>
        </w:tc>
        <w:tc>
          <w:tcPr>
            <w:tcW w:w="1417" w:type="dxa"/>
            <w:noWrap/>
            <w:vAlign w:val="center"/>
          </w:tcPr>
          <w:p w14:paraId="7108CF53">
            <w:pPr>
              <w:pStyle w:val="30"/>
              <w:spacing w:line="360" w:lineRule="auto"/>
              <w:jc w:val="center"/>
              <w:rPr>
                <w:rFonts w:ascii="仿宋" w:hAnsi="仿宋" w:eastAsia="仿宋" w:cs="仿宋"/>
                <w:color w:val="auto"/>
                <w:szCs w:val="21"/>
                <w:highlight w:val="none"/>
              </w:rPr>
            </w:pPr>
          </w:p>
        </w:tc>
        <w:tc>
          <w:tcPr>
            <w:tcW w:w="2268" w:type="dxa"/>
            <w:noWrap/>
            <w:vAlign w:val="center"/>
          </w:tcPr>
          <w:p w14:paraId="588A4C07">
            <w:pPr>
              <w:pStyle w:val="30"/>
              <w:spacing w:line="360" w:lineRule="auto"/>
              <w:jc w:val="center"/>
              <w:rPr>
                <w:rFonts w:ascii="仿宋" w:hAnsi="仿宋" w:eastAsia="仿宋" w:cs="仿宋"/>
                <w:color w:val="auto"/>
                <w:szCs w:val="21"/>
                <w:highlight w:val="none"/>
              </w:rPr>
            </w:pPr>
          </w:p>
        </w:tc>
        <w:tc>
          <w:tcPr>
            <w:tcW w:w="2126" w:type="dxa"/>
            <w:noWrap/>
            <w:vAlign w:val="center"/>
          </w:tcPr>
          <w:p w14:paraId="4EF65DDA">
            <w:pPr>
              <w:pStyle w:val="30"/>
              <w:spacing w:line="360" w:lineRule="auto"/>
              <w:jc w:val="center"/>
              <w:rPr>
                <w:rFonts w:ascii="仿宋" w:hAnsi="仿宋" w:eastAsia="仿宋" w:cs="仿宋"/>
                <w:color w:val="auto"/>
                <w:szCs w:val="21"/>
                <w:highlight w:val="none"/>
              </w:rPr>
            </w:pPr>
          </w:p>
        </w:tc>
        <w:tc>
          <w:tcPr>
            <w:tcW w:w="1978" w:type="dxa"/>
            <w:noWrap/>
            <w:vAlign w:val="center"/>
          </w:tcPr>
          <w:p w14:paraId="640213F8">
            <w:pPr>
              <w:pStyle w:val="30"/>
              <w:spacing w:line="360" w:lineRule="auto"/>
              <w:jc w:val="center"/>
              <w:rPr>
                <w:rFonts w:ascii="仿宋" w:hAnsi="仿宋" w:eastAsia="仿宋" w:cs="仿宋"/>
                <w:color w:val="auto"/>
                <w:szCs w:val="21"/>
                <w:highlight w:val="none"/>
              </w:rPr>
            </w:pPr>
          </w:p>
        </w:tc>
      </w:tr>
      <w:tr w14:paraId="6E5C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noWrap/>
            <w:vAlign w:val="center"/>
          </w:tcPr>
          <w:p w14:paraId="74CC39C1">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安全管理</w:t>
            </w:r>
          </w:p>
        </w:tc>
        <w:tc>
          <w:tcPr>
            <w:tcW w:w="1417" w:type="dxa"/>
            <w:noWrap/>
            <w:vAlign w:val="center"/>
          </w:tcPr>
          <w:p w14:paraId="2DEE65C5">
            <w:pPr>
              <w:pStyle w:val="30"/>
              <w:spacing w:line="360" w:lineRule="auto"/>
              <w:jc w:val="center"/>
              <w:rPr>
                <w:rFonts w:ascii="仿宋" w:hAnsi="仿宋" w:eastAsia="仿宋" w:cs="仿宋"/>
                <w:color w:val="auto"/>
                <w:szCs w:val="21"/>
                <w:highlight w:val="none"/>
              </w:rPr>
            </w:pPr>
          </w:p>
        </w:tc>
        <w:tc>
          <w:tcPr>
            <w:tcW w:w="2268" w:type="dxa"/>
            <w:noWrap/>
            <w:vAlign w:val="center"/>
          </w:tcPr>
          <w:p w14:paraId="050EA02F">
            <w:pPr>
              <w:pStyle w:val="30"/>
              <w:spacing w:line="360" w:lineRule="auto"/>
              <w:jc w:val="center"/>
              <w:rPr>
                <w:rFonts w:ascii="仿宋" w:hAnsi="仿宋" w:eastAsia="仿宋" w:cs="仿宋"/>
                <w:color w:val="auto"/>
                <w:szCs w:val="21"/>
                <w:highlight w:val="none"/>
              </w:rPr>
            </w:pPr>
          </w:p>
        </w:tc>
        <w:tc>
          <w:tcPr>
            <w:tcW w:w="2126" w:type="dxa"/>
            <w:noWrap/>
            <w:vAlign w:val="center"/>
          </w:tcPr>
          <w:p w14:paraId="1F151200">
            <w:pPr>
              <w:pStyle w:val="30"/>
              <w:spacing w:line="360" w:lineRule="auto"/>
              <w:jc w:val="center"/>
              <w:rPr>
                <w:rFonts w:ascii="仿宋" w:hAnsi="仿宋" w:eastAsia="仿宋" w:cs="仿宋"/>
                <w:color w:val="auto"/>
                <w:szCs w:val="21"/>
                <w:highlight w:val="none"/>
              </w:rPr>
            </w:pPr>
          </w:p>
        </w:tc>
        <w:tc>
          <w:tcPr>
            <w:tcW w:w="1978" w:type="dxa"/>
            <w:noWrap/>
            <w:vAlign w:val="center"/>
          </w:tcPr>
          <w:p w14:paraId="5DE10734">
            <w:pPr>
              <w:pStyle w:val="30"/>
              <w:spacing w:line="360" w:lineRule="auto"/>
              <w:jc w:val="center"/>
              <w:rPr>
                <w:rFonts w:ascii="仿宋" w:hAnsi="仿宋" w:eastAsia="仿宋" w:cs="仿宋"/>
                <w:color w:val="auto"/>
                <w:szCs w:val="21"/>
                <w:highlight w:val="none"/>
              </w:rPr>
            </w:pPr>
          </w:p>
        </w:tc>
      </w:tr>
      <w:tr w14:paraId="63F3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3865D619">
            <w:pPr>
              <w:pStyle w:val="30"/>
              <w:spacing w:line="360" w:lineRule="auto"/>
              <w:jc w:val="center"/>
              <w:rPr>
                <w:rFonts w:ascii="仿宋" w:hAnsi="仿宋" w:eastAsia="仿宋" w:cs="仿宋"/>
                <w:color w:val="auto"/>
                <w:szCs w:val="21"/>
                <w:highlight w:val="none"/>
              </w:rPr>
            </w:pPr>
          </w:p>
        </w:tc>
        <w:tc>
          <w:tcPr>
            <w:tcW w:w="1417" w:type="dxa"/>
            <w:noWrap/>
            <w:vAlign w:val="center"/>
          </w:tcPr>
          <w:p w14:paraId="4C4D4670">
            <w:pPr>
              <w:pStyle w:val="30"/>
              <w:spacing w:line="360" w:lineRule="auto"/>
              <w:jc w:val="center"/>
              <w:rPr>
                <w:rFonts w:ascii="仿宋" w:hAnsi="仿宋" w:eastAsia="仿宋" w:cs="仿宋"/>
                <w:color w:val="auto"/>
                <w:szCs w:val="21"/>
                <w:highlight w:val="none"/>
              </w:rPr>
            </w:pPr>
          </w:p>
        </w:tc>
        <w:tc>
          <w:tcPr>
            <w:tcW w:w="2268" w:type="dxa"/>
            <w:noWrap/>
            <w:vAlign w:val="center"/>
          </w:tcPr>
          <w:p w14:paraId="2DFCC293">
            <w:pPr>
              <w:pStyle w:val="30"/>
              <w:spacing w:line="360" w:lineRule="auto"/>
              <w:jc w:val="center"/>
              <w:rPr>
                <w:rFonts w:ascii="仿宋" w:hAnsi="仿宋" w:eastAsia="仿宋" w:cs="仿宋"/>
                <w:color w:val="auto"/>
                <w:szCs w:val="21"/>
                <w:highlight w:val="none"/>
              </w:rPr>
            </w:pPr>
          </w:p>
        </w:tc>
        <w:tc>
          <w:tcPr>
            <w:tcW w:w="2126" w:type="dxa"/>
            <w:noWrap/>
            <w:vAlign w:val="center"/>
          </w:tcPr>
          <w:p w14:paraId="75082D04">
            <w:pPr>
              <w:pStyle w:val="30"/>
              <w:spacing w:line="360" w:lineRule="auto"/>
              <w:jc w:val="center"/>
              <w:rPr>
                <w:rFonts w:ascii="仿宋" w:hAnsi="仿宋" w:eastAsia="仿宋" w:cs="仿宋"/>
                <w:color w:val="auto"/>
                <w:szCs w:val="21"/>
                <w:highlight w:val="none"/>
              </w:rPr>
            </w:pPr>
          </w:p>
        </w:tc>
        <w:tc>
          <w:tcPr>
            <w:tcW w:w="1978" w:type="dxa"/>
            <w:noWrap/>
            <w:vAlign w:val="center"/>
          </w:tcPr>
          <w:p w14:paraId="3B57D2F3">
            <w:pPr>
              <w:pStyle w:val="30"/>
              <w:spacing w:line="360" w:lineRule="auto"/>
              <w:jc w:val="center"/>
              <w:rPr>
                <w:rFonts w:ascii="仿宋" w:hAnsi="仿宋" w:eastAsia="仿宋" w:cs="仿宋"/>
                <w:color w:val="auto"/>
                <w:szCs w:val="21"/>
                <w:highlight w:val="none"/>
              </w:rPr>
            </w:pPr>
          </w:p>
        </w:tc>
      </w:tr>
      <w:tr w14:paraId="53B0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restart"/>
            <w:noWrap/>
            <w:vAlign w:val="center"/>
          </w:tcPr>
          <w:p w14:paraId="4E5C0933">
            <w:pPr>
              <w:pStyle w:val="3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其他人员</w:t>
            </w:r>
          </w:p>
        </w:tc>
        <w:tc>
          <w:tcPr>
            <w:tcW w:w="1417" w:type="dxa"/>
            <w:noWrap/>
            <w:vAlign w:val="center"/>
          </w:tcPr>
          <w:p w14:paraId="191B4247">
            <w:pPr>
              <w:pStyle w:val="30"/>
              <w:spacing w:line="360" w:lineRule="auto"/>
              <w:jc w:val="center"/>
              <w:rPr>
                <w:rFonts w:ascii="仿宋" w:hAnsi="仿宋" w:eastAsia="仿宋" w:cs="仿宋"/>
                <w:color w:val="auto"/>
                <w:szCs w:val="21"/>
                <w:highlight w:val="none"/>
              </w:rPr>
            </w:pPr>
          </w:p>
        </w:tc>
        <w:tc>
          <w:tcPr>
            <w:tcW w:w="2268" w:type="dxa"/>
            <w:noWrap/>
            <w:vAlign w:val="center"/>
          </w:tcPr>
          <w:p w14:paraId="4A25C624">
            <w:pPr>
              <w:pStyle w:val="30"/>
              <w:spacing w:line="360" w:lineRule="auto"/>
              <w:jc w:val="center"/>
              <w:rPr>
                <w:rFonts w:ascii="仿宋" w:hAnsi="仿宋" w:eastAsia="仿宋" w:cs="仿宋"/>
                <w:color w:val="auto"/>
                <w:szCs w:val="21"/>
                <w:highlight w:val="none"/>
              </w:rPr>
            </w:pPr>
          </w:p>
        </w:tc>
        <w:tc>
          <w:tcPr>
            <w:tcW w:w="2126" w:type="dxa"/>
            <w:noWrap/>
            <w:vAlign w:val="center"/>
          </w:tcPr>
          <w:p w14:paraId="2C20E985">
            <w:pPr>
              <w:pStyle w:val="30"/>
              <w:spacing w:line="360" w:lineRule="auto"/>
              <w:jc w:val="center"/>
              <w:rPr>
                <w:rFonts w:ascii="仿宋" w:hAnsi="仿宋" w:eastAsia="仿宋" w:cs="仿宋"/>
                <w:color w:val="auto"/>
                <w:szCs w:val="21"/>
                <w:highlight w:val="none"/>
              </w:rPr>
            </w:pPr>
          </w:p>
        </w:tc>
        <w:tc>
          <w:tcPr>
            <w:tcW w:w="1978" w:type="dxa"/>
            <w:noWrap/>
            <w:vAlign w:val="center"/>
          </w:tcPr>
          <w:p w14:paraId="3188B21E">
            <w:pPr>
              <w:pStyle w:val="30"/>
              <w:spacing w:line="360" w:lineRule="auto"/>
              <w:jc w:val="center"/>
              <w:rPr>
                <w:rFonts w:ascii="仿宋" w:hAnsi="仿宋" w:eastAsia="仿宋" w:cs="仿宋"/>
                <w:color w:val="auto"/>
                <w:szCs w:val="21"/>
                <w:highlight w:val="none"/>
              </w:rPr>
            </w:pPr>
          </w:p>
        </w:tc>
      </w:tr>
      <w:tr w14:paraId="69AA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3C990B26">
            <w:pPr>
              <w:pStyle w:val="30"/>
              <w:spacing w:line="360" w:lineRule="auto"/>
              <w:jc w:val="center"/>
              <w:rPr>
                <w:rFonts w:ascii="仿宋" w:hAnsi="仿宋" w:eastAsia="仿宋" w:cs="仿宋"/>
                <w:color w:val="auto"/>
                <w:szCs w:val="21"/>
                <w:highlight w:val="none"/>
              </w:rPr>
            </w:pPr>
          </w:p>
        </w:tc>
        <w:tc>
          <w:tcPr>
            <w:tcW w:w="1417" w:type="dxa"/>
            <w:noWrap/>
            <w:vAlign w:val="center"/>
          </w:tcPr>
          <w:p w14:paraId="0B40677E">
            <w:pPr>
              <w:pStyle w:val="30"/>
              <w:spacing w:line="360" w:lineRule="auto"/>
              <w:jc w:val="center"/>
              <w:rPr>
                <w:rFonts w:ascii="仿宋" w:hAnsi="仿宋" w:eastAsia="仿宋" w:cs="仿宋"/>
                <w:color w:val="auto"/>
                <w:szCs w:val="21"/>
                <w:highlight w:val="none"/>
              </w:rPr>
            </w:pPr>
          </w:p>
        </w:tc>
        <w:tc>
          <w:tcPr>
            <w:tcW w:w="2268" w:type="dxa"/>
            <w:noWrap/>
            <w:vAlign w:val="center"/>
          </w:tcPr>
          <w:p w14:paraId="5DE88656">
            <w:pPr>
              <w:pStyle w:val="30"/>
              <w:spacing w:line="360" w:lineRule="auto"/>
              <w:jc w:val="center"/>
              <w:rPr>
                <w:rFonts w:ascii="仿宋" w:hAnsi="仿宋" w:eastAsia="仿宋" w:cs="仿宋"/>
                <w:color w:val="auto"/>
                <w:szCs w:val="21"/>
                <w:highlight w:val="none"/>
              </w:rPr>
            </w:pPr>
          </w:p>
        </w:tc>
        <w:tc>
          <w:tcPr>
            <w:tcW w:w="2126" w:type="dxa"/>
            <w:noWrap/>
            <w:vAlign w:val="center"/>
          </w:tcPr>
          <w:p w14:paraId="5C0D8E8C">
            <w:pPr>
              <w:pStyle w:val="30"/>
              <w:spacing w:line="360" w:lineRule="auto"/>
              <w:jc w:val="center"/>
              <w:rPr>
                <w:rFonts w:ascii="仿宋" w:hAnsi="仿宋" w:eastAsia="仿宋" w:cs="仿宋"/>
                <w:color w:val="auto"/>
                <w:szCs w:val="21"/>
                <w:highlight w:val="none"/>
              </w:rPr>
            </w:pPr>
          </w:p>
        </w:tc>
        <w:tc>
          <w:tcPr>
            <w:tcW w:w="1978" w:type="dxa"/>
            <w:noWrap/>
            <w:vAlign w:val="center"/>
          </w:tcPr>
          <w:p w14:paraId="3F3C0E90">
            <w:pPr>
              <w:pStyle w:val="30"/>
              <w:spacing w:line="360" w:lineRule="auto"/>
              <w:jc w:val="center"/>
              <w:rPr>
                <w:rFonts w:ascii="仿宋" w:hAnsi="仿宋" w:eastAsia="仿宋" w:cs="仿宋"/>
                <w:color w:val="auto"/>
                <w:szCs w:val="21"/>
                <w:highlight w:val="none"/>
              </w:rPr>
            </w:pPr>
          </w:p>
        </w:tc>
      </w:tr>
      <w:tr w14:paraId="3FA6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69F18852">
            <w:pPr>
              <w:pStyle w:val="30"/>
              <w:spacing w:line="360" w:lineRule="auto"/>
              <w:jc w:val="center"/>
              <w:rPr>
                <w:rFonts w:ascii="仿宋" w:hAnsi="仿宋" w:eastAsia="仿宋" w:cs="仿宋"/>
                <w:color w:val="auto"/>
                <w:szCs w:val="21"/>
                <w:highlight w:val="none"/>
              </w:rPr>
            </w:pPr>
          </w:p>
        </w:tc>
        <w:tc>
          <w:tcPr>
            <w:tcW w:w="1417" w:type="dxa"/>
            <w:noWrap/>
            <w:vAlign w:val="center"/>
          </w:tcPr>
          <w:p w14:paraId="3BB6F4ED">
            <w:pPr>
              <w:pStyle w:val="30"/>
              <w:spacing w:line="360" w:lineRule="auto"/>
              <w:jc w:val="center"/>
              <w:rPr>
                <w:rFonts w:ascii="仿宋" w:hAnsi="仿宋" w:eastAsia="仿宋" w:cs="仿宋"/>
                <w:color w:val="auto"/>
                <w:szCs w:val="21"/>
                <w:highlight w:val="none"/>
              </w:rPr>
            </w:pPr>
          </w:p>
        </w:tc>
        <w:tc>
          <w:tcPr>
            <w:tcW w:w="2268" w:type="dxa"/>
            <w:noWrap/>
            <w:vAlign w:val="center"/>
          </w:tcPr>
          <w:p w14:paraId="7D1AACAB">
            <w:pPr>
              <w:pStyle w:val="30"/>
              <w:spacing w:line="360" w:lineRule="auto"/>
              <w:jc w:val="center"/>
              <w:rPr>
                <w:rFonts w:ascii="仿宋" w:hAnsi="仿宋" w:eastAsia="仿宋" w:cs="仿宋"/>
                <w:color w:val="auto"/>
                <w:szCs w:val="21"/>
                <w:highlight w:val="none"/>
              </w:rPr>
            </w:pPr>
          </w:p>
        </w:tc>
        <w:tc>
          <w:tcPr>
            <w:tcW w:w="2126" w:type="dxa"/>
            <w:noWrap/>
            <w:vAlign w:val="center"/>
          </w:tcPr>
          <w:p w14:paraId="367E9F77">
            <w:pPr>
              <w:pStyle w:val="30"/>
              <w:spacing w:line="360" w:lineRule="auto"/>
              <w:jc w:val="center"/>
              <w:rPr>
                <w:rFonts w:ascii="仿宋" w:hAnsi="仿宋" w:eastAsia="仿宋" w:cs="仿宋"/>
                <w:color w:val="auto"/>
                <w:szCs w:val="21"/>
                <w:highlight w:val="none"/>
              </w:rPr>
            </w:pPr>
          </w:p>
        </w:tc>
        <w:tc>
          <w:tcPr>
            <w:tcW w:w="1978" w:type="dxa"/>
            <w:noWrap/>
            <w:vAlign w:val="center"/>
          </w:tcPr>
          <w:p w14:paraId="1159D844">
            <w:pPr>
              <w:pStyle w:val="30"/>
              <w:spacing w:line="360" w:lineRule="auto"/>
              <w:jc w:val="center"/>
              <w:rPr>
                <w:rFonts w:ascii="仿宋" w:hAnsi="仿宋" w:eastAsia="仿宋" w:cs="仿宋"/>
                <w:color w:val="auto"/>
                <w:szCs w:val="21"/>
                <w:highlight w:val="none"/>
              </w:rPr>
            </w:pPr>
          </w:p>
        </w:tc>
      </w:tr>
      <w:tr w14:paraId="1D2E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Merge w:val="continue"/>
            <w:noWrap/>
            <w:vAlign w:val="center"/>
          </w:tcPr>
          <w:p w14:paraId="60D77820">
            <w:pPr>
              <w:pStyle w:val="30"/>
              <w:spacing w:line="360" w:lineRule="auto"/>
              <w:jc w:val="center"/>
              <w:rPr>
                <w:rFonts w:ascii="仿宋" w:hAnsi="仿宋" w:eastAsia="仿宋" w:cs="仿宋"/>
                <w:color w:val="auto"/>
                <w:szCs w:val="21"/>
                <w:highlight w:val="none"/>
              </w:rPr>
            </w:pPr>
          </w:p>
        </w:tc>
        <w:tc>
          <w:tcPr>
            <w:tcW w:w="1417" w:type="dxa"/>
            <w:noWrap/>
            <w:vAlign w:val="center"/>
          </w:tcPr>
          <w:p w14:paraId="1BA124EC">
            <w:pPr>
              <w:pStyle w:val="30"/>
              <w:spacing w:line="360" w:lineRule="auto"/>
              <w:jc w:val="center"/>
              <w:rPr>
                <w:rFonts w:ascii="仿宋" w:hAnsi="仿宋" w:eastAsia="仿宋" w:cs="仿宋"/>
                <w:color w:val="auto"/>
                <w:szCs w:val="21"/>
                <w:highlight w:val="none"/>
              </w:rPr>
            </w:pPr>
          </w:p>
        </w:tc>
        <w:tc>
          <w:tcPr>
            <w:tcW w:w="2268" w:type="dxa"/>
            <w:noWrap/>
            <w:vAlign w:val="center"/>
          </w:tcPr>
          <w:p w14:paraId="685E433B">
            <w:pPr>
              <w:pStyle w:val="30"/>
              <w:spacing w:line="360" w:lineRule="auto"/>
              <w:jc w:val="center"/>
              <w:rPr>
                <w:rFonts w:ascii="仿宋" w:hAnsi="仿宋" w:eastAsia="仿宋" w:cs="仿宋"/>
                <w:color w:val="auto"/>
                <w:szCs w:val="21"/>
                <w:highlight w:val="none"/>
              </w:rPr>
            </w:pPr>
          </w:p>
        </w:tc>
        <w:tc>
          <w:tcPr>
            <w:tcW w:w="2126" w:type="dxa"/>
            <w:noWrap/>
            <w:vAlign w:val="center"/>
          </w:tcPr>
          <w:p w14:paraId="21BF7293">
            <w:pPr>
              <w:pStyle w:val="30"/>
              <w:spacing w:line="360" w:lineRule="auto"/>
              <w:jc w:val="center"/>
              <w:rPr>
                <w:rFonts w:ascii="仿宋" w:hAnsi="仿宋" w:eastAsia="仿宋" w:cs="仿宋"/>
                <w:color w:val="auto"/>
                <w:szCs w:val="21"/>
                <w:highlight w:val="none"/>
              </w:rPr>
            </w:pPr>
          </w:p>
        </w:tc>
        <w:tc>
          <w:tcPr>
            <w:tcW w:w="1978" w:type="dxa"/>
            <w:noWrap/>
            <w:vAlign w:val="center"/>
          </w:tcPr>
          <w:p w14:paraId="6FBD65A5">
            <w:pPr>
              <w:pStyle w:val="30"/>
              <w:spacing w:line="360" w:lineRule="auto"/>
              <w:jc w:val="center"/>
              <w:rPr>
                <w:rFonts w:ascii="仿宋" w:hAnsi="仿宋" w:eastAsia="仿宋" w:cs="仿宋"/>
                <w:color w:val="auto"/>
                <w:szCs w:val="21"/>
                <w:highlight w:val="none"/>
              </w:rPr>
            </w:pPr>
          </w:p>
        </w:tc>
      </w:tr>
    </w:tbl>
    <w:p w14:paraId="587F0E3F">
      <w:pPr>
        <w:pStyle w:val="30"/>
        <w:spacing w:line="360" w:lineRule="auto"/>
        <w:rPr>
          <w:rFonts w:ascii="仿宋" w:hAnsi="仿宋" w:eastAsia="仿宋" w:cs="仿宋"/>
          <w:color w:val="auto"/>
          <w:sz w:val="30"/>
          <w:szCs w:val="30"/>
          <w:highlight w:val="none"/>
        </w:rPr>
      </w:pPr>
    </w:p>
    <w:p w14:paraId="7B8E5865">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04797062">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附件6：</w:t>
      </w:r>
    </w:p>
    <w:p w14:paraId="6B8174F8">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分包人主要施工管理人员表</w:t>
      </w:r>
    </w:p>
    <w:p w14:paraId="1E7D2308">
      <w:pPr>
        <w:pStyle w:val="30"/>
        <w:spacing w:line="360" w:lineRule="auto"/>
        <w:jc w:val="center"/>
        <w:rPr>
          <w:rFonts w:ascii="仿宋" w:hAnsi="仿宋" w:eastAsia="仿宋" w:cs="仿宋"/>
          <w:color w:val="auto"/>
          <w:sz w:val="30"/>
          <w:szCs w:val="30"/>
          <w:highlight w:val="none"/>
        </w:rPr>
      </w:pPr>
    </w:p>
    <w:p w14:paraId="3968C15E">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无</w:t>
      </w:r>
    </w:p>
    <w:p w14:paraId="670AC83F">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7E490CF5">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附件7</w:t>
      </w:r>
    </w:p>
    <w:p w14:paraId="73A1B1FD">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履约保函示范文本</w:t>
      </w:r>
    </w:p>
    <w:p w14:paraId="77F0CBE9">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（独立保函）</w:t>
      </w:r>
    </w:p>
    <w:p w14:paraId="66018110">
      <w:pPr>
        <w:pStyle w:val="30"/>
        <w:spacing w:line="360" w:lineRule="auto"/>
        <w:ind w:right="1260" w:rightChars="600"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编号：</w:t>
      </w:r>
    </w:p>
    <w:p w14:paraId="0EDF8A6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申请人：</w:t>
      </w:r>
    </w:p>
    <w:p w14:paraId="0DC02CC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6CB2527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受益人：</w:t>
      </w:r>
    </w:p>
    <w:p w14:paraId="5D86302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5236956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开立人：</w:t>
      </w:r>
    </w:p>
    <w:p w14:paraId="26D6C4B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6F277CF5">
      <w:pPr>
        <w:pStyle w:val="30"/>
        <w:spacing w:line="360" w:lineRule="auto"/>
        <w:ind w:firstLine="420" w:firstLineChars="200"/>
        <w:rPr>
          <w:rFonts w:ascii="仿宋" w:hAnsi="仿宋" w:eastAsia="仿宋" w:cs="仿宋"/>
          <w:color w:val="auto"/>
          <w:szCs w:val="21"/>
          <w:highlight w:val="none"/>
        </w:rPr>
      </w:pPr>
    </w:p>
    <w:p w14:paraId="5E88D1A9">
      <w:pPr>
        <w:pStyle w:val="30"/>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（受益人名称）：</w:t>
      </w:r>
    </w:p>
    <w:p w14:paraId="66A46DB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鉴于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（以下简称“受益人”）与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（以下简称“申请人”）于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日就</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工程（以下简称“本工程”）施工和有关事项协商一致共同签订</w:t>
      </w:r>
      <w:r>
        <w:rPr>
          <w:rFonts w:hint="eastAsia" w:ascii="仿宋" w:hAnsi="仿宋" w:eastAsia="仿宋" w:cs="仿宋"/>
          <w:color w:val="auto"/>
          <w:szCs w:val="21"/>
          <w:highlight w:val="none"/>
          <w:u w:val="single"/>
        </w:rPr>
        <w:t>《壮锦大道国旗灯改造项目施工合同》</w:t>
      </w:r>
      <w:r>
        <w:rPr>
          <w:rFonts w:hint="eastAsia" w:ascii="仿宋" w:hAnsi="仿宋" w:eastAsia="仿宋" w:cs="仿宋"/>
          <w:color w:val="auto"/>
          <w:szCs w:val="21"/>
          <w:highlight w:val="none"/>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0D94F2B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一、本保函担保范围：承包人未按照基础合同的约定履行义务，应当向贵方承担的违约责任和赔偿因此造成的损失、利息、律师费、诉讼费用、财产保全费用、强制执行申请费等实现债权的费用。</w:t>
      </w:r>
    </w:p>
    <w:p w14:paraId="1B14765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二、本保函担保金额最高不超过人民币（大写）</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元（¥</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0863DAE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三、本保函有效期自开立之日起至基础合同约定的缺陷责任期后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日止，最迟不超过</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013FB59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四、我方承诺，在收到受益人发来的书面付款通知后的</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日内无条件支付，前述书面付款通知即为付款要求之单据，且应满足以下要求：</w:t>
      </w:r>
    </w:p>
    <w:p w14:paraId="270BC91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（1）付款通知到达的日期在本保函的有效期内；</w:t>
      </w:r>
    </w:p>
    <w:p w14:paraId="6D01461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（2）载明要求支付的金额；</w:t>
      </w:r>
    </w:p>
    <w:p w14:paraId="42B6DA7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（3）载明申请人违反合同义务的条款和内容；</w:t>
      </w:r>
    </w:p>
    <w:p w14:paraId="7A442F6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（4）声明不存在合同文件约定或我国法律规定免除申请人或开立人支付责任的情形；</w:t>
      </w:r>
    </w:p>
    <w:p w14:paraId="3E46CF0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（5）付款通知应在本保函有效期内到达的地址是：</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0BF6AA7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受益人发出的书面付款通知应由其为鉴明受益人法定代表人（负责人）或授权代理人签字并加盖公章。</w:t>
      </w:r>
    </w:p>
    <w:p w14:paraId="6AD1796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五、本保函项下的权利不得转让，不得设定担保。贵方未经我方书面同意转让本保函或其项下任何权利，对我方不发生法律效力。</w:t>
      </w:r>
    </w:p>
    <w:p w14:paraId="53104AF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六、与本保函有关的基础合同不成立、不生效、无效、被撤销、被解除，不影响本保函的独立有效。</w:t>
      </w:r>
    </w:p>
    <w:p w14:paraId="21F8ED1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七、贵方应在本保函到期后的七日内将本保函正本退回我方注销，但是不论贵方是否按此要求将本保函正本退回我方，我方在本保函项下的义务和责任均在保函有效期到期后自动消灭。</w:t>
      </w:r>
    </w:p>
    <w:p w14:paraId="5FE2479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八、本保函适用的法律为中华人民共和国法律，争议裁判管辖地为中华人民共和国</w:t>
      </w:r>
      <w:r>
        <w:rPr>
          <w:rFonts w:hint="eastAsia" w:ascii="仿宋" w:hAnsi="仿宋" w:eastAsia="仿宋" w:cs="仿宋"/>
          <w:color w:val="auto"/>
          <w:szCs w:val="21"/>
          <w:highlight w:val="none"/>
          <w:u w:val="single"/>
        </w:rPr>
        <w:t>广西壮族自治区南宁市</w:t>
      </w:r>
      <w:r>
        <w:rPr>
          <w:rFonts w:hint="eastAsia" w:ascii="仿宋" w:hAnsi="仿宋" w:eastAsia="仿宋" w:cs="仿宋"/>
          <w:color w:val="auto"/>
          <w:szCs w:val="21"/>
          <w:highlight w:val="none"/>
        </w:rPr>
        <w:t>。</w:t>
      </w:r>
    </w:p>
    <w:p w14:paraId="63E2612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九、本保函自我方法定代表人或授权代表签字并加盖公章之日起生效。</w:t>
      </w:r>
    </w:p>
    <w:p w14:paraId="0F981DD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开立人：（公章）</w:t>
      </w:r>
    </w:p>
    <w:p w14:paraId="3B48349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法定代表人（或授权代表）：（签字）</w:t>
      </w:r>
    </w:p>
    <w:p w14:paraId="63154AB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1677EC2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p w14:paraId="47A1C99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电话：</w:t>
      </w:r>
    </w:p>
    <w:p w14:paraId="51C7316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传真：</w:t>
      </w:r>
    </w:p>
    <w:p w14:paraId="584BB41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开立时间：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416C9A81">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7EB056FB">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附件7：</w:t>
      </w:r>
    </w:p>
    <w:p w14:paraId="4FC9AAE5">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履约保函示范文本</w:t>
      </w:r>
    </w:p>
    <w:p w14:paraId="25821694">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（非独立保函）</w:t>
      </w:r>
    </w:p>
    <w:p w14:paraId="16BADCB5">
      <w:pPr>
        <w:pStyle w:val="30"/>
        <w:spacing w:line="360" w:lineRule="auto"/>
        <w:ind w:right="1260" w:rightChars="600"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编号：</w:t>
      </w:r>
    </w:p>
    <w:p w14:paraId="20B1F67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w:t>
      </w:r>
    </w:p>
    <w:p w14:paraId="6A7D67D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3641F32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担保权人/发包人：</w:t>
      </w:r>
    </w:p>
    <w:p w14:paraId="724A201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049CEFA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保证人：</w:t>
      </w:r>
    </w:p>
    <w:p w14:paraId="249EBAD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0E41F147">
      <w:pPr>
        <w:pStyle w:val="30"/>
        <w:spacing w:line="360" w:lineRule="auto"/>
        <w:ind w:firstLine="420" w:firstLineChars="200"/>
        <w:rPr>
          <w:rFonts w:ascii="仿宋" w:hAnsi="仿宋" w:eastAsia="仿宋" w:cs="仿宋"/>
          <w:color w:val="auto"/>
          <w:szCs w:val="21"/>
          <w:highlight w:val="none"/>
        </w:rPr>
      </w:pPr>
    </w:p>
    <w:p w14:paraId="05688F4B">
      <w:pPr>
        <w:pStyle w:val="30"/>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（发包人名称）：</w:t>
      </w:r>
    </w:p>
    <w:p w14:paraId="7688D88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鉴于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（以下简称“发包人”）与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（以下简称“承包人”）于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日就</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工程（以下简称“本工程”）施工和有关事项协商一致共同签订《</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施工合同》（以下简称“主合同”），我方即保证人基于承包人的请求，同意就承包人履行与贵方签订的主合同项下的义务，向贵方提供如下保证担保（以下简称“本保证担保”）。</w:t>
      </w:r>
    </w:p>
    <w:p w14:paraId="4662F10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一、保证担保的范围及保证担保金额</w:t>
      </w:r>
    </w:p>
    <w:p w14:paraId="12C13A9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1.保证担保范围：承包人未按照主合同的约定履行义务，应当向贵方承担的违约责任和赔偿因此造成的损失、利息、律师费、诉讼费用、财产保全费用、强制执行申请费等实现债权的费用。</w:t>
      </w:r>
    </w:p>
    <w:p w14:paraId="66C6EC1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2.保证担保金额最高不超过人民币（大写）</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元（¥</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35CC8D3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二、保证担保的方式及保证期间</w:t>
      </w:r>
    </w:p>
    <w:p w14:paraId="63DB6E6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1.保证担保方式：连带责任保证。</w:t>
      </w:r>
    </w:p>
    <w:p w14:paraId="4CCE21A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2.保证期间：自出具之日起至主合同约定的缺陷责任期后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日止，最迟不超过</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2576C5B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三、承担保证担保责任的形式</w:t>
      </w:r>
    </w:p>
    <w:p w14:paraId="3EDC1A0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我方按照贵方的要求以下列方式之一承担保证担保责任：</w:t>
      </w:r>
    </w:p>
    <w:p w14:paraId="2776D5C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1.向承包人资金、设备或者技术援助，使其能继续履行合同义务；</w:t>
      </w:r>
    </w:p>
    <w:p w14:paraId="725877C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2.直接接管该项工程或者委托经贵方同意的其他承包商，继续履行合同义务；</w:t>
      </w:r>
    </w:p>
    <w:p w14:paraId="79E5104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3.在保证担保金额最高限额内，按照合同约定，向贵方承担违约责任和赔偿因此造成的损失，以及利息和律师费、诉讼费用等实现债权的费用。</w:t>
      </w:r>
    </w:p>
    <w:p w14:paraId="69D0447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四、代偿的安排</w:t>
      </w:r>
    </w:p>
    <w:p w14:paraId="73B2BEF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692E74D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2.贵方以工程质量不符合主合同约定标准为由，向我方提出违约索赔的，还需同时提供符合相应条件要求的工程质量检测部门出具的质量说明材料。</w:t>
      </w:r>
    </w:p>
    <w:p w14:paraId="79A760F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3.我方收到贵方的书面索赔通知及相应证明材料后，在</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工作日内进行核定后按照本保函的承诺承担保证责任。</w:t>
      </w:r>
    </w:p>
    <w:p w14:paraId="56770B6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五、保证担保责任的解除</w:t>
      </w:r>
    </w:p>
    <w:p w14:paraId="7D298A4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1.保证期间届满贵方未向我方书面主张保证责任的，自保证期间届满次日起，我方解除保证责任。</w:t>
      </w:r>
    </w:p>
    <w:p w14:paraId="1E8A6AF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2.我方按照本保证担保向贵方履行了保证担保责任后，自我方向贵方支付的金额达到最高保证担保金额之日起，保证担保责任解除。</w:t>
      </w:r>
    </w:p>
    <w:p w14:paraId="221AF2C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3.按照法律法规的规定应解除我方保证担保责任的其它情形的，我方在本保证担保项下的保证担保责任亦解除。</w:t>
      </w:r>
    </w:p>
    <w:p w14:paraId="0C043D5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66F8B7D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六、免责条款</w:t>
      </w:r>
    </w:p>
    <w:p w14:paraId="5546B41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1.因贵方原因致使承包人未按照主合同约定履行义务的，我方不承担保证担保责任。</w:t>
      </w:r>
    </w:p>
    <w:p w14:paraId="4C02E1D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2.依照法律规定或贵方与发包人的另行约定，免除承包人部分或全部义务的，我方亦免除其相应的保证担保责任。</w:t>
      </w:r>
    </w:p>
    <w:p w14:paraId="0BF4603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3.因不可抗力造成承包人未按照主合同约定履行义务的，我方不承担保证担保责任。</w:t>
      </w:r>
    </w:p>
    <w:p w14:paraId="0C2331B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七、其他</w:t>
      </w:r>
    </w:p>
    <w:p w14:paraId="6B911B8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1.本保证担保项下的权利不得转让，不得设定担保。贵方未经我方书面同意转让本保证担保或其项下任何权利，对我方不发生法律效力。</w:t>
      </w:r>
    </w:p>
    <w:p w14:paraId="2184FAC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2.本保证担保适用的法律为中华人民共和国法律，争议裁判管辖地为中华人民共和国</w:t>
      </w:r>
      <w:r>
        <w:rPr>
          <w:rFonts w:hint="eastAsia" w:ascii="仿宋" w:hAnsi="仿宋" w:eastAsia="仿宋" w:cs="仿宋"/>
          <w:color w:val="auto"/>
          <w:szCs w:val="21"/>
          <w:highlight w:val="none"/>
          <w:u w:val="single"/>
        </w:rPr>
        <w:t>广西壮族自治区南宁市</w:t>
      </w:r>
      <w:r>
        <w:rPr>
          <w:rFonts w:hint="eastAsia" w:ascii="仿宋" w:hAnsi="仿宋" w:eastAsia="仿宋" w:cs="仿宋"/>
          <w:color w:val="auto"/>
          <w:szCs w:val="21"/>
          <w:highlight w:val="none"/>
        </w:rPr>
        <w:t>。</w:t>
      </w:r>
    </w:p>
    <w:p w14:paraId="7E05D5F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3.本保证担保自我方法定代表人或授权代表签字并加盖公章之日起生效。</w:t>
      </w:r>
    </w:p>
    <w:p w14:paraId="52C6EEF3">
      <w:pPr>
        <w:pStyle w:val="30"/>
        <w:spacing w:line="360" w:lineRule="auto"/>
        <w:ind w:firstLine="420" w:firstLineChars="200"/>
        <w:rPr>
          <w:rFonts w:ascii="仿宋" w:hAnsi="仿宋" w:eastAsia="仿宋" w:cs="仿宋"/>
          <w:color w:val="auto"/>
          <w:szCs w:val="21"/>
          <w:highlight w:val="none"/>
        </w:rPr>
      </w:pPr>
    </w:p>
    <w:p w14:paraId="61579D3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保证人：（公章）</w:t>
      </w:r>
    </w:p>
    <w:p w14:paraId="05E7357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法定代表人（或授权代表）：（签字）</w:t>
      </w:r>
    </w:p>
    <w:p w14:paraId="1C5D227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39CC17E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p w14:paraId="0AFF066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电话：</w:t>
      </w:r>
    </w:p>
    <w:p w14:paraId="2C1D506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传真：</w:t>
      </w:r>
    </w:p>
    <w:p w14:paraId="5D97AFC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时间：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12EDC549">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3585F8D9">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附件8：</w:t>
      </w:r>
    </w:p>
    <w:p w14:paraId="2F30DB8A">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预付款保函示范文本</w:t>
      </w:r>
    </w:p>
    <w:p w14:paraId="23E6201F">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（独立保函）</w:t>
      </w:r>
    </w:p>
    <w:p w14:paraId="1296FA05">
      <w:pPr>
        <w:pStyle w:val="30"/>
        <w:spacing w:line="360" w:lineRule="auto"/>
        <w:ind w:right="1260" w:rightChars="600"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编号：</w:t>
      </w:r>
    </w:p>
    <w:p w14:paraId="6E0AC838">
      <w:pPr>
        <w:pStyle w:val="30"/>
        <w:spacing w:line="360" w:lineRule="auto"/>
        <w:ind w:firstLine="420" w:firstLineChars="200"/>
        <w:rPr>
          <w:rFonts w:ascii="仿宋" w:hAnsi="仿宋" w:eastAsia="仿宋" w:cs="仿宋"/>
          <w:color w:val="auto"/>
          <w:szCs w:val="21"/>
          <w:highlight w:val="none"/>
        </w:rPr>
      </w:pPr>
    </w:p>
    <w:p w14:paraId="79C7F21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申请人：</w:t>
      </w:r>
    </w:p>
    <w:p w14:paraId="5DAE8E5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1C3AC3C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受益人：</w:t>
      </w:r>
    </w:p>
    <w:p w14:paraId="71F10D2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02B1DB4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开立人：</w:t>
      </w:r>
    </w:p>
    <w:p w14:paraId="3C3448F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0F7B83FB">
      <w:pPr>
        <w:pStyle w:val="30"/>
        <w:spacing w:line="360" w:lineRule="auto"/>
        <w:ind w:firstLine="420" w:firstLineChars="200"/>
        <w:rPr>
          <w:rFonts w:ascii="仿宋" w:hAnsi="仿宋" w:eastAsia="仿宋" w:cs="仿宋"/>
          <w:color w:val="auto"/>
          <w:szCs w:val="21"/>
          <w:highlight w:val="none"/>
        </w:rPr>
      </w:pPr>
    </w:p>
    <w:p w14:paraId="6E9853D9">
      <w:pPr>
        <w:pStyle w:val="30"/>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（受益人名称）：</w:t>
      </w:r>
    </w:p>
    <w:p w14:paraId="426388B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鉴于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（以下简称“受益人”）与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（以下简称“申请人”）于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日就</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工程（以下简称“本工程”）施工和有关事项协商一致共同签订《</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施工合同》（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w:t>
      </w:r>
    </w:p>
    <w:p w14:paraId="691D8C3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一、本保函担保范围：申请人未按照合同约定正确和合理地为合同目的使用预付款，应当向贵方承担的违约责任和赔偿因此造成的损失、利息、律师费、诉讼费用、财产保全费用、强制执行申请费等实现债权的费用。</w:t>
      </w:r>
    </w:p>
    <w:p w14:paraId="5C564BF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二、本保函担保金额最高不超过人民币（大写）</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元（¥</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319E230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三、本保函有效期自开立之日起至发包人全额扣回预付款后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日止，最迟不超过</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48EFD43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四、我方承诺，在收到受益人发来的书面付款通知后的</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日内无条件支付，前述书面付款通知即为付款要求之单据，且应满足以下要求：</w:t>
      </w:r>
    </w:p>
    <w:p w14:paraId="119D31E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（1）付款通知到达的日期在本保函的有效期内；</w:t>
      </w:r>
    </w:p>
    <w:p w14:paraId="0E8BD72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（2）载明要求支付的金额；</w:t>
      </w:r>
    </w:p>
    <w:p w14:paraId="14F5D00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（3）载明申请人违反合同义务的条款和内容；</w:t>
      </w:r>
    </w:p>
    <w:p w14:paraId="3E9D89A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（4）声明不存在合同文件约定或我国法律规定免除申请人或开立人支付责任的情形；</w:t>
      </w:r>
    </w:p>
    <w:p w14:paraId="1D3A9B5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（5）付款通知应在本保函有效期内到达的地址是：</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4C10287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受益人发出的书面付款通知应由其为鉴明受益人法定代表人（负责人）或授权代理人签字并加盖公章。</w:t>
      </w:r>
    </w:p>
    <w:p w14:paraId="6A390FD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五、本保函项下的权利不得转让，不得设定担保。贵方未经我方书面同意转让本保函或其项下任何权利，对我方不发生法律效力。</w:t>
      </w:r>
    </w:p>
    <w:p w14:paraId="46016BE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六、与本保函有关的基础合同不成立、不生效、无效、被撤销、被解除，不影响本保函的独立有效。</w:t>
      </w:r>
    </w:p>
    <w:p w14:paraId="08CD18E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七、贵方应在本保函到期后的七日内将本保函正本退回我方注销，但是不论贵方是否按此要求将本保函正本退回我方，我方在本保函项下的义务和责任均在保函有效期到期后自动消灭。</w:t>
      </w:r>
    </w:p>
    <w:p w14:paraId="702AA39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八、本保函适用的法律为中华人民共和国法律，争议裁判管辖地为中华人民共和国</w:t>
      </w:r>
      <w:r>
        <w:rPr>
          <w:rFonts w:hint="eastAsia" w:ascii="仿宋" w:hAnsi="仿宋" w:eastAsia="仿宋" w:cs="仿宋"/>
          <w:color w:val="auto"/>
          <w:szCs w:val="21"/>
          <w:highlight w:val="none"/>
          <w:u w:val="single"/>
        </w:rPr>
        <w:t>广西壮族自治区南宁市</w:t>
      </w:r>
      <w:r>
        <w:rPr>
          <w:rFonts w:hint="eastAsia" w:ascii="仿宋" w:hAnsi="仿宋" w:eastAsia="仿宋" w:cs="仿宋"/>
          <w:color w:val="auto"/>
          <w:szCs w:val="21"/>
          <w:highlight w:val="none"/>
        </w:rPr>
        <w:t>。</w:t>
      </w:r>
    </w:p>
    <w:p w14:paraId="0255F03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九、本保函自我方法定代表人或授权代表签字并加盖公章之日起生效。</w:t>
      </w:r>
    </w:p>
    <w:p w14:paraId="6F900FA0">
      <w:pPr>
        <w:pStyle w:val="30"/>
        <w:spacing w:line="360" w:lineRule="auto"/>
        <w:ind w:firstLine="420" w:firstLineChars="200"/>
        <w:rPr>
          <w:rFonts w:ascii="仿宋" w:hAnsi="仿宋" w:eastAsia="仿宋" w:cs="仿宋"/>
          <w:color w:val="auto"/>
          <w:szCs w:val="21"/>
          <w:highlight w:val="none"/>
        </w:rPr>
      </w:pPr>
    </w:p>
    <w:p w14:paraId="20499B4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开立人：（公章）</w:t>
      </w:r>
    </w:p>
    <w:p w14:paraId="78A24DE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法定代表人（或授权代表）：（签字）</w:t>
      </w:r>
    </w:p>
    <w:p w14:paraId="0C6E073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2B7F0D9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p w14:paraId="1F10607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电话：</w:t>
      </w:r>
    </w:p>
    <w:p w14:paraId="676916E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传真：</w:t>
      </w:r>
    </w:p>
    <w:p w14:paraId="20A5F89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开立时间：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10BE7377">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74A1AF82">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附件8</w:t>
      </w:r>
    </w:p>
    <w:p w14:paraId="3C58D0AA">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预付款保函示范文本</w:t>
      </w:r>
    </w:p>
    <w:p w14:paraId="3CDA9835">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（非独立保函）</w:t>
      </w:r>
    </w:p>
    <w:p w14:paraId="4BCFADC4">
      <w:pPr>
        <w:pStyle w:val="30"/>
        <w:spacing w:line="360" w:lineRule="auto"/>
        <w:ind w:right="1260" w:rightChars="600"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编号：</w:t>
      </w:r>
    </w:p>
    <w:p w14:paraId="2AB7544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担保权人/发包人：</w:t>
      </w:r>
    </w:p>
    <w:p w14:paraId="138D0B0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61E45A5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承包人：</w:t>
      </w:r>
    </w:p>
    <w:p w14:paraId="0FDBA8A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1D87FD3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保证人：</w:t>
      </w:r>
    </w:p>
    <w:p w14:paraId="49CD4FA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5A00CC30">
      <w:pPr>
        <w:pStyle w:val="30"/>
        <w:spacing w:line="360" w:lineRule="auto"/>
        <w:ind w:firstLine="420" w:firstLineChars="200"/>
        <w:rPr>
          <w:rFonts w:ascii="仿宋" w:hAnsi="仿宋" w:eastAsia="仿宋" w:cs="仿宋"/>
          <w:color w:val="auto"/>
          <w:szCs w:val="21"/>
          <w:highlight w:val="none"/>
        </w:rPr>
      </w:pPr>
    </w:p>
    <w:p w14:paraId="6FDF922F">
      <w:pPr>
        <w:pStyle w:val="30"/>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（发包人名称）：</w:t>
      </w:r>
    </w:p>
    <w:p w14:paraId="3C90B98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鉴于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（以下简称“发包人”）与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（以下简称“承包人”）于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日就</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工程（以下简称“本工程”）施工和有关事项协商一致共同签订《</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施工合同》（以下简称“主合同”），我方即保证人基于承包人的请求，同意就承包人按照合同约定正确和合理地为合同目的使用预付款，不将预付款挪作他用，向贵方提供如下保证担保（以下简称“本保证担保”）。</w:t>
      </w:r>
    </w:p>
    <w:p w14:paraId="6D4E65A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一、保证担保的范围及保证担保金额</w:t>
      </w:r>
    </w:p>
    <w:p w14:paraId="1713755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1.保证担保范围：申请人未按照合同约定正确和合理地为合同目的使用预付款，应当向贵方承担的违约责任和赔偿因此造成的损失、利息、律师费、诉讼费用、财产保全费用、强制执行申请费等实现债权的费用。</w:t>
      </w:r>
    </w:p>
    <w:p w14:paraId="05C311A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2.保证担保金额最高不超过人民币（大写）</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元（¥</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447D5C8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二、保证担保的方式及保证期间</w:t>
      </w:r>
    </w:p>
    <w:p w14:paraId="6FF26A0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1.保证担保方式：连带责任保证。</w:t>
      </w:r>
    </w:p>
    <w:p w14:paraId="177A6E0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2.保证期间：自出具之日起至发包人全额扣回预付款后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日止，最迟不超过</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77D54D8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三、承担保证担保责任的形式</w:t>
      </w:r>
    </w:p>
    <w:p w14:paraId="5B9D05B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发生应承担保证责任情形的，我方在保证金额内向贵方支付，并赔偿因此给贵方造成的损失，以及利息和律师费、诉讼费用等实现债权的费用。</w:t>
      </w:r>
    </w:p>
    <w:p w14:paraId="729B1AB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四、代偿的安排</w:t>
      </w:r>
    </w:p>
    <w:p w14:paraId="2B0EB93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595E34F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2.我方收到贵方的书面索赔通知及相应证明材料后，在</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工作日内进行核定后按照本保函的承诺承担保证责任。</w:t>
      </w:r>
    </w:p>
    <w:p w14:paraId="1F75AAE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五、保证担保责任的解除</w:t>
      </w:r>
    </w:p>
    <w:p w14:paraId="505DFD0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1.保证期间届满贵方未向我方书面主张保证责任的，自保证期间届满次日起，我方解除保证责任。</w:t>
      </w:r>
    </w:p>
    <w:p w14:paraId="0256320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2.我方按照本保证担保向贵方履行了保证担保责任后，自我方向贵方支付的金额达到最高保证担保金额之日起，保证担保责任解除。</w:t>
      </w:r>
    </w:p>
    <w:p w14:paraId="6DA410D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3.按照法律法规的规定应解除我方保证担保责任的其它情形的，我方在本保证担保项下的保证担保责任亦解除。</w:t>
      </w:r>
    </w:p>
    <w:p w14:paraId="5B09D8D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38B43EF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六、免责条款</w:t>
      </w:r>
    </w:p>
    <w:p w14:paraId="3B565D1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1.因贵方原因致使发生应承担保证责任情形的，我方不承担保证担保责任。</w:t>
      </w:r>
    </w:p>
    <w:p w14:paraId="021667C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2.依照法律规定或贵方与承包人的另行约定，免除承包人部分或全部义务的，我方亦免除其相应的保证担保责任。</w:t>
      </w:r>
    </w:p>
    <w:p w14:paraId="470C97E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3.因不可抗力造成发生应承担保证责任情形的，我方不承担保证担保责任。</w:t>
      </w:r>
    </w:p>
    <w:p w14:paraId="7162FB8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七、其他</w:t>
      </w:r>
    </w:p>
    <w:p w14:paraId="51BA5FF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1.本保证担保项下的权利不得转让，不得设定担保。贵方未经我方书面同意转让本保证担保或其项下任何权利，对我方不发生法律效力。</w:t>
      </w:r>
    </w:p>
    <w:p w14:paraId="33D8A74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2.本保证担保适用的法律为中华人民共和国法律，争议裁判管辖地为中华人民共和国</w:t>
      </w:r>
      <w:r>
        <w:rPr>
          <w:rFonts w:hint="eastAsia" w:ascii="仿宋" w:hAnsi="仿宋" w:eastAsia="仿宋" w:cs="仿宋"/>
          <w:color w:val="auto"/>
          <w:szCs w:val="21"/>
          <w:highlight w:val="none"/>
          <w:u w:val="single"/>
        </w:rPr>
        <w:t>广西壮族自治区南宁市</w:t>
      </w:r>
      <w:r>
        <w:rPr>
          <w:rFonts w:hint="eastAsia" w:ascii="仿宋" w:hAnsi="仿宋" w:eastAsia="仿宋" w:cs="仿宋"/>
          <w:color w:val="auto"/>
          <w:szCs w:val="21"/>
          <w:highlight w:val="none"/>
        </w:rPr>
        <w:t>。</w:t>
      </w:r>
    </w:p>
    <w:p w14:paraId="7F6ACA6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3.本保证担保自我方法定代表人或授权代表签字并加盖公章之日起生效。</w:t>
      </w:r>
    </w:p>
    <w:p w14:paraId="1D11A719">
      <w:pPr>
        <w:pStyle w:val="30"/>
        <w:spacing w:line="360" w:lineRule="auto"/>
        <w:ind w:firstLine="420" w:firstLineChars="200"/>
        <w:rPr>
          <w:rFonts w:ascii="仿宋" w:hAnsi="仿宋" w:eastAsia="仿宋" w:cs="仿宋"/>
          <w:color w:val="auto"/>
          <w:szCs w:val="21"/>
          <w:highlight w:val="none"/>
        </w:rPr>
      </w:pPr>
    </w:p>
    <w:p w14:paraId="30F36E7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保证人：（公章）</w:t>
      </w:r>
    </w:p>
    <w:p w14:paraId="5A0BA59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法定代表人（或授权代表）：（签字）</w:t>
      </w:r>
    </w:p>
    <w:p w14:paraId="5FF83CE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29D2E29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p w14:paraId="3C78CE3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电话：</w:t>
      </w:r>
    </w:p>
    <w:p w14:paraId="3A8CB8A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传真：</w:t>
      </w:r>
    </w:p>
    <w:p w14:paraId="6097052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时间：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679F98EF">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76A6159A">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附件9：</w:t>
      </w:r>
    </w:p>
    <w:p w14:paraId="4E5018A5">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支付保函示范文本</w:t>
      </w:r>
    </w:p>
    <w:p w14:paraId="24FC4DB4">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（独立保函）</w:t>
      </w:r>
    </w:p>
    <w:p w14:paraId="2522A178">
      <w:pPr>
        <w:pStyle w:val="30"/>
        <w:spacing w:line="360" w:lineRule="auto"/>
        <w:ind w:right="1260" w:rightChars="600"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编号：</w:t>
      </w:r>
    </w:p>
    <w:p w14:paraId="7FA22FB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申请人：</w:t>
      </w:r>
    </w:p>
    <w:p w14:paraId="1EC6656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3CB48AC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受益人：</w:t>
      </w:r>
    </w:p>
    <w:p w14:paraId="167D16B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47DAA32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开立人：</w:t>
      </w:r>
    </w:p>
    <w:p w14:paraId="38964A1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3CC2E7AB">
      <w:pPr>
        <w:pStyle w:val="30"/>
        <w:spacing w:line="360" w:lineRule="auto"/>
        <w:ind w:firstLine="420" w:firstLineChars="200"/>
        <w:rPr>
          <w:rFonts w:ascii="仿宋" w:hAnsi="仿宋" w:eastAsia="仿宋" w:cs="仿宋"/>
          <w:color w:val="auto"/>
          <w:szCs w:val="21"/>
          <w:highlight w:val="none"/>
        </w:rPr>
      </w:pPr>
    </w:p>
    <w:p w14:paraId="75E4D5BF">
      <w:pPr>
        <w:pStyle w:val="30"/>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（受益人名称）：</w:t>
      </w:r>
    </w:p>
    <w:p w14:paraId="4558954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鉴于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（以下简称“受益人”）与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（以下简称“申请人”）于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日就</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工程（以下简称“本工程”）施工和有关事项协商一致共同签订《</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施工合同》（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w:t>
      </w:r>
    </w:p>
    <w:p w14:paraId="0E02D39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一、本保函担保范围：申请人未履行基础合同约定的工程款支付义务，应当向贵方承担的违约责任和赔偿因此造成的损失、利息、律师费、诉讼费用、财产保全费用、强制执行申请费等实现债权的费用。</w:t>
      </w:r>
    </w:p>
    <w:p w14:paraId="4C736D6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二、本保函担保金额最高不超过人民币（大写）</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元（¥</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03320B9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三、本保函有效期自开立之日起至基础合同约定的除工程质量保修金以外的全部工程结算款项支付之日后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日止，最迟不超过</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42818E9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四、我方承诺，在收到受益人发来的书面付款通知后的日内无条件支付，前述书面付款通知即为付款要求之单据，且应满足以下要求：</w:t>
      </w:r>
    </w:p>
    <w:p w14:paraId="4B01A00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（1）付款通知到达的日期在本保函的有效期内；</w:t>
      </w:r>
    </w:p>
    <w:p w14:paraId="543C7CA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（2）载明要求支付的金额；</w:t>
      </w:r>
    </w:p>
    <w:p w14:paraId="37F1258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（3）载明申请人违反合同义务的条款和内容；</w:t>
      </w:r>
    </w:p>
    <w:p w14:paraId="34436C5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（4）声明不存在合同文件约定或我国法律规定免除申请人或开立人支付责任的情形；</w:t>
      </w:r>
    </w:p>
    <w:p w14:paraId="62DA488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（5）付款通知应在本保函有效期内到达的地址是：</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0C676E7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受益人发出的书面付款通知应由其为鉴明受益人法定代表人（负责人）或授权代理人签字并加盖公章。</w:t>
      </w:r>
    </w:p>
    <w:p w14:paraId="3A2772A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五、本保函项下的权利不得转让，不得设定担保。贵方未经我方书面同意转让本保函或其项下任何权利，对我方不发生法律效力。</w:t>
      </w:r>
    </w:p>
    <w:p w14:paraId="649DCFF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六、与本保函有关的基础合同不成立、不生效、无效、被撤销、被解除，不影响本保函的独立有效。</w:t>
      </w:r>
    </w:p>
    <w:p w14:paraId="2377B00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七、贵方应在本保函到期后的七日内将本保函正本退回我方注销，但是不论贵方是否按此要求将本保函正本退回我方，我方在本保函项下的义务和责任均在保函有效期到期后自动消灭。</w:t>
      </w:r>
    </w:p>
    <w:p w14:paraId="5C56E52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八、本保函适用的法律为中华人民共和国法律，争议裁判管辖地为中华人民共和国</w:t>
      </w:r>
      <w:r>
        <w:rPr>
          <w:rFonts w:hint="eastAsia" w:ascii="仿宋" w:hAnsi="仿宋" w:eastAsia="仿宋" w:cs="仿宋"/>
          <w:color w:val="auto"/>
          <w:szCs w:val="21"/>
          <w:highlight w:val="none"/>
          <w:u w:val="single"/>
        </w:rPr>
        <w:t>广西壮族自治区南宁市</w:t>
      </w:r>
      <w:r>
        <w:rPr>
          <w:rFonts w:hint="eastAsia" w:ascii="仿宋" w:hAnsi="仿宋" w:eastAsia="仿宋" w:cs="仿宋"/>
          <w:color w:val="auto"/>
          <w:szCs w:val="21"/>
          <w:highlight w:val="none"/>
        </w:rPr>
        <w:t>。</w:t>
      </w:r>
    </w:p>
    <w:p w14:paraId="1366BB1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九、本保函自我方法定代表人或授权代表签字并加盖公章之日起生效。</w:t>
      </w:r>
    </w:p>
    <w:p w14:paraId="333619AE">
      <w:pPr>
        <w:pStyle w:val="30"/>
        <w:spacing w:line="360" w:lineRule="auto"/>
        <w:ind w:firstLine="420" w:firstLineChars="200"/>
        <w:rPr>
          <w:rFonts w:ascii="仿宋" w:hAnsi="仿宋" w:eastAsia="仿宋" w:cs="仿宋"/>
          <w:color w:val="auto"/>
          <w:szCs w:val="21"/>
          <w:highlight w:val="none"/>
        </w:rPr>
      </w:pPr>
    </w:p>
    <w:p w14:paraId="6A72C9C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开立人：（公章）</w:t>
      </w:r>
    </w:p>
    <w:p w14:paraId="0F72869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法定代表人（或授权代表）：（签字）</w:t>
      </w:r>
    </w:p>
    <w:p w14:paraId="7FEB824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66E4777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p w14:paraId="04AE757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电话：</w:t>
      </w:r>
    </w:p>
    <w:p w14:paraId="3B463FD4">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传真：</w:t>
      </w:r>
    </w:p>
    <w:p w14:paraId="577C333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开立时间：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174D39B6">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7BCEB6AB">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附件9：</w:t>
      </w:r>
    </w:p>
    <w:p w14:paraId="4AE69C4F">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支付保函示范文本</w:t>
      </w:r>
    </w:p>
    <w:p w14:paraId="156C1730">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（非独立保函）</w:t>
      </w:r>
    </w:p>
    <w:p w14:paraId="451AF6AE">
      <w:pPr>
        <w:pStyle w:val="30"/>
        <w:spacing w:line="360" w:lineRule="auto"/>
        <w:ind w:right="1260" w:rightChars="600"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编号：</w:t>
      </w:r>
    </w:p>
    <w:p w14:paraId="699B119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w:t>
      </w:r>
    </w:p>
    <w:p w14:paraId="47E0398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3CF6198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担保权人/承包人：</w:t>
      </w:r>
    </w:p>
    <w:p w14:paraId="4F985D1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6A49590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保证人：</w:t>
      </w:r>
    </w:p>
    <w:p w14:paraId="0270275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4504260F">
      <w:pPr>
        <w:pStyle w:val="30"/>
        <w:spacing w:line="360" w:lineRule="auto"/>
        <w:ind w:firstLine="420" w:firstLineChars="200"/>
        <w:rPr>
          <w:rFonts w:ascii="仿宋" w:hAnsi="仿宋" w:eastAsia="仿宋" w:cs="仿宋"/>
          <w:color w:val="auto"/>
          <w:szCs w:val="21"/>
          <w:highlight w:val="none"/>
        </w:rPr>
      </w:pPr>
    </w:p>
    <w:p w14:paraId="35423EF6">
      <w:pPr>
        <w:pStyle w:val="30"/>
        <w:spacing w:line="360" w:lineRule="auto"/>
        <w:rPr>
          <w:rFonts w:ascii="仿宋" w:hAnsi="仿宋" w:eastAsia="仿宋" w:cs="仿宋"/>
          <w:color w:val="auto"/>
          <w:szCs w:val="21"/>
          <w:highlight w:val="none"/>
        </w:rPr>
      </w:pP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（承包人名称）：</w:t>
      </w:r>
    </w:p>
    <w:p w14:paraId="0C10F53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鉴于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（以下简称“发包人”）与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（以下简称“承包人”）于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日就</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工程（以下简称“本工程”）施工和有关事项协商一致共同签订《</w:t>
      </w:r>
      <w:r>
        <w:rPr>
          <w:rFonts w:hint="eastAsia" w:ascii="仿宋" w:hAnsi="仿宋" w:eastAsia="仿宋" w:cs="仿宋"/>
          <w:color w:val="auto"/>
          <w:szCs w:val="21"/>
          <w:highlight w:val="none"/>
          <w:u w:val="single"/>
        </w:rPr>
        <w:t>壮锦大道国旗灯改造项目</w:t>
      </w:r>
      <w:r>
        <w:rPr>
          <w:rFonts w:hint="eastAsia" w:ascii="仿宋" w:hAnsi="仿宋" w:eastAsia="仿宋" w:cs="仿宋"/>
          <w:color w:val="auto"/>
          <w:szCs w:val="21"/>
          <w:highlight w:val="none"/>
        </w:rPr>
        <w:t>施工合同》（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p>
    <w:p w14:paraId="57FAD0F1">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一、保证担保的范围及保证担保金额</w:t>
      </w:r>
    </w:p>
    <w:p w14:paraId="558EF052">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1.保证担保范围：申请人未履行主合同约定的工程款支付义务，应当向贵方承担的违约责任和赔偿因此造成的损失、利息、律师费、诉讼费用、财产保全费用、强制执行申请费等实现债权的费用。</w:t>
      </w:r>
    </w:p>
    <w:p w14:paraId="74E3BCA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2.保证担保金额最高不超过人民币（大写）</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元（¥</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w:t>
      </w:r>
    </w:p>
    <w:p w14:paraId="6F06C598">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二、保证担保的方式及保证期间</w:t>
      </w:r>
    </w:p>
    <w:p w14:paraId="67C17AD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1.保证担保方式：连带责任保证。</w:t>
      </w:r>
    </w:p>
    <w:p w14:paraId="17A1C75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2.保证期间：自出具之日起至主合同约定的除工程质量保修金以外的工程款支付之日后</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日止，最迟不超过</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1FA1803A">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三、承担保证担保责任的形式</w:t>
      </w:r>
    </w:p>
    <w:p w14:paraId="16A7006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发包人未按合同约定向贵方支付主合同项下工程款的，由我方在保证金额内代为支付，并赔偿因此给贵方造成的损失，以及利息和律师费、诉讼费用等实现债权的费用。</w:t>
      </w:r>
    </w:p>
    <w:p w14:paraId="7688846F">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四、代偿的安排</w:t>
      </w:r>
    </w:p>
    <w:p w14:paraId="6CC07A9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1.贵方要求我方承担保证责任的，应向我方发出书面索赔通知及发包人未支付主合同约定工程款的证明材料。索赔通知应写明要求索赔的金额，支付款项应到达的账号。</w:t>
      </w:r>
    </w:p>
    <w:p w14:paraId="67E25FC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2AA75EE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3.我方收到贵方的书面索赔通知及相应证明材料后，在</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工作日内进行核定后按照本保函的承诺承担保证责任。</w:t>
      </w:r>
    </w:p>
    <w:p w14:paraId="79B665AC">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五、保证担保责任的解除</w:t>
      </w:r>
    </w:p>
    <w:p w14:paraId="7F9ADE2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1.保证期间届满贵方未向我方书面主张保证责任的，自保证期间届满次日起，我方解除保证责任。</w:t>
      </w:r>
    </w:p>
    <w:p w14:paraId="7B5C9B9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2.我方按照本保证担保向贵方履行了保证担保责任后，自我方向贵方支付的金额达到最高保证担保金额之日起，保证担保责任解除。</w:t>
      </w:r>
    </w:p>
    <w:p w14:paraId="029C9F1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3.按照法律法规的规定应解除我方保证担保责任的其它情形的，我方在本保证担保项下的保证担保责任亦解除。</w:t>
      </w:r>
    </w:p>
    <w:p w14:paraId="58D97FBB">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11D10E3">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六、免责条款</w:t>
      </w:r>
    </w:p>
    <w:p w14:paraId="622EDE7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1.因贵方原因致使发包人未履行主合同项下工程款付款义务的，我方不承担保证担保责任。</w:t>
      </w:r>
    </w:p>
    <w:p w14:paraId="3DEC9BBE">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2.依照法律规定或贵方与发包人的另行约定，免除发包人部分或全部义务的，我方亦免除其相应的保证担保责任。</w:t>
      </w:r>
    </w:p>
    <w:p w14:paraId="6BC7BDA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3.因不可抗力造成发包人未履行主合同项下工程款付款义务的，我方不承担保证担保责任。</w:t>
      </w:r>
    </w:p>
    <w:p w14:paraId="3F92B5C0">
      <w:pPr>
        <w:pStyle w:val="3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七、其他</w:t>
      </w:r>
    </w:p>
    <w:p w14:paraId="0CAD29FA">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1.本保证担保项下的权利不得转让，不得设定担保。贵方未经我方书面同意转让本保证担保或其项下任何权利，对我方不发生法律效力。</w:t>
      </w:r>
    </w:p>
    <w:p w14:paraId="32551A6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2.本保证担保适用的法律为中华人民共和国法律，争议裁判管辖地为中华人民共和国</w:t>
      </w:r>
      <w:r>
        <w:rPr>
          <w:rFonts w:hint="eastAsia" w:ascii="仿宋" w:hAnsi="仿宋" w:eastAsia="仿宋" w:cs="仿宋"/>
          <w:color w:val="auto"/>
          <w:szCs w:val="21"/>
          <w:highlight w:val="none"/>
          <w:u w:val="single"/>
        </w:rPr>
        <w:t>广西壮族自治区南宁市</w:t>
      </w:r>
      <w:r>
        <w:rPr>
          <w:rFonts w:hint="eastAsia" w:ascii="仿宋" w:hAnsi="仿宋" w:eastAsia="仿宋" w:cs="仿宋"/>
          <w:color w:val="auto"/>
          <w:szCs w:val="21"/>
          <w:highlight w:val="none"/>
        </w:rPr>
        <w:t>。</w:t>
      </w:r>
    </w:p>
    <w:p w14:paraId="3A5E19B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3.本保证担保自我方法定代表人或授权代表签字并加盖公章之日起生效。</w:t>
      </w:r>
    </w:p>
    <w:p w14:paraId="3A35032D">
      <w:pPr>
        <w:pStyle w:val="30"/>
        <w:spacing w:line="360" w:lineRule="auto"/>
        <w:ind w:firstLine="420" w:firstLineChars="200"/>
        <w:rPr>
          <w:rFonts w:ascii="仿宋" w:hAnsi="仿宋" w:eastAsia="仿宋" w:cs="仿宋"/>
          <w:color w:val="auto"/>
          <w:szCs w:val="21"/>
          <w:highlight w:val="none"/>
        </w:rPr>
      </w:pPr>
    </w:p>
    <w:p w14:paraId="70716EE8">
      <w:pPr>
        <w:pStyle w:val="30"/>
        <w:spacing w:line="360" w:lineRule="auto"/>
        <w:ind w:firstLine="420" w:firstLineChars="200"/>
        <w:rPr>
          <w:rFonts w:ascii="仿宋" w:hAnsi="仿宋" w:eastAsia="仿宋" w:cs="仿宋"/>
          <w:color w:val="auto"/>
          <w:szCs w:val="21"/>
          <w:highlight w:val="none"/>
        </w:rPr>
      </w:pPr>
    </w:p>
    <w:p w14:paraId="3E482BE5">
      <w:pPr>
        <w:pStyle w:val="30"/>
        <w:spacing w:line="360" w:lineRule="auto"/>
        <w:ind w:firstLine="420" w:firstLineChars="200"/>
        <w:rPr>
          <w:rFonts w:ascii="仿宋" w:hAnsi="仿宋" w:eastAsia="仿宋" w:cs="仿宋"/>
          <w:color w:val="auto"/>
          <w:szCs w:val="21"/>
          <w:highlight w:val="none"/>
        </w:rPr>
      </w:pPr>
    </w:p>
    <w:p w14:paraId="1D49178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保证人：（公章）</w:t>
      </w:r>
    </w:p>
    <w:p w14:paraId="5857866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法定代表人（或授权代表）：（签字）</w:t>
      </w:r>
    </w:p>
    <w:p w14:paraId="40238C76">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地址：</w:t>
      </w:r>
    </w:p>
    <w:p w14:paraId="1CEC4673">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p w14:paraId="70FE82C7">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电话：</w:t>
      </w:r>
    </w:p>
    <w:p w14:paraId="5996EE8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传真：</w:t>
      </w:r>
    </w:p>
    <w:p w14:paraId="12493BE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时间：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年</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月</w:t>
      </w:r>
      <w:r>
        <w:rPr>
          <w:rFonts w:hint="eastAsia" w:ascii="仿宋" w:hAnsi="仿宋" w:eastAsia="仿宋" w:cs="仿宋"/>
          <w:b/>
          <w:color w:val="auto"/>
          <w:szCs w:val="21"/>
          <w:highlight w:val="none"/>
        </w:rPr>
        <w:t>______</w:t>
      </w:r>
      <w:r>
        <w:rPr>
          <w:rFonts w:hint="eastAsia" w:ascii="仿宋" w:hAnsi="仿宋" w:eastAsia="仿宋" w:cs="仿宋"/>
          <w:color w:val="auto"/>
          <w:szCs w:val="21"/>
          <w:highlight w:val="none"/>
        </w:rPr>
        <w:t>日</w:t>
      </w:r>
    </w:p>
    <w:p w14:paraId="28BEFC7D">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7C94A7B6">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附件10：</w:t>
      </w:r>
    </w:p>
    <w:p w14:paraId="232A01D2">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预付款支付申请（核准）表</w:t>
      </w:r>
    </w:p>
    <w:p w14:paraId="241061DA">
      <w:pPr>
        <w:pStyle w:val="3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工程名称：                                 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3945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noWrap/>
            <w:vAlign w:val="center"/>
          </w:tcPr>
          <w:p w14:paraId="6E1DCE1D">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致：______（发包人全称）</w:t>
            </w:r>
          </w:p>
          <w:p w14:paraId="0C4DB6F6">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我方根据施工合同的约定，现申请支付工程预付款额人民币（大写）______（¥______），请予核准。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60"/>
              <w:gridCol w:w="1701"/>
              <w:gridCol w:w="1701"/>
              <w:gridCol w:w="1723"/>
            </w:tblGrid>
            <w:tr w14:paraId="458A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391CFCBD">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260" w:type="dxa"/>
                  <w:noWrap/>
                </w:tcPr>
                <w:p w14:paraId="1EC06090">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701" w:type="dxa"/>
                  <w:noWrap/>
                </w:tcPr>
                <w:p w14:paraId="6878BD52">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申请金额（元）</w:t>
                  </w:r>
                </w:p>
              </w:tc>
              <w:tc>
                <w:tcPr>
                  <w:tcW w:w="1701" w:type="dxa"/>
                  <w:noWrap/>
                </w:tcPr>
                <w:p w14:paraId="0BFBCBEE">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复核金额（元）</w:t>
                  </w:r>
                </w:p>
              </w:tc>
              <w:tc>
                <w:tcPr>
                  <w:tcW w:w="1723" w:type="dxa"/>
                  <w:noWrap/>
                </w:tcPr>
                <w:p w14:paraId="4B330FDD">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150B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19D3C097">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260" w:type="dxa"/>
                  <w:noWrap/>
                </w:tcPr>
                <w:p w14:paraId="2AA4990B">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已签约合同价款金额</w:t>
                  </w:r>
                </w:p>
              </w:tc>
              <w:tc>
                <w:tcPr>
                  <w:tcW w:w="1701" w:type="dxa"/>
                  <w:noWrap/>
                </w:tcPr>
                <w:p w14:paraId="38941AD1">
                  <w:pPr>
                    <w:pStyle w:val="30"/>
                    <w:jc w:val="center"/>
                    <w:rPr>
                      <w:rFonts w:ascii="仿宋" w:hAnsi="仿宋" w:eastAsia="仿宋" w:cs="仿宋"/>
                      <w:color w:val="auto"/>
                      <w:szCs w:val="21"/>
                      <w:highlight w:val="none"/>
                    </w:rPr>
                  </w:pPr>
                </w:p>
              </w:tc>
              <w:tc>
                <w:tcPr>
                  <w:tcW w:w="1701" w:type="dxa"/>
                  <w:noWrap/>
                </w:tcPr>
                <w:p w14:paraId="33854CDC">
                  <w:pPr>
                    <w:pStyle w:val="30"/>
                    <w:jc w:val="center"/>
                    <w:rPr>
                      <w:rFonts w:ascii="仿宋" w:hAnsi="仿宋" w:eastAsia="仿宋" w:cs="仿宋"/>
                      <w:color w:val="auto"/>
                      <w:szCs w:val="21"/>
                      <w:highlight w:val="none"/>
                    </w:rPr>
                  </w:pPr>
                </w:p>
              </w:tc>
              <w:tc>
                <w:tcPr>
                  <w:tcW w:w="1723" w:type="dxa"/>
                  <w:noWrap/>
                </w:tcPr>
                <w:p w14:paraId="64B78C82">
                  <w:pPr>
                    <w:pStyle w:val="30"/>
                    <w:jc w:val="center"/>
                    <w:rPr>
                      <w:rFonts w:ascii="仿宋" w:hAnsi="仿宋" w:eastAsia="仿宋" w:cs="仿宋"/>
                      <w:color w:val="auto"/>
                      <w:szCs w:val="21"/>
                      <w:highlight w:val="none"/>
                    </w:rPr>
                  </w:pPr>
                </w:p>
              </w:tc>
            </w:tr>
            <w:tr w14:paraId="5AFC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7910530">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260" w:type="dxa"/>
                  <w:noWrap/>
                </w:tcPr>
                <w:p w14:paraId="4D5682D4">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其中：安全文明施工费</w:t>
                  </w:r>
                </w:p>
              </w:tc>
              <w:tc>
                <w:tcPr>
                  <w:tcW w:w="1701" w:type="dxa"/>
                  <w:noWrap/>
                </w:tcPr>
                <w:p w14:paraId="21AB4C63">
                  <w:pPr>
                    <w:pStyle w:val="30"/>
                    <w:jc w:val="center"/>
                    <w:rPr>
                      <w:rFonts w:ascii="仿宋" w:hAnsi="仿宋" w:eastAsia="仿宋" w:cs="仿宋"/>
                      <w:color w:val="auto"/>
                      <w:szCs w:val="21"/>
                      <w:highlight w:val="none"/>
                    </w:rPr>
                  </w:pPr>
                </w:p>
              </w:tc>
              <w:tc>
                <w:tcPr>
                  <w:tcW w:w="1701" w:type="dxa"/>
                  <w:noWrap/>
                </w:tcPr>
                <w:p w14:paraId="7CDA12AE">
                  <w:pPr>
                    <w:pStyle w:val="30"/>
                    <w:jc w:val="center"/>
                    <w:rPr>
                      <w:rFonts w:ascii="仿宋" w:hAnsi="仿宋" w:eastAsia="仿宋" w:cs="仿宋"/>
                      <w:color w:val="auto"/>
                      <w:szCs w:val="21"/>
                      <w:highlight w:val="none"/>
                    </w:rPr>
                  </w:pPr>
                </w:p>
              </w:tc>
              <w:tc>
                <w:tcPr>
                  <w:tcW w:w="1723" w:type="dxa"/>
                  <w:noWrap/>
                </w:tcPr>
                <w:p w14:paraId="1A0B0F4F">
                  <w:pPr>
                    <w:pStyle w:val="30"/>
                    <w:jc w:val="center"/>
                    <w:rPr>
                      <w:rFonts w:ascii="仿宋" w:hAnsi="仿宋" w:eastAsia="仿宋" w:cs="仿宋"/>
                      <w:color w:val="auto"/>
                      <w:szCs w:val="21"/>
                      <w:highlight w:val="none"/>
                    </w:rPr>
                  </w:pPr>
                </w:p>
              </w:tc>
            </w:tr>
            <w:tr w14:paraId="37E2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064E965B">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260" w:type="dxa"/>
                  <w:noWrap/>
                </w:tcPr>
                <w:p w14:paraId="258929FF">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应支付的预付款</w:t>
                  </w:r>
                </w:p>
              </w:tc>
              <w:tc>
                <w:tcPr>
                  <w:tcW w:w="1701" w:type="dxa"/>
                  <w:noWrap/>
                </w:tcPr>
                <w:p w14:paraId="46F9FE53">
                  <w:pPr>
                    <w:pStyle w:val="30"/>
                    <w:jc w:val="center"/>
                    <w:rPr>
                      <w:rFonts w:ascii="仿宋" w:hAnsi="仿宋" w:eastAsia="仿宋" w:cs="仿宋"/>
                      <w:color w:val="auto"/>
                      <w:szCs w:val="21"/>
                      <w:highlight w:val="none"/>
                    </w:rPr>
                  </w:pPr>
                </w:p>
              </w:tc>
              <w:tc>
                <w:tcPr>
                  <w:tcW w:w="1701" w:type="dxa"/>
                  <w:noWrap/>
                </w:tcPr>
                <w:p w14:paraId="7D4F21A5">
                  <w:pPr>
                    <w:pStyle w:val="30"/>
                    <w:jc w:val="center"/>
                    <w:rPr>
                      <w:rFonts w:ascii="仿宋" w:hAnsi="仿宋" w:eastAsia="仿宋" w:cs="仿宋"/>
                      <w:color w:val="auto"/>
                      <w:szCs w:val="21"/>
                      <w:highlight w:val="none"/>
                    </w:rPr>
                  </w:pPr>
                </w:p>
              </w:tc>
              <w:tc>
                <w:tcPr>
                  <w:tcW w:w="1723" w:type="dxa"/>
                  <w:noWrap/>
                </w:tcPr>
                <w:p w14:paraId="7A777A3D">
                  <w:pPr>
                    <w:pStyle w:val="30"/>
                    <w:jc w:val="center"/>
                    <w:rPr>
                      <w:rFonts w:ascii="仿宋" w:hAnsi="仿宋" w:eastAsia="仿宋" w:cs="仿宋"/>
                      <w:color w:val="auto"/>
                      <w:szCs w:val="21"/>
                      <w:highlight w:val="none"/>
                    </w:rPr>
                  </w:pPr>
                </w:p>
              </w:tc>
            </w:tr>
            <w:tr w14:paraId="45E5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7DA74BD">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3260" w:type="dxa"/>
                  <w:noWrap/>
                </w:tcPr>
                <w:p w14:paraId="51D1C7E5">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应支付的安全文明施工费预付款</w:t>
                  </w:r>
                </w:p>
              </w:tc>
              <w:tc>
                <w:tcPr>
                  <w:tcW w:w="1701" w:type="dxa"/>
                  <w:noWrap/>
                </w:tcPr>
                <w:p w14:paraId="03464C0B">
                  <w:pPr>
                    <w:pStyle w:val="30"/>
                    <w:jc w:val="center"/>
                    <w:rPr>
                      <w:rFonts w:ascii="仿宋" w:hAnsi="仿宋" w:eastAsia="仿宋" w:cs="仿宋"/>
                      <w:color w:val="auto"/>
                      <w:szCs w:val="21"/>
                      <w:highlight w:val="none"/>
                    </w:rPr>
                  </w:pPr>
                </w:p>
              </w:tc>
              <w:tc>
                <w:tcPr>
                  <w:tcW w:w="1701" w:type="dxa"/>
                  <w:noWrap/>
                </w:tcPr>
                <w:p w14:paraId="397925BD">
                  <w:pPr>
                    <w:pStyle w:val="30"/>
                    <w:jc w:val="center"/>
                    <w:rPr>
                      <w:rFonts w:ascii="仿宋" w:hAnsi="仿宋" w:eastAsia="仿宋" w:cs="仿宋"/>
                      <w:color w:val="auto"/>
                      <w:szCs w:val="21"/>
                      <w:highlight w:val="none"/>
                    </w:rPr>
                  </w:pPr>
                </w:p>
              </w:tc>
              <w:tc>
                <w:tcPr>
                  <w:tcW w:w="1723" w:type="dxa"/>
                  <w:noWrap/>
                </w:tcPr>
                <w:p w14:paraId="47D65148">
                  <w:pPr>
                    <w:pStyle w:val="30"/>
                    <w:jc w:val="center"/>
                    <w:rPr>
                      <w:rFonts w:ascii="仿宋" w:hAnsi="仿宋" w:eastAsia="仿宋" w:cs="仿宋"/>
                      <w:color w:val="auto"/>
                      <w:szCs w:val="21"/>
                      <w:highlight w:val="none"/>
                    </w:rPr>
                  </w:pPr>
                </w:p>
              </w:tc>
            </w:tr>
            <w:tr w14:paraId="7612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7DFDB21D">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3260" w:type="dxa"/>
                  <w:noWrap/>
                </w:tcPr>
                <w:p w14:paraId="2891AF62">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合计应支付的预付款</w:t>
                  </w:r>
                </w:p>
              </w:tc>
              <w:tc>
                <w:tcPr>
                  <w:tcW w:w="1701" w:type="dxa"/>
                  <w:noWrap/>
                </w:tcPr>
                <w:p w14:paraId="3D03EB4E">
                  <w:pPr>
                    <w:pStyle w:val="30"/>
                    <w:jc w:val="center"/>
                    <w:rPr>
                      <w:rFonts w:ascii="仿宋" w:hAnsi="仿宋" w:eastAsia="仿宋" w:cs="仿宋"/>
                      <w:color w:val="auto"/>
                      <w:szCs w:val="21"/>
                      <w:highlight w:val="none"/>
                    </w:rPr>
                  </w:pPr>
                </w:p>
              </w:tc>
              <w:tc>
                <w:tcPr>
                  <w:tcW w:w="1701" w:type="dxa"/>
                  <w:noWrap/>
                </w:tcPr>
                <w:p w14:paraId="09D7A26B">
                  <w:pPr>
                    <w:pStyle w:val="30"/>
                    <w:jc w:val="center"/>
                    <w:rPr>
                      <w:rFonts w:ascii="仿宋" w:hAnsi="仿宋" w:eastAsia="仿宋" w:cs="仿宋"/>
                      <w:color w:val="auto"/>
                      <w:szCs w:val="21"/>
                      <w:highlight w:val="none"/>
                    </w:rPr>
                  </w:pPr>
                </w:p>
              </w:tc>
              <w:tc>
                <w:tcPr>
                  <w:tcW w:w="1723" w:type="dxa"/>
                  <w:noWrap/>
                </w:tcPr>
                <w:p w14:paraId="096A1CEE">
                  <w:pPr>
                    <w:pStyle w:val="30"/>
                    <w:jc w:val="center"/>
                    <w:rPr>
                      <w:rFonts w:ascii="仿宋" w:hAnsi="仿宋" w:eastAsia="仿宋" w:cs="仿宋"/>
                      <w:color w:val="auto"/>
                      <w:szCs w:val="21"/>
                      <w:highlight w:val="none"/>
                    </w:rPr>
                  </w:pPr>
                </w:p>
              </w:tc>
            </w:tr>
          </w:tbl>
          <w:p w14:paraId="43E10F96">
            <w:pPr>
              <w:pStyle w:val="30"/>
              <w:jc w:val="left"/>
              <w:rPr>
                <w:rFonts w:ascii="仿宋" w:hAnsi="仿宋" w:eastAsia="仿宋" w:cs="仿宋"/>
                <w:color w:val="auto"/>
                <w:szCs w:val="21"/>
                <w:highlight w:val="none"/>
              </w:rPr>
            </w:pPr>
          </w:p>
          <w:p w14:paraId="3B30FB72">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承包人（章）</w:t>
            </w:r>
          </w:p>
          <w:p w14:paraId="19B647E3">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造价人员：______</w:t>
            </w:r>
          </w:p>
          <w:p w14:paraId="76B8A9AC">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承包人代表：______</w:t>
            </w:r>
          </w:p>
          <w:p w14:paraId="72043B9D">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r w14:paraId="187F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noWrap/>
            <w:vAlign w:val="center"/>
          </w:tcPr>
          <w:p w14:paraId="1D2C45AC">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复核意见：</w:t>
            </w:r>
          </w:p>
          <w:p w14:paraId="6D4BF7CC">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□与合同约定不相符，修改意见见附件。</w:t>
            </w:r>
          </w:p>
          <w:p w14:paraId="55E6492C">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□与合同约定相符，具体金额由造价工程师复核。</w:t>
            </w:r>
          </w:p>
          <w:p w14:paraId="450389DB">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监理工程师（签字）：______</w:t>
            </w:r>
          </w:p>
          <w:p w14:paraId="66F3ED11">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c>
          <w:tcPr>
            <w:tcW w:w="4672" w:type="dxa"/>
            <w:noWrap/>
            <w:vAlign w:val="center"/>
          </w:tcPr>
          <w:p w14:paraId="549D5393">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复核意见：</w:t>
            </w:r>
          </w:p>
          <w:p w14:paraId="167BF193">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你方提出的支付申请经复核，应支付预付款金额为人民币（大写）______（¥______）。</w:t>
            </w:r>
          </w:p>
          <w:p w14:paraId="37D2F0EE">
            <w:pPr>
              <w:pStyle w:val="30"/>
              <w:jc w:val="left"/>
              <w:rPr>
                <w:rFonts w:ascii="仿宋" w:hAnsi="仿宋" w:eastAsia="仿宋" w:cs="仿宋"/>
                <w:color w:val="auto"/>
                <w:szCs w:val="21"/>
                <w:highlight w:val="none"/>
              </w:rPr>
            </w:pPr>
          </w:p>
          <w:p w14:paraId="2706627C">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造价工程师（签字）：______</w:t>
            </w:r>
          </w:p>
          <w:p w14:paraId="3CB78C45">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r w14:paraId="528A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noWrap/>
            <w:vAlign w:val="center"/>
          </w:tcPr>
          <w:p w14:paraId="68805F81">
            <w:pPr>
              <w:pStyle w:val="30"/>
              <w:rPr>
                <w:rFonts w:ascii="仿宋" w:hAnsi="仿宋" w:eastAsia="仿宋" w:cs="仿宋"/>
                <w:color w:val="auto"/>
                <w:szCs w:val="21"/>
                <w:highlight w:val="none"/>
              </w:rPr>
            </w:pPr>
            <w:r>
              <w:rPr>
                <w:rFonts w:hint="eastAsia" w:ascii="仿宋" w:hAnsi="仿宋" w:eastAsia="仿宋" w:cs="仿宋"/>
                <w:color w:val="auto"/>
                <w:szCs w:val="21"/>
                <w:highlight w:val="none"/>
              </w:rPr>
              <w:t>审核意见：</w:t>
            </w:r>
          </w:p>
          <w:p w14:paraId="27FAA741">
            <w:pPr>
              <w:pStyle w:val="30"/>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□不同意。</w:t>
            </w:r>
          </w:p>
          <w:p w14:paraId="1F97FD4F">
            <w:pPr>
              <w:pStyle w:val="30"/>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□同意，支付时间为本表签发后的15天内。</w:t>
            </w:r>
          </w:p>
          <w:p w14:paraId="6AD3D735">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发包人（章）：______</w:t>
            </w:r>
          </w:p>
          <w:p w14:paraId="67C05A96">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项目现场代表（签字）：______</w:t>
            </w:r>
          </w:p>
          <w:p w14:paraId="37545D5C">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bl>
    <w:p w14:paraId="54287528">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注：1.在选择栏中的“□”内作标识“√”。</w:t>
      </w:r>
    </w:p>
    <w:p w14:paraId="0EDDA475">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2.本表一式肆份，由承包人填报，发包人、监理人、造价咨询人、承包人各存壹份。</w:t>
      </w:r>
    </w:p>
    <w:p w14:paraId="1C1FE2AE">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224956B7">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附件11：</w:t>
      </w:r>
    </w:p>
    <w:p w14:paraId="6C38C999">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进度款支付申请（核准）表</w:t>
      </w:r>
    </w:p>
    <w:p w14:paraId="659258F2">
      <w:pPr>
        <w:pStyle w:val="3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工程名称：                                 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43E4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344" w:type="dxa"/>
            <w:gridSpan w:val="2"/>
            <w:noWrap/>
            <w:vAlign w:val="center"/>
          </w:tcPr>
          <w:p w14:paraId="5F180A9F">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致：______（发包人全称）</w:t>
            </w:r>
          </w:p>
          <w:p w14:paraId="47B2C1E7">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我方于______至______期间已完成了______工作，根据施工合同的约定，现申请支付本期的合同款额为人民币（大写）______（¥______），请予核准。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906"/>
              <w:gridCol w:w="1701"/>
              <w:gridCol w:w="1559"/>
              <w:gridCol w:w="1559"/>
              <w:gridCol w:w="731"/>
            </w:tblGrid>
            <w:tr w14:paraId="4AEF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1FED77AE">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906" w:type="dxa"/>
                  <w:noWrap/>
                  <w:vAlign w:val="center"/>
                </w:tcPr>
                <w:p w14:paraId="0F2813FD">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701" w:type="dxa"/>
                  <w:noWrap/>
                  <w:vAlign w:val="center"/>
                </w:tcPr>
                <w:p w14:paraId="6C00FB41">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实际金额（元）</w:t>
                  </w:r>
                </w:p>
              </w:tc>
              <w:tc>
                <w:tcPr>
                  <w:tcW w:w="1559" w:type="dxa"/>
                  <w:noWrap/>
                  <w:vAlign w:val="center"/>
                </w:tcPr>
                <w:p w14:paraId="620530AF">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申请金额（元）</w:t>
                  </w:r>
                </w:p>
              </w:tc>
              <w:tc>
                <w:tcPr>
                  <w:tcW w:w="1559" w:type="dxa"/>
                  <w:noWrap/>
                  <w:vAlign w:val="center"/>
                </w:tcPr>
                <w:p w14:paraId="2F102E66">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复核金额（元）</w:t>
                  </w:r>
                </w:p>
              </w:tc>
              <w:tc>
                <w:tcPr>
                  <w:tcW w:w="731" w:type="dxa"/>
                  <w:noWrap/>
                  <w:vAlign w:val="center"/>
                </w:tcPr>
                <w:p w14:paraId="3014A025">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520E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33593BCF">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906" w:type="dxa"/>
                  <w:noWrap/>
                  <w:vAlign w:val="center"/>
                </w:tcPr>
                <w:p w14:paraId="24272358">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累计已完成的工程价款</w:t>
                  </w:r>
                </w:p>
              </w:tc>
              <w:tc>
                <w:tcPr>
                  <w:tcW w:w="1701" w:type="dxa"/>
                  <w:noWrap/>
                  <w:vAlign w:val="center"/>
                </w:tcPr>
                <w:p w14:paraId="3091F0B1">
                  <w:pPr>
                    <w:pStyle w:val="30"/>
                    <w:jc w:val="center"/>
                    <w:rPr>
                      <w:rFonts w:ascii="仿宋" w:hAnsi="仿宋" w:eastAsia="仿宋" w:cs="仿宋"/>
                      <w:color w:val="auto"/>
                      <w:szCs w:val="21"/>
                      <w:highlight w:val="none"/>
                    </w:rPr>
                  </w:pPr>
                </w:p>
              </w:tc>
              <w:tc>
                <w:tcPr>
                  <w:tcW w:w="1559" w:type="dxa"/>
                  <w:noWrap/>
                  <w:vAlign w:val="center"/>
                </w:tcPr>
                <w:p w14:paraId="31D5B477">
                  <w:pPr>
                    <w:pStyle w:val="30"/>
                    <w:jc w:val="center"/>
                    <w:rPr>
                      <w:rFonts w:ascii="仿宋" w:hAnsi="仿宋" w:eastAsia="仿宋" w:cs="仿宋"/>
                      <w:color w:val="auto"/>
                      <w:szCs w:val="21"/>
                      <w:highlight w:val="none"/>
                    </w:rPr>
                  </w:pPr>
                </w:p>
              </w:tc>
              <w:tc>
                <w:tcPr>
                  <w:tcW w:w="1559" w:type="dxa"/>
                  <w:noWrap/>
                  <w:vAlign w:val="center"/>
                </w:tcPr>
                <w:p w14:paraId="6BBA64D7">
                  <w:pPr>
                    <w:pStyle w:val="30"/>
                    <w:jc w:val="center"/>
                    <w:rPr>
                      <w:rFonts w:ascii="仿宋" w:hAnsi="仿宋" w:eastAsia="仿宋" w:cs="仿宋"/>
                      <w:color w:val="auto"/>
                      <w:szCs w:val="21"/>
                      <w:highlight w:val="none"/>
                    </w:rPr>
                  </w:pPr>
                </w:p>
              </w:tc>
              <w:tc>
                <w:tcPr>
                  <w:tcW w:w="731" w:type="dxa"/>
                  <w:noWrap/>
                  <w:vAlign w:val="center"/>
                </w:tcPr>
                <w:p w14:paraId="38D93881">
                  <w:pPr>
                    <w:pStyle w:val="30"/>
                    <w:jc w:val="center"/>
                    <w:rPr>
                      <w:rFonts w:ascii="仿宋" w:hAnsi="仿宋" w:eastAsia="仿宋" w:cs="仿宋"/>
                      <w:color w:val="auto"/>
                      <w:szCs w:val="21"/>
                      <w:highlight w:val="none"/>
                    </w:rPr>
                  </w:pPr>
                </w:p>
              </w:tc>
            </w:tr>
            <w:tr w14:paraId="571C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789B9FA1">
                  <w:pPr>
                    <w:pStyle w:val="30"/>
                    <w:jc w:val="center"/>
                    <w:rPr>
                      <w:rFonts w:ascii="仿宋" w:hAnsi="仿宋" w:eastAsia="仿宋" w:cs="仿宋"/>
                      <w:color w:val="auto"/>
                      <w:szCs w:val="21"/>
                      <w:highlight w:val="none"/>
                    </w:rPr>
                  </w:pPr>
                </w:p>
              </w:tc>
              <w:tc>
                <w:tcPr>
                  <w:tcW w:w="2906" w:type="dxa"/>
                  <w:noWrap/>
                  <w:vAlign w:val="center"/>
                </w:tcPr>
                <w:p w14:paraId="7E6E8EB9">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其中：人工费</w:t>
                  </w:r>
                </w:p>
              </w:tc>
              <w:tc>
                <w:tcPr>
                  <w:tcW w:w="1701" w:type="dxa"/>
                  <w:noWrap/>
                  <w:vAlign w:val="center"/>
                </w:tcPr>
                <w:p w14:paraId="74EE48A0">
                  <w:pPr>
                    <w:pStyle w:val="30"/>
                    <w:jc w:val="center"/>
                    <w:rPr>
                      <w:rFonts w:ascii="仿宋" w:hAnsi="仿宋" w:eastAsia="仿宋" w:cs="仿宋"/>
                      <w:color w:val="auto"/>
                      <w:szCs w:val="21"/>
                      <w:highlight w:val="none"/>
                    </w:rPr>
                  </w:pPr>
                </w:p>
              </w:tc>
              <w:tc>
                <w:tcPr>
                  <w:tcW w:w="1559" w:type="dxa"/>
                  <w:noWrap/>
                  <w:vAlign w:val="center"/>
                </w:tcPr>
                <w:p w14:paraId="3BC091D9">
                  <w:pPr>
                    <w:pStyle w:val="30"/>
                    <w:jc w:val="center"/>
                    <w:rPr>
                      <w:rFonts w:ascii="仿宋" w:hAnsi="仿宋" w:eastAsia="仿宋" w:cs="仿宋"/>
                      <w:color w:val="auto"/>
                      <w:szCs w:val="21"/>
                      <w:highlight w:val="none"/>
                    </w:rPr>
                  </w:pPr>
                </w:p>
              </w:tc>
              <w:tc>
                <w:tcPr>
                  <w:tcW w:w="1559" w:type="dxa"/>
                  <w:noWrap/>
                  <w:vAlign w:val="center"/>
                </w:tcPr>
                <w:p w14:paraId="41A06788">
                  <w:pPr>
                    <w:pStyle w:val="30"/>
                    <w:jc w:val="center"/>
                    <w:rPr>
                      <w:rFonts w:ascii="仿宋" w:hAnsi="仿宋" w:eastAsia="仿宋" w:cs="仿宋"/>
                      <w:color w:val="auto"/>
                      <w:szCs w:val="21"/>
                      <w:highlight w:val="none"/>
                    </w:rPr>
                  </w:pPr>
                </w:p>
              </w:tc>
              <w:tc>
                <w:tcPr>
                  <w:tcW w:w="731" w:type="dxa"/>
                  <w:noWrap/>
                  <w:vAlign w:val="center"/>
                </w:tcPr>
                <w:p w14:paraId="1C678942">
                  <w:pPr>
                    <w:pStyle w:val="30"/>
                    <w:jc w:val="center"/>
                    <w:rPr>
                      <w:rFonts w:ascii="仿宋" w:hAnsi="仿宋" w:eastAsia="仿宋" w:cs="仿宋"/>
                      <w:color w:val="auto"/>
                      <w:szCs w:val="21"/>
                      <w:highlight w:val="none"/>
                    </w:rPr>
                  </w:pPr>
                </w:p>
              </w:tc>
            </w:tr>
            <w:tr w14:paraId="4BA4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7ADF6361">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906" w:type="dxa"/>
                  <w:noWrap/>
                  <w:vAlign w:val="center"/>
                </w:tcPr>
                <w:p w14:paraId="04DE523D">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累计已实际支付的工程价款</w:t>
                  </w:r>
                </w:p>
              </w:tc>
              <w:tc>
                <w:tcPr>
                  <w:tcW w:w="1701" w:type="dxa"/>
                  <w:noWrap/>
                  <w:vAlign w:val="center"/>
                </w:tcPr>
                <w:p w14:paraId="100A4B89">
                  <w:pPr>
                    <w:pStyle w:val="30"/>
                    <w:jc w:val="center"/>
                    <w:rPr>
                      <w:rFonts w:ascii="仿宋" w:hAnsi="仿宋" w:eastAsia="仿宋" w:cs="仿宋"/>
                      <w:color w:val="auto"/>
                      <w:szCs w:val="21"/>
                      <w:highlight w:val="none"/>
                    </w:rPr>
                  </w:pPr>
                </w:p>
              </w:tc>
              <w:tc>
                <w:tcPr>
                  <w:tcW w:w="1559" w:type="dxa"/>
                  <w:noWrap/>
                  <w:vAlign w:val="center"/>
                </w:tcPr>
                <w:p w14:paraId="46F18A2D">
                  <w:pPr>
                    <w:pStyle w:val="30"/>
                    <w:jc w:val="center"/>
                    <w:rPr>
                      <w:rFonts w:ascii="仿宋" w:hAnsi="仿宋" w:eastAsia="仿宋" w:cs="仿宋"/>
                      <w:color w:val="auto"/>
                      <w:szCs w:val="21"/>
                      <w:highlight w:val="none"/>
                    </w:rPr>
                  </w:pPr>
                </w:p>
              </w:tc>
              <w:tc>
                <w:tcPr>
                  <w:tcW w:w="1559" w:type="dxa"/>
                  <w:noWrap/>
                  <w:vAlign w:val="center"/>
                </w:tcPr>
                <w:p w14:paraId="49B1C315">
                  <w:pPr>
                    <w:pStyle w:val="30"/>
                    <w:jc w:val="center"/>
                    <w:rPr>
                      <w:rFonts w:ascii="仿宋" w:hAnsi="仿宋" w:eastAsia="仿宋" w:cs="仿宋"/>
                      <w:color w:val="auto"/>
                      <w:szCs w:val="21"/>
                      <w:highlight w:val="none"/>
                    </w:rPr>
                  </w:pPr>
                </w:p>
              </w:tc>
              <w:tc>
                <w:tcPr>
                  <w:tcW w:w="731" w:type="dxa"/>
                  <w:noWrap/>
                  <w:vAlign w:val="center"/>
                </w:tcPr>
                <w:p w14:paraId="725D1975">
                  <w:pPr>
                    <w:pStyle w:val="30"/>
                    <w:jc w:val="center"/>
                    <w:rPr>
                      <w:rFonts w:ascii="仿宋" w:hAnsi="仿宋" w:eastAsia="仿宋" w:cs="仿宋"/>
                      <w:color w:val="auto"/>
                      <w:szCs w:val="21"/>
                      <w:highlight w:val="none"/>
                    </w:rPr>
                  </w:pPr>
                </w:p>
              </w:tc>
            </w:tr>
            <w:tr w14:paraId="4C8E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28F4BF4A">
                  <w:pPr>
                    <w:pStyle w:val="30"/>
                    <w:jc w:val="center"/>
                    <w:rPr>
                      <w:rFonts w:ascii="仿宋" w:hAnsi="仿宋" w:eastAsia="仿宋" w:cs="仿宋"/>
                      <w:color w:val="auto"/>
                      <w:szCs w:val="21"/>
                      <w:highlight w:val="none"/>
                    </w:rPr>
                  </w:pPr>
                </w:p>
              </w:tc>
              <w:tc>
                <w:tcPr>
                  <w:tcW w:w="2906" w:type="dxa"/>
                  <w:noWrap/>
                  <w:vAlign w:val="center"/>
                </w:tcPr>
                <w:p w14:paraId="4127AE99">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其中：人工费</w:t>
                  </w:r>
                </w:p>
              </w:tc>
              <w:tc>
                <w:tcPr>
                  <w:tcW w:w="1701" w:type="dxa"/>
                  <w:noWrap/>
                  <w:vAlign w:val="center"/>
                </w:tcPr>
                <w:p w14:paraId="23DBAD4C">
                  <w:pPr>
                    <w:pStyle w:val="30"/>
                    <w:jc w:val="center"/>
                    <w:rPr>
                      <w:rFonts w:ascii="仿宋" w:hAnsi="仿宋" w:eastAsia="仿宋" w:cs="仿宋"/>
                      <w:color w:val="auto"/>
                      <w:szCs w:val="21"/>
                      <w:highlight w:val="none"/>
                    </w:rPr>
                  </w:pPr>
                </w:p>
              </w:tc>
              <w:tc>
                <w:tcPr>
                  <w:tcW w:w="1559" w:type="dxa"/>
                  <w:noWrap/>
                  <w:vAlign w:val="center"/>
                </w:tcPr>
                <w:p w14:paraId="7B9047D8">
                  <w:pPr>
                    <w:pStyle w:val="30"/>
                    <w:jc w:val="center"/>
                    <w:rPr>
                      <w:rFonts w:ascii="仿宋" w:hAnsi="仿宋" w:eastAsia="仿宋" w:cs="仿宋"/>
                      <w:color w:val="auto"/>
                      <w:szCs w:val="21"/>
                      <w:highlight w:val="none"/>
                    </w:rPr>
                  </w:pPr>
                </w:p>
              </w:tc>
              <w:tc>
                <w:tcPr>
                  <w:tcW w:w="1559" w:type="dxa"/>
                  <w:noWrap/>
                  <w:vAlign w:val="center"/>
                </w:tcPr>
                <w:p w14:paraId="62669269">
                  <w:pPr>
                    <w:pStyle w:val="30"/>
                    <w:jc w:val="center"/>
                    <w:rPr>
                      <w:rFonts w:ascii="仿宋" w:hAnsi="仿宋" w:eastAsia="仿宋" w:cs="仿宋"/>
                      <w:color w:val="auto"/>
                      <w:szCs w:val="21"/>
                      <w:highlight w:val="none"/>
                    </w:rPr>
                  </w:pPr>
                </w:p>
              </w:tc>
              <w:tc>
                <w:tcPr>
                  <w:tcW w:w="731" w:type="dxa"/>
                  <w:noWrap/>
                  <w:vAlign w:val="center"/>
                </w:tcPr>
                <w:p w14:paraId="759B0ED7">
                  <w:pPr>
                    <w:pStyle w:val="30"/>
                    <w:jc w:val="center"/>
                    <w:rPr>
                      <w:rFonts w:ascii="仿宋" w:hAnsi="仿宋" w:eastAsia="仿宋" w:cs="仿宋"/>
                      <w:color w:val="auto"/>
                      <w:szCs w:val="21"/>
                      <w:highlight w:val="none"/>
                    </w:rPr>
                  </w:pPr>
                </w:p>
              </w:tc>
            </w:tr>
            <w:tr w14:paraId="476C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26960D81">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906" w:type="dxa"/>
                  <w:noWrap/>
                  <w:vAlign w:val="center"/>
                </w:tcPr>
                <w:p w14:paraId="66283AD7">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本周期已完成的工程价款</w:t>
                  </w:r>
                </w:p>
              </w:tc>
              <w:tc>
                <w:tcPr>
                  <w:tcW w:w="1701" w:type="dxa"/>
                  <w:noWrap/>
                  <w:vAlign w:val="center"/>
                </w:tcPr>
                <w:p w14:paraId="79CAEAC6">
                  <w:pPr>
                    <w:pStyle w:val="30"/>
                    <w:jc w:val="center"/>
                    <w:rPr>
                      <w:rFonts w:ascii="仿宋" w:hAnsi="仿宋" w:eastAsia="仿宋" w:cs="仿宋"/>
                      <w:color w:val="auto"/>
                      <w:szCs w:val="21"/>
                      <w:highlight w:val="none"/>
                    </w:rPr>
                  </w:pPr>
                </w:p>
              </w:tc>
              <w:tc>
                <w:tcPr>
                  <w:tcW w:w="1559" w:type="dxa"/>
                  <w:noWrap/>
                  <w:vAlign w:val="center"/>
                </w:tcPr>
                <w:p w14:paraId="34872AF3">
                  <w:pPr>
                    <w:pStyle w:val="30"/>
                    <w:jc w:val="center"/>
                    <w:rPr>
                      <w:rFonts w:ascii="仿宋" w:hAnsi="仿宋" w:eastAsia="仿宋" w:cs="仿宋"/>
                      <w:color w:val="auto"/>
                      <w:szCs w:val="21"/>
                      <w:highlight w:val="none"/>
                    </w:rPr>
                  </w:pPr>
                </w:p>
              </w:tc>
              <w:tc>
                <w:tcPr>
                  <w:tcW w:w="1559" w:type="dxa"/>
                  <w:noWrap/>
                  <w:vAlign w:val="center"/>
                </w:tcPr>
                <w:p w14:paraId="3C4346FD">
                  <w:pPr>
                    <w:pStyle w:val="30"/>
                    <w:jc w:val="center"/>
                    <w:rPr>
                      <w:rFonts w:ascii="仿宋" w:hAnsi="仿宋" w:eastAsia="仿宋" w:cs="仿宋"/>
                      <w:color w:val="auto"/>
                      <w:szCs w:val="21"/>
                      <w:highlight w:val="none"/>
                    </w:rPr>
                  </w:pPr>
                </w:p>
              </w:tc>
              <w:tc>
                <w:tcPr>
                  <w:tcW w:w="731" w:type="dxa"/>
                  <w:noWrap/>
                  <w:vAlign w:val="center"/>
                </w:tcPr>
                <w:p w14:paraId="038A8775">
                  <w:pPr>
                    <w:pStyle w:val="30"/>
                    <w:jc w:val="center"/>
                    <w:rPr>
                      <w:rFonts w:ascii="仿宋" w:hAnsi="仿宋" w:eastAsia="仿宋" w:cs="仿宋"/>
                      <w:color w:val="auto"/>
                      <w:szCs w:val="21"/>
                      <w:highlight w:val="none"/>
                    </w:rPr>
                  </w:pPr>
                </w:p>
              </w:tc>
            </w:tr>
            <w:tr w14:paraId="2C05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61A19734">
                  <w:pPr>
                    <w:pStyle w:val="30"/>
                    <w:jc w:val="center"/>
                    <w:rPr>
                      <w:rFonts w:ascii="仿宋" w:hAnsi="仿宋" w:eastAsia="仿宋" w:cs="仿宋"/>
                      <w:color w:val="auto"/>
                      <w:szCs w:val="21"/>
                      <w:highlight w:val="none"/>
                    </w:rPr>
                  </w:pPr>
                </w:p>
              </w:tc>
              <w:tc>
                <w:tcPr>
                  <w:tcW w:w="2906" w:type="dxa"/>
                  <w:noWrap/>
                  <w:vAlign w:val="center"/>
                </w:tcPr>
                <w:p w14:paraId="299B45B4">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其中：人工费</w:t>
                  </w:r>
                </w:p>
              </w:tc>
              <w:tc>
                <w:tcPr>
                  <w:tcW w:w="1701" w:type="dxa"/>
                  <w:noWrap/>
                  <w:vAlign w:val="center"/>
                </w:tcPr>
                <w:p w14:paraId="1916FB33">
                  <w:pPr>
                    <w:pStyle w:val="30"/>
                    <w:jc w:val="center"/>
                    <w:rPr>
                      <w:rFonts w:ascii="仿宋" w:hAnsi="仿宋" w:eastAsia="仿宋" w:cs="仿宋"/>
                      <w:color w:val="auto"/>
                      <w:szCs w:val="21"/>
                      <w:highlight w:val="none"/>
                    </w:rPr>
                  </w:pPr>
                </w:p>
              </w:tc>
              <w:tc>
                <w:tcPr>
                  <w:tcW w:w="1559" w:type="dxa"/>
                  <w:noWrap/>
                  <w:vAlign w:val="center"/>
                </w:tcPr>
                <w:p w14:paraId="6FE40C50">
                  <w:pPr>
                    <w:pStyle w:val="30"/>
                    <w:jc w:val="center"/>
                    <w:rPr>
                      <w:rFonts w:ascii="仿宋" w:hAnsi="仿宋" w:eastAsia="仿宋" w:cs="仿宋"/>
                      <w:color w:val="auto"/>
                      <w:szCs w:val="21"/>
                      <w:highlight w:val="none"/>
                    </w:rPr>
                  </w:pPr>
                </w:p>
              </w:tc>
              <w:tc>
                <w:tcPr>
                  <w:tcW w:w="1559" w:type="dxa"/>
                  <w:noWrap/>
                  <w:vAlign w:val="center"/>
                </w:tcPr>
                <w:p w14:paraId="67A24D56">
                  <w:pPr>
                    <w:pStyle w:val="30"/>
                    <w:jc w:val="center"/>
                    <w:rPr>
                      <w:rFonts w:ascii="仿宋" w:hAnsi="仿宋" w:eastAsia="仿宋" w:cs="仿宋"/>
                      <w:color w:val="auto"/>
                      <w:szCs w:val="21"/>
                      <w:highlight w:val="none"/>
                    </w:rPr>
                  </w:pPr>
                </w:p>
              </w:tc>
              <w:tc>
                <w:tcPr>
                  <w:tcW w:w="731" w:type="dxa"/>
                  <w:noWrap/>
                  <w:vAlign w:val="center"/>
                </w:tcPr>
                <w:p w14:paraId="79954DF4">
                  <w:pPr>
                    <w:pStyle w:val="30"/>
                    <w:jc w:val="center"/>
                    <w:rPr>
                      <w:rFonts w:ascii="仿宋" w:hAnsi="仿宋" w:eastAsia="仿宋" w:cs="仿宋"/>
                      <w:color w:val="auto"/>
                      <w:szCs w:val="21"/>
                      <w:highlight w:val="none"/>
                    </w:rPr>
                  </w:pPr>
                </w:p>
              </w:tc>
            </w:tr>
            <w:tr w14:paraId="4DFF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629A5D3F">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906" w:type="dxa"/>
                  <w:noWrap/>
                  <w:vAlign w:val="center"/>
                </w:tcPr>
                <w:p w14:paraId="797FA61B">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本周期应扣减的金额</w:t>
                  </w:r>
                </w:p>
              </w:tc>
              <w:tc>
                <w:tcPr>
                  <w:tcW w:w="1701" w:type="dxa"/>
                  <w:noWrap/>
                  <w:vAlign w:val="center"/>
                </w:tcPr>
                <w:p w14:paraId="7A63E17E">
                  <w:pPr>
                    <w:pStyle w:val="30"/>
                    <w:jc w:val="center"/>
                    <w:rPr>
                      <w:rFonts w:ascii="仿宋" w:hAnsi="仿宋" w:eastAsia="仿宋" w:cs="仿宋"/>
                      <w:color w:val="auto"/>
                      <w:szCs w:val="21"/>
                      <w:highlight w:val="none"/>
                    </w:rPr>
                  </w:pPr>
                </w:p>
              </w:tc>
              <w:tc>
                <w:tcPr>
                  <w:tcW w:w="1559" w:type="dxa"/>
                  <w:noWrap/>
                  <w:vAlign w:val="center"/>
                </w:tcPr>
                <w:p w14:paraId="6DAD4803">
                  <w:pPr>
                    <w:pStyle w:val="30"/>
                    <w:jc w:val="center"/>
                    <w:rPr>
                      <w:rFonts w:ascii="仿宋" w:hAnsi="仿宋" w:eastAsia="仿宋" w:cs="仿宋"/>
                      <w:color w:val="auto"/>
                      <w:szCs w:val="21"/>
                      <w:highlight w:val="none"/>
                    </w:rPr>
                  </w:pPr>
                </w:p>
              </w:tc>
              <w:tc>
                <w:tcPr>
                  <w:tcW w:w="1559" w:type="dxa"/>
                  <w:noWrap/>
                  <w:vAlign w:val="center"/>
                </w:tcPr>
                <w:p w14:paraId="0769B8CA">
                  <w:pPr>
                    <w:pStyle w:val="30"/>
                    <w:jc w:val="center"/>
                    <w:rPr>
                      <w:rFonts w:ascii="仿宋" w:hAnsi="仿宋" w:eastAsia="仿宋" w:cs="仿宋"/>
                      <w:color w:val="auto"/>
                      <w:szCs w:val="21"/>
                      <w:highlight w:val="none"/>
                    </w:rPr>
                  </w:pPr>
                </w:p>
              </w:tc>
              <w:tc>
                <w:tcPr>
                  <w:tcW w:w="731" w:type="dxa"/>
                  <w:noWrap/>
                  <w:vAlign w:val="center"/>
                </w:tcPr>
                <w:p w14:paraId="1A3BE08B">
                  <w:pPr>
                    <w:pStyle w:val="30"/>
                    <w:jc w:val="center"/>
                    <w:rPr>
                      <w:rFonts w:ascii="仿宋" w:hAnsi="仿宋" w:eastAsia="仿宋" w:cs="仿宋"/>
                      <w:color w:val="auto"/>
                      <w:szCs w:val="21"/>
                      <w:highlight w:val="none"/>
                    </w:rPr>
                  </w:pPr>
                </w:p>
              </w:tc>
            </w:tr>
            <w:tr w14:paraId="0405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0CB966BF">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4.1</w:t>
                  </w:r>
                </w:p>
              </w:tc>
              <w:tc>
                <w:tcPr>
                  <w:tcW w:w="2906" w:type="dxa"/>
                  <w:noWrap/>
                  <w:vAlign w:val="center"/>
                </w:tcPr>
                <w:p w14:paraId="60D076A2">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本周期实际应抵扣的预付款</w:t>
                  </w:r>
                </w:p>
              </w:tc>
              <w:tc>
                <w:tcPr>
                  <w:tcW w:w="1701" w:type="dxa"/>
                  <w:noWrap/>
                  <w:vAlign w:val="center"/>
                </w:tcPr>
                <w:p w14:paraId="26773E05">
                  <w:pPr>
                    <w:pStyle w:val="30"/>
                    <w:jc w:val="center"/>
                    <w:rPr>
                      <w:rFonts w:ascii="仿宋" w:hAnsi="仿宋" w:eastAsia="仿宋" w:cs="仿宋"/>
                      <w:color w:val="auto"/>
                      <w:szCs w:val="21"/>
                      <w:highlight w:val="none"/>
                    </w:rPr>
                  </w:pPr>
                </w:p>
              </w:tc>
              <w:tc>
                <w:tcPr>
                  <w:tcW w:w="1559" w:type="dxa"/>
                  <w:noWrap/>
                  <w:vAlign w:val="center"/>
                </w:tcPr>
                <w:p w14:paraId="56409EBE">
                  <w:pPr>
                    <w:pStyle w:val="30"/>
                    <w:jc w:val="center"/>
                    <w:rPr>
                      <w:rFonts w:ascii="仿宋" w:hAnsi="仿宋" w:eastAsia="仿宋" w:cs="仿宋"/>
                      <w:color w:val="auto"/>
                      <w:szCs w:val="21"/>
                      <w:highlight w:val="none"/>
                    </w:rPr>
                  </w:pPr>
                </w:p>
              </w:tc>
              <w:tc>
                <w:tcPr>
                  <w:tcW w:w="1559" w:type="dxa"/>
                  <w:noWrap/>
                  <w:vAlign w:val="center"/>
                </w:tcPr>
                <w:p w14:paraId="3410AD2B">
                  <w:pPr>
                    <w:pStyle w:val="30"/>
                    <w:jc w:val="center"/>
                    <w:rPr>
                      <w:rFonts w:ascii="仿宋" w:hAnsi="仿宋" w:eastAsia="仿宋" w:cs="仿宋"/>
                      <w:color w:val="auto"/>
                      <w:szCs w:val="21"/>
                      <w:highlight w:val="none"/>
                    </w:rPr>
                  </w:pPr>
                </w:p>
              </w:tc>
              <w:tc>
                <w:tcPr>
                  <w:tcW w:w="731" w:type="dxa"/>
                  <w:noWrap/>
                  <w:vAlign w:val="center"/>
                </w:tcPr>
                <w:p w14:paraId="244B407F">
                  <w:pPr>
                    <w:pStyle w:val="30"/>
                    <w:jc w:val="center"/>
                    <w:rPr>
                      <w:rFonts w:ascii="仿宋" w:hAnsi="仿宋" w:eastAsia="仿宋" w:cs="仿宋"/>
                      <w:color w:val="auto"/>
                      <w:szCs w:val="21"/>
                      <w:highlight w:val="none"/>
                    </w:rPr>
                  </w:pPr>
                </w:p>
              </w:tc>
            </w:tr>
            <w:tr w14:paraId="64B9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0AE4407B">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4.2</w:t>
                  </w:r>
                </w:p>
              </w:tc>
              <w:tc>
                <w:tcPr>
                  <w:tcW w:w="2906" w:type="dxa"/>
                  <w:noWrap/>
                  <w:vAlign w:val="center"/>
                </w:tcPr>
                <w:p w14:paraId="67457E58">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本周期应扣减的金额</w:t>
                  </w:r>
                </w:p>
              </w:tc>
              <w:tc>
                <w:tcPr>
                  <w:tcW w:w="1701" w:type="dxa"/>
                  <w:noWrap/>
                  <w:vAlign w:val="center"/>
                </w:tcPr>
                <w:p w14:paraId="30BE9376">
                  <w:pPr>
                    <w:pStyle w:val="30"/>
                    <w:jc w:val="center"/>
                    <w:rPr>
                      <w:rFonts w:ascii="仿宋" w:hAnsi="仿宋" w:eastAsia="仿宋" w:cs="仿宋"/>
                      <w:color w:val="auto"/>
                      <w:szCs w:val="21"/>
                      <w:highlight w:val="none"/>
                    </w:rPr>
                  </w:pPr>
                </w:p>
              </w:tc>
              <w:tc>
                <w:tcPr>
                  <w:tcW w:w="1559" w:type="dxa"/>
                  <w:noWrap/>
                  <w:vAlign w:val="center"/>
                </w:tcPr>
                <w:p w14:paraId="7C668E92">
                  <w:pPr>
                    <w:pStyle w:val="30"/>
                    <w:jc w:val="center"/>
                    <w:rPr>
                      <w:rFonts w:ascii="仿宋" w:hAnsi="仿宋" w:eastAsia="仿宋" w:cs="仿宋"/>
                      <w:color w:val="auto"/>
                      <w:szCs w:val="21"/>
                      <w:highlight w:val="none"/>
                    </w:rPr>
                  </w:pPr>
                </w:p>
              </w:tc>
              <w:tc>
                <w:tcPr>
                  <w:tcW w:w="1559" w:type="dxa"/>
                  <w:noWrap/>
                  <w:vAlign w:val="center"/>
                </w:tcPr>
                <w:p w14:paraId="63D4C074">
                  <w:pPr>
                    <w:pStyle w:val="30"/>
                    <w:jc w:val="center"/>
                    <w:rPr>
                      <w:rFonts w:ascii="仿宋" w:hAnsi="仿宋" w:eastAsia="仿宋" w:cs="仿宋"/>
                      <w:color w:val="auto"/>
                      <w:szCs w:val="21"/>
                      <w:highlight w:val="none"/>
                    </w:rPr>
                  </w:pPr>
                </w:p>
              </w:tc>
              <w:tc>
                <w:tcPr>
                  <w:tcW w:w="731" w:type="dxa"/>
                  <w:noWrap/>
                  <w:vAlign w:val="center"/>
                </w:tcPr>
                <w:p w14:paraId="1E3EFFA2">
                  <w:pPr>
                    <w:pStyle w:val="30"/>
                    <w:jc w:val="center"/>
                    <w:rPr>
                      <w:rFonts w:ascii="仿宋" w:hAnsi="仿宋" w:eastAsia="仿宋" w:cs="仿宋"/>
                      <w:color w:val="auto"/>
                      <w:szCs w:val="21"/>
                      <w:highlight w:val="none"/>
                    </w:rPr>
                  </w:pPr>
                </w:p>
              </w:tc>
            </w:tr>
            <w:tr w14:paraId="0518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1C1ADDA0">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906" w:type="dxa"/>
                  <w:noWrap/>
                  <w:vAlign w:val="center"/>
                </w:tcPr>
                <w:p w14:paraId="2B5FD6AA">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本周期应支付的合同价款</w:t>
                  </w:r>
                </w:p>
              </w:tc>
              <w:tc>
                <w:tcPr>
                  <w:tcW w:w="1701" w:type="dxa"/>
                  <w:noWrap/>
                  <w:vAlign w:val="center"/>
                </w:tcPr>
                <w:p w14:paraId="4B3BCC24">
                  <w:pPr>
                    <w:pStyle w:val="30"/>
                    <w:jc w:val="center"/>
                    <w:rPr>
                      <w:rFonts w:ascii="仿宋" w:hAnsi="仿宋" w:eastAsia="仿宋" w:cs="仿宋"/>
                      <w:color w:val="auto"/>
                      <w:szCs w:val="21"/>
                      <w:highlight w:val="none"/>
                    </w:rPr>
                  </w:pPr>
                </w:p>
              </w:tc>
              <w:tc>
                <w:tcPr>
                  <w:tcW w:w="1559" w:type="dxa"/>
                  <w:noWrap/>
                  <w:vAlign w:val="center"/>
                </w:tcPr>
                <w:p w14:paraId="4103FC68">
                  <w:pPr>
                    <w:pStyle w:val="30"/>
                    <w:jc w:val="center"/>
                    <w:rPr>
                      <w:rFonts w:ascii="仿宋" w:hAnsi="仿宋" w:eastAsia="仿宋" w:cs="仿宋"/>
                      <w:color w:val="auto"/>
                      <w:szCs w:val="21"/>
                      <w:highlight w:val="none"/>
                    </w:rPr>
                  </w:pPr>
                </w:p>
              </w:tc>
              <w:tc>
                <w:tcPr>
                  <w:tcW w:w="1559" w:type="dxa"/>
                  <w:noWrap/>
                  <w:vAlign w:val="center"/>
                </w:tcPr>
                <w:p w14:paraId="1349058F">
                  <w:pPr>
                    <w:pStyle w:val="30"/>
                    <w:jc w:val="center"/>
                    <w:rPr>
                      <w:rFonts w:ascii="仿宋" w:hAnsi="仿宋" w:eastAsia="仿宋" w:cs="仿宋"/>
                      <w:color w:val="auto"/>
                      <w:szCs w:val="21"/>
                      <w:highlight w:val="none"/>
                    </w:rPr>
                  </w:pPr>
                </w:p>
              </w:tc>
              <w:tc>
                <w:tcPr>
                  <w:tcW w:w="731" w:type="dxa"/>
                  <w:noWrap/>
                  <w:vAlign w:val="center"/>
                </w:tcPr>
                <w:p w14:paraId="55C91AA2">
                  <w:pPr>
                    <w:pStyle w:val="30"/>
                    <w:jc w:val="center"/>
                    <w:rPr>
                      <w:rFonts w:ascii="仿宋" w:hAnsi="仿宋" w:eastAsia="仿宋" w:cs="仿宋"/>
                      <w:color w:val="auto"/>
                      <w:szCs w:val="21"/>
                      <w:highlight w:val="none"/>
                    </w:rPr>
                  </w:pPr>
                </w:p>
              </w:tc>
            </w:tr>
            <w:tr w14:paraId="66E8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ign w:val="center"/>
                </w:tcPr>
                <w:p w14:paraId="767A8244">
                  <w:pPr>
                    <w:pStyle w:val="30"/>
                    <w:jc w:val="center"/>
                    <w:rPr>
                      <w:rFonts w:ascii="仿宋" w:hAnsi="仿宋" w:eastAsia="仿宋" w:cs="仿宋"/>
                      <w:color w:val="auto"/>
                      <w:szCs w:val="21"/>
                      <w:highlight w:val="none"/>
                    </w:rPr>
                  </w:pPr>
                </w:p>
              </w:tc>
              <w:tc>
                <w:tcPr>
                  <w:tcW w:w="2906" w:type="dxa"/>
                  <w:noWrap/>
                  <w:vAlign w:val="center"/>
                </w:tcPr>
                <w:p w14:paraId="6778C467">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其中：人工费</w:t>
                  </w:r>
                </w:p>
              </w:tc>
              <w:tc>
                <w:tcPr>
                  <w:tcW w:w="1701" w:type="dxa"/>
                  <w:noWrap/>
                  <w:vAlign w:val="center"/>
                </w:tcPr>
                <w:p w14:paraId="3B77F63D">
                  <w:pPr>
                    <w:pStyle w:val="30"/>
                    <w:jc w:val="center"/>
                    <w:rPr>
                      <w:rFonts w:ascii="仿宋" w:hAnsi="仿宋" w:eastAsia="仿宋" w:cs="仿宋"/>
                      <w:color w:val="auto"/>
                      <w:szCs w:val="21"/>
                      <w:highlight w:val="none"/>
                    </w:rPr>
                  </w:pPr>
                </w:p>
              </w:tc>
              <w:tc>
                <w:tcPr>
                  <w:tcW w:w="1559" w:type="dxa"/>
                  <w:noWrap/>
                  <w:vAlign w:val="center"/>
                </w:tcPr>
                <w:p w14:paraId="203D7BC8">
                  <w:pPr>
                    <w:pStyle w:val="30"/>
                    <w:jc w:val="center"/>
                    <w:rPr>
                      <w:rFonts w:ascii="仿宋" w:hAnsi="仿宋" w:eastAsia="仿宋" w:cs="仿宋"/>
                      <w:color w:val="auto"/>
                      <w:szCs w:val="21"/>
                      <w:highlight w:val="none"/>
                    </w:rPr>
                  </w:pPr>
                </w:p>
              </w:tc>
              <w:tc>
                <w:tcPr>
                  <w:tcW w:w="1559" w:type="dxa"/>
                  <w:noWrap/>
                  <w:vAlign w:val="center"/>
                </w:tcPr>
                <w:p w14:paraId="0FB62917">
                  <w:pPr>
                    <w:pStyle w:val="30"/>
                    <w:jc w:val="center"/>
                    <w:rPr>
                      <w:rFonts w:ascii="仿宋" w:hAnsi="仿宋" w:eastAsia="仿宋" w:cs="仿宋"/>
                      <w:color w:val="auto"/>
                      <w:szCs w:val="21"/>
                      <w:highlight w:val="none"/>
                    </w:rPr>
                  </w:pPr>
                </w:p>
              </w:tc>
              <w:tc>
                <w:tcPr>
                  <w:tcW w:w="731" w:type="dxa"/>
                  <w:noWrap/>
                  <w:vAlign w:val="center"/>
                </w:tcPr>
                <w:p w14:paraId="60133C97">
                  <w:pPr>
                    <w:pStyle w:val="30"/>
                    <w:jc w:val="center"/>
                    <w:rPr>
                      <w:rFonts w:ascii="仿宋" w:hAnsi="仿宋" w:eastAsia="仿宋" w:cs="仿宋"/>
                      <w:color w:val="auto"/>
                      <w:szCs w:val="21"/>
                      <w:highlight w:val="none"/>
                    </w:rPr>
                  </w:pPr>
                </w:p>
              </w:tc>
            </w:tr>
          </w:tbl>
          <w:p w14:paraId="39D2344F">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附：上述3、4详见附件清单。</w:t>
            </w:r>
          </w:p>
          <w:p w14:paraId="4D4CAE38">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承包人（章）</w:t>
            </w:r>
          </w:p>
          <w:p w14:paraId="1F07DE3E">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造价人员：______</w:t>
            </w:r>
          </w:p>
          <w:p w14:paraId="4F4D9F6A">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承包人代表：______</w:t>
            </w:r>
          </w:p>
          <w:p w14:paraId="6DD11664">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r w14:paraId="0720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noWrap/>
            <w:vAlign w:val="center"/>
          </w:tcPr>
          <w:p w14:paraId="176C9BA3">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复核意见：</w:t>
            </w:r>
          </w:p>
          <w:p w14:paraId="1EE449E7">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□与实际施工情况不相符，修改意见见附件。</w:t>
            </w:r>
          </w:p>
          <w:p w14:paraId="041FDD7D">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□与实际施工情况相符，具体金额由造价工程师复核。</w:t>
            </w:r>
          </w:p>
          <w:p w14:paraId="64820D61">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监理工程师（签字）：______</w:t>
            </w:r>
          </w:p>
          <w:p w14:paraId="369A655D">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c>
          <w:tcPr>
            <w:tcW w:w="4672" w:type="dxa"/>
            <w:noWrap/>
            <w:vAlign w:val="center"/>
          </w:tcPr>
          <w:p w14:paraId="645A90AA">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复核意见：</w:t>
            </w:r>
          </w:p>
          <w:p w14:paraId="45E1025A">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你方提出的支付申请经复核，本周期已完成工程价款为人民币（大写）______（¥______），本期间应支付金额为人民币（大写）______（¥______）。</w:t>
            </w:r>
          </w:p>
          <w:p w14:paraId="02FA308B">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造价工程师（签字）：______</w:t>
            </w:r>
          </w:p>
          <w:p w14:paraId="4224B29E">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r w14:paraId="20ED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noWrap/>
            <w:vAlign w:val="center"/>
          </w:tcPr>
          <w:p w14:paraId="3EBEFA5F">
            <w:pPr>
              <w:pStyle w:val="30"/>
              <w:rPr>
                <w:rFonts w:ascii="仿宋" w:hAnsi="仿宋" w:eastAsia="仿宋" w:cs="仿宋"/>
                <w:color w:val="auto"/>
                <w:szCs w:val="21"/>
                <w:highlight w:val="none"/>
              </w:rPr>
            </w:pPr>
            <w:r>
              <w:rPr>
                <w:rFonts w:hint="eastAsia" w:ascii="仿宋" w:hAnsi="仿宋" w:eastAsia="仿宋" w:cs="仿宋"/>
                <w:color w:val="auto"/>
                <w:szCs w:val="21"/>
                <w:highlight w:val="none"/>
              </w:rPr>
              <w:t>审核意见：</w:t>
            </w:r>
          </w:p>
          <w:p w14:paraId="3EABF96B">
            <w:pPr>
              <w:pStyle w:val="30"/>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□不同意。</w:t>
            </w:r>
          </w:p>
          <w:p w14:paraId="1D58B8C1">
            <w:pPr>
              <w:pStyle w:val="30"/>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□同意，支付时间为本表签发后的15天内。</w:t>
            </w:r>
          </w:p>
          <w:p w14:paraId="6F8DE108">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发包人（章）：______</w:t>
            </w:r>
          </w:p>
          <w:p w14:paraId="294A0EBE">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项目现场代表（签字）：______</w:t>
            </w:r>
          </w:p>
          <w:p w14:paraId="472D70E4">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bl>
    <w:p w14:paraId="111BFB81">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注：1.在选择栏中的“□”内作标识“√”。</w:t>
      </w:r>
    </w:p>
    <w:p w14:paraId="669EDCE0">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2.本表一式肆份，由承包人填报，发包人、监理人、造价咨询人、承包人各存壹份。</w:t>
      </w:r>
    </w:p>
    <w:p w14:paraId="3D68C14B">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1DAEB93C">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附件12</w:t>
      </w:r>
    </w:p>
    <w:p w14:paraId="0F03EEEC">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竣工结算款支付申请（核准）表</w:t>
      </w:r>
    </w:p>
    <w:p w14:paraId="715EDEBA">
      <w:pPr>
        <w:pStyle w:val="3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工程名称：                                 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11E2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noWrap/>
            <w:vAlign w:val="center"/>
          </w:tcPr>
          <w:p w14:paraId="44D62450">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致：______（发包人全称）</w:t>
            </w:r>
          </w:p>
          <w:p w14:paraId="4EC879EC">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我方于______至______期间已完成了合同约定的工作，根据施工合同的约定，现申请支付竣工结算的工程款额为人民币（大写）______（¥______），请予核准。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60"/>
              <w:gridCol w:w="1701"/>
              <w:gridCol w:w="1701"/>
              <w:gridCol w:w="1723"/>
            </w:tblGrid>
            <w:tr w14:paraId="20D6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044DB67F">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260" w:type="dxa"/>
                  <w:noWrap/>
                </w:tcPr>
                <w:p w14:paraId="5BA64223">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701" w:type="dxa"/>
                  <w:noWrap/>
                </w:tcPr>
                <w:p w14:paraId="2CA89BB9">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申请金额（元）</w:t>
                  </w:r>
                </w:p>
              </w:tc>
              <w:tc>
                <w:tcPr>
                  <w:tcW w:w="1701" w:type="dxa"/>
                  <w:noWrap/>
                </w:tcPr>
                <w:p w14:paraId="499733DB">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复核金额（元）</w:t>
                  </w:r>
                </w:p>
              </w:tc>
              <w:tc>
                <w:tcPr>
                  <w:tcW w:w="1723" w:type="dxa"/>
                  <w:noWrap/>
                </w:tcPr>
                <w:p w14:paraId="3952EC01">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390F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744A518B">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260" w:type="dxa"/>
                  <w:noWrap/>
                </w:tcPr>
                <w:p w14:paraId="660196F2">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竣工结算合同价款总额</w:t>
                  </w:r>
                </w:p>
              </w:tc>
              <w:tc>
                <w:tcPr>
                  <w:tcW w:w="1701" w:type="dxa"/>
                  <w:noWrap/>
                </w:tcPr>
                <w:p w14:paraId="47F34CBA">
                  <w:pPr>
                    <w:pStyle w:val="30"/>
                    <w:jc w:val="center"/>
                    <w:rPr>
                      <w:rFonts w:ascii="仿宋" w:hAnsi="仿宋" w:eastAsia="仿宋" w:cs="仿宋"/>
                      <w:color w:val="auto"/>
                      <w:szCs w:val="21"/>
                      <w:highlight w:val="none"/>
                    </w:rPr>
                  </w:pPr>
                </w:p>
              </w:tc>
              <w:tc>
                <w:tcPr>
                  <w:tcW w:w="1701" w:type="dxa"/>
                  <w:noWrap/>
                </w:tcPr>
                <w:p w14:paraId="36737F93">
                  <w:pPr>
                    <w:pStyle w:val="30"/>
                    <w:jc w:val="center"/>
                    <w:rPr>
                      <w:rFonts w:ascii="仿宋" w:hAnsi="仿宋" w:eastAsia="仿宋" w:cs="仿宋"/>
                      <w:color w:val="auto"/>
                      <w:szCs w:val="21"/>
                      <w:highlight w:val="none"/>
                    </w:rPr>
                  </w:pPr>
                </w:p>
              </w:tc>
              <w:tc>
                <w:tcPr>
                  <w:tcW w:w="1723" w:type="dxa"/>
                  <w:noWrap/>
                </w:tcPr>
                <w:p w14:paraId="20C9B11B">
                  <w:pPr>
                    <w:pStyle w:val="30"/>
                    <w:jc w:val="center"/>
                    <w:rPr>
                      <w:rFonts w:ascii="仿宋" w:hAnsi="仿宋" w:eastAsia="仿宋" w:cs="仿宋"/>
                      <w:color w:val="auto"/>
                      <w:szCs w:val="21"/>
                      <w:highlight w:val="none"/>
                    </w:rPr>
                  </w:pPr>
                </w:p>
              </w:tc>
            </w:tr>
            <w:tr w14:paraId="378A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8A340E4">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260" w:type="dxa"/>
                  <w:noWrap/>
                </w:tcPr>
                <w:p w14:paraId="7DDE6DEE">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累计已实际支付的合同价款</w:t>
                  </w:r>
                </w:p>
              </w:tc>
              <w:tc>
                <w:tcPr>
                  <w:tcW w:w="1701" w:type="dxa"/>
                  <w:noWrap/>
                </w:tcPr>
                <w:p w14:paraId="24ACF2F5">
                  <w:pPr>
                    <w:pStyle w:val="30"/>
                    <w:jc w:val="center"/>
                    <w:rPr>
                      <w:rFonts w:ascii="仿宋" w:hAnsi="仿宋" w:eastAsia="仿宋" w:cs="仿宋"/>
                      <w:color w:val="auto"/>
                      <w:szCs w:val="21"/>
                      <w:highlight w:val="none"/>
                    </w:rPr>
                  </w:pPr>
                </w:p>
              </w:tc>
              <w:tc>
                <w:tcPr>
                  <w:tcW w:w="1701" w:type="dxa"/>
                  <w:noWrap/>
                </w:tcPr>
                <w:p w14:paraId="1F13F674">
                  <w:pPr>
                    <w:pStyle w:val="30"/>
                    <w:jc w:val="center"/>
                    <w:rPr>
                      <w:rFonts w:ascii="仿宋" w:hAnsi="仿宋" w:eastAsia="仿宋" w:cs="仿宋"/>
                      <w:color w:val="auto"/>
                      <w:szCs w:val="21"/>
                      <w:highlight w:val="none"/>
                    </w:rPr>
                  </w:pPr>
                </w:p>
              </w:tc>
              <w:tc>
                <w:tcPr>
                  <w:tcW w:w="1723" w:type="dxa"/>
                  <w:noWrap/>
                </w:tcPr>
                <w:p w14:paraId="4C995009">
                  <w:pPr>
                    <w:pStyle w:val="30"/>
                    <w:jc w:val="center"/>
                    <w:rPr>
                      <w:rFonts w:ascii="仿宋" w:hAnsi="仿宋" w:eastAsia="仿宋" w:cs="仿宋"/>
                      <w:color w:val="auto"/>
                      <w:szCs w:val="21"/>
                      <w:highlight w:val="none"/>
                    </w:rPr>
                  </w:pPr>
                </w:p>
              </w:tc>
            </w:tr>
            <w:tr w14:paraId="141F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E4F7809">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260" w:type="dxa"/>
                  <w:noWrap/>
                </w:tcPr>
                <w:p w14:paraId="221E99FB">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应预留的质量保证金</w:t>
                  </w:r>
                </w:p>
              </w:tc>
              <w:tc>
                <w:tcPr>
                  <w:tcW w:w="1701" w:type="dxa"/>
                  <w:noWrap/>
                </w:tcPr>
                <w:p w14:paraId="55DE4A19">
                  <w:pPr>
                    <w:pStyle w:val="30"/>
                    <w:jc w:val="center"/>
                    <w:rPr>
                      <w:rFonts w:ascii="仿宋" w:hAnsi="仿宋" w:eastAsia="仿宋" w:cs="仿宋"/>
                      <w:color w:val="auto"/>
                      <w:szCs w:val="21"/>
                      <w:highlight w:val="none"/>
                    </w:rPr>
                  </w:pPr>
                </w:p>
              </w:tc>
              <w:tc>
                <w:tcPr>
                  <w:tcW w:w="1701" w:type="dxa"/>
                  <w:noWrap/>
                </w:tcPr>
                <w:p w14:paraId="4AB2A9C1">
                  <w:pPr>
                    <w:pStyle w:val="30"/>
                    <w:jc w:val="center"/>
                    <w:rPr>
                      <w:rFonts w:ascii="仿宋" w:hAnsi="仿宋" w:eastAsia="仿宋" w:cs="仿宋"/>
                      <w:color w:val="auto"/>
                      <w:szCs w:val="21"/>
                      <w:highlight w:val="none"/>
                    </w:rPr>
                  </w:pPr>
                </w:p>
              </w:tc>
              <w:tc>
                <w:tcPr>
                  <w:tcW w:w="1723" w:type="dxa"/>
                  <w:noWrap/>
                </w:tcPr>
                <w:p w14:paraId="027C7569">
                  <w:pPr>
                    <w:pStyle w:val="30"/>
                    <w:jc w:val="center"/>
                    <w:rPr>
                      <w:rFonts w:ascii="仿宋" w:hAnsi="仿宋" w:eastAsia="仿宋" w:cs="仿宋"/>
                      <w:color w:val="auto"/>
                      <w:szCs w:val="21"/>
                      <w:highlight w:val="none"/>
                    </w:rPr>
                  </w:pPr>
                </w:p>
              </w:tc>
            </w:tr>
            <w:tr w14:paraId="59A2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E61BB4D">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3260" w:type="dxa"/>
                  <w:noWrap/>
                </w:tcPr>
                <w:p w14:paraId="1926E7FF">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应支付的竣工结算款金额</w:t>
                  </w:r>
                </w:p>
              </w:tc>
              <w:tc>
                <w:tcPr>
                  <w:tcW w:w="1701" w:type="dxa"/>
                  <w:noWrap/>
                </w:tcPr>
                <w:p w14:paraId="06ED0993">
                  <w:pPr>
                    <w:pStyle w:val="30"/>
                    <w:jc w:val="center"/>
                    <w:rPr>
                      <w:rFonts w:ascii="仿宋" w:hAnsi="仿宋" w:eastAsia="仿宋" w:cs="仿宋"/>
                      <w:color w:val="auto"/>
                      <w:szCs w:val="21"/>
                      <w:highlight w:val="none"/>
                    </w:rPr>
                  </w:pPr>
                </w:p>
              </w:tc>
              <w:tc>
                <w:tcPr>
                  <w:tcW w:w="1701" w:type="dxa"/>
                  <w:noWrap/>
                </w:tcPr>
                <w:p w14:paraId="5FB8BEAF">
                  <w:pPr>
                    <w:pStyle w:val="30"/>
                    <w:jc w:val="center"/>
                    <w:rPr>
                      <w:rFonts w:ascii="仿宋" w:hAnsi="仿宋" w:eastAsia="仿宋" w:cs="仿宋"/>
                      <w:color w:val="auto"/>
                      <w:szCs w:val="21"/>
                      <w:highlight w:val="none"/>
                    </w:rPr>
                  </w:pPr>
                </w:p>
              </w:tc>
              <w:tc>
                <w:tcPr>
                  <w:tcW w:w="1723" w:type="dxa"/>
                  <w:noWrap/>
                </w:tcPr>
                <w:p w14:paraId="2A6C500D">
                  <w:pPr>
                    <w:pStyle w:val="30"/>
                    <w:jc w:val="center"/>
                    <w:rPr>
                      <w:rFonts w:ascii="仿宋" w:hAnsi="仿宋" w:eastAsia="仿宋" w:cs="仿宋"/>
                      <w:color w:val="auto"/>
                      <w:szCs w:val="21"/>
                      <w:highlight w:val="none"/>
                    </w:rPr>
                  </w:pPr>
                </w:p>
              </w:tc>
            </w:tr>
            <w:tr w14:paraId="5521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6F12B559">
                  <w:pPr>
                    <w:pStyle w:val="30"/>
                    <w:jc w:val="center"/>
                    <w:rPr>
                      <w:rFonts w:ascii="仿宋" w:hAnsi="仿宋" w:eastAsia="仿宋" w:cs="仿宋"/>
                      <w:color w:val="auto"/>
                      <w:szCs w:val="21"/>
                      <w:highlight w:val="none"/>
                    </w:rPr>
                  </w:pPr>
                </w:p>
              </w:tc>
              <w:tc>
                <w:tcPr>
                  <w:tcW w:w="3260" w:type="dxa"/>
                  <w:noWrap/>
                </w:tcPr>
                <w:p w14:paraId="6F5B23A8">
                  <w:pPr>
                    <w:pStyle w:val="30"/>
                    <w:jc w:val="center"/>
                    <w:rPr>
                      <w:rFonts w:ascii="仿宋" w:hAnsi="仿宋" w:eastAsia="仿宋" w:cs="仿宋"/>
                      <w:color w:val="auto"/>
                      <w:szCs w:val="21"/>
                      <w:highlight w:val="none"/>
                    </w:rPr>
                  </w:pPr>
                </w:p>
              </w:tc>
              <w:tc>
                <w:tcPr>
                  <w:tcW w:w="1701" w:type="dxa"/>
                  <w:noWrap/>
                </w:tcPr>
                <w:p w14:paraId="7EB0C42E">
                  <w:pPr>
                    <w:pStyle w:val="30"/>
                    <w:jc w:val="center"/>
                    <w:rPr>
                      <w:rFonts w:ascii="仿宋" w:hAnsi="仿宋" w:eastAsia="仿宋" w:cs="仿宋"/>
                      <w:color w:val="auto"/>
                      <w:szCs w:val="21"/>
                      <w:highlight w:val="none"/>
                    </w:rPr>
                  </w:pPr>
                </w:p>
              </w:tc>
              <w:tc>
                <w:tcPr>
                  <w:tcW w:w="1701" w:type="dxa"/>
                  <w:noWrap/>
                </w:tcPr>
                <w:p w14:paraId="14AEEED0">
                  <w:pPr>
                    <w:pStyle w:val="30"/>
                    <w:jc w:val="center"/>
                    <w:rPr>
                      <w:rFonts w:ascii="仿宋" w:hAnsi="仿宋" w:eastAsia="仿宋" w:cs="仿宋"/>
                      <w:color w:val="auto"/>
                      <w:szCs w:val="21"/>
                      <w:highlight w:val="none"/>
                    </w:rPr>
                  </w:pPr>
                </w:p>
              </w:tc>
              <w:tc>
                <w:tcPr>
                  <w:tcW w:w="1723" w:type="dxa"/>
                  <w:noWrap/>
                </w:tcPr>
                <w:p w14:paraId="0D4B1FAB">
                  <w:pPr>
                    <w:pStyle w:val="30"/>
                    <w:jc w:val="center"/>
                    <w:rPr>
                      <w:rFonts w:ascii="仿宋" w:hAnsi="仿宋" w:eastAsia="仿宋" w:cs="仿宋"/>
                      <w:color w:val="auto"/>
                      <w:szCs w:val="21"/>
                      <w:highlight w:val="none"/>
                    </w:rPr>
                  </w:pPr>
                </w:p>
              </w:tc>
            </w:tr>
          </w:tbl>
          <w:p w14:paraId="6FBC8CDE">
            <w:pPr>
              <w:pStyle w:val="30"/>
              <w:jc w:val="left"/>
              <w:rPr>
                <w:rFonts w:ascii="仿宋" w:hAnsi="仿宋" w:eastAsia="仿宋" w:cs="仿宋"/>
                <w:color w:val="auto"/>
                <w:szCs w:val="21"/>
                <w:highlight w:val="none"/>
              </w:rPr>
            </w:pPr>
          </w:p>
          <w:p w14:paraId="3EC958C0">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承包人（章）</w:t>
            </w:r>
          </w:p>
          <w:p w14:paraId="4A0CD65E">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造价人员：______</w:t>
            </w:r>
          </w:p>
          <w:p w14:paraId="28CE626D">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承包人代表：______</w:t>
            </w:r>
          </w:p>
          <w:p w14:paraId="6EE1278C">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r w14:paraId="33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noWrap/>
            <w:vAlign w:val="center"/>
          </w:tcPr>
          <w:p w14:paraId="5A723D2F">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复核意见：</w:t>
            </w:r>
          </w:p>
          <w:p w14:paraId="3A982AD7">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□与实际施工情况不相符，修改意见见附件。</w:t>
            </w:r>
          </w:p>
          <w:p w14:paraId="350DC2F0">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□与实际施工情况相符，具体金额由造价工程师复核。</w:t>
            </w:r>
          </w:p>
          <w:p w14:paraId="633127E9">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监理工程师（签字）：______</w:t>
            </w:r>
          </w:p>
          <w:p w14:paraId="486DC116">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c>
          <w:tcPr>
            <w:tcW w:w="4672" w:type="dxa"/>
            <w:noWrap/>
            <w:vAlign w:val="center"/>
          </w:tcPr>
          <w:p w14:paraId="017744EE">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复核意见：</w:t>
            </w:r>
          </w:p>
          <w:p w14:paraId="649B5804">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你方提出的竣工结算支付申请经复核，竣工结算款总额为人民币（大写）______（¥______），扣除前期支付以及质量保证金后应支付金额为人民币（大写）______（¥______）。</w:t>
            </w:r>
          </w:p>
          <w:p w14:paraId="0EDB38FE">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造价工程师（签字）：______</w:t>
            </w:r>
          </w:p>
          <w:p w14:paraId="6885C2AD">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r w14:paraId="6AA9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noWrap/>
            <w:vAlign w:val="center"/>
          </w:tcPr>
          <w:p w14:paraId="684EF233">
            <w:pPr>
              <w:pStyle w:val="30"/>
              <w:rPr>
                <w:rFonts w:ascii="仿宋" w:hAnsi="仿宋" w:eastAsia="仿宋" w:cs="仿宋"/>
                <w:color w:val="auto"/>
                <w:szCs w:val="21"/>
                <w:highlight w:val="none"/>
              </w:rPr>
            </w:pPr>
            <w:r>
              <w:rPr>
                <w:rFonts w:hint="eastAsia" w:ascii="仿宋" w:hAnsi="仿宋" w:eastAsia="仿宋" w:cs="仿宋"/>
                <w:color w:val="auto"/>
                <w:szCs w:val="21"/>
                <w:highlight w:val="none"/>
              </w:rPr>
              <w:t>审核意见：</w:t>
            </w:r>
          </w:p>
          <w:p w14:paraId="0753B221">
            <w:pPr>
              <w:pStyle w:val="30"/>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□不同意。</w:t>
            </w:r>
          </w:p>
          <w:p w14:paraId="01FF4742">
            <w:pPr>
              <w:pStyle w:val="30"/>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□同意，支付时间为本表签发后的15天内。</w:t>
            </w:r>
          </w:p>
          <w:p w14:paraId="686CF141">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发包人（章）：______</w:t>
            </w:r>
          </w:p>
          <w:p w14:paraId="4CFD0416">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项目现场代表（签字）：______</w:t>
            </w:r>
          </w:p>
          <w:p w14:paraId="47E7DA2C">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bl>
    <w:p w14:paraId="39D6871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注：1.在选择栏中的“□”内作标识“√”。</w:t>
      </w:r>
    </w:p>
    <w:p w14:paraId="2A2C47CD">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2.本表一式肆份，由承包人填报，发包人、监理人、造价咨询人、承包人各存壹份。</w:t>
      </w:r>
    </w:p>
    <w:p w14:paraId="37C28E8C">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64514175">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附件13：</w:t>
      </w:r>
    </w:p>
    <w:p w14:paraId="12846348">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最终结算款支付申请（核准）表</w:t>
      </w:r>
    </w:p>
    <w:p w14:paraId="4B264DB2">
      <w:pPr>
        <w:pStyle w:val="30"/>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工程名称：                                 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14:paraId="6621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noWrap/>
            <w:vAlign w:val="center"/>
          </w:tcPr>
          <w:p w14:paraId="254B3FF9">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致：______（发包人全称）</w:t>
            </w:r>
          </w:p>
          <w:p w14:paraId="075C751D">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我方于______至______期间已完成了缺陷修复工作，根据施工合同的约定，现申请支付最终结清合同款额为人民币（大写）______（¥______），请予核准。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260"/>
              <w:gridCol w:w="1701"/>
              <w:gridCol w:w="1701"/>
              <w:gridCol w:w="1723"/>
            </w:tblGrid>
            <w:tr w14:paraId="738A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3" w:type="dxa"/>
                  <w:noWrap/>
                </w:tcPr>
                <w:p w14:paraId="2A2AEEBB">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3260" w:type="dxa"/>
                  <w:noWrap/>
                </w:tcPr>
                <w:p w14:paraId="3E7A1843">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701" w:type="dxa"/>
                  <w:noWrap/>
                </w:tcPr>
                <w:p w14:paraId="7DF45963">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申请金额（元）</w:t>
                  </w:r>
                </w:p>
              </w:tc>
              <w:tc>
                <w:tcPr>
                  <w:tcW w:w="1701" w:type="dxa"/>
                  <w:noWrap/>
                </w:tcPr>
                <w:p w14:paraId="4A353C7B">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复核金额（元）</w:t>
                  </w:r>
                </w:p>
              </w:tc>
              <w:tc>
                <w:tcPr>
                  <w:tcW w:w="1723" w:type="dxa"/>
                  <w:noWrap/>
                </w:tcPr>
                <w:p w14:paraId="1314463F">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549F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41BB92ED">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3260" w:type="dxa"/>
                  <w:noWrap/>
                </w:tcPr>
                <w:p w14:paraId="691EE816">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已预留的质量保证金</w:t>
                  </w:r>
                </w:p>
              </w:tc>
              <w:tc>
                <w:tcPr>
                  <w:tcW w:w="1701" w:type="dxa"/>
                  <w:noWrap/>
                </w:tcPr>
                <w:p w14:paraId="4083680E">
                  <w:pPr>
                    <w:pStyle w:val="30"/>
                    <w:jc w:val="center"/>
                    <w:rPr>
                      <w:rFonts w:ascii="仿宋" w:hAnsi="仿宋" w:eastAsia="仿宋" w:cs="仿宋"/>
                      <w:color w:val="auto"/>
                      <w:szCs w:val="21"/>
                      <w:highlight w:val="none"/>
                    </w:rPr>
                  </w:pPr>
                </w:p>
              </w:tc>
              <w:tc>
                <w:tcPr>
                  <w:tcW w:w="1701" w:type="dxa"/>
                  <w:noWrap/>
                </w:tcPr>
                <w:p w14:paraId="109E99E5">
                  <w:pPr>
                    <w:pStyle w:val="30"/>
                    <w:jc w:val="center"/>
                    <w:rPr>
                      <w:rFonts w:ascii="仿宋" w:hAnsi="仿宋" w:eastAsia="仿宋" w:cs="仿宋"/>
                      <w:color w:val="auto"/>
                      <w:szCs w:val="21"/>
                      <w:highlight w:val="none"/>
                    </w:rPr>
                  </w:pPr>
                </w:p>
              </w:tc>
              <w:tc>
                <w:tcPr>
                  <w:tcW w:w="1723" w:type="dxa"/>
                  <w:noWrap/>
                </w:tcPr>
                <w:p w14:paraId="14F55D6D">
                  <w:pPr>
                    <w:pStyle w:val="30"/>
                    <w:jc w:val="center"/>
                    <w:rPr>
                      <w:rFonts w:ascii="仿宋" w:hAnsi="仿宋" w:eastAsia="仿宋" w:cs="仿宋"/>
                      <w:color w:val="auto"/>
                      <w:szCs w:val="21"/>
                      <w:highlight w:val="none"/>
                    </w:rPr>
                  </w:pPr>
                </w:p>
              </w:tc>
            </w:tr>
            <w:tr w14:paraId="7556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0A012CFA">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3260" w:type="dxa"/>
                  <w:noWrap/>
                </w:tcPr>
                <w:p w14:paraId="10F67122">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应增加因发包人原因造成缺陷的修复金额</w:t>
                  </w:r>
                </w:p>
              </w:tc>
              <w:tc>
                <w:tcPr>
                  <w:tcW w:w="1701" w:type="dxa"/>
                  <w:noWrap/>
                </w:tcPr>
                <w:p w14:paraId="1B7F88DF">
                  <w:pPr>
                    <w:pStyle w:val="30"/>
                    <w:jc w:val="center"/>
                    <w:rPr>
                      <w:rFonts w:ascii="仿宋" w:hAnsi="仿宋" w:eastAsia="仿宋" w:cs="仿宋"/>
                      <w:color w:val="auto"/>
                      <w:szCs w:val="21"/>
                      <w:highlight w:val="none"/>
                    </w:rPr>
                  </w:pPr>
                </w:p>
              </w:tc>
              <w:tc>
                <w:tcPr>
                  <w:tcW w:w="1701" w:type="dxa"/>
                  <w:noWrap/>
                </w:tcPr>
                <w:p w14:paraId="62DADE2A">
                  <w:pPr>
                    <w:pStyle w:val="30"/>
                    <w:jc w:val="center"/>
                    <w:rPr>
                      <w:rFonts w:ascii="仿宋" w:hAnsi="仿宋" w:eastAsia="仿宋" w:cs="仿宋"/>
                      <w:color w:val="auto"/>
                      <w:szCs w:val="21"/>
                      <w:highlight w:val="none"/>
                    </w:rPr>
                  </w:pPr>
                </w:p>
              </w:tc>
              <w:tc>
                <w:tcPr>
                  <w:tcW w:w="1723" w:type="dxa"/>
                  <w:noWrap/>
                </w:tcPr>
                <w:p w14:paraId="4C5E73C0">
                  <w:pPr>
                    <w:pStyle w:val="30"/>
                    <w:jc w:val="center"/>
                    <w:rPr>
                      <w:rFonts w:ascii="仿宋" w:hAnsi="仿宋" w:eastAsia="仿宋" w:cs="仿宋"/>
                      <w:color w:val="auto"/>
                      <w:szCs w:val="21"/>
                      <w:highlight w:val="none"/>
                    </w:rPr>
                  </w:pPr>
                </w:p>
              </w:tc>
            </w:tr>
            <w:tr w14:paraId="19B5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06DDFEBA">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3260" w:type="dxa"/>
                  <w:noWrap/>
                </w:tcPr>
                <w:p w14:paraId="125BC7BD">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应扣减承包人不修复缺陷、发包人组织修复的金额</w:t>
                  </w:r>
                </w:p>
              </w:tc>
              <w:tc>
                <w:tcPr>
                  <w:tcW w:w="1701" w:type="dxa"/>
                  <w:noWrap/>
                </w:tcPr>
                <w:p w14:paraId="3301B4CF">
                  <w:pPr>
                    <w:pStyle w:val="30"/>
                    <w:jc w:val="center"/>
                    <w:rPr>
                      <w:rFonts w:ascii="仿宋" w:hAnsi="仿宋" w:eastAsia="仿宋" w:cs="仿宋"/>
                      <w:color w:val="auto"/>
                      <w:szCs w:val="21"/>
                      <w:highlight w:val="none"/>
                    </w:rPr>
                  </w:pPr>
                </w:p>
              </w:tc>
              <w:tc>
                <w:tcPr>
                  <w:tcW w:w="1701" w:type="dxa"/>
                  <w:noWrap/>
                </w:tcPr>
                <w:p w14:paraId="0E45FF96">
                  <w:pPr>
                    <w:pStyle w:val="30"/>
                    <w:jc w:val="center"/>
                    <w:rPr>
                      <w:rFonts w:ascii="仿宋" w:hAnsi="仿宋" w:eastAsia="仿宋" w:cs="仿宋"/>
                      <w:color w:val="auto"/>
                      <w:szCs w:val="21"/>
                      <w:highlight w:val="none"/>
                    </w:rPr>
                  </w:pPr>
                </w:p>
              </w:tc>
              <w:tc>
                <w:tcPr>
                  <w:tcW w:w="1723" w:type="dxa"/>
                  <w:noWrap/>
                </w:tcPr>
                <w:p w14:paraId="7866F778">
                  <w:pPr>
                    <w:pStyle w:val="30"/>
                    <w:jc w:val="center"/>
                    <w:rPr>
                      <w:rFonts w:ascii="仿宋" w:hAnsi="仿宋" w:eastAsia="仿宋" w:cs="仿宋"/>
                      <w:color w:val="auto"/>
                      <w:szCs w:val="21"/>
                      <w:highlight w:val="none"/>
                    </w:rPr>
                  </w:pPr>
                </w:p>
              </w:tc>
            </w:tr>
            <w:tr w14:paraId="4EB5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01789739">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3260" w:type="dxa"/>
                  <w:noWrap/>
                </w:tcPr>
                <w:p w14:paraId="2E98F1B6">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最终应支付的合同价款</w:t>
                  </w:r>
                </w:p>
              </w:tc>
              <w:tc>
                <w:tcPr>
                  <w:tcW w:w="1701" w:type="dxa"/>
                  <w:noWrap/>
                </w:tcPr>
                <w:p w14:paraId="372C4D36">
                  <w:pPr>
                    <w:pStyle w:val="30"/>
                    <w:jc w:val="center"/>
                    <w:rPr>
                      <w:rFonts w:ascii="仿宋" w:hAnsi="仿宋" w:eastAsia="仿宋" w:cs="仿宋"/>
                      <w:color w:val="auto"/>
                      <w:szCs w:val="21"/>
                      <w:highlight w:val="none"/>
                    </w:rPr>
                  </w:pPr>
                </w:p>
              </w:tc>
              <w:tc>
                <w:tcPr>
                  <w:tcW w:w="1701" w:type="dxa"/>
                  <w:noWrap/>
                </w:tcPr>
                <w:p w14:paraId="4AE35699">
                  <w:pPr>
                    <w:pStyle w:val="30"/>
                    <w:jc w:val="center"/>
                    <w:rPr>
                      <w:rFonts w:ascii="仿宋" w:hAnsi="仿宋" w:eastAsia="仿宋" w:cs="仿宋"/>
                      <w:color w:val="auto"/>
                      <w:szCs w:val="21"/>
                      <w:highlight w:val="none"/>
                    </w:rPr>
                  </w:pPr>
                </w:p>
              </w:tc>
              <w:tc>
                <w:tcPr>
                  <w:tcW w:w="1723" w:type="dxa"/>
                  <w:noWrap/>
                </w:tcPr>
                <w:p w14:paraId="63A4FD27">
                  <w:pPr>
                    <w:pStyle w:val="30"/>
                    <w:jc w:val="center"/>
                    <w:rPr>
                      <w:rFonts w:ascii="仿宋" w:hAnsi="仿宋" w:eastAsia="仿宋" w:cs="仿宋"/>
                      <w:color w:val="auto"/>
                      <w:szCs w:val="21"/>
                      <w:highlight w:val="none"/>
                    </w:rPr>
                  </w:pPr>
                </w:p>
              </w:tc>
            </w:tr>
            <w:tr w14:paraId="053A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6D43AC4">
                  <w:pPr>
                    <w:pStyle w:val="30"/>
                    <w:jc w:val="center"/>
                    <w:rPr>
                      <w:rFonts w:ascii="仿宋" w:hAnsi="仿宋" w:eastAsia="仿宋" w:cs="仿宋"/>
                      <w:color w:val="auto"/>
                      <w:szCs w:val="21"/>
                      <w:highlight w:val="none"/>
                    </w:rPr>
                  </w:pPr>
                </w:p>
              </w:tc>
              <w:tc>
                <w:tcPr>
                  <w:tcW w:w="3260" w:type="dxa"/>
                  <w:noWrap/>
                </w:tcPr>
                <w:p w14:paraId="1E02DF32">
                  <w:pPr>
                    <w:pStyle w:val="30"/>
                    <w:jc w:val="center"/>
                    <w:rPr>
                      <w:rFonts w:ascii="仿宋" w:hAnsi="仿宋" w:eastAsia="仿宋" w:cs="仿宋"/>
                      <w:color w:val="auto"/>
                      <w:szCs w:val="21"/>
                      <w:highlight w:val="none"/>
                    </w:rPr>
                  </w:pPr>
                </w:p>
              </w:tc>
              <w:tc>
                <w:tcPr>
                  <w:tcW w:w="1701" w:type="dxa"/>
                  <w:noWrap/>
                </w:tcPr>
                <w:p w14:paraId="358DBD64">
                  <w:pPr>
                    <w:pStyle w:val="30"/>
                    <w:jc w:val="center"/>
                    <w:rPr>
                      <w:rFonts w:ascii="仿宋" w:hAnsi="仿宋" w:eastAsia="仿宋" w:cs="仿宋"/>
                      <w:color w:val="auto"/>
                      <w:szCs w:val="21"/>
                      <w:highlight w:val="none"/>
                    </w:rPr>
                  </w:pPr>
                </w:p>
              </w:tc>
              <w:tc>
                <w:tcPr>
                  <w:tcW w:w="1701" w:type="dxa"/>
                  <w:noWrap/>
                </w:tcPr>
                <w:p w14:paraId="4A6FC3E4">
                  <w:pPr>
                    <w:pStyle w:val="30"/>
                    <w:jc w:val="center"/>
                    <w:rPr>
                      <w:rFonts w:ascii="仿宋" w:hAnsi="仿宋" w:eastAsia="仿宋" w:cs="仿宋"/>
                      <w:color w:val="auto"/>
                      <w:szCs w:val="21"/>
                      <w:highlight w:val="none"/>
                    </w:rPr>
                  </w:pPr>
                </w:p>
              </w:tc>
              <w:tc>
                <w:tcPr>
                  <w:tcW w:w="1723" w:type="dxa"/>
                  <w:noWrap/>
                </w:tcPr>
                <w:p w14:paraId="07985A57">
                  <w:pPr>
                    <w:pStyle w:val="30"/>
                    <w:jc w:val="center"/>
                    <w:rPr>
                      <w:rFonts w:ascii="仿宋" w:hAnsi="仿宋" w:eastAsia="仿宋" w:cs="仿宋"/>
                      <w:color w:val="auto"/>
                      <w:szCs w:val="21"/>
                      <w:highlight w:val="none"/>
                    </w:rPr>
                  </w:pPr>
                </w:p>
              </w:tc>
            </w:tr>
          </w:tbl>
          <w:p w14:paraId="611455CF">
            <w:pPr>
              <w:pStyle w:val="30"/>
              <w:jc w:val="left"/>
              <w:rPr>
                <w:rFonts w:ascii="仿宋" w:hAnsi="仿宋" w:eastAsia="仿宋" w:cs="仿宋"/>
                <w:color w:val="auto"/>
                <w:szCs w:val="21"/>
                <w:highlight w:val="none"/>
              </w:rPr>
            </w:pPr>
          </w:p>
          <w:p w14:paraId="0B1BCF14">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承包人（章）</w:t>
            </w:r>
          </w:p>
          <w:p w14:paraId="47BC83E3">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造价人员：______</w:t>
            </w:r>
          </w:p>
          <w:p w14:paraId="0BA0DA02">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承包人代表：______</w:t>
            </w:r>
          </w:p>
          <w:p w14:paraId="21CB98B7">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r w14:paraId="260B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noWrap/>
            <w:vAlign w:val="center"/>
          </w:tcPr>
          <w:p w14:paraId="6025A734">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复核意见：</w:t>
            </w:r>
          </w:p>
          <w:p w14:paraId="6460E9CA">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□与实际施工情况不相符，修改意见见附件。</w:t>
            </w:r>
          </w:p>
          <w:p w14:paraId="763D90FB">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□与实际施工情况相符，具体金额由造价工程师复核。</w:t>
            </w:r>
          </w:p>
          <w:p w14:paraId="1A8B6B1D">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监理工程师（签字）：______</w:t>
            </w:r>
          </w:p>
          <w:p w14:paraId="051D7016">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c>
          <w:tcPr>
            <w:tcW w:w="4672" w:type="dxa"/>
            <w:noWrap/>
            <w:vAlign w:val="center"/>
          </w:tcPr>
          <w:p w14:paraId="401DD21D">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复核意见：</w:t>
            </w:r>
          </w:p>
          <w:p w14:paraId="18F72B26">
            <w:pPr>
              <w:pStyle w:val="30"/>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你方提出的支付申请经复核，最终应支付金额为人民币（大写）______（¥______）。</w:t>
            </w:r>
          </w:p>
          <w:p w14:paraId="18937283">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造价工程师（签字）：______</w:t>
            </w:r>
          </w:p>
          <w:p w14:paraId="00C6BBB1">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r w14:paraId="1842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44" w:type="dxa"/>
            <w:gridSpan w:val="2"/>
            <w:noWrap/>
            <w:vAlign w:val="center"/>
          </w:tcPr>
          <w:p w14:paraId="012B13E6">
            <w:pPr>
              <w:pStyle w:val="30"/>
              <w:rPr>
                <w:rFonts w:ascii="仿宋" w:hAnsi="仿宋" w:eastAsia="仿宋" w:cs="仿宋"/>
                <w:color w:val="auto"/>
                <w:szCs w:val="21"/>
                <w:highlight w:val="none"/>
              </w:rPr>
            </w:pPr>
            <w:r>
              <w:rPr>
                <w:rFonts w:hint="eastAsia" w:ascii="仿宋" w:hAnsi="仿宋" w:eastAsia="仿宋" w:cs="仿宋"/>
                <w:color w:val="auto"/>
                <w:szCs w:val="21"/>
                <w:highlight w:val="none"/>
              </w:rPr>
              <w:t>审核意见：</w:t>
            </w:r>
          </w:p>
          <w:p w14:paraId="64B409FC">
            <w:pPr>
              <w:pStyle w:val="30"/>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□不同意。</w:t>
            </w:r>
          </w:p>
          <w:p w14:paraId="5B76FC5D">
            <w:pPr>
              <w:pStyle w:val="30"/>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□同意，支付时间为本表签发后的15天内。</w:t>
            </w:r>
          </w:p>
          <w:p w14:paraId="5D0F8E67">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发包人（章）：______</w:t>
            </w:r>
          </w:p>
          <w:p w14:paraId="3A09A52C">
            <w:pPr>
              <w:pStyle w:val="30"/>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项目现场代表（签字）：______</w:t>
            </w:r>
          </w:p>
          <w:p w14:paraId="6F0E18E8">
            <w:pPr>
              <w:pStyle w:val="30"/>
              <w:jc w:val="righ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bl>
    <w:p w14:paraId="01518429">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注：1.在选择栏中的“□”内作标识“√”。如监理人已退场，监理工程师栏可空缺。</w:t>
      </w:r>
    </w:p>
    <w:p w14:paraId="22B8D5FF">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2.本表一式肆份，由承包人填报，发包人、监理人、造价咨询人、承包人各存壹份。</w:t>
      </w:r>
    </w:p>
    <w:p w14:paraId="60350743">
      <w:pPr>
        <w:pStyle w:val="30"/>
        <w:spacing w:line="360" w:lineRule="auto"/>
        <w:rPr>
          <w:rFonts w:ascii="仿宋" w:hAnsi="仿宋" w:eastAsia="仿宋" w:cs="仿宋"/>
          <w:color w:val="auto"/>
          <w:sz w:val="30"/>
          <w:szCs w:val="30"/>
          <w:highlight w:val="none"/>
        </w:rPr>
        <w:sectPr>
          <w:pgSz w:w="11906" w:h="16838"/>
          <w:pgMar w:top="1440" w:right="1134" w:bottom="1440" w:left="1418" w:header="851" w:footer="992" w:gutter="0"/>
          <w:cols w:space="720" w:num="1"/>
          <w:docGrid w:type="lines" w:linePitch="312" w:charSpace="0"/>
        </w:sectPr>
      </w:pPr>
    </w:p>
    <w:p w14:paraId="6F30FD1A">
      <w:pPr>
        <w:pStyle w:val="30"/>
        <w:spacing w:line="360" w:lineRule="auto"/>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附件14：</w:t>
      </w:r>
    </w:p>
    <w:p w14:paraId="7B4D9CA5">
      <w:pPr>
        <w:pStyle w:val="30"/>
        <w:spacing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总价合同进度款支付分解表</w:t>
      </w:r>
    </w:p>
    <w:p w14:paraId="78A1392C">
      <w:pPr>
        <w:pStyle w:val="3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14:paraId="7D55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noWrap/>
            <w:vAlign w:val="center"/>
          </w:tcPr>
          <w:p w14:paraId="027024FE">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进度款期次</w:t>
            </w:r>
          </w:p>
        </w:tc>
        <w:tc>
          <w:tcPr>
            <w:tcW w:w="2336" w:type="dxa"/>
            <w:noWrap/>
            <w:vAlign w:val="center"/>
          </w:tcPr>
          <w:p w14:paraId="4FC9ABB7">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形象进度</w:t>
            </w:r>
          </w:p>
        </w:tc>
        <w:tc>
          <w:tcPr>
            <w:tcW w:w="2336" w:type="dxa"/>
            <w:noWrap/>
            <w:vAlign w:val="center"/>
          </w:tcPr>
          <w:p w14:paraId="7E0C38EA">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进度款付款金额（元）</w:t>
            </w:r>
          </w:p>
        </w:tc>
        <w:tc>
          <w:tcPr>
            <w:tcW w:w="2336" w:type="dxa"/>
            <w:noWrap/>
            <w:vAlign w:val="center"/>
          </w:tcPr>
          <w:p w14:paraId="7EC63729">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1063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noWrap/>
            <w:vAlign w:val="center"/>
          </w:tcPr>
          <w:p w14:paraId="4C62896F">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第一期</w:t>
            </w:r>
          </w:p>
        </w:tc>
        <w:tc>
          <w:tcPr>
            <w:tcW w:w="2336" w:type="dxa"/>
            <w:noWrap/>
            <w:vAlign w:val="center"/>
          </w:tcPr>
          <w:p w14:paraId="17D94835">
            <w:pPr>
              <w:pStyle w:val="30"/>
              <w:jc w:val="center"/>
              <w:rPr>
                <w:rFonts w:ascii="仿宋" w:hAnsi="仿宋" w:eastAsia="仿宋" w:cs="仿宋"/>
                <w:color w:val="auto"/>
                <w:szCs w:val="21"/>
                <w:highlight w:val="none"/>
              </w:rPr>
            </w:pPr>
          </w:p>
        </w:tc>
        <w:tc>
          <w:tcPr>
            <w:tcW w:w="2336" w:type="dxa"/>
            <w:noWrap/>
            <w:vAlign w:val="center"/>
          </w:tcPr>
          <w:p w14:paraId="1B18FD74">
            <w:pPr>
              <w:pStyle w:val="30"/>
              <w:jc w:val="center"/>
              <w:rPr>
                <w:rFonts w:ascii="仿宋" w:hAnsi="仿宋" w:eastAsia="仿宋" w:cs="仿宋"/>
                <w:color w:val="auto"/>
                <w:szCs w:val="21"/>
                <w:highlight w:val="none"/>
              </w:rPr>
            </w:pPr>
          </w:p>
        </w:tc>
        <w:tc>
          <w:tcPr>
            <w:tcW w:w="2336" w:type="dxa"/>
            <w:noWrap/>
            <w:vAlign w:val="center"/>
          </w:tcPr>
          <w:p w14:paraId="238739FE">
            <w:pPr>
              <w:pStyle w:val="30"/>
              <w:jc w:val="center"/>
              <w:rPr>
                <w:rFonts w:ascii="仿宋" w:hAnsi="仿宋" w:eastAsia="仿宋" w:cs="仿宋"/>
                <w:color w:val="auto"/>
                <w:szCs w:val="21"/>
                <w:highlight w:val="none"/>
              </w:rPr>
            </w:pPr>
          </w:p>
        </w:tc>
      </w:tr>
      <w:tr w14:paraId="3C12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noWrap/>
            <w:vAlign w:val="center"/>
          </w:tcPr>
          <w:p w14:paraId="33F63F78">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第二期</w:t>
            </w:r>
          </w:p>
        </w:tc>
        <w:tc>
          <w:tcPr>
            <w:tcW w:w="2336" w:type="dxa"/>
            <w:noWrap/>
            <w:vAlign w:val="center"/>
          </w:tcPr>
          <w:p w14:paraId="30C2F8B8">
            <w:pPr>
              <w:pStyle w:val="30"/>
              <w:jc w:val="center"/>
              <w:rPr>
                <w:rFonts w:ascii="仿宋" w:hAnsi="仿宋" w:eastAsia="仿宋" w:cs="仿宋"/>
                <w:color w:val="auto"/>
                <w:szCs w:val="21"/>
                <w:highlight w:val="none"/>
              </w:rPr>
            </w:pPr>
          </w:p>
        </w:tc>
        <w:tc>
          <w:tcPr>
            <w:tcW w:w="2336" w:type="dxa"/>
            <w:noWrap/>
            <w:vAlign w:val="center"/>
          </w:tcPr>
          <w:p w14:paraId="3FB2CFEE">
            <w:pPr>
              <w:pStyle w:val="30"/>
              <w:jc w:val="center"/>
              <w:rPr>
                <w:rFonts w:ascii="仿宋" w:hAnsi="仿宋" w:eastAsia="仿宋" w:cs="仿宋"/>
                <w:color w:val="auto"/>
                <w:szCs w:val="21"/>
                <w:highlight w:val="none"/>
              </w:rPr>
            </w:pPr>
          </w:p>
        </w:tc>
        <w:tc>
          <w:tcPr>
            <w:tcW w:w="2336" w:type="dxa"/>
            <w:noWrap/>
            <w:vAlign w:val="center"/>
          </w:tcPr>
          <w:p w14:paraId="1C81A93E">
            <w:pPr>
              <w:pStyle w:val="30"/>
              <w:jc w:val="center"/>
              <w:rPr>
                <w:rFonts w:ascii="仿宋" w:hAnsi="仿宋" w:eastAsia="仿宋" w:cs="仿宋"/>
                <w:color w:val="auto"/>
                <w:szCs w:val="21"/>
                <w:highlight w:val="none"/>
              </w:rPr>
            </w:pPr>
          </w:p>
        </w:tc>
      </w:tr>
      <w:tr w14:paraId="7B67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noWrap/>
            <w:vAlign w:val="center"/>
          </w:tcPr>
          <w:p w14:paraId="2F555714">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第三期</w:t>
            </w:r>
          </w:p>
        </w:tc>
        <w:tc>
          <w:tcPr>
            <w:tcW w:w="2336" w:type="dxa"/>
            <w:noWrap/>
            <w:vAlign w:val="center"/>
          </w:tcPr>
          <w:p w14:paraId="7806E32E">
            <w:pPr>
              <w:pStyle w:val="30"/>
              <w:jc w:val="center"/>
              <w:rPr>
                <w:rFonts w:ascii="仿宋" w:hAnsi="仿宋" w:eastAsia="仿宋" w:cs="仿宋"/>
                <w:color w:val="auto"/>
                <w:szCs w:val="21"/>
                <w:highlight w:val="none"/>
              </w:rPr>
            </w:pPr>
          </w:p>
        </w:tc>
        <w:tc>
          <w:tcPr>
            <w:tcW w:w="2336" w:type="dxa"/>
            <w:noWrap/>
            <w:vAlign w:val="center"/>
          </w:tcPr>
          <w:p w14:paraId="1E51AF1B">
            <w:pPr>
              <w:pStyle w:val="30"/>
              <w:jc w:val="center"/>
              <w:rPr>
                <w:rFonts w:ascii="仿宋" w:hAnsi="仿宋" w:eastAsia="仿宋" w:cs="仿宋"/>
                <w:color w:val="auto"/>
                <w:szCs w:val="21"/>
                <w:highlight w:val="none"/>
              </w:rPr>
            </w:pPr>
          </w:p>
        </w:tc>
        <w:tc>
          <w:tcPr>
            <w:tcW w:w="2336" w:type="dxa"/>
            <w:noWrap/>
            <w:vAlign w:val="center"/>
          </w:tcPr>
          <w:p w14:paraId="6D6371C8">
            <w:pPr>
              <w:pStyle w:val="30"/>
              <w:jc w:val="center"/>
              <w:rPr>
                <w:rFonts w:ascii="仿宋" w:hAnsi="仿宋" w:eastAsia="仿宋" w:cs="仿宋"/>
                <w:color w:val="auto"/>
                <w:szCs w:val="21"/>
                <w:highlight w:val="none"/>
              </w:rPr>
            </w:pPr>
          </w:p>
        </w:tc>
      </w:tr>
      <w:tr w14:paraId="032B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6" w:type="dxa"/>
            <w:noWrap/>
            <w:vAlign w:val="center"/>
          </w:tcPr>
          <w:p w14:paraId="3578FDB7">
            <w:pPr>
              <w:pStyle w:val="30"/>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336" w:type="dxa"/>
            <w:noWrap/>
            <w:vAlign w:val="center"/>
          </w:tcPr>
          <w:p w14:paraId="4D840273">
            <w:pPr>
              <w:pStyle w:val="30"/>
              <w:jc w:val="center"/>
              <w:rPr>
                <w:rFonts w:ascii="仿宋" w:hAnsi="仿宋" w:eastAsia="仿宋" w:cs="仿宋"/>
                <w:color w:val="auto"/>
                <w:szCs w:val="21"/>
                <w:highlight w:val="none"/>
              </w:rPr>
            </w:pPr>
          </w:p>
        </w:tc>
        <w:tc>
          <w:tcPr>
            <w:tcW w:w="2336" w:type="dxa"/>
            <w:noWrap/>
            <w:vAlign w:val="center"/>
          </w:tcPr>
          <w:p w14:paraId="793ED53F">
            <w:pPr>
              <w:pStyle w:val="30"/>
              <w:jc w:val="center"/>
              <w:rPr>
                <w:rFonts w:ascii="仿宋" w:hAnsi="仿宋" w:eastAsia="仿宋" w:cs="仿宋"/>
                <w:color w:val="auto"/>
                <w:szCs w:val="21"/>
                <w:highlight w:val="none"/>
              </w:rPr>
            </w:pPr>
          </w:p>
        </w:tc>
        <w:tc>
          <w:tcPr>
            <w:tcW w:w="2336" w:type="dxa"/>
            <w:noWrap/>
            <w:vAlign w:val="center"/>
          </w:tcPr>
          <w:p w14:paraId="449A0A08">
            <w:pPr>
              <w:pStyle w:val="30"/>
              <w:jc w:val="center"/>
              <w:rPr>
                <w:rFonts w:ascii="仿宋" w:hAnsi="仿宋" w:eastAsia="仿宋" w:cs="仿宋"/>
                <w:color w:val="auto"/>
                <w:szCs w:val="21"/>
                <w:highlight w:val="none"/>
              </w:rPr>
            </w:pPr>
          </w:p>
        </w:tc>
      </w:tr>
      <w:tr w14:paraId="1DD6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2" w:type="dxa"/>
            <w:gridSpan w:val="2"/>
            <w:noWrap/>
            <w:vAlign w:val="center"/>
          </w:tcPr>
          <w:p w14:paraId="43370BC5">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项目现场代表签字：</w:t>
            </w:r>
          </w:p>
          <w:p w14:paraId="7FF798FD">
            <w:pPr>
              <w:pStyle w:val="30"/>
              <w:jc w:val="left"/>
              <w:rPr>
                <w:rFonts w:ascii="仿宋" w:hAnsi="仿宋" w:eastAsia="仿宋" w:cs="仿宋"/>
                <w:color w:val="auto"/>
                <w:szCs w:val="21"/>
                <w:highlight w:val="none"/>
              </w:rPr>
            </w:pPr>
          </w:p>
          <w:p w14:paraId="15F66B6A">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发包人（盖公章）：</w:t>
            </w:r>
          </w:p>
          <w:p w14:paraId="2136698A">
            <w:pPr>
              <w:pStyle w:val="30"/>
              <w:jc w:val="left"/>
              <w:rPr>
                <w:rFonts w:ascii="仿宋" w:hAnsi="仿宋" w:eastAsia="仿宋" w:cs="仿宋"/>
                <w:color w:val="auto"/>
                <w:szCs w:val="21"/>
                <w:highlight w:val="none"/>
              </w:rPr>
            </w:pPr>
          </w:p>
          <w:p w14:paraId="0A9125B5">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c>
          <w:tcPr>
            <w:tcW w:w="4672" w:type="dxa"/>
            <w:gridSpan w:val="2"/>
            <w:noWrap/>
            <w:vAlign w:val="center"/>
          </w:tcPr>
          <w:p w14:paraId="38198906">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承包人代表签字：</w:t>
            </w:r>
          </w:p>
          <w:p w14:paraId="47197E54">
            <w:pPr>
              <w:pStyle w:val="30"/>
              <w:jc w:val="left"/>
              <w:rPr>
                <w:rFonts w:ascii="仿宋" w:hAnsi="仿宋" w:eastAsia="仿宋" w:cs="仿宋"/>
                <w:color w:val="auto"/>
                <w:szCs w:val="21"/>
                <w:highlight w:val="none"/>
              </w:rPr>
            </w:pPr>
          </w:p>
          <w:p w14:paraId="03169AE4">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承包人（盖公章）：</w:t>
            </w:r>
          </w:p>
          <w:p w14:paraId="34674847">
            <w:pPr>
              <w:pStyle w:val="30"/>
              <w:jc w:val="left"/>
              <w:rPr>
                <w:rFonts w:ascii="仿宋" w:hAnsi="仿宋" w:eastAsia="仿宋" w:cs="仿宋"/>
                <w:color w:val="auto"/>
                <w:szCs w:val="21"/>
                <w:highlight w:val="none"/>
              </w:rPr>
            </w:pPr>
          </w:p>
          <w:p w14:paraId="2CF6657C">
            <w:pPr>
              <w:pStyle w:val="30"/>
              <w:jc w:val="left"/>
              <w:rPr>
                <w:rFonts w:ascii="仿宋" w:hAnsi="仿宋" w:eastAsia="仿宋" w:cs="仿宋"/>
                <w:color w:val="auto"/>
                <w:szCs w:val="21"/>
                <w:highlight w:val="none"/>
              </w:rPr>
            </w:pPr>
            <w:r>
              <w:rPr>
                <w:rFonts w:hint="eastAsia" w:ascii="仿宋" w:hAnsi="仿宋" w:eastAsia="仿宋" w:cs="仿宋"/>
                <w:color w:val="auto"/>
                <w:szCs w:val="21"/>
                <w:highlight w:val="none"/>
              </w:rPr>
              <w:t>日期：______年______月______日</w:t>
            </w:r>
          </w:p>
        </w:tc>
      </w:tr>
    </w:tbl>
    <w:p w14:paraId="3E190FDE">
      <w:pPr>
        <w:pStyle w:val="30"/>
        <w:spacing w:line="360" w:lineRule="auto"/>
        <w:ind w:firstLine="420" w:firstLineChars="200"/>
        <w:rPr>
          <w:rFonts w:ascii="仿宋" w:hAnsi="仿宋" w:eastAsia="仿宋" w:cs="仿宋"/>
          <w:color w:val="auto"/>
          <w:szCs w:val="21"/>
          <w:highlight w:val="none"/>
        </w:rPr>
      </w:pPr>
    </w:p>
    <w:p w14:paraId="24BD0BED">
      <w:pPr>
        <w:spacing w:line="500" w:lineRule="exact"/>
        <w:rPr>
          <w:rFonts w:ascii="仿宋" w:hAnsi="仿宋" w:eastAsia="仿宋" w:cs="仿宋"/>
          <w:color w:val="auto"/>
          <w:highlight w:val="none"/>
        </w:rPr>
      </w:pPr>
    </w:p>
    <w:p w14:paraId="61258294">
      <w:pPr>
        <w:rPr>
          <w:rFonts w:ascii="仿宋" w:hAnsi="仿宋" w:eastAsia="仿宋" w:cs="仿宋"/>
          <w:color w:val="auto"/>
          <w:highlight w:val="none"/>
        </w:rPr>
      </w:pPr>
    </w:p>
    <w:p w14:paraId="1548E661">
      <w:pPr>
        <w:rPr>
          <w:rFonts w:ascii="仿宋" w:hAnsi="仿宋" w:eastAsia="仿宋" w:cs="仿宋"/>
          <w:color w:val="auto"/>
          <w:highlight w:val="none"/>
        </w:rPr>
      </w:pPr>
    </w:p>
    <w:p w14:paraId="5A1CBCF0">
      <w:pPr>
        <w:rPr>
          <w:rFonts w:ascii="仿宋" w:hAnsi="仿宋" w:eastAsia="仿宋" w:cs="仿宋"/>
          <w:color w:val="auto"/>
          <w:highlight w:val="none"/>
        </w:rPr>
      </w:pPr>
    </w:p>
    <w:p w14:paraId="7A374AAC">
      <w:pPr>
        <w:rPr>
          <w:rFonts w:ascii="仿宋" w:hAnsi="仿宋" w:eastAsia="仿宋" w:cs="仿宋"/>
          <w:color w:val="auto"/>
          <w:highlight w:val="none"/>
        </w:rPr>
      </w:pPr>
    </w:p>
    <w:p w14:paraId="4AB3ACE0">
      <w:pPr>
        <w:rPr>
          <w:rFonts w:ascii="仿宋" w:hAnsi="仿宋" w:eastAsia="仿宋" w:cs="仿宋"/>
          <w:b/>
          <w:color w:val="auto"/>
          <w:sz w:val="44"/>
          <w:szCs w:val="44"/>
          <w:highlight w:val="none"/>
        </w:rPr>
      </w:pPr>
    </w:p>
    <w:p w14:paraId="6AC5D284">
      <w:pPr>
        <w:rPr>
          <w:rFonts w:ascii="仿宋" w:hAnsi="仿宋" w:eastAsia="仿宋" w:cs="仿宋"/>
          <w:b/>
          <w:color w:val="auto"/>
          <w:sz w:val="44"/>
          <w:szCs w:val="44"/>
          <w:highlight w:val="none"/>
        </w:rPr>
      </w:pPr>
    </w:p>
    <w:p w14:paraId="287A1E8D">
      <w:pP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14:paraId="22DE6D4D">
      <w:pPr>
        <w:tabs>
          <w:tab w:val="left" w:pos="3261"/>
        </w:tabs>
        <w:spacing w:line="360" w:lineRule="auto"/>
        <w:contextualSpacing/>
        <w:jc w:val="center"/>
        <w:rPr>
          <w:rFonts w:ascii="仿宋" w:hAnsi="仿宋" w:eastAsia="仿宋" w:cs="仿宋"/>
          <w:b/>
          <w:color w:val="auto"/>
          <w:sz w:val="44"/>
          <w:szCs w:val="44"/>
          <w:highlight w:val="none"/>
        </w:rPr>
      </w:pPr>
    </w:p>
    <w:p w14:paraId="4D65357B">
      <w:pPr>
        <w:tabs>
          <w:tab w:val="left" w:pos="3261"/>
        </w:tabs>
        <w:spacing w:line="360" w:lineRule="auto"/>
        <w:contextualSpacing/>
        <w:jc w:val="center"/>
        <w:rPr>
          <w:rFonts w:ascii="仿宋" w:hAnsi="仿宋" w:eastAsia="仿宋" w:cs="仿宋"/>
          <w:b/>
          <w:color w:val="auto"/>
          <w:sz w:val="44"/>
          <w:szCs w:val="44"/>
          <w:highlight w:val="none"/>
        </w:rPr>
      </w:pPr>
    </w:p>
    <w:p w14:paraId="41CF8732">
      <w:pPr>
        <w:keepNext/>
        <w:keepLines/>
        <w:spacing w:line="360" w:lineRule="auto"/>
        <w:jc w:val="center"/>
        <w:rPr>
          <w:rFonts w:ascii="仿宋" w:hAnsi="仿宋" w:eastAsia="仿宋" w:cs="仿宋"/>
          <w:color w:val="auto"/>
          <w:highlight w:val="none"/>
        </w:rPr>
      </w:pPr>
    </w:p>
    <w:p w14:paraId="3AAF5D55">
      <w:pPr>
        <w:keepNext/>
        <w:keepLines/>
        <w:spacing w:line="360" w:lineRule="auto"/>
        <w:jc w:val="center"/>
        <w:rPr>
          <w:rFonts w:ascii="仿宋" w:hAnsi="仿宋" w:eastAsia="仿宋" w:cs="仿宋"/>
          <w:color w:val="auto"/>
          <w:highlight w:val="none"/>
        </w:rPr>
      </w:pPr>
    </w:p>
    <w:p w14:paraId="72722FA3">
      <w:pPr>
        <w:pStyle w:val="2"/>
        <w:spacing w:before="0" w:after="0" w:line="360" w:lineRule="auto"/>
        <w:jc w:val="center"/>
        <w:rPr>
          <w:rFonts w:ascii="仿宋" w:hAnsi="仿宋" w:eastAsia="仿宋" w:cs="仿宋"/>
          <w:color w:val="auto"/>
          <w:highlight w:val="none"/>
        </w:rPr>
        <w:sectPr>
          <w:pgSz w:w="11910" w:h="16840"/>
          <w:pgMar w:top="1340" w:right="1500" w:bottom="280" w:left="1680" w:header="720" w:footer="720" w:gutter="0"/>
          <w:cols w:space="720" w:num="1"/>
        </w:sectPr>
      </w:pPr>
      <w:bookmarkStart w:id="766" w:name="_Toc23232"/>
      <w:bookmarkStart w:id="767" w:name="_Toc12593"/>
      <w:bookmarkStart w:id="768" w:name="_Toc31661"/>
      <w:r>
        <w:rPr>
          <w:rFonts w:hint="eastAsia" w:ascii="仿宋" w:hAnsi="仿宋" w:eastAsia="仿宋" w:cs="仿宋"/>
          <w:b w:val="0"/>
          <w:color w:val="auto"/>
          <w:highlight w:val="none"/>
        </w:rPr>
        <w:t>第七章 质疑、投诉材料格式</w:t>
      </w:r>
      <w:bookmarkEnd w:id="766"/>
      <w:bookmarkEnd w:id="767"/>
      <w:bookmarkEnd w:id="768"/>
    </w:p>
    <w:p w14:paraId="480DF331">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质疑函（格式）</w:t>
      </w:r>
    </w:p>
    <w:p w14:paraId="7A745080">
      <w:pPr>
        <w:pStyle w:val="14"/>
        <w:spacing w:line="360" w:lineRule="auto"/>
        <w:ind w:firstLine="482" w:firstLineChars="200"/>
        <w:contextualSpacing/>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6A41D6FF">
      <w:pPr>
        <w:pStyle w:val="14"/>
        <w:spacing w:line="360" w:lineRule="auto"/>
        <w:ind w:firstLine="480" w:firstLineChars="200"/>
        <w:contextualSpacing/>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F5365F3">
      <w:pPr>
        <w:pStyle w:val="14"/>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B6C92F1">
      <w:pPr>
        <w:pStyle w:val="14"/>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68DBDB4">
      <w:pPr>
        <w:pStyle w:val="14"/>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0D5A12D6">
      <w:pPr>
        <w:pStyle w:val="14"/>
        <w:spacing w:line="360" w:lineRule="auto"/>
        <w:ind w:firstLine="480" w:firstLineChars="200"/>
        <w:contextualSpacing/>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76648E6">
      <w:pPr>
        <w:pStyle w:val="14"/>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95B5583">
      <w:pPr>
        <w:pStyle w:val="14"/>
        <w:spacing w:line="360" w:lineRule="auto"/>
        <w:ind w:firstLine="482" w:firstLineChars="200"/>
        <w:contextualSpacing/>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3E789A4B">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壮锦大道国旗灯改造项目 </w:t>
      </w:r>
    </w:p>
    <w:p w14:paraId="69C00CEA">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NNZC2026-D2-990466-GTZB</w:t>
      </w:r>
      <w:r>
        <w:rPr>
          <w:rFonts w:hint="eastAsia" w:ascii="仿宋" w:hAnsi="仿宋" w:eastAsia="仿宋" w:cs="仿宋"/>
          <w:bCs/>
          <w:color w:val="auto"/>
          <w:sz w:val="24"/>
          <w:szCs w:val="24"/>
          <w:highlight w:val="none"/>
          <w:u w:val="single"/>
        </w:rPr>
        <w:t xml:space="preserve"> </w:t>
      </w:r>
    </w:p>
    <w:p w14:paraId="4C8A3077">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南宁市城市照明事务服务中心 </w:t>
      </w:r>
    </w:p>
    <w:p w14:paraId="1E22EA5A">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52572C4">
      <w:pPr>
        <w:pStyle w:val="14"/>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r>
        <w:rPr>
          <w:rFonts w:hint="eastAsia" w:ascii="仿宋" w:hAnsi="仿宋" w:eastAsia="仿宋" w:cs="仿宋"/>
          <w:bCs/>
          <w:color w:val="auto"/>
          <w:sz w:val="24"/>
          <w:szCs w:val="24"/>
          <w:highlight w:val="none"/>
          <w:u w:val="single"/>
        </w:rPr>
        <w:t xml:space="preserve">                                   </w:t>
      </w:r>
    </w:p>
    <w:p w14:paraId="2A5B81A0">
      <w:pPr>
        <w:pStyle w:val="14"/>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2A5D7EB6">
      <w:pPr>
        <w:pStyle w:val="14"/>
        <w:spacing w:line="360" w:lineRule="auto"/>
        <w:ind w:left="25" w:leftChars="12" w:firstLine="352" w:firstLineChars="147"/>
        <w:contextualSpacing/>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2CEAFAFE">
      <w:pPr>
        <w:pStyle w:val="14"/>
        <w:spacing w:line="360" w:lineRule="auto"/>
        <w:ind w:left="25" w:leftChars="12" w:firstLine="472" w:firstLineChars="196"/>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28094AC4">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5E972C62">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6AAFF9EB">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47E9206C">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7624614B">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FF5DDFF">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60D58D60">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40A74B26">
      <w:pPr>
        <w:pStyle w:val="14"/>
        <w:spacing w:line="360" w:lineRule="auto"/>
        <w:ind w:left="25" w:leftChars="12" w:firstLine="352" w:firstLineChars="147"/>
        <w:contextualSpacing/>
        <w:rPr>
          <w:rFonts w:ascii="仿宋" w:hAnsi="仿宋" w:eastAsia="仿宋" w:cs="仿宋"/>
          <w:color w:val="auto"/>
          <w:sz w:val="24"/>
          <w:szCs w:val="24"/>
          <w:highlight w:val="none"/>
        </w:rPr>
      </w:pPr>
    </w:p>
    <w:p w14:paraId="1FAB8F3B">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1AB1C0B4">
      <w:pPr>
        <w:pStyle w:val="14"/>
        <w:spacing w:line="360" w:lineRule="auto"/>
        <w:ind w:left="25" w:leftChars="12" w:firstLine="352" w:firstLineChars="147"/>
        <w:contextualSpacing/>
        <w:rPr>
          <w:rFonts w:ascii="仿宋" w:hAnsi="仿宋" w:eastAsia="仿宋" w:cs="仿宋"/>
          <w:color w:val="auto"/>
          <w:sz w:val="24"/>
          <w:szCs w:val="24"/>
          <w:highlight w:val="none"/>
        </w:rPr>
      </w:pPr>
    </w:p>
    <w:p w14:paraId="1BC58BDC">
      <w:pPr>
        <w:pStyle w:val="14"/>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AD88890">
      <w:pPr>
        <w:pStyle w:val="14"/>
        <w:spacing w:line="360" w:lineRule="auto"/>
        <w:contextualSpacing/>
        <w:rPr>
          <w:rFonts w:ascii="仿宋" w:hAnsi="仿宋" w:eastAsia="仿宋" w:cs="仿宋"/>
          <w:b/>
          <w:color w:val="auto"/>
          <w:sz w:val="24"/>
          <w:szCs w:val="24"/>
          <w:highlight w:val="none"/>
        </w:rPr>
      </w:pPr>
    </w:p>
    <w:p w14:paraId="0AD732B0">
      <w:pPr>
        <w:pStyle w:val="14"/>
        <w:spacing w:line="360" w:lineRule="auto"/>
        <w:contextualSpacing/>
        <w:rPr>
          <w:rFonts w:ascii="仿宋" w:hAnsi="仿宋" w:eastAsia="仿宋" w:cs="仿宋"/>
          <w:b/>
          <w:color w:val="auto"/>
          <w:sz w:val="24"/>
          <w:szCs w:val="24"/>
          <w:highlight w:val="none"/>
        </w:rPr>
      </w:pPr>
    </w:p>
    <w:p w14:paraId="31394A27">
      <w:pPr>
        <w:pStyle w:val="14"/>
        <w:spacing w:line="360" w:lineRule="auto"/>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2DE3E04A">
      <w:pPr>
        <w:pStyle w:val="14"/>
        <w:spacing w:line="360" w:lineRule="auto"/>
        <w:ind w:left="25" w:leftChars="12" w:firstLine="354" w:firstLineChars="147"/>
        <w:contextualSpacing/>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396AE060">
      <w:pPr>
        <w:pStyle w:val="14"/>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249471D">
      <w:pPr>
        <w:pStyle w:val="14"/>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507DCD8A">
      <w:pPr>
        <w:pStyle w:val="14"/>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640EBA9F">
      <w:pPr>
        <w:pStyle w:val="14"/>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63282C7D">
      <w:pPr>
        <w:pStyle w:val="14"/>
        <w:snapToGrid w:val="0"/>
        <w:spacing w:line="360" w:lineRule="auto"/>
        <w:rPr>
          <w:rFonts w:ascii="仿宋" w:hAnsi="仿宋" w:eastAsia="仿宋" w:cs="仿宋"/>
          <w:b/>
          <w:color w:val="auto"/>
          <w:sz w:val="24"/>
          <w:szCs w:val="24"/>
          <w:highlight w:val="none"/>
        </w:rPr>
      </w:pPr>
    </w:p>
    <w:p w14:paraId="2D5E8FC3">
      <w:pPr>
        <w:spacing w:line="360" w:lineRule="auto"/>
        <w:jc w:val="center"/>
        <w:rPr>
          <w:rFonts w:ascii="仿宋" w:hAnsi="仿宋" w:eastAsia="仿宋" w:cs="仿宋"/>
          <w:color w:val="auto"/>
          <w:sz w:val="44"/>
          <w:highlight w:val="none"/>
        </w:rPr>
      </w:pPr>
      <w:r>
        <w:rPr>
          <w:rFonts w:hint="eastAsia" w:ascii="仿宋" w:hAnsi="仿宋" w:eastAsia="仿宋" w:cs="仿宋"/>
          <w:color w:val="auto"/>
          <w:sz w:val="44"/>
          <w:highlight w:val="none"/>
        </w:rPr>
        <w:br w:type="page"/>
      </w:r>
    </w:p>
    <w:p w14:paraId="2DFFD487">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投诉书（格式）</w:t>
      </w:r>
    </w:p>
    <w:p w14:paraId="25A363A9">
      <w:pPr>
        <w:pStyle w:val="14"/>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0E9A5D01">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088C1EF0">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12426CF">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00E0FC34">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6C3B793F">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F028D0C">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248834EC">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91E0A03">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000CD855">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1E5F11FD">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5B87275">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4E0AA566">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035FD37B">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3C242168">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36B8FFAB">
      <w:pPr>
        <w:pStyle w:val="14"/>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78E2C49A">
      <w:pPr>
        <w:pStyle w:val="14"/>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2C0F626">
      <w:pPr>
        <w:pStyle w:val="14"/>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3ED9D357">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壮锦大道国旗灯改造项目 </w:t>
      </w:r>
    </w:p>
    <w:p w14:paraId="3D9D919B">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color w:val="auto"/>
          <w:sz w:val="24"/>
          <w:szCs w:val="24"/>
          <w:highlight w:val="none"/>
          <w:u w:val="single"/>
          <w:lang w:eastAsia="zh-CN"/>
        </w:rPr>
        <w:t>NNZC2026-D2-990466-GTZB</w:t>
      </w:r>
      <w:r>
        <w:rPr>
          <w:rFonts w:hint="eastAsia" w:ascii="仿宋" w:hAnsi="仿宋" w:eastAsia="仿宋" w:cs="仿宋"/>
          <w:bCs/>
          <w:color w:val="auto"/>
          <w:sz w:val="24"/>
          <w:szCs w:val="24"/>
          <w:highlight w:val="none"/>
          <w:u w:val="single"/>
        </w:rPr>
        <w:t xml:space="preserve"> </w:t>
      </w:r>
    </w:p>
    <w:p w14:paraId="54B617BB">
      <w:pPr>
        <w:pStyle w:val="14"/>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南宁市城市照明事务服务中心    </w:t>
      </w:r>
    </w:p>
    <w:p w14:paraId="254C3922">
      <w:pPr>
        <w:pStyle w:val="14"/>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广西国泰招标咨询有限公司 </w:t>
      </w:r>
    </w:p>
    <w:p w14:paraId="099EFAD1">
      <w:pPr>
        <w:pStyle w:val="14"/>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招标文件公告：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639A0EB7">
      <w:pPr>
        <w:pStyle w:val="14"/>
        <w:spacing w:line="360" w:lineRule="auto"/>
        <w:ind w:left="25" w:leftChars="12" w:firstLine="472" w:firstLineChars="197"/>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508F1296">
      <w:pPr>
        <w:pStyle w:val="14"/>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02055588">
      <w:pPr>
        <w:pStyle w:val="14"/>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6652ED15">
      <w:pPr>
        <w:pStyle w:val="14"/>
        <w:spacing w:line="360" w:lineRule="auto"/>
        <w:ind w:firstLine="241"/>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3DB91A8B">
      <w:pPr>
        <w:pStyle w:val="14"/>
        <w:spacing w:line="360" w:lineRule="auto"/>
        <w:ind w:firstLine="241"/>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342870A0">
      <w:pPr>
        <w:pStyle w:val="14"/>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312E6972">
      <w:pPr>
        <w:pStyle w:val="14"/>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0B6CAA55">
      <w:pPr>
        <w:pStyle w:val="14"/>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64C3BAA5">
      <w:pPr>
        <w:pStyle w:val="14"/>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483EF231">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325FDE64">
      <w:pPr>
        <w:pStyle w:val="14"/>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6FEE5698">
      <w:pPr>
        <w:pStyle w:val="14"/>
        <w:spacing w:line="360" w:lineRule="auto"/>
        <w:ind w:left="25" w:leftChars="12" w:firstLine="352" w:firstLineChars="147"/>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CF2C38D">
      <w:pPr>
        <w:pStyle w:val="14"/>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38690589">
      <w:pPr>
        <w:pStyle w:val="14"/>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5C871143">
      <w:pPr>
        <w:pStyle w:val="14"/>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0E8817CF">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5BB8FA2F">
      <w:pPr>
        <w:pStyle w:val="14"/>
        <w:spacing w:line="360" w:lineRule="auto"/>
        <w:ind w:left="25" w:leftChars="12" w:firstLine="352" w:firstLineChars="147"/>
        <w:rPr>
          <w:rFonts w:ascii="仿宋" w:hAnsi="仿宋" w:eastAsia="仿宋" w:cs="仿宋"/>
          <w:color w:val="auto"/>
          <w:sz w:val="24"/>
          <w:szCs w:val="24"/>
          <w:highlight w:val="none"/>
        </w:rPr>
      </w:pPr>
    </w:p>
    <w:p w14:paraId="1A30C20D">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2B5050CA">
      <w:pPr>
        <w:pStyle w:val="14"/>
        <w:spacing w:line="360" w:lineRule="auto"/>
        <w:ind w:left="25" w:leftChars="12" w:firstLine="352" w:firstLineChars="147"/>
        <w:rPr>
          <w:rFonts w:ascii="仿宋" w:hAnsi="仿宋" w:eastAsia="仿宋" w:cs="仿宋"/>
          <w:color w:val="auto"/>
          <w:sz w:val="24"/>
          <w:szCs w:val="24"/>
          <w:highlight w:val="none"/>
        </w:rPr>
      </w:pPr>
    </w:p>
    <w:p w14:paraId="7FC3C99E">
      <w:pPr>
        <w:pStyle w:val="14"/>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bCs/>
          <w:color w:val="auto"/>
          <w:sz w:val="24"/>
          <w:szCs w:val="24"/>
          <w:highlight w:val="none"/>
        </w:rPr>
        <w:t xml:space="preserve">                                                                                 </w:t>
      </w:r>
    </w:p>
    <w:p w14:paraId="6C116333">
      <w:pPr>
        <w:pStyle w:val="14"/>
        <w:snapToGrid w:val="0"/>
        <w:spacing w:line="360" w:lineRule="auto"/>
        <w:rPr>
          <w:rFonts w:ascii="仿宋" w:hAnsi="仿宋" w:eastAsia="仿宋" w:cs="仿宋"/>
          <w:b/>
          <w:color w:val="auto"/>
          <w:sz w:val="24"/>
          <w:szCs w:val="24"/>
          <w:highlight w:val="none"/>
        </w:rPr>
      </w:pPr>
    </w:p>
    <w:p w14:paraId="6434D2F3">
      <w:pPr>
        <w:pStyle w:val="14"/>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2BD3CAF7">
      <w:pPr>
        <w:pStyle w:val="14"/>
        <w:spacing w:line="360" w:lineRule="auto"/>
        <w:ind w:left="25" w:leftChars="12" w:firstLine="354" w:firstLineChars="147"/>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6F4C4A14">
      <w:pPr>
        <w:pStyle w:val="14"/>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1FEFC84">
      <w:pPr>
        <w:pStyle w:val="14"/>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0453E046">
      <w:pPr>
        <w:pStyle w:val="14"/>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2203A106">
      <w:pPr>
        <w:pStyle w:val="14"/>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51D0DC33">
      <w:pPr>
        <w:pStyle w:val="14"/>
        <w:spacing w:line="360" w:lineRule="auto"/>
        <w:ind w:left="25" w:leftChars="12" w:firstLine="354" w:firstLineChars="147"/>
        <w:rPr>
          <w:rFonts w:ascii="仿宋" w:hAnsi="仿宋" w:eastAsia="仿宋" w:cs="仿宋"/>
          <w:color w:val="auto"/>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BE0B">
    <w:pPr>
      <w:pStyle w:val="15"/>
      <w:tabs>
        <w:tab w:val="center" w:pos="4439"/>
        <w:tab w:val="clear" w:pos="4153"/>
      </w:tabs>
      <w:jc w:val="both"/>
    </w:pPr>
    <w:r>
      <w:pict>
        <v:shape id="_x0000_s3075" o:spid="_x0000_s307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4J7NY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y7my7MIEkymNrWcrDfth4rn37Rlp&#10;9rgPjDpcf0rMe4dy59WZjTgb+9k4hqgPXdmtXAvCm2PC3krLucIIi1Szg4MspKely5vyt1+y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kM4J7NYBAACwAwAADgAAAAAAAAABACAAAAAe&#10;AQAAZHJzL2Uyb0RvYy54bWxQSwUGAAAAAAYABgBZAQAAZgUAAAAA&#10;">
          <v:path/>
          <v:fill on="f" focussize="0,0"/>
          <v:stroke on="f" joinstyle="miter"/>
          <v:imagedata o:title=""/>
          <o:lock v:ext="edit"/>
          <v:textbox inset="0mm,0mm,0mm,0mm" style="mso-fit-shape-to-text:t;">
            <w:txbxContent>
              <w:p w14:paraId="5F50E567">
                <w:pPr>
                  <w:pStyle w:val="15"/>
                </w:pPr>
                <w:r>
                  <w:fldChar w:fldCharType="begin"/>
                </w:r>
                <w:r>
                  <w:instrText xml:space="preserve"> PAGE  \* MERGEFORMAT </w:instrText>
                </w:r>
                <w:r>
                  <w:fldChar w:fldCharType="separate"/>
                </w:r>
                <w:r>
                  <w:t>5</w:t>
                </w:r>
                <w:r>
                  <w:fldChar w:fldCharType="end"/>
                </w:r>
              </w:p>
            </w:txbxContent>
          </v:textbox>
        </v:shape>
      </w:pict>
    </w:r>
  </w:p>
  <w:p w14:paraId="17B52B2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954D4">
    <w:pPr>
      <w:pStyle w:val="15"/>
      <w:tabs>
        <w:tab w:val="center" w:pos="4439"/>
        <w:tab w:val="clear" w:pos="4153"/>
      </w:tabs>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LJp9cBAACw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kSyafXAQAAsAMAAA4AAAAAAAAAAQAgAAAA&#10;HgEAAGRycy9lMm9Eb2MueG1sUEsFBgAAAAAGAAYAWQEAAGcFAAAAAA==&#10;">
          <v:path/>
          <v:fill on="f" focussize="0,0"/>
          <v:stroke on="f" joinstyle="miter"/>
          <v:imagedata o:title=""/>
          <o:lock v:ext="edit"/>
          <v:textbox inset="0mm,0mm,0mm,0mm" style="mso-fit-shape-to-text:t;">
            <w:txbxContent>
              <w:p w14:paraId="456C3F08"/>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72B24">
    <w:pPr>
      <w:pStyle w:val="15"/>
      <w:jc w:val="center"/>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VJ1dY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5VxZdmGCyZTG1rOVhv0w8dz79ow0&#10;e9wHRh2uPyXmg0O58+rMRpyN/WwcQ9SHruxWrgXh7TFhb6XlXGGERarZwUEW0tPS5U352y9Zjz/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R4VJ1dYBAACwAwAADgAAAAAAAAABACAAAAAe&#10;AQAAZHJzL2Uyb0RvYy54bWxQSwUGAAAAAAYABgBZAQAAZgUAAAAA&#10;">
          <v:path/>
          <v:fill on="f" focussize="0,0"/>
          <v:stroke on="f" joinstyle="miter"/>
          <v:imagedata o:title=""/>
          <o:lock v:ext="edit"/>
          <v:textbox inset="0mm,0mm,0mm,0mm" style="mso-fit-shape-to-text:t;">
            <w:txbxContent>
              <w:p w14:paraId="7178E150">
                <w:pPr>
                  <w:pStyle w:val="15"/>
                  <w:jc w:val="center"/>
                </w:pPr>
                <w:r>
                  <w:fldChar w:fldCharType="begin"/>
                </w:r>
                <w:r>
                  <w:instrText xml:space="preserve"> PAGE  \* MERGEFORMAT </w:instrText>
                </w:r>
                <w:r>
                  <w:fldChar w:fldCharType="separate"/>
                </w:r>
                <w:r>
                  <w:t>9</w:t>
                </w:r>
                <w:r>
                  <w:fldChar w:fldCharType="end"/>
                </w:r>
              </w:p>
            </w:txbxContent>
          </v:textbox>
        </v:shape>
      </w:pict>
    </w:r>
  </w:p>
  <w:p w14:paraId="0F821DE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4122">
    <w:pPr>
      <w:pStyle w:val="15"/>
    </w:pPr>
    <w: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6mdNcBAACw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W+pnTXAQAAsAMAAA4AAAAAAAAAAQAgAAAA&#10;HgEAAGRycy9lMm9Eb2MueG1sUEsFBgAAAAAGAAYAWQEAAGcFAAAAAA==&#10;">
          <v:path/>
          <v:fill on="f" focussize="0,0"/>
          <v:stroke on="f" joinstyle="miter"/>
          <v:imagedata o:title=""/>
          <o:lock v:ext="edit"/>
          <v:textbox inset="0mm,0mm,0mm,0mm" style="mso-fit-shape-to-text:t;">
            <w:txbxContent>
              <w:p w14:paraId="0F85AB8A">
                <w:pPr>
                  <w:pStyle w:val="15"/>
                </w:pPr>
                <w:r>
                  <w:fldChar w:fldCharType="begin"/>
                </w:r>
                <w:r>
                  <w:instrText xml:space="preserve"> PAGE  \* MERGEFORMAT </w:instrText>
                </w:r>
                <w:r>
                  <w:fldChar w:fldCharType="separate"/>
                </w:r>
                <w:r>
                  <w:t>63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B1CD3">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8212">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52EBA"/>
    <w:multiLevelType w:val="singleLevel"/>
    <w:tmpl w:val="FE252EBA"/>
    <w:lvl w:ilvl="0" w:tentative="0">
      <w:start w:val="1"/>
      <w:numFmt w:val="decimal"/>
      <w:pStyle w:val="6"/>
      <w:lvlText w:val="%1."/>
      <w:lvlJc w:val="left"/>
      <w:pPr>
        <w:tabs>
          <w:tab w:val="left" w:pos="360"/>
        </w:tabs>
        <w:ind w:left="360" w:hanging="360"/>
      </w:pPr>
    </w:lvl>
  </w:abstractNum>
  <w:abstractNum w:abstractNumId="1">
    <w:nsid w:val="16656721"/>
    <w:multiLevelType w:val="multilevel"/>
    <w:tmpl w:val="16656721"/>
    <w:lvl w:ilvl="0" w:tentative="0">
      <w:start w:val="1"/>
      <w:numFmt w:val="decimal"/>
      <w:suff w:val="space"/>
      <w:lvlText w:val="第%1章."/>
      <w:lvlJc w:val="left"/>
      <w:pPr>
        <w:ind w:left="420" w:hanging="420"/>
      </w:p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图%1.%2.%3-%6"/>
      <w:lvlJc w:val="left"/>
      <w:pPr>
        <w:ind w:left="0" w:firstLine="0"/>
      </w:pPr>
      <w:rPr>
        <w:rFonts w:hint="eastAsia"/>
      </w:rPr>
    </w:lvl>
    <w:lvl w:ilvl="6" w:tentative="0">
      <w:start w:val="1"/>
      <w:numFmt w:val="decimal"/>
      <w:suff w:val="space"/>
      <w:lvlText w:val="表%1.%2-%7"/>
      <w:lvlJc w:val="left"/>
      <w:pPr>
        <w:ind w:left="0" w:firstLine="0"/>
      </w:pPr>
      <w:rPr>
        <w:rFonts w:hint="eastAsia"/>
      </w:rPr>
    </w:lvl>
    <w:lvl w:ilvl="7" w:tentative="0">
      <w:start w:val="1"/>
      <w:numFmt w:val="decimal"/>
      <w:lvlRestart w:val="1"/>
      <w:isLgl/>
      <w:lvlText w:val="图%1.%2-%8"/>
      <w:lvlJc w:val="left"/>
      <w:pPr>
        <w:tabs>
          <w:tab w:val="left" w:pos="5415"/>
        </w:tabs>
        <w:ind w:left="3255" w:firstLine="0"/>
      </w:pPr>
      <w:rPr>
        <w:rFonts w:hint="eastAsia"/>
      </w:rPr>
    </w:lvl>
    <w:lvl w:ilvl="8" w:tentative="0">
      <w:start w:val="1"/>
      <w:numFmt w:val="decimal"/>
      <w:lvlRestart w:val="1"/>
      <w:isLgl/>
      <w:lvlText w:val="图%1.%2.%3-%9"/>
      <w:lvlJc w:val="left"/>
      <w:pPr>
        <w:tabs>
          <w:tab w:val="left" w:pos="252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62DF18B5"/>
    <w:rsid w:val="0008189F"/>
    <w:rsid w:val="001628C7"/>
    <w:rsid w:val="001A4185"/>
    <w:rsid w:val="001F20C4"/>
    <w:rsid w:val="001F282E"/>
    <w:rsid w:val="001F7E2A"/>
    <w:rsid w:val="002A6FAC"/>
    <w:rsid w:val="002F7C46"/>
    <w:rsid w:val="003343FC"/>
    <w:rsid w:val="003B1259"/>
    <w:rsid w:val="00427857"/>
    <w:rsid w:val="00480371"/>
    <w:rsid w:val="004C1111"/>
    <w:rsid w:val="004C188E"/>
    <w:rsid w:val="004D79E0"/>
    <w:rsid w:val="004F0749"/>
    <w:rsid w:val="004F58BA"/>
    <w:rsid w:val="0059698C"/>
    <w:rsid w:val="005E04B8"/>
    <w:rsid w:val="005E2FEE"/>
    <w:rsid w:val="00677395"/>
    <w:rsid w:val="006A3837"/>
    <w:rsid w:val="00706FE2"/>
    <w:rsid w:val="00774AB0"/>
    <w:rsid w:val="0083431F"/>
    <w:rsid w:val="00860DE6"/>
    <w:rsid w:val="008751AF"/>
    <w:rsid w:val="008E5F0E"/>
    <w:rsid w:val="008E6B63"/>
    <w:rsid w:val="00990635"/>
    <w:rsid w:val="00A03C4E"/>
    <w:rsid w:val="00A15622"/>
    <w:rsid w:val="00A65164"/>
    <w:rsid w:val="00B538B0"/>
    <w:rsid w:val="00B66079"/>
    <w:rsid w:val="00B85208"/>
    <w:rsid w:val="00BC255E"/>
    <w:rsid w:val="00BF5E7F"/>
    <w:rsid w:val="00C55EEC"/>
    <w:rsid w:val="00C81C7A"/>
    <w:rsid w:val="00CE7677"/>
    <w:rsid w:val="00D07651"/>
    <w:rsid w:val="00E009AF"/>
    <w:rsid w:val="00E3434A"/>
    <w:rsid w:val="00E639DC"/>
    <w:rsid w:val="00F01DE2"/>
    <w:rsid w:val="00F7576D"/>
    <w:rsid w:val="02AD184E"/>
    <w:rsid w:val="02D97086"/>
    <w:rsid w:val="02F63820"/>
    <w:rsid w:val="030A29F1"/>
    <w:rsid w:val="04C7445C"/>
    <w:rsid w:val="06DA6493"/>
    <w:rsid w:val="07715706"/>
    <w:rsid w:val="07EC291B"/>
    <w:rsid w:val="08D35B2F"/>
    <w:rsid w:val="0B914487"/>
    <w:rsid w:val="0D2167C4"/>
    <w:rsid w:val="0F6F0F2A"/>
    <w:rsid w:val="0F981356"/>
    <w:rsid w:val="0FB6281A"/>
    <w:rsid w:val="112F7299"/>
    <w:rsid w:val="17830FBE"/>
    <w:rsid w:val="1BC0617E"/>
    <w:rsid w:val="1BEC370D"/>
    <w:rsid w:val="1D7F18C5"/>
    <w:rsid w:val="1D985AEC"/>
    <w:rsid w:val="1DB32A78"/>
    <w:rsid w:val="1FBA13E3"/>
    <w:rsid w:val="221F0AB7"/>
    <w:rsid w:val="248857C9"/>
    <w:rsid w:val="248D10AB"/>
    <w:rsid w:val="26034794"/>
    <w:rsid w:val="278570CA"/>
    <w:rsid w:val="283E6E60"/>
    <w:rsid w:val="286B2E25"/>
    <w:rsid w:val="2B465B0F"/>
    <w:rsid w:val="2C7855EF"/>
    <w:rsid w:val="2E2D4C7B"/>
    <w:rsid w:val="2E5C099F"/>
    <w:rsid w:val="2ED42E0B"/>
    <w:rsid w:val="2FEB0396"/>
    <w:rsid w:val="30763629"/>
    <w:rsid w:val="321E5F92"/>
    <w:rsid w:val="34F779A6"/>
    <w:rsid w:val="38624B11"/>
    <w:rsid w:val="39B2549B"/>
    <w:rsid w:val="3B7801BE"/>
    <w:rsid w:val="3CE351A3"/>
    <w:rsid w:val="3D4C7F20"/>
    <w:rsid w:val="3ED10E20"/>
    <w:rsid w:val="416B7CF1"/>
    <w:rsid w:val="42A717DB"/>
    <w:rsid w:val="42E16C06"/>
    <w:rsid w:val="43317DA9"/>
    <w:rsid w:val="440920A4"/>
    <w:rsid w:val="480E71A2"/>
    <w:rsid w:val="481B7767"/>
    <w:rsid w:val="487022B5"/>
    <w:rsid w:val="48875512"/>
    <w:rsid w:val="48D17448"/>
    <w:rsid w:val="48DA0009"/>
    <w:rsid w:val="48E51A27"/>
    <w:rsid w:val="490B1B30"/>
    <w:rsid w:val="4A340764"/>
    <w:rsid w:val="4AB043A6"/>
    <w:rsid w:val="4B53235D"/>
    <w:rsid w:val="4CC40BCD"/>
    <w:rsid w:val="4CEF2229"/>
    <w:rsid w:val="4F0D31BD"/>
    <w:rsid w:val="4F2A0AEE"/>
    <w:rsid w:val="4FF74076"/>
    <w:rsid w:val="512A007A"/>
    <w:rsid w:val="524302FC"/>
    <w:rsid w:val="53367EAC"/>
    <w:rsid w:val="533D535F"/>
    <w:rsid w:val="534A408D"/>
    <w:rsid w:val="56BF5F3F"/>
    <w:rsid w:val="57964712"/>
    <w:rsid w:val="58532BEB"/>
    <w:rsid w:val="58CD189E"/>
    <w:rsid w:val="59EE5015"/>
    <w:rsid w:val="5A1D6206"/>
    <w:rsid w:val="5D5C2D7C"/>
    <w:rsid w:val="60D16D58"/>
    <w:rsid w:val="623D0C52"/>
    <w:rsid w:val="62DF18B5"/>
    <w:rsid w:val="637552BC"/>
    <w:rsid w:val="63CF5CD2"/>
    <w:rsid w:val="659806D0"/>
    <w:rsid w:val="66377FDD"/>
    <w:rsid w:val="66A40414"/>
    <w:rsid w:val="66C437D1"/>
    <w:rsid w:val="676841BB"/>
    <w:rsid w:val="67B03275"/>
    <w:rsid w:val="69A97D2F"/>
    <w:rsid w:val="6BAF5978"/>
    <w:rsid w:val="6FCF56A0"/>
    <w:rsid w:val="70C41DEB"/>
    <w:rsid w:val="70C93A98"/>
    <w:rsid w:val="71BE7F4C"/>
    <w:rsid w:val="775C46C3"/>
    <w:rsid w:val="776C0C11"/>
    <w:rsid w:val="78AC4FB0"/>
    <w:rsid w:val="7AE57DD0"/>
    <w:rsid w:val="7B8B7B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numPr>
        <w:ilvl w:val="3"/>
        <w:numId w:val="1"/>
      </w:numPr>
      <w:tabs>
        <w:tab w:val="left" w:pos="912"/>
      </w:tabs>
      <w:spacing w:before="120" w:after="120"/>
      <w:outlineLvl w:val="3"/>
    </w:pPr>
    <w:rPr>
      <w:rFonts w:eastAsia="黑体"/>
      <w:bCs/>
      <w:kern w:val="44"/>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2"/>
      </w:numPr>
    </w:p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spacing w:line="360" w:lineRule="auto"/>
      <w:ind w:left="840" w:leftChars="400"/>
    </w:pPr>
    <w:rPr>
      <w:sz w:val="24"/>
    </w:rPr>
  </w:style>
  <w:style w:type="paragraph" w:styleId="14">
    <w:name w:val="Plain Text"/>
    <w:basedOn w:val="1"/>
    <w:qFormat/>
    <w:uiPriority w:val="0"/>
    <w:rPr>
      <w:rFonts w:ascii="宋体" w:hAnsi="Courier New"/>
      <w:kern w:val="0"/>
      <w:sz w:val="20"/>
      <w:szCs w:val="21"/>
    </w:rPr>
  </w:style>
  <w:style w:type="paragraph" w:styleId="15">
    <w:name w:val="footer"/>
    <w:basedOn w:val="1"/>
    <w:next w:val="1"/>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qFormat/>
    <w:uiPriority w:val="39"/>
    <w:pPr>
      <w:spacing w:line="360" w:lineRule="auto"/>
    </w:pPr>
    <w:rPr>
      <w:sz w:val="24"/>
    </w:rPr>
  </w:style>
  <w:style w:type="paragraph" w:styleId="18">
    <w:name w:val="toc 2"/>
    <w:basedOn w:val="1"/>
    <w:next w:val="1"/>
    <w:qFormat/>
    <w:uiPriority w:val="39"/>
    <w:pPr>
      <w:tabs>
        <w:tab w:val="right" w:leader="dot" w:pos="8296"/>
      </w:tabs>
      <w:spacing w:line="360" w:lineRule="auto"/>
      <w:ind w:left="420" w:leftChars="200"/>
    </w:pPr>
    <w:rPr>
      <w:sz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basedOn w:val="21"/>
    <w:qFormat/>
    <w:uiPriority w:val="99"/>
    <w:rPr>
      <w:color w:val="0000FF"/>
      <w:u w:val="none"/>
    </w:rPr>
  </w:style>
  <w:style w:type="character" w:styleId="24">
    <w:name w:val="annotation reference"/>
    <w:basedOn w:val="21"/>
    <w:qFormat/>
    <w:uiPriority w:val="0"/>
    <w:rPr>
      <w:sz w:val="21"/>
      <w:szCs w:val="21"/>
    </w:rPr>
  </w:style>
  <w:style w:type="paragraph" w:customStyle="1" w:styleId="25">
    <w:name w:val="正文-公1"/>
    <w:basedOn w:val="1"/>
    <w:qFormat/>
    <w:uiPriority w:val="0"/>
    <w:pPr>
      <w:ind w:firstLine="200" w:firstLineChars="200"/>
    </w:pPr>
    <w:rPr>
      <w:color w:val="000000"/>
    </w:rPr>
  </w:style>
  <w:style w:type="paragraph" w:customStyle="1" w:styleId="26">
    <w:name w:val="正文2"/>
    <w:basedOn w:val="1"/>
    <w:qFormat/>
    <w:uiPriority w:val="0"/>
    <w:pPr>
      <w:adjustRightInd w:val="0"/>
      <w:spacing w:before="156" w:line="360" w:lineRule="auto"/>
      <w:ind w:firstLine="510" w:firstLineChars="200"/>
    </w:pPr>
    <w:rPr>
      <w:kern w:val="0"/>
      <w:sz w:val="24"/>
      <w:szCs w:val="20"/>
    </w:rPr>
  </w:style>
  <w:style w:type="paragraph" w:customStyle="1" w:styleId="2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8">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
    <w:name w:val="正文_0"/>
    <w:basedOn w:val="30"/>
    <w:qFormat/>
    <w:uiPriority w:val="0"/>
  </w:style>
  <w:style w:type="paragraph" w:customStyle="1" w:styleId="30">
    <w:name w:val="正文_2"/>
    <w:basedOn w:val="1"/>
    <w:qFormat/>
    <w:uiPriority w:val="0"/>
  </w:style>
  <w:style w:type="character" w:customStyle="1" w:styleId="31">
    <w:name w:val="10"/>
    <w:qFormat/>
    <w:uiPriority w:val="0"/>
    <w:rPr>
      <w:rFonts w:hint="default" w:ascii="Times New Roman" w:hAnsi="Times New Roman" w:eastAsia="宋体" w:cs="Times New Roman"/>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5"/>
    <customShpInfo spid="_x0000_s1026"/>
    <customShpInfo spid="_x0000_s3073"/>
    <customShpInfo spid="_x0000_s3074"/>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a6a5c5b3-fb76-442f-b959-5d714c2d27ec</errorID>
      <errorWord>[2026]</errorWord>
      <group>L1_Punc</group>
      <groupName>标点问题</groupName>
      <ability>L2_Punc_CN</ability>
      <abilityName>标点符号检查</abilityName>
      <candidateList>
        <item>〔2026〕</item>
      </candidateList>
      <explain/>
      <paraID>334B94FB</paraID>
      <start>9</start>
      <end>15</end>
      <status>unmodified</status>
      <modifiedWord/>
      <trackRevisions>false</trackRevisions>
    </reviewItem>
    <reviewItem>
      <errorID>199ee210-f99d-496f-9be4-e684d485bdba</errorID>
      <errorWord>[2026]</errorWord>
      <group>L1_Punc</group>
      <groupName>标点问题</groupName>
      <ability>L2_Punc_CN</ability>
      <abilityName>标点符号检查</abilityName>
      <candidateList>
        <item>〔2026〕</item>
      </candidateList>
      <explain/>
      <paraID>35BBCCB1</paraID>
      <start>11</start>
      <end>17</end>
      <status>unmodified</status>
      <modifiedWord/>
      <trackRevisions>false</trackRevisions>
    </reviewItem>
    <reviewItem>
      <errorID>321e3bd7-eec1-4621-9409-76a0d8c47fae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146DCEAD</paraID>
      <start>0</start>
      <end>2</end>
      <status>unmodified</status>
      <modifiedWord/>
      <trackRevisions>false</trackRevisions>
    </reviewItem>
    <reviewItem>
      <errorID>222e998a-f657-4f0c-b9fd-859d6f0601ec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77B94A83</paraID>
      <start>0</start>
      <end>2</end>
      <status>unmodified</status>
      <modifiedWord/>
      <trackRevisions>false</trackRevisions>
    </reviewItem>
    <reviewItem>
      <errorID>e2acb29f-2a9d-48e2-bc0d-7e4211653c22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6E334694</paraID>
      <start>0</start>
      <end>2</end>
      <status>unmodified</status>
      <modifiedWord/>
      <trackRevisions>false</trackRevisions>
    </reviewItem>
    <reviewItem>
      <errorID>9e5a5621-61c6-4e9c-8f18-590c94137d9d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E939FA8</paraID>
      <start>0</start>
      <end>2</end>
      <status>unmodified</status>
      <modifiedWord/>
      <trackRevisions>false</trackRevisions>
    </reviewItem>
    <reviewItem>
      <errorID>9a12bc16-1f7b-4624-b2f4-c25e8c6498bc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36A49517</paraID>
      <start>0</start>
      <end>2</end>
      <status>unmodified</status>
      <modifiedWord/>
      <trackRevisions>false</trackRevisions>
    </reviewItem>
    <reviewItem>
      <errorID>cdce3af0-f81d-4bbc-8936-8db631dedaa0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15E7EE17</paraID>
      <start>0</start>
      <end>2</end>
      <status>unmodified</status>
      <modifiedWord/>
      <trackRevisions>false</trackRevisions>
    </reviewItem>
    <reviewItem>
      <errorID>3e2bd385-11e5-418d-924c-2b19773f32ab</errorID>
      <errorWord>(</errorWord>
      <group>L1_Format</group>
      <groupName>格式问题</groupName>
      <ability>L2_HalfPunc_CN</ability>
      <abilityName>全半角检查</abilityName>
      <candidateList>
        <item>（</item>
      </candidateList>
      <explain>文本全半角错误。</explain>
      <paraID>15E7EE17</paraID>
      <start>12</start>
      <end>13</end>
      <status>unmodified</status>
      <modifiedWord/>
      <trackRevisions>false</trackRevisions>
    </reviewItem>
    <reviewItem>
      <errorID>444d9c08-985c-455d-856d-0b6d5e77772e</errorID>
      <errorWord>)</errorWord>
      <group>L1_Format</group>
      <groupName>格式问题</groupName>
      <ability>L2_HalfPunc_CN</ability>
      <abilityName>全半角检查</abilityName>
      <candidateList>
        <item>）</item>
      </candidateList>
      <explain>文本全半角错误。</explain>
      <paraID>15E7EE17</paraID>
      <start>35</start>
      <end>36</end>
      <status>unmodified</status>
      <modifiedWord/>
      <trackRevisions>false</trackRevisions>
    </reviewItem>
    <reviewItem>
      <errorID>c82aed1f-b0b6-446e-8561-19fdb9f81b44</errorID>
      <errorWord>(</errorWord>
      <group>L1_Format</group>
      <groupName>格式问题</groupName>
      <ability>L2_HalfPunc_CN</ability>
      <abilityName>全半角检查</abilityName>
      <candidateList>
        <item>（</item>
      </candidateList>
      <explain>文本全半角错误。</explain>
      <paraID>15E7EE17</paraID>
      <start>45</start>
      <end>46</end>
      <status>unmodified</status>
      <modifiedWord/>
      <trackRevisions>false</trackRevisions>
    </reviewItem>
    <reviewItem>
      <errorID>0ae8833e-3f6b-41e7-b957-d8a942613157</errorID>
      <errorWord>)</errorWord>
      <group>L1_Format</group>
      <groupName>格式问题</groupName>
      <ability>L2_HalfPunc_CN</ability>
      <abilityName>全半角检查</abilityName>
      <candidateList>
        <item>）</item>
      </candidateList>
      <explain>文本全半角错误。</explain>
      <paraID>15E7EE17</paraID>
      <start>61</start>
      <end>62</end>
      <status>unmodified</status>
      <modifiedWord/>
      <trackRevisions>false</trackRevisions>
    </reviewItem>
    <reviewItem>
      <errorID>3a448756-e350-471f-aed9-4cbbec425aab</errorID>
      <errorWord>-</errorWord>
      <group>L1_Format</group>
      <groupName>格式问题</groupName>
      <ability>L2_HalfPunc_CN</ability>
      <abilityName>全半角检查</abilityName>
      <candidateList>
        <item>－</item>
      </candidateList>
      <explain>文本全半角错误。</explain>
      <paraID>3B31CA53</paraID>
      <start>95</start>
      <end>96</end>
      <status>unmodified</status>
      <modifiedWord/>
      <trackRevisions>false</trackRevisions>
    </reviewItem>
    <reviewItem>
      <errorID>09eeee5c-1898-4380-89f0-c2d58bba36e7</errorID>
      <errorWord>-</errorWord>
      <group>L1_Format</group>
      <groupName>格式问题</groupName>
      <ability>L2_HalfPunc_CN</ability>
      <abilityName>全半角检查</abilityName>
      <candidateList>
        <item>－</item>
      </candidateList>
      <explain>文本全半角错误。</explain>
      <paraID>3B31CA53</paraID>
      <start>100</start>
      <end>101</end>
      <status>unmodified</status>
      <modifiedWord/>
      <trackRevisions>false</trackRevisions>
    </reviewItem>
    <reviewItem>
      <errorID>7da7ceb8-7d29-4f1f-8a8b-02aedce347b0</errorID>
      <errorWord>-</errorWord>
      <group>L1_Format</group>
      <groupName>格式问题</groupName>
      <ability>L2_HalfPunc_CN</ability>
      <abilityName>全半角检查</abilityName>
      <candidateList>
        <item>－</item>
      </candidateList>
      <explain>文本全半角错误。</explain>
      <paraID>3B31CA53</paraID>
      <start>107</start>
      <end>108</end>
      <status>unmodified</status>
      <modifiedWord/>
      <trackRevisions>false</trackRevisions>
    </reviewItem>
    <reviewItem>
      <errorID>0ef9c284-58c7-415b-8435-fbd5e48503bb</errorID>
      <errorWord>-</errorWord>
      <group>L1_Format</group>
      <groupName>格式问题</groupName>
      <ability>L2_HalfPunc_CN</ability>
      <abilityName>全半角检查</abilityName>
      <candidateList>
        <item>－</item>
      </candidateList>
      <explain>文本全半角错误。</explain>
      <paraID>3B31CA53</paraID>
      <start>113</start>
      <end>114</end>
      <status>unmodified</status>
      <modifiedWord/>
      <trackRevisions>false</trackRevisions>
    </reviewItem>
    <reviewItem>
      <errorID>ae9661f7-8d26-43c1-a6e7-b46e338557e7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2A44EEF3</paraID>
      <start>0</start>
      <end>2</end>
      <status>unmodified</status>
      <modifiedWord/>
      <trackRevisions>false</trackRevisions>
    </reviewItem>
    <reviewItem>
      <errorID>f6d2713d-d44f-4dae-8dd8-b0ecef52f270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2D53A09D</paraID>
      <start>0</start>
      <end>2</end>
      <status>unmodified</status>
      <modifiedWord/>
      <trackRevisions>false</trackRevisions>
    </reviewItem>
    <reviewItem>
      <errorID>2bd8ab6d-9922-4bd3-a7a6-44e1de86427c</errorID>
      <errorWord>应要</errorWord>
      <group>L1_Word</group>
      <groupName>字词问题</groupName>
      <ability>L2_Typo</ability>
      <abilityName>字词错误</abilityName>
      <candidateList>
        <item>应</item>
      </candidateList>
      <explain/>
      <paraID>4C8CEA9C</paraID>
      <start>47</start>
      <end>49</end>
      <status>unmodified</status>
      <modifiedWord/>
      <trackRevisions>false</trackRevisions>
    </reviewItem>
    <reviewItem>
      <errorID>36e872d9-4ff4-4b43-af11-c869ab4f950e</errorID>
      <errorWord>操作合</errorWord>
      <group>L1_Word</group>
      <groupName>字词问题</groupName>
      <ability>L2_Typo</ability>
      <abilityName>字词错误</abilityName>
      <candidateList>
        <item>操作台</item>
      </candidateList>
      <explain/>
      <paraID>35BBF9E0</paraID>
      <start>8</start>
      <end>11</end>
      <status>unmodified</status>
      <modifiedWord/>
      <trackRevisions>false</trackRevisions>
    </reviewItem>
    <reviewItem>
      <errorID>aae9a6a1-1614-4f69-9c5d-081a8e705628</errorID>
      <errorWord>须要</errorWord>
      <group>L1_Word</group>
      <groupName>字词问题</groupName>
      <ability>L2_Typo</ability>
      <abilityName>字词错误</abilityName>
      <candidateList>
        <item>需要</item>
      </candidateList>
      <explain>存在发音相同字词的误用。</explain>
      <paraID> C090BE3</paraID>
      <start>21</start>
      <end>23</end>
      <status>unmodified</status>
      <modifiedWord/>
      <trackRevisions>false</trackRevisions>
    </reviewItem>
    <reviewItem>
      <errorID>0018b204-71bf-4404-8ae3-369379f563ea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1A85CDA6</paraID>
      <start>0</start>
      <end>2</end>
      <status>unmodified</status>
      <modifiedWord/>
      <trackRevisions>false</trackRevisions>
    </reviewItem>
    <reviewItem>
      <errorID>8eaadeba-091e-4fc6-9e35-596f878a2251</errorID>
      <errorWord>具备有</errorWord>
      <group>L1_Word</group>
      <groupName>字词问题</groupName>
      <ability>L2_Typo</ability>
      <abilityName>字词错误</abilityName>
      <candidateList>
        <item>具备</item>
      </candidateList>
      <explain/>
      <paraID>1A85CDA6</paraID>
      <start>8</start>
      <end>11</end>
      <status>unmodified</status>
      <modifiedWord/>
      <trackRevisions>false</trackRevisions>
    </reviewItem>
    <reviewItem>
      <errorID>f8967226-e702-4088-97c8-ae6164853fb1</errorID>
      <errorWord>(</errorWord>
      <group>L1_Format</group>
      <groupName>格式问题</groupName>
      <ability>L2_HalfPunc_CN</ability>
      <abilityName>全半角检查</abilityName>
      <candidateList>
        <item>（</item>
      </candidateList>
      <explain>文本全半角错误。</explain>
      <paraID>5DDBCB92</paraID>
      <start>24</start>
      <end>25</end>
      <status>unmodified</status>
      <modifiedWord/>
      <trackRevisions>false</trackRevisions>
    </reviewItem>
    <reviewItem>
      <errorID>b6e2a89d-3f7b-4b07-9a49-e89144211419</errorID>
      <errorWord>)</errorWord>
      <group>L1_Format</group>
      <groupName>格式问题</groupName>
      <ability>L2_HalfPunc_CN</ability>
      <abilityName>全半角检查</abilityName>
      <candidateList>
        <item>）</item>
      </candidateList>
      <explain>文本全半角错误。</explain>
      <paraID>5DDBCB92</paraID>
      <start>32</start>
      <end>33</end>
      <status>unmodified</status>
      <modifiedWord/>
      <trackRevisions>false</trackRevisions>
    </reviewItem>
    <reviewItem>
      <errorID>813d9fae-cfba-414c-afe2-d9fe55a12075</errorID>
      <errorWord>(</errorWord>
      <group>L1_Punc</group>
      <groupName>标点问题</groupName>
      <ability>L2_Punc_CN</ability>
      <abilityName>标点符号检查</abilityName>
      <candidateList/>
      <explain>同一形式括号套用。</explain>
      <paraID>5DDBCB92</paraID>
      <start>71</start>
      <end>72</end>
      <status>unmodified</status>
      <modifiedWord/>
      <trackRevisions>false</trackRevisions>
    </reviewItem>
    <reviewItem>
      <errorID>c03a6152-8c8d-466a-8c4e-476a83517066</errorID>
      <errorWord>（</errorWord>
      <group>L1_Punc</group>
      <groupName>标点问题</groupName>
      <ability>L2_Punc_CN</ability>
      <abilityName>标点符号检查</abilityName>
      <candidateList/>
      <explain>同一形式括号套用。</explain>
      <paraID>5DDBCB92</paraID>
      <start>82</start>
      <end>83</end>
      <status>unmodified</status>
      <modifiedWord/>
      <trackRevisions>false</trackRevisions>
    </reviewItem>
    <reviewItem>
      <errorID>57a85328-e2c0-4968-9437-d87047dbf028</errorID>
      <errorWord>）</errorWord>
      <group>L1_Punc</group>
      <groupName>标点问题</groupName>
      <ability>L2_Punc_CN</ability>
      <abilityName>标点符号检查</abilityName>
      <candidateList/>
      <explain>同一形式括号套用。</explain>
      <paraID>5DDBCB92</paraID>
      <start>88</start>
      <end>89</end>
      <status>unmodified</status>
      <modifiedWord/>
      <trackRevisions>false</trackRevisions>
    </reviewItem>
    <reviewItem>
      <errorID>11d6acfe-9165-4bb9-aa99-f370108bb9ab</errorID>
      <errorWord>)</errorWord>
      <group>L1_Punc</group>
      <groupName>标点问题</groupName>
      <ability>L2_Punc_CN</ability>
      <abilityName>标点符号检查</abilityName>
      <candidateList/>
      <explain>同一形式括号套用。</explain>
      <paraID>5DDBCB92</paraID>
      <start>89</start>
      <end>90</end>
      <status>unmodified</status>
      <modifiedWord/>
      <trackRevisions>false</trackRevisions>
    </reviewItem>
    <reviewItem>
      <errorID>e78c7974-acbc-4f00-91b5-23163bf3dd22</errorID>
      <errorWord>（</errorWord>
      <group>L1_Punc</group>
      <groupName>标点问题</groupName>
      <ability>L2_Punc_CN</ability>
      <abilityName>标点符号检查</abilityName>
      <candidateList/>
      <explain>同一形式括号套用。</explain>
      <paraID> 1804455</paraID>
      <start>320</start>
      <end>321</end>
      <status>unmodified</status>
      <modifiedWord/>
      <trackRevisions>false</trackRevisions>
    </reviewItem>
    <reviewItem>
      <errorID>a175c267-350b-45a4-887e-229a79e75c67</errorID>
      <errorWord>）</errorWord>
      <group>L1_Punc</group>
      <groupName>标点问题</groupName>
      <ability>L2_Punc_CN</ability>
      <abilityName>标点符号检查</abilityName>
      <candidateList/>
      <explain>同一形式括号套用。</explain>
      <paraID> 1804455</paraID>
      <start>329</start>
      <end>330</end>
      <status>unmodified</status>
      <modifiedWord/>
      <trackRevisions>false</trackRevisions>
    </reviewItem>
    <reviewItem>
      <errorID>f4627602-2590-4c0c-9a1f-9556a06ad5fb</errorID>
      <errorWord>（</errorWord>
      <group>L1_Punc</group>
      <groupName>标点问题</groupName>
      <ability>L2_Punc_CN</ability>
      <abilityName>标点符号检查</abilityName>
      <candidateList/>
      <explain>同一形式括号套用。</explain>
      <paraID> 1804455</paraID>
      <start>412</start>
      <end>413</end>
      <status>unmodified</status>
      <modifiedWord/>
      <trackRevisions>false</trackRevisions>
    </reviewItem>
    <reviewItem>
      <errorID>e056fc34-5545-4f72-825c-afbba7d4d7b6</errorID>
      <errorWord>）</errorWord>
      <group>L1_Punc</group>
      <groupName>标点问题</groupName>
      <ability>L2_Punc_CN</ability>
      <abilityName>标点符号检查</abilityName>
      <candidateList/>
      <explain>同一形式括号套用。</explain>
      <paraID> 1804455</paraID>
      <start>422</start>
      <end>423</end>
      <status>unmodified</status>
      <modifiedWord/>
      <trackRevisions>false</trackRevisions>
    </reviewItem>
    <reviewItem>
      <errorID>3ea8f16e-f80b-46aa-9293-8c16673fdd3b</errorID>
      <errorWord>（</errorWord>
      <group>L1_Punc</group>
      <groupName>标点问题</groupName>
      <ability>L2_Punc_CN</ability>
      <abilityName>标点符号检查</abilityName>
      <candidateList/>
      <explain>同一形式括号套用。</explain>
      <paraID>35F28491</paraID>
      <start>93</start>
      <end>94</end>
      <status>unmodified</status>
      <modifiedWord/>
      <trackRevisions>false</trackRevisions>
    </reviewItem>
    <reviewItem>
      <errorID>2b0d312c-e487-4586-af29-7c949dce6925</errorID>
      <errorWord>）</errorWord>
      <group>L1_Punc</group>
      <groupName>标点问题</groupName>
      <ability>L2_Punc_CN</ability>
      <abilityName>标点符号检查</abilityName>
      <candidateList/>
      <explain>同一形式括号套用。</explain>
      <paraID>35F28491</paraID>
      <start>103</start>
      <end>104</end>
      <status>unmodified</status>
      <modifiedWord/>
      <trackRevisions>false</trackRevisions>
    </reviewItem>
    <reviewItem>
      <errorID>a122e975-25e7-4e3f-bf99-3739a609b27d</errorID>
      <errorWord>-</errorWord>
      <group>L1_Format</group>
      <groupName>格式问题</groupName>
      <ability>L2_HalfPunc_CN</ability>
      <abilityName>全半角检查</abilityName>
      <candidateList>
        <item>－</item>
      </candidateList>
      <explain>文本全半角错误。</explain>
      <paraID>35F28491</paraID>
      <start>104</start>
      <end>105</end>
      <status>unmodified</status>
      <modifiedWord/>
      <trackRevisions>false</trackRevisions>
    </reviewItem>
    <reviewItem>
      <errorID>bc4c33da-a62d-4d42-8d59-396af59da5c5</errorID>
      <errorWord>国国</errorWord>
      <group>L1_Word</group>
      <groupName>字词问题</groupName>
      <ability>L2_Typo</ability>
      <abilityName>字词错误</abilityName>
      <candidateList>
        <item>国</item>
      </candidateList>
      <explain/>
      <paraID>5F7EFE63</paraID>
      <start>18</start>
      <end>18</end>
      <status>unmodified</status>
      <modifiedWord/>
      <trackRevisions>false</trackRevisions>
    </reviewItem>
    <reviewItem>
      <errorID>5ce7fb1c-8ac9-4ec0-8b25-d15ebe661cca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1D50A689</paraID>
      <start>0</start>
      <end>2</end>
      <status>unmodified</status>
      <modifiedWord/>
      <trackRevisions>false</trackRevisions>
    </reviewItem>
    <reviewItem>
      <errorID>290b63c7-3edc-400f-8c40-56cb74101043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222EAA4E</paraID>
      <start>1</start>
      <end>3</end>
      <status>unmodified</status>
      <modifiedWord/>
      <trackRevisions>false</trackRevisions>
    </reviewItem>
    <reviewItem>
      <errorID>87353976-3c9d-4430-84d7-7b9be5c66eeb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2FC05AB3</paraID>
      <start>0</start>
      <end>2</end>
      <status>unmodified</status>
      <modifiedWord/>
      <trackRevisions>false</trackRevisions>
    </reviewItem>
    <reviewItem>
      <errorID>e1b1091c-faa8-4c37-b00a-2326d687b5c9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4F0D4588</paraID>
      <start>1</start>
      <end>3</end>
      <status>unmodified</status>
      <modifiedWord/>
      <trackRevisions>false</trackRevisions>
    </reviewItem>
    <reviewItem>
      <errorID>f4b2136d-94ec-4e44-ac95-1a8dfd7f8b2c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79E7E32</paraID>
      <start>1</start>
      <end>3</end>
      <status>unmodified</status>
      <modifiedWord/>
      <trackRevisions>false</trackRevisions>
    </reviewItem>
    <reviewItem>
      <errorID>06168959-ab13-48b0-ac92-9b15807295b3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2B7E9D54</paraID>
      <start>0</start>
      <end>2</end>
      <status>unmodified</status>
      <modifiedWord/>
      <trackRevisions>false</trackRevisions>
    </reviewItem>
    <reviewItem>
      <errorID>d46cc4aa-bcad-4e09-a6e8-972b73ff432d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75BA6E9</paraID>
      <start>0</start>
      <end>2</end>
      <status>unmodified</status>
      <modifiedWord/>
      <trackRevisions>false</trackRevisions>
    </reviewItem>
    <reviewItem>
      <errorID>9b4f8816-9114-4d2e-afc6-8dceeea802ff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196F8427</paraID>
      <start>0</start>
      <end>3</end>
      <status>unmodified</status>
      <modifiedWord/>
      <trackRevisions>false</trackRevisions>
    </reviewItem>
    <reviewItem>
      <errorID>ea452899-0482-4713-a30a-b6a961bc16e3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2DD19BD1</paraID>
      <start>0</start>
      <end>2</end>
      <status>unmodified</status>
      <modifiedWord/>
      <trackRevisions>false</trackRevisions>
    </reviewItem>
    <reviewItem>
      <errorID>e80e2356-c585-46d2-8958-b64fedfe0f6b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5E3FE3D2</paraID>
      <start>0</start>
      <end>2</end>
      <status>unmodified</status>
      <modifiedWord/>
      <trackRevisions>false</trackRevisions>
    </reviewItem>
    <reviewItem>
      <errorID>c7f3963e-6e54-4cbf-95dd-1115cf88dd43</errorID>
      <errorWord>了</errorWord>
      <group>L1_Word</group>
      <groupName>字词问题</groupName>
      <ability>L2_Typo</ability>
      <abilityName>字词错误</abilityName>
      <candidateList>
        <item>了解</item>
      </candidateList>
      <explain/>
      <paraID>53D8AC50</paraID>
      <start>24</start>
      <end>25</end>
      <status>unmodified</status>
      <modifiedWord/>
      <trackRevisions>false</trackRevisions>
    </reviewItem>
    <reviewItem>
      <errorID>adeef6f1-60be-4a6a-894a-bc8d21940765</errorID>
      <errorWord>限于在</errorWord>
      <group>L1_Word</group>
      <groupName>字词问题</groupName>
      <ability>L2_Typo</ability>
      <abilityName>字词错误</abilityName>
      <candidateList>
        <item>限于</item>
      </candidateList>
      <explain/>
      <paraID>53D8AC50</paraID>
      <start>46</start>
      <end>49</end>
      <status>unmodified</status>
      <modifiedWord/>
      <trackRevisions>false</trackRevisions>
    </reviewItem>
    <reviewItem>
      <errorID>c7a403c0-05fe-48ae-b08b-0f3a0ec4714e</errorID>
      <errorWord>其它</errorWord>
      <group>L1_Word</group>
      <groupName>字词问题</groupName>
      <ability>L2_Alias</ability>
      <abilityName>也作/曾用词</abilityName>
      <candidateList>
        <item>其他</item>
      </candidateList>
      <explain>词汇[其它]为不规范表述或旧称，其规范书面表述为[其他]。</explain>
      <paraID>53D8AC50</paraID>
      <start>106</start>
      <end>108</end>
      <status>unmodified</status>
      <modifiedWord/>
      <trackRevisions>false</trackRevisions>
    </reviewItem>
    <reviewItem>
      <errorID>a3005e79-64ec-429a-bd83-e2478a78f850</errorID>
      <errorWord>[2011]300号</errorWord>
      <group>L1_Knowledge</group>
      <groupName>知识性问题</groupName>
      <ability>L2_Knowledge</ability>
      <abilityName>其他知识</abilityName>
      <candidateList>
        <item>〔2011〕300号</item>
      </candidateList>
      <explain>发文字号格式错误。</explain>
      <paraID>6F6F6E5B</paraID>
      <start>35</start>
      <end>45</end>
      <status>unmodified</status>
      <modifiedWord/>
      <trackRevisions>false</trackRevisions>
    </reviewItem>
    <reviewItem>
      <errorID>c4f057c7-c60b-4901-b4fe-f0aa34cfaa1a</errorID>
      <errorWord>须</errorWord>
      <group>L1_Word</group>
      <groupName>字词问题</groupName>
      <ability>L2_Typo</ability>
      <abilityName>字词错误</abilityName>
      <candidateList>
        <item>需</item>
      </candidateList>
      <explain>存在发音相同字词的误用。</explain>
      <paraID>6F6F6E5B</paraID>
      <start>82</start>
      <end>83</end>
      <status>unmodified</status>
      <modifiedWord/>
      <trackRevisions>false</trackRevisions>
    </reviewItem>
    <reviewItem>
      <errorID>e857079e-2146-4f1d-9d4e-91fa9164d1a7</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4250C894</paraID>
      <start>132</start>
      <end>133</end>
      <status>unmodified</status>
      <modifiedWord/>
      <trackRevisions>false</trackRevisions>
    </reviewItem>
    <reviewItem>
      <errorID>8e102fc2-d687-47e6-96fc-c792828c4605</errorID>
      <errorWord>国家发改委</errorWord>
      <group>L1_Knowledge</group>
      <groupName>知识性问题</groupName>
      <ability>L2_Knowledge</ability>
      <abilityName>其他知识</abilityName>
      <candidateList>
        <item>国家发展改革委</item>
      </candidateList>
      <explain/>
      <paraID>1860FEF4</paraID>
      <start>38</start>
      <end>43</end>
      <status>unmodified</status>
      <modifiedWord/>
      <trackRevisions>false</trackRevisions>
    </reviewItem>
    <reviewItem>
      <errorID>756aeb78-75a1-4cbc-952e-0f20eda7b207</errorID>
      <errorWord>[2002]1980号</errorWord>
      <group>L1_Knowledge</group>
      <groupName>知识性问题</groupName>
      <ability>L2_Knowledge</ability>
      <abilityName>其他知识</abilityName>
      <candidateList>
        <item>〔2002〕1980号</item>
      </candidateList>
      <explain>发文字号格式错误。</explain>
      <paraID>1860FEF4</paraID>
      <start>47</start>
      <end>58</end>
      <status>unmodified</status>
      <modifiedWord/>
      <trackRevisions>false</trackRevisions>
    </reviewItem>
    <reviewItem>
      <errorID>aae3284c-32f4-4b00-9119-c1cae377f235</errorID>
      <errorWord>价</errorWord>
      <group>L1_Word</group>
      <groupName>字词问题</groupName>
      <ability>L2_Typo</ability>
      <abilityName>字词错误</abilityName>
      <candidateList>
        <item>价格</item>
      </candidateList>
      <explain/>
      <paraID>1860FEF4</paraID>
      <start>106</start>
      <end>107</end>
      <status>unmodified</status>
      <modifiedWord/>
      <trackRevisions>false</trackRevisions>
    </reviewItem>
    <reviewItem>
      <errorID>c8555aee-ea15-4024-83a7-6b1e0f06fbc4</errorID>
      <errorWord>法律、法规</errorWord>
      <group>L1_Word</group>
      <groupName>字词问题</groupName>
      <ability>L2_Typo</ability>
      <abilityName>字词错误</abilityName>
      <candidateList>
        <item>法律法规</item>
      </candidateList>
      <explain/>
      <paraID>61082F9A</paraID>
      <start>39</start>
      <end>44</end>
      <status>unmodified</status>
      <modifiedWord/>
      <trackRevisions>false</trackRevisions>
    </reviewItem>
    <reviewItem>
      <errorID>afd4fbef-c9ef-4209-a9a5-d01a9132eb49</errorID>
      <errorWord>式</errorWord>
      <group>L1_Word</group>
      <groupName>字词问题</groupName>
      <ability>L2_Typo</ability>
      <abilityName>字词错误</abilityName>
      <candidateList>
        <item>式向</item>
      </candidateList>
      <explain/>
      <paraID>1A04A84A</paraID>
      <start>25</start>
      <end>26</end>
      <status>unmodified</status>
      <modifiedWord/>
      <trackRevisions>false</trackRevisions>
    </reviewItem>
    <reviewItem>
      <errorID>5f74f4d0-99d1-4ef5-826e-4325905527a3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3D16AA72</paraID>
      <start>29</start>
      <end>33</end>
      <status>unmodified</status>
      <modifiedWord/>
      <trackRevisions>false</trackRevisions>
    </reviewItem>
    <reviewItem>
      <errorID>f798a04c-96a7-4bbd-8097-3390354fe4b4</errorID>
      <errorWord>[2020]46号</errorWord>
      <group>L1_Knowledge</group>
      <groupName>知识性问题</groupName>
      <ability>L2_Knowledge</ability>
      <abilityName>其他知识</abilityName>
      <candidateList>
        <item>〔2020〕46号</item>
      </candidateList>
      <explain>发文字号格式错误。</explain>
      <paraID>6E2D0565</paraID>
      <start>26</start>
      <end>35</end>
      <status>unmodified</status>
      <modifiedWord/>
      <trackRevisions>false</trackRevisions>
    </reviewItem>
    <reviewItem>
      <errorID>6f566f31-962b-4a5b-9e17-6e060059aefd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6E2D0565</paraID>
      <start>218</start>
      <end>223</end>
      <status>unmodified</status>
      <modifiedWord/>
      <trackRevisions>false</trackRevisions>
    </reviewItem>
    <reviewItem>
      <errorID>50632bf2-9561-4bbf-a7b0-98860f7300ed</errorID>
      <errorWord>[2020]46号</errorWord>
      <group>L1_Knowledge</group>
      <groupName>知识性问题</groupName>
      <ability>L2_Knowledge</ability>
      <abilityName>其他知识</abilityName>
      <candidateList>
        <item>〔2020〕46号</item>
      </candidateList>
      <explain>发文字号格式错误。</explain>
      <paraID> 190C29E</paraID>
      <start>26</start>
      <end>35</end>
      <status>unmodified</status>
      <modifiedWord/>
      <trackRevisions>false</trackRevisions>
    </reviewItem>
    <reviewItem>
      <errorID>87b25231-bb8a-4c92-9219-3d3af8fc518e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190C29E</paraID>
      <start>225</start>
      <end>230</end>
      <status>unmodified</status>
      <modifiedWord/>
      <trackRevisions>false</trackRevisions>
    </reviewItem>
    <reviewItem>
      <errorID>95b947d3-c185-4a05-987e-1a62ce0ff2f5</errorID>
      <errorWord>供应商尽</errorWord>
      <group>L1_Word</group>
      <groupName>字词问题</groupName>
      <ability>L2_Typo</ability>
      <abilityName>字词错误</abilityName>
      <candidateList>
        <item>供应商</item>
      </candidateList>
      <explain/>
      <paraID>4AC1A102</paraID>
      <start>48</start>
      <end>52</end>
      <status>unmodified</status>
      <modifiedWord/>
      <trackRevisions>false</trackRevisions>
    </reviewItem>
    <reviewItem>
      <errorID>9f6ba6db-03db-4ab4-801a-ee1f59f613e0</errorID>
      <errorWord>，将</errorWord>
      <group>L1_Word</group>
      <groupName>字词问题</groupName>
      <ability>L2_Typo</ability>
      <abilityName>字词错误</abilityName>
      <candidateList>
        <item>，</item>
      </candidateList>
      <explain/>
      <paraID>68D20F31</paraID>
      <start>45</start>
      <end>47</end>
      <status>unmodified</status>
      <modifiedWord/>
      <trackRevisions>false</trackRevisions>
    </reviewItem>
    <reviewItem>
      <errorID>ac9b2bf0-057d-4552-b481-ae6389f3a0f6</errorID>
      <errorWord>操作合</errorWord>
      <group>L1_Word</group>
      <groupName>字词问题</groupName>
      <ability>L2_Typo</ability>
      <abilityName>字词错误</abilityName>
      <candidateList>
        <item>操作台</item>
      </candidateList>
      <explain/>
      <paraID>27015C78</paraID>
      <start>9</start>
      <end>12</end>
      <status>unmodified</status>
      <modifiedWord/>
      <trackRevisions>false</trackRevisions>
    </reviewItem>
    <reviewItem>
      <errorID>3e648053-0ff3-42b8-8bde-6e0f07d19f91</errorID>
      <errorWord>详见在</errorWord>
      <group>L1_Word</group>
      <groupName>字词问题</groupName>
      <ability>L2_Typo</ability>
      <abilityName>字词错误</abilityName>
      <candidateList>
        <item>详见</item>
      </candidateList>
      <explain/>
      <paraID>60FCFABC</paraID>
      <start>11</start>
      <end>14</end>
      <status>unmodified</status>
      <modifiedWord/>
      <trackRevisions>false</trackRevisions>
    </reviewItem>
    <reviewItem>
      <errorID>ced98077-2728-48e2-a4b0-97a63db5551e</errorID>
      <errorWord>（</errorWord>
      <group>L1_Punc</group>
      <groupName>标点问题</groupName>
      <ability>L2_Punc_CN</ability>
      <abilityName>标点符号检查</abilityName>
      <candidateList/>
      <explain>同一形式括号套用。</explain>
      <paraID>4E4D80FF</paraID>
      <start>100</start>
      <end>101</end>
      <status>unmodified</status>
      <modifiedWord/>
      <trackRevisions>false</trackRevisions>
    </reviewItem>
    <reviewItem>
      <errorID>f5761d69-ffb0-4f39-ae45-f7e425a7dc6b</errorID>
      <errorWord>）</errorWord>
      <group>L1_Punc</group>
      <groupName>标点问题</groupName>
      <ability>L2_Punc_CN</ability>
      <abilityName>标点符号检查</abilityName>
      <candidateList/>
      <explain>同一形式括号套用。</explain>
      <paraID>4E4D80FF</paraID>
      <start>107</start>
      <end>108</end>
      <status>unmodified</status>
      <modifiedWord/>
      <trackRevisions>false</trackRevisions>
    </reviewItem>
    <reviewItem>
      <errorID>2464bb20-60cc-4cec-84bf-b6a55f8a23c6</errorID>
      <errorWord>-</errorWord>
      <group>L1_Format</group>
      <groupName>格式问题</groupName>
      <ability>L2_HalfPunc_CN</ability>
      <abilityName>全半角检查</abilityName>
      <candidateList>
        <item>－</item>
      </candidateList>
      <explain>文本全半角错误。</explain>
      <paraID>74B18BDF</paraID>
      <start>58</start>
      <end>59</end>
      <status>unmodified</status>
      <modifiedWord/>
      <trackRevisions>false</trackRevisions>
    </reviewItem>
    <reviewItem>
      <errorID>ce3d5dde-46ad-4ccc-b878-e87940771fe3</errorID>
      <errorWord>)</errorWord>
      <group>L1_Format</group>
      <groupName>格式问题</groupName>
      <ability>L2_HalfPunc_CN</ability>
      <abilityName>全半角检查</abilityName>
      <candidateList>
        <item>）</item>
      </candidateList>
      <explain>文本全半角错误。</explain>
      <paraID>74EBEA25</paraID>
      <start>48</start>
      <end>49</end>
      <status>unmodified</status>
      <modifiedWord/>
      <trackRevisions>false</trackRevisions>
    </reviewItem>
    <reviewItem>
      <errorID>fd97bf1a-93dd-47e2-927f-6c1e9e1f386a</errorID>
      <errorWord>法律、法规</errorWord>
      <group>L1_Word</group>
      <groupName>字词问题</groupName>
      <ability>L2_Typo</ability>
      <abilityName>字词错误</abilityName>
      <candidateList>
        <item>法律法规</item>
      </candidateList>
      <explain/>
      <paraID>37E68F03</paraID>
      <start>3</start>
      <end>8</end>
      <status>unmodified</status>
      <modifiedWord/>
      <trackRevisions>false</trackRevisions>
    </reviewItem>
    <reviewItem>
      <errorID>0b88f1a8-75d3-40e5-92cf-a347a68179c6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5A79133C</paraID>
      <start>0</start>
      <end>2</end>
      <status>unmodified</status>
      <modifiedWord/>
      <trackRevisions>false</trackRevisions>
    </reviewItem>
    <reviewItem>
      <errorID>29258760-026f-48a2-8dd1-6eabba5567fc</errorID>
      <errorWord>上线</errorWord>
      <group>L1_Word</group>
      <groupName>字词问题</groupName>
      <ability>L2_Typo</ability>
      <abilityName>字词错误</abilityName>
      <candidateList>
        <item>上限</item>
      </candidateList>
      <explain>存在发音相同字词的误用。</explain>
      <paraID>7BE6E0ED</paraID>
      <start>82</start>
      <end>84</end>
      <status>unmodified</status>
      <modifiedWord/>
      <trackRevisions>false</trackRevisions>
    </reviewItem>
    <reviewItem>
      <errorID>7bc87bdf-cad6-4b64-bb29-af81725e0e0d</errorID>
      <errorWord>做出</errorWord>
      <group>L1_Word</group>
      <groupName>字词问题</groupName>
      <ability>L2_Typo</ability>
      <abilityName>字词错误</abilityName>
      <candidateList>
        <item>作出</item>
      </candidateList>
      <explain/>
      <paraID>1C5C7989</paraID>
      <start>63</start>
      <end>65</end>
      <status>unmodified</status>
      <modifiedWord/>
      <trackRevisions>false</trackRevisions>
    </reviewItem>
    <reviewItem>
      <errorID>797c2556-4914-4516-a762-622704417a5b</errorID>
      <errorWord>股东大会</errorWord>
      <group>L1_Word</group>
      <groupName>字词问题</groupName>
      <ability>L2_Typo</ability>
      <abilityName>字词错误</abilityName>
      <candidateList>
        <item>股东会</item>
      </candidateList>
      <explain/>
      <paraID>29E29CBC</paraID>
      <start>113</start>
      <end>117</end>
      <status>unmodified</status>
      <modifiedWord/>
      <trackRevisions>false</trackRevisions>
    </reviewItem>
    <reviewItem>
      <errorID>611afbb4-4671-4cc4-bf8b-6e7896167109</errorID>
      <errorWord>………</errorWord>
      <group>L1_Punc</group>
      <groupName>标点问题</groupName>
      <ability>L2_Punc_CN</ability>
      <abilityName>标点符号检查</abilityName>
      <candidateList>
        <item>……</item>
      </candidateList>
      <explain/>
      <paraID>57AAA056</paraID>
      <start>28</start>
      <end>31</end>
      <status>unmodified</status>
      <modifiedWord/>
      <trackRevisions>false</trackRevisions>
    </reviewItem>
    <reviewItem>
      <errorID>7d4fd586-0f87-4692-8017-705fb699bbe6</errorID>
      <errorWord>表</errorWord>
      <group>L1_Word</group>
      <groupName>字词问题</groupName>
      <ability>L2_Typo</ability>
      <abilityName>字词错误</abilityName>
      <candidateList>
        <item>表人</item>
      </candidateList>
      <explain/>
      <paraID>4BFEF5B3</paraID>
      <start>3</start>
      <end>4</end>
      <status>unmodified</status>
      <modifiedWord/>
      <trackRevisions>false</trackRevisions>
    </reviewItem>
    <reviewItem>
      <errorID>cdba31bc-fdfb-4701-a3f8-2826520d7070</errorID>
      <errorWord>项目项目</errorWord>
      <group>L1_Word</group>
      <groupName>字词问题</groupName>
      <ability>L2_Typo</ability>
      <abilityName>字词错误</abilityName>
      <candidateList>
        <item>项目</item>
      </candidateList>
      <explain>〈名〉事物分成的门类：服务～｜体育～｜建设～。</explain>
      <paraID> 2E376FD</paraID>
      <start>70</start>
      <end>74</end>
      <status>unmodified</status>
      <modifiedWord/>
      <trackRevisions>false</trackRevisions>
    </reviewItem>
    <reviewItem>
      <errorID>fc416ba7-8fbc-41ed-80eb-6bb875ddbdb9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3A349685</paraID>
      <start>0</start>
      <end>2</end>
      <status>unmodified</status>
      <modifiedWord/>
      <trackRevisions>false</trackRevisions>
    </reviewItem>
    <reviewItem>
      <errorID>fea39d8b-98fc-410c-b1ce-f6359ddaf7e4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5AD2A2FF</paraID>
      <start>0</start>
      <end>2</end>
      <status>unmodified</status>
      <modifiedWord/>
      <trackRevisions>false</trackRevisions>
    </reviewItem>
    <reviewItem>
      <errorID>6af24a72-87db-481e-9540-4d2dcbddcd74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41364E9A</paraID>
      <start>0</start>
      <end>2</end>
      <status>unmodified</status>
      <modifiedWord/>
      <trackRevisions>false</trackRevisions>
    </reviewItem>
    <reviewItem>
      <errorID>61c4c06a-76da-49fa-834d-c02e727ab001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3311BB5E</paraID>
      <start>0</start>
      <end>2</end>
      <status>unmodified</status>
      <modifiedWord/>
      <trackRevisions>false</trackRevisions>
    </reviewItem>
    <reviewItem>
      <errorID>527fa91a-8e1a-4a33-b3e9-13fba3ff06a7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77B93E97</paraID>
      <start>0</start>
      <end>2</end>
      <status>unmodified</status>
      <modifiedWord/>
      <trackRevisions>false</trackRevisions>
    </reviewItem>
    <reviewItem>
      <errorID>b6bf4e77-62a4-4716-82cd-c849caafd198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2E235B24</paraID>
      <start>0</start>
      <end>2</end>
      <status>unmodified</status>
      <modifiedWord/>
      <trackRevisions>false</trackRevisions>
    </reviewItem>
    <reviewItem>
      <errorID>83dad9dc-31f4-405f-b58a-97eb09b8162f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2648183D</paraID>
      <start>0</start>
      <end>2</end>
      <status>unmodified</status>
      <modifiedWord/>
      <trackRevisions>false</trackRevisions>
    </reviewItem>
    <reviewItem>
      <errorID>3e5b5bc9-95d4-44f1-a3a6-ad8ce781b376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36E4CD22</paraID>
      <start>0</start>
      <end>2</end>
      <status>unmodified</status>
      <modifiedWord/>
      <trackRevisions>false</trackRevisions>
    </reviewItem>
    <reviewItem>
      <errorID>57f7a1d7-ee01-4272-962d-57164cb95627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79B13CF4</paraID>
      <start>0</start>
      <end>2</end>
      <status>unmodified</status>
      <modifiedWord/>
      <trackRevisions>false</trackRevisions>
    </reviewItem>
    <reviewItem>
      <errorID>4f385a83-deeb-4ae2-b8cb-71fd145f9932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1AA17A58</paraID>
      <start>0</start>
      <end>2</end>
      <status>unmodified</status>
      <modifiedWord/>
      <trackRevisions>false</trackRevisions>
    </reviewItem>
    <reviewItem>
      <errorID>a66066ad-b9a3-452a-ba70-2ac6e0df5b44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724963A7</paraID>
      <start>0</start>
      <end>2</end>
      <status>unmodified</status>
      <modifiedWord/>
      <trackRevisions>false</trackRevisions>
    </reviewItem>
    <reviewItem>
      <errorID>db2c2fb9-b4a7-4b2f-8bc5-de9a57f41acb</errorID>
      <errorWord>本</errorWord>
      <group>L1_Word</group>
      <groupName>字词问题</groupName>
      <ability>L2_Typo</ability>
      <abilityName>字词错误</abilityName>
      <candidateList>
        <item>本次</item>
      </candidateList>
      <explain/>
      <paraID>724963A7</paraID>
      <start>14</start>
      <end>15</end>
      <status>unmodified</status>
      <modifiedWord/>
      <trackRevisions>false</trackRevisions>
    </reviewItem>
    <reviewItem>
      <errorID>ef8adb26-091d-49d8-9a9a-7a81ffa37fd6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311C1C4D</paraID>
      <start>0</start>
      <end>2</end>
      <status>unmodified</status>
      <modifiedWord/>
      <trackRevisions>false</trackRevisions>
    </reviewItem>
    <reviewItem>
      <errorID>24f38285-5af0-4bd8-8470-b56c3bcb0cfe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35E69FB6</paraID>
      <start>0</start>
      <end>3</end>
      <status>unmodified</status>
      <modifiedWord/>
      <trackRevisions>false</trackRevisions>
    </reviewItem>
    <reviewItem>
      <errorID>a160f443-b013-41c6-8d17-022c5d76a339</errorID>
      <errorWord>(</errorWord>
      <group>L1_Format</group>
      <groupName>格式问题</groupName>
      <ability>L2_HalfPunc_CN</ability>
      <abilityName>全半角检查</abilityName>
      <candidateList>
        <item>（</item>
      </candidateList>
      <explain>文本全半角错误。</explain>
      <paraID>1653E755</paraID>
      <start>2</start>
      <end>3</end>
      <status>unmodified</status>
      <modifiedWord/>
      <trackRevisions>false</trackRevisions>
    </reviewItem>
    <reviewItem>
      <errorID>d776faa0-3450-48da-b22d-0c24d23864d4</errorID>
      <errorWord>)</errorWord>
      <group>L1_Format</group>
      <groupName>格式问题</groupName>
      <ability>L2_HalfPunc_CN</ability>
      <abilityName>全半角检查</abilityName>
      <candidateList>
        <item>）</item>
      </candidateList>
      <explain>文本全半角错误。</explain>
      <paraID>1653E755</paraID>
      <start>4</start>
      <end>5</end>
      <status>unmodified</status>
      <modifiedWord/>
      <trackRevisions>false</trackRevisions>
    </reviewItem>
    <reviewItem>
      <errorID>aa574398-8c0e-486b-a2a9-75b4cb3ed4ab</errorID>
      <errorWord>＝</errorWord>
      <group>L1_Format</group>
      <groupName>格式问题</groupName>
      <ability>L2_HalfPunc_CN</ability>
      <abilityName>全半角检查</abilityName>
      <candidateList>
        <item>=</item>
      </candidateList>
      <explain>文本全半角错误。</explain>
      <paraID>10831518</paraID>
      <start>1</start>
      <end>2</end>
      <status>unmodified</status>
      <modifiedWord/>
      <trackRevisions>false</trackRevisions>
    </reviewItem>
    <reviewItem>
      <errorID>c597a8e2-2b96-4e83-b987-966a9563eeb9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68DDC70E</paraID>
      <start>0</start>
      <end>2</end>
      <status>unmodified</status>
      <modifiedWord/>
      <trackRevisions>false</trackRevisions>
    </reviewItem>
    <reviewItem>
      <errorID>cc710619-dca2-4881-bdc7-1deff5f0f591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925C6EB</paraID>
      <start>0</start>
      <end>2</end>
      <status>unmodified</status>
      <modifiedWord/>
      <trackRevisions>false</trackRevisions>
    </reviewItem>
    <reviewItem>
      <errorID>9bfbfbcb-a7ca-4122-acd1-d4c8c08bbbf6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1B6FAED0</paraID>
      <start>0</start>
      <end>2</end>
      <status>unmodified</status>
      <modifiedWord/>
      <trackRevisions>false</trackRevisions>
    </reviewItem>
    <reviewItem>
      <errorID>e04c16a5-d64b-4f8b-844e-3cf76635a53a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2CEE517A</paraID>
      <start>0</start>
      <end>2</end>
      <status>unmodified</status>
      <modifiedWord/>
      <trackRevisions>false</trackRevisions>
    </reviewItem>
    <reviewItem>
      <errorID>cb4fd462-576e-4e1b-8b88-0187718cb709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6CA3BEF3</paraID>
      <start>0</start>
      <end>2</end>
      <status>unmodified</status>
      <modifiedWord/>
      <trackRevisions>false</trackRevisions>
    </reviewItem>
    <reviewItem>
      <errorID>8b12ca50-d188-450a-a544-3bdced220a89</errorID>
      <errorWord>，</errorWord>
      <group>L1_Word</group>
      <groupName>字词问题</groupName>
      <ability>L2_Typo</ability>
      <abilityName>字词错误</abilityName>
      <candidateList>
        <item>，将</item>
      </candidateList>
      <explain/>
      <paraID>6CA3BEF3</paraID>
      <start>75</start>
      <end>76</end>
      <status>unmodified</status>
      <modifiedWord/>
      <trackRevisions>false</trackRevisions>
    </reviewItem>
    <reviewItem>
      <errorID>4f6649cf-e386-4871-a569-3d5c2d0d0f7a</errorID>
      <errorWord>项目项目</errorWord>
      <group>L1_Word</group>
      <groupName>字词问题</groupName>
      <ability>L2_Typo</ability>
      <abilityName>字词错误</abilityName>
      <candidateList>
        <item>项目</item>
      </candidateList>
      <explain>〈名〉事物分成的门类：服务～｜体育～｜建设～。</explain>
      <paraID>20D00AD4</paraID>
      <start>113</start>
      <end>117</end>
      <status>unmodified</status>
      <modifiedWord/>
      <trackRevisions>false</trackRevisions>
    </reviewItem>
    <reviewItem>
      <errorID>abda08b4-9202-4d6e-b6dd-3d62bdaef1e3</errorID>
      <errorWord>（</errorWord>
      <group>L1_Format</group>
      <groupName>格式问题</groupName>
      <ability>L2_HalfPunc_CN</ability>
      <abilityName>全半角检查</abilityName>
      <candidateList>
        <item>(</item>
      </candidateList>
      <explain>文本全半角错误。</explain>
      <paraID>1E4E9B1D</paraID>
      <start>0</start>
      <end>1</end>
      <status>unmodified</status>
      <modifiedWord/>
      <trackRevisions>false</trackRevisions>
    </reviewItem>
    <reviewItem>
      <errorID>e2c18260-a915-4500-bb59-0ee7b7d13470</errorID>
      <errorWord>）</errorWord>
      <group>L1_Format</group>
      <groupName>格式问题</groupName>
      <ability>L2_HalfPunc_CN</ability>
      <abilityName>全半角检查</abilityName>
      <candidateList>
        <item>)</item>
      </candidateList>
      <explain>文本全半角错误。</explain>
      <paraID>1E4E9B1D</paraID>
      <start>13</start>
      <end>14</end>
      <status>unmodified</status>
      <modifiedWord/>
      <trackRevisions>false</trackRevisions>
    </reviewItem>
    <reviewItem>
      <errorID>b227b77f-88dd-4d4e-a5b8-9bccaf1ec803</errorID>
      <errorWord>住房城乡建设部</errorWord>
      <group>L1_Word</group>
      <groupName>字词问题</groupName>
      <ability>L2_Typo</ability>
      <abilityName>字词错误</abilityName>
      <candidateList>
        <item>住房和城乡建设部</item>
      </candidateList>
      <explain/>
      <paraID>2B525FBF</paraID>
      <start>13</start>
      <end>20</end>
      <status>unmodified</status>
      <modifiedWord/>
      <trackRevisions>false</trackRevisions>
    </reviewItem>
    <reviewItem>
      <errorID>579d67fe-1780-42e9-81e2-3570f82429f3</errorID>
      <errorWord>国国</errorWord>
      <group>L1_Word</group>
      <groupName>字词问题</groupName>
      <ability>L2_Typo</ability>
      <abilityName>字词错误</abilityName>
      <candidateList>
        <item>国</item>
      </candidateList>
      <explain/>
      <paraID>475A497B</paraID>
      <start>11</start>
      <end>11</end>
      <status>unmodified</status>
      <modifiedWord/>
      <trackRevisions>false</trackRevisions>
    </reviewItem>
    <reviewItem>
      <errorID>da8bbaa1-fda6-41f1-92eb-0f452871f91d</errorID>
      <errorWord>-</errorWord>
      <group>L1_Format</group>
      <groupName>格式问题</groupName>
      <ability>L2_HalfPunc_CN</ability>
      <abilityName>全半角检查</abilityName>
      <candidateList>
        <item>－</item>
      </candidateList>
      <explain>文本全半角错误。</explain>
      <paraID>3D7EAAD6</paraID>
      <start>51</start>
      <end>52</end>
      <status>unmodified</status>
      <modifiedWord/>
      <trackRevisions>false</trackRevisions>
    </reviewItem>
    <reviewItem>
      <errorID>8914b2f1-1f91-4391-80fe-c4405f07568d</errorID>
      <errorWord>：</errorWord>
      <group>L1_Format</group>
      <groupName>格式问题</groupName>
      <ability>L2_HalfPunc_CN</ability>
      <abilityName>全半角检查</abilityName>
      <candidateList>
        <item>:</item>
      </candidateList>
      <explain>文本全半角错误。</explain>
      <paraID>40E9A679</paraID>
      <start>65</start>
      <end>66</end>
      <status>unmodified</status>
      <modifiedWord/>
      <trackRevisions>false</trackRevisions>
    </reviewItem>
    <reviewItem>
      <errorID>d4f7ecf5-0828-4862-94a5-50ed2739acba</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1AC4F72</paraID>
      <start>126</start>
      <end>128</end>
      <status>unmodified</status>
      <modifiedWord/>
      <trackRevisions>false</trackRevisions>
    </reviewItem>
    <reviewItem>
      <errorID>ddc257d7-b9c4-4ac5-a623-2fdfe2728666</errorID>
      <errorWord>《建设工程工程量清单计价规范（GB50500-2013）》</errorWord>
      <group>L1_Knowledge</group>
      <groupName>知识性问题</groupName>
      <ability>L2_Knowledge</ability>
      <abilityName>其他知识</abilityName>
      <candidateList>
        <item>《建设工程工程量清单计价规范》（GB50500-2013）</item>
      </candidateList>
      <explain>疑似政策文件、法律法规名称等书写不规范，请注意检查。</explain>
      <paraID> EDA4076</paraID>
      <start>10</start>
      <end>39</end>
      <status>unmodified</status>
      <modifiedWord/>
      <trackRevisions>false</trackRevisions>
    </reviewItem>
    <reviewItem>
      <errorID>11315b0d-32b2-45c8-89bc-32e0807ef09c</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EDA4076</paraID>
      <start>104</start>
      <end>111</end>
      <status>unmodified</status>
      <modifiedWord/>
      <trackRevisions>false</trackRevisions>
    </reviewItem>
    <reviewItem>
      <errorID>22d8141f-ef36-4032-a809-a987f3e5537b</errorID>
      <errorWord>送达至</errorWord>
      <group>L1_Word</group>
      <groupName>字词问题</groupName>
      <ability>L2_Typo</ability>
      <abilityName>字词错误</abilityName>
      <candidateList>
        <item>送达</item>
      </candidateList>
      <explain/>
      <paraID>7F910A8A</paraID>
      <start>21</start>
      <end>24</end>
      <status>unmodified</status>
      <modifiedWord/>
      <trackRevisions>false</trackRevisions>
    </reviewItem>
    <reviewItem>
      <errorID>33c2c1ab-00b7-417f-b3d6-6f762d049553</errorID>
      <errorWord>涵义</errorWord>
      <group>L1_Word</group>
      <groupName>字词问题</groupName>
      <ability>L2_Alias</ability>
      <abilityName>也作/曾用词</abilityName>
      <candidateList>
        <item>含义</item>
      </candidateList>
      <explain>词汇[涵义]为不规范表述或旧称，其规范书面表述为[含义]。</explain>
      <paraID>371AAA65</paraID>
      <start>31</start>
      <end>33</end>
      <status>unmodified</status>
      <modifiedWord/>
      <trackRevisions>false</trackRevisions>
    </reviewItem>
    <reviewItem>
      <errorID>54559e86-5788-4b6b-a898-6ddb637bb1a3</errorID>
      <errorWord>涵义</errorWord>
      <group>L1_Word</group>
      <groupName>字词问题</groupName>
      <ability>L2_Alias</ability>
      <abilityName>也作/曾用词</abilityName>
      <candidateList>
        <item>含义</item>
      </candidateList>
      <explain>词汇[涵义]为不规范表述或旧称，其规范书面表述为[含义]。</explain>
      <paraID>371AAA65</paraID>
      <start>77</start>
      <end>79</end>
      <status>unmodified</status>
      <modifiedWord/>
      <trackRevisions>false</trackRevisions>
    </reviewItem>
    <reviewItem>
      <errorID>87dd8c4f-10f1-4237-bb76-6bc08aa44a56</errorID>
      <errorWord>古树名木的保护</errorWord>
      <group>L1_Political</group>
      <groupName>政治性问题</groupName>
      <ability>L2_Keyword</ability>
      <abilityName>固定表述</abilityName>
      <candidateList>
        <item>古树名木保护</item>
      </candidateList>
      <explain>词汇“古树名木保护”在特定场景下为固定表述形式，请确认此处的“古树名木的保护”是否存在不当。</explain>
      <paraID>6ECC553A</paraID>
      <start>28</start>
      <end>35</end>
      <status>unmodified</status>
      <modifiedWord/>
      <trackRevisions>false</trackRevisions>
    </reviewItem>
    <reviewItem>
      <errorID>342c0196-10ad-48f7-a5be-9e39b987b044</errorID>
      <errorWord>做出</errorWord>
      <group>L1_Word</group>
      <groupName>字词问题</groupName>
      <ability>L2_Typo</ability>
      <abilityName>字词错误</abilityName>
      <candidateList>
        <item>作出</item>
      </candidateList>
      <explain/>
      <paraID>5E3A7DFA</paraID>
      <start>63</start>
      <end>65</end>
      <status>unmodified</status>
      <modifiedWord/>
      <trackRevisions>false</trackRevisions>
    </reviewItem>
    <reviewItem>
      <errorID>82630364-6cf5-4305-9a99-0d97ee3f55f9</errorID>
      <errorWord>作</errorWord>
      <group>L1_Word</group>
      <groupName>字词问题</groupName>
      <ability>L2_Typo</ability>
      <abilityName>字词错误</abilityName>
      <candidateList>
        <item>做</item>
      </candidateList>
      <explain>存在发音相同字词的误用。</explain>
      <paraID>42ACEAAF</paraID>
      <start>56</start>
      <end>57</end>
      <status>unmodified</status>
      <modifiedWord/>
      <trackRevisions>false</trackRevisions>
    </reviewItem>
    <reviewItem>
      <errorID>2b1ce369-0acd-4986-85c0-38cf86aed4c8</errorID>
      <errorWord>察看</errorWord>
      <group>L1_Word</group>
      <groupName>字词问题</groupName>
      <ability>L2_Typo</ability>
      <abilityName>字词错误</abilityName>
      <candidateList>
        <item>查看</item>
      </candidateList>
      <explain>〈动〉检查、观察（事物的情况）：～灾情｜亲自到现场～。</explain>
      <paraID>131EFB21</paraID>
      <start>96</start>
      <end>98</end>
      <status>unmodified</status>
      <modifiedWord/>
      <trackRevisions>false</trackRevisions>
    </reviewItem>
    <reviewItem>
      <errorID>8eaaf5da-d309-43d3-9279-29c4ea06c9e4</errorID>
      <errorWord>作</errorWord>
      <group>L1_Word</group>
      <groupName>字词问题</groupName>
      <ability>L2_Typo</ability>
      <abilityName>字词错误</abilityName>
      <candidateList>
        <item>做</item>
      </candidateList>
      <explain>存在发音相同字词的误用。</explain>
      <paraID>1A1EBA6C</paraID>
      <start>124</start>
      <end>125</end>
      <status>unmodified</status>
      <modifiedWord/>
      <trackRevisions>false</trackRevisions>
    </reviewItem>
    <reviewItem>
      <errorID>f0437172-5777-408b-9c54-3a2f1b5f1245</errorID>
      <errorWord>,</errorWord>
      <group>L1_Format</group>
      <groupName>格式问题</groupName>
      <ability>L2_HalfPunc_CN</ability>
      <abilityName>全半角检查</abilityName>
      <candidateList>
        <item>，</item>
      </candidateList>
      <explain>文本全半角错误。</explain>
      <paraID>20953255</paraID>
      <start>31</start>
      <end>32</end>
      <status>unmodified</status>
      <modifiedWord/>
      <trackRevisions>false</trackRevisions>
    </reviewItem>
    <reviewItem>
      <errorID>162a5743-7d10-4b9d-a8c5-c0f07c0b197d</errorID>
      <errorWord>,</errorWord>
      <group>L1_Format</group>
      <groupName>格式问题</groupName>
      <ability>L2_HalfPunc_CN</ability>
      <abilityName>全半角检查</abilityName>
      <candidateList>
        <item>，</item>
      </candidateList>
      <explain>文本全半角错误。</explain>
      <paraID>2232D282</paraID>
      <start>92</start>
      <end>93</end>
      <status>unmodified</status>
      <modifiedWord/>
      <trackRevisions>false</trackRevisions>
    </reviewItem>
    <reviewItem>
      <errorID>781aa939-7333-45e2-aca6-1ea7cf35806f</errorID>
      <errorWord>噪音</errorWord>
      <group>L1_Word</group>
      <groupName>字词问题</groupName>
      <ability>L2_Alias</ability>
      <abilityName>也作/曾用词</abilityName>
      <candidateList>
        <item>噪声</item>
      </candidateList>
      <explain>词汇[噪音]为不规范表述或旧称，其规范书面表述为[噪声]。</explain>
      <paraID> 24D06D0</paraID>
      <start>69</start>
      <end>71</end>
      <status>unmodified</status>
      <modifiedWord/>
      <trackRevisions>false</trackRevisions>
    </reviewItem>
    <reviewItem>
      <errorID>e7443f40-8954-4340-a958-06af5fcc693a</errorID>
      <errorWord>天</errorWord>
      <group>L1_Word</group>
      <groupName>字词问题</groupName>
      <ability>L2_Typo</ability>
      <abilityName>字词错误</abilityName>
      <candidateList>
        <item>天内</item>
      </candidateList>
      <explain/>
      <paraID>626AB96E</paraID>
      <start>81</start>
      <end>82</end>
      <status>unmodified</status>
      <modifiedWord/>
      <trackRevisions>false</trackRevisions>
    </reviewItem>
    <reviewItem>
      <errorID>9dec51f3-63bc-4439-8cd6-319df0d6814c</errorID>
      <errorWord>任何的</errorWord>
      <group>L1_Word</group>
      <groupName>字词问题</groupName>
      <ability>L2_Typo</ability>
      <abilityName>字词错误</abilityName>
      <candidateList>
        <item>任何</item>
      </candidateList>
      <explain>〈代〉指示代词。不论什么：～人都要遵纪守法｜我们能够战胜～困难。</explain>
      <paraID>2998C955</paraID>
      <start>65</start>
      <end>68</end>
      <status>unmodified</status>
      <modifiedWord/>
      <trackRevisions>false</trackRevisions>
    </reviewItem>
    <reviewItem>
      <errorID>9126744c-e644-46c3-aac4-7336a8e87534</errorID>
      <errorWord>款</errorWord>
      <group>L1_Word</group>
      <groupName>字词问题</groupName>
      <ability>L2_Typo</ability>
      <abilityName>字词错误</abilityName>
      <candidateList>
        <item>款中</item>
      </candidateList>
      <explain/>
      <paraID>3CD6E770</paraID>
      <start>62</start>
      <end>63</end>
      <status>unmodified</status>
      <modifiedWord/>
      <trackRevisions>false</trackRevisions>
    </reviewItem>
    <reviewItem>
      <errorID>7a0c1f01-0b55-4120-b81f-4a52a24e75f3</errorID>
      <errorWord>其它</errorWord>
      <group>L1_Word</group>
      <groupName>字词问题</groupName>
      <ability>L2_Alias</ability>
      <abilityName>也作/曾用词</abilityName>
      <candidateList>
        <item>其他</item>
      </candidateList>
      <explain>词汇[其它]为不规范表述或旧称，其规范书面表述为[其他]。</explain>
      <paraID>1187E42D</paraID>
      <start>2</start>
      <end>4</end>
      <status>unmodified</status>
      <modifiedWord/>
      <trackRevisions>false</trackRevisions>
    </reviewItem>
    <reviewItem>
      <errorID>d540c519-0925-4389-ac02-fe824019bac9</errorID>
      <errorWord>）施工现场内</errorWord>
      <group>L1_Word</group>
      <groupName>字词问题</groupName>
      <ability>L2_Typo</ability>
      <abilityName>字词错误</abilityName>
      <candidateList>
        <item>）施工现场</item>
      </candidateList>
      <explain/>
      <paraID>6A402FBF</paraID>
      <start>2</start>
      <end>8</end>
      <status>unmodified</status>
      <modifiedWord/>
      <trackRevisions>false</trackRevisions>
    </reviewItem>
    <reviewItem>
      <errorID>0e56e207-df90-40fd-8a22-6c758fd30626</errorID>
      <errorWord>款</errorWord>
      <group>L1_Word</group>
      <groupName>字词问题</groupName>
      <ability>L2_Typo</ability>
      <abilityName>字词错误</abilityName>
      <candidateList>
        <item>款中</item>
      </candidateList>
      <explain/>
      <paraID>2A2D8536</paraID>
      <start>38</start>
      <end>39</end>
      <status>unmodified</status>
      <modifiedWord/>
      <trackRevisions>false</trackRevisions>
    </reviewItem>
    <reviewItem>
      <errorID>1f5db397-5019-4cc5-9c98-d60d2f806a92</errorID>
      <errorWord>限</errorWord>
      <group>L1_Word</group>
      <groupName>字词问题</groupName>
      <ability>L2_Typo</ability>
      <abilityName>字词错误</abilityName>
      <candidateList>
        <item>限内</item>
      </candidateList>
      <explain/>
      <paraID>6AF88510</paraID>
      <start>24</start>
      <end>25</end>
      <status>unmodified</status>
      <modifiedWord/>
      <trackRevisions>false</trackRevisions>
    </reviewItem>
    <reviewItem>
      <errorID>126a128f-00b4-4e46-b877-90d228702346</errorID>
      <errorWord>款</errorWord>
      <group>L1_Word</group>
      <groupName>字词问题</groupName>
      <ability>L2_Typo</ability>
      <abilityName>字词错误</abilityName>
      <candidateList>
        <item>款中</item>
      </candidateList>
      <explain/>
      <paraID>677F5C68</paraID>
      <start>181</start>
      <end>182</end>
      <status>unmodified</status>
      <modifiedWord/>
      <trackRevisions>false</trackRevisions>
    </reviewItem>
    <reviewItem>
      <errorID>a1ab9a8b-e13b-4806-bfdb-183cad808649</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40C39962</paraID>
      <start>25</start>
      <end>28</end>
      <status>unmodified</status>
      <modifiedWord/>
      <trackRevisions>false</trackRevisions>
    </reviewItem>
    <reviewItem>
      <errorID>0e7f6a67-eaa3-4fcf-93bb-832a13cd8b10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40C39962</paraID>
      <start>38</start>
      <end>41</end>
      <status>unmodified</status>
      <modifiedWord/>
      <trackRevisions>false</trackRevisions>
    </reviewItem>
    <reviewItem>
      <errorID>b61c0361-4c79-421c-9077-9f6aea6f0c18</errorID>
      <errorWord>法律、法规</errorWord>
      <group>L1_Word</group>
      <groupName>字词问题</groupName>
      <ability>L2_Typo</ability>
      <abilityName>字词错误</abilityName>
      <candidateList>
        <item>法律法规</item>
      </candidateList>
      <explain/>
      <paraID>40C39962</paraID>
      <start>81</start>
      <end>86</end>
      <status>unmodified</status>
      <modifiedWord/>
      <trackRevisions>false</trackRevisions>
    </reviewItem>
    <reviewItem>
      <errorID>129c3d15-424f-4c18-b1e6-adf11c6ce186</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5B17E0F9</paraID>
      <start>38</start>
      <end>41</end>
      <status>unmodified</status>
      <modifiedWord/>
      <trackRevisions>false</trackRevisions>
    </reviewItem>
    <reviewItem>
      <errorID>1f4f8e9b-638c-4737-8095-2e77fcc8abc5</errorID>
      <errorWord>：/。</errorWord>
      <group>L1_Punc</group>
      <groupName>标点问题</groupName>
      <ability>L2_Punc_CN</ability>
      <abilityName>标点符号检查</abilityName>
      <candidateList>
        <item>：</item>
      </candidateList>
      <explain/>
      <paraID>5F2396E0</paraID>
      <start>10</start>
      <end>13</end>
      <status>unmodified</status>
      <modifiedWord/>
      <trackRevisions>false</trackRevisions>
    </reviewItem>
    <reviewItem>
      <errorID>52aa7d19-4d3a-4c0f-bd8b-4af5cf83da3e</errorID>
      <errorWord>[2014]96号</errorWord>
      <group>L1_Knowledge</group>
      <groupName>知识性问题</groupName>
      <ability>L2_Knowledge</ability>
      <abilityName>其他知识</abilityName>
      <candidateList>
        <item>〔2014〕96号</item>
      </candidateList>
      <explain>发文字号格式错误。</explain>
      <paraID>7F7E04B0</paraID>
      <start>131</start>
      <end>140</end>
      <status>unmodified</status>
      <modifiedWord/>
      <trackRevisions>false</trackRevisions>
    </reviewItem>
    <reviewItem>
      <errorID>86ceff53-f850-42c3-b9a8-1246495052b8</errorID>
      <errorWord>[2014]155号</errorWord>
      <group>L1_Knowledge</group>
      <groupName>知识性问题</groupName>
      <ability>L2_Knowledge</ability>
      <abilityName>其他知识</abilityName>
      <candidateList>
        <item>〔2014〕155号</item>
      </candidateList>
      <explain>发文字号格式错误。</explain>
      <paraID>7F7E04B0</paraID>
      <start>185</start>
      <end>195</end>
      <status>unmodified</status>
      <modifiedWord/>
      <trackRevisions>false</trackRevisions>
    </reviewItem>
    <reviewItem>
      <errorID>8f8b18bc-0755-424a-a437-cc2cb9c3b382</errorID>
      <errorWord>：/。</errorWord>
      <group>L1_Punc</group>
      <groupName>标点问题</groupName>
      <ability>L2_Punc_CN</ability>
      <abilityName>标点符号检查</abilityName>
      <candidateList>
        <item>：</item>
      </candidateList>
      <explain/>
      <paraID>489E8CA5</paraID>
      <start>9</start>
      <end>12</end>
      <status>unmodified</status>
      <modifiedWord/>
      <trackRevisions>false</trackRevisions>
    </reviewItem>
    <reviewItem>
      <errorID>08f6de28-7612-445f-86eb-3cd636e8a785</errorID>
      <errorWord>，</errorWord>
      <group>L1_Word</group>
      <groupName>字词问题</groupName>
      <ability>L2_Typo</ability>
      <abilityName>字词错误</abilityName>
      <candidateList>
        <item>，在</item>
      </candidateList>
      <explain/>
      <paraID>1DE2923F</paraID>
      <start>120</start>
      <end>121</end>
      <status>unmodified</status>
      <modifiedWord/>
      <trackRevisions>false</trackRevisions>
    </reviewItem>
    <reviewItem>
      <errorID>f211c12b-ded8-4f9a-9a2a-a0af93653e05</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683A7A10</paraID>
      <start>116</start>
      <end>119</end>
      <status>unmodified</status>
      <modifiedWord/>
      <trackRevisions>false</trackRevisions>
    </reviewItem>
    <reviewItem>
      <errorID>8c6fc880-4ce4-4c8c-a818-1340ad633784</errorID>
      <errorWord>中华人民共和国治安管理法</errorWord>
      <group>L1_Knowledge</group>
      <groupName>知识性问题</groupName>
      <ability>L2_Knowledge</ability>
      <abilityName>其他知识</abilityName>
      <candidateList>
        <item>中华人民共和国治安管理处罚法</item>
      </candidateList>
      <explain>当前法律法规未收录或尚未生效，注意核查是否正确。</explain>
      <paraID>7F22B9E6</paraID>
      <start>25</start>
      <end>37</end>
      <status>unmodified</status>
      <modifiedWord/>
      <trackRevisions>false</trackRevisions>
    </reviewItem>
    <reviewItem>
      <errorID>295cd150-52e4-4d12-997d-3379efc814dc</errorID>
      <errorWord>》</errorWord>
      <group>L1_Word</group>
      <groupName>字词问题</groupName>
      <ability>L2_Typo</ability>
      <abilityName>字词错误</abilityName>
      <candidateList>
        <item>》等</item>
      </candidateList>
      <explain/>
      <paraID>7F22B9E6</paraID>
      <start>57</start>
      <end>58</end>
      <status>unmodified</status>
      <modifiedWord/>
      <trackRevisions>false</trackRevisions>
    </reviewItem>
    <reviewItem>
      <errorID>cc736d9b-e4b4-4f21-87ea-bd674a3801de</errorID>
      <errorWord>大气污染防治法</errorWord>
      <group>L1_Knowledge</group>
      <groupName>知识性问题</groupName>
      <ability>L2_Knowledge</ability>
      <abilityName>其他知识</abilityName>
      <candidateList>
        <item>中华人民共和国大气污染防治法</item>
      </candidateList>
      <explain>当前法律法规名称使用简称，请注意是否应当使用全称。</explain>
      <paraID>1393CA8B</paraID>
      <start>19</start>
      <end>26</end>
      <status>unmodified</status>
      <modifiedWord/>
      <trackRevisions>false</trackRevisions>
    </reviewItem>
    <reviewItem>
      <errorID>c553aba4-2efe-4501-8415-ec3e06785218</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1393CA8B</paraID>
      <start>26</start>
      <end>29</end>
      <status>unmodified</status>
      <modifiedWord/>
      <trackRevisions>false</trackRevisions>
    </reviewItem>
    <reviewItem>
      <errorID>5d00cb6a-5d58-46d1-ba16-4279cf238cad</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349B7996</paraID>
      <start>68</start>
      <end>72</end>
      <status>unmodified</status>
      <modifiedWord/>
      <trackRevisions>false</trackRevisions>
    </reviewItem>
    <reviewItem>
      <errorID>ddd29c19-95c0-4fa3-825f-4b333ffe9b4b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293F7362</paraID>
      <start>14</start>
      <end>15</end>
      <status>unmodified</status>
      <modifiedWord/>
      <trackRevisions>false</trackRevisions>
    </reviewItem>
    <reviewItem>
      <errorID>c0dc37f3-757e-48a8-8837-a53e35fe6898</errorID>
      <errorWord>变更的</errorWord>
      <group>L1_Word</group>
      <groupName>字词问题</groupName>
      <ability>L2_Typo</ability>
      <abilityName>字词错误</abilityName>
      <candidateList>
        <item>变更</item>
      </candidateList>
      <explain>〈动〉改变；变动：～原定赛程｜修订版的内容有些～。</explain>
      <paraID> EDC82CB</paraID>
      <start>2</start>
      <end>5</end>
      <status>unmodified</status>
      <modifiedWord/>
      <trackRevisions>false</trackRevisions>
    </reviewItem>
    <reviewItem>
      <errorID>96e583a1-f7e2-4fc0-be50-3d36f9212f45</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78048AC8</paraID>
      <start>42</start>
      <end>45</end>
      <status>unmodified</status>
      <modifiedWord/>
      <trackRevisions>false</trackRevisions>
    </reviewItem>
    <reviewItem>
      <errorID>917de48b-7338-4be4-a2e0-4ded1a160265</errorID>
      <errorWord>算数</errorWord>
      <group>L1_Word</group>
      <groupName>字词问题</groupName>
      <ability>L2_Typo</ability>
      <abilityName>字词错误</abilityName>
      <candidateList>
        <item>算术</item>
      </candidateList>
      <explain>〈名〉数学的一个分支，是数学中最基础、最初等的部分。主要研究零和正整数、正分数的记数法，在加、减、乘、除、乘方、开方运算下产生的数的性质、运算法则以及在社会实践中的应用。</explain>
      <paraID>1FBC695D</paraID>
      <start>166</start>
      <end>168</end>
      <status>unmodified</status>
      <modifiedWord/>
      <trackRevisions>false</trackRevisions>
    </reviewItem>
    <reviewItem>
      <errorID>1e1ea440-a886-4d8f-b56b-7ca0879595fd</errorID>
      <errorWord>（</errorWord>
      <group>L1_Punc</group>
      <groupName>标点问题</groupName>
      <ability>L2_Punc_CN</ability>
      <abilityName>标点符号检查</abilityName>
      <candidateList/>
      <explain>同一形式括号套用。</explain>
      <paraID>72C3649B</paraID>
      <start>25</start>
      <end>26</end>
      <status>unmodified</status>
      <modifiedWord/>
      <trackRevisions>false</trackRevisions>
    </reviewItem>
    <reviewItem>
      <errorID>422a345b-cce4-4d09-86e7-722c2d68a9ef</errorID>
      <errorWord>-</errorWord>
      <group>L1_Format</group>
      <groupName>格式问题</groupName>
      <ability>L2_HalfPunc_CN</ability>
      <abilityName>全半角检查</abilityName>
      <candidateList>
        <item>－</item>
      </candidateList>
      <explain>文本全半角错误。</explain>
      <paraID>72C3649B</paraID>
      <start>27</start>
      <end>28</end>
      <status>unmodified</status>
      <modifiedWord/>
      <trackRevisions>false</trackRevisions>
    </reviewItem>
    <reviewItem>
      <errorID>346e6f7f-8fc8-4a11-993f-0194adb87ed7</errorID>
      <errorWord>）</errorWord>
      <group>L1_Punc</group>
      <groupName>标点问题</groupName>
      <ability>L2_Punc_CN</ability>
      <abilityName>标点符号检查</abilityName>
      <candidateList/>
      <explain>同一形式括号套用。</explain>
      <paraID>72C3649B</paraID>
      <start>34</start>
      <end>35</end>
      <status>unmodified</status>
      <modifiedWord/>
      <trackRevisions>false</trackRevisions>
    </reviewItem>
    <reviewItem>
      <errorID>94f20eeb-543b-43e6-864a-aeadbe703768</errorID>
      <errorWord>：/</errorWord>
      <group>L1_Punc</group>
      <groupName>标点问题</groupName>
      <ability>L2_Punc_CN</ability>
      <abilityName>标点符号检查</abilityName>
      <candidateList>
        <item>：</item>
      </candidateList>
      <explain/>
      <paraID>3BCE0D89</paraID>
      <start>10</start>
      <end>12</end>
      <status>unmodified</status>
      <modifiedWord/>
      <trackRevisions>false</trackRevisions>
    </reviewItem>
    <reviewItem>
      <errorID>b844bee7-17e3-4f1a-8070-70d6c049ca95</errorID>
      <errorWord>：/</errorWord>
      <group>L1_Punc</group>
      <groupName>标点问题</groupName>
      <ability>L2_Punc_CN</ability>
      <abilityName>标点符号检查</abilityName>
      <candidateList>
        <item>：</item>
      </candidateList>
      <explain/>
      <paraID>29B74BCE</paraID>
      <start>7</start>
      <end>9</end>
      <status>unmodified</status>
      <modifiedWord/>
      <trackRevisions>false</trackRevisions>
    </reviewItem>
    <reviewItem>
      <errorID>db3eee3a-3973-444f-9941-3aa6911bad30</errorID>
      <errorWord>：/</errorWord>
      <group>L1_Punc</group>
      <groupName>标点问题</groupName>
      <ability>L2_Punc_CN</ability>
      <abilityName>标点符号检查</abilityName>
      <candidateList>
        <item>：</item>
      </candidateList>
      <explain/>
      <paraID>44C4AD3F</paraID>
      <start>8</start>
      <end>10</end>
      <status>unmodified</status>
      <modifiedWord/>
      <trackRevisions>false</trackRevisions>
    </reviewItem>
    <reviewItem>
      <errorID>728dba3d-df92-4ee8-b995-b841843f64b8</errorID>
      <errorWord>：/</errorWord>
      <group>L1_Punc</group>
      <groupName>标点问题</groupName>
      <ability>L2_Punc_CN</ability>
      <abilityName>标点符号检查</abilityName>
      <candidateList>
        <item>：</item>
      </candidateList>
      <explain/>
      <paraID>51A24C80</paraID>
      <start>13</start>
      <end>15</end>
      <status>unmodified</status>
      <modifiedWord/>
      <trackRevisions>false</trackRevisions>
    </reviewItem>
    <reviewItem>
      <errorID>d01e6a8d-5a69-4bf2-95b4-fd8eb7cbbba4</errorID>
      <errorWord>签</errorWord>
      <group>L1_Word</group>
      <groupName>字词问题</groupName>
      <ability>L2_Typo</ability>
      <abilityName>字词错误</abilityName>
      <candidateList>
        <item>签订</item>
      </candidateList>
      <explain>〈动〉订立条约或合同并签字：两国～了贸易议定书和支付协定。</explain>
      <paraID>44EC106E</paraID>
      <start>35</start>
      <end>36</end>
      <status>unmodified</status>
      <modifiedWord/>
      <trackRevisions>false</trackRevisions>
    </reviewItem>
    <reviewItem>
      <errorID>fbc5276a-4ef9-4446-9104-82643833af1b</errorID>
      <errorWord>：/。</errorWord>
      <group>L1_Punc</group>
      <groupName>标点问题</groupName>
      <ability>L2_Punc_CN</ability>
      <abilityName>标点符号检查</abilityName>
      <candidateList>
        <item>：</item>
      </candidateList>
      <explain/>
      <paraID>64008949</paraID>
      <start>14</start>
      <end>17</end>
      <status>unmodified</status>
      <modifiedWord/>
      <trackRevisions>false</trackRevisions>
    </reviewItem>
    <reviewItem>
      <errorID>8025c2a8-1634-4b16-81e1-fe88835fa351</errorID>
      <errorWord>,</errorWord>
      <group>L1_Format</group>
      <groupName>格式问题</groupName>
      <ability>L2_HalfPunc_CN</ability>
      <abilityName>全半角检查</abilityName>
      <candidateList>
        <item>，</item>
      </candidateList>
      <explain>文本全半角错误。</explain>
      <paraID>3FD23692</paraID>
      <start>35</start>
      <end>36</end>
      <status>unmodified</status>
      <modifiedWord/>
      <trackRevisions>false</trackRevisions>
    </reviewItem>
    <reviewItem>
      <errorID>7a350cc9-314c-4a29-a990-d3d1f1f70188</errorID>
      <errorWord>：/。</errorWord>
      <group>L1_Punc</group>
      <groupName>标点问题</groupName>
      <ability>L2_Punc_CN</ability>
      <abilityName>标点符号检查</abilityName>
      <candidateList>
        <item>：</item>
      </candidateList>
      <explain/>
      <paraID>3E532008</paraID>
      <start>19</start>
      <end>22</end>
      <status>unmodified</status>
      <modifiedWord/>
      <trackRevisions>false</trackRevisions>
    </reviewItem>
    <reviewItem>
      <errorID>e4c78a36-4359-4250-a355-bd6c439df4d5</errorID>
      <errorWord>：/。</errorWord>
      <group>L1_Punc</group>
      <groupName>标点问题</groupName>
      <ability>L2_Punc_CN</ability>
      <abilityName>标点符号检查</abilityName>
      <candidateList>
        <item>：</item>
      </candidateList>
      <explain/>
      <paraID>5BCE3AE6</paraID>
      <start>23</start>
      <end>26</end>
      <status>unmodified</status>
      <modifiedWord/>
      <trackRevisions>false</trackRevisions>
    </reviewItem>
    <reviewItem>
      <errorID>8e2a2ccc-db48-4b7d-ac01-cb735fb81c82</errorID>
      <errorWord>&lt;</errorWord>
      <group>L1_Format</group>
      <groupName>格式问题</groupName>
      <ability>L2_HalfPunc_CN</ability>
      <abilityName>全半角检查</abilityName>
      <candidateList>
        <item>〈</item>
      </candidateList>
      <explain>文本全半角错误。</explain>
      <paraID>46BF67EB</paraID>
      <start>45</start>
      <end>46</end>
      <status>unmodified</status>
      <modifiedWord/>
      <trackRevisions>false</trackRevisions>
    </reviewItem>
    <reviewItem>
      <errorID>34612401-d156-4cf1-9346-e057fd0604f7</errorID>
      <errorWord>&gt;</errorWord>
      <group>L1_Format</group>
      <groupName>格式问题</groupName>
      <ability>L2_HalfPunc_CN</ability>
      <abilityName>全半角检查</abilityName>
      <candidateList>
        <item>〉</item>
      </candidateList>
      <explain>文本全半角错误。</explain>
      <paraID>46BF67EB</paraID>
      <start>73</start>
      <end>74</end>
      <status>unmodified</status>
      <modifiedWord/>
      <trackRevisions>false</trackRevisions>
    </reviewItem>
    <reviewItem>
      <errorID>fa612f18-f9b2-4663-8deb-db300dba7328</errorID>
      <errorWord>（2004）369号</errorWord>
      <group>L1_Knowledge</group>
      <groupName>知识性问题</groupName>
      <ability>L2_Knowledge</ability>
      <abilityName>其他知识</abilityName>
      <candidateList>
        <item>〔2004〕369号</item>
      </candidateList>
      <explain>发文字号格式错误。</explain>
      <paraID> 84595D2</paraID>
      <start>35</start>
      <end>45</end>
      <status>unmodified</status>
      <modifiedWord/>
      <trackRevisions>false</trackRevisions>
    </reviewItem>
    <reviewItem>
      <errorID>a9e547a8-f51a-49dc-8519-9feb280a9769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72CB846F</paraID>
      <start>0</start>
      <end>2</end>
      <status>unmodified</status>
      <modifiedWord/>
      <trackRevisions>false</trackRevisions>
    </reviewItem>
    <reviewItem>
      <errorID>fdd05e81-2654-45ba-8276-62db3fba3e9d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70ADAC8A</paraID>
      <start>0</start>
      <end>2</end>
      <status>unmodified</status>
      <modifiedWord/>
      <trackRevisions>false</trackRevisions>
    </reviewItem>
    <reviewItem>
      <errorID>424478cd-1350-4ae1-915f-3abd5e0b90c3</errorID>
      <errorWord>其它</errorWord>
      <group>L1_Word</group>
      <groupName>字词问题</groupName>
      <ability>L2_Alias</ability>
      <abilityName>也作/曾用词</abilityName>
      <candidateList>
        <item>其他</item>
      </candidateList>
      <explain>词汇[其它]为不规范表述或旧称，其规范书面表述为[其他]。</explain>
      <paraID>2CB6CF45</paraID>
      <start>82</start>
      <end>84</end>
      <status>unmodified</status>
      <modifiedWord/>
      <trackRevisions>false</trackRevisions>
    </reviewItem>
    <reviewItem>
      <errorID>eb0de360-1b31-41d3-8bf6-8a8c4e9b6b4b</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532B8D8F</paraID>
      <start>54</start>
      <end>58</end>
      <status>unmodified</status>
      <modifiedWord/>
      <trackRevisions>false</trackRevisions>
    </reviewItem>
    <reviewItem>
      <errorID>d8978036-1cdf-4152-9838-63d18f696718</errorID>
      <errorWord>限</errorWord>
      <group>L1_Word</group>
      <groupName>字词问题</groupName>
      <ability>L2_Typo</ability>
      <abilityName>字词错误</abilityName>
      <candidateList>
        <item>限内</item>
      </candidateList>
      <explain/>
      <paraID> 62776F1</paraID>
      <start>24</start>
      <end>25</end>
      <status>unmodified</status>
      <modifiedWord/>
      <trackRevisions>false</trackRevisions>
    </reviewItem>
    <reviewItem>
      <errorID>7fa9d3e2-5197-4fc1-bbc7-c40b01cb892c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736DAE60</paraID>
      <start>0</start>
      <end>3</end>
      <status>unmodified</status>
      <modifiedWord/>
      <trackRevisions>false</trackRevisions>
    </reviewItem>
    <reviewItem>
      <errorID>8e4bf4c8-41ab-4af1-9de3-6ccef0055b2f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5ECEB02E</paraID>
      <start>0</start>
      <end>3</end>
      <status>unmodified</status>
      <modifiedWord/>
      <trackRevisions>false</trackRevisions>
    </reviewItem>
    <reviewItem>
      <errorID>849aa778-e0e3-4a11-9e56-7fb91df2441f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7BAECA75</paraID>
      <start>0</start>
      <end>3</end>
      <status>unmodified</status>
      <modifiedWord/>
      <trackRevisions>false</trackRevisions>
    </reviewItem>
    <reviewItem>
      <errorID>dd761735-e54b-49ec-bf74-13e472ad08f7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1055CD4</paraID>
      <start>0</start>
      <end>3</end>
      <status>unmodified</status>
      <modifiedWord/>
      <trackRevisions>false</trackRevisions>
    </reviewItem>
    <reviewItem>
      <errorID>f472d102-97ca-4845-958c-0115598cdf78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4E9AC05C</paraID>
      <start>0</start>
      <end>3</end>
      <status>unmodified</status>
      <modifiedWord/>
      <trackRevisions>false</trackRevisions>
    </reviewItem>
    <reviewItem>
      <errorID>ae077db0-2115-43c6-8527-b518be0c3c37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3C8F2DEA</paraID>
      <start>0</start>
      <end>3</end>
      <status>unmodified</status>
      <modifiedWord/>
      <trackRevisions>false</trackRevisions>
    </reviewItem>
    <reviewItem>
      <errorID>f397a2a4-f2eb-4bad-87d7-d1694484fab4</errorID>
      <errorWord>承包人应</errorWord>
      <group>L1_Word</group>
      <groupName>字词问题</groupName>
      <ability>L2_Typo</ability>
      <abilityName>字词错误</abilityName>
      <candidateList>
        <item>承包人</item>
      </candidateList>
      <explain/>
      <paraID>3C7EAA44</paraID>
      <start>12</start>
      <end>16</end>
      <status>unmodified</status>
      <modifiedWord/>
      <trackRevisions>false</trackRevisions>
    </reviewItem>
    <reviewItem>
      <errorID>ed86bf54-6056-4779-9ac6-28a233261078</errorID>
      <errorWord>：/。</errorWord>
      <group>L1_Punc</group>
      <groupName>标点问题</groupName>
      <ability>L2_Punc_CN</ability>
      <abilityName>标点符号检查</abilityName>
      <candidateList>
        <item>：</item>
      </candidateList>
      <explain/>
      <paraID>68D510CF</paraID>
      <start>11</start>
      <end>14</end>
      <status>unmodified</status>
      <modifiedWord/>
      <trackRevisions>false</trackRevisions>
    </reviewItem>
    <reviewItem>
      <errorID>3c105552-e327-46b3-8a86-9f6bad745671</errorID>
      <errorWord>：/。</errorWord>
      <group>L1_Punc</group>
      <groupName>标点问题</groupName>
      <ability>L2_Punc_CN</ability>
      <abilityName>标点符号检查</abilityName>
      <candidateList>
        <item>：</item>
      </candidateList>
      <explain/>
      <paraID>50026005</paraID>
      <start>10</start>
      <end>13</end>
      <status>unmodified</status>
      <modifiedWord/>
      <trackRevisions>false</trackRevisions>
    </reviewItem>
    <reviewItem>
      <errorID>9efd5037-2a62-4e13-a983-a5522daeab59</errorID>
      <errorWord>：/。</errorWord>
      <group>L1_Punc</group>
      <groupName>标点问题</groupName>
      <ability>L2_Punc_CN</ability>
      <abilityName>标点符号检查</abilityName>
      <candidateList>
        <item>：</item>
      </candidateList>
      <explain/>
      <paraID>23A03FFF</paraID>
      <start>15</start>
      <end>18</end>
      <status>unmodified</status>
      <modifiedWord/>
      <trackRevisions>false</trackRevisions>
    </reviewItem>
    <reviewItem>
      <errorID>03c9d163-a19a-4a88-bba9-6e73d2a662a8</errorID>
      <errorWord>：/。</errorWord>
      <group>L1_Punc</group>
      <groupName>标点问题</groupName>
      <ability>L2_Punc_CN</ability>
      <abilityName>标点符号检查</abilityName>
      <candidateList>
        <item>：</item>
      </candidateList>
      <explain/>
      <paraID>2320B396</paraID>
      <start>7</start>
      <end>10</end>
      <status>unmodified</status>
      <modifiedWord/>
      <trackRevisions>false</trackRevisions>
    </reviewItem>
    <reviewItem>
      <errorID>05311c71-99ea-4503-a5de-41d63cb3ebd5</errorID>
      <errorWord>：/。</errorWord>
      <group>L1_Punc</group>
      <groupName>标点问题</groupName>
      <ability>L2_Punc_CN</ability>
      <abilityName>标点符号检查</abilityName>
      <candidateList>
        <item>：</item>
      </candidateList>
      <explain/>
      <paraID>290E564B</paraID>
      <start>12</start>
      <end>15</end>
      <status>unmodified</status>
      <modifiedWord/>
      <trackRevisions>false</trackRevisions>
    </reviewItem>
    <reviewItem>
      <errorID>49e5627e-aead-4049-9d9b-a6eff80ba471</errorID>
      <errorWord>日</errorWord>
      <group>L1_Word</group>
      <groupName>字词问题</groupName>
      <ability>L2_Typo</ability>
      <abilityName>字词错误</abilityName>
      <candidateList>
        <item>日起</item>
      </candidateList>
      <explain/>
      <paraID> 2574929</paraID>
      <start>28</start>
      <end>29</end>
      <status>unmodified</status>
      <modifiedWord/>
      <trackRevisions>false</trackRevisions>
    </reviewItem>
    <reviewItem>
      <errorID>de7df6b4-aed6-491b-8f8a-8b1f1d94a7e7</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7089D3C8</paraID>
      <start>0</start>
      <end>1</end>
      <status>unmodified</status>
      <modifiedWord/>
      <trackRevisions>false</trackRevisions>
    </reviewItem>
    <reviewItem>
      <errorID>cc660738-769b-4ba7-83e5-5bcfc910078b</errorID>
      <errorWord>完</errorWord>
      <group>L1_Word</group>
      <groupName>字词问题</groupName>
      <ability>L2_Typo</ability>
      <abilityName>字词错误</abilityName>
      <candidateList>
        <item>完成</item>
      </candidateList>
      <explain>〈动〉按照预期的目的结束；做成：～任务｜～作业｜计划完得成。</explain>
      <paraID> 95C64F5</paraID>
      <start>68</start>
      <end>69</end>
      <status>unmodified</status>
      <modifiedWord/>
      <trackRevisions>false</trackRevisions>
    </reviewItem>
    <reviewItem>
      <errorID>b00709cc-7e05-483a-8559-4e4922dd401f</errorID>
      <errorWord>，</errorWord>
      <group>L1_Word</group>
      <groupName>字词问题</groupName>
      <ability>L2_Typo</ability>
      <abilityName>字词错误</abilityName>
      <candidateList>
        <item>，在</item>
      </candidateList>
      <explain/>
      <paraID> 95C64F5</paraID>
      <start>115</start>
      <end>116</end>
      <status>unmodified</status>
      <modifiedWord/>
      <trackRevisions>false</trackRevisions>
    </reviewItem>
    <reviewItem>
      <errorID>68e811c1-955a-4b9d-a3d8-f60ea22c77db</errorID>
      <errorWord>室内、外</errorWord>
      <group>L1_Punc</group>
      <groupName>标点问题</groupName>
      <ability>L2_Punc_CN</ability>
      <abilityName>标点符号检查</abilityName>
      <candidateList>
        <item>室内外</item>
      </candidateList>
      <explain/>
      <paraID> 95C64F5</paraID>
      <start>169</start>
      <end>173</end>
      <status>unmodified</status>
      <modifiedWord/>
      <trackRevisions>false</trackRevisions>
    </reviewItem>
    <reviewItem>
      <errorID>945324d2-0940-4365-b1c3-ab6cd42d24b2</errorID>
      <errorWord>作</errorWord>
      <group>L1_Word</group>
      <groupName>字词问题</groupName>
      <ability>L2_Typo</ability>
      <abilityName>字词错误</abilityName>
      <candidateList>
        <item>做</item>
      </candidateList>
      <explain>存在发音相同字词的误用。</explain>
      <paraID> 95C64F5</paraID>
      <start>249</start>
      <end>250</end>
      <status>unmodified</status>
      <modifiedWord/>
      <trackRevisions>false</trackRevisions>
    </reviewItem>
    <reviewItem>
      <errorID>9b2cbe73-6a31-4605-9c1d-95da32e279f2</errorID>
      <errorWord>属</errorWord>
      <group>L1_Word</group>
      <groupName>字词问题</groupName>
      <ability>L2_Typo</ability>
      <abilityName>字词错误</abilityName>
      <candidateList>
        <item>属于</item>
      </candidateList>
      <explain/>
      <paraID>2C868ED1</paraID>
      <start>20</start>
      <end>21</end>
      <status>unmodified</status>
      <modifiedWord/>
      <trackRevisions>false</trackRevisions>
    </reviewItem>
    <reviewItem>
      <errorID>0356cc4e-c155-4b5e-ba8d-7c92a4e3e3b7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2A572EDE</paraID>
      <start>0</start>
      <end>2</end>
      <status>unmodified</status>
      <modifiedWord/>
      <trackRevisions>false</trackRevisions>
    </reviewItem>
    <reviewItem>
      <errorID>c1525002-1ca9-4c9b-b85b-e0bab569dd61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55260F68</paraID>
      <start>0</start>
      <end>2</end>
      <status>unmodified</status>
      <modifiedWord/>
      <trackRevisions>false</trackRevisions>
    </reviewItem>
    <reviewItem>
      <errorID>f36dc751-91dd-4143-a007-c877c451b425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4F36002</paraID>
      <start>0</start>
      <end>2</end>
      <status>unmodified</status>
      <modifiedWord/>
      <trackRevisions>false</trackRevisions>
    </reviewItem>
    <reviewItem>
      <errorID>b42eaf5e-d5f9-4e9c-85ea-3f379d420e6d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788437DF</paraID>
      <start>0</start>
      <end>2</end>
      <status>unmodified</status>
      <modifiedWord/>
      <trackRevisions>false</trackRevisions>
    </reviewItem>
    <reviewItem>
      <errorID>851e2f18-702a-47eb-9fcd-e9239b9bb580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3708F009</paraID>
      <start>0</start>
      <end>2</end>
      <status>unmodified</status>
      <modifiedWord/>
      <trackRevisions>false</trackRevisions>
    </reviewItem>
    <reviewItem>
      <errorID>0513fbc6-6072-417d-b7c8-53eea1a4d15a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46991363</paraID>
      <start>0</start>
      <end>2</end>
      <status>unmodified</status>
      <modifiedWord/>
      <trackRevisions>false</trackRevisions>
    </reviewItem>
    <reviewItem>
      <errorID>9af25b09-215e-4b72-8077-d39b6281811b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57856128</paraID>
      <start>0</start>
      <end>2</end>
      <status>unmodified</status>
      <modifiedWord/>
      <trackRevisions>false</trackRevisions>
    </reviewItem>
    <reviewItem>
      <errorID>96bce269-c845-4213-9546-af66c963a4c9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3E5BF560</paraID>
      <start>0</start>
      <end>2</end>
      <status>unmodified</status>
      <modifiedWord/>
      <trackRevisions>false</trackRevisions>
    </reviewItem>
    <reviewItem>
      <errorID>7d874b74-cf77-4a33-882b-d9522eacfd9e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699D6E06</paraID>
      <start>0</start>
      <end>2</end>
      <status>unmodified</status>
      <modifiedWord/>
      <trackRevisions>false</trackRevisions>
    </reviewItem>
    <reviewItem>
      <errorID>ea0b689a-29dd-40e2-a385-c251466c155f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6C251745</paraID>
      <start>0</start>
      <end>2</end>
      <status>unmodified</status>
      <modifiedWord/>
      <trackRevisions>false</trackRevisions>
    </reviewItem>
    <reviewItem>
      <errorID>b9993386-ef7b-42fd-afe8-0bcba5358c01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2309792C</paraID>
      <start>0</start>
      <end>2</end>
      <status>unmodified</status>
      <modifiedWord/>
      <trackRevisions>false</trackRevisions>
    </reviewItem>
    <reviewItem>
      <errorID>dde9fef2-d309-407d-9b1e-0d5db6b90e2d</errorID>
      <errorWord>属</errorWord>
      <group>L1_Word</group>
      <groupName>字词问题</groupName>
      <ability>L2_Typo</ability>
      <abilityName>字词错误</abilityName>
      <candidateList>
        <item>属于</item>
      </candidateList>
      <explain/>
      <paraID>15EA4781</paraID>
      <start>20</start>
      <end>21</end>
      <status>unmodified</status>
      <modifiedWord/>
      <trackRevisions>false</trackRevisions>
    </reviewItem>
    <reviewItem>
      <errorID>2795eaf9-4eec-4587-9f10-37e8e0ff0b97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3F71BC0C</paraID>
      <start>0</start>
      <end>2</end>
      <status>unmodified</status>
      <modifiedWord/>
      <trackRevisions>false</trackRevisions>
    </reviewItem>
    <reviewItem>
      <errorID>d661b486-05aa-4d73-88a3-7b6d8c357634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6666E495</paraID>
      <start>0</start>
      <end>2</end>
      <status>unmodified</status>
      <modifiedWord/>
      <trackRevisions>false</trackRevisions>
    </reviewItem>
    <reviewItem>
      <errorID>7995c032-3b0f-42b8-b967-cb2af804258d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551A1197</paraID>
      <start>0</start>
      <end>2</end>
      <status>unmodified</status>
      <modifiedWord/>
      <trackRevisions>false</trackRevisions>
    </reviewItem>
    <reviewItem>
      <errorID>5b88f855-08c1-4986-8c7b-2e9f1cf8c8f2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6928CEB9</paraID>
      <start>0</start>
      <end>2</end>
      <status>unmodified</status>
      <modifiedWord/>
      <trackRevisions>false</trackRevisions>
    </reviewItem>
    <reviewItem>
      <errorID>d01cb8dd-8cc0-4f94-a8a5-71b5c4a46e93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702EA660</paraID>
      <start>0</start>
      <end>2</end>
      <status>unmodified</status>
      <modifiedWord/>
      <trackRevisions>false</trackRevisions>
    </reviewItem>
    <reviewItem>
      <errorID>8fa0938b-53c8-4665-a7c1-834fdc2abb82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3CCD3252</paraID>
      <start>0</start>
      <end>2</end>
      <status>unmodified</status>
      <modifiedWord/>
      <trackRevisions>false</trackRevisions>
    </reviewItem>
    <reviewItem>
      <errorID>ed98d584-d646-477f-9aac-88d31cf2f924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395F74FA</paraID>
      <start>0</start>
      <end>2</end>
      <status>unmodified</status>
      <modifiedWord/>
      <trackRevisions>false</trackRevisions>
    </reviewItem>
    <reviewItem>
      <errorID>2ae49159-76f3-4d73-bb19-d7b267e6dd41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6415686</paraID>
      <start>0</start>
      <end>2</end>
      <status>unmodified</status>
      <modifiedWord/>
      <trackRevisions>false</trackRevisions>
    </reviewItem>
    <reviewItem>
      <errorID>1f31e1f3-d0cd-4d9d-9ece-7e7e177001ad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133E62E3</paraID>
      <start>0</start>
      <end>2</end>
      <status>unmodified</status>
      <modifiedWord/>
      <trackRevisions>false</trackRevisions>
    </reviewItem>
    <reviewItem>
      <errorID>e917a902-a8bd-44c5-9dd2-d9b00ea0de94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22C0EF25</paraID>
      <start>0</start>
      <end>2</end>
      <status>unmodified</status>
      <modifiedWord/>
      <trackRevisions>false</trackRevisions>
    </reviewItem>
    <reviewItem>
      <errorID>1991c922-040c-4e53-af20-20cc33dab995</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69EB1213</paraID>
      <start>23</start>
      <end>28</end>
      <status>unmodified</status>
      <modifiedWord/>
      <trackRevisions>false</trackRevisions>
    </reviewItem>
    <reviewItem>
      <errorID>cb6a4242-a42e-42b0-bb7c-8795da313155</errorID>
      <errorWord>承担的</errorWord>
      <group>L1_Word</group>
      <groupName>字词问题</groupName>
      <ability>L2_Typo</ability>
      <abilityName>字词错误</abilityName>
      <candidateList>
        <item>承担</item>
      </candidateList>
      <explain>〈动〉担负；担当：～义务｜～责任。</explain>
      <paraID> D0D213F</paraID>
      <start>42</start>
      <end>45</end>
      <status>unmodified</status>
      <modifiedWord/>
      <trackRevisions>false</trackRevisions>
    </reviewItem>
    <reviewItem>
      <errorID>e71212ce-f795-4704-b44a-d47b3b2bdb80</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1C848FE7</paraID>
      <start>23</start>
      <end>28</end>
      <status>unmodified</status>
      <modifiedWord/>
      <trackRevisions>false</trackRevisions>
    </reviewItem>
    <reviewItem>
      <errorID>c1d1de07-c543-42fc-905e-478f6b39d69e</errorID>
      <errorWord>承担的</errorWord>
      <group>L1_Word</group>
      <groupName>字词问题</groupName>
      <ability>L2_Typo</ability>
      <abilityName>字词错误</abilityName>
      <candidateList>
        <item>承担</item>
      </candidateList>
      <explain>〈动〉担负；担当：～义务｜～责任。</explain>
      <paraID>5C059137</paraID>
      <start>34</start>
      <end>37</end>
      <status>unmodified</status>
      <modifiedWord/>
      <trackRevisions>false</trackRevisions>
    </reviewItem>
    <reviewItem>
      <errorID>6197d909-8123-4fc0-8367-dc5af0d84be6</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2CED77C8</paraID>
      <start>23</start>
      <end>28</end>
      <status>unmodified</status>
      <modifiedWord/>
      <trackRevisions>false</trackRevisions>
    </reviewItem>
    <reviewItem>
      <errorID>fb2d20d3-680c-4d93-a62b-db4ccc4513cb</errorID>
      <errorWord>项目的</errorWord>
      <group>L1_Word</group>
      <groupName>字词问题</groupName>
      <ability>L2_Typo</ability>
      <abilityName>字词错误</abilityName>
      <candidateList>
        <item>项目</item>
      </candidateList>
      <explain>〈名〉事物分成的门类：服务～｜体育～｜建设～。</explain>
      <paraID>30008E5F</paraID>
      <start>2</start>
      <end>5</end>
      <status>unmodified</status>
      <modifiedWord/>
      <trackRevisions>false</trackRevisions>
    </reviewItem>
    <reviewItem>
      <errorID>e20add2e-e4cb-49a5-ba95-f9dca44bf1f3</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54485E59</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8573FF-CD90-4562-8A34-7E6BDF944566}">
  <ds:schemaRefs/>
</ds:datastoreItem>
</file>

<file path=customXml/itemProps3.xml><?xml version="1.0" encoding="utf-8"?>
<ds:datastoreItem xmlns:ds="http://schemas.openxmlformats.org/officeDocument/2006/customXml" ds:itemID="{A80E26AE-7B27-4D29-A655-F3E82AAE1697}">
  <ds:schemaRefs/>
</ds:datastoreItem>
</file>

<file path=docProps/app.xml><?xml version="1.0" encoding="utf-8"?>
<Properties xmlns="http://schemas.openxmlformats.org/officeDocument/2006/extended-properties" xmlns:vt="http://schemas.openxmlformats.org/officeDocument/2006/docPropsVTypes">
  <Template>Normal</Template>
  <Pages>191</Pages>
  <Words>13872</Words>
  <Characters>15433</Characters>
  <Lines>943</Lines>
  <Paragraphs>265</Paragraphs>
  <TotalTime>12</TotalTime>
  <ScaleCrop>false</ScaleCrop>
  <LinksUpToDate>false</LinksUpToDate>
  <CharactersWithSpaces>15560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2026-06-08T03:03:00Z</dcterms:created>
  <dc:creator>XX.</dc:creator>
  <cp:lastModifiedBy>XX.</cp:lastModifiedBy>
  <cp:lastPrinted>2026-06-10T03:23:00Z</cp:lastPrinted>
  <dcterms:modified xsi:type="dcterms:W3CDTF">2026-06-22T09:30:40Z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E3C2E6B53DF54CA3938E7AAC81F32352_11</vt:lpwstr>
  </property>
  <property fmtid="{D5CDD505-2E9C-101B-9397-08002B2CF9AE}" pid="4" name="KSOTemplateDocerSaveRecord">
    <vt:lpwstr>eyJoZGlkIjoiYmNmNzU3YmEyNjk5NTFjZjE0NGQ0YTYwYTBlNDQ4NDAiLCJ1c2VySWQiOiI2NjExMjAxOTUifQ==</vt:lpwstr>
  </property>
</Properties>
</file>